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DD2" w:rsidRPr="00635A00" w:rsidRDefault="00383EC2">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635A00">
        <w:rPr>
          <w:rFonts w:ascii="Times New Roman" w:hAnsi="Times New Roman" w:cs="Times New Roman"/>
          <w:sz w:val="28"/>
          <w:szCs w:val="24"/>
        </w:rPr>
        <w:t xml:space="preserve"> </w:t>
      </w:r>
    </w:p>
    <w:p w:rsidR="00914DD2" w:rsidRPr="00635A00" w:rsidRDefault="00914DD2">
      <w:pPr>
        <w:widowControl w:val="0"/>
        <w:autoSpaceDE w:val="0"/>
        <w:autoSpaceDN w:val="0"/>
        <w:adjustRightInd w:val="0"/>
        <w:spacing w:after="0" w:line="240" w:lineRule="auto"/>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center"/>
        <w:rPr>
          <w:rFonts w:ascii="Times New Roman" w:hAnsi="Times New Roman" w:cs="Times New Roman"/>
          <w:b/>
          <w:bCs/>
          <w:sz w:val="28"/>
          <w:szCs w:val="28"/>
        </w:rPr>
      </w:pPr>
      <w:r w:rsidRPr="00635A00">
        <w:rPr>
          <w:rFonts w:ascii="Times New Roman" w:hAnsi="Times New Roman" w:cs="Times New Roman"/>
          <w:b/>
          <w:bCs/>
          <w:sz w:val="28"/>
          <w:szCs w:val="28"/>
        </w:rPr>
        <w:t xml:space="preserve">TEMAS-SUBTEMAS </w:t>
      </w:r>
    </w:p>
    <w:p w:rsidR="00914DD2" w:rsidRPr="00635A00" w:rsidRDefault="00914DD2">
      <w:pPr>
        <w:widowControl w:val="0"/>
        <w:autoSpaceDE w:val="0"/>
        <w:autoSpaceDN w:val="0"/>
        <w:adjustRightInd w:val="0"/>
        <w:spacing w:after="0" w:line="240" w:lineRule="auto"/>
        <w:jc w:val="center"/>
        <w:rPr>
          <w:rFonts w:ascii="Times New Roman" w:hAnsi="Times New Roman" w:cs="Times New Roman"/>
          <w:b/>
          <w:bCs/>
          <w:sz w:val="28"/>
          <w:szCs w:val="28"/>
        </w:rPr>
      </w:pPr>
    </w:p>
    <w:p w:rsidR="00914DD2" w:rsidRPr="00635A00" w:rsidRDefault="00383EC2">
      <w:pPr>
        <w:widowControl w:val="0"/>
        <w:autoSpaceDE w:val="0"/>
        <w:autoSpaceDN w:val="0"/>
        <w:adjustRightInd w:val="0"/>
        <w:spacing w:after="0" w:line="240" w:lineRule="auto"/>
        <w:jc w:val="center"/>
        <w:rPr>
          <w:rFonts w:ascii="Times New Roman" w:hAnsi="Times New Roman" w:cs="Times New Roman"/>
          <w:sz w:val="28"/>
          <w:szCs w:val="28"/>
        </w:rPr>
      </w:pPr>
      <w:r w:rsidRPr="00635A00">
        <w:rPr>
          <w:rFonts w:ascii="Times New Roman" w:hAnsi="Times New Roman" w:cs="Times New Roman"/>
          <w:b/>
          <w:bCs/>
          <w:sz w:val="28"/>
          <w:szCs w:val="28"/>
        </w:rPr>
        <w:t xml:space="preserve">Sentencia C-294/24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PUBLICIDAD EN EL TRÁMITE LEGISLATIVO</w:t>
      </w:r>
      <w:r w:rsidRPr="00635A00">
        <w:rPr>
          <w:rFonts w:ascii="Times New Roman" w:hAnsi="Times New Roman" w:cs="Times New Roman"/>
          <w:sz w:val="28"/>
          <w:szCs w:val="28"/>
        </w:rPr>
        <w:t>-Vulneración porque congresistas no conocieron la proposición aprobada</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i/>
          <w:iCs/>
          <w:sz w:val="28"/>
          <w:szCs w:val="28"/>
        </w:rPr>
        <w:t>(...) la Corte concluye que en relación con la proposición presentada frente al artículo 55 del proyecto de ley aprobatorio del Plan Nacional de Desarrollo en el trámite ante la Plenaria del Senado de la República no se cumplió el mecanismo de publicidad definido en la Ley 5 de 1992, esto es, la lectura de la proposición previo al debate y su aprobación. Adicionalmente, al examinar si la publicidad se garantizó por otros mecanismos, esta corporación no encontró que la explicación realizada por el presidente del Senado sobre la proposición aquí analizada se presentara con un grado de claridad y detalle que les permitiera a los senadores conocer el alcance de la proposición presentada, avalada y aprobada. Finalmente, los otros mecanismos alegados, tales como la intervención de la ministra de Agricultura, la publicación en la página web o la inferencia por el contenido del debate, no revelan que en el trámite ante la plenaria del Senado se haya asegurado algún mecanismo o medida que les permitiera a los congresistas conocer el alcance de la proposición aprobada con respecto al artículo 55.</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PRINCIPIOS DE CONSECUTIVIDAD E IDENTIDAD FLEXIBLE EN PLAN NACIONAL DE DESARROLLO</w:t>
      </w:r>
      <w:r w:rsidRPr="00635A00">
        <w:rPr>
          <w:rFonts w:ascii="Times New Roman" w:hAnsi="Times New Roman" w:cs="Times New Roman"/>
          <w:sz w:val="28"/>
          <w:szCs w:val="28"/>
        </w:rPr>
        <w:t>-Vulneración porque norma no fue objeto de debate</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i/>
          <w:iCs/>
          <w:sz w:val="28"/>
          <w:szCs w:val="28"/>
        </w:rPr>
        <w:t>(...) la afectación del principio de publicidad trajo como consecuencia la violación del principio de consecutividad, pues afectó las condiciones mínimas para el debate en la plenaria del Senado. Además, el principio de consecutividad, así como el de identidad flexible, fueron desconocidos también por el hecho de que las normas demandadas, aunque tienen relación con la materia general del PND, regulan asuntos que no fueron tratados en el primer debate ante las comisiones económicas conjuntas de ambas cámaras legislativas.</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VICIO INSUBSANABLE EN TRAMITE LEGISLATIVO</w:t>
      </w:r>
      <w:r w:rsidRPr="00635A00">
        <w:rPr>
          <w:rFonts w:ascii="Times New Roman" w:hAnsi="Times New Roman" w:cs="Times New Roman"/>
          <w:sz w:val="28"/>
          <w:szCs w:val="28"/>
        </w:rPr>
        <w:t xml:space="preserve">-Existencia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COSA JUZGADA CONSTITUCIONAL</w:t>
      </w:r>
      <w:r w:rsidRPr="00635A00">
        <w:rPr>
          <w:rFonts w:ascii="Times New Roman" w:hAnsi="Times New Roman" w:cs="Times New Roman"/>
          <w:sz w:val="28"/>
          <w:szCs w:val="28"/>
        </w:rPr>
        <w:t xml:space="preserve">-Inexistencia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ACCION DE INCONSTITUCIONALIDAD POR VICIOS DE FORMA</w:t>
      </w:r>
      <w:r w:rsidRPr="00635A00">
        <w:rPr>
          <w:rFonts w:ascii="Times New Roman" w:hAnsi="Times New Roman" w:cs="Times New Roman"/>
          <w:sz w:val="28"/>
          <w:szCs w:val="28"/>
        </w:rPr>
        <w:t xml:space="preserve">-Término de caducidad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DEMANDA DE INCONSTITUCIONALIDAD</w:t>
      </w:r>
      <w:r w:rsidRPr="00635A00">
        <w:rPr>
          <w:rFonts w:ascii="Times New Roman" w:hAnsi="Times New Roman" w:cs="Times New Roman"/>
          <w:sz w:val="28"/>
          <w:szCs w:val="28"/>
        </w:rPr>
        <w:t xml:space="preserve">-Improcedencia de pronunciamiento sobre nuevo cargo presentado por interviniente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LEY DEL PLAN NACIONAL DE DESARROLLO</w:t>
      </w:r>
      <w:r w:rsidRPr="00635A00">
        <w:rPr>
          <w:rFonts w:ascii="Times New Roman" w:hAnsi="Times New Roman" w:cs="Times New Roman"/>
          <w:sz w:val="28"/>
          <w:szCs w:val="28"/>
        </w:rPr>
        <w:t xml:space="preserve">-Naturaleza y contenido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LEY DEL PLAN NACIONAL DE DESARROLLO</w:t>
      </w:r>
      <w:r w:rsidRPr="00635A00">
        <w:rPr>
          <w:rFonts w:ascii="Times New Roman" w:hAnsi="Times New Roman" w:cs="Times New Roman"/>
          <w:sz w:val="28"/>
          <w:szCs w:val="28"/>
        </w:rPr>
        <w:t xml:space="preserve">-Elaboración y trámite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PUBLICIDAD EN EL TRÁMITE LEGISLATIVO</w:t>
      </w:r>
      <w:r w:rsidRPr="00635A00">
        <w:rPr>
          <w:rFonts w:ascii="Times New Roman" w:hAnsi="Times New Roman" w:cs="Times New Roman"/>
          <w:sz w:val="28"/>
          <w:szCs w:val="28"/>
        </w:rPr>
        <w:t>-Alcance e importancia</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i/>
          <w:iCs/>
          <w:sz w:val="28"/>
          <w:szCs w:val="28"/>
        </w:rPr>
        <w:t xml:space="preserve">El principio de publicidad que rige el trámite legislativo tiene importantes finalidades en el proceso de formación de la ley. Así, la jurisprudencia ha señalado que: (i) es una garantía de transparencia para el ejercicio deliberativo del Congreso; (ii) posibilita el debate democrático; (iii) brinda las condiciones necesarias para que la ciudadanía pueda conocer el proceso de formación de las leyes; y (iv) contribuye con el ejercicio del control político de los ciudadanos sobre sus representantes.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PUBLICIDAD EN EL TRÁMITE LEGISLATIVO</w:t>
      </w:r>
      <w:r w:rsidRPr="00635A00">
        <w:rPr>
          <w:rFonts w:ascii="Times New Roman" w:hAnsi="Times New Roman" w:cs="Times New Roman"/>
          <w:sz w:val="28"/>
          <w:szCs w:val="28"/>
        </w:rPr>
        <w:t xml:space="preserve">-Jurisprudencia Constitucional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PUBLICIDAD Y MODALIDADES DE NOTIFICACION DE PROPOSICIONES PRESENTADAS DURANTE LOS DEBATES LEGISLATIVOS</w:t>
      </w:r>
      <w:r w:rsidRPr="00635A00">
        <w:rPr>
          <w:rFonts w:ascii="Times New Roman" w:hAnsi="Times New Roman" w:cs="Times New Roman"/>
          <w:sz w:val="28"/>
          <w:szCs w:val="28"/>
        </w:rPr>
        <w:t xml:space="preserve">-Contenido y alcance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PUBLICIDAD EN EL TRÁMITE LEGISLATIVO</w:t>
      </w:r>
      <w:r w:rsidRPr="00635A00">
        <w:rPr>
          <w:rFonts w:ascii="Times New Roman" w:hAnsi="Times New Roman" w:cs="Times New Roman"/>
          <w:sz w:val="28"/>
          <w:szCs w:val="28"/>
        </w:rPr>
        <w:t xml:space="preserve">-Subreglas en relación con las proposiciones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PUBLICIDAD EN EL TRÁMITE LEGISLATIVO</w:t>
      </w:r>
      <w:r w:rsidRPr="00635A00">
        <w:rPr>
          <w:rFonts w:ascii="Times New Roman" w:hAnsi="Times New Roman" w:cs="Times New Roman"/>
          <w:sz w:val="28"/>
          <w:szCs w:val="28"/>
        </w:rPr>
        <w:t xml:space="preserve">-Lectura de proposición previa a votación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TRAMITE LEGISLATIVO</w:t>
      </w:r>
      <w:r w:rsidRPr="00635A00">
        <w:rPr>
          <w:rFonts w:ascii="Times New Roman" w:hAnsi="Times New Roman" w:cs="Times New Roman"/>
          <w:sz w:val="28"/>
          <w:szCs w:val="28"/>
        </w:rPr>
        <w:t>-Principio de publicidad, consecutividad e identidad</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i/>
          <w:iCs/>
          <w:sz w:val="28"/>
          <w:szCs w:val="28"/>
        </w:rPr>
        <w:t xml:space="preserve">(...) el principio de publicidad puede ser analizado en conexidad con el de consecutividad, en la medida en que este último exige que para que un proyecto se convierta en ley debe ser debatido y aprobado por las comisiones y plenarias de ambas células legislativas.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CONSECUTIVIDAD</w:t>
      </w:r>
      <w:r w:rsidRPr="00635A00">
        <w:rPr>
          <w:rFonts w:ascii="Times New Roman" w:hAnsi="Times New Roman" w:cs="Times New Roman"/>
          <w:sz w:val="28"/>
          <w:szCs w:val="28"/>
        </w:rPr>
        <w:t>-Alcance</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i/>
          <w:iCs/>
          <w:sz w:val="28"/>
          <w:szCs w:val="28"/>
        </w:rPr>
        <w:t>El respeto por el principio de consecutividad no implica que los proyectos de ley no puedan ser modificados a lo largo de su trámite. De hecho, la propia Constitución, en su artículo 160, permite que durante el segundo debate se introduzcan modificaciones, adiciones y supresiones al articulado en discusión. En desarrollo de este precepto, el Reglamento del Congreso establece que, en segundo debate, las plenarias de cada cámara pueden reformar los proyectos sin que por esto deban regresar a la respectiva comisión permanente en donde se surtió el primer debate, a menos que se adviertan serias discrepancias con lo que allí se aprobó.(...) No obstante, la posibilidad de las plenarias de reformar en segundo debate los proyectos aprobados por las comisiones en primer debate no es omnímoda, ya que, en todo caso, el principio de consecutividad exige garantizar que la materia sea debatida en todas las instancias del trámite legislativo</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PRINCIPIOS DE CONSECUTIVIDAD E IDENTIDAD FLEXIBLE EN LA APROBACION DE LA LEY DEL PLAN NACIONAL DE DESARROLLO</w:t>
      </w:r>
      <w:r w:rsidRPr="00635A00">
        <w:rPr>
          <w:rFonts w:ascii="Times New Roman" w:hAnsi="Times New Roman" w:cs="Times New Roman"/>
          <w:sz w:val="28"/>
          <w:szCs w:val="28"/>
        </w:rPr>
        <w:t xml:space="preserve">-Alcance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 DE CONSECUTIVIDAD</w:t>
      </w:r>
      <w:r w:rsidRPr="00635A00">
        <w:rPr>
          <w:rFonts w:ascii="Times New Roman" w:hAnsi="Times New Roman" w:cs="Times New Roman"/>
          <w:sz w:val="28"/>
          <w:szCs w:val="28"/>
        </w:rPr>
        <w:t xml:space="preserve">-Obligación de las comisiones y plenarias de estudiar y debatir los temas puestos a su consideración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PRINCIPIOS DE CONSECUTIVIDAD E IDENTIDAD EN TRAMITE LEGISLATIVO</w:t>
      </w:r>
      <w:r w:rsidRPr="00635A00">
        <w:rPr>
          <w:rFonts w:ascii="Times New Roman" w:hAnsi="Times New Roman" w:cs="Times New Roman"/>
          <w:sz w:val="28"/>
          <w:szCs w:val="28"/>
        </w:rPr>
        <w:t xml:space="preserve">-Vulneración produce inexequibilidad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b/>
          <w:bCs/>
          <w:sz w:val="28"/>
          <w:szCs w:val="28"/>
        </w:rPr>
        <w:t>VICIOS DE PROCEDIMIENTO EN TRAMITE LEGISLATIVO</w:t>
      </w:r>
      <w:r w:rsidRPr="00635A00">
        <w:rPr>
          <w:rFonts w:ascii="Times New Roman" w:hAnsi="Times New Roman" w:cs="Times New Roman"/>
          <w:sz w:val="28"/>
          <w:szCs w:val="28"/>
        </w:rPr>
        <w:t>-Carácter de subsanables e insubsanables</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383EC2">
      <w:pPr>
        <w:widowControl w:val="0"/>
        <w:autoSpaceDE w:val="0"/>
        <w:autoSpaceDN w:val="0"/>
        <w:adjustRightInd w:val="0"/>
        <w:spacing w:after="0" w:line="240" w:lineRule="auto"/>
        <w:jc w:val="both"/>
        <w:rPr>
          <w:rFonts w:ascii="Times New Roman" w:hAnsi="Times New Roman" w:cs="Times New Roman"/>
          <w:sz w:val="28"/>
          <w:szCs w:val="28"/>
        </w:rPr>
      </w:pPr>
      <w:r w:rsidRPr="00635A00">
        <w:rPr>
          <w:rFonts w:ascii="Times New Roman" w:hAnsi="Times New Roman" w:cs="Times New Roman"/>
          <w:i/>
          <w:iCs/>
          <w:sz w:val="28"/>
          <w:szCs w:val="28"/>
        </w:rPr>
        <w:t xml:space="preserve">La Corte ha señalado que para determinar en un caso concreto si un vicio de procedimiento es o no subsanable, debe valorarse: (i) si durante el trámite de expedición de la norma se surtieron las etapas básicas del proceso legislativo; (ii) cuál es la gravedad o trascendencia del vicio en la formación de la voluntad legislativa; (iii) qué impacto tuvo  el vicio en los derechos de las minorías parlamentarias; y (iv) el tipo de ley y la evolución que tuvo a lo largo de su recorrido por el Congreso.  Tratándose de leyes aprobatorias del PND, recientemente la Sala consideró que la posibilidad de subsanar los vicios de procedimiento en este tipo de normas exige que esté acreditado que (i) es posible subsanar el vicio, (ii) hay razones extraordinarias que justifican el saneamiento excepcional; y (iii) el vicio no afecta el principio democrático, la supremacía de la Constitución, la conservación del derecho y la prevalencia del derecho sustancial. </w:t>
      </w:r>
    </w:p>
    <w:p w:rsidR="00914DD2" w:rsidRPr="00635A00" w:rsidRDefault="00914DD2">
      <w:pPr>
        <w:widowControl w:val="0"/>
        <w:autoSpaceDE w:val="0"/>
        <w:autoSpaceDN w:val="0"/>
        <w:adjustRightInd w:val="0"/>
        <w:spacing w:after="0" w:line="240" w:lineRule="auto"/>
        <w:jc w:val="both"/>
        <w:rPr>
          <w:rFonts w:ascii="Times New Roman" w:hAnsi="Times New Roman" w:cs="Times New Roman"/>
          <w:sz w:val="28"/>
          <w:szCs w:val="28"/>
        </w:rPr>
      </w:pPr>
    </w:p>
    <w:p w:rsidR="00914DD2" w:rsidRPr="00635A00" w:rsidRDefault="00635A00">
      <w:pPr>
        <w:widowControl w:val="0"/>
        <w:autoSpaceDE w:val="0"/>
        <w:autoSpaceDN w:val="0"/>
        <w:adjustRightInd w:val="0"/>
        <w:spacing w:after="0" w:line="240" w:lineRule="auto"/>
        <w:jc w:val="both"/>
        <w:rPr>
          <w:rFonts w:ascii="Times New Roman" w:hAnsi="Times New Roman" w:cs="Times New Roman"/>
          <w:sz w:val="28"/>
        </w:rPr>
      </w:pPr>
      <w:r w:rsidRPr="00635A00">
        <w:rPr>
          <w:rFonts w:ascii="Times New Roman" w:hAnsi="Times New Roman" w:cs="Times New Roman"/>
          <w:sz w:val="28"/>
          <w:szCs w:val="28"/>
        </w:rPr>
        <w:pict>
          <v:rect id="_x0000_i1025" style="width:0;height:1.5pt" o:hralign="center" o:hrstd="t" o:hr="t" fillcolor="#a0a0a0" stroked="f"/>
        </w:pict>
      </w:r>
    </w:p>
    <w:p w:rsidR="00C3313F" w:rsidRPr="00635A00" w:rsidRDefault="00635A00" w:rsidP="00301B43">
      <w:pPr>
        <w:pStyle w:val="Ttulo"/>
        <w:ind w:left="708" w:right="0" w:hanging="708"/>
        <w:rPr>
          <w:rFonts w:ascii="Times New Roman" w:hAnsi="Times New Roman" w:cs="Times New Roman"/>
          <w:sz w:val="28"/>
          <w:szCs w:val="28"/>
          <w:lang w:val="es-CO"/>
        </w:rPr>
      </w:pPr>
      <w:r w:rsidRPr="00635A00">
        <w:rPr>
          <w:rFonts w:ascii="Times New Roman" w:hAnsi="Times New Roman" w:cs="Times New Roman"/>
          <w:sz w:val="28"/>
          <w:szCs w:val="28"/>
          <w:lang w:val="es-CO"/>
        </w:rPr>
        <w:t>REPÚBLICA DE COLOMBIA</w:t>
      </w:r>
    </w:p>
    <w:p w:rsidR="00C3313F" w:rsidRPr="00635A00" w:rsidRDefault="00635A00" w:rsidP="00301B43">
      <w:pPr>
        <w:jc w:val="center"/>
        <w:rPr>
          <w:rFonts w:ascii="Times New Roman" w:hAnsi="Times New Roman" w:cs="Times New Roman"/>
          <w:noProof/>
          <w:sz w:val="28"/>
          <w:szCs w:val="28"/>
          <w:lang w:val="es-ES" w:eastAsia="es-ES"/>
        </w:rPr>
      </w:pPr>
      <w:r w:rsidRPr="00635A00">
        <w:rPr>
          <w:rFonts w:ascii="Times New Roman" w:hAnsi="Times New Roman" w:cs="Times New Roman"/>
          <w:noProof/>
          <w:sz w:val="28"/>
          <w:szCs w:val="28"/>
        </w:rPr>
        <w:drawing>
          <wp:inline distT="0" distB="0" distL="0" distR="0" wp14:anchorId="6B5889EB" wp14:editId="44556A9D">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C3313F" w:rsidRPr="00635A00" w:rsidRDefault="00635A00" w:rsidP="00301B43">
      <w:pPr>
        <w:pStyle w:val="Descripcin"/>
        <w:ind w:right="0"/>
        <w:outlineLvl w:val="0"/>
        <w:rPr>
          <w:rFonts w:ascii="Times New Roman" w:hAnsi="Times New Roman" w:cs="Times New Roman"/>
          <w:szCs w:val="28"/>
          <w:lang w:val="es-CO"/>
        </w:rPr>
      </w:pPr>
      <w:r w:rsidRPr="00635A00">
        <w:rPr>
          <w:rFonts w:ascii="Times New Roman" w:hAnsi="Times New Roman" w:cs="Times New Roman"/>
          <w:szCs w:val="28"/>
          <w:lang w:val="es-CO"/>
        </w:rPr>
        <w:t>Corte Constitucional</w:t>
      </w:r>
    </w:p>
    <w:p w:rsidR="00C3313F" w:rsidRPr="00635A00" w:rsidRDefault="00635A00" w:rsidP="00301B43">
      <w:pPr>
        <w:jc w:val="center"/>
        <w:rPr>
          <w:rFonts w:ascii="Times New Roman" w:hAnsi="Times New Roman" w:cs="Times New Roman"/>
          <w:b/>
          <w:sz w:val="28"/>
          <w:szCs w:val="28"/>
        </w:rPr>
      </w:pPr>
      <w:r w:rsidRPr="00635A00">
        <w:rPr>
          <w:rFonts w:ascii="Times New Roman" w:hAnsi="Times New Roman" w:cs="Times New Roman"/>
          <w:b/>
          <w:sz w:val="28"/>
          <w:szCs w:val="28"/>
        </w:rPr>
        <w:t>-Sala Plena-</w:t>
      </w:r>
    </w:p>
    <w:p w:rsidR="00C3313F" w:rsidRPr="00635A00" w:rsidRDefault="00635A00" w:rsidP="00301B43">
      <w:pPr>
        <w:rPr>
          <w:rFonts w:ascii="Times New Roman" w:hAnsi="Times New Roman" w:cs="Times New Roman"/>
          <w:b/>
          <w:sz w:val="28"/>
          <w:szCs w:val="28"/>
        </w:rPr>
      </w:pPr>
    </w:p>
    <w:p w:rsidR="00C3313F" w:rsidRPr="00635A00" w:rsidRDefault="00635A00" w:rsidP="0024402C">
      <w:pPr>
        <w:jc w:val="center"/>
        <w:outlineLvl w:val="0"/>
        <w:rPr>
          <w:rFonts w:ascii="Times New Roman" w:hAnsi="Times New Roman" w:cs="Times New Roman"/>
          <w:b/>
          <w:iCs/>
          <w:sz w:val="28"/>
          <w:szCs w:val="28"/>
        </w:rPr>
      </w:pPr>
      <w:r w:rsidRPr="00635A00">
        <w:rPr>
          <w:rFonts w:ascii="Times New Roman" w:hAnsi="Times New Roman" w:cs="Times New Roman"/>
          <w:b/>
          <w:iCs/>
          <w:sz w:val="28"/>
          <w:szCs w:val="28"/>
        </w:rPr>
        <w:t>SENTENCIA C-</w:t>
      </w:r>
      <w:r w:rsidRPr="00635A00">
        <w:rPr>
          <w:rFonts w:ascii="Times New Roman" w:hAnsi="Times New Roman" w:cs="Times New Roman"/>
          <w:b/>
          <w:iCs/>
          <w:sz w:val="28"/>
          <w:szCs w:val="28"/>
        </w:rPr>
        <w:t>294</w:t>
      </w:r>
      <w:r w:rsidRPr="00635A00">
        <w:rPr>
          <w:rFonts w:ascii="Times New Roman" w:hAnsi="Times New Roman" w:cs="Times New Roman"/>
          <w:b/>
          <w:iCs/>
          <w:sz w:val="28"/>
          <w:szCs w:val="28"/>
        </w:rPr>
        <w:t xml:space="preserve"> </w:t>
      </w:r>
      <w:r w:rsidRPr="00635A00">
        <w:rPr>
          <w:rFonts w:ascii="Times New Roman" w:hAnsi="Times New Roman" w:cs="Times New Roman"/>
          <w:b/>
          <w:iCs/>
          <w:sz w:val="28"/>
          <w:szCs w:val="28"/>
        </w:rPr>
        <w:t>DE</w:t>
      </w:r>
      <w:r w:rsidRPr="00635A00">
        <w:rPr>
          <w:rFonts w:ascii="Times New Roman" w:hAnsi="Times New Roman" w:cs="Times New Roman"/>
          <w:b/>
          <w:iCs/>
          <w:sz w:val="28"/>
          <w:szCs w:val="28"/>
        </w:rPr>
        <w:t xml:space="preserve"> 202</w:t>
      </w:r>
      <w:r w:rsidRPr="00635A00">
        <w:rPr>
          <w:rFonts w:ascii="Times New Roman" w:hAnsi="Times New Roman" w:cs="Times New Roman"/>
          <w:b/>
          <w:iCs/>
          <w:sz w:val="28"/>
          <w:szCs w:val="28"/>
        </w:rPr>
        <w:t>4</w:t>
      </w:r>
    </w:p>
    <w:p w:rsidR="00C3313F" w:rsidRPr="00635A00" w:rsidRDefault="00635A00" w:rsidP="0024402C">
      <w:pPr>
        <w:ind w:left="3261"/>
        <w:rPr>
          <w:rFonts w:ascii="Times New Roman" w:hAnsi="Times New Roman" w:cs="Times New Roman"/>
          <w:b/>
          <w:sz w:val="28"/>
          <w:szCs w:val="28"/>
        </w:rPr>
      </w:pPr>
    </w:p>
    <w:p w:rsidR="00C3313F" w:rsidRPr="00635A00" w:rsidRDefault="00635A00" w:rsidP="0024402C">
      <w:pPr>
        <w:ind w:left="3261"/>
        <w:rPr>
          <w:rFonts w:ascii="Times New Roman" w:hAnsi="Times New Roman" w:cs="Times New Roman"/>
          <w:b/>
          <w:sz w:val="28"/>
          <w:szCs w:val="28"/>
        </w:rPr>
      </w:pPr>
    </w:p>
    <w:p w:rsidR="00C3313F" w:rsidRPr="00635A00" w:rsidRDefault="00635A00" w:rsidP="0024402C">
      <w:pPr>
        <w:ind w:left="4111"/>
        <w:rPr>
          <w:rFonts w:ascii="Times New Roman" w:hAnsi="Times New Roman" w:cs="Times New Roman"/>
          <w:sz w:val="28"/>
          <w:szCs w:val="28"/>
        </w:rPr>
      </w:pPr>
      <w:r w:rsidRPr="00635A00">
        <w:rPr>
          <w:rFonts w:ascii="Times New Roman" w:hAnsi="Times New Roman" w:cs="Times New Roman"/>
          <w:b/>
          <w:sz w:val="28"/>
          <w:szCs w:val="28"/>
        </w:rPr>
        <w:t xml:space="preserve">Referencia: </w:t>
      </w:r>
      <w:r w:rsidRPr="00635A00">
        <w:rPr>
          <w:rFonts w:ascii="Times New Roman" w:hAnsi="Times New Roman" w:cs="Times New Roman"/>
          <w:bCs/>
          <w:sz w:val="28"/>
          <w:szCs w:val="28"/>
        </w:rPr>
        <w:t xml:space="preserve">Expediente </w:t>
      </w:r>
      <w:r w:rsidRPr="00635A00">
        <w:rPr>
          <w:rFonts w:ascii="Times New Roman" w:hAnsi="Times New Roman" w:cs="Times New Roman"/>
          <w:sz w:val="28"/>
          <w:szCs w:val="28"/>
        </w:rPr>
        <w:t>D-</w:t>
      </w:r>
      <w:r w:rsidRPr="00635A00">
        <w:rPr>
          <w:rFonts w:ascii="Times New Roman" w:hAnsi="Times New Roman" w:cs="Times New Roman"/>
          <w:sz w:val="28"/>
          <w:szCs w:val="28"/>
        </w:rPr>
        <w:t>15</w:t>
      </w:r>
      <w:r w:rsidRPr="00635A00">
        <w:rPr>
          <w:rFonts w:ascii="Times New Roman" w:hAnsi="Times New Roman" w:cs="Times New Roman"/>
          <w:sz w:val="28"/>
          <w:szCs w:val="28"/>
        </w:rPr>
        <w:t>438 AC</w:t>
      </w:r>
    </w:p>
    <w:p w:rsidR="00C3313F" w:rsidRPr="00635A00" w:rsidRDefault="00635A00" w:rsidP="0024402C">
      <w:pPr>
        <w:ind w:left="4111"/>
        <w:jc w:val="both"/>
        <w:rPr>
          <w:rFonts w:ascii="Times New Roman" w:hAnsi="Times New Roman" w:cs="Times New Roman"/>
          <w:bCs/>
          <w:sz w:val="28"/>
          <w:szCs w:val="28"/>
        </w:rPr>
      </w:pPr>
    </w:p>
    <w:p w:rsidR="00C3313F" w:rsidRPr="00635A00" w:rsidRDefault="00635A00" w:rsidP="0024402C">
      <w:pPr>
        <w:ind w:left="4111"/>
        <w:jc w:val="both"/>
        <w:rPr>
          <w:rFonts w:ascii="Times New Roman" w:hAnsi="Times New Roman" w:cs="Times New Roman"/>
          <w:sz w:val="28"/>
          <w:szCs w:val="28"/>
        </w:rPr>
      </w:pPr>
      <w:r w:rsidRPr="00635A00">
        <w:rPr>
          <w:rFonts w:ascii="Times New Roman" w:hAnsi="Times New Roman" w:cs="Times New Roman"/>
          <w:bCs/>
          <w:sz w:val="28"/>
          <w:szCs w:val="28"/>
        </w:rPr>
        <w:t>Demanda</w:t>
      </w:r>
      <w:r w:rsidRPr="00635A00">
        <w:rPr>
          <w:rFonts w:ascii="Times New Roman" w:hAnsi="Times New Roman" w:cs="Times New Roman"/>
          <w:bCs/>
          <w:sz w:val="28"/>
          <w:szCs w:val="28"/>
        </w:rPr>
        <w:t>s</w:t>
      </w:r>
      <w:r w:rsidRPr="00635A00">
        <w:rPr>
          <w:rFonts w:ascii="Times New Roman" w:hAnsi="Times New Roman" w:cs="Times New Roman"/>
          <w:bCs/>
          <w:sz w:val="28"/>
          <w:szCs w:val="28"/>
        </w:rPr>
        <w:t xml:space="preserve"> de inconstitucionalidad contra </w:t>
      </w:r>
      <w:r w:rsidRPr="00635A00">
        <w:rPr>
          <w:rFonts w:ascii="Times New Roman" w:hAnsi="Times New Roman" w:cs="Times New Roman"/>
          <w:bCs/>
          <w:sz w:val="28"/>
          <w:szCs w:val="28"/>
        </w:rPr>
        <w:t xml:space="preserve">el </w:t>
      </w:r>
      <w:r w:rsidRPr="00635A00">
        <w:rPr>
          <w:rFonts w:ascii="Times New Roman" w:hAnsi="Times New Roman" w:cs="Times New Roman"/>
          <w:bCs/>
          <w:sz w:val="28"/>
          <w:szCs w:val="28"/>
        </w:rPr>
        <w:t>artículo 61</w:t>
      </w:r>
      <w:r w:rsidRPr="00635A00">
        <w:rPr>
          <w:rFonts w:ascii="Times New Roman" w:hAnsi="Times New Roman" w:cs="Times New Roman"/>
          <w:bCs/>
          <w:sz w:val="28"/>
          <w:szCs w:val="28"/>
        </w:rPr>
        <w:t xml:space="preserve"> </w:t>
      </w:r>
      <w:r w:rsidRPr="00635A00">
        <w:rPr>
          <w:rFonts w:ascii="Times New Roman" w:hAnsi="Times New Roman" w:cs="Times New Roman"/>
          <w:bCs/>
          <w:sz w:val="28"/>
          <w:szCs w:val="28"/>
        </w:rPr>
        <w:t xml:space="preserve">(parcial) </w:t>
      </w:r>
      <w:r w:rsidRPr="00635A00">
        <w:rPr>
          <w:rFonts w:ascii="Times New Roman" w:hAnsi="Times New Roman" w:cs="Times New Roman"/>
          <w:bCs/>
          <w:sz w:val="28"/>
          <w:szCs w:val="28"/>
        </w:rPr>
        <w:t>de la Ley 22</w:t>
      </w:r>
      <w:r w:rsidRPr="00635A00">
        <w:rPr>
          <w:rFonts w:ascii="Times New Roman" w:hAnsi="Times New Roman" w:cs="Times New Roman"/>
          <w:bCs/>
          <w:sz w:val="28"/>
          <w:szCs w:val="28"/>
        </w:rPr>
        <w:t>94</w:t>
      </w:r>
      <w:r w:rsidRPr="00635A00">
        <w:rPr>
          <w:rFonts w:ascii="Times New Roman" w:hAnsi="Times New Roman" w:cs="Times New Roman"/>
          <w:bCs/>
          <w:sz w:val="28"/>
          <w:szCs w:val="28"/>
        </w:rPr>
        <w:t xml:space="preserve"> de 202</w:t>
      </w:r>
      <w:r w:rsidRPr="00635A00">
        <w:rPr>
          <w:rFonts w:ascii="Times New Roman" w:hAnsi="Times New Roman" w:cs="Times New Roman"/>
          <w:bCs/>
          <w:sz w:val="28"/>
          <w:szCs w:val="28"/>
        </w:rPr>
        <w:t>3</w:t>
      </w:r>
      <w:r w:rsidRPr="00635A00">
        <w:rPr>
          <w:rFonts w:ascii="Times New Roman" w:hAnsi="Times New Roman" w:cs="Times New Roman"/>
          <w:bCs/>
          <w:sz w:val="28"/>
          <w:szCs w:val="28"/>
        </w:rPr>
        <w:t xml:space="preserve">, </w:t>
      </w:r>
      <w:r w:rsidRPr="00635A00">
        <w:rPr>
          <w:rFonts w:ascii="Times New Roman" w:hAnsi="Times New Roman" w:cs="Times New Roman"/>
          <w:sz w:val="28"/>
          <w:szCs w:val="28"/>
        </w:rPr>
        <w:t>“[p]</w:t>
      </w:r>
      <w:r w:rsidRPr="00635A00">
        <w:rPr>
          <w:rFonts w:ascii="Times New Roman" w:hAnsi="Times New Roman" w:cs="Times New Roman"/>
          <w:sz w:val="28"/>
          <w:szCs w:val="28"/>
        </w:rPr>
        <w:t>or [la] cual se expide el Plan Nacional de Desarrollo 2022-2026 ‘Colombia Potencia Mundial de la Vida’</w:t>
      </w:r>
      <w:r w:rsidRPr="00635A00">
        <w:rPr>
          <w:rFonts w:ascii="Times New Roman" w:hAnsi="Times New Roman" w:cs="Times New Roman"/>
          <w:sz w:val="28"/>
          <w:szCs w:val="28"/>
        </w:rPr>
        <w:t>”</w:t>
      </w:r>
    </w:p>
    <w:p w:rsidR="00C3313F" w:rsidRPr="00635A00" w:rsidRDefault="00635A00" w:rsidP="0024402C">
      <w:pPr>
        <w:ind w:left="4111"/>
        <w:jc w:val="both"/>
        <w:rPr>
          <w:rFonts w:ascii="Times New Roman" w:hAnsi="Times New Roman" w:cs="Times New Roman"/>
          <w:bCs/>
          <w:sz w:val="28"/>
          <w:szCs w:val="28"/>
        </w:rPr>
      </w:pPr>
    </w:p>
    <w:p w:rsidR="00C63EFA" w:rsidRPr="00635A00" w:rsidRDefault="00635A00" w:rsidP="0024402C">
      <w:pPr>
        <w:ind w:left="4111"/>
        <w:jc w:val="both"/>
        <w:rPr>
          <w:rFonts w:ascii="Times New Roman" w:hAnsi="Times New Roman" w:cs="Times New Roman"/>
          <w:bCs/>
          <w:sz w:val="28"/>
          <w:szCs w:val="28"/>
        </w:rPr>
      </w:pPr>
      <w:r w:rsidRPr="00635A00">
        <w:rPr>
          <w:rFonts w:ascii="Times New Roman" w:hAnsi="Times New Roman" w:cs="Times New Roman"/>
          <w:b/>
          <w:sz w:val="28"/>
          <w:szCs w:val="28"/>
        </w:rPr>
        <w:t>Actor</w:t>
      </w:r>
      <w:r w:rsidRPr="00635A00">
        <w:rPr>
          <w:rFonts w:ascii="Times New Roman" w:hAnsi="Times New Roman" w:cs="Times New Roman"/>
          <w:b/>
          <w:sz w:val="28"/>
          <w:szCs w:val="28"/>
        </w:rPr>
        <w:t>es</w:t>
      </w:r>
      <w:r w:rsidRPr="00635A00">
        <w:rPr>
          <w:rFonts w:ascii="Times New Roman" w:hAnsi="Times New Roman" w:cs="Times New Roman"/>
          <w:b/>
          <w:sz w:val="28"/>
          <w:szCs w:val="28"/>
        </w:rPr>
        <w:t>:</w:t>
      </w:r>
    </w:p>
    <w:p w:rsidR="00C3313F" w:rsidRPr="00635A00" w:rsidRDefault="00635A00" w:rsidP="0024402C">
      <w:pPr>
        <w:ind w:left="4111"/>
        <w:jc w:val="both"/>
        <w:rPr>
          <w:rFonts w:ascii="Times New Roman" w:hAnsi="Times New Roman" w:cs="Times New Roman"/>
          <w:bCs/>
          <w:sz w:val="28"/>
          <w:szCs w:val="28"/>
        </w:rPr>
      </w:pPr>
      <w:r w:rsidRPr="00635A00">
        <w:rPr>
          <w:rFonts w:ascii="Times New Roman" w:hAnsi="Times New Roman" w:cs="Times New Roman"/>
          <w:bCs/>
          <w:sz w:val="28"/>
          <w:szCs w:val="28"/>
        </w:rPr>
        <w:t xml:space="preserve">Guillermo </w:t>
      </w:r>
      <w:r w:rsidRPr="00635A00">
        <w:rPr>
          <w:rFonts w:ascii="Times New Roman" w:hAnsi="Times New Roman" w:cs="Times New Roman"/>
          <w:bCs/>
          <w:sz w:val="28"/>
          <w:szCs w:val="28"/>
        </w:rPr>
        <w:t>Forero Álvarez</w:t>
      </w:r>
    </w:p>
    <w:p w:rsidR="00AE2488" w:rsidRPr="00635A00" w:rsidRDefault="00635A00" w:rsidP="0024402C">
      <w:pPr>
        <w:ind w:left="4111"/>
        <w:jc w:val="both"/>
        <w:rPr>
          <w:rFonts w:ascii="Times New Roman" w:hAnsi="Times New Roman" w:cs="Times New Roman"/>
          <w:bCs/>
          <w:sz w:val="28"/>
          <w:szCs w:val="28"/>
        </w:rPr>
      </w:pPr>
      <w:r w:rsidRPr="00635A00">
        <w:rPr>
          <w:rFonts w:ascii="Times New Roman" w:hAnsi="Times New Roman" w:cs="Times New Roman"/>
          <w:bCs/>
          <w:sz w:val="28"/>
          <w:szCs w:val="28"/>
        </w:rPr>
        <w:t>Julián Andrés Pimiento Echeverri</w:t>
      </w:r>
    </w:p>
    <w:p w:rsidR="00C3313F" w:rsidRPr="00635A00" w:rsidRDefault="00635A00" w:rsidP="0024402C">
      <w:pPr>
        <w:ind w:left="4111"/>
        <w:rPr>
          <w:rFonts w:ascii="Times New Roman" w:hAnsi="Times New Roman" w:cs="Times New Roman"/>
          <w:sz w:val="28"/>
          <w:szCs w:val="28"/>
        </w:rPr>
      </w:pPr>
    </w:p>
    <w:p w:rsidR="00C63EFA" w:rsidRPr="00635A00" w:rsidRDefault="00635A00" w:rsidP="0024402C">
      <w:pPr>
        <w:ind w:left="4111"/>
        <w:rPr>
          <w:rFonts w:ascii="Times New Roman" w:hAnsi="Times New Roman" w:cs="Times New Roman"/>
          <w:b/>
          <w:sz w:val="28"/>
          <w:szCs w:val="28"/>
        </w:rPr>
      </w:pPr>
      <w:r w:rsidRPr="00635A00">
        <w:rPr>
          <w:rFonts w:ascii="Times New Roman" w:hAnsi="Times New Roman" w:cs="Times New Roman"/>
          <w:b/>
          <w:sz w:val="28"/>
          <w:szCs w:val="28"/>
        </w:rPr>
        <w:t>Magistrad</w:t>
      </w:r>
      <w:r w:rsidRPr="00635A00">
        <w:rPr>
          <w:rFonts w:ascii="Times New Roman" w:hAnsi="Times New Roman" w:cs="Times New Roman"/>
          <w:b/>
          <w:sz w:val="28"/>
          <w:szCs w:val="28"/>
        </w:rPr>
        <w:t>a</w:t>
      </w:r>
      <w:r w:rsidRPr="00635A00">
        <w:rPr>
          <w:rFonts w:ascii="Times New Roman" w:hAnsi="Times New Roman" w:cs="Times New Roman"/>
          <w:b/>
          <w:sz w:val="28"/>
          <w:szCs w:val="28"/>
        </w:rPr>
        <w:t xml:space="preserve"> ponente:</w:t>
      </w:r>
    </w:p>
    <w:p w:rsidR="00C3313F" w:rsidRPr="00635A00" w:rsidRDefault="00635A00" w:rsidP="0024402C">
      <w:pPr>
        <w:ind w:left="4111"/>
        <w:rPr>
          <w:rFonts w:ascii="Times New Roman" w:hAnsi="Times New Roman" w:cs="Times New Roman"/>
          <w:sz w:val="28"/>
          <w:szCs w:val="28"/>
        </w:rPr>
      </w:pPr>
      <w:r w:rsidRPr="00635A00">
        <w:rPr>
          <w:rFonts w:ascii="Times New Roman" w:hAnsi="Times New Roman" w:cs="Times New Roman"/>
          <w:sz w:val="28"/>
          <w:szCs w:val="28"/>
        </w:rPr>
        <w:t>Natalia Ángel Cabo</w:t>
      </w:r>
    </w:p>
    <w:p w:rsidR="00C3313F" w:rsidRPr="00635A00" w:rsidRDefault="00635A00" w:rsidP="0024402C">
      <w:pPr>
        <w:rPr>
          <w:rFonts w:ascii="Times New Roman" w:hAnsi="Times New Roman" w:cs="Times New Roman"/>
          <w:sz w:val="28"/>
          <w:szCs w:val="28"/>
        </w:rPr>
      </w:pPr>
    </w:p>
    <w:p w:rsidR="00C3313F" w:rsidRPr="00635A00" w:rsidRDefault="00635A00" w:rsidP="0024402C">
      <w:pPr>
        <w:rPr>
          <w:rFonts w:ascii="Times New Roman" w:hAnsi="Times New Roman" w:cs="Times New Roman"/>
          <w:sz w:val="28"/>
          <w:szCs w:val="28"/>
        </w:rPr>
      </w:pPr>
      <w:r w:rsidRPr="00635A00">
        <w:rPr>
          <w:rFonts w:ascii="Times New Roman" w:hAnsi="Times New Roman" w:cs="Times New Roman"/>
          <w:sz w:val="28"/>
          <w:szCs w:val="28"/>
        </w:rPr>
        <w:t xml:space="preserve">Bogotá, D. C., </w:t>
      </w:r>
      <w:r w:rsidRPr="00635A00">
        <w:rPr>
          <w:rFonts w:ascii="Times New Roman" w:hAnsi="Times New Roman" w:cs="Times New Roman"/>
          <w:sz w:val="28"/>
          <w:szCs w:val="28"/>
        </w:rPr>
        <w:t>dieciocho (18)</w:t>
      </w:r>
      <w:r w:rsidRPr="00635A00">
        <w:rPr>
          <w:rFonts w:ascii="Times New Roman" w:hAnsi="Times New Roman" w:cs="Times New Roman"/>
          <w:sz w:val="28"/>
          <w:szCs w:val="28"/>
        </w:rPr>
        <w:t xml:space="preserve"> de </w:t>
      </w:r>
      <w:r w:rsidRPr="00635A00">
        <w:rPr>
          <w:rFonts w:ascii="Times New Roman" w:hAnsi="Times New Roman" w:cs="Times New Roman"/>
          <w:sz w:val="28"/>
          <w:szCs w:val="28"/>
        </w:rPr>
        <w:t>julio</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de dos mil veinti</w:t>
      </w:r>
      <w:r w:rsidRPr="00635A00">
        <w:rPr>
          <w:rFonts w:ascii="Times New Roman" w:hAnsi="Times New Roman" w:cs="Times New Roman"/>
          <w:sz w:val="28"/>
          <w:szCs w:val="28"/>
        </w:rPr>
        <w:t>cuatro</w:t>
      </w:r>
      <w:r w:rsidRPr="00635A00">
        <w:rPr>
          <w:rFonts w:ascii="Times New Roman" w:hAnsi="Times New Roman" w:cs="Times New Roman"/>
          <w:sz w:val="28"/>
          <w:szCs w:val="28"/>
        </w:rPr>
        <w:t xml:space="preserve"> (202</w:t>
      </w:r>
      <w:r w:rsidRPr="00635A00">
        <w:rPr>
          <w:rFonts w:ascii="Times New Roman" w:hAnsi="Times New Roman" w:cs="Times New Roman"/>
          <w:sz w:val="28"/>
          <w:szCs w:val="28"/>
        </w:rPr>
        <w:t>4</w:t>
      </w:r>
      <w:r w:rsidRPr="00635A00">
        <w:rPr>
          <w:rFonts w:ascii="Times New Roman" w:hAnsi="Times New Roman" w:cs="Times New Roman"/>
          <w:sz w:val="28"/>
          <w:szCs w:val="28"/>
        </w:rPr>
        <w:t>)</w:t>
      </w:r>
    </w:p>
    <w:p w:rsidR="00C3313F" w:rsidRPr="00635A00" w:rsidRDefault="00635A00" w:rsidP="0024402C">
      <w:pPr>
        <w:rPr>
          <w:rFonts w:ascii="Times New Roman" w:hAnsi="Times New Roman" w:cs="Times New Roman"/>
          <w:sz w:val="28"/>
          <w:szCs w:val="28"/>
        </w:rPr>
      </w:pPr>
    </w:p>
    <w:p w:rsidR="00C3313F" w:rsidRPr="00635A00" w:rsidRDefault="00635A00" w:rsidP="0024402C">
      <w:pPr>
        <w:jc w:val="both"/>
        <w:rPr>
          <w:rFonts w:ascii="Times New Roman" w:hAnsi="Times New Roman" w:cs="Times New Roman"/>
          <w:sz w:val="28"/>
        </w:rPr>
      </w:pPr>
      <w:r w:rsidRPr="00635A00">
        <w:rPr>
          <w:rFonts w:ascii="Times New Roman" w:hAnsi="Times New Roman" w:cs="Times New Roman"/>
          <w:sz w:val="28"/>
          <w:szCs w:val="28"/>
          <w:shd w:val="clear" w:color="auto" w:fill="FFFFFF"/>
        </w:rPr>
        <w:t>La Sala Plena de la Corte Constitucional</w:t>
      </w:r>
      <w:r w:rsidRPr="00635A00">
        <w:rPr>
          <w:rFonts w:ascii="Times New Roman" w:hAnsi="Times New Roman" w:cs="Times New Roman"/>
          <w:sz w:val="28"/>
          <w:szCs w:val="28"/>
          <w:shd w:val="clear" w:color="auto" w:fill="FFFFFF"/>
        </w:rPr>
        <w:t>,</w:t>
      </w:r>
      <w:r w:rsidRPr="00635A00">
        <w:rPr>
          <w:rFonts w:ascii="Times New Roman" w:hAnsi="Times New Roman" w:cs="Times New Roman"/>
          <w:sz w:val="28"/>
          <w:szCs w:val="28"/>
          <w:shd w:val="clear" w:color="auto" w:fill="FFFFFF"/>
        </w:rPr>
        <w:t xml:space="preserve"> en ejercicio de sus competencias constitucionales y en cumplimiento de los requisitos y trámites establecidos en el Decreto Ley 2067 de 1991, profiere la siguiente </w:t>
      </w:r>
    </w:p>
    <w:p w:rsidR="00C3313F" w:rsidRPr="00635A00" w:rsidRDefault="00635A00" w:rsidP="0024402C">
      <w:pPr>
        <w:rPr>
          <w:rFonts w:ascii="Times New Roman" w:hAnsi="Times New Roman" w:cs="Times New Roman"/>
          <w:sz w:val="28"/>
          <w:szCs w:val="28"/>
        </w:rPr>
      </w:pPr>
    </w:p>
    <w:p w:rsidR="00C3313F" w:rsidRPr="00635A00" w:rsidRDefault="00635A00" w:rsidP="0024402C">
      <w:pPr>
        <w:jc w:val="center"/>
        <w:rPr>
          <w:rFonts w:ascii="Times New Roman" w:hAnsi="Times New Roman" w:cs="Times New Roman"/>
          <w:b/>
          <w:sz w:val="28"/>
          <w:szCs w:val="28"/>
        </w:rPr>
      </w:pPr>
      <w:r w:rsidRPr="00635A00">
        <w:rPr>
          <w:rFonts w:ascii="Times New Roman" w:hAnsi="Times New Roman" w:cs="Times New Roman"/>
          <w:b/>
          <w:sz w:val="28"/>
          <w:szCs w:val="28"/>
        </w:rPr>
        <w:t>SENTENCIA</w:t>
      </w:r>
      <w:r w:rsidRPr="00635A00">
        <w:rPr>
          <w:rFonts w:ascii="Times New Roman" w:hAnsi="Times New Roman" w:cs="Times New Roman"/>
          <w:b/>
          <w:sz w:val="28"/>
          <w:szCs w:val="28"/>
        </w:rPr>
        <w:t>.</w:t>
      </w:r>
    </w:p>
    <w:p w:rsidR="00C3313F" w:rsidRPr="00635A00" w:rsidRDefault="00635A00" w:rsidP="003F12F4">
      <w:pPr>
        <w:rPr>
          <w:rFonts w:ascii="Times New Roman" w:hAnsi="Times New Roman" w:cs="Times New Roman"/>
          <w:b/>
          <w:sz w:val="28"/>
          <w:szCs w:val="28"/>
        </w:rPr>
      </w:pPr>
    </w:p>
    <w:p w:rsidR="003F12F4" w:rsidRPr="00635A00" w:rsidRDefault="00635A00" w:rsidP="003F12F4">
      <w:pPr>
        <w:rPr>
          <w:rFonts w:ascii="Times New Roman" w:hAnsi="Times New Roman" w:cs="Times New Roman"/>
          <w:b/>
          <w:sz w:val="28"/>
          <w:szCs w:val="28"/>
        </w:rPr>
      </w:pPr>
      <w:r w:rsidRPr="00635A00">
        <w:rPr>
          <w:rFonts w:ascii="Times New Roman" w:hAnsi="Times New Roman" w:cs="Times New Roman"/>
          <w:b/>
          <w:sz w:val="28"/>
          <w:szCs w:val="28"/>
        </w:rPr>
        <w:t>Síntesis de la decisión</w:t>
      </w:r>
    </w:p>
    <w:p w:rsidR="003F12F4" w:rsidRPr="00635A00" w:rsidRDefault="00635A00" w:rsidP="003F12F4">
      <w:pPr>
        <w:rPr>
          <w:rFonts w:ascii="Times New Roman" w:hAnsi="Times New Roman" w:cs="Times New Roman"/>
          <w:b/>
          <w:sz w:val="28"/>
          <w:szCs w:val="28"/>
        </w:rPr>
      </w:pPr>
    </w:p>
    <w:p w:rsidR="00FD77AC" w:rsidRPr="00635A00" w:rsidRDefault="00635A00" w:rsidP="00FD77AC">
      <w:pPr>
        <w:jc w:val="both"/>
        <w:rPr>
          <w:rFonts w:ascii="Times New Roman" w:hAnsi="Times New Roman" w:cs="Times New Roman"/>
          <w:bCs/>
          <w:sz w:val="28"/>
          <w:szCs w:val="28"/>
        </w:rPr>
      </w:pPr>
      <w:r w:rsidRPr="00635A00">
        <w:rPr>
          <w:rFonts w:ascii="Times New Roman" w:hAnsi="Times New Roman" w:cs="Times New Roman"/>
          <w:bCs/>
          <w:sz w:val="28"/>
          <w:szCs w:val="28"/>
        </w:rPr>
        <w:t>La Sala Plena estudió dos demandas de inconstitucion</w:t>
      </w:r>
      <w:r w:rsidRPr="00635A00">
        <w:rPr>
          <w:rFonts w:ascii="Times New Roman" w:hAnsi="Times New Roman" w:cs="Times New Roman"/>
          <w:bCs/>
          <w:sz w:val="28"/>
          <w:szCs w:val="28"/>
        </w:rPr>
        <w:t>alidad formuladas contra el numeral 6 y el parágrafo 3 del artículo 61 de la Ley 2294 de 2023, que modificaban el trámite de algunos procesos agrarios. En concreto, las normas acusadas eliminaban la fase judicial que prevé el Decreto Ley 902 de 2017 para e</w:t>
      </w:r>
      <w:r w:rsidRPr="00635A00">
        <w:rPr>
          <w:rFonts w:ascii="Times New Roman" w:hAnsi="Times New Roman" w:cs="Times New Roman"/>
          <w:bCs/>
          <w:sz w:val="28"/>
          <w:szCs w:val="28"/>
        </w:rPr>
        <w:t>l desarrollo de los siguientes procesos: clarificación de la propiedad, deslinde y recuperación de baldíos, extinción judicial del dominio sobre tierras incultas, caducidad administrativa, condición resolutoria del subsidio, reversión y revocatoria de titu</w:t>
      </w:r>
      <w:r w:rsidRPr="00635A00">
        <w:rPr>
          <w:rFonts w:ascii="Times New Roman" w:hAnsi="Times New Roman" w:cs="Times New Roman"/>
          <w:bCs/>
          <w:sz w:val="28"/>
          <w:szCs w:val="28"/>
        </w:rPr>
        <w:t>lación de baldíos.</w:t>
      </w:r>
      <w:r w:rsidRPr="00635A00">
        <w:rPr>
          <w:rFonts w:ascii="Times New Roman" w:hAnsi="Times New Roman" w:cs="Times New Roman"/>
          <w:bCs/>
          <w:sz w:val="28"/>
          <w:szCs w:val="28"/>
        </w:rPr>
        <w:t xml:space="preserve"> </w:t>
      </w:r>
      <w:r w:rsidRPr="00635A00">
        <w:rPr>
          <w:rFonts w:ascii="Times New Roman" w:hAnsi="Times New Roman" w:cs="Times New Roman"/>
          <w:bCs/>
          <w:sz w:val="28"/>
          <w:szCs w:val="28"/>
        </w:rPr>
        <w:t xml:space="preserve">La Corte recordó que el citado Decreto Ley modificado por las normas cuestionadas se expidió </w:t>
      </w:r>
      <w:r w:rsidRPr="00635A00">
        <w:rPr>
          <w:rFonts w:ascii="Times New Roman" w:hAnsi="Times New Roman" w:cs="Times New Roman"/>
          <w:bCs/>
          <w:sz w:val="28"/>
          <w:szCs w:val="28"/>
        </w:rPr>
        <w:t xml:space="preserve">con el objeto de implementar </w:t>
      </w:r>
      <w:r w:rsidRPr="00635A00">
        <w:rPr>
          <w:rFonts w:ascii="Times New Roman" w:hAnsi="Times New Roman" w:cs="Times New Roman"/>
          <w:bCs/>
          <w:sz w:val="28"/>
          <w:szCs w:val="28"/>
        </w:rPr>
        <w:t xml:space="preserve">el Acuerdo Final </w:t>
      </w:r>
      <w:r w:rsidRPr="00635A00">
        <w:rPr>
          <w:rFonts w:ascii="Times New Roman" w:hAnsi="Times New Roman" w:cs="Times New Roman"/>
          <w:bCs/>
          <w:sz w:val="28"/>
          <w:szCs w:val="28"/>
        </w:rPr>
        <w:t>para la Terminación del Conflicto y la Construcción de una</w:t>
      </w:r>
      <w:r w:rsidRPr="00635A00">
        <w:rPr>
          <w:rFonts w:ascii="Times New Roman" w:hAnsi="Times New Roman" w:cs="Times New Roman"/>
          <w:bCs/>
          <w:sz w:val="28"/>
          <w:szCs w:val="28"/>
        </w:rPr>
        <w:t xml:space="preserve"> </w:t>
      </w:r>
      <w:r w:rsidRPr="00635A00">
        <w:rPr>
          <w:rFonts w:ascii="Times New Roman" w:hAnsi="Times New Roman" w:cs="Times New Roman"/>
          <w:sz w:val="28"/>
          <w:szCs w:val="28"/>
        </w:rPr>
        <w:t>Paz</w:t>
      </w:r>
      <w:r w:rsidRPr="00635A00">
        <w:rPr>
          <w:rFonts w:ascii="Times New Roman" w:hAnsi="Times New Roman" w:cs="Times New Roman"/>
          <w:b/>
          <w:bCs/>
          <w:sz w:val="28"/>
          <w:szCs w:val="28"/>
        </w:rPr>
        <w:t xml:space="preserve"> </w:t>
      </w:r>
      <w:r w:rsidRPr="00635A00">
        <w:rPr>
          <w:rFonts w:ascii="Times New Roman" w:hAnsi="Times New Roman" w:cs="Times New Roman"/>
          <w:bCs/>
          <w:sz w:val="28"/>
          <w:szCs w:val="28"/>
        </w:rPr>
        <w:t>Estable y Duradera</w:t>
      </w:r>
      <w:r w:rsidRPr="00635A00">
        <w:rPr>
          <w:rFonts w:ascii="Times New Roman" w:hAnsi="Times New Roman" w:cs="Times New Roman"/>
          <w:bCs/>
          <w:sz w:val="28"/>
          <w:szCs w:val="28"/>
        </w:rPr>
        <w:t xml:space="preserve">, asunto que, por su </w:t>
      </w:r>
      <w:r w:rsidRPr="00635A00">
        <w:rPr>
          <w:rFonts w:ascii="Times New Roman" w:hAnsi="Times New Roman" w:cs="Times New Roman"/>
          <w:bCs/>
          <w:sz w:val="28"/>
          <w:szCs w:val="28"/>
        </w:rPr>
        <w:t xml:space="preserve">trascendencia para </w:t>
      </w:r>
      <w:r w:rsidRPr="00635A00">
        <w:rPr>
          <w:rFonts w:ascii="Times New Roman" w:hAnsi="Times New Roman" w:cs="Times New Roman"/>
          <w:bCs/>
          <w:sz w:val="28"/>
          <w:szCs w:val="28"/>
        </w:rPr>
        <w:t>el país, ameritaba especial atención y cuidado</w:t>
      </w:r>
      <w:r w:rsidRPr="00635A00">
        <w:rPr>
          <w:rFonts w:ascii="Times New Roman" w:hAnsi="Times New Roman" w:cs="Times New Roman"/>
          <w:bCs/>
          <w:sz w:val="28"/>
          <w:szCs w:val="28"/>
        </w:rPr>
        <w:t xml:space="preserve"> en el control de constitucionalidad.</w:t>
      </w:r>
    </w:p>
    <w:p w:rsidR="00A92D64" w:rsidRPr="00635A00" w:rsidRDefault="00635A00" w:rsidP="00FD77AC">
      <w:pPr>
        <w:jc w:val="both"/>
        <w:rPr>
          <w:rFonts w:ascii="Times New Roman" w:hAnsi="Times New Roman" w:cs="Times New Roman"/>
          <w:bCs/>
          <w:sz w:val="28"/>
          <w:szCs w:val="28"/>
        </w:rPr>
      </w:pPr>
    </w:p>
    <w:p w:rsidR="00FD77AC" w:rsidRPr="00635A00" w:rsidRDefault="00635A00" w:rsidP="00FD77AC">
      <w:pPr>
        <w:jc w:val="both"/>
        <w:rPr>
          <w:rFonts w:ascii="Times New Roman" w:hAnsi="Times New Roman" w:cs="Times New Roman"/>
          <w:bCs/>
          <w:sz w:val="28"/>
          <w:szCs w:val="28"/>
        </w:rPr>
      </w:pPr>
      <w:r w:rsidRPr="00635A00">
        <w:rPr>
          <w:rFonts w:ascii="Times New Roman" w:hAnsi="Times New Roman" w:cs="Times New Roman"/>
          <w:bCs/>
          <w:sz w:val="28"/>
          <w:szCs w:val="28"/>
        </w:rPr>
        <w:t>Los demandantes propusieron cuatro cargos de inconstitucionalidad: dos por vicios en el proceso de formación de la ley y dos cuesti</w:t>
      </w:r>
      <w:r w:rsidRPr="00635A00">
        <w:rPr>
          <w:rFonts w:ascii="Times New Roman" w:hAnsi="Times New Roman" w:cs="Times New Roman"/>
          <w:bCs/>
          <w:sz w:val="28"/>
          <w:szCs w:val="28"/>
        </w:rPr>
        <w:t>onamientos de fondo. La Sala Plena sólo examinó los dos primeros cargos al constatar que se incurrió en vicios de trámite insubsanables, tal y como se pasa a explicar.</w:t>
      </w:r>
    </w:p>
    <w:p w:rsidR="00FD77AC" w:rsidRPr="00635A00" w:rsidRDefault="00635A00" w:rsidP="00FD77AC">
      <w:pPr>
        <w:jc w:val="both"/>
        <w:rPr>
          <w:rFonts w:ascii="Times New Roman" w:hAnsi="Times New Roman" w:cs="Times New Roman"/>
          <w:bCs/>
          <w:sz w:val="28"/>
          <w:szCs w:val="28"/>
        </w:rPr>
      </w:pPr>
    </w:p>
    <w:p w:rsidR="00FD77AC" w:rsidRPr="00635A00" w:rsidRDefault="00635A00" w:rsidP="00FD77AC">
      <w:pPr>
        <w:jc w:val="both"/>
        <w:rPr>
          <w:rFonts w:ascii="Times New Roman" w:hAnsi="Times New Roman" w:cs="Times New Roman"/>
          <w:sz w:val="28"/>
          <w:szCs w:val="28"/>
        </w:rPr>
      </w:pPr>
      <w:r w:rsidRPr="00635A00">
        <w:rPr>
          <w:rFonts w:ascii="Times New Roman" w:hAnsi="Times New Roman" w:cs="Times New Roman"/>
          <w:sz w:val="28"/>
          <w:szCs w:val="28"/>
        </w:rPr>
        <w:t>De forma inicial, la Corte analizó si se desconoció el principio de publicidad en el se</w:t>
      </w:r>
      <w:r w:rsidRPr="00635A00">
        <w:rPr>
          <w:rFonts w:ascii="Times New Roman" w:hAnsi="Times New Roman" w:cs="Times New Roman"/>
          <w:sz w:val="28"/>
          <w:szCs w:val="28"/>
        </w:rPr>
        <w:t>gundo debate llevado a cabo en la plenaria del Senado porque, según la demanda, los senadores no conocieron ni tuvieron la oportunidad de conocer el contenido de la proposición a través de la cual se introdujeron las normas demandadas al proyecto de ley.</w:t>
      </w:r>
    </w:p>
    <w:p w:rsidR="00FD77AC" w:rsidRPr="00635A00" w:rsidRDefault="00635A00" w:rsidP="00FD77AC">
      <w:pPr>
        <w:jc w:val="both"/>
        <w:rPr>
          <w:rFonts w:ascii="Times New Roman" w:hAnsi="Times New Roman" w:cs="Times New Roman"/>
          <w:sz w:val="28"/>
          <w:szCs w:val="28"/>
        </w:rPr>
      </w:pPr>
    </w:p>
    <w:p w:rsidR="00FD77AC" w:rsidRPr="00635A00" w:rsidRDefault="00635A00" w:rsidP="00FD77AC">
      <w:pPr>
        <w:jc w:val="both"/>
        <w:rPr>
          <w:rFonts w:ascii="Times New Roman" w:hAnsi="Times New Roman" w:cs="Times New Roman"/>
          <w:sz w:val="28"/>
          <w:szCs w:val="28"/>
        </w:rPr>
      </w:pPr>
      <w:r w:rsidRPr="00635A00">
        <w:rPr>
          <w:rFonts w:ascii="Times New Roman" w:hAnsi="Times New Roman" w:cs="Times New Roman"/>
          <w:sz w:val="28"/>
          <w:szCs w:val="28"/>
        </w:rPr>
        <w:t>Al revisar el trámite legislativo, la Sala Plena encontró que las normas acusadas se incluyeron mediante una proposición frente al entonces artículo 55 del proyecto de ley, la cual fue radicada el 26 de abril de 2023 en la plenaria del Senado y aprobada me</w:t>
      </w:r>
      <w:r w:rsidRPr="00635A00">
        <w:rPr>
          <w:rFonts w:ascii="Times New Roman" w:hAnsi="Times New Roman" w:cs="Times New Roman"/>
          <w:sz w:val="28"/>
          <w:szCs w:val="28"/>
        </w:rPr>
        <w:t>diante votación en bloque el 2 de mayo del mismo año. En relación con la publicidad de esta proposición, se constató que no se cumplió con el mecanismo de publicidad definido en la Ley 5 de 1992, esto es, la lectura de la proposición previo a su debate y a</w:t>
      </w:r>
      <w:r w:rsidRPr="00635A00">
        <w:rPr>
          <w:rFonts w:ascii="Times New Roman" w:hAnsi="Times New Roman" w:cs="Times New Roman"/>
          <w:sz w:val="28"/>
          <w:szCs w:val="28"/>
        </w:rPr>
        <w:t>probación. Adicionalmente, al examinar si la publicidad se garantizó por otros mecanismos, esta Corporación encontró que:</w:t>
      </w:r>
    </w:p>
    <w:p w:rsidR="00FD77AC" w:rsidRPr="00635A00" w:rsidRDefault="00635A00" w:rsidP="00FD77AC">
      <w:pPr>
        <w:jc w:val="both"/>
        <w:rPr>
          <w:rFonts w:ascii="Times New Roman" w:hAnsi="Times New Roman" w:cs="Times New Roman"/>
          <w:sz w:val="28"/>
          <w:szCs w:val="28"/>
        </w:rPr>
      </w:pPr>
    </w:p>
    <w:p w:rsidR="00FD77AC" w:rsidRPr="00635A00" w:rsidRDefault="00635A00" w:rsidP="00A92D64">
      <w:pPr>
        <w:ind w:left="567"/>
        <w:jc w:val="both"/>
        <w:rPr>
          <w:rFonts w:ascii="Times New Roman" w:hAnsi="Times New Roman" w:cs="Times New Roman"/>
          <w:sz w:val="28"/>
          <w:szCs w:val="28"/>
        </w:rPr>
      </w:pPr>
      <w:r w:rsidRPr="00635A00">
        <w:rPr>
          <w:rFonts w:ascii="Times New Roman" w:hAnsi="Times New Roman" w:cs="Times New Roman"/>
          <w:sz w:val="28"/>
          <w:szCs w:val="28"/>
        </w:rPr>
        <w:t>a) La explicación realizada por el presidente del Senado sobre la proposición no fue clara ni detallada, de manera que con ella no se</w:t>
      </w:r>
      <w:r w:rsidRPr="00635A00">
        <w:rPr>
          <w:rFonts w:ascii="Times New Roman" w:hAnsi="Times New Roman" w:cs="Times New Roman"/>
          <w:sz w:val="28"/>
          <w:szCs w:val="28"/>
        </w:rPr>
        <w:t xml:space="preserve"> garantizó que los senadores pudieran conocer su alcance antes de ser aprobada.</w:t>
      </w:r>
    </w:p>
    <w:p w:rsidR="00FD77AC" w:rsidRPr="00635A00" w:rsidRDefault="00635A00" w:rsidP="00A92D64">
      <w:pPr>
        <w:ind w:left="567"/>
        <w:jc w:val="both"/>
        <w:rPr>
          <w:rFonts w:ascii="Times New Roman" w:hAnsi="Times New Roman" w:cs="Times New Roman"/>
          <w:sz w:val="28"/>
          <w:szCs w:val="28"/>
        </w:rPr>
      </w:pPr>
    </w:p>
    <w:p w:rsidR="00FD77AC" w:rsidRPr="00635A00" w:rsidRDefault="00635A00" w:rsidP="00A92D64">
      <w:pPr>
        <w:ind w:left="567"/>
        <w:jc w:val="both"/>
        <w:rPr>
          <w:rFonts w:ascii="Times New Roman" w:hAnsi="Times New Roman" w:cs="Times New Roman"/>
          <w:sz w:val="28"/>
          <w:szCs w:val="28"/>
        </w:rPr>
      </w:pPr>
      <w:r w:rsidRPr="00635A00">
        <w:rPr>
          <w:rFonts w:ascii="Times New Roman" w:hAnsi="Times New Roman" w:cs="Times New Roman"/>
          <w:sz w:val="28"/>
          <w:szCs w:val="28"/>
        </w:rPr>
        <w:t>b) No se demostró que la publicación de la proposición en la página web del Senado de la República fuera anterior a la decisión y, en cualquier caso, en el trámite ante la ple</w:t>
      </w:r>
      <w:r w:rsidRPr="00635A00">
        <w:rPr>
          <w:rFonts w:ascii="Times New Roman" w:hAnsi="Times New Roman" w:cs="Times New Roman"/>
          <w:sz w:val="28"/>
          <w:szCs w:val="28"/>
        </w:rPr>
        <w:t>naria no se anunció ni se les indicó a los senadores que ese mecanismo sería la forma de publicidad en esa instancia.</w:t>
      </w:r>
    </w:p>
    <w:p w:rsidR="00FD77AC" w:rsidRPr="00635A00" w:rsidRDefault="00635A00" w:rsidP="00A92D64">
      <w:pPr>
        <w:ind w:left="567"/>
        <w:jc w:val="both"/>
        <w:rPr>
          <w:rFonts w:ascii="Times New Roman" w:hAnsi="Times New Roman" w:cs="Times New Roman"/>
          <w:sz w:val="28"/>
          <w:szCs w:val="28"/>
        </w:rPr>
      </w:pPr>
    </w:p>
    <w:p w:rsidR="00FD77AC" w:rsidRPr="00635A00" w:rsidRDefault="00635A00" w:rsidP="00A92D64">
      <w:pPr>
        <w:ind w:left="567"/>
        <w:jc w:val="both"/>
        <w:rPr>
          <w:rFonts w:ascii="Times New Roman" w:hAnsi="Times New Roman" w:cs="Times New Roman"/>
          <w:sz w:val="28"/>
          <w:szCs w:val="28"/>
        </w:rPr>
      </w:pPr>
      <w:r w:rsidRPr="00635A00">
        <w:rPr>
          <w:rFonts w:ascii="Times New Roman" w:hAnsi="Times New Roman" w:cs="Times New Roman"/>
          <w:sz w:val="28"/>
          <w:szCs w:val="28"/>
        </w:rPr>
        <w:t>c) La intervención de la ministra de Agricultura, a la que algunos de los intervinientes en el proceso apelan para indicar que sí se cump</w:t>
      </w:r>
      <w:r w:rsidRPr="00635A00">
        <w:rPr>
          <w:rFonts w:ascii="Times New Roman" w:hAnsi="Times New Roman" w:cs="Times New Roman"/>
          <w:sz w:val="28"/>
          <w:szCs w:val="28"/>
        </w:rPr>
        <w:t>lió con el requisito de publicidad de la proposición mencionada, se realizó en la plenaria del Senado en la sesión del 3 de mayo de 2023, es decir un día después de su aprobación. Esta intervención de la ministra, además, se refirió a otro artículo del pro</w:t>
      </w:r>
      <w:r w:rsidRPr="00635A00">
        <w:rPr>
          <w:rFonts w:ascii="Times New Roman" w:hAnsi="Times New Roman" w:cs="Times New Roman"/>
          <w:sz w:val="28"/>
          <w:szCs w:val="28"/>
        </w:rPr>
        <w:t xml:space="preserve">yecto de ley, relacionado con la derogatoria del Decreto Ley 902 de 2017. </w:t>
      </w:r>
    </w:p>
    <w:p w:rsidR="00FD77AC" w:rsidRPr="00635A00" w:rsidRDefault="00635A00" w:rsidP="00FD77AC">
      <w:pPr>
        <w:jc w:val="both"/>
        <w:rPr>
          <w:rFonts w:ascii="Times New Roman" w:hAnsi="Times New Roman" w:cs="Times New Roman"/>
          <w:sz w:val="28"/>
          <w:szCs w:val="28"/>
        </w:rPr>
      </w:pPr>
    </w:p>
    <w:p w:rsidR="00FD77AC" w:rsidRPr="00635A00" w:rsidRDefault="00635A00" w:rsidP="00FD77AC">
      <w:pPr>
        <w:jc w:val="both"/>
        <w:rPr>
          <w:rFonts w:ascii="Times New Roman" w:hAnsi="Times New Roman" w:cs="Times New Roman"/>
          <w:sz w:val="28"/>
          <w:szCs w:val="28"/>
        </w:rPr>
      </w:pPr>
      <w:r w:rsidRPr="00635A00">
        <w:rPr>
          <w:rFonts w:ascii="Times New Roman" w:hAnsi="Times New Roman" w:cs="Times New Roman"/>
          <w:sz w:val="28"/>
          <w:szCs w:val="28"/>
        </w:rPr>
        <w:t xml:space="preserve">Finalmente, la Corte </w:t>
      </w:r>
      <w:r w:rsidRPr="00635A00">
        <w:rPr>
          <w:rFonts w:ascii="Times New Roman" w:hAnsi="Times New Roman" w:cs="Times New Roman"/>
          <w:bCs/>
          <w:sz w:val="28"/>
          <w:szCs w:val="28"/>
        </w:rPr>
        <w:t>determinó</w:t>
      </w:r>
      <w:r w:rsidRPr="00635A00">
        <w:rPr>
          <w:rFonts w:ascii="Times New Roman" w:hAnsi="Times New Roman" w:cs="Times New Roman"/>
          <w:sz w:val="28"/>
          <w:szCs w:val="28"/>
        </w:rPr>
        <w:t xml:space="preserve"> que la radicación de la proposición en la secretaría general del Senado tampoco sirvió como un mecanismo para garantizar el principio de publicidad, </w:t>
      </w:r>
      <w:r w:rsidRPr="00635A00">
        <w:rPr>
          <w:rFonts w:ascii="Times New Roman" w:hAnsi="Times New Roman" w:cs="Times New Roman"/>
          <w:sz w:val="28"/>
          <w:szCs w:val="28"/>
        </w:rPr>
        <w:t>pues contrario a lo que sucedió en el trámite legislativo examinado en la sentencia C-134 de 2023, esa radicación y la disponibilidad de la proposición para consulta por parte de los congresistas no se les anunció durante el trámite.</w:t>
      </w:r>
    </w:p>
    <w:p w:rsidR="00FD77AC" w:rsidRPr="00635A00" w:rsidRDefault="00635A00" w:rsidP="00FD77AC">
      <w:pPr>
        <w:jc w:val="both"/>
        <w:rPr>
          <w:rFonts w:ascii="Times New Roman" w:hAnsi="Times New Roman" w:cs="Times New Roman"/>
          <w:sz w:val="28"/>
          <w:szCs w:val="28"/>
        </w:rPr>
      </w:pPr>
    </w:p>
    <w:p w:rsidR="00FD77AC" w:rsidRPr="00635A00" w:rsidRDefault="00635A00" w:rsidP="00FD77AC">
      <w:pPr>
        <w:jc w:val="both"/>
        <w:rPr>
          <w:rFonts w:ascii="Times New Roman" w:hAnsi="Times New Roman" w:cs="Times New Roman"/>
          <w:sz w:val="28"/>
          <w:szCs w:val="28"/>
        </w:rPr>
      </w:pPr>
      <w:r w:rsidRPr="00635A00">
        <w:rPr>
          <w:rFonts w:ascii="Times New Roman" w:hAnsi="Times New Roman" w:cs="Times New Roman"/>
          <w:sz w:val="28"/>
          <w:szCs w:val="28"/>
        </w:rPr>
        <w:t>Así, la Sala Plena co</w:t>
      </w:r>
      <w:r w:rsidRPr="00635A00">
        <w:rPr>
          <w:rFonts w:ascii="Times New Roman" w:hAnsi="Times New Roman" w:cs="Times New Roman"/>
          <w:sz w:val="28"/>
          <w:szCs w:val="28"/>
        </w:rPr>
        <w:t>ncluyó que, en relación con las normas demandadas, no se acudió a un mecanismo de publicidad que garantizara el conocimiento de los congresistas y, por lo tanto, se violó el principio de publicidad, el cual constituye un presupuesto para el debate y adopci</w:t>
      </w:r>
      <w:r w:rsidRPr="00635A00">
        <w:rPr>
          <w:rFonts w:ascii="Times New Roman" w:hAnsi="Times New Roman" w:cs="Times New Roman"/>
          <w:sz w:val="28"/>
          <w:szCs w:val="28"/>
        </w:rPr>
        <w:t>ón de una decisión democrática. En efecto, la Corte constató que los senadores no pudieron conocer el alcance de las normas sobre las que recayó su decisión. Esta omisión tiene connotaciones particulares en tratándose de la discusión de normas del Plan Nac</w:t>
      </w:r>
      <w:r w:rsidRPr="00635A00">
        <w:rPr>
          <w:rFonts w:ascii="Times New Roman" w:hAnsi="Times New Roman" w:cs="Times New Roman"/>
          <w:sz w:val="28"/>
          <w:szCs w:val="28"/>
        </w:rPr>
        <w:t>ional de Desarrollo, y de reformas que modifican leyes de implementación del acuerdo de paz.</w:t>
      </w:r>
    </w:p>
    <w:p w:rsidR="00FD77AC" w:rsidRPr="00635A00" w:rsidRDefault="00635A00" w:rsidP="00FD77AC">
      <w:pPr>
        <w:jc w:val="both"/>
        <w:rPr>
          <w:rFonts w:ascii="Times New Roman" w:hAnsi="Times New Roman" w:cs="Times New Roman"/>
          <w:sz w:val="28"/>
          <w:szCs w:val="28"/>
        </w:rPr>
      </w:pPr>
    </w:p>
    <w:p w:rsidR="00FD77AC" w:rsidRPr="00635A00" w:rsidRDefault="00635A00" w:rsidP="00FD77AC">
      <w:pPr>
        <w:jc w:val="both"/>
        <w:rPr>
          <w:rFonts w:ascii="Times New Roman" w:hAnsi="Times New Roman" w:cs="Times New Roman"/>
          <w:sz w:val="28"/>
          <w:szCs w:val="28"/>
        </w:rPr>
      </w:pPr>
      <w:r w:rsidRPr="00635A00">
        <w:rPr>
          <w:rFonts w:ascii="Times New Roman" w:hAnsi="Times New Roman" w:cs="Times New Roman"/>
          <w:sz w:val="28"/>
          <w:szCs w:val="28"/>
        </w:rPr>
        <w:t xml:space="preserve">Por otro lado, la Sala Plena </w:t>
      </w:r>
      <w:r w:rsidRPr="00635A00">
        <w:rPr>
          <w:rFonts w:ascii="Times New Roman" w:hAnsi="Times New Roman" w:cs="Times New Roman"/>
          <w:bCs/>
          <w:sz w:val="28"/>
          <w:szCs w:val="28"/>
        </w:rPr>
        <w:t>evidenció</w:t>
      </w:r>
      <w:r w:rsidRPr="00635A00">
        <w:rPr>
          <w:rFonts w:ascii="Times New Roman" w:hAnsi="Times New Roman" w:cs="Times New Roman"/>
          <w:sz w:val="28"/>
          <w:szCs w:val="28"/>
        </w:rPr>
        <w:t xml:space="preserve"> que en el trámite legislativo también se violó el principio de consecutividad. Sobre el punto, la Corte recordó lo dicho en</w:t>
      </w:r>
      <w:r w:rsidRPr="00635A00">
        <w:rPr>
          <w:rFonts w:ascii="Times New Roman" w:hAnsi="Times New Roman" w:cs="Times New Roman"/>
          <w:sz w:val="28"/>
          <w:szCs w:val="28"/>
        </w:rPr>
        <w:t xml:space="preserve"> la sentencia C-074 de 2021, en el sentido de que la vulneración del principio de publicidad puede, en ocasiones, generar un problema de consecutividad e identidad flexible, al afectarse las condiciones mínimas para el debate. La Sala Plena determinó que e</w:t>
      </w:r>
      <w:r w:rsidRPr="00635A00">
        <w:rPr>
          <w:rFonts w:ascii="Times New Roman" w:hAnsi="Times New Roman" w:cs="Times New Roman"/>
          <w:sz w:val="28"/>
          <w:szCs w:val="28"/>
        </w:rPr>
        <w:t>sta situación ocurrió en el asunto bajo examen, dado que los congresistas no conocieron ni tuvieron la posibilidad de conocer la proposición que introdujo las normas demandadas previo a que fuera sometida a votación.</w:t>
      </w:r>
    </w:p>
    <w:p w:rsidR="00FD77AC" w:rsidRPr="00635A00" w:rsidRDefault="00635A00" w:rsidP="00FD77AC">
      <w:pPr>
        <w:jc w:val="both"/>
        <w:rPr>
          <w:rFonts w:ascii="Times New Roman" w:hAnsi="Times New Roman" w:cs="Times New Roman"/>
          <w:sz w:val="28"/>
          <w:szCs w:val="28"/>
        </w:rPr>
      </w:pPr>
    </w:p>
    <w:p w:rsidR="00FD77AC" w:rsidRPr="00635A00" w:rsidRDefault="00635A00" w:rsidP="00FD77AC">
      <w:pPr>
        <w:jc w:val="both"/>
        <w:rPr>
          <w:rFonts w:ascii="Times New Roman" w:hAnsi="Times New Roman" w:cs="Times New Roman"/>
          <w:sz w:val="28"/>
          <w:szCs w:val="28"/>
        </w:rPr>
      </w:pPr>
      <w:r w:rsidRPr="00635A00">
        <w:rPr>
          <w:rFonts w:ascii="Times New Roman" w:hAnsi="Times New Roman" w:cs="Times New Roman"/>
          <w:sz w:val="28"/>
          <w:szCs w:val="28"/>
        </w:rPr>
        <w:t xml:space="preserve">Adicionalmente, la Corte encontró que </w:t>
      </w:r>
      <w:r w:rsidRPr="00635A00">
        <w:rPr>
          <w:rFonts w:ascii="Times New Roman" w:hAnsi="Times New Roman" w:cs="Times New Roman"/>
          <w:sz w:val="28"/>
          <w:szCs w:val="28"/>
        </w:rPr>
        <w:t>los principios de consecutividad e identidad flexible también fueron desconocidos debido a que las medidas contenidas en las normas demandadas, aunque guardaban una relación con algunos de los temas generales del Plan Nacional de Desarrollo, no fueron disc</w:t>
      </w:r>
      <w:r w:rsidRPr="00635A00">
        <w:rPr>
          <w:rFonts w:ascii="Times New Roman" w:hAnsi="Times New Roman" w:cs="Times New Roman"/>
          <w:sz w:val="28"/>
          <w:szCs w:val="28"/>
        </w:rPr>
        <w:t>utidas durante el primer debate ante las comisiones económicas conjuntas. En esta materia, la Corte reiteró su precedente establecido en las sentencias C-376 de 2008, C-040 de 2010, C-105 de 2016, C-440 de 2020, C-063 de 2021, C-133 de 2021, entre otras.</w:t>
      </w:r>
    </w:p>
    <w:p w:rsidR="00FD77AC" w:rsidRPr="00635A00" w:rsidRDefault="00635A00" w:rsidP="00FD77AC">
      <w:pPr>
        <w:jc w:val="both"/>
        <w:rPr>
          <w:rFonts w:ascii="Times New Roman" w:hAnsi="Times New Roman" w:cs="Times New Roman"/>
          <w:sz w:val="28"/>
          <w:szCs w:val="28"/>
        </w:rPr>
      </w:pPr>
    </w:p>
    <w:p w:rsidR="00766A70" w:rsidRPr="00635A00" w:rsidRDefault="00635A00" w:rsidP="003F12F4">
      <w:pPr>
        <w:jc w:val="both"/>
        <w:rPr>
          <w:rFonts w:ascii="Times New Roman" w:hAnsi="Times New Roman" w:cs="Times New Roman"/>
          <w:sz w:val="28"/>
          <w:szCs w:val="28"/>
        </w:rPr>
      </w:pPr>
      <w:r w:rsidRPr="00635A00">
        <w:rPr>
          <w:rFonts w:ascii="Times New Roman" w:hAnsi="Times New Roman" w:cs="Times New Roman"/>
          <w:sz w:val="28"/>
          <w:szCs w:val="28"/>
        </w:rPr>
        <w:t>Por último, la Corte constató que los vicios en el trámite de las normas demandadas eran insubsanables, debido a que afectaron gravemente el principio democrático. Así, dichos vicios implicaron una elusión del debate respecto de la modificación del procedi</w:t>
      </w:r>
      <w:r w:rsidRPr="00635A00">
        <w:rPr>
          <w:rFonts w:ascii="Times New Roman" w:hAnsi="Times New Roman" w:cs="Times New Roman"/>
          <w:sz w:val="28"/>
          <w:szCs w:val="28"/>
        </w:rPr>
        <w:t>miento único regulado por el Decreto Ley 902 de 2017 para ciertos trámites agrarios, tanto en primer debate ante las comisiones económicas conjuntas de ambas cámaras, como en segundo debate ante la plenaria del Senado. Devolver la ley al Congreso para corr</w:t>
      </w:r>
      <w:r w:rsidRPr="00635A00">
        <w:rPr>
          <w:rFonts w:ascii="Times New Roman" w:hAnsi="Times New Roman" w:cs="Times New Roman"/>
          <w:sz w:val="28"/>
          <w:szCs w:val="28"/>
        </w:rPr>
        <w:t>egir los yerros implicaría, en la práctica, retrotraer el proceso legislativo hasta el primer debate para que allí se delibere sobre la medida en discusión.</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Por </w:t>
      </w:r>
      <w:r w:rsidRPr="00635A00">
        <w:rPr>
          <w:rFonts w:ascii="Times New Roman" w:hAnsi="Times New Roman" w:cs="Times New Roman"/>
          <w:sz w:val="28"/>
          <w:szCs w:val="28"/>
        </w:rPr>
        <w:t xml:space="preserve">las </w:t>
      </w:r>
      <w:r w:rsidRPr="00635A00">
        <w:rPr>
          <w:rFonts w:ascii="Times New Roman" w:hAnsi="Times New Roman" w:cs="Times New Roman"/>
          <w:sz w:val="28"/>
          <w:szCs w:val="28"/>
        </w:rPr>
        <w:t>razones</w:t>
      </w:r>
      <w:r w:rsidRPr="00635A00">
        <w:rPr>
          <w:rFonts w:ascii="Times New Roman" w:hAnsi="Times New Roman" w:cs="Times New Roman"/>
          <w:sz w:val="28"/>
          <w:szCs w:val="28"/>
        </w:rPr>
        <w:t xml:space="preserve"> expuestas</w:t>
      </w:r>
      <w:r w:rsidRPr="00635A00">
        <w:rPr>
          <w:rFonts w:ascii="Times New Roman" w:hAnsi="Times New Roman" w:cs="Times New Roman"/>
          <w:sz w:val="28"/>
          <w:szCs w:val="28"/>
        </w:rPr>
        <w:t>, la Sala Plena declaró la inexequibilidad de las normas acusadas</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En </w:t>
      </w:r>
      <w:r w:rsidRPr="00635A00">
        <w:rPr>
          <w:rFonts w:ascii="Times New Roman" w:hAnsi="Times New Roman" w:cs="Times New Roman"/>
          <w:sz w:val="28"/>
          <w:szCs w:val="28"/>
        </w:rPr>
        <w:t>consecuencia</w:t>
      </w:r>
      <w:r w:rsidRPr="00635A00">
        <w:rPr>
          <w:rFonts w:ascii="Times New Roman" w:hAnsi="Times New Roman" w:cs="Times New Roman"/>
          <w:sz w:val="28"/>
          <w:szCs w:val="28"/>
        </w:rPr>
        <w:t xml:space="preserve">, los procesos agrarios continuarán rigiéndose por el Decreto Ley 902 de 2017, expedido </w:t>
      </w:r>
      <w:r w:rsidRPr="00635A00">
        <w:rPr>
          <w:rFonts w:ascii="Times New Roman" w:hAnsi="Times New Roman" w:cs="Times New Roman"/>
          <w:sz w:val="28"/>
          <w:szCs w:val="28"/>
        </w:rPr>
        <w:t xml:space="preserve">con el objeto de </w:t>
      </w:r>
      <w:r w:rsidRPr="00635A00">
        <w:rPr>
          <w:rFonts w:ascii="Times New Roman" w:hAnsi="Times New Roman" w:cs="Times New Roman"/>
          <w:sz w:val="28"/>
          <w:szCs w:val="28"/>
        </w:rPr>
        <w:t xml:space="preserve">implementar el </w:t>
      </w:r>
      <w:r w:rsidRPr="00635A00">
        <w:rPr>
          <w:rFonts w:ascii="Times New Roman" w:hAnsi="Times New Roman" w:cs="Times New Roman"/>
          <w:sz w:val="28"/>
          <w:szCs w:val="28"/>
        </w:rPr>
        <w:t>P</w:t>
      </w:r>
      <w:r w:rsidRPr="00635A00">
        <w:rPr>
          <w:rFonts w:ascii="Times New Roman" w:hAnsi="Times New Roman" w:cs="Times New Roman"/>
          <w:sz w:val="28"/>
          <w:szCs w:val="28"/>
        </w:rPr>
        <w:t>unto 1 sobre Reforma Rural Integral del Acuerdo Final de Paz.</w:t>
      </w:r>
    </w:p>
    <w:p w:rsidR="00766A70" w:rsidRPr="00635A00" w:rsidRDefault="00635A00" w:rsidP="003F12F4">
      <w:pPr>
        <w:jc w:val="both"/>
        <w:rPr>
          <w:rFonts w:ascii="Times New Roman" w:hAnsi="Times New Roman" w:cs="Times New Roman"/>
          <w:sz w:val="28"/>
          <w:szCs w:val="28"/>
        </w:rPr>
      </w:pPr>
    </w:p>
    <w:p w:rsidR="00C3313F" w:rsidRPr="00635A00" w:rsidRDefault="00635A00" w:rsidP="0024402C">
      <w:pPr>
        <w:pStyle w:val="Sombreadovistoso-nfasis31"/>
        <w:numPr>
          <w:ilvl w:val="0"/>
          <w:numId w:val="2"/>
        </w:numPr>
        <w:tabs>
          <w:tab w:val="left" w:pos="567"/>
        </w:tabs>
        <w:ind w:left="0" w:firstLine="0"/>
        <w:rPr>
          <w:rFonts w:ascii="Times New Roman" w:hAnsi="Times New Roman" w:cs="Times New Roman"/>
          <w:color w:val="auto"/>
          <w:lang w:val="es-CO"/>
        </w:rPr>
      </w:pPr>
      <w:bookmarkStart w:id="1" w:name="_Ref170926542"/>
      <w:r w:rsidRPr="00635A00">
        <w:rPr>
          <w:rFonts w:ascii="Times New Roman" w:hAnsi="Times New Roman" w:cs="Times New Roman"/>
          <w:b/>
          <w:color w:val="auto"/>
          <w:lang w:val="es-CO"/>
        </w:rPr>
        <w:t>ANTECEDENTES</w:t>
      </w:r>
      <w:bookmarkEnd w:id="1"/>
    </w:p>
    <w:p w:rsidR="00C3313F" w:rsidRPr="00635A00" w:rsidRDefault="00635A00" w:rsidP="0024402C">
      <w:pPr>
        <w:rPr>
          <w:rFonts w:ascii="Times New Roman" w:hAnsi="Times New Roman" w:cs="Times New Roman"/>
          <w:sz w:val="28"/>
          <w:szCs w:val="28"/>
        </w:rPr>
      </w:pPr>
    </w:p>
    <w:p w:rsidR="002B4B7D" w:rsidRPr="00635A00" w:rsidRDefault="00635A00" w:rsidP="00E75574">
      <w:pPr>
        <w:numPr>
          <w:ilvl w:val="0"/>
          <w:numId w:val="3"/>
        </w:numPr>
        <w:tabs>
          <w:tab w:val="left" w:pos="567"/>
        </w:tabs>
        <w:jc w:val="both"/>
        <w:rPr>
          <w:rFonts w:ascii="Times New Roman" w:hAnsi="Times New Roman" w:cs="Times New Roman"/>
          <w:sz w:val="28"/>
          <w:szCs w:val="28"/>
        </w:rPr>
      </w:pPr>
      <w:bookmarkStart w:id="2" w:name="_Hlk163148903"/>
      <w:bookmarkStart w:id="3" w:name="_Ref87971094"/>
      <w:r w:rsidRPr="00635A00">
        <w:rPr>
          <w:rFonts w:ascii="Times New Roman" w:hAnsi="Times New Roman" w:cs="Times New Roman"/>
          <w:sz w:val="28"/>
          <w:szCs w:val="28"/>
        </w:rPr>
        <w:t>L</w:t>
      </w:r>
      <w:r w:rsidRPr="00635A00">
        <w:rPr>
          <w:rFonts w:ascii="Times New Roman" w:hAnsi="Times New Roman" w:cs="Times New Roman"/>
          <w:sz w:val="28"/>
          <w:szCs w:val="28"/>
        </w:rPr>
        <w:t>os</w:t>
      </w:r>
      <w:r w:rsidRPr="00635A00">
        <w:rPr>
          <w:rFonts w:ascii="Times New Roman" w:hAnsi="Times New Roman" w:cs="Times New Roman"/>
          <w:sz w:val="28"/>
          <w:szCs w:val="28"/>
        </w:rPr>
        <w:t xml:space="preserve"> ciudadano</w:t>
      </w:r>
      <w:r w:rsidRPr="00635A00">
        <w:rPr>
          <w:rFonts w:ascii="Times New Roman" w:hAnsi="Times New Roman" w:cs="Times New Roman"/>
          <w:sz w:val="28"/>
          <w:szCs w:val="28"/>
        </w:rPr>
        <w:t>s</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Guillermo Forero Álvarez y Juli</w:t>
      </w:r>
      <w:r w:rsidRPr="00635A00">
        <w:rPr>
          <w:rFonts w:ascii="Times New Roman" w:hAnsi="Times New Roman" w:cs="Times New Roman"/>
          <w:sz w:val="28"/>
          <w:szCs w:val="28"/>
        </w:rPr>
        <w:t xml:space="preserve">án Andrés Pimiento Echeverri </w:t>
      </w:r>
      <w:r w:rsidRPr="00635A00">
        <w:rPr>
          <w:rFonts w:ascii="Times New Roman" w:hAnsi="Times New Roman" w:cs="Times New Roman"/>
          <w:sz w:val="28"/>
          <w:szCs w:val="28"/>
        </w:rPr>
        <w:t>present</w:t>
      </w:r>
      <w:r w:rsidRPr="00635A00">
        <w:rPr>
          <w:rFonts w:ascii="Times New Roman" w:hAnsi="Times New Roman" w:cs="Times New Roman"/>
          <w:sz w:val="28"/>
          <w:szCs w:val="28"/>
        </w:rPr>
        <w:t>aron, por separado,</w:t>
      </w:r>
      <w:r w:rsidRPr="00635A00">
        <w:rPr>
          <w:rFonts w:ascii="Times New Roman" w:hAnsi="Times New Roman" w:cs="Times New Roman"/>
          <w:sz w:val="28"/>
          <w:szCs w:val="28"/>
        </w:rPr>
        <w:t xml:space="preserve"> demanda</w:t>
      </w:r>
      <w:r w:rsidRPr="00635A00">
        <w:rPr>
          <w:rFonts w:ascii="Times New Roman" w:hAnsi="Times New Roman" w:cs="Times New Roman"/>
          <w:sz w:val="28"/>
          <w:szCs w:val="28"/>
        </w:rPr>
        <w:t>s</w:t>
      </w:r>
      <w:r w:rsidRPr="00635A00">
        <w:rPr>
          <w:rFonts w:ascii="Times New Roman" w:hAnsi="Times New Roman" w:cs="Times New Roman"/>
          <w:sz w:val="28"/>
          <w:szCs w:val="28"/>
        </w:rPr>
        <w:t xml:space="preserve"> de inconstitucionalidad en contra </w:t>
      </w:r>
      <w:r w:rsidRPr="00635A00">
        <w:rPr>
          <w:rFonts w:ascii="Times New Roman" w:hAnsi="Times New Roman" w:cs="Times New Roman"/>
          <w:sz w:val="28"/>
          <w:szCs w:val="28"/>
        </w:rPr>
        <w:t>de</w:t>
      </w:r>
      <w:r w:rsidRPr="00635A00">
        <w:rPr>
          <w:rFonts w:ascii="Times New Roman" w:hAnsi="Times New Roman" w:cs="Times New Roman"/>
          <w:sz w:val="28"/>
          <w:szCs w:val="28"/>
        </w:rPr>
        <w:t>l artículo 61</w:t>
      </w:r>
      <w:r w:rsidRPr="00635A00">
        <w:rPr>
          <w:rFonts w:ascii="Times New Roman" w:hAnsi="Times New Roman" w:cs="Times New Roman"/>
          <w:sz w:val="28"/>
          <w:szCs w:val="28"/>
        </w:rPr>
        <w:t xml:space="preserve"> (parcial)</w:t>
      </w:r>
      <w:r w:rsidRPr="00635A00">
        <w:rPr>
          <w:rFonts w:ascii="Times New Roman" w:hAnsi="Times New Roman" w:cs="Times New Roman"/>
          <w:sz w:val="28"/>
          <w:szCs w:val="28"/>
        </w:rPr>
        <w:t xml:space="preserve"> de la Ley 2294 de 2023</w:t>
      </w:r>
      <w:r w:rsidRPr="00635A00">
        <w:rPr>
          <w:rFonts w:ascii="Times New Roman" w:hAnsi="Times New Roman" w:cs="Times New Roman"/>
          <w:sz w:val="28"/>
          <w:szCs w:val="28"/>
        </w:rPr>
        <w:t xml:space="preserve"> “[p]or [la] cual se expide el Plan Nacional de Desarrollo 2022-2026 ‘Colombia Potencia Mundial de la Vida’”</w:t>
      </w:r>
      <w:r w:rsidRPr="00635A00">
        <w:rPr>
          <w:rFonts w:ascii="Times New Roman" w:hAnsi="Times New Roman" w:cs="Times New Roman"/>
          <w:sz w:val="28"/>
          <w:szCs w:val="28"/>
        </w:rPr>
        <w:t xml:space="preserve"> (en adelante Ley 2294)</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Estas demandas se radicaron, respectivamente, bajo los números de expediente D-15438 y D-15</w:t>
      </w:r>
      <w:r w:rsidRPr="00635A00">
        <w:rPr>
          <w:rFonts w:ascii="Times New Roman" w:hAnsi="Times New Roman" w:cs="Times New Roman"/>
          <w:sz w:val="28"/>
          <w:szCs w:val="28"/>
        </w:rPr>
        <w:t>461 y</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en sesión del 9 de agosto de 2023, la Sala Plena de la Corte Constitucional dispuso acumularlas para ser tramitadas bajo una sola act</w:t>
      </w:r>
      <w:r w:rsidRPr="00635A00">
        <w:rPr>
          <w:rFonts w:ascii="Times New Roman" w:hAnsi="Times New Roman" w:cs="Times New Roman"/>
          <w:sz w:val="28"/>
          <w:szCs w:val="28"/>
        </w:rPr>
        <w:t>uación</w:t>
      </w:r>
      <w:r w:rsidRPr="00635A00">
        <w:rPr>
          <w:rFonts w:ascii="Times New Roman" w:hAnsi="Times New Roman" w:cs="Times New Roman"/>
          <w:sz w:val="28"/>
          <w:szCs w:val="28"/>
        </w:rPr>
        <w:t>, cuyo conocimiento y sustanciación correspondió por reparto a la magistrada Natalia Ángel Cabo</w:t>
      </w:r>
      <w:bookmarkEnd w:id="2"/>
      <w:r w:rsidRPr="00635A00">
        <w:rPr>
          <w:rFonts w:ascii="Times New Roman" w:hAnsi="Times New Roman" w:cs="Times New Roman"/>
          <w:sz w:val="28"/>
          <w:szCs w:val="28"/>
        </w:rPr>
        <w:t>.</w:t>
      </w:r>
    </w:p>
    <w:p w:rsidR="00413214" w:rsidRPr="00635A00" w:rsidRDefault="00635A00" w:rsidP="00413214">
      <w:pPr>
        <w:tabs>
          <w:tab w:val="left" w:pos="567"/>
        </w:tabs>
        <w:jc w:val="both"/>
        <w:rPr>
          <w:rFonts w:ascii="Times New Roman" w:hAnsi="Times New Roman" w:cs="Times New Roman"/>
          <w:sz w:val="28"/>
          <w:szCs w:val="28"/>
        </w:rPr>
      </w:pPr>
    </w:p>
    <w:p w:rsidR="00BA38CD" w:rsidRPr="00635A00" w:rsidRDefault="00635A00" w:rsidP="00E75574">
      <w:pPr>
        <w:numPr>
          <w:ilvl w:val="0"/>
          <w:numId w:val="3"/>
        </w:numPr>
        <w:tabs>
          <w:tab w:val="left" w:pos="567"/>
        </w:tabs>
        <w:jc w:val="both"/>
        <w:rPr>
          <w:rFonts w:ascii="Times New Roman" w:hAnsi="Times New Roman" w:cs="Times New Roman"/>
          <w:sz w:val="28"/>
          <w:szCs w:val="28"/>
        </w:rPr>
      </w:pPr>
      <w:r w:rsidRPr="00635A00">
        <w:rPr>
          <w:rFonts w:ascii="Times New Roman" w:hAnsi="Times New Roman" w:cs="Times New Roman"/>
          <w:sz w:val="28"/>
          <w:szCs w:val="28"/>
        </w:rPr>
        <w:t xml:space="preserve">Mediante auto del </w:t>
      </w:r>
      <w:r w:rsidRPr="00635A00">
        <w:rPr>
          <w:rFonts w:ascii="Times New Roman" w:hAnsi="Times New Roman" w:cs="Times New Roman"/>
          <w:sz w:val="28"/>
          <w:szCs w:val="28"/>
        </w:rPr>
        <w:t>24 de agosto de 2023, la magistrada sustanciadora admitió parcialmente la demanda presentada por el ciudadano Pimiento Echeverri</w:t>
      </w:r>
      <w:r w:rsidRPr="00635A00">
        <w:rPr>
          <w:rStyle w:val="Refdenotaalpie"/>
          <w:rFonts w:ascii="Times New Roman" w:hAnsi="Times New Roman" w:cs="Times New Roman"/>
          <w:sz w:val="28"/>
          <w:szCs w:val="28"/>
        </w:rPr>
        <w:footnoteReference w:id="1"/>
      </w:r>
      <w:r w:rsidRPr="00635A00">
        <w:rPr>
          <w:rFonts w:ascii="Times New Roman" w:hAnsi="Times New Roman" w:cs="Times New Roman"/>
          <w:sz w:val="28"/>
          <w:szCs w:val="28"/>
        </w:rPr>
        <w:t xml:space="preserve"> e inadmitió aqu</w:t>
      </w:r>
      <w:r w:rsidRPr="00635A00">
        <w:rPr>
          <w:rFonts w:ascii="Times New Roman" w:hAnsi="Times New Roman" w:cs="Times New Roman"/>
          <w:sz w:val="28"/>
          <w:szCs w:val="28"/>
        </w:rPr>
        <w:t>e</w:t>
      </w:r>
      <w:r w:rsidRPr="00635A00">
        <w:rPr>
          <w:rFonts w:ascii="Times New Roman" w:hAnsi="Times New Roman" w:cs="Times New Roman"/>
          <w:sz w:val="28"/>
          <w:szCs w:val="28"/>
        </w:rPr>
        <w:t>lla formulada por el ciudadano Forero Álvarez, y les concedió a los accionantes un término de tres días para que, si a bien lo tenían, subsanaran los cargos inadmitidos.</w:t>
      </w:r>
      <w:r w:rsidRPr="00635A00">
        <w:rPr>
          <w:rFonts w:ascii="Times New Roman" w:hAnsi="Times New Roman" w:cs="Times New Roman"/>
          <w:sz w:val="28"/>
          <w:szCs w:val="28"/>
        </w:rPr>
        <w:t xml:space="preserve"> Adicionalmente, la magistrada sustanciadora ordenó recaudar los antec</w:t>
      </w:r>
      <w:r w:rsidRPr="00635A00">
        <w:rPr>
          <w:rFonts w:ascii="Times New Roman" w:hAnsi="Times New Roman" w:cs="Times New Roman"/>
          <w:sz w:val="28"/>
          <w:szCs w:val="28"/>
        </w:rPr>
        <w:t xml:space="preserve">edentes del trámite legislativo de la Ley 2294, y dispuso que una vez se recolectaran y calificaran estas pruebas, se procediera con </w:t>
      </w:r>
      <w:r w:rsidRPr="00635A00">
        <w:rPr>
          <w:rFonts w:ascii="Times New Roman" w:hAnsi="Times New Roman" w:cs="Times New Roman"/>
          <w:sz w:val="28"/>
          <w:szCs w:val="28"/>
        </w:rPr>
        <w:t xml:space="preserve">(i) </w:t>
      </w:r>
      <w:r w:rsidRPr="00635A00">
        <w:rPr>
          <w:rFonts w:ascii="Times New Roman" w:hAnsi="Times New Roman" w:cs="Times New Roman"/>
          <w:sz w:val="28"/>
          <w:szCs w:val="28"/>
        </w:rPr>
        <w:t>la fijación en lista del proceso para la recepción de intervenciones ciudadanas</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(ii) </w:t>
      </w:r>
      <w:r w:rsidRPr="00635A00">
        <w:rPr>
          <w:rFonts w:ascii="Times New Roman" w:hAnsi="Times New Roman" w:cs="Times New Roman"/>
          <w:sz w:val="28"/>
          <w:szCs w:val="28"/>
        </w:rPr>
        <w:t>el traslado a la Procuraduría Gen</w:t>
      </w:r>
      <w:r w:rsidRPr="00635A00">
        <w:rPr>
          <w:rFonts w:ascii="Times New Roman" w:hAnsi="Times New Roman" w:cs="Times New Roman"/>
          <w:sz w:val="28"/>
          <w:szCs w:val="28"/>
        </w:rPr>
        <w:t>eral de la Nación</w:t>
      </w:r>
      <w:r w:rsidRPr="00635A00">
        <w:rPr>
          <w:rFonts w:ascii="Times New Roman" w:hAnsi="Times New Roman" w:cs="Times New Roman"/>
          <w:sz w:val="28"/>
          <w:szCs w:val="28"/>
        </w:rPr>
        <w:t xml:space="preserve">; (iii) </w:t>
      </w:r>
      <w:r w:rsidRPr="00635A00">
        <w:rPr>
          <w:rFonts w:ascii="Times New Roman" w:hAnsi="Times New Roman" w:cs="Times New Roman"/>
          <w:sz w:val="28"/>
          <w:szCs w:val="28"/>
        </w:rPr>
        <w:t>la comunicación de la iniciación del trámite al</w:t>
      </w:r>
      <w:r w:rsidRPr="00635A00">
        <w:rPr>
          <w:rFonts w:ascii="Times New Roman" w:hAnsi="Times New Roman" w:cs="Times New Roman"/>
          <w:sz w:val="28"/>
          <w:szCs w:val="28"/>
        </w:rPr>
        <w:t xml:space="preserve"> presidente del Congreso, al presidente de la República</w:t>
      </w:r>
      <w:r w:rsidRPr="00635A00">
        <w:rPr>
          <w:rFonts w:ascii="Times New Roman" w:hAnsi="Times New Roman" w:cs="Times New Roman"/>
          <w:sz w:val="28"/>
          <w:szCs w:val="28"/>
        </w:rPr>
        <w:t>, a los ministerios de Interior y de Justicia y del Derecho, al Departamento Nacional de Planeación y a la Agencia Nacional de Ti</w:t>
      </w:r>
      <w:r w:rsidRPr="00635A00">
        <w:rPr>
          <w:rFonts w:ascii="Times New Roman" w:hAnsi="Times New Roman" w:cs="Times New Roman"/>
          <w:sz w:val="28"/>
          <w:szCs w:val="28"/>
        </w:rPr>
        <w:t>erras</w:t>
      </w:r>
      <w:r w:rsidRPr="00635A00">
        <w:rPr>
          <w:rFonts w:ascii="Times New Roman" w:hAnsi="Times New Roman" w:cs="Times New Roman"/>
          <w:sz w:val="28"/>
          <w:szCs w:val="28"/>
        </w:rPr>
        <w:t xml:space="preserve">; y </w:t>
      </w:r>
      <w:r w:rsidRPr="00635A00">
        <w:rPr>
          <w:rFonts w:ascii="Times New Roman" w:hAnsi="Times New Roman" w:cs="Times New Roman"/>
          <w:sz w:val="28"/>
          <w:szCs w:val="28"/>
        </w:rPr>
        <w:t xml:space="preserve">(iv) </w:t>
      </w:r>
      <w:r w:rsidRPr="00635A00">
        <w:rPr>
          <w:rFonts w:ascii="Times New Roman" w:hAnsi="Times New Roman" w:cs="Times New Roman"/>
          <w:sz w:val="28"/>
          <w:szCs w:val="28"/>
        </w:rPr>
        <w:t xml:space="preserve">la invitación a </w:t>
      </w:r>
      <w:r w:rsidRPr="00635A00">
        <w:rPr>
          <w:rFonts w:ascii="Times New Roman" w:hAnsi="Times New Roman" w:cs="Times New Roman"/>
          <w:sz w:val="28"/>
          <w:szCs w:val="28"/>
        </w:rPr>
        <w:t xml:space="preserve">diversas </w:t>
      </w:r>
      <w:r w:rsidRPr="00635A00">
        <w:rPr>
          <w:rFonts w:ascii="Times New Roman" w:hAnsi="Times New Roman" w:cs="Times New Roman"/>
          <w:sz w:val="28"/>
          <w:szCs w:val="28"/>
        </w:rPr>
        <w:t>universidades para participar dentro de la presente actuación</w:t>
      </w:r>
      <w:r w:rsidRPr="00635A00">
        <w:rPr>
          <w:rStyle w:val="Refdenotaalpie"/>
          <w:rFonts w:ascii="Times New Roman" w:hAnsi="Times New Roman" w:cs="Times New Roman"/>
          <w:sz w:val="28"/>
          <w:szCs w:val="28"/>
        </w:rPr>
        <w:footnoteReference w:id="2"/>
      </w:r>
      <w:r w:rsidRPr="00635A00">
        <w:rPr>
          <w:rFonts w:ascii="Times New Roman" w:hAnsi="Times New Roman" w:cs="Times New Roman"/>
          <w:sz w:val="28"/>
          <w:szCs w:val="28"/>
        </w:rPr>
        <w:t>.</w:t>
      </w:r>
    </w:p>
    <w:p w:rsidR="00BA38CD" w:rsidRPr="00635A00" w:rsidRDefault="00635A00" w:rsidP="00BA38CD">
      <w:pPr>
        <w:pStyle w:val="Prrafodelista"/>
        <w:rPr>
          <w:rFonts w:ascii="Times New Roman" w:hAnsi="Times New Roman" w:cs="Times New Roman"/>
          <w:color w:val="auto"/>
        </w:rPr>
      </w:pPr>
    </w:p>
    <w:p w:rsidR="00413214" w:rsidRPr="00635A00" w:rsidRDefault="00635A00" w:rsidP="00E75574">
      <w:pPr>
        <w:numPr>
          <w:ilvl w:val="0"/>
          <w:numId w:val="3"/>
        </w:numPr>
        <w:tabs>
          <w:tab w:val="left" w:pos="567"/>
        </w:tabs>
        <w:jc w:val="both"/>
        <w:rPr>
          <w:rFonts w:ascii="Times New Roman" w:hAnsi="Times New Roman" w:cs="Times New Roman"/>
          <w:sz w:val="28"/>
          <w:szCs w:val="28"/>
        </w:rPr>
      </w:pP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Con auto del 15 de septiembre de 2023, la magistrada sustanciadora se pronunció sobre los escritos de corrección </w:t>
      </w:r>
      <w:r w:rsidRPr="00635A00">
        <w:rPr>
          <w:rFonts w:ascii="Times New Roman" w:hAnsi="Times New Roman" w:cs="Times New Roman"/>
          <w:sz w:val="28"/>
          <w:szCs w:val="28"/>
        </w:rPr>
        <w:t>de</w:t>
      </w:r>
      <w:r w:rsidRPr="00635A00">
        <w:rPr>
          <w:rFonts w:ascii="Times New Roman" w:hAnsi="Times New Roman" w:cs="Times New Roman"/>
          <w:sz w:val="28"/>
          <w:szCs w:val="28"/>
        </w:rPr>
        <w:t xml:space="preserve"> las demandas presentad</w:t>
      </w:r>
      <w:r w:rsidRPr="00635A00">
        <w:rPr>
          <w:rFonts w:ascii="Times New Roman" w:hAnsi="Times New Roman" w:cs="Times New Roman"/>
          <w:sz w:val="28"/>
          <w:szCs w:val="28"/>
        </w:rPr>
        <w:t>a</w:t>
      </w:r>
      <w:r w:rsidRPr="00635A00">
        <w:rPr>
          <w:rFonts w:ascii="Times New Roman" w:hAnsi="Times New Roman" w:cs="Times New Roman"/>
          <w:sz w:val="28"/>
          <w:szCs w:val="28"/>
        </w:rPr>
        <w:t xml:space="preserve">s por los </w:t>
      </w:r>
      <w:r w:rsidRPr="00635A00">
        <w:rPr>
          <w:rFonts w:ascii="Times New Roman" w:hAnsi="Times New Roman" w:cs="Times New Roman"/>
          <w:sz w:val="28"/>
          <w:szCs w:val="28"/>
        </w:rPr>
        <w:t>accionantes</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La magistrada </w:t>
      </w:r>
      <w:r w:rsidRPr="00635A00">
        <w:rPr>
          <w:rFonts w:ascii="Times New Roman" w:hAnsi="Times New Roman" w:cs="Times New Roman"/>
          <w:sz w:val="28"/>
          <w:szCs w:val="28"/>
        </w:rPr>
        <w:t xml:space="preserve">resolvió (i) admitir </w:t>
      </w:r>
      <w:r w:rsidRPr="00635A00">
        <w:rPr>
          <w:rFonts w:ascii="Times New Roman" w:hAnsi="Times New Roman" w:cs="Times New Roman"/>
          <w:sz w:val="28"/>
          <w:szCs w:val="28"/>
        </w:rPr>
        <w:t xml:space="preserve">ambas demandas por los cargos referidos al presunto desconocimiento </w:t>
      </w:r>
      <w:r w:rsidRPr="00635A00">
        <w:rPr>
          <w:rFonts w:ascii="Times New Roman" w:hAnsi="Times New Roman" w:cs="Times New Roman"/>
          <w:sz w:val="28"/>
          <w:szCs w:val="28"/>
        </w:rPr>
        <w:t xml:space="preserve">del </w:t>
      </w:r>
      <w:r w:rsidRPr="00635A00">
        <w:rPr>
          <w:rFonts w:ascii="Times New Roman" w:hAnsi="Times New Roman" w:cs="Times New Roman"/>
          <w:sz w:val="28"/>
          <w:szCs w:val="28"/>
        </w:rPr>
        <w:t xml:space="preserve">principio de progresividad y </w:t>
      </w:r>
      <w:r w:rsidRPr="00635A00">
        <w:rPr>
          <w:rFonts w:ascii="Times New Roman" w:hAnsi="Times New Roman" w:cs="Times New Roman"/>
          <w:sz w:val="28"/>
          <w:szCs w:val="28"/>
        </w:rPr>
        <w:t xml:space="preserve">la </w:t>
      </w:r>
      <w:r w:rsidRPr="00635A00">
        <w:rPr>
          <w:rFonts w:ascii="Times New Roman" w:hAnsi="Times New Roman" w:cs="Times New Roman"/>
          <w:sz w:val="28"/>
          <w:szCs w:val="28"/>
        </w:rPr>
        <w:t>prohibición de regresividad derivados del derecho fundamental al debido proceso consagrado en el artícul</w:t>
      </w:r>
      <w:r w:rsidRPr="00635A00">
        <w:rPr>
          <w:rFonts w:ascii="Times New Roman" w:hAnsi="Times New Roman" w:cs="Times New Roman"/>
          <w:sz w:val="28"/>
          <w:szCs w:val="28"/>
        </w:rPr>
        <w:t>o 29 superior</w:t>
      </w:r>
      <w:r w:rsidRPr="00635A00">
        <w:rPr>
          <w:rFonts w:ascii="Times New Roman" w:hAnsi="Times New Roman" w:cs="Times New Roman"/>
          <w:sz w:val="28"/>
          <w:szCs w:val="28"/>
        </w:rPr>
        <w:t xml:space="preserve"> -además de los cargo</w:t>
      </w:r>
      <w:r w:rsidRPr="00635A00">
        <w:rPr>
          <w:rFonts w:ascii="Times New Roman" w:hAnsi="Times New Roman" w:cs="Times New Roman"/>
          <w:sz w:val="28"/>
          <w:szCs w:val="28"/>
        </w:rPr>
        <w:t>s</w:t>
      </w:r>
      <w:r w:rsidRPr="00635A00">
        <w:rPr>
          <w:rFonts w:ascii="Times New Roman" w:hAnsi="Times New Roman" w:cs="Times New Roman"/>
          <w:sz w:val="28"/>
          <w:szCs w:val="28"/>
        </w:rPr>
        <w:t xml:space="preserve"> admitidos en auto del 24 de agosto anterior-</w:t>
      </w:r>
      <w:r w:rsidRPr="00635A00">
        <w:rPr>
          <w:rFonts w:ascii="Times New Roman" w:hAnsi="Times New Roman" w:cs="Times New Roman"/>
          <w:sz w:val="28"/>
          <w:szCs w:val="28"/>
        </w:rPr>
        <w:t>; y (ii) rechazar la demanda del ciudadano Pimiento Echeverri respecto de los cargos por violación de los artículos 13, 29, 64, 209, 228 y 229 de la Constitución.</w:t>
      </w:r>
    </w:p>
    <w:p w:rsidR="00282EFA" w:rsidRPr="00635A00" w:rsidRDefault="00635A00" w:rsidP="00282EFA">
      <w:pPr>
        <w:pStyle w:val="Prrafodelista"/>
        <w:rPr>
          <w:rFonts w:ascii="Times New Roman" w:hAnsi="Times New Roman" w:cs="Times New Roman"/>
          <w:color w:val="auto"/>
          <w:lang w:val="es-CO"/>
        </w:rPr>
      </w:pPr>
    </w:p>
    <w:p w:rsidR="007F034F" w:rsidRPr="00635A00" w:rsidRDefault="00635A00" w:rsidP="00E75574">
      <w:pPr>
        <w:numPr>
          <w:ilvl w:val="0"/>
          <w:numId w:val="3"/>
        </w:numPr>
        <w:tabs>
          <w:tab w:val="left" w:pos="567"/>
        </w:tabs>
        <w:jc w:val="both"/>
        <w:rPr>
          <w:rFonts w:ascii="Times New Roman" w:hAnsi="Times New Roman" w:cs="Times New Roman"/>
          <w:sz w:val="28"/>
          <w:szCs w:val="28"/>
        </w:rPr>
      </w:pPr>
      <w:r w:rsidRPr="00635A00">
        <w:rPr>
          <w:rFonts w:ascii="Times New Roman" w:hAnsi="Times New Roman" w:cs="Times New Roman"/>
          <w:sz w:val="28"/>
          <w:szCs w:val="28"/>
        </w:rPr>
        <w:t>Por medio de</w:t>
      </w:r>
      <w:r w:rsidRPr="00635A00">
        <w:rPr>
          <w:rFonts w:ascii="Times New Roman" w:hAnsi="Times New Roman" w:cs="Times New Roman"/>
          <w:sz w:val="28"/>
          <w:szCs w:val="28"/>
        </w:rPr>
        <w:t xml:space="preserve"> auto del</w:t>
      </w:r>
      <w:r w:rsidRPr="00635A00">
        <w:rPr>
          <w:rFonts w:ascii="Times New Roman" w:hAnsi="Times New Roman" w:cs="Times New Roman"/>
          <w:sz w:val="28"/>
          <w:szCs w:val="28"/>
        </w:rPr>
        <w:t xml:space="preserve"> 12 de octubre de 2023</w:t>
      </w:r>
      <w:r w:rsidRPr="00635A00">
        <w:rPr>
          <w:rStyle w:val="Refdenotaalpie"/>
          <w:rFonts w:ascii="Times New Roman" w:hAnsi="Times New Roman" w:cs="Times New Roman"/>
          <w:sz w:val="28"/>
          <w:szCs w:val="28"/>
        </w:rPr>
        <w:footnoteReference w:id="3"/>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la magistrada sustanciadora </w:t>
      </w:r>
      <w:r w:rsidRPr="00635A00">
        <w:rPr>
          <w:rFonts w:ascii="Times New Roman" w:hAnsi="Times New Roman" w:cs="Times New Roman"/>
          <w:sz w:val="28"/>
          <w:szCs w:val="28"/>
        </w:rPr>
        <w:t xml:space="preserve">dejó sin efecto la fijación en lista y el traslado a la Procuraduría General de la Nación </w:t>
      </w:r>
      <w:r w:rsidRPr="00635A00">
        <w:rPr>
          <w:rFonts w:ascii="Times New Roman" w:hAnsi="Times New Roman" w:cs="Times New Roman"/>
          <w:sz w:val="28"/>
          <w:szCs w:val="28"/>
        </w:rPr>
        <w:t xml:space="preserve">realizados </w:t>
      </w:r>
      <w:r w:rsidRPr="00635A00">
        <w:rPr>
          <w:rFonts w:ascii="Times New Roman" w:hAnsi="Times New Roman" w:cs="Times New Roman"/>
          <w:sz w:val="28"/>
          <w:szCs w:val="28"/>
        </w:rPr>
        <w:t xml:space="preserve">por la Secretaría General </w:t>
      </w:r>
      <w:r w:rsidRPr="00635A00">
        <w:rPr>
          <w:rFonts w:ascii="Times New Roman" w:hAnsi="Times New Roman" w:cs="Times New Roman"/>
          <w:sz w:val="28"/>
          <w:szCs w:val="28"/>
        </w:rPr>
        <w:t xml:space="preserve">de la Corte </w:t>
      </w:r>
      <w:r w:rsidRPr="00635A00">
        <w:rPr>
          <w:rFonts w:ascii="Times New Roman" w:hAnsi="Times New Roman" w:cs="Times New Roman"/>
          <w:sz w:val="28"/>
          <w:szCs w:val="28"/>
        </w:rPr>
        <w:t xml:space="preserve">el 28 y el 27 de septiembre, respectivamente, </w:t>
      </w:r>
      <w:r w:rsidRPr="00635A00">
        <w:rPr>
          <w:rFonts w:ascii="Times New Roman" w:hAnsi="Times New Roman" w:cs="Times New Roman"/>
          <w:sz w:val="28"/>
          <w:szCs w:val="28"/>
        </w:rPr>
        <w:t xml:space="preserve">al haber </w:t>
      </w:r>
      <w:r w:rsidRPr="00635A00">
        <w:rPr>
          <w:rFonts w:ascii="Times New Roman" w:hAnsi="Times New Roman" w:cs="Times New Roman"/>
          <w:sz w:val="28"/>
          <w:szCs w:val="28"/>
        </w:rPr>
        <w:t xml:space="preserve">sido realizados </w:t>
      </w:r>
      <w:r w:rsidRPr="00635A00">
        <w:rPr>
          <w:rFonts w:ascii="Times New Roman" w:hAnsi="Times New Roman" w:cs="Times New Roman"/>
          <w:sz w:val="28"/>
          <w:szCs w:val="28"/>
        </w:rPr>
        <w:t xml:space="preserve">sin </w:t>
      </w:r>
      <w:r w:rsidRPr="00635A00">
        <w:rPr>
          <w:rFonts w:ascii="Times New Roman" w:hAnsi="Times New Roman" w:cs="Times New Roman"/>
          <w:sz w:val="28"/>
          <w:szCs w:val="28"/>
        </w:rPr>
        <w:t xml:space="preserve">la </w:t>
      </w:r>
      <w:r w:rsidRPr="00635A00">
        <w:rPr>
          <w:rFonts w:ascii="Times New Roman" w:hAnsi="Times New Roman" w:cs="Times New Roman"/>
          <w:sz w:val="28"/>
          <w:szCs w:val="28"/>
        </w:rPr>
        <w:t xml:space="preserve">previa evaluación y calificación de las pruebas decretadas en </w:t>
      </w:r>
      <w:r w:rsidRPr="00635A00">
        <w:rPr>
          <w:rFonts w:ascii="Times New Roman" w:hAnsi="Times New Roman" w:cs="Times New Roman"/>
          <w:sz w:val="28"/>
          <w:szCs w:val="28"/>
        </w:rPr>
        <w:t xml:space="preserve">el </w:t>
      </w:r>
      <w:r w:rsidRPr="00635A00">
        <w:rPr>
          <w:rFonts w:ascii="Times New Roman" w:hAnsi="Times New Roman" w:cs="Times New Roman"/>
          <w:sz w:val="28"/>
          <w:szCs w:val="28"/>
        </w:rPr>
        <w:t>auto del 24 de agosto anterior.</w:t>
      </w:r>
      <w:r w:rsidRPr="00635A00">
        <w:rPr>
          <w:rFonts w:ascii="Times New Roman" w:hAnsi="Times New Roman" w:cs="Times New Roman"/>
          <w:sz w:val="28"/>
          <w:szCs w:val="28"/>
        </w:rPr>
        <w:t xml:space="preserve"> No obstante, en </w:t>
      </w:r>
      <w:r w:rsidRPr="00635A00">
        <w:rPr>
          <w:rFonts w:ascii="Times New Roman" w:hAnsi="Times New Roman" w:cs="Times New Roman"/>
          <w:sz w:val="28"/>
          <w:szCs w:val="28"/>
        </w:rPr>
        <w:t>dicho auto</w:t>
      </w:r>
      <w:r w:rsidRPr="00635A00">
        <w:rPr>
          <w:rFonts w:ascii="Times New Roman" w:hAnsi="Times New Roman" w:cs="Times New Roman"/>
          <w:sz w:val="28"/>
          <w:szCs w:val="28"/>
        </w:rPr>
        <w:t xml:space="preserve"> se advirtió que las intervenciones recibidas se tendrían por válidamente presentadas.</w:t>
      </w:r>
    </w:p>
    <w:p w:rsidR="00070FC2" w:rsidRPr="00635A00" w:rsidRDefault="00635A00" w:rsidP="00070FC2">
      <w:pPr>
        <w:pStyle w:val="Prrafodelista"/>
        <w:rPr>
          <w:rFonts w:ascii="Times New Roman" w:hAnsi="Times New Roman" w:cs="Times New Roman"/>
          <w:color w:val="auto"/>
        </w:rPr>
      </w:pPr>
    </w:p>
    <w:p w:rsidR="00070FC2" w:rsidRPr="00635A00" w:rsidRDefault="00635A00" w:rsidP="00E75574">
      <w:pPr>
        <w:numPr>
          <w:ilvl w:val="0"/>
          <w:numId w:val="3"/>
        </w:numPr>
        <w:tabs>
          <w:tab w:val="left" w:pos="567"/>
        </w:tabs>
        <w:jc w:val="both"/>
        <w:rPr>
          <w:rFonts w:ascii="Times New Roman" w:hAnsi="Times New Roman" w:cs="Times New Roman"/>
          <w:sz w:val="28"/>
          <w:szCs w:val="28"/>
        </w:rPr>
      </w:pPr>
      <w:r w:rsidRPr="00635A00">
        <w:rPr>
          <w:rFonts w:ascii="Times New Roman" w:hAnsi="Times New Roman" w:cs="Times New Roman"/>
          <w:sz w:val="28"/>
          <w:szCs w:val="28"/>
        </w:rPr>
        <w:t xml:space="preserve">Tras </w:t>
      </w:r>
      <w:r w:rsidRPr="00635A00">
        <w:rPr>
          <w:rFonts w:ascii="Times New Roman" w:hAnsi="Times New Roman" w:cs="Times New Roman"/>
          <w:sz w:val="28"/>
          <w:szCs w:val="28"/>
        </w:rPr>
        <w:t>verificar que las</w:t>
      </w:r>
      <w:r w:rsidRPr="00635A00">
        <w:rPr>
          <w:rFonts w:ascii="Times New Roman" w:hAnsi="Times New Roman" w:cs="Times New Roman"/>
          <w:sz w:val="28"/>
          <w:szCs w:val="28"/>
        </w:rPr>
        <w:t xml:space="preserve"> pruebas decretadas fueron debidamente allegadas al proceso, e</w:t>
      </w:r>
      <w:r w:rsidRPr="00635A00">
        <w:rPr>
          <w:rFonts w:ascii="Times New Roman" w:hAnsi="Times New Roman" w:cs="Times New Roman"/>
          <w:sz w:val="28"/>
          <w:szCs w:val="28"/>
        </w:rPr>
        <w:t xml:space="preserve">l 1° de diciembre de 2023, la magistrada sustanciadora ordenó </w:t>
      </w:r>
      <w:r w:rsidRPr="00635A00">
        <w:rPr>
          <w:rFonts w:ascii="Times New Roman" w:hAnsi="Times New Roman" w:cs="Times New Roman"/>
          <w:sz w:val="28"/>
          <w:szCs w:val="28"/>
        </w:rPr>
        <w:t>continuar</w:t>
      </w:r>
      <w:r w:rsidRPr="00635A00">
        <w:rPr>
          <w:rFonts w:ascii="Times New Roman" w:hAnsi="Times New Roman" w:cs="Times New Roman"/>
          <w:sz w:val="28"/>
          <w:szCs w:val="28"/>
        </w:rPr>
        <w:t xml:space="preserve"> con </w:t>
      </w:r>
      <w:r w:rsidRPr="00635A00">
        <w:rPr>
          <w:rFonts w:ascii="Times New Roman" w:hAnsi="Times New Roman" w:cs="Times New Roman"/>
          <w:sz w:val="28"/>
          <w:szCs w:val="28"/>
        </w:rPr>
        <w:t xml:space="preserve">el </w:t>
      </w:r>
      <w:r w:rsidRPr="00635A00">
        <w:rPr>
          <w:rFonts w:ascii="Times New Roman" w:hAnsi="Times New Roman" w:cs="Times New Roman"/>
          <w:sz w:val="28"/>
          <w:szCs w:val="28"/>
        </w:rPr>
        <w:t>trámite</w:t>
      </w:r>
      <w:r w:rsidRPr="00635A00">
        <w:rPr>
          <w:rFonts w:ascii="Times New Roman" w:hAnsi="Times New Roman" w:cs="Times New Roman"/>
          <w:sz w:val="28"/>
          <w:szCs w:val="28"/>
        </w:rPr>
        <w:t xml:space="preserve"> de constitucionalidad</w:t>
      </w:r>
      <w:r w:rsidRPr="00635A00">
        <w:rPr>
          <w:rFonts w:ascii="Times New Roman" w:hAnsi="Times New Roman" w:cs="Times New Roman"/>
          <w:sz w:val="28"/>
          <w:szCs w:val="28"/>
        </w:rPr>
        <w:t xml:space="preserve"> en los términos señalados en el auto del 26 de agosto anterior. </w:t>
      </w:r>
      <w:r w:rsidRPr="00635A00">
        <w:rPr>
          <w:rFonts w:ascii="Times New Roman" w:hAnsi="Times New Roman" w:cs="Times New Roman"/>
          <w:sz w:val="28"/>
          <w:szCs w:val="28"/>
        </w:rPr>
        <w:t>En consecuencia, la S</w:t>
      </w:r>
      <w:r w:rsidRPr="00635A00">
        <w:rPr>
          <w:rFonts w:ascii="Times New Roman" w:hAnsi="Times New Roman" w:cs="Times New Roman"/>
          <w:sz w:val="28"/>
          <w:szCs w:val="28"/>
        </w:rPr>
        <w:t>ecretaría General llevó a cabo la fijación en lista del proceso para intervenciones ciudadanas, el traslado a la Procuraduría General de la Nación y las invitaciones a participar en la actuación, en los términos señalados en el auto del 24 de agosto.</w:t>
      </w:r>
    </w:p>
    <w:p w:rsidR="008804EE" w:rsidRPr="00635A00" w:rsidRDefault="00635A00" w:rsidP="008804EE">
      <w:pPr>
        <w:pStyle w:val="Prrafodelista"/>
        <w:rPr>
          <w:rFonts w:ascii="Times New Roman" w:hAnsi="Times New Roman" w:cs="Times New Roman"/>
          <w:color w:val="auto"/>
        </w:rPr>
      </w:pPr>
    </w:p>
    <w:p w:rsidR="00282EFA" w:rsidRPr="00635A00" w:rsidRDefault="00635A00" w:rsidP="00C670BC">
      <w:pPr>
        <w:pStyle w:val="Prrafodelista"/>
        <w:numPr>
          <w:ilvl w:val="0"/>
          <w:numId w:val="3"/>
        </w:numPr>
        <w:rPr>
          <w:rFonts w:ascii="Times New Roman" w:hAnsi="Times New Roman" w:cs="Times New Roman"/>
          <w:color w:val="auto"/>
          <w:lang w:val="es-CO" w:eastAsia="es-ES_tradnl"/>
        </w:rPr>
      </w:pPr>
      <w:r w:rsidRPr="00635A00">
        <w:rPr>
          <w:rFonts w:ascii="Times New Roman" w:hAnsi="Times New Roman" w:cs="Times New Roman"/>
          <w:color w:val="auto"/>
          <w:lang w:val="es-CO" w:eastAsia="es-ES_tradnl"/>
        </w:rPr>
        <w:t>Cump</w:t>
      </w:r>
      <w:r w:rsidRPr="00635A00">
        <w:rPr>
          <w:rFonts w:ascii="Times New Roman" w:hAnsi="Times New Roman" w:cs="Times New Roman"/>
          <w:color w:val="auto"/>
          <w:lang w:val="es-CO" w:eastAsia="es-ES_tradnl"/>
        </w:rPr>
        <w:t>lidos los trámites previstos en el artículo 242 de la Constitución y en el Decreto Ley 2067 de 1991, procede la Corte Constitucional a resolver las demandas de la referencia</w:t>
      </w:r>
      <w:r w:rsidRPr="00635A00">
        <w:rPr>
          <w:rStyle w:val="Refdenotaalpie"/>
          <w:rFonts w:ascii="Times New Roman" w:hAnsi="Times New Roman" w:cs="Times New Roman"/>
          <w:color w:val="auto"/>
          <w:lang w:val="es-CO" w:eastAsia="es-ES_tradnl"/>
        </w:rPr>
        <w:footnoteReference w:id="4"/>
      </w:r>
      <w:r w:rsidRPr="00635A00">
        <w:rPr>
          <w:rFonts w:ascii="Times New Roman" w:hAnsi="Times New Roman" w:cs="Times New Roman"/>
          <w:color w:val="auto"/>
          <w:lang w:val="es-CO" w:eastAsia="es-ES_tradnl"/>
        </w:rPr>
        <w:t>.</w:t>
      </w:r>
    </w:p>
    <w:p w:rsidR="007F181D" w:rsidRPr="00635A00" w:rsidRDefault="00635A00" w:rsidP="00E75574">
      <w:pPr>
        <w:tabs>
          <w:tab w:val="left" w:pos="567"/>
        </w:tabs>
        <w:ind w:left="360"/>
        <w:jc w:val="both"/>
        <w:rPr>
          <w:rFonts w:ascii="Times New Roman" w:hAnsi="Times New Roman" w:cs="Times New Roman"/>
          <w:sz w:val="28"/>
          <w:szCs w:val="28"/>
        </w:rPr>
      </w:pPr>
    </w:p>
    <w:bookmarkEnd w:id="3"/>
    <w:p w:rsidR="00C3313F" w:rsidRPr="00635A00" w:rsidRDefault="00635A00" w:rsidP="0024402C">
      <w:pPr>
        <w:pStyle w:val="Prrafodelista"/>
        <w:numPr>
          <w:ilvl w:val="0"/>
          <w:numId w:val="4"/>
        </w:numPr>
        <w:ind w:left="1134" w:hanging="567"/>
        <w:rPr>
          <w:rFonts w:ascii="Times New Roman" w:hAnsi="Times New Roman" w:cs="Times New Roman"/>
          <w:b/>
          <w:color w:val="auto"/>
          <w:lang w:val="es-CO"/>
        </w:rPr>
      </w:pPr>
      <w:r w:rsidRPr="00635A00">
        <w:rPr>
          <w:rFonts w:ascii="Times New Roman" w:hAnsi="Times New Roman" w:cs="Times New Roman"/>
          <w:b/>
          <w:color w:val="auto"/>
          <w:lang w:val="es-CO"/>
        </w:rPr>
        <w:t>Normas demandadas</w:t>
      </w:r>
    </w:p>
    <w:p w:rsidR="00C3313F" w:rsidRPr="00635A00" w:rsidRDefault="00635A00" w:rsidP="0024402C">
      <w:pPr>
        <w:rPr>
          <w:rFonts w:ascii="Times New Roman" w:hAnsi="Times New Roman" w:cs="Times New Roman"/>
          <w:b/>
          <w:sz w:val="28"/>
        </w:rPr>
      </w:pPr>
    </w:p>
    <w:p w:rsidR="00C3313F" w:rsidRPr="00635A00" w:rsidRDefault="00635A00" w:rsidP="007014CF">
      <w:pPr>
        <w:pStyle w:val="Prrafodelista"/>
        <w:widowControl/>
        <w:numPr>
          <w:ilvl w:val="0"/>
          <w:numId w:val="3"/>
        </w:numPr>
        <w:contextualSpacing/>
        <w:rPr>
          <w:rFonts w:ascii="Times New Roman" w:hAnsi="Times New Roman" w:cs="Times New Roman"/>
          <w:bCs/>
          <w:color w:val="auto"/>
          <w:lang w:val="es-CO"/>
        </w:rPr>
      </w:pPr>
      <w:bookmarkStart w:id="4" w:name="_Ref120563188"/>
      <w:r w:rsidRPr="00635A00">
        <w:rPr>
          <w:rFonts w:ascii="Times New Roman" w:hAnsi="Times New Roman" w:cs="Times New Roman"/>
          <w:color w:val="auto"/>
          <w:shd w:val="clear" w:color="auto" w:fill="FFFFFF"/>
          <w:lang w:val="es-CO"/>
        </w:rPr>
        <w:t xml:space="preserve">A </w:t>
      </w:r>
      <w:r w:rsidRPr="00635A00">
        <w:rPr>
          <w:rFonts w:ascii="Times New Roman" w:hAnsi="Times New Roman" w:cs="Times New Roman"/>
          <w:color w:val="auto"/>
          <w:shd w:val="clear" w:color="auto" w:fill="FFFFFF"/>
          <w:lang w:val="es-CO"/>
        </w:rPr>
        <w:t>continuación</w:t>
      </w:r>
      <w:r w:rsidRPr="00635A00">
        <w:rPr>
          <w:rFonts w:ascii="Times New Roman" w:hAnsi="Times New Roman" w:cs="Times New Roman"/>
          <w:color w:val="auto"/>
          <w:shd w:val="clear" w:color="auto" w:fill="FFFFFF"/>
          <w:lang w:val="es-CO"/>
        </w:rPr>
        <w:t xml:space="preserve"> se </w:t>
      </w:r>
      <w:r w:rsidRPr="00635A00">
        <w:rPr>
          <w:rFonts w:ascii="Times New Roman" w:hAnsi="Times New Roman" w:cs="Times New Roman"/>
          <w:color w:val="auto"/>
          <w:shd w:val="clear" w:color="auto" w:fill="FFFFFF"/>
          <w:lang w:val="es-CO"/>
        </w:rPr>
        <w:t>transcrib</w:t>
      </w:r>
      <w:r w:rsidRPr="00635A00">
        <w:rPr>
          <w:rFonts w:ascii="Times New Roman" w:hAnsi="Times New Roman" w:cs="Times New Roman"/>
          <w:color w:val="auto"/>
          <w:shd w:val="clear" w:color="auto" w:fill="FFFFFF"/>
          <w:lang w:val="es-CO"/>
        </w:rPr>
        <w:t>e el texto normativo acusado</w:t>
      </w:r>
      <w:r w:rsidRPr="00635A00">
        <w:rPr>
          <w:rFonts w:ascii="Times New Roman" w:hAnsi="Times New Roman" w:cs="Times New Roman"/>
          <w:color w:val="auto"/>
          <w:shd w:val="clear" w:color="auto" w:fill="FFFFFF"/>
          <w:lang w:val="es-CO"/>
        </w:rPr>
        <w:t>, con</w:t>
      </w:r>
      <w:r w:rsidRPr="00635A00">
        <w:rPr>
          <w:rFonts w:ascii="Times New Roman" w:hAnsi="Times New Roman" w:cs="Times New Roman"/>
          <w:color w:val="auto"/>
          <w:shd w:val="clear" w:color="auto" w:fill="FFFFFF"/>
          <w:lang w:val="es-CO"/>
        </w:rPr>
        <w:t xml:space="preserve"> los apartes demandados subrayados</w:t>
      </w:r>
      <w:bookmarkEnd w:id="4"/>
      <w:r w:rsidRPr="00635A00">
        <w:rPr>
          <w:rFonts w:ascii="Times New Roman" w:hAnsi="Times New Roman" w:cs="Times New Roman"/>
          <w:color w:val="auto"/>
          <w:shd w:val="clear" w:color="auto" w:fill="FFFFFF"/>
          <w:lang w:val="es-CO"/>
        </w:rPr>
        <w:t>:</w:t>
      </w:r>
    </w:p>
    <w:p w:rsidR="00D659CE" w:rsidRPr="00635A00" w:rsidRDefault="00635A00" w:rsidP="001F18DB">
      <w:pPr>
        <w:tabs>
          <w:tab w:val="left" w:pos="709"/>
        </w:tabs>
        <w:ind w:left="709"/>
        <w:jc w:val="both"/>
        <w:rPr>
          <w:rFonts w:ascii="Times New Roman" w:hAnsi="Times New Roman" w:cs="Times New Roman"/>
          <w:sz w:val="28"/>
        </w:rPr>
      </w:pPr>
    </w:p>
    <w:p w:rsidR="008F3CFC" w:rsidRPr="00635A00" w:rsidRDefault="00635A00" w:rsidP="001F18DB">
      <w:pPr>
        <w:tabs>
          <w:tab w:val="left" w:pos="567"/>
          <w:tab w:val="left" w:pos="709"/>
        </w:tabs>
        <w:ind w:left="709" w:right="616"/>
        <w:jc w:val="center"/>
        <w:rPr>
          <w:rFonts w:ascii="Times New Roman" w:hAnsi="Times New Roman" w:cs="Times New Roman"/>
          <w:b/>
          <w:bCs/>
          <w:sz w:val="28"/>
        </w:rPr>
      </w:pPr>
      <w:r w:rsidRPr="00635A00">
        <w:rPr>
          <w:rFonts w:ascii="Times New Roman" w:hAnsi="Times New Roman" w:cs="Times New Roman"/>
          <w:b/>
          <w:bCs/>
          <w:sz w:val="28"/>
        </w:rPr>
        <w:t>Ley</w:t>
      </w:r>
      <w:r w:rsidRPr="00635A00">
        <w:rPr>
          <w:rFonts w:ascii="Times New Roman" w:hAnsi="Times New Roman" w:cs="Times New Roman"/>
          <w:b/>
          <w:bCs/>
          <w:sz w:val="28"/>
        </w:rPr>
        <w:t xml:space="preserve"> 22</w:t>
      </w:r>
      <w:r w:rsidRPr="00635A00">
        <w:rPr>
          <w:rFonts w:ascii="Times New Roman" w:hAnsi="Times New Roman" w:cs="Times New Roman"/>
          <w:b/>
          <w:bCs/>
          <w:sz w:val="28"/>
        </w:rPr>
        <w:t>94</w:t>
      </w:r>
      <w:r w:rsidRPr="00635A00">
        <w:rPr>
          <w:rFonts w:ascii="Times New Roman" w:hAnsi="Times New Roman" w:cs="Times New Roman"/>
          <w:b/>
          <w:bCs/>
          <w:sz w:val="28"/>
        </w:rPr>
        <w:t xml:space="preserve"> </w:t>
      </w:r>
      <w:r w:rsidRPr="00635A00">
        <w:rPr>
          <w:rFonts w:ascii="Times New Roman" w:hAnsi="Times New Roman" w:cs="Times New Roman"/>
          <w:b/>
          <w:bCs/>
          <w:sz w:val="28"/>
        </w:rPr>
        <w:t>de</w:t>
      </w:r>
      <w:r w:rsidRPr="00635A00">
        <w:rPr>
          <w:rFonts w:ascii="Times New Roman" w:hAnsi="Times New Roman" w:cs="Times New Roman"/>
          <w:b/>
          <w:bCs/>
          <w:sz w:val="28"/>
        </w:rPr>
        <w:t xml:space="preserve"> 202</w:t>
      </w:r>
      <w:r w:rsidRPr="00635A00">
        <w:rPr>
          <w:rFonts w:ascii="Times New Roman" w:hAnsi="Times New Roman" w:cs="Times New Roman"/>
          <w:b/>
          <w:bCs/>
          <w:sz w:val="28"/>
        </w:rPr>
        <w:t>3</w:t>
      </w:r>
    </w:p>
    <w:p w:rsidR="008F3CFC" w:rsidRPr="00635A00" w:rsidRDefault="00635A00" w:rsidP="001F18DB">
      <w:pPr>
        <w:tabs>
          <w:tab w:val="left" w:pos="567"/>
          <w:tab w:val="left" w:pos="709"/>
        </w:tabs>
        <w:ind w:left="709" w:right="616"/>
        <w:jc w:val="center"/>
        <w:rPr>
          <w:rFonts w:ascii="Times New Roman" w:hAnsi="Times New Roman" w:cs="Times New Roman"/>
          <w:sz w:val="28"/>
        </w:rPr>
      </w:pPr>
      <w:r w:rsidRPr="00635A00">
        <w:rPr>
          <w:rFonts w:ascii="Times New Roman" w:hAnsi="Times New Roman" w:cs="Times New Roman"/>
          <w:sz w:val="28"/>
        </w:rPr>
        <w:t>(</w:t>
      </w:r>
      <w:r w:rsidRPr="00635A00">
        <w:rPr>
          <w:rFonts w:ascii="Times New Roman" w:hAnsi="Times New Roman" w:cs="Times New Roman"/>
          <w:sz w:val="28"/>
        </w:rPr>
        <w:t>19</w:t>
      </w:r>
      <w:r w:rsidRPr="00635A00">
        <w:rPr>
          <w:rFonts w:ascii="Times New Roman" w:hAnsi="Times New Roman" w:cs="Times New Roman"/>
          <w:sz w:val="28"/>
        </w:rPr>
        <w:t xml:space="preserve"> de </w:t>
      </w:r>
      <w:r w:rsidRPr="00635A00">
        <w:rPr>
          <w:rFonts w:ascii="Times New Roman" w:hAnsi="Times New Roman" w:cs="Times New Roman"/>
          <w:sz w:val="28"/>
        </w:rPr>
        <w:t>mayo</w:t>
      </w:r>
      <w:r w:rsidRPr="00635A00">
        <w:rPr>
          <w:rFonts w:ascii="Times New Roman" w:hAnsi="Times New Roman" w:cs="Times New Roman"/>
          <w:sz w:val="28"/>
        </w:rPr>
        <w:t>)</w:t>
      </w:r>
      <w:r w:rsidRPr="00635A00">
        <w:rPr>
          <w:rStyle w:val="Refdenotaalpie"/>
          <w:rFonts w:ascii="Times New Roman" w:hAnsi="Times New Roman" w:cs="Times New Roman"/>
          <w:sz w:val="28"/>
        </w:rPr>
        <w:footnoteReference w:id="5"/>
      </w:r>
    </w:p>
    <w:p w:rsidR="008F3CFC" w:rsidRPr="00635A00" w:rsidRDefault="00635A00" w:rsidP="001F18DB">
      <w:pPr>
        <w:tabs>
          <w:tab w:val="left" w:pos="567"/>
          <w:tab w:val="left" w:pos="709"/>
        </w:tabs>
        <w:ind w:left="709" w:right="616"/>
        <w:jc w:val="center"/>
        <w:rPr>
          <w:rFonts w:ascii="Times New Roman" w:hAnsi="Times New Roman" w:cs="Times New Roman"/>
          <w:b/>
          <w:bCs/>
          <w:sz w:val="28"/>
        </w:rPr>
      </w:pPr>
    </w:p>
    <w:p w:rsidR="0027291F" w:rsidRPr="00635A00" w:rsidRDefault="00635A00" w:rsidP="001F18DB">
      <w:pPr>
        <w:tabs>
          <w:tab w:val="left" w:pos="567"/>
          <w:tab w:val="left" w:pos="709"/>
        </w:tabs>
        <w:ind w:left="709" w:right="616"/>
        <w:jc w:val="center"/>
        <w:rPr>
          <w:rFonts w:ascii="Times New Roman" w:hAnsi="Times New Roman" w:cs="Times New Roman"/>
          <w:sz w:val="28"/>
        </w:rPr>
      </w:pPr>
      <w:r w:rsidRPr="00635A00">
        <w:rPr>
          <w:rFonts w:ascii="Times New Roman" w:hAnsi="Times New Roman" w:cs="Times New Roman"/>
          <w:sz w:val="28"/>
        </w:rPr>
        <w:t xml:space="preserve">Por </w:t>
      </w:r>
      <w:r w:rsidRPr="00635A00">
        <w:rPr>
          <w:rFonts w:ascii="Times New Roman" w:hAnsi="Times New Roman" w:cs="Times New Roman"/>
          <w:sz w:val="28"/>
        </w:rPr>
        <w:t>[</w:t>
      </w:r>
      <w:r w:rsidRPr="00635A00">
        <w:rPr>
          <w:rFonts w:ascii="Times New Roman" w:hAnsi="Times New Roman" w:cs="Times New Roman"/>
          <w:sz w:val="28"/>
        </w:rPr>
        <w:t>la</w:t>
      </w:r>
      <w:r w:rsidRPr="00635A00">
        <w:rPr>
          <w:rFonts w:ascii="Times New Roman" w:hAnsi="Times New Roman" w:cs="Times New Roman"/>
          <w:sz w:val="28"/>
        </w:rPr>
        <w:t>]</w:t>
      </w:r>
      <w:r w:rsidRPr="00635A00">
        <w:rPr>
          <w:rFonts w:ascii="Times New Roman" w:hAnsi="Times New Roman" w:cs="Times New Roman"/>
          <w:sz w:val="28"/>
        </w:rPr>
        <w:t xml:space="preserve"> cual se </w:t>
      </w:r>
      <w:r w:rsidRPr="00635A00">
        <w:rPr>
          <w:rFonts w:ascii="Times New Roman" w:hAnsi="Times New Roman" w:cs="Times New Roman"/>
          <w:sz w:val="28"/>
        </w:rPr>
        <w:t>expide el Plan Nacional de Desarrollo 2022-2026 “Colombia Potencia Mundial de la Vida</w:t>
      </w:r>
      <w:r w:rsidRPr="00635A00">
        <w:rPr>
          <w:rFonts w:ascii="Times New Roman" w:hAnsi="Times New Roman" w:cs="Times New Roman"/>
          <w:sz w:val="28"/>
        </w:rPr>
        <w:t>”</w:t>
      </w:r>
    </w:p>
    <w:p w:rsidR="00D944EA" w:rsidRPr="00635A00" w:rsidRDefault="00635A00" w:rsidP="001F18DB">
      <w:pPr>
        <w:tabs>
          <w:tab w:val="left" w:pos="567"/>
          <w:tab w:val="left" w:pos="709"/>
        </w:tabs>
        <w:ind w:left="709" w:right="616"/>
        <w:jc w:val="both"/>
        <w:rPr>
          <w:rFonts w:ascii="Times New Roman" w:hAnsi="Times New Roman" w:cs="Times New Roman"/>
          <w:sz w:val="28"/>
        </w:rPr>
      </w:pPr>
    </w:p>
    <w:p w:rsidR="00ED033F" w:rsidRPr="00635A00" w:rsidRDefault="00635A00" w:rsidP="001F18DB">
      <w:pPr>
        <w:tabs>
          <w:tab w:val="left" w:pos="567"/>
          <w:tab w:val="left" w:pos="709"/>
        </w:tabs>
        <w:ind w:left="709" w:right="616"/>
        <w:jc w:val="both"/>
        <w:rPr>
          <w:rFonts w:ascii="Times New Roman" w:hAnsi="Times New Roman" w:cs="Times New Roman"/>
          <w:sz w:val="28"/>
        </w:rPr>
      </w:pPr>
      <w:r w:rsidRPr="00635A00">
        <w:rPr>
          <w:rFonts w:ascii="Times New Roman" w:hAnsi="Times New Roman" w:cs="Times New Roman"/>
          <w:sz w:val="28"/>
        </w:rPr>
        <w:t>(…)</w:t>
      </w:r>
    </w:p>
    <w:p w:rsidR="00ED033F" w:rsidRPr="00635A00" w:rsidRDefault="00635A00" w:rsidP="001F18DB">
      <w:pPr>
        <w:tabs>
          <w:tab w:val="left" w:pos="567"/>
          <w:tab w:val="left" w:pos="709"/>
        </w:tabs>
        <w:ind w:left="709" w:right="616"/>
        <w:jc w:val="both"/>
        <w:rPr>
          <w:rFonts w:ascii="Times New Roman" w:hAnsi="Times New Roman" w:cs="Times New Roman"/>
          <w:sz w:val="28"/>
        </w:rPr>
      </w:pPr>
    </w:p>
    <w:p w:rsidR="00D944EA" w:rsidRPr="00635A00" w:rsidRDefault="00635A00" w:rsidP="001F18DB">
      <w:pPr>
        <w:pStyle w:val="NormalWeb"/>
        <w:tabs>
          <w:tab w:val="left" w:pos="284"/>
          <w:tab w:val="left" w:pos="709"/>
        </w:tabs>
        <w:spacing w:before="0" w:beforeAutospacing="0" w:after="0" w:afterAutospacing="0"/>
        <w:ind w:left="709" w:right="616"/>
        <w:jc w:val="both"/>
        <w:rPr>
          <w:rFonts w:ascii="Times New Roman" w:hAnsi="Times New Roman" w:cs="Times New Roman"/>
          <w:sz w:val="28"/>
        </w:rPr>
      </w:pPr>
      <w:r w:rsidRPr="00635A00">
        <w:rPr>
          <w:rFonts w:ascii="Times New Roman" w:hAnsi="Times New Roman" w:cs="Times New Roman"/>
          <w:b/>
          <w:bCs/>
          <w:sz w:val="28"/>
        </w:rPr>
        <w:t xml:space="preserve">Artículo </w:t>
      </w:r>
      <w:r w:rsidRPr="00635A00">
        <w:rPr>
          <w:rFonts w:ascii="Times New Roman" w:hAnsi="Times New Roman" w:cs="Times New Roman"/>
          <w:b/>
          <w:bCs/>
          <w:sz w:val="28"/>
        </w:rPr>
        <w:t>61</w:t>
      </w:r>
      <w:r w:rsidRPr="00635A00">
        <w:rPr>
          <w:rFonts w:ascii="Times New Roman" w:hAnsi="Times New Roman" w:cs="Times New Roman"/>
          <w:b/>
          <w:bCs/>
          <w:sz w:val="28"/>
        </w:rPr>
        <w:t xml:space="preserve">. </w:t>
      </w:r>
      <w:r w:rsidRPr="00635A00">
        <w:rPr>
          <w:rFonts w:ascii="Times New Roman" w:hAnsi="Times New Roman" w:cs="Times New Roman"/>
          <w:b/>
          <w:bCs/>
          <w:sz w:val="28"/>
        </w:rPr>
        <w:t xml:space="preserve">Mecanismos para facilitar y dinamizar los procesos de compra de </w:t>
      </w:r>
      <w:r w:rsidRPr="00635A00">
        <w:rPr>
          <w:rFonts w:ascii="Times New Roman" w:hAnsi="Times New Roman" w:cs="Times New Roman"/>
          <w:b/>
          <w:bCs/>
          <w:sz w:val="28"/>
        </w:rPr>
        <w:t>tierras por oferta voluntaria</w:t>
      </w:r>
      <w:r w:rsidRPr="00635A00">
        <w:rPr>
          <w:rFonts w:ascii="Times New Roman" w:hAnsi="Times New Roman" w:cs="Times New Roman"/>
          <w:sz w:val="28"/>
        </w:rPr>
        <w:t>.</w:t>
      </w:r>
      <w:r w:rsidRPr="00635A00">
        <w:rPr>
          <w:rFonts w:ascii="Times New Roman" w:hAnsi="Times New Roman" w:cs="Times New Roman"/>
          <w:sz w:val="28"/>
        </w:rPr>
        <w:t xml:space="preserve"> </w:t>
      </w:r>
      <w:r w:rsidRPr="00635A00">
        <w:rPr>
          <w:rFonts w:ascii="Times New Roman" w:hAnsi="Times New Roman" w:cs="Times New Roman"/>
          <w:sz w:val="28"/>
        </w:rPr>
        <w:t xml:space="preserve">En el marco del procedimiento de compra por oferta voluntaria </w:t>
      </w:r>
      <w:r w:rsidRPr="00635A00">
        <w:rPr>
          <w:rFonts w:ascii="Times New Roman" w:hAnsi="Times New Roman" w:cs="Times New Roman"/>
          <w:sz w:val="28"/>
        </w:rPr>
        <w:t>d</w:t>
      </w:r>
      <w:r w:rsidRPr="00635A00">
        <w:rPr>
          <w:rFonts w:ascii="Times New Roman" w:hAnsi="Times New Roman" w:cs="Times New Roman"/>
          <w:sz w:val="28"/>
        </w:rPr>
        <w:t>e tierras, que se destinarán al fondo de tierras a cargo de la Agencia Nacional de Tierras (ANT), podrán adelantarse la siguientes medidas:</w:t>
      </w:r>
    </w:p>
    <w:p w:rsidR="00D944EA" w:rsidRPr="00635A00" w:rsidRDefault="00635A00" w:rsidP="001F18DB">
      <w:pPr>
        <w:tabs>
          <w:tab w:val="left" w:pos="709"/>
        </w:tabs>
        <w:ind w:left="709" w:right="616"/>
        <w:jc w:val="both"/>
        <w:rPr>
          <w:rFonts w:ascii="Times New Roman" w:hAnsi="Times New Roman" w:cs="Times New Roman"/>
          <w:sz w:val="28"/>
        </w:rPr>
      </w:pPr>
    </w:p>
    <w:p w:rsidR="00D944EA" w:rsidRPr="00635A00" w:rsidRDefault="00635A00" w:rsidP="001F18DB">
      <w:pPr>
        <w:tabs>
          <w:tab w:val="left" w:pos="709"/>
        </w:tabs>
        <w:ind w:left="709" w:right="616"/>
        <w:jc w:val="both"/>
        <w:rPr>
          <w:rFonts w:ascii="Times New Roman" w:hAnsi="Times New Roman" w:cs="Times New Roman"/>
          <w:sz w:val="28"/>
        </w:rPr>
      </w:pPr>
      <w:r w:rsidRPr="00635A00">
        <w:rPr>
          <w:rFonts w:ascii="Times New Roman" w:hAnsi="Times New Roman" w:cs="Times New Roman"/>
          <w:sz w:val="28"/>
        </w:rPr>
        <w:t>(…)</w:t>
      </w:r>
    </w:p>
    <w:p w:rsidR="00D944EA" w:rsidRPr="00635A00" w:rsidRDefault="00635A00" w:rsidP="001F18DB">
      <w:pPr>
        <w:tabs>
          <w:tab w:val="left" w:pos="709"/>
        </w:tabs>
        <w:ind w:left="709" w:right="616"/>
        <w:jc w:val="both"/>
        <w:rPr>
          <w:rFonts w:ascii="Times New Roman" w:hAnsi="Times New Roman" w:cs="Times New Roman"/>
          <w:sz w:val="28"/>
        </w:rPr>
      </w:pPr>
    </w:p>
    <w:p w:rsidR="00BB77E2" w:rsidRPr="00635A00" w:rsidRDefault="00635A00" w:rsidP="001F18DB">
      <w:pPr>
        <w:tabs>
          <w:tab w:val="left" w:pos="709"/>
        </w:tabs>
        <w:ind w:left="709" w:right="616"/>
        <w:jc w:val="both"/>
        <w:rPr>
          <w:rFonts w:ascii="Times New Roman" w:hAnsi="Times New Roman" w:cs="Times New Roman"/>
          <w:iCs/>
          <w:sz w:val="28"/>
          <w:u w:val="single"/>
        </w:rPr>
      </w:pPr>
      <w:r w:rsidRPr="00635A00">
        <w:rPr>
          <w:rFonts w:ascii="Times New Roman" w:hAnsi="Times New Roman" w:cs="Times New Roman"/>
          <w:bCs/>
          <w:iCs/>
          <w:sz w:val="28"/>
        </w:rPr>
        <w:t>6</w:t>
      </w:r>
      <w:r w:rsidRPr="00635A00">
        <w:rPr>
          <w:rFonts w:ascii="Times New Roman" w:hAnsi="Times New Roman" w:cs="Times New Roman"/>
          <w:bCs/>
          <w:iCs/>
          <w:sz w:val="28"/>
        </w:rPr>
        <w:t>.</w:t>
      </w:r>
      <w:r w:rsidRPr="00635A00">
        <w:rPr>
          <w:rFonts w:ascii="Times New Roman" w:hAnsi="Times New Roman" w:cs="Times New Roman"/>
          <w:b/>
          <w:iCs/>
          <w:spacing w:val="-3"/>
          <w:sz w:val="28"/>
        </w:rPr>
        <w:t xml:space="preserve"> </w:t>
      </w:r>
      <w:r w:rsidRPr="00635A00">
        <w:rPr>
          <w:rFonts w:ascii="Times New Roman" w:hAnsi="Times New Roman" w:cs="Times New Roman"/>
          <w:b/>
          <w:bCs/>
          <w:iCs/>
          <w:sz w:val="28"/>
          <w:u w:val="single"/>
        </w:rPr>
        <w:t>Procedimiento</w:t>
      </w:r>
      <w:r w:rsidRPr="00635A00">
        <w:rPr>
          <w:rFonts w:ascii="Times New Roman" w:hAnsi="Times New Roman" w:cs="Times New Roman"/>
          <w:b/>
          <w:bCs/>
          <w:iCs/>
          <w:sz w:val="28"/>
          <w:u w:val="single"/>
        </w:rPr>
        <w:t>s de la autoridad de tierras que deberán ser resueltos en fase administrativa</w:t>
      </w:r>
      <w:r w:rsidRPr="00635A00">
        <w:rPr>
          <w:rFonts w:ascii="Times New Roman" w:hAnsi="Times New Roman" w:cs="Times New Roman"/>
          <w:iCs/>
          <w:sz w:val="28"/>
          <w:u w:val="single"/>
        </w:rPr>
        <w:t>. Para los asuntos de que tratan los numerales 4, 5 y 7 del artículo 58 del Decreto Ley 902 de 2017, la Agencia Nacional de Tierras (ANT), mediante acto administrativo fundamentad</w:t>
      </w:r>
      <w:r w:rsidRPr="00635A00">
        <w:rPr>
          <w:rFonts w:ascii="Times New Roman" w:hAnsi="Times New Roman" w:cs="Times New Roman"/>
          <w:iCs/>
          <w:sz w:val="28"/>
          <w:u w:val="single"/>
        </w:rPr>
        <w:t>o en el informe técnico-jurídico definitivo y demás pruebas recaudadas, tomará la decisión de fondo que corresponda.</w:t>
      </w:r>
    </w:p>
    <w:p w:rsidR="00007DBD" w:rsidRPr="00635A00" w:rsidRDefault="00635A00" w:rsidP="001F18DB">
      <w:pPr>
        <w:tabs>
          <w:tab w:val="left" w:pos="709"/>
        </w:tabs>
        <w:ind w:left="709" w:right="616"/>
        <w:jc w:val="both"/>
        <w:rPr>
          <w:rFonts w:ascii="Times New Roman" w:hAnsi="Times New Roman" w:cs="Times New Roman"/>
          <w:iCs/>
          <w:sz w:val="28"/>
          <w:u w:val="single"/>
        </w:rPr>
      </w:pPr>
    </w:p>
    <w:p w:rsidR="00007DBD" w:rsidRPr="00635A00" w:rsidRDefault="00635A00" w:rsidP="001F18DB">
      <w:pPr>
        <w:tabs>
          <w:tab w:val="left" w:pos="709"/>
        </w:tabs>
        <w:ind w:left="709" w:right="616"/>
        <w:jc w:val="both"/>
        <w:rPr>
          <w:rFonts w:ascii="Times New Roman" w:hAnsi="Times New Roman" w:cs="Times New Roman"/>
          <w:iCs/>
          <w:sz w:val="28"/>
          <w:u w:val="single"/>
        </w:rPr>
      </w:pPr>
      <w:r w:rsidRPr="00635A00">
        <w:rPr>
          <w:rFonts w:ascii="Times New Roman" w:hAnsi="Times New Roman" w:cs="Times New Roman"/>
          <w:iCs/>
          <w:sz w:val="28"/>
          <w:u w:val="single"/>
        </w:rPr>
        <w:t xml:space="preserve">En firme dicho acto administrativo, la ANT procederá a su radicación en la Oficina de Registro de Instrumentos Públicos del círculo donde </w:t>
      </w:r>
      <w:r w:rsidRPr="00635A00">
        <w:rPr>
          <w:rFonts w:ascii="Times New Roman" w:hAnsi="Times New Roman" w:cs="Times New Roman"/>
          <w:iCs/>
          <w:sz w:val="28"/>
          <w:u w:val="single"/>
        </w:rPr>
        <w:t>se encuentra el predio, con el fin de que se realice el respectivo registro en el folio de matrícula inmobiliaria.</w:t>
      </w:r>
    </w:p>
    <w:p w:rsidR="00007DBD" w:rsidRPr="00635A00" w:rsidRDefault="00635A00" w:rsidP="001F18DB">
      <w:pPr>
        <w:tabs>
          <w:tab w:val="left" w:pos="709"/>
        </w:tabs>
        <w:ind w:left="709" w:right="616"/>
        <w:jc w:val="both"/>
        <w:rPr>
          <w:rFonts w:ascii="Times New Roman" w:hAnsi="Times New Roman" w:cs="Times New Roman"/>
          <w:iCs/>
          <w:sz w:val="28"/>
          <w:u w:val="single"/>
        </w:rPr>
      </w:pPr>
    </w:p>
    <w:p w:rsidR="00007DBD" w:rsidRPr="00635A00" w:rsidRDefault="00635A00" w:rsidP="001F18DB">
      <w:pPr>
        <w:tabs>
          <w:tab w:val="left" w:pos="709"/>
        </w:tabs>
        <w:ind w:left="709" w:right="616"/>
        <w:jc w:val="both"/>
        <w:rPr>
          <w:rFonts w:ascii="Times New Roman" w:hAnsi="Times New Roman" w:cs="Times New Roman"/>
          <w:iCs/>
          <w:sz w:val="28"/>
          <w:u w:val="single"/>
        </w:rPr>
      </w:pPr>
      <w:r w:rsidRPr="00635A00">
        <w:rPr>
          <w:rFonts w:ascii="Times New Roman" w:hAnsi="Times New Roman" w:cs="Times New Roman"/>
          <w:iCs/>
          <w:sz w:val="28"/>
          <w:u w:val="single"/>
        </w:rPr>
        <w:t>Los particulares que aduzcan tener derechos reales sobre los predios sometidos a los asuntos indicados podrán ejercer únicamente la acción d</w:t>
      </w:r>
      <w:r w:rsidRPr="00635A00">
        <w:rPr>
          <w:rFonts w:ascii="Times New Roman" w:hAnsi="Times New Roman" w:cs="Times New Roman"/>
          <w:iCs/>
          <w:sz w:val="28"/>
          <w:u w:val="single"/>
        </w:rPr>
        <w:t>e nulidad agraria de que trata el artículo 39 de dicho decreto.</w:t>
      </w:r>
    </w:p>
    <w:p w:rsidR="00964C31" w:rsidRPr="00635A00" w:rsidRDefault="00635A00" w:rsidP="001F18DB">
      <w:pPr>
        <w:tabs>
          <w:tab w:val="left" w:pos="709"/>
        </w:tabs>
        <w:ind w:left="709" w:right="616"/>
        <w:jc w:val="both"/>
        <w:rPr>
          <w:rFonts w:ascii="Times New Roman" w:hAnsi="Times New Roman" w:cs="Times New Roman"/>
          <w:iCs/>
          <w:sz w:val="28"/>
          <w:u w:val="single"/>
        </w:rPr>
      </w:pPr>
    </w:p>
    <w:p w:rsidR="00964C31" w:rsidRPr="00635A00" w:rsidRDefault="00635A00" w:rsidP="001F18DB">
      <w:pPr>
        <w:tabs>
          <w:tab w:val="left" w:pos="709"/>
        </w:tabs>
        <w:ind w:left="709" w:right="616"/>
        <w:jc w:val="both"/>
        <w:rPr>
          <w:rFonts w:ascii="Times New Roman" w:hAnsi="Times New Roman" w:cs="Times New Roman"/>
          <w:iCs/>
          <w:sz w:val="28"/>
        </w:rPr>
      </w:pPr>
      <w:r w:rsidRPr="00635A00">
        <w:rPr>
          <w:rFonts w:ascii="Times New Roman" w:hAnsi="Times New Roman" w:cs="Times New Roman"/>
          <w:iCs/>
          <w:sz w:val="28"/>
          <w:u w:val="single"/>
        </w:rPr>
        <w:t xml:space="preserve">Dicha acción operará como control judicial frente al acto administrativo en el que se toma la decisión de fondo. Para su interposición, el accionante contará con un término de tres (3) años, </w:t>
      </w:r>
      <w:r w:rsidRPr="00635A00">
        <w:rPr>
          <w:rFonts w:ascii="Times New Roman" w:hAnsi="Times New Roman" w:cs="Times New Roman"/>
          <w:iCs/>
          <w:sz w:val="28"/>
          <w:u w:val="single"/>
        </w:rPr>
        <w:t>contados a partir de la fecha de inscripción del acto administrativo en el folio de matrícula inmobiliaria. Esta acción podrá interponerse directamente, sin necesidad de haber agotado los recursos contra el acto administrativo</w:t>
      </w:r>
      <w:r w:rsidRPr="00635A00">
        <w:rPr>
          <w:rFonts w:ascii="Times New Roman" w:hAnsi="Times New Roman" w:cs="Times New Roman"/>
          <w:iCs/>
          <w:sz w:val="28"/>
        </w:rPr>
        <w:t>.</w:t>
      </w:r>
    </w:p>
    <w:p w:rsidR="00964C31" w:rsidRPr="00635A00" w:rsidRDefault="00635A00" w:rsidP="001F18DB">
      <w:pPr>
        <w:tabs>
          <w:tab w:val="left" w:pos="709"/>
        </w:tabs>
        <w:ind w:left="709" w:right="616"/>
        <w:jc w:val="both"/>
        <w:rPr>
          <w:rFonts w:ascii="Times New Roman" w:hAnsi="Times New Roman" w:cs="Times New Roman"/>
          <w:iCs/>
          <w:sz w:val="28"/>
          <w:u w:val="single"/>
        </w:rPr>
      </w:pPr>
    </w:p>
    <w:p w:rsidR="00964C31" w:rsidRPr="00635A00" w:rsidRDefault="00635A00" w:rsidP="001F18DB">
      <w:pPr>
        <w:tabs>
          <w:tab w:val="left" w:pos="709"/>
        </w:tabs>
        <w:ind w:left="709" w:right="616"/>
        <w:jc w:val="both"/>
        <w:rPr>
          <w:rFonts w:ascii="Times New Roman" w:hAnsi="Times New Roman" w:cs="Times New Roman"/>
          <w:iCs/>
          <w:sz w:val="28"/>
        </w:rPr>
      </w:pPr>
      <w:r w:rsidRPr="00635A00">
        <w:rPr>
          <w:rFonts w:ascii="Times New Roman" w:hAnsi="Times New Roman" w:cs="Times New Roman"/>
          <w:iCs/>
          <w:sz w:val="28"/>
          <w:u w:val="single"/>
        </w:rPr>
        <w:t xml:space="preserve">En los eventos en los que </w:t>
      </w:r>
      <w:r w:rsidRPr="00635A00">
        <w:rPr>
          <w:rFonts w:ascii="Times New Roman" w:hAnsi="Times New Roman" w:cs="Times New Roman"/>
          <w:iCs/>
          <w:sz w:val="28"/>
          <w:u w:val="single"/>
        </w:rPr>
        <w:t xml:space="preserve">el juez disponga la suspensión provisional del acto administrativo en el marco de la acción de nulidad agraria, la ANT podrá disponer del inmueble conforme a sus competencias legales, siempre y cuando constituya una reserva destinada a cumplir las órdenes </w:t>
      </w:r>
      <w:r w:rsidRPr="00635A00">
        <w:rPr>
          <w:rFonts w:ascii="Times New Roman" w:hAnsi="Times New Roman" w:cs="Times New Roman"/>
          <w:iCs/>
          <w:sz w:val="28"/>
          <w:u w:val="single"/>
        </w:rPr>
        <w:t>judiciales que se puedan dar en favor de los accionantes. Dicha reserva podrá ser constituida con recursos de su presupuesto, vehículos financieros públicos y/o cuentas especiales de la Nación</w:t>
      </w:r>
      <w:r w:rsidRPr="00635A00">
        <w:rPr>
          <w:rFonts w:ascii="Times New Roman" w:hAnsi="Times New Roman" w:cs="Times New Roman"/>
          <w:iCs/>
          <w:sz w:val="28"/>
        </w:rPr>
        <w:t>.</w:t>
      </w:r>
    </w:p>
    <w:p w:rsidR="00480C55" w:rsidRPr="00635A00" w:rsidRDefault="00635A00" w:rsidP="001F18DB">
      <w:pPr>
        <w:tabs>
          <w:tab w:val="left" w:pos="709"/>
        </w:tabs>
        <w:ind w:left="709" w:right="616"/>
        <w:jc w:val="both"/>
        <w:rPr>
          <w:rFonts w:ascii="Times New Roman" w:hAnsi="Times New Roman" w:cs="Times New Roman"/>
          <w:iCs/>
          <w:sz w:val="28"/>
          <w:u w:val="single"/>
        </w:rPr>
      </w:pPr>
    </w:p>
    <w:p w:rsidR="00480C55" w:rsidRPr="00635A00" w:rsidRDefault="00635A00" w:rsidP="001F18DB">
      <w:pPr>
        <w:tabs>
          <w:tab w:val="left" w:pos="709"/>
        </w:tabs>
        <w:ind w:left="709" w:right="616"/>
        <w:jc w:val="both"/>
        <w:rPr>
          <w:rFonts w:ascii="Times New Roman" w:hAnsi="Times New Roman" w:cs="Times New Roman"/>
          <w:iCs/>
          <w:sz w:val="28"/>
        </w:rPr>
      </w:pPr>
      <w:r w:rsidRPr="00635A00">
        <w:rPr>
          <w:rFonts w:ascii="Times New Roman" w:hAnsi="Times New Roman" w:cs="Times New Roman"/>
          <w:iCs/>
          <w:sz w:val="28"/>
          <w:u w:val="single"/>
        </w:rPr>
        <w:t xml:space="preserve">Los procedimientos especiales agrarios que hubiesen pasado a </w:t>
      </w:r>
      <w:r w:rsidRPr="00635A00">
        <w:rPr>
          <w:rFonts w:ascii="Times New Roman" w:hAnsi="Times New Roman" w:cs="Times New Roman"/>
          <w:iCs/>
          <w:sz w:val="28"/>
          <w:u w:val="single"/>
        </w:rPr>
        <w:t>etapa judicial, empero no hayan surtido la fase probatoria en dicha instancia, podrán ser reasumidos, mediante acto administrativo, por la Agencia Nacional de Tierras y tramitarse atendiendo las disposiciones acá contenidas</w:t>
      </w:r>
      <w:r w:rsidRPr="00635A00">
        <w:rPr>
          <w:rFonts w:ascii="Times New Roman" w:hAnsi="Times New Roman" w:cs="Times New Roman"/>
          <w:iCs/>
          <w:sz w:val="28"/>
        </w:rPr>
        <w:t>.</w:t>
      </w:r>
    </w:p>
    <w:p w:rsidR="00CE7D53" w:rsidRPr="00635A00" w:rsidRDefault="00635A00" w:rsidP="001F18DB">
      <w:pPr>
        <w:tabs>
          <w:tab w:val="left" w:pos="709"/>
        </w:tabs>
        <w:ind w:left="709" w:right="616"/>
        <w:jc w:val="both"/>
        <w:rPr>
          <w:rFonts w:ascii="Times New Roman" w:hAnsi="Times New Roman" w:cs="Times New Roman"/>
          <w:iCs/>
          <w:sz w:val="28"/>
        </w:rPr>
      </w:pPr>
    </w:p>
    <w:p w:rsidR="00CE7D53" w:rsidRPr="00635A00" w:rsidRDefault="00635A00" w:rsidP="001F18DB">
      <w:pPr>
        <w:tabs>
          <w:tab w:val="left" w:pos="709"/>
        </w:tabs>
        <w:ind w:left="709" w:right="616"/>
        <w:jc w:val="both"/>
        <w:rPr>
          <w:rFonts w:ascii="Times New Roman" w:hAnsi="Times New Roman" w:cs="Times New Roman"/>
          <w:iCs/>
          <w:sz w:val="28"/>
        </w:rPr>
      </w:pPr>
      <w:r w:rsidRPr="00635A00">
        <w:rPr>
          <w:rFonts w:ascii="Times New Roman" w:hAnsi="Times New Roman" w:cs="Times New Roman"/>
          <w:iCs/>
          <w:sz w:val="28"/>
        </w:rPr>
        <w:t>(…)</w:t>
      </w:r>
    </w:p>
    <w:p w:rsidR="00CE7D53" w:rsidRPr="00635A00" w:rsidRDefault="00635A00" w:rsidP="001F18DB">
      <w:pPr>
        <w:tabs>
          <w:tab w:val="left" w:pos="709"/>
        </w:tabs>
        <w:ind w:left="709" w:right="616"/>
        <w:jc w:val="both"/>
        <w:rPr>
          <w:rFonts w:ascii="Times New Roman" w:hAnsi="Times New Roman" w:cs="Times New Roman"/>
          <w:iCs/>
          <w:sz w:val="28"/>
        </w:rPr>
      </w:pPr>
    </w:p>
    <w:p w:rsidR="00CE7D53" w:rsidRPr="00635A00" w:rsidRDefault="00635A00" w:rsidP="001F18DB">
      <w:pPr>
        <w:tabs>
          <w:tab w:val="left" w:pos="709"/>
        </w:tabs>
        <w:ind w:left="709" w:right="616"/>
        <w:jc w:val="both"/>
        <w:rPr>
          <w:rFonts w:ascii="Times New Roman" w:hAnsi="Times New Roman" w:cs="Times New Roman"/>
          <w:iCs/>
          <w:sz w:val="28"/>
        </w:rPr>
      </w:pPr>
      <w:r w:rsidRPr="00635A00">
        <w:rPr>
          <w:rFonts w:ascii="Times New Roman" w:hAnsi="Times New Roman" w:cs="Times New Roman"/>
          <w:b/>
          <w:bCs/>
          <w:iCs/>
          <w:sz w:val="28"/>
          <w:u w:val="single"/>
        </w:rPr>
        <w:t>Parágrafo 3°</w:t>
      </w:r>
      <w:r w:rsidRPr="00635A00">
        <w:rPr>
          <w:rFonts w:ascii="Times New Roman" w:hAnsi="Times New Roman" w:cs="Times New Roman"/>
          <w:iCs/>
          <w:sz w:val="28"/>
          <w:u w:val="single"/>
        </w:rPr>
        <w:t xml:space="preserve">. El numeral </w:t>
      </w:r>
      <w:r w:rsidRPr="00635A00">
        <w:rPr>
          <w:rFonts w:ascii="Times New Roman" w:hAnsi="Times New Roman" w:cs="Times New Roman"/>
          <w:iCs/>
          <w:sz w:val="28"/>
          <w:u w:val="single"/>
        </w:rPr>
        <w:t>6 del presente artículo deroga el inciso segundo del artículo 39, el numeral 2 del artículo 60, el inciso segundo del artículo 61, el artículo 75 y el inciso tercero del artículo 76, solo en lo que respecta a los asuntos de que trata[n] los numerales 4, 5,</w:t>
      </w:r>
      <w:r w:rsidRPr="00635A00">
        <w:rPr>
          <w:rFonts w:ascii="Times New Roman" w:hAnsi="Times New Roman" w:cs="Times New Roman"/>
          <w:iCs/>
          <w:sz w:val="28"/>
          <w:u w:val="single"/>
        </w:rPr>
        <w:t xml:space="preserve"> y 7 del artículo 58 del Decreto Ley 902 de 2017, y las demás normas procedimentales que contradigan su contenido</w:t>
      </w:r>
      <w:r w:rsidRPr="00635A00">
        <w:rPr>
          <w:rFonts w:ascii="Times New Roman" w:hAnsi="Times New Roman" w:cs="Times New Roman"/>
          <w:iCs/>
          <w:sz w:val="28"/>
        </w:rPr>
        <w:t>.</w:t>
      </w:r>
    </w:p>
    <w:p w:rsidR="003F12F4" w:rsidRPr="00635A00" w:rsidRDefault="00635A00" w:rsidP="001F18DB">
      <w:pPr>
        <w:tabs>
          <w:tab w:val="left" w:pos="709"/>
        </w:tabs>
        <w:ind w:left="709" w:right="616"/>
        <w:jc w:val="both"/>
        <w:rPr>
          <w:rFonts w:ascii="Times New Roman" w:hAnsi="Times New Roman" w:cs="Times New Roman"/>
          <w:iCs/>
          <w:sz w:val="28"/>
        </w:rPr>
      </w:pPr>
    </w:p>
    <w:p w:rsidR="00CE7D53" w:rsidRPr="00635A00" w:rsidRDefault="00635A00" w:rsidP="001F18DB">
      <w:pPr>
        <w:tabs>
          <w:tab w:val="left" w:pos="709"/>
        </w:tabs>
        <w:ind w:left="709" w:right="616"/>
        <w:jc w:val="both"/>
        <w:rPr>
          <w:rFonts w:ascii="Times New Roman" w:hAnsi="Times New Roman" w:cs="Times New Roman"/>
          <w:iCs/>
          <w:sz w:val="28"/>
        </w:rPr>
      </w:pPr>
      <w:r w:rsidRPr="00635A00">
        <w:rPr>
          <w:rFonts w:ascii="Times New Roman" w:hAnsi="Times New Roman" w:cs="Times New Roman"/>
          <w:iCs/>
          <w:sz w:val="28"/>
        </w:rPr>
        <w:t>(…)</w:t>
      </w:r>
    </w:p>
    <w:p w:rsidR="00660A70" w:rsidRPr="00635A00" w:rsidRDefault="00635A00" w:rsidP="001F18DB">
      <w:pPr>
        <w:tabs>
          <w:tab w:val="left" w:pos="709"/>
        </w:tabs>
        <w:ind w:left="709" w:right="616"/>
        <w:jc w:val="both"/>
        <w:rPr>
          <w:rFonts w:ascii="Times New Roman" w:hAnsi="Times New Roman" w:cs="Times New Roman"/>
          <w:sz w:val="28"/>
        </w:rPr>
      </w:pPr>
    </w:p>
    <w:p w:rsidR="00C3313F" w:rsidRPr="00635A00" w:rsidRDefault="00635A00" w:rsidP="0024402C">
      <w:pPr>
        <w:pStyle w:val="Sombreadovistoso-nfasis31"/>
        <w:numPr>
          <w:ilvl w:val="0"/>
          <w:numId w:val="4"/>
        </w:numPr>
        <w:ind w:hanging="513"/>
        <w:rPr>
          <w:rFonts w:ascii="Times New Roman" w:hAnsi="Times New Roman" w:cs="Times New Roman"/>
          <w:b/>
          <w:color w:val="auto"/>
          <w:lang w:val="es-CO"/>
        </w:rPr>
      </w:pPr>
      <w:r w:rsidRPr="00635A00">
        <w:rPr>
          <w:rFonts w:ascii="Times New Roman" w:hAnsi="Times New Roman" w:cs="Times New Roman"/>
          <w:b/>
          <w:color w:val="auto"/>
          <w:lang w:val="es-CO"/>
        </w:rPr>
        <w:t>Las demandas</w:t>
      </w:r>
    </w:p>
    <w:p w:rsidR="00C3313F" w:rsidRPr="00635A00" w:rsidRDefault="00635A00" w:rsidP="0024402C">
      <w:pPr>
        <w:pStyle w:val="Sombreadovistoso-nfasis31"/>
        <w:ind w:left="0"/>
        <w:rPr>
          <w:rFonts w:ascii="Times New Roman" w:hAnsi="Times New Roman" w:cs="Times New Roman"/>
          <w:b/>
          <w:color w:val="auto"/>
          <w:lang w:val="es-CO"/>
        </w:rPr>
      </w:pPr>
    </w:p>
    <w:p w:rsidR="00D27AAE" w:rsidRPr="00635A00" w:rsidRDefault="00635A00" w:rsidP="00D27AAE">
      <w:pPr>
        <w:pStyle w:val="Prrafodelista"/>
        <w:widowControl/>
        <w:numPr>
          <w:ilvl w:val="0"/>
          <w:numId w:val="3"/>
        </w:numPr>
        <w:contextualSpacing/>
        <w:rPr>
          <w:rFonts w:ascii="Times New Roman" w:hAnsi="Times New Roman" w:cs="Times New Roman"/>
          <w:bCs/>
          <w:color w:val="auto"/>
          <w:lang w:val="es-CO"/>
        </w:rPr>
      </w:pPr>
      <w:r w:rsidRPr="00635A00">
        <w:rPr>
          <w:rFonts w:ascii="Times New Roman" w:hAnsi="Times New Roman" w:cs="Times New Roman"/>
          <w:color w:val="auto"/>
          <w:shd w:val="clear" w:color="auto" w:fill="FFFFFF"/>
          <w:lang w:val="es-CO"/>
        </w:rPr>
        <w:t>Los</w:t>
      </w:r>
      <w:r w:rsidRPr="00635A00">
        <w:rPr>
          <w:rFonts w:ascii="Times New Roman" w:hAnsi="Times New Roman" w:cs="Times New Roman"/>
          <w:color w:val="auto"/>
          <w:shd w:val="clear" w:color="auto" w:fill="FFFFFF"/>
          <w:lang w:val="es-CO"/>
        </w:rPr>
        <w:t xml:space="preserve"> cargos de inconstitucionalidad</w:t>
      </w:r>
      <w:r w:rsidRPr="00635A00">
        <w:rPr>
          <w:rFonts w:ascii="Times New Roman" w:hAnsi="Times New Roman" w:cs="Times New Roman"/>
          <w:color w:val="auto"/>
          <w:shd w:val="clear" w:color="auto" w:fill="FFFFFF"/>
          <w:lang w:val="es-CO"/>
        </w:rPr>
        <w:t xml:space="preserve"> que la magistrada sustanciadora admitió para estudio son los siguientes:</w:t>
      </w:r>
      <w:r w:rsidRPr="00635A00">
        <w:rPr>
          <w:rFonts w:ascii="Times New Roman" w:hAnsi="Times New Roman" w:cs="Times New Roman"/>
          <w:color w:val="auto"/>
          <w:shd w:val="clear" w:color="auto" w:fill="FFFFFF"/>
          <w:lang w:val="es-CO"/>
        </w:rPr>
        <w:t xml:space="preserve"> </w:t>
      </w:r>
    </w:p>
    <w:p w:rsidR="00D157A3" w:rsidRPr="00635A00" w:rsidRDefault="00635A00" w:rsidP="0024402C">
      <w:pPr>
        <w:pStyle w:val="Sombreadovistoso-nfasis31"/>
        <w:ind w:left="0"/>
        <w:rPr>
          <w:rFonts w:ascii="Times New Roman" w:hAnsi="Times New Roman" w:cs="Times New Roman"/>
          <w:b/>
          <w:color w:val="auto"/>
          <w:lang w:val="es-CO"/>
        </w:rPr>
      </w:pPr>
    </w:p>
    <w:p w:rsidR="009240FE" w:rsidRPr="00635A00" w:rsidRDefault="00635A00" w:rsidP="0024402C">
      <w:pPr>
        <w:pStyle w:val="Sombreadovistoso-nfasis31"/>
        <w:ind w:left="0"/>
        <w:rPr>
          <w:rFonts w:ascii="Times New Roman" w:hAnsi="Times New Roman" w:cs="Times New Roman"/>
          <w:b/>
          <w:color w:val="auto"/>
          <w:lang w:val="es-CO"/>
        </w:rPr>
      </w:pPr>
      <w:r w:rsidRPr="00635A00">
        <w:rPr>
          <w:rFonts w:ascii="Times New Roman" w:hAnsi="Times New Roman" w:cs="Times New Roman"/>
          <w:b/>
          <w:color w:val="auto"/>
          <w:lang w:val="es-CO"/>
        </w:rPr>
        <w:t xml:space="preserve">Expediente </w:t>
      </w:r>
      <w:r w:rsidRPr="00635A00">
        <w:rPr>
          <w:rFonts w:ascii="Times New Roman" w:hAnsi="Times New Roman" w:cs="Times New Roman"/>
          <w:b/>
          <w:color w:val="auto"/>
          <w:lang w:val="es-CO"/>
        </w:rPr>
        <w:t>D-15438</w:t>
      </w:r>
    </w:p>
    <w:p w:rsidR="009240FE" w:rsidRPr="00635A00" w:rsidRDefault="00635A00" w:rsidP="0024402C">
      <w:pPr>
        <w:pStyle w:val="Sombreadovistoso-nfasis31"/>
        <w:ind w:left="0"/>
        <w:rPr>
          <w:rFonts w:ascii="Times New Roman" w:hAnsi="Times New Roman" w:cs="Times New Roman"/>
          <w:b/>
          <w:color w:val="auto"/>
          <w:lang w:val="es-CO"/>
        </w:rPr>
      </w:pPr>
    </w:p>
    <w:p w:rsidR="00A370B7" w:rsidRPr="00635A00" w:rsidRDefault="00635A00" w:rsidP="00643D7C">
      <w:pPr>
        <w:pStyle w:val="Prrafodelista"/>
        <w:numPr>
          <w:ilvl w:val="0"/>
          <w:numId w:val="3"/>
        </w:numPr>
        <w:tabs>
          <w:tab w:val="left" w:pos="567"/>
        </w:tabs>
        <w:rPr>
          <w:rFonts w:ascii="Times New Roman" w:hAnsi="Times New Roman" w:cs="Times New Roman"/>
          <w:bCs/>
          <w:color w:val="auto"/>
          <w:lang w:val="es-CO"/>
        </w:rPr>
      </w:pPr>
      <w:bookmarkStart w:id="5" w:name="_Ref94867830"/>
      <w:r w:rsidRPr="00635A00">
        <w:rPr>
          <w:rFonts w:ascii="Times New Roman" w:hAnsi="Times New Roman" w:cs="Times New Roman"/>
          <w:b/>
          <w:bCs/>
          <w:color w:val="auto"/>
        </w:rPr>
        <w:t xml:space="preserve">Cargo único por violación del principio de progresividad y </w:t>
      </w:r>
      <w:r w:rsidRPr="00635A00">
        <w:rPr>
          <w:rFonts w:ascii="Times New Roman" w:hAnsi="Times New Roman" w:cs="Times New Roman"/>
          <w:b/>
          <w:bCs/>
          <w:color w:val="auto"/>
        </w:rPr>
        <w:t>no</w:t>
      </w:r>
      <w:r w:rsidRPr="00635A00">
        <w:rPr>
          <w:rFonts w:ascii="Times New Roman" w:hAnsi="Times New Roman" w:cs="Times New Roman"/>
          <w:b/>
          <w:bCs/>
          <w:color w:val="auto"/>
        </w:rPr>
        <w:t xml:space="preserve"> regresividad </w:t>
      </w:r>
      <w:r w:rsidRPr="00635A00">
        <w:rPr>
          <w:rFonts w:ascii="Times New Roman" w:hAnsi="Times New Roman" w:cs="Times New Roman"/>
          <w:b/>
          <w:bCs/>
          <w:color w:val="auto"/>
        </w:rPr>
        <w:t>respecto del derecho fundamental al debido proceso</w:t>
      </w:r>
      <w:r w:rsidRPr="00635A00">
        <w:rPr>
          <w:rStyle w:val="Refdenotaalpie"/>
          <w:rFonts w:ascii="Times New Roman" w:hAnsi="Times New Roman" w:cs="Times New Roman"/>
          <w:b/>
          <w:bCs/>
          <w:color w:val="auto"/>
        </w:rPr>
        <w:footnoteReference w:id="6"/>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El </w:t>
      </w:r>
      <w:bookmarkEnd w:id="5"/>
      <w:r w:rsidRPr="00635A00">
        <w:rPr>
          <w:rFonts w:ascii="Times New Roman" w:hAnsi="Times New Roman" w:cs="Times New Roman"/>
          <w:color w:val="auto"/>
        </w:rPr>
        <w:t xml:space="preserve">ciudadano Guillermo Forero Álvarez </w:t>
      </w:r>
      <w:r w:rsidRPr="00635A00">
        <w:rPr>
          <w:rFonts w:ascii="Times New Roman" w:hAnsi="Times New Roman" w:cs="Times New Roman"/>
          <w:color w:val="auto"/>
        </w:rPr>
        <w:t>solicitó</w:t>
      </w:r>
      <w:r w:rsidRPr="00635A00">
        <w:rPr>
          <w:rFonts w:ascii="Times New Roman" w:hAnsi="Times New Roman" w:cs="Times New Roman"/>
          <w:color w:val="auto"/>
        </w:rPr>
        <w:t xml:space="preserve"> la </w:t>
      </w:r>
      <w:r w:rsidRPr="00635A00">
        <w:rPr>
          <w:rFonts w:ascii="Times New Roman" w:hAnsi="Times New Roman" w:cs="Times New Roman"/>
          <w:color w:val="auto"/>
        </w:rPr>
        <w:t xml:space="preserve">inexequibilidad </w:t>
      </w:r>
      <w:r w:rsidRPr="00635A00">
        <w:rPr>
          <w:rFonts w:ascii="Times New Roman" w:hAnsi="Times New Roman" w:cs="Times New Roman"/>
          <w:color w:val="auto"/>
        </w:rPr>
        <w:t>de los incisos primero, segundo, tercero y sexto</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del </w:t>
      </w:r>
      <w:r w:rsidRPr="00635A00">
        <w:rPr>
          <w:rFonts w:ascii="Times New Roman" w:hAnsi="Times New Roman" w:cs="Times New Roman"/>
          <w:color w:val="auto"/>
        </w:rPr>
        <w:t>numeral 6</w:t>
      </w:r>
      <w:r w:rsidRPr="00635A00">
        <w:rPr>
          <w:rFonts w:ascii="Times New Roman" w:hAnsi="Times New Roman" w:cs="Times New Roman"/>
          <w:color w:val="auto"/>
        </w:rPr>
        <w:t>, así como el parágrafo 3°,</w:t>
      </w:r>
      <w:r w:rsidRPr="00635A00">
        <w:rPr>
          <w:rFonts w:ascii="Times New Roman" w:hAnsi="Times New Roman" w:cs="Times New Roman"/>
          <w:color w:val="auto"/>
        </w:rPr>
        <w:t xml:space="preserve"> del </w:t>
      </w:r>
      <w:r w:rsidRPr="00635A00">
        <w:rPr>
          <w:rFonts w:ascii="Times New Roman" w:hAnsi="Times New Roman" w:cs="Times New Roman"/>
          <w:color w:val="auto"/>
        </w:rPr>
        <w:t>artículo 61 de la Ley 2294</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E</w:t>
      </w:r>
      <w:r w:rsidRPr="00635A00">
        <w:rPr>
          <w:rFonts w:ascii="Times New Roman" w:hAnsi="Times New Roman" w:cs="Times New Roman"/>
          <w:color w:val="auto"/>
        </w:rPr>
        <w:t>n criterio</w:t>
      </w:r>
      <w:r w:rsidRPr="00635A00">
        <w:rPr>
          <w:rFonts w:ascii="Times New Roman" w:hAnsi="Times New Roman" w:cs="Times New Roman"/>
          <w:color w:val="auto"/>
        </w:rPr>
        <w:t xml:space="preserve"> del accionante, </w:t>
      </w:r>
      <w:r w:rsidRPr="00635A00">
        <w:rPr>
          <w:rFonts w:ascii="Times New Roman" w:hAnsi="Times New Roman" w:cs="Times New Roman"/>
          <w:color w:val="auto"/>
        </w:rPr>
        <w:t xml:space="preserve">tales normas vulneran el principio de progresividad y </w:t>
      </w:r>
      <w:r w:rsidRPr="00635A00">
        <w:rPr>
          <w:rFonts w:ascii="Times New Roman" w:hAnsi="Times New Roman" w:cs="Times New Roman"/>
          <w:color w:val="auto"/>
        </w:rPr>
        <w:t>no</w:t>
      </w:r>
      <w:r w:rsidRPr="00635A00">
        <w:rPr>
          <w:rFonts w:ascii="Times New Roman" w:hAnsi="Times New Roman" w:cs="Times New Roman"/>
          <w:color w:val="auto"/>
        </w:rPr>
        <w:t xml:space="preserve"> regresividad o retroceso</w:t>
      </w:r>
      <w:r w:rsidRPr="00635A00">
        <w:rPr>
          <w:rFonts w:ascii="Times New Roman" w:hAnsi="Times New Roman" w:cs="Times New Roman"/>
          <w:color w:val="auto"/>
        </w:rPr>
        <w:t xml:space="preserve"> en materia de derechos</w:t>
      </w:r>
      <w:r w:rsidRPr="00635A00">
        <w:rPr>
          <w:rStyle w:val="Refdenotaalpie"/>
          <w:rFonts w:ascii="Times New Roman" w:hAnsi="Times New Roman" w:cs="Times New Roman"/>
          <w:color w:val="auto"/>
        </w:rPr>
        <w:footnoteReference w:id="7"/>
      </w:r>
      <w:r w:rsidRPr="00635A00">
        <w:rPr>
          <w:rFonts w:ascii="Times New Roman" w:hAnsi="Times New Roman" w:cs="Times New Roman"/>
          <w:color w:val="auto"/>
        </w:rPr>
        <w:t>, que encuentran su fundamento en los artículo</w:t>
      </w:r>
      <w:r w:rsidRPr="00635A00">
        <w:rPr>
          <w:rFonts w:ascii="Times New Roman" w:hAnsi="Times New Roman" w:cs="Times New Roman"/>
          <w:color w:val="auto"/>
        </w:rPr>
        <w:t>s</w:t>
      </w:r>
      <w:r w:rsidRPr="00635A00">
        <w:rPr>
          <w:rFonts w:ascii="Times New Roman" w:hAnsi="Times New Roman" w:cs="Times New Roman"/>
          <w:color w:val="auto"/>
        </w:rPr>
        <w:t xml:space="preserve"> 93 de </w:t>
      </w:r>
      <w:r w:rsidRPr="00635A00">
        <w:rPr>
          <w:rFonts w:ascii="Times New Roman" w:hAnsi="Times New Roman" w:cs="Times New Roman"/>
          <w:color w:val="auto"/>
        </w:rPr>
        <w:t>la Constitución Política, y 26 de la Convención Americana Sobre Derechos Humanos (en adelante CADH)</w:t>
      </w:r>
      <w:r w:rsidRPr="00635A00">
        <w:rPr>
          <w:rFonts w:ascii="Times New Roman" w:hAnsi="Times New Roman" w:cs="Times New Roman"/>
          <w:color w:val="auto"/>
        </w:rPr>
        <w:t xml:space="preserve"> y</w:t>
      </w:r>
      <w:r w:rsidRPr="00635A00">
        <w:rPr>
          <w:rFonts w:ascii="Times New Roman" w:hAnsi="Times New Roman" w:cs="Times New Roman"/>
          <w:color w:val="auto"/>
        </w:rPr>
        <w:t xml:space="preserve"> </w:t>
      </w:r>
      <w:r w:rsidRPr="00635A00">
        <w:rPr>
          <w:rFonts w:ascii="Times New Roman" w:hAnsi="Times New Roman" w:cs="Times New Roman"/>
          <w:color w:val="auto"/>
        </w:rPr>
        <w:t>1° del Protocolo Adicional a la CADH (en adelante Protocolo de San Salvador)</w:t>
      </w:r>
      <w:r w:rsidRPr="00635A00">
        <w:rPr>
          <w:rStyle w:val="Refdenotaalpie"/>
          <w:rFonts w:ascii="Times New Roman" w:hAnsi="Times New Roman" w:cs="Times New Roman"/>
          <w:color w:val="auto"/>
        </w:rPr>
        <w:footnoteReference w:id="8"/>
      </w:r>
      <w:r w:rsidRPr="00635A00">
        <w:rPr>
          <w:rFonts w:ascii="Times New Roman" w:hAnsi="Times New Roman" w:cs="Times New Roman"/>
          <w:color w:val="auto"/>
        </w:rPr>
        <w:t>.</w:t>
      </w:r>
    </w:p>
    <w:p w:rsidR="00266419" w:rsidRPr="00635A00" w:rsidRDefault="00635A00" w:rsidP="00266419">
      <w:pPr>
        <w:pStyle w:val="Prrafodelista"/>
        <w:tabs>
          <w:tab w:val="left" w:pos="567"/>
        </w:tabs>
        <w:ind w:left="0"/>
        <w:rPr>
          <w:rFonts w:ascii="Times New Roman" w:hAnsi="Times New Roman" w:cs="Times New Roman"/>
          <w:bCs/>
          <w:color w:val="auto"/>
          <w:lang w:val="es-CO"/>
        </w:rPr>
      </w:pPr>
    </w:p>
    <w:p w:rsidR="00A67B4A" w:rsidRPr="00635A00" w:rsidRDefault="00635A00" w:rsidP="00F33F0E">
      <w:pPr>
        <w:pStyle w:val="Prrafodelista"/>
        <w:numPr>
          <w:ilvl w:val="0"/>
          <w:numId w:val="3"/>
        </w:numPr>
        <w:tabs>
          <w:tab w:val="left" w:pos="567"/>
        </w:tabs>
        <w:rPr>
          <w:rFonts w:ascii="Times New Roman" w:hAnsi="Times New Roman" w:cs="Times New Roman"/>
          <w:b/>
          <w:color w:val="auto"/>
          <w:lang w:val="es-CO"/>
        </w:rPr>
      </w:pPr>
      <w:r w:rsidRPr="00635A00">
        <w:rPr>
          <w:rFonts w:ascii="Times New Roman" w:hAnsi="Times New Roman" w:cs="Times New Roman"/>
          <w:bCs/>
          <w:color w:val="auto"/>
          <w:lang w:val="es-CO"/>
        </w:rPr>
        <w:t xml:space="preserve">El </w:t>
      </w:r>
      <w:r w:rsidRPr="00635A00">
        <w:rPr>
          <w:rFonts w:ascii="Times New Roman" w:hAnsi="Times New Roman" w:cs="Times New Roman"/>
          <w:bCs/>
          <w:color w:val="auto"/>
          <w:lang w:val="es-CO"/>
        </w:rPr>
        <w:t xml:space="preserve">actor </w:t>
      </w:r>
      <w:r w:rsidRPr="00635A00">
        <w:rPr>
          <w:rFonts w:ascii="Times New Roman" w:hAnsi="Times New Roman" w:cs="Times New Roman"/>
          <w:bCs/>
          <w:color w:val="auto"/>
          <w:lang w:val="es-CO"/>
        </w:rPr>
        <w:t>señaló</w:t>
      </w:r>
      <w:r w:rsidRPr="00635A00">
        <w:rPr>
          <w:rFonts w:ascii="Times New Roman" w:hAnsi="Times New Roman" w:cs="Times New Roman"/>
          <w:bCs/>
          <w:color w:val="auto"/>
          <w:lang w:val="es-CO"/>
        </w:rPr>
        <w:t xml:space="preserve"> que </w:t>
      </w:r>
      <w:r w:rsidRPr="00635A00">
        <w:rPr>
          <w:rFonts w:ascii="Times New Roman" w:hAnsi="Times New Roman" w:cs="Times New Roman"/>
          <w:bCs/>
          <w:color w:val="auto"/>
          <w:lang w:val="es-CO"/>
        </w:rPr>
        <w:t xml:space="preserve">los apartes demandados son contrarios a dicho </w:t>
      </w:r>
      <w:r w:rsidRPr="00635A00">
        <w:rPr>
          <w:rFonts w:ascii="Times New Roman" w:hAnsi="Times New Roman" w:cs="Times New Roman"/>
          <w:bCs/>
          <w:color w:val="auto"/>
          <w:lang w:val="es-CO"/>
        </w:rPr>
        <w:t>principio</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porque injustificadamente </w:t>
      </w:r>
      <w:r w:rsidRPr="00635A00">
        <w:rPr>
          <w:rFonts w:ascii="Times New Roman" w:hAnsi="Times New Roman" w:cs="Times New Roman"/>
          <w:bCs/>
          <w:color w:val="auto"/>
          <w:lang w:val="es-CO"/>
        </w:rPr>
        <w:t>eliminan</w:t>
      </w:r>
      <w:r w:rsidRPr="00635A00">
        <w:rPr>
          <w:rFonts w:ascii="Times New Roman" w:hAnsi="Times New Roman" w:cs="Times New Roman"/>
          <w:bCs/>
          <w:color w:val="auto"/>
          <w:lang w:val="es-CO"/>
        </w:rPr>
        <w:t xml:space="preserve"> la fase judicial de</w:t>
      </w:r>
      <w:bookmarkStart w:id="6" w:name="_Ref153643128"/>
      <w:r w:rsidRPr="00635A00">
        <w:rPr>
          <w:rFonts w:ascii="Times New Roman" w:hAnsi="Times New Roman" w:cs="Times New Roman"/>
          <w:bCs/>
          <w:color w:val="auto"/>
          <w:lang w:val="es-CO"/>
        </w:rPr>
        <w:t xml:space="preserve">l procedimiento único para el acceso y </w:t>
      </w:r>
      <w:r w:rsidRPr="00635A00">
        <w:rPr>
          <w:rFonts w:ascii="Times New Roman" w:hAnsi="Times New Roman" w:cs="Times New Roman"/>
          <w:bCs/>
          <w:color w:val="auto"/>
          <w:lang w:val="es-CO"/>
        </w:rPr>
        <w:t xml:space="preserve">la </w:t>
      </w:r>
      <w:r w:rsidRPr="00635A00">
        <w:rPr>
          <w:rFonts w:ascii="Times New Roman" w:hAnsi="Times New Roman" w:cs="Times New Roman"/>
          <w:bCs/>
          <w:color w:val="auto"/>
          <w:lang w:val="es-CO"/>
        </w:rPr>
        <w:t>formalización de tierras</w:t>
      </w:r>
      <w:r w:rsidRPr="00635A00">
        <w:rPr>
          <w:rFonts w:ascii="Times New Roman" w:hAnsi="Times New Roman" w:cs="Times New Roman"/>
          <w:bCs/>
          <w:color w:val="auto"/>
          <w:lang w:val="es-CO"/>
        </w:rPr>
        <w:t xml:space="preserve"> que </w:t>
      </w:r>
      <w:r w:rsidRPr="00635A00">
        <w:rPr>
          <w:rFonts w:ascii="Times New Roman" w:hAnsi="Times New Roman" w:cs="Times New Roman"/>
          <w:bCs/>
          <w:color w:val="auto"/>
          <w:lang w:val="es-CO"/>
        </w:rPr>
        <w:t xml:space="preserve">se establecía en </w:t>
      </w:r>
      <w:r w:rsidRPr="00635A00">
        <w:rPr>
          <w:rFonts w:ascii="Times New Roman" w:hAnsi="Times New Roman" w:cs="Times New Roman"/>
          <w:bCs/>
          <w:color w:val="auto"/>
          <w:lang w:val="es-CO"/>
        </w:rPr>
        <w:t>el Decreto Ley 902 de 2017</w:t>
      </w:r>
      <w:r w:rsidRPr="00635A00">
        <w:rPr>
          <w:rStyle w:val="Refdenotaalpie"/>
          <w:rFonts w:ascii="Times New Roman" w:hAnsi="Times New Roman" w:cs="Times New Roman"/>
          <w:bCs/>
          <w:color w:val="auto"/>
          <w:lang w:val="es-CO"/>
        </w:rPr>
        <w:footnoteReference w:id="9"/>
      </w:r>
      <w:r w:rsidRPr="00635A00">
        <w:rPr>
          <w:rFonts w:ascii="Times New Roman" w:hAnsi="Times New Roman" w:cs="Times New Roman"/>
          <w:bCs/>
          <w:color w:val="auto"/>
          <w:lang w:val="es-CO"/>
        </w:rPr>
        <w:t xml:space="preserve"> para el trámite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de los siguientes asuntos</w:t>
      </w:r>
      <w:r w:rsidRPr="00635A00">
        <w:rPr>
          <w:rFonts w:ascii="Times New Roman" w:hAnsi="Times New Roman" w:cs="Times New Roman"/>
          <w:bCs/>
          <w:color w:val="auto"/>
          <w:lang w:val="es-CO"/>
        </w:rPr>
        <w:t xml:space="preserve"> previstos en la Ley 160 de 1994</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i) </w:t>
      </w:r>
      <w:r w:rsidRPr="00635A00">
        <w:rPr>
          <w:rFonts w:ascii="Times New Roman" w:hAnsi="Times New Roman" w:cs="Times New Roman"/>
          <w:bCs/>
          <w:color w:val="auto"/>
          <w:lang w:val="es-CO"/>
        </w:rPr>
        <w:t>clarificación de la propiedad, deslinde y recuperación de baldíos regula</w:t>
      </w:r>
      <w:r w:rsidRPr="00635A00">
        <w:rPr>
          <w:rFonts w:ascii="Times New Roman" w:hAnsi="Times New Roman" w:cs="Times New Roman"/>
          <w:bCs/>
          <w:color w:val="auto"/>
          <w:lang w:val="es-CO"/>
        </w:rPr>
        <w:t>d</w:t>
      </w:r>
      <w:r w:rsidRPr="00635A00">
        <w:rPr>
          <w:rFonts w:ascii="Times New Roman" w:hAnsi="Times New Roman" w:cs="Times New Roman"/>
          <w:bCs/>
          <w:color w:val="auto"/>
          <w:lang w:val="es-CO"/>
        </w:rPr>
        <w:t xml:space="preserve">os; </w:t>
      </w:r>
      <w:r w:rsidRPr="00635A00">
        <w:rPr>
          <w:rFonts w:ascii="Times New Roman" w:hAnsi="Times New Roman" w:cs="Times New Roman"/>
          <w:bCs/>
          <w:color w:val="auto"/>
          <w:lang w:val="es-CO"/>
        </w:rPr>
        <w:t xml:space="preserve">(ii) </w:t>
      </w:r>
      <w:r w:rsidRPr="00635A00">
        <w:rPr>
          <w:rFonts w:ascii="Times New Roman" w:hAnsi="Times New Roman" w:cs="Times New Roman"/>
          <w:bCs/>
          <w:color w:val="auto"/>
          <w:lang w:val="es-CO"/>
        </w:rPr>
        <w:t>extinción judicial del dominio sobre tierras incultas</w:t>
      </w:r>
      <w:r w:rsidRPr="00635A00">
        <w:rPr>
          <w:rFonts w:ascii="Times New Roman" w:hAnsi="Times New Roman" w:cs="Times New Roman"/>
          <w:bCs/>
          <w:color w:val="auto"/>
          <w:lang w:val="es-CO"/>
        </w:rPr>
        <w:t xml:space="preserve">; y </w:t>
      </w:r>
      <w:r w:rsidRPr="00635A00">
        <w:rPr>
          <w:rFonts w:ascii="Times New Roman" w:hAnsi="Times New Roman" w:cs="Times New Roman"/>
          <w:bCs/>
          <w:color w:val="auto"/>
          <w:lang w:val="es-CO"/>
        </w:rPr>
        <w:t xml:space="preserve">(iii) </w:t>
      </w:r>
      <w:r w:rsidRPr="00635A00">
        <w:rPr>
          <w:rFonts w:ascii="Times New Roman" w:hAnsi="Times New Roman" w:cs="Times New Roman"/>
          <w:bCs/>
          <w:color w:val="auto"/>
          <w:lang w:val="es-CO"/>
        </w:rPr>
        <w:t>caducidad administrativa, condición resolutoria del subsidio, reversión y revocatoria  de titulación de bald</w:t>
      </w:r>
      <w:r w:rsidRPr="00635A00">
        <w:rPr>
          <w:rFonts w:ascii="Times New Roman" w:hAnsi="Times New Roman" w:cs="Times New Roman"/>
          <w:bCs/>
          <w:color w:val="auto"/>
          <w:lang w:val="es-CO"/>
        </w:rPr>
        <w:t>íos</w:t>
      </w:r>
      <w:r w:rsidRPr="00635A00">
        <w:rPr>
          <w:rStyle w:val="Refdenotaalpie"/>
          <w:rFonts w:ascii="Times New Roman" w:hAnsi="Times New Roman" w:cs="Times New Roman"/>
          <w:bCs/>
          <w:color w:val="auto"/>
          <w:lang w:val="es-CO"/>
        </w:rPr>
        <w:footnoteReference w:id="10"/>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Esta modificación </w:t>
      </w:r>
      <w:r w:rsidRPr="00635A00">
        <w:rPr>
          <w:rFonts w:ascii="Times New Roman" w:hAnsi="Times New Roman" w:cs="Times New Roman"/>
          <w:bCs/>
          <w:color w:val="auto"/>
          <w:lang w:val="es-CO"/>
        </w:rPr>
        <w:t>supone</w:t>
      </w:r>
      <w:r w:rsidRPr="00635A00">
        <w:rPr>
          <w:rFonts w:ascii="Times New Roman" w:hAnsi="Times New Roman" w:cs="Times New Roman"/>
          <w:bCs/>
          <w:color w:val="auto"/>
          <w:lang w:val="es-CO"/>
        </w:rPr>
        <w:t xml:space="preserve"> que tales asuntos deben ser resueltos en su integridad por la autoridad administrativa, lo que para el actor </w:t>
      </w:r>
      <w:r w:rsidRPr="00635A00">
        <w:rPr>
          <w:rFonts w:ascii="Times New Roman" w:hAnsi="Times New Roman" w:cs="Times New Roman"/>
          <w:bCs/>
          <w:color w:val="auto"/>
          <w:lang w:val="es-CO"/>
        </w:rPr>
        <w:t>implica</w:t>
      </w:r>
      <w:r w:rsidRPr="00635A00">
        <w:rPr>
          <w:rFonts w:ascii="Times New Roman" w:hAnsi="Times New Roman" w:cs="Times New Roman"/>
          <w:bCs/>
          <w:color w:val="auto"/>
          <w:lang w:val="es-CO"/>
        </w:rPr>
        <w:t xml:space="preserve"> un</w:t>
      </w:r>
      <w:r w:rsidRPr="00635A00">
        <w:rPr>
          <w:rFonts w:ascii="Times New Roman" w:hAnsi="Times New Roman" w:cs="Times New Roman"/>
          <w:bCs/>
          <w:color w:val="auto"/>
          <w:lang w:val="es-CO"/>
        </w:rPr>
        <w:t>a supresión del servicio de administración de justicia en los referidos trámites y un</w:t>
      </w:r>
      <w:r w:rsidRPr="00635A00">
        <w:rPr>
          <w:rFonts w:ascii="Times New Roman" w:hAnsi="Times New Roman" w:cs="Times New Roman"/>
          <w:bCs/>
          <w:color w:val="auto"/>
          <w:lang w:val="es-CO"/>
        </w:rPr>
        <w:t xml:space="preserve"> retroceso injustificado </w:t>
      </w:r>
      <w:r w:rsidRPr="00635A00">
        <w:rPr>
          <w:rFonts w:ascii="Times New Roman" w:hAnsi="Times New Roman" w:cs="Times New Roman"/>
          <w:bCs/>
          <w:color w:val="auto"/>
          <w:lang w:val="es-CO"/>
        </w:rPr>
        <w:t>respecto d</w:t>
      </w:r>
      <w:r w:rsidRPr="00635A00">
        <w:rPr>
          <w:rFonts w:ascii="Times New Roman" w:hAnsi="Times New Roman" w:cs="Times New Roman"/>
          <w:bCs/>
          <w:color w:val="auto"/>
          <w:lang w:val="es-CO"/>
        </w:rPr>
        <w:t>el ámbito de protección del derecho fundamental al debido proceso</w:t>
      </w:r>
      <w:r w:rsidRPr="00635A00">
        <w:rPr>
          <w:rFonts w:ascii="Times New Roman" w:hAnsi="Times New Roman" w:cs="Times New Roman"/>
          <w:bCs/>
          <w:color w:val="auto"/>
          <w:lang w:val="es-CO"/>
        </w:rPr>
        <w:t>, por las siguientes razones.</w:t>
      </w:r>
    </w:p>
    <w:p w:rsidR="00AC53E6" w:rsidRPr="00635A00" w:rsidRDefault="00635A00" w:rsidP="00AC53E6">
      <w:pPr>
        <w:pStyle w:val="Prrafodelista"/>
        <w:rPr>
          <w:rFonts w:ascii="Times New Roman" w:hAnsi="Times New Roman" w:cs="Times New Roman"/>
          <w:b/>
          <w:color w:val="auto"/>
          <w:lang w:val="es-CO"/>
        </w:rPr>
      </w:pPr>
    </w:p>
    <w:p w:rsidR="00E45B1C" w:rsidRPr="00635A00" w:rsidRDefault="00635A00" w:rsidP="00F33F0E">
      <w:pPr>
        <w:pStyle w:val="Prrafodelista"/>
        <w:numPr>
          <w:ilvl w:val="0"/>
          <w:numId w:val="3"/>
        </w:numPr>
        <w:tabs>
          <w:tab w:val="left" w:pos="567"/>
        </w:tabs>
        <w:rPr>
          <w:rFonts w:ascii="Times New Roman" w:hAnsi="Times New Roman" w:cs="Times New Roman"/>
          <w:b/>
          <w:color w:val="auto"/>
          <w:lang w:val="es-CO"/>
        </w:rPr>
      </w:pPr>
      <w:r w:rsidRPr="00635A00">
        <w:rPr>
          <w:rFonts w:ascii="Times New Roman" w:hAnsi="Times New Roman" w:cs="Times New Roman"/>
          <w:bCs/>
          <w:color w:val="auto"/>
          <w:lang w:val="es-CO"/>
        </w:rPr>
        <w:t xml:space="preserve">Primero, </w:t>
      </w:r>
      <w:r w:rsidRPr="00635A00">
        <w:rPr>
          <w:rFonts w:ascii="Times New Roman" w:hAnsi="Times New Roman" w:cs="Times New Roman"/>
          <w:bCs/>
          <w:color w:val="auto"/>
          <w:lang w:val="es-CO"/>
        </w:rPr>
        <w:t xml:space="preserve">las disposiciones derogadas por las normas demandadas, al contemplar la participación de la autoridad judicial </w:t>
      </w:r>
      <w:r w:rsidRPr="00635A00">
        <w:rPr>
          <w:rFonts w:ascii="Times New Roman" w:hAnsi="Times New Roman" w:cs="Times New Roman"/>
          <w:bCs/>
          <w:color w:val="auto"/>
          <w:lang w:val="es-CO"/>
        </w:rPr>
        <w:t>independiente e imparcial en los referidos trámites agrarios, lo que redundaba en beneficio del debido proceso de las partes. En este sentido, las normas acusadas</w:t>
      </w:r>
      <w:r w:rsidRPr="00635A00">
        <w:rPr>
          <w:rFonts w:ascii="Times New Roman" w:hAnsi="Times New Roman" w:cs="Times New Roman"/>
          <w:bCs/>
          <w:color w:val="auto"/>
          <w:lang w:val="es-CO"/>
        </w:rPr>
        <w:t>, a juicio del demandante,</w:t>
      </w:r>
      <w:r w:rsidRPr="00635A00">
        <w:rPr>
          <w:rFonts w:ascii="Times New Roman" w:hAnsi="Times New Roman" w:cs="Times New Roman"/>
          <w:bCs/>
          <w:color w:val="auto"/>
          <w:lang w:val="es-CO"/>
        </w:rPr>
        <w:t xml:space="preserve"> resultan regresivas porque </w:t>
      </w:r>
      <w:r w:rsidRPr="00635A00">
        <w:rPr>
          <w:rFonts w:ascii="Times New Roman" w:hAnsi="Times New Roman" w:cs="Times New Roman"/>
          <w:bCs/>
          <w:color w:val="auto"/>
          <w:lang w:val="es-CO"/>
        </w:rPr>
        <w:t>convierten a la autoridad administrativa</w:t>
      </w:r>
      <w:r w:rsidRPr="00635A00">
        <w:rPr>
          <w:rFonts w:ascii="Times New Roman" w:hAnsi="Times New Roman" w:cs="Times New Roman"/>
          <w:bCs/>
          <w:color w:val="auto"/>
          <w:lang w:val="es-CO"/>
        </w:rPr>
        <w:t xml:space="preserve"> en juez y parte al concentrar en ella las funciones de investigación y juzgamiento, pese a que esta situación ya había sido superada por las disposiciones del Decreto Ley 902 de 2017</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derogadas por las normas demandadas.</w:t>
      </w:r>
    </w:p>
    <w:p w:rsidR="00687C81" w:rsidRPr="00635A00" w:rsidRDefault="00635A00" w:rsidP="00687C81">
      <w:pPr>
        <w:pStyle w:val="Prrafodelista"/>
        <w:rPr>
          <w:rFonts w:ascii="Times New Roman" w:hAnsi="Times New Roman" w:cs="Times New Roman"/>
          <w:b/>
          <w:color w:val="auto"/>
          <w:lang w:val="es-CO"/>
        </w:rPr>
      </w:pPr>
    </w:p>
    <w:p w:rsidR="00E45B1C" w:rsidRPr="00635A00" w:rsidRDefault="00635A00" w:rsidP="00A376FB">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 xml:space="preserve">Segundo, </w:t>
      </w:r>
      <w:r w:rsidRPr="00635A00">
        <w:rPr>
          <w:rFonts w:ascii="Times New Roman" w:hAnsi="Times New Roman" w:cs="Times New Roman"/>
          <w:bCs/>
          <w:color w:val="auto"/>
          <w:lang w:val="es-CO"/>
        </w:rPr>
        <w:t>la eliminación de la pre</w:t>
      </w:r>
      <w:r w:rsidRPr="00635A00">
        <w:rPr>
          <w:rFonts w:ascii="Times New Roman" w:hAnsi="Times New Roman" w:cs="Times New Roman"/>
          <w:bCs/>
          <w:color w:val="auto"/>
          <w:lang w:val="es-CO"/>
        </w:rPr>
        <w:t xml:space="preserve">sencia de los jueces en tales actuaciones desconoce el </w:t>
      </w:r>
      <w:r w:rsidRPr="00635A00">
        <w:rPr>
          <w:rFonts w:ascii="Times New Roman" w:hAnsi="Times New Roman" w:cs="Times New Roman"/>
          <w:bCs/>
          <w:color w:val="auto"/>
          <w:lang w:val="es-CO"/>
        </w:rPr>
        <w:t>derecho al debido proceso</w:t>
      </w:r>
      <w:r w:rsidRPr="00635A00">
        <w:rPr>
          <w:rFonts w:ascii="Times New Roman" w:hAnsi="Times New Roman" w:cs="Times New Roman"/>
          <w:bCs/>
          <w:color w:val="auto"/>
          <w:lang w:val="es-CO"/>
        </w:rPr>
        <w:t>, así como las garantías judiciales contenidas en el artículo 8 de la CADH</w:t>
      </w:r>
      <w:r w:rsidRPr="00635A00">
        <w:rPr>
          <w:rFonts w:ascii="Times New Roman" w:hAnsi="Times New Roman" w:cs="Times New Roman"/>
          <w:bCs/>
          <w:color w:val="auto"/>
          <w:lang w:val="es-CO"/>
        </w:rPr>
        <w:t xml:space="preserve">, en particular, la de toda persona a ser a ser oída por </w:t>
      </w:r>
      <w:r w:rsidRPr="00635A00">
        <w:rPr>
          <w:rFonts w:ascii="Times New Roman" w:hAnsi="Times New Roman" w:cs="Times New Roman"/>
          <w:bCs/>
          <w:color w:val="auto"/>
          <w:lang w:val="es-CO"/>
        </w:rPr>
        <w:t xml:space="preserve">un </w:t>
      </w:r>
      <w:r w:rsidRPr="00635A00">
        <w:rPr>
          <w:rFonts w:ascii="Times New Roman" w:hAnsi="Times New Roman" w:cs="Times New Roman"/>
          <w:bCs/>
          <w:color w:val="auto"/>
          <w:lang w:val="es-CO"/>
        </w:rPr>
        <w:t xml:space="preserve">juez competente previamente definido por </w:t>
      </w:r>
      <w:r w:rsidRPr="00635A00">
        <w:rPr>
          <w:rFonts w:ascii="Times New Roman" w:hAnsi="Times New Roman" w:cs="Times New Roman"/>
          <w:bCs/>
          <w:color w:val="auto"/>
          <w:lang w:val="es-CO"/>
        </w:rPr>
        <w:t>la ley para la determinación de sus derechos</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El accionante manifestó que con la medida en comento s</w:t>
      </w:r>
      <w:r w:rsidRPr="00635A00">
        <w:rPr>
          <w:rFonts w:ascii="Times New Roman" w:hAnsi="Times New Roman" w:cs="Times New Roman"/>
          <w:bCs/>
          <w:color w:val="auto"/>
          <w:lang w:val="es-CO"/>
        </w:rPr>
        <w:t>e afecta el principio del juez natural porque la regulación original adjudicó ciertas competencias a las autoridades judiciales dentro del procedimiento úni</w:t>
      </w:r>
      <w:r w:rsidRPr="00635A00">
        <w:rPr>
          <w:rFonts w:ascii="Times New Roman" w:hAnsi="Times New Roman" w:cs="Times New Roman"/>
          <w:bCs/>
          <w:color w:val="auto"/>
          <w:lang w:val="es-CO"/>
        </w:rPr>
        <w:t>co para el acceso y formalización de tierras, y las normas demandadas las suprimieron injustificadamente. También</w:t>
      </w:r>
      <w:r w:rsidRPr="00635A00">
        <w:rPr>
          <w:rFonts w:ascii="Times New Roman" w:hAnsi="Times New Roman" w:cs="Times New Roman"/>
          <w:bCs/>
          <w:color w:val="auto"/>
          <w:lang w:val="es-CO"/>
        </w:rPr>
        <w:t>, el actor consideró que</w:t>
      </w:r>
      <w:r w:rsidRPr="00635A00">
        <w:rPr>
          <w:rFonts w:ascii="Times New Roman" w:hAnsi="Times New Roman" w:cs="Times New Roman"/>
          <w:bCs/>
          <w:color w:val="auto"/>
          <w:lang w:val="es-CO"/>
        </w:rPr>
        <w:t xml:space="preserve"> se menoscaba el derecho de defensa porque se reduce la capacidad de persuasión</w:t>
      </w:r>
      <w:r w:rsidRPr="00635A00">
        <w:rPr>
          <w:rFonts w:ascii="Times New Roman" w:hAnsi="Times New Roman" w:cs="Times New Roman"/>
          <w:bCs/>
          <w:color w:val="auto"/>
          <w:lang w:val="es-CO"/>
        </w:rPr>
        <w:t xml:space="preserve"> de quien </w:t>
      </w:r>
      <w:r w:rsidRPr="00635A00">
        <w:rPr>
          <w:rFonts w:ascii="Times New Roman" w:hAnsi="Times New Roman" w:cs="Times New Roman"/>
          <w:bCs/>
          <w:color w:val="auto"/>
          <w:lang w:val="es-CO"/>
        </w:rPr>
        <w:t>termina abogando por</w:t>
      </w:r>
      <w:r w:rsidRPr="00635A00">
        <w:rPr>
          <w:rFonts w:ascii="Times New Roman" w:hAnsi="Times New Roman" w:cs="Times New Roman"/>
          <w:bCs/>
          <w:color w:val="auto"/>
          <w:lang w:val="es-CO"/>
        </w:rPr>
        <w:t xml:space="preserve"> sus inter</w:t>
      </w:r>
      <w:r w:rsidRPr="00635A00">
        <w:rPr>
          <w:rFonts w:ascii="Times New Roman" w:hAnsi="Times New Roman" w:cs="Times New Roman"/>
          <w:bCs/>
          <w:color w:val="auto"/>
          <w:lang w:val="es-CO"/>
        </w:rPr>
        <w:t>eses ante la autoridad administrativa que es al mismo tiempo juez y parte.</w:t>
      </w:r>
      <w:r w:rsidRPr="00635A00">
        <w:rPr>
          <w:rFonts w:ascii="Times New Roman" w:hAnsi="Times New Roman" w:cs="Times New Roman"/>
          <w:bCs/>
          <w:color w:val="auto"/>
          <w:lang w:val="es-CO"/>
        </w:rPr>
        <w:t xml:space="preserve"> Por </w:t>
      </w:r>
      <w:r w:rsidRPr="00635A00">
        <w:rPr>
          <w:rFonts w:ascii="Times New Roman" w:hAnsi="Times New Roman" w:cs="Times New Roman"/>
          <w:bCs/>
          <w:color w:val="auto"/>
          <w:lang w:val="es-CO"/>
        </w:rPr>
        <w:t>otro lado,</w:t>
      </w:r>
      <w:r w:rsidRPr="00635A00">
        <w:rPr>
          <w:rFonts w:ascii="Times New Roman" w:hAnsi="Times New Roman" w:cs="Times New Roman"/>
          <w:bCs/>
          <w:color w:val="auto"/>
          <w:lang w:val="es-CO"/>
        </w:rPr>
        <w:t xml:space="preserve"> se perjudican las garantías de imparcialidad e independencia porque la autoridad administrativa llamada a resolver tiene sus propios objetivos institucionales.</w:t>
      </w:r>
    </w:p>
    <w:p w:rsidR="00E45B1C" w:rsidRPr="00635A00" w:rsidRDefault="00635A00" w:rsidP="00E45B1C">
      <w:pPr>
        <w:pStyle w:val="Prrafodelista"/>
        <w:rPr>
          <w:rFonts w:ascii="Times New Roman" w:hAnsi="Times New Roman" w:cs="Times New Roman"/>
          <w:b/>
          <w:color w:val="auto"/>
          <w:lang w:val="es-CO"/>
        </w:rPr>
      </w:pPr>
    </w:p>
    <w:p w:rsidR="00E45B1C" w:rsidRPr="00635A00" w:rsidRDefault="00635A00" w:rsidP="00F33F0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Terce</w:t>
      </w:r>
      <w:r w:rsidRPr="00635A00">
        <w:rPr>
          <w:rFonts w:ascii="Times New Roman" w:hAnsi="Times New Roman" w:cs="Times New Roman"/>
          <w:bCs/>
          <w:color w:val="auto"/>
          <w:lang w:val="es-CO"/>
        </w:rPr>
        <w:t xml:space="preserve">ro, </w:t>
      </w:r>
      <w:r w:rsidRPr="00635A00">
        <w:rPr>
          <w:rFonts w:ascii="Times New Roman" w:hAnsi="Times New Roman" w:cs="Times New Roman"/>
          <w:bCs/>
          <w:color w:val="auto"/>
          <w:lang w:val="es-CO"/>
        </w:rPr>
        <w:t>el retroceso en las garantías del debido proceso es injustificado. Al respecto, el actor señaló que en la exposición de motivos del proyecto de ley no hay una fundamentación sobre las razones que explican la medida de suprimir la fase judicial de los p</w:t>
      </w:r>
      <w:r w:rsidRPr="00635A00">
        <w:rPr>
          <w:rFonts w:ascii="Times New Roman" w:hAnsi="Times New Roman" w:cs="Times New Roman"/>
          <w:bCs/>
          <w:color w:val="auto"/>
          <w:lang w:val="es-CO"/>
        </w:rPr>
        <w:t>rocedimientos agrarios en cuestión.</w:t>
      </w:r>
    </w:p>
    <w:p w:rsidR="00E45B1C" w:rsidRPr="00635A00" w:rsidRDefault="00635A00" w:rsidP="00E45B1C">
      <w:pPr>
        <w:pStyle w:val="Prrafodelista"/>
        <w:rPr>
          <w:rFonts w:ascii="Times New Roman" w:hAnsi="Times New Roman" w:cs="Times New Roman"/>
          <w:bCs/>
          <w:color w:val="auto"/>
          <w:lang w:val="es-CO"/>
        </w:rPr>
      </w:pPr>
    </w:p>
    <w:p w:rsidR="004954EF" w:rsidRPr="00635A00" w:rsidRDefault="00635A00" w:rsidP="00A376FB">
      <w:pPr>
        <w:pStyle w:val="Prrafodelista"/>
        <w:numPr>
          <w:ilvl w:val="0"/>
          <w:numId w:val="3"/>
        </w:numPr>
        <w:tabs>
          <w:tab w:val="left" w:pos="567"/>
        </w:tabs>
        <w:rPr>
          <w:rFonts w:ascii="Times New Roman" w:hAnsi="Times New Roman" w:cs="Times New Roman"/>
          <w:bCs/>
          <w:color w:val="auto"/>
        </w:rPr>
      </w:pPr>
      <w:r w:rsidRPr="00635A00">
        <w:rPr>
          <w:rFonts w:ascii="Times New Roman" w:hAnsi="Times New Roman" w:cs="Times New Roman"/>
          <w:bCs/>
          <w:color w:val="auto"/>
          <w:lang w:val="es-CO"/>
        </w:rPr>
        <w:t>Cuarto,</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según el demandante, </w:t>
      </w:r>
      <w:r w:rsidRPr="00635A00">
        <w:rPr>
          <w:rFonts w:ascii="Times New Roman" w:hAnsi="Times New Roman" w:cs="Times New Roman"/>
          <w:bCs/>
          <w:color w:val="auto"/>
          <w:lang w:val="es-CO"/>
        </w:rPr>
        <w:t xml:space="preserve">en tanto la medida implica un retroceso en </w:t>
      </w:r>
      <w:r w:rsidRPr="00635A00">
        <w:rPr>
          <w:rFonts w:ascii="Times New Roman" w:hAnsi="Times New Roman" w:cs="Times New Roman"/>
          <w:bCs/>
          <w:color w:val="auto"/>
          <w:lang w:val="es-CO"/>
        </w:rPr>
        <w:t xml:space="preserve">relación con </w:t>
      </w:r>
      <w:r w:rsidRPr="00635A00">
        <w:rPr>
          <w:rFonts w:ascii="Times New Roman" w:hAnsi="Times New Roman" w:cs="Times New Roman"/>
          <w:bCs/>
          <w:color w:val="auto"/>
          <w:lang w:val="es-CO"/>
        </w:rPr>
        <w:t>la efectividad del derecho al debido proceso, se predica de ella la presunción de inconstitucionalidad</w:t>
      </w:r>
      <w:r w:rsidRPr="00635A00">
        <w:rPr>
          <w:rStyle w:val="Refdenotaalpie"/>
          <w:rFonts w:ascii="Times New Roman" w:hAnsi="Times New Roman" w:cs="Times New Roman"/>
          <w:bCs/>
          <w:color w:val="auto"/>
          <w:lang w:val="es-CO"/>
        </w:rPr>
        <w:footnoteReference w:id="11"/>
      </w:r>
      <w:r w:rsidRPr="00635A00">
        <w:rPr>
          <w:rFonts w:ascii="Times New Roman" w:hAnsi="Times New Roman" w:cs="Times New Roman"/>
          <w:bCs/>
          <w:color w:val="auto"/>
          <w:lang w:val="es-CO"/>
        </w:rPr>
        <w:t>, más cuando no configura</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n</w:t>
      </w:r>
      <w:r w:rsidRPr="00635A00">
        <w:rPr>
          <w:rFonts w:ascii="Times New Roman" w:hAnsi="Times New Roman" w:cs="Times New Roman"/>
          <w:bCs/>
          <w:color w:val="auto"/>
          <w:lang w:val="es-CO"/>
        </w:rPr>
        <w:t>inguno de</w:t>
      </w:r>
      <w:r w:rsidRPr="00635A00">
        <w:rPr>
          <w:rFonts w:ascii="Times New Roman" w:hAnsi="Times New Roman" w:cs="Times New Roman"/>
          <w:bCs/>
          <w:color w:val="auto"/>
          <w:lang w:val="es-CO"/>
        </w:rPr>
        <w:t xml:space="preserve"> los presupuestos jurisprudenciales que habilitarían desconocer la prohibición de </w:t>
      </w:r>
      <w:r w:rsidRPr="00635A00">
        <w:rPr>
          <w:rFonts w:ascii="Times New Roman" w:hAnsi="Times New Roman" w:cs="Times New Roman"/>
          <w:bCs/>
          <w:color w:val="auto"/>
          <w:lang w:val="es-CO"/>
        </w:rPr>
        <w:t>retroceso</w:t>
      </w:r>
      <w:r w:rsidRPr="00635A00">
        <w:rPr>
          <w:rStyle w:val="Refdenotaalpie"/>
          <w:rFonts w:ascii="Times New Roman" w:hAnsi="Times New Roman" w:cs="Times New Roman"/>
          <w:bCs/>
          <w:color w:val="auto"/>
          <w:lang w:val="es-CO"/>
        </w:rPr>
        <w:footnoteReference w:id="12"/>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Al efecto, el actor señaló que la supresión de la fase judicial en estos trámites en nada contribuye a facilitar y dinamizar los procesos de compra de ti</w:t>
      </w:r>
      <w:r w:rsidRPr="00635A00">
        <w:rPr>
          <w:rFonts w:ascii="Times New Roman" w:hAnsi="Times New Roman" w:cs="Times New Roman"/>
          <w:bCs/>
          <w:color w:val="auto"/>
          <w:lang w:val="es-CO"/>
        </w:rPr>
        <w:t>erras por oferta voluntaria</w:t>
      </w:r>
      <w:r w:rsidRPr="00635A00">
        <w:rPr>
          <w:rFonts w:ascii="Times New Roman" w:hAnsi="Times New Roman" w:cs="Times New Roman"/>
          <w:bCs/>
          <w:color w:val="auto"/>
          <w:lang w:val="es-CO"/>
        </w:rPr>
        <w:t>. Aún si aquélla fuera la finalidad que justifica la medida, no se puede pasar por alto que tales actuaciones se tramitan bajo las formas propias del proceso verbal sumario de única instanci</w:t>
      </w:r>
      <w:r w:rsidRPr="00635A00">
        <w:rPr>
          <w:rFonts w:ascii="Times New Roman" w:hAnsi="Times New Roman" w:cs="Times New Roman"/>
          <w:bCs/>
          <w:color w:val="auto"/>
          <w:lang w:val="es-CO"/>
        </w:rPr>
        <w:t>a</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en el que bien podría participar act</w:t>
      </w:r>
      <w:r w:rsidRPr="00635A00">
        <w:rPr>
          <w:rFonts w:ascii="Times New Roman" w:hAnsi="Times New Roman" w:cs="Times New Roman"/>
          <w:bCs/>
          <w:color w:val="auto"/>
          <w:lang w:val="es-CO"/>
        </w:rPr>
        <w:t>ivamente la Agencia Nacional de Tierras</w:t>
      </w:r>
      <w:r w:rsidRPr="00635A00">
        <w:rPr>
          <w:rFonts w:ascii="Times New Roman" w:hAnsi="Times New Roman" w:cs="Times New Roman"/>
          <w:bCs/>
          <w:color w:val="auto"/>
          <w:lang w:val="es-CO"/>
        </w:rPr>
        <w:t xml:space="preserve"> (ANT)</w:t>
      </w:r>
      <w:r w:rsidRPr="00635A00">
        <w:rPr>
          <w:rFonts w:ascii="Times New Roman" w:hAnsi="Times New Roman" w:cs="Times New Roman"/>
          <w:bCs/>
          <w:color w:val="auto"/>
          <w:lang w:val="es-CO"/>
        </w:rPr>
        <w:t xml:space="preserve">. En consecuencia, </w:t>
      </w:r>
      <w:r w:rsidRPr="00635A00">
        <w:rPr>
          <w:rFonts w:ascii="Times New Roman" w:hAnsi="Times New Roman" w:cs="Times New Roman"/>
          <w:bCs/>
          <w:color w:val="auto"/>
          <w:lang w:val="es-CO"/>
        </w:rPr>
        <w:t>la medida no resulta necesaria y</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en cambio</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sí es desproporcionada en cuanto despoja al interesado de la posibilidad de que sea el la autoridad judicial y no la administrativa la que decida s</w:t>
      </w:r>
      <w:r w:rsidRPr="00635A00">
        <w:rPr>
          <w:rFonts w:ascii="Times New Roman" w:hAnsi="Times New Roman" w:cs="Times New Roman"/>
          <w:bCs/>
          <w:color w:val="auto"/>
          <w:lang w:val="es-CO"/>
        </w:rPr>
        <w:t xml:space="preserve">obre el asunto. </w:t>
      </w:r>
    </w:p>
    <w:p w:rsidR="007A3969" w:rsidRPr="00635A00" w:rsidRDefault="00635A00" w:rsidP="007A3969">
      <w:pPr>
        <w:rPr>
          <w:rFonts w:ascii="Times New Roman" w:hAnsi="Times New Roman" w:cs="Times New Roman"/>
          <w:bCs/>
          <w:sz w:val="28"/>
        </w:rPr>
      </w:pPr>
    </w:p>
    <w:p w:rsidR="009240FE" w:rsidRPr="00635A00" w:rsidRDefault="00635A00" w:rsidP="009240FE">
      <w:pPr>
        <w:pStyle w:val="Sombreadovistoso-nfasis31"/>
        <w:ind w:left="0"/>
        <w:rPr>
          <w:rFonts w:ascii="Times New Roman" w:hAnsi="Times New Roman" w:cs="Times New Roman"/>
          <w:b/>
          <w:color w:val="auto"/>
          <w:lang w:val="es-CO"/>
        </w:rPr>
      </w:pPr>
      <w:r w:rsidRPr="00635A00">
        <w:rPr>
          <w:rFonts w:ascii="Times New Roman" w:hAnsi="Times New Roman" w:cs="Times New Roman"/>
          <w:b/>
          <w:color w:val="auto"/>
          <w:lang w:val="es-CO"/>
        </w:rPr>
        <w:t>Expediente D-15461</w:t>
      </w:r>
    </w:p>
    <w:p w:rsidR="009240FE" w:rsidRPr="00635A00" w:rsidRDefault="00635A00" w:rsidP="009240FE">
      <w:pPr>
        <w:pStyle w:val="Sombreadovistoso-nfasis31"/>
        <w:ind w:left="0"/>
        <w:rPr>
          <w:rFonts w:ascii="Times New Roman" w:hAnsi="Times New Roman" w:cs="Times New Roman"/>
          <w:b/>
          <w:color w:val="auto"/>
          <w:lang w:val="es-CO"/>
        </w:rPr>
      </w:pPr>
    </w:p>
    <w:p w:rsidR="009240FE"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color w:val="auto"/>
        </w:rPr>
        <w:t>Por su parte, e</w:t>
      </w:r>
      <w:r w:rsidRPr="00635A00">
        <w:rPr>
          <w:rFonts w:ascii="Times New Roman" w:hAnsi="Times New Roman" w:cs="Times New Roman"/>
          <w:color w:val="auto"/>
        </w:rPr>
        <w:t>l</w:t>
      </w:r>
      <w:r w:rsidRPr="00635A00">
        <w:rPr>
          <w:rFonts w:ascii="Times New Roman" w:hAnsi="Times New Roman" w:cs="Times New Roman"/>
          <w:color w:val="auto"/>
        </w:rPr>
        <w:t xml:space="preserve"> ciudadano </w:t>
      </w:r>
      <w:r w:rsidRPr="00635A00">
        <w:rPr>
          <w:rFonts w:ascii="Times New Roman" w:hAnsi="Times New Roman" w:cs="Times New Roman"/>
          <w:color w:val="auto"/>
        </w:rPr>
        <w:t xml:space="preserve">Julián Andrés Pimiento Echeverri </w:t>
      </w:r>
      <w:r w:rsidRPr="00635A00">
        <w:rPr>
          <w:rFonts w:ascii="Times New Roman" w:hAnsi="Times New Roman" w:cs="Times New Roman"/>
          <w:color w:val="auto"/>
        </w:rPr>
        <w:t>solicitó la inexequibilidad</w:t>
      </w:r>
      <w:r w:rsidRPr="00635A00">
        <w:rPr>
          <w:rFonts w:ascii="Times New Roman" w:hAnsi="Times New Roman" w:cs="Times New Roman"/>
          <w:color w:val="auto"/>
        </w:rPr>
        <w:t xml:space="preserve"> de</w:t>
      </w:r>
      <w:r w:rsidRPr="00635A00">
        <w:rPr>
          <w:rFonts w:ascii="Times New Roman" w:hAnsi="Times New Roman" w:cs="Times New Roman"/>
          <w:color w:val="auto"/>
        </w:rPr>
        <w:t xml:space="preserve">l numeral 6 y del </w:t>
      </w:r>
      <w:r w:rsidRPr="00635A00">
        <w:rPr>
          <w:rFonts w:ascii="Times New Roman" w:hAnsi="Times New Roman" w:cs="Times New Roman"/>
          <w:color w:val="auto"/>
        </w:rPr>
        <w:t xml:space="preserve">parágrafo </w:t>
      </w:r>
      <w:r w:rsidRPr="00635A00">
        <w:rPr>
          <w:rFonts w:ascii="Times New Roman" w:hAnsi="Times New Roman" w:cs="Times New Roman"/>
          <w:color w:val="auto"/>
        </w:rPr>
        <w:t>3°</w:t>
      </w:r>
      <w:r w:rsidRPr="00635A00">
        <w:rPr>
          <w:rFonts w:ascii="Times New Roman" w:hAnsi="Times New Roman" w:cs="Times New Roman"/>
          <w:color w:val="auto"/>
        </w:rPr>
        <w:t>, del artículo 61 de la Ley 2294</w:t>
      </w:r>
      <w:r w:rsidRPr="00635A00">
        <w:rPr>
          <w:rFonts w:ascii="Times New Roman" w:hAnsi="Times New Roman" w:cs="Times New Roman"/>
          <w:color w:val="auto"/>
        </w:rPr>
        <w:t xml:space="preserve">. Los cargos </w:t>
      </w:r>
      <w:r w:rsidRPr="00635A00">
        <w:rPr>
          <w:rFonts w:ascii="Times New Roman" w:hAnsi="Times New Roman" w:cs="Times New Roman"/>
          <w:color w:val="auto"/>
        </w:rPr>
        <w:t xml:space="preserve">formulados por </w:t>
      </w:r>
      <w:r w:rsidRPr="00635A00">
        <w:rPr>
          <w:rFonts w:ascii="Times New Roman" w:hAnsi="Times New Roman" w:cs="Times New Roman"/>
          <w:color w:val="auto"/>
        </w:rPr>
        <w:t xml:space="preserve">el accionante que </w:t>
      </w:r>
      <w:r w:rsidRPr="00635A00">
        <w:rPr>
          <w:rFonts w:ascii="Times New Roman" w:hAnsi="Times New Roman" w:cs="Times New Roman"/>
          <w:color w:val="auto"/>
        </w:rPr>
        <w:t xml:space="preserve">fueron admitidos </w:t>
      </w:r>
      <w:r w:rsidRPr="00635A00">
        <w:rPr>
          <w:rFonts w:ascii="Times New Roman" w:hAnsi="Times New Roman" w:cs="Times New Roman"/>
          <w:color w:val="auto"/>
        </w:rPr>
        <w:t>para estudio son los que a continuación se reseñan</w:t>
      </w:r>
      <w:r w:rsidRPr="00635A00">
        <w:rPr>
          <w:rStyle w:val="Refdenotaalpie"/>
          <w:rFonts w:ascii="Times New Roman" w:hAnsi="Times New Roman" w:cs="Times New Roman"/>
          <w:color w:val="auto"/>
        </w:rPr>
        <w:footnoteReference w:id="13"/>
      </w:r>
      <w:r w:rsidRPr="00635A00">
        <w:rPr>
          <w:rFonts w:ascii="Times New Roman" w:hAnsi="Times New Roman" w:cs="Times New Roman"/>
          <w:color w:val="auto"/>
        </w:rPr>
        <w:t>.</w:t>
      </w:r>
    </w:p>
    <w:p w:rsidR="00836EF0" w:rsidRPr="00635A00" w:rsidRDefault="00635A00" w:rsidP="00836EF0">
      <w:pPr>
        <w:pStyle w:val="Prrafodelista"/>
        <w:tabs>
          <w:tab w:val="left" w:pos="567"/>
        </w:tabs>
        <w:ind w:left="0"/>
        <w:rPr>
          <w:rFonts w:ascii="Times New Roman" w:hAnsi="Times New Roman" w:cs="Times New Roman"/>
          <w:bCs/>
          <w:color w:val="auto"/>
          <w:lang w:val="es-CO"/>
        </w:rPr>
      </w:pPr>
    </w:p>
    <w:p w:rsidR="00836EF0"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
          <w:color w:val="auto"/>
          <w:lang w:val="es-CO"/>
        </w:rPr>
        <w:t>Primer c</w:t>
      </w:r>
      <w:r w:rsidRPr="00635A00">
        <w:rPr>
          <w:rFonts w:ascii="Times New Roman" w:hAnsi="Times New Roman" w:cs="Times New Roman"/>
          <w:b/>
          <w:color w:val="auto"/>
          <w:lang w:val="es-CO"/>
        </w:rPr>
        <w:t>argo por vi</w:t>
      </w:r>
      <w:r w:rsidRPr="00635A00">
        <w:rPr>
          <w:rFonts w:ascii="Times New Roman" w:hAnsi="Times New Roman" w:cs="Times New Roman"/>
          <w:b/>
          <w:color w:val="auto"/>
          <w:lang w:val="es-CO"/>
        </w:rPr>
        <w:t>cios de procedimiento en la expedición del numeral 6 del artículo 61 de la Ley 2294</w:t>
      </w:r>
      <w:r w:rsidRPr="00635A00">
        <w:rPr>
          <w:rStyle w:val="Refdenotaalpie"/>
          <w:rFonts w:ascii="Times New Roman" w:hAnsi="Times New Roman" w:cs="Times New Roman"/>
          <w:bCs/>
          <w:color w:val="auto"/>
          <w:lang w:val="es-CO"/>
        </w:rPr>
        <w:footnoteReference w:id="14"/>
      </w:r>
      <w:r w:rsidRPr="00635A00">
        <w:rPr>
          <w:rFonts w:ascii="Times New Roman" w:hAnsi="Times New Roman" w:cs="Times New Roman"/>
          <w:b/>
          <w:color w:val="auto"/>
          <w:lang w:val="es-CO"/>
        </w:rPr>
        <w:t>.</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A partir de un recuento del trámite de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l</w:t>
      </w:r>
      <w:r w:rsidRPr="00635A00">
        <w:rPr>
          <w:rFonts w:ascii="Times New Roman" w:hAnsi="Times New Roman" w:cs="Times New Roman"/>
          <w:bCs/>
          <w:color w:val="auto"/>
          <w:lang w:val="es-CO"/>
        </w:rPr>
        <w:t>a</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iniciativa </w:t>
      </w:r>
      <w:r w:rsidRPr="00635A00">
        <w:rPr>
          <w:rFonts w:ascii="Times New Roman" w:hAnsi="Times New Roman" w:cs="Times New Roman"/>
          <w:bCs/>
          <w:color w:val="auto"/>
          <w:lang w:val="es-CO"/>
        </w:rPr>
        <w:t>que resultó en la Ley 2294, e</w:t>
      </w:r>
      <w:r w:rsidRPr="00635A00">
        <w:rPr>
          <w:rFonts w:ascii="Times New Roman" w:hAnsi="Times New Roman" w:cs="Times New Roman"/>
          <w:bCs/>
          <w:color w:val="auto"/>
          <w:lang w:val="es-CO"/>
        </w:rPr>
        <w:t xml:space="preserve">l demandante manifestó que </w:t>
      </w:r>
      <w:r w:rsidRPr="00635A00">
        <w:rPr>
          <w:rFonts w:ascii="Times New Roman" w:hAnsi="Times New Roman" w:cs="Times New Roman"/>
          <w:bCs/>
          <w:color w:val="auto"/>
          <w:lang w:val="es-CO"/>
        </w:rPr>
        <w:t xml:space="preserve">(i) </w:t>
      </w:r>
      <w:r w:rsidRPr="00635A00">
        <w:rPr>
          <w:rFonts w:ascii="Times New Roman" w:hAnsi="Times New Roman" w:cs="Times New Roman"/>
          <w:bCs/>
          <w:color w:val="auto"/>
          <w:lang w:val="es-CO"/>
        </w:rPr>
        <w:t xml:space="preserve">el numeral 6 del artículo 61 de </w:t>
      </w:r>
      <w:r w:rsidRPr="00635A00">
        <w:rPr>
          <w:rFonts w:ascii="Times New Roman" w:hAnsi="Times New Roman" w:cs="Times New Roman"/>
          <w:bCs/>
          <w:color w:val="auto"/>
          <w:lang w:val="es-CO"/>
        </w:rPr>
        <w:t>dicha normatividad</w:t>
      </w:r>
      <w:r w:rsidRPr="00635A00">
        <w:rPr>
          <w:rFonts w:ascii="Times New Roman" w:hAnsi="Times New Roman" w:cs="Times New Roman"/>
          <w:bCs/>
          <w:color w:val="auto"/>
          <w:lang w:val="es-CO"/>
        </w:rPr>
        <w:t xml:space="preserve"> es violatorio de los principios de consecutividad e identidad flexible toda vez que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fue </w:t>
      </w:r>
      <w:r w:rsidRPr="00635A00">
        <w:rPr>
          <w:rFonts w:ascii="Times New Roman" w:hAnsi="Times New Roman" w:cs="Times New Roman"/>
          <w:bCs/>
          <w:color w:val="auto"/>
          <w:lang w:val="es-CO"/>
        </w:rPr>
        <w:t xml:space="preserve">incorporado al proyecto de ley </w:t>
      </w:r>
      <w:r w:rsidRPr="00635A00">
        <w:rPr>
          <w:rFonts w:ascii="Times New Roman" w:hAnsi="Times New Roman" w:cs="Times New Roman"/>
          <w:bCs/>
          <w:color w:val="auto"/>
          <w:lang w:val="es-CO"/>
        </w:rPr>
        <w:t xml:space="preserve">en </w:t>
      </w:r>
      <w:r w:rsidRPr="00635A00">
        <w:rPr>
          <w:rFonts w:ascii="Times New Roman" w:hAnsi="Times New Roman" w:cs="Times New Roman"/>
          <w:bCs/>
          <w:color w:val="auto"/>
          <w:lang w:val="es-CO"/>
        </w:rPr>
        <w:t xml:space="preserve">el </w:t>
      </w:r>
      <w:r w:rsidRPr="00635A00">
        <w:rPr>
          <w:rFonts w:ascii="Times New Roman" w:hAnsi="Times New Roman" w:cs="Times New Roman"/>
          <w:bCs/>
          <w:color w:val="auto"/>
          <w:lang w:val="es-CO"/>
        </w:rPr>
        <w:t xml:space="preserve">“penúltimo” </w:t>
      </w:r>
      <w:r w:rsidRPr="00635A00">
        <w:rPr>
          <w:rFonts w:ascii="Times New Roman" w:hAnsi="Times New Roman" w:cs="Times New Roman"/>
          <w:bCs/>
          <w:color w:val="auto"/>
          <w:lang w:val="es-CO"/>
        </w:rPr>
        <w:t>debate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e implicó un cambio sustancia</w:t>
      </w:r>
      <w:r w:rsidRPr="00635A00">
        <w:rPr>
          <w:rFonts w:ascii="Times New Roman" w:hAnsi="Times New Roman" w:cs="Times New Roman"/>
          <w:bCs/>
          <w:color w:val="auto"/>
          <w:lang w:val="es-CO"/>
        </w:rPr>
        <w:t>l al contenido del proyecto</w:t>
      </w:r>
      <w:r w:rsidRPr="00635A00">
        <w:rPr>
          <w:rFonts w:ascii="Times New Roman" w:hAnsi="Times New Roman" w:cs="Times New Roman"/>
          <w:bCs/>
          <w:color w:val="auto"/>
          <w:lang w:val="es-CO"/>
        </w:rPr>
        <w:t>. En efecto, lo dispuesto en dicho numeral</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no tiene relación </w:t>
      </w:r>
      <w:r w:rsidRPr="00635A00">
        <w:rPr>
          <w:rFonts w:ascii="Times New Roman" w:hAnsi="Times New Roman" w:cs="Times New Roman"/>
          <w:bCs/>
          <w:color w:val="auto"/>
          <w:lang w:val="es-CO"/>
        </w:rPr>
        <w:t xml:space="preserve">de conexidad </w:t>
      </w:r>
      <w:r w:rsidRPr="00635A00">
        <w:rPr>
          <w:rFonts w:ascii="Times New Roman" w:hAnsi="Times New Roman" w:cs="Times New Roman"/>
          <w:bCs/>
          <w:color w:val="auto"/>
          <w:lang w:val="es-CO"/>
        </w:rPr>
        <w:t xml:space="preserve">con </w:t>
      </w:r>
      <w:r w:rsidRPr="00635A00">
        <w:rPr>
          <w:rFonts w:ascii="Times New Roman" w:hAnsi="Times New Roman" w:cs="Times New Roman"/>
          <w:bCs/>
          <w:color w:val="auto"/>
          <w:lang w:val="es-CO"/>
        </w:rPr>
        <w:t xml:space="preserve">las materias discutidas </w:t>
      </w:r>
      <w:r w:rsidRPr="00635A00">
        <w:rPr>
          <w:rFonts w:ascii="Times New Roman" w:hAnsi="Times New Roman" w:cs="Times New Roman"/>
          <w:bCs/>
          <w:color w:val="auto"/>
          <w:lang w:val="es-CO"/>
        </w:rPr>
        <w:t>a lo largo</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d</w:t>
      </w:r>
      <w:r w:rsidRPr="00635A00">
        <w:rPr>
          <w:rFonts w:ascii="Times New Roman" w:hAnsi="Times New Roman" w:cs="Times New Roman"/>
          <w:bCs/>
          <w:color w:val="auto"/>
          <w:lang w:val="es-CO"/>
        </w:rPr>
        <w:t>el trámite legislativo</w:t>
      </w:r>
      <w:r w:rsidRPr="00635A00">
        <w:rPr>
          <w:rFonts w:ascii="Times New Roman" w:hAnsi="Times New Roman" w:cs="Times New Roman"/>
          <w:bCs/>
          <w:color w:val="auto"/>
          <w:lang w:val="es-CO"/>
        </w:rPr>
        <w:t xml:space="preserve">; allí </w:t>
      </w:r>
      <w:r w:rsidRPr="00635A00">
        <w:rPr>
          <w:rFonts w:ascii="Times New Roman" w:hAnsi="Times New Roman" w:cs="Times New Roman"/>
          <w:bCs/>
          <w:color w:val="auto"/>
          <w:lang w:val="es-CO"/>
        </w:rPr>
        <w:t xml:space="preserve">nunca se discutió hacer una reforma judicial ni desmontar la fase judicial del </w:t>
      </w:r>
      <w:r w:rsidRPr="00635A00">
        <w:rPr>
          <w:rFonts w:ascii="Times New Roman" w:hAnsi="Times New Roman" w:cs="Times New Roman"/>
          <w:bCs/>
          <w:color w:val="auto"/>
          <w:lang w:val="es-CO"/>
        </w:rPr>
        <w:t>procedimiento único regulado por el Decreto Ley 902 de 2017.</w:t>
      </w:r>
      <w:r w:rsidRPr="00635A00">
        <w:rPr>
          <w:rFonts w:ascii="Times New Roman" w:hAnsi="Times New Roman" w:cs="Times New Roman"/>
          <w:bCs/>
          <w:color w:val="auto"/>
          <w:lang w:val="es-CO"/>
        </w:rPr>
        <w:t xml:space="preserve"> Además, el accionante puso de presente que los apartes demandados quedaron incluidos en un artículo referido a la compra de tierras por oferta voluntaria, que nada tiene que ver con el procedimie</w:t>
      </w:r>
      <w:r w:rsidRPr="00635A00">
        <w:rPr>
          <w:rFonts w:ascii="Times New Roman" w:hAnsi="Times New Roman" w:cs="Times New Roman"/>
          <w:bCs/>
          <w:color w:val="auto"/>
          <w:lang w:val="es-CO"/>
        </w:rPr>
        <w:t>nto único</w:t>
      </w:r>
      <w:r w:rsidRPr="00635A00">
        <w:rPr>
          <w:rFonts w:ascii="Times New Roman" w:hAnsi="Times New Roman" w:cs="Times New Roman"/>
          <w:bCs/>
          <w:color w:val="auto"/>
          <w:lang w:val="es-CO"/>
        </w:rPr>
        <w:t xml:space="preserve"> modificado por las normas cuestionadas</w:t>
      </w:r>
      <w:r w:rsidRPr="00635A00">
        <w:rPr>
          <w:rFonts w:ascii="Times New Roman" w:hAnsi="Times New Roman" w:cs="Times New Roman"/>
          <w:bCs/>
          <w:color w:val="auto"/>
          <w:lang w:val="es-CO"/>
        </w:rPr>
        <w:t>.</w:t>
      </w:r>
    </w:p>
    <w:p w:rsidR="002E4D8C" w:rsidRPr="00635A00" w:rsidRDefault="00635A00" w:rsidP="002E4D8C">
      <w:pPr>
        <w:pStyle w:val="Prrafodelista"/>
        <w:rPr>
          <w:rFonts w:ascii="Times New Roman" w:hAnsi="Times New Roman" w:cs="Times New Roman"/>
          <w:bCs/>
          <w:color w:val="auto"/>
          <w:lang w:val="es-CO"/>
        </w:rPr>
      </w:pPr>
    </w:p>
    <w:p w:rsidR="002E4D8C"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Por otra parte, (ii) el actor también alegó que durante el debate de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l</w:t>
      </w:r>
      <w:r w:rsidRPr="00635A00">
        <w:rPr>
          <w:rFonts w:ascii="Times New Roman" w:hAnsi="Times New Roman" w:cs="Times New Roman"/>
          <w:bCs/>
          <w:color w:val="auto"/>
          <w:lang w:val="es-CO"/>
        </w:rPr>
        <w:t>a</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iniciativa </w:t>
      </w:r>
      <w:r w:rsidRPr="00635A00">
        <w:rPr>
          <w:rFonts w:ascii="Times New Roman" w:hAnsi="Times New Roman" w:cs="Times New Roman"/>
          <w:bCs/>
          <w:color w:val="auto"/>
          <w:lang w:val="es-CO"/>
        </w:rPr>
        <w:t>en la plenaria del Senado se desconoció el principio de publicidad</w:t>
      </w:r>
      <w:r w:rsidRPr="00635A00">
        <w:rPr>
          <w:rFonts w:ascii="Times New Roman" w:hAnsi="Times New Roman" w:cs="Times New Roman"/>
          <w:bCs/>
          <w:color w:val="auto"/>
          <w:lang w:val="es-CO"/>
        </w:rPr>
        <w:t>. Al respecto, el demandante sostuvo que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no se llevó a c</w:t>
      </w:r>
      <w:r w:rsidRPr="00635A00">
        <w:rPr>
          <w:rFonts w:ascii="Times New Roman" w:hAnsi="Times New Roman" w:cs="Times New Roman"/>
          <w:bCs/>
          <w:color w:val="auto"/>
          <w:lang w:val="es-CO"/>
        </w:rPr>
        <w:t>abo una lectura completa de la proposición que incorporó los apartes demandados al proyecto de le</w:t>
      </w:r>
      <w:r w:rsidRPr="00635A00">
        <w:rPr>
          <w:rFonts w:ascii="Times New Roman" w:hAnsi="Times New Roman" w:cs="Times New Roman"/>
          <w:bCs/>
          <w:color w:val="auto"/>
          <w:lang w:val="es-CO"/>
        </w:rPr>
        <w:t xml:space="preserve">y ni </w:t>
      </w:r>
      <w:r w:rsidRPr="00635A00">
        <w:rPr>
          <w:rFonts w:ascii="Times New Roman" w:hAnsi="Times New Roman" w:cs="Times New Roman"/>
          <w:bCs/>
          <w:color w:val="auto"/>
          <w:lang w:val="es-CO"/>
        </w:rPr>
        <w:t>se debatió antes de proceder a su votación</w:t>
      </w:r>
      <w:r w:rsidRPr="00635A00">
        <w:rPr>
          <w:rFonts w:ascii="Times New Roman" w:hAnsi="Times New Roman" w:cs="Times New Roman"/>
          <w:bCs/>
          <w:color w:val="auto"/>
          <w:lang w:val="es-CO"/>
        </w:rPr>
        <w:t xml:space="preserve">. Simplemente, esa proposición </w:t>
      </w:r>
      <w:r w:rsidRPr="00635A00">
        <w:rPr>
          <w:rFonts w:ascii="Times New Roman" w:hAnsi="Times New Roman" w:cs="Times New Roman"/>
          <w:bCs/>
          <w:color w:val="auto"/>
          <w:lang w:val="es-CO"/>
        </w:rPr>
        <w:t xml:space="preserve">fue votada en bloque con el resto de </w:t>
      </w:r>
      <w:r w:rsidRPr="00635A00">
        <w:rPr>
          <w:rFonts w:ascii="Times New Roman" w:hAnsi="Times New Roman" w:cs="Times New Roman"/>
          <w:bCs/>
          <w:color w:val="auto"/>
          <w:lang w:val="es-CO"/>
        </w:rPr>
        <w:t xml:space="preserve">las </w:t>
      </w:r>
      <w:r w:rsidRPr="00635A00">
        <w:rPr>
          <w:rFonts w:ascii="Times New Roman" w:hAnsi="Times New Roman" w:cs="Times New Roman"/>
          <w:bCs/>
          <w:color w:val="auto"/>
          <w:lang w:val="es-CO"/>
        </w:rPr>
        <w:t xml:space="preserve">proposiciones avaladas por el Gobierno, </w:t>
      </w:r>
      <w:r w:rsidRPr="00635A00">
        <w:rPr>
          <w:rFonts w:ascii="Times New Roman" w:hAnsi="Times New Roman" w:cs="Times New Roman"/>
          <w:bCs/>
          <w:color w:val="auto"/>
          <w:lang w:val="es-CO"/>
        </w:rPr>
        <w:t xml:space="preserve">pese </w:t>
      </w:r>
      <w:r w:rsidRPr="00635A00">
        <w:rPr>
          <w:rFonts w:ascii="Times New Roman" w:hAnsi="Times New Roman" w:cs="Times New Roman"/>
          <w:bCs/>
          <w:color w:val="auto"/>
          <w:lang w:val="es-CO"/>
        </w:rPr>
        <w:t>a</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tratarse de</w:t>
      </w:r>
      <w:r w:rsidRPr="00635A00">
        <w:rPr>
          <w:rFonts w:ascii="Times New Roman" w:hAnsi="Times New Roman" w:cs="Times New Roman"/>
          <w:bCs/>
          <w:color w:val="auto"/>
          <w:lang w:val="es-CO"/>
        </w:rPr>
        <w:t xml:space="preserve"> materias disímiles.</w:t>
      </w:r>
    </w:p>
    <w:p w:rsidR="00836EF0" w:rsidRPr="00635A00" w:rsidRDefault="00635A00" w:rsidP="00836EF0">
      <w:pPr>
        <w:pStyle w:val="Prrafodelista"/>
        <w:rPr>
          <w:rFonts w:ascii="Times New Roman" w:hAnsi="Times New Roman" w:cs="Times New Roman"/>
          <w:bCs/>
          <w:color w:val="auto"/>
          <w:lang w:val="es-CO"/>
        </w:rPr>
      </w:pPr>
    </w:p>
    <w:p w:rsidR="00C25F01"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
          <w:color w:val="auto"/>
          <w:lang w:val="es-CO"/>
        </w:rPr>
        <w:t>Segundo c</w:t>
      </w:r>
      <w:r w:rsidRPr="00635A00">
        <w:rPr>
          <w:rFonts w:ascii="Times New Roman" w:hAnsi="Times New Roman" w:cs="Times New Roman"/>
          <w:b/>
          <w:color w:val="auto"/>
          <w:lang w:val="es-CO"/>
        </w:rPr>
        <w:t xml:space="preserve">argo por violación del principio de progresividad y </w:t>
      </w:r>
      <w:r w:rsidRPr="00635A00">
        <w:rPr>
          <w:rFonts w:ascii="Times New Roman" w:hAnsi="Times New Roman" w:cs="Times New Roman"/>
          <w:b/>
          <w:color w:val="auto"/>
          <w:lang w:val="es-CO"/>
        </w:rPr>
        <w:t>no</w:t>
      </w:r>
      <w:r w:rsidRPr="00635A00">
        <w:rPr>
          <w:rFonts w:ascii="Times New Roman" w:hAnsi="Times New Roman" w:cs="Times New Roman"/>
          <w:b/>
          <w:color w:val="auto"/>
          <w:lang w:val="es-CO"/>
        </w:rPr>
        <w:t xml:space="preserve"> regresividad </w:t>
      </w:r>
      <w:r w:rsidRPr="00635A00">
        <w:rPr>
          <w:rFonts w:ascii="Times New Roman" w:hAnsi="Times New Roman" w:cs="Times New Roman"/>
          <w:b/>
          <w:color w:val="auto"/>
          <w:lang w:val="es-CO"/>
        </w:rPr>
        <w:t>respecto del derecho fundamental al debido proceso</w:t>
      </w:r>
      <w:r w:rsidRPr="00635A00">
        <w:rPr>
          <w:rStyle w:val="Refdenotaalpie"/>
          <w:rFonts w:ascii="Times New Roman" w:hAnsi="Times New Roman" w:cs="Times New Roman"/>
          <w:bCs/>
          <w:color w:val="auto"/>
          <w:lang w:val="es-CO"/>
        </w:rPr>
        <w:footnoteReference w:id="15"/>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El accionante manifestó que el Decreto Ley 902 de 2017 revistió de carácter judicial las funciones de clarificación, deslinde y extinción de dominio, lo que, en su criterio, comporta una mayor protección del </w:t>
      </w:r>
      <w:r w:rsidRPr="00635A00">
        <w:rPr>
          <w:rFonts w:ascii="Times New Roman" w:hAnsi="Times New Roman" w:cs="Times New Roman"/>
          <w:bCs/>
          <w:color w:val="auto"/>
          <w:lang w:val="es-CO"/>
        </w:rPr>
        <w:t xml:space="preserve">derecho al </w:t>
      </w:r>
      <w:r w:rsidRPr="00635A00">
        <w:rPr>
          <w:rFonts w:ascii="Times New Roman" w:hAnsi="Times New Roman" w:cs="Times New Roman"/>
          <w:bCs/>
          <w:color w:val="auto"/>
          <w:lang w:val="es-CO"/>
        </w:rPr>
        <w:t>debido proceso</w:t>
      </w:r>
      <w:r w:rsidRPr="00635A00">
        <w:rPr>
          <w:rStyle w:val="Refdenotaalpie"/>
          <w:rFonts w:ascii="Times New Roman" w:hAnsi="Times New Roman" w:cs="Times New Roman"/>
          <w:bCs/>
          <w:color w:val="auto"/>
          <w:lang w:val="es-CO"/>
        </w:rPr>
        <w:footnoteReference w:id="16"/>
      </w:r>
      <w:r w:rsidRPr="00635A00">
        <w:rPr>
          <w:rFonts w:ascii="Times New Roman" w:hAnsi="Times New Roman" w:cs="Times New Roman"/>
          <w:bCs/>
          <w:color w:val="auto"/>
          <w:lang w:val="es-CO"/>
        </w:rPr>
        <w:t xml:space="preserve">, en tanto garantiza </w:t>
      </w:r>
      <w:r w:rsidRPr="00635A00">
        <w:rPr>
          <w:rFonts w:ascii="Times New Roman" w:hAnsi="Times New Roman" w:cs="Times New Roman"/>
          <w:bCs/>
          <w:color w:val="auto"/>
          <w:lang w:val="es-CO"/>
        </w:rPr>
        <w:t xml:space="preserve">la reserva judicial de la decisión. Por lo tanto, </w:t>
      </w:r>
      <w:r w:rsidRPr="00635A00">
        <w:rPr>
          <w:rFonts w:ascii="Times New Roman" w:hAnsi="Times New Roman" w:cs="Times New Roman"/>
          <w:bCs/>
          <w:color w:val="auto"/>
          <w:lang w:val="es-CO"/>
        </w:rPr>
        <w:t xml:space="preserve">el actor </w:t>
      </w:r>
      <w:r w:rsidRPr="00635A00">
        <w:rPr>
          <w:rFonts w:ascii="Times New Roman" w:hAnsi="Times New Roman" w:cs="Times New Roman"/>
          <w:bCs/>
          <w:color w:val="auto"/>
          <w:lang w:val="es-CO"/>
        </w:rPr>
        <w:t>consideró que “desjudicializar” tales competencias para trasladarlas a la autoridad administrativa constituye una medida regresiva</w:t>
      </w:r>
      <w:r w:rsidRPr="00635A00">
        <w:rPr>
          <w:rFonts w:ascii="Times New Roman" w:hAnsi="Times New Roman" w:cs="Times New Roman"/>
          <w:bCs/>
          <w:color w:val="auto"/>
          <w:lang w:val="es-CO"/>
        </w:rPr>
        <w:t>. En desarrollo de este planteamiento, el demandante presentó los s</w:t>
      </w:r>
      <w:r w:rsidRPr="00635A00">
        <w:rPr>
          <w:rFonts w:ascii="Times New Roman" w:hAnsi="Times New Roman" w:cs="Times New Roman"/>
          <w:bCs/>
          <w:color w:val="auto"/>
          <w:lang w:val="es-CO"/>
        </w:rPr>
        <w:t>iguientes argumentos.</w:t>
      </w:r>
      <w:r w:rsidRPr="00635A00">
        <w:rPr>
          <w:rFonts w:ascii="Times New Roman" w:hAnsi="Times New Roman" w:cs="Times New Roman"/>
          <w:bCs/>
          <w:color w:val="auto"/>
          <w:lang w:val="es-CO"/>
        </w:rPr>
        <w:t xml:space="preserve"> </w:t>
      </w:r>
    </w:p>
    <w:p w:rsidR="00C25F01" w:rsidRPr="00635A00" w:rsidRDefault="00635A00" w:rsidP="00C25F01">
      <w:pPr>
        <w:pStyle w:val="Prrafodelista"/>
        <w:rPr>
          <w:rFonts w:ascii="Times New Roman" w:hAnsi="Times New Roman" w:cs="Times New Roman"/>
          <w:bCs/>
          <w:color w:val="auto"/>
          <w:lang w:val="es-CO"/>
        </w:rPr>
      </w:pPr>
    </w:p>
    <w:p w:rsidR="00AD5FD7"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 xml:space="preserve">Primero, la supresión de la fase judicial en la definición de los referidos asuntos </w:t>
      </w:r>
      <w:r w:rsidRPr="00635A00">
        <w:rPr>
          <w:rFonts w:ascii="Times New Roman" w:hAnsi="Times New Roman" w:cs="Times New Roman"/>
          <w:bCs/>
          <w:color w:val="auto"/>
          <w:lang w:val="es-CO"/>
        </w:rPr>
        <w:t xml:space="preserve">no se </w:t>
      </w:r>
      <w:r w:rsidRPr="00635A00">
        <w:rPr>
          <w:rFonts w:ascii="Times New Roman" w:hAnsi="Times New Roman" w:cs="Times New Roman"/>
          <w:bCs/>
          <w:color w:val="auto"/>
          <w:lang w:val="es-CO"/>
        </w:rPr>
        <w:t>ajusta</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a</w:t>
      </w:r>
      <w:r w:rsidRPr="00635A00">
        <w:rPr>
          <w:rFonts w:ascii="Times New Roman" w:hAnsi="Times New Roman" w:cs="Times New Roman"/>
          <w:bCs/>
          <w:color w:val="auto"/>
          <w:lang w:val="es-CO"/>
        </w:rPr>
        <w:t>l</w:t>
      </w:r>
      <w:r w:rsidRPr="00635A00">
        <w:rPr>
          <w:rFonts w:ascii="Times New Roman" w:hAnsi="Times New Roman" w:cs="Times New Roman"/>
          <w:bCs/>
          <w:color w:val="auto"/>
          <w:lang w:val="es-CO"/>
        </w:rPr>
        <w:t xml:space="preserve"> propósito de facilitar la compra de tierras por oferta voluntaria</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al que se refiere el artículo</w:t>
      </w:r>
      <w:r w:rsidRPr="00635A00">
        <w:rPr>
          <w:rFonts w:ascii="Times New Roman" w:hAnsi="Times New Roman" w:cs="Times New Roman"/>
          <w:bCs/>
          <w:color w:val="auto"/>
          <w:lang w:val="es-CO"/>
        </w:rPr>
        <w:t xml:space="preserve"> 61 de la Ley 2294</w:t>
      </w:r>
      <w:r w:rsidRPr="00635A00">
        <w:rPr>
          <w:rFonts w:ascii="Times New Roman" w:hAnsi="Times New Roman" w:cs="Times New Roman"/>
          <w:bCs/>
          <w:color w:val="auto"/>
          <w:lang w:val="es-CO"/>
        </w:rPr>
        <w:t xml:space="preserve"> en el que quedó inserta dicha medida</w:t>
      </w:r>
      <w:r w:rsidRPr="00635A00">
        <w:rPr>
          <w:rFonts w:ascii="Times New Roman" w:hAnsi="Times New Roman" w:cs="Times New Roman"/>
          <w:bCs/>
          <w:color w:val="auto"/>
          <w:lang w:val="es-CO"/>
        </w:rPr>
        <w:t xml:space="preserve">, ni a los objetivos contemplados en las </w:t>
      </w:r>
      <w:r w:rsidRPr="00635A00">
        <w:rPr>
          <w:rFonts w:ascii="Times New Roman" w:hAnsi="Times New Roman" w:cs="Times New Roman"/>
          <w:bCs/>
          <w:color w:val="auto"/>
          <w:lang w:val="es-CO"/>
        </w:rPr>
        <w:t>B</w:t>
      </w:r>
      <w:r w:rsidRPr="00635A00">
        <w:rPr>
          <w:rFonts w:ascii="Times New Roman" w:hAnsi="Times New Roman" w:cs="Times New Roman"/>
          <w:bCs/>
          <w:color w:val="auto"/>
          <w:lang w:val="es-CO"/>
        </w:rPr>
        <w:t xml:space="preserve">ases del </w:t>
      </w:r>
      <w:r w:rsidRPr="00635A00">
        <w:rPr>
          <w:rFonts w:ascii="Times New Roman" w:hAnsi="Times New Roman" w:cs="Times New Roman"/>
          <w:bCs/>
          <w:color w:val="auto"/>
          <w:lang w:val="es-CO"/>
        </w:rPr>
        <w:t>Plan Nacional de Desarrollo (</w:t>
      </w:r>
      <w:r w:rsidRPr="00635A00">
        <w:rPr>
          <w:rFonts w:ascii="Times New Roman" w:hAnsi="Times New Roman" w:cs="Times New Roman"/>
          <w:bCs/>
          <w:color w:val="auto"/>
          <w:lang w:val="es-CO"/>
        </w:rPr>
        <w:t>PND</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Si bien en este documento se traza la finalidad de mejorar el acceso a la tierra, no hay una explicación concreta sobre la necesidad </w:t>
      </w:r>
      <w:r w:rsidRPr="00635A00">
        <w:rPr>
          <w:rFonts w:ascii="Times New Roman" w:hAnsi="Times New Roman" w:cs="Times New Roman"/>
          <w:bCs/>
          <w:color w:val="auto"/>
          <w:lang w:val="es-CO"/>
        </w:rPr>
        <w:t>de emplear el proceso de extinción de dominio para tal efecto, ni sobre la supresión de la reserva judicial de dicho trámite que</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por demás</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se instituyó para garantizar la ejecución de la Reforma Rural Integral derivada del Acuerdo Final de Paz.</w:t>
      </w:r>
    </w:p>
    <w:p w:rsidR="009F0A6D" w:rsidRPr="00635A00" w:rsidRDefault="00635A00" w:rsidP="009F0A6D">
      <w:pPr>
        <w:pStyle w:val="Prrafodelista"/>
        <w:rPr>
          <w:rFonts w:ascii="Times New Roman" w:hAnsi="Times New Roman" w:cs="Times New Roman"/>
          <w:bCs/>
          <w:color w:val="auto"/>
          <w:lang w:val="es-CO"/>
        </w:rPr>
      </w:pPr>
    </w:p>
    <w:p w:rsidR="009F0A6D"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Segundo,</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l</w:t>
      </w:r>
      <w:r w:rsidRPr="00635A00">
        <w:rPr>
          <w:rFonts w:ascii="Times New Roman" w:hAnsi="Times New Roman" w:cs="Times New Roman"/>
          <w:bCs/>
          <w:color w:val="auto"/>
          <w:lang w:val="es-CO"/>
        </w:rPr>
        <w:t>a eliminación de la reserva judicial en las funciones de clarificación, deslinde y extinción de dominio comporta un retroceso respecto de la faceta prestacional del derecho al debido proceso</w:t>
      </w:r>
      <w:r w:rsidRPr="00635A00">
        <w:rPr>
          <w:rFonts w:ascii="Times New Roman" w:hAnsi="Times New Roman" w:cs="Times New Roman"/>
          <w:bCs/>
          <w:color w:val="auto"/>
          <w:lang w:val="es-CO"/>
        </w:rPr>
        <w:t xml:space="preserve">. Esto, </w:t>
      </w:r>
      <w:r w:rsidRPr="00635A00">
        <w:rPr>
          <w:rFonts w:ascii="Times New Roman" w:hAnsi="Times New Roman" w:cs="Times New Roman"/>
          <w:bCs/>
          <w:color w:val="auto"/>
          <w:lang w:val="es-CO"/>
        </w:rPr>
        <w:t>porque se sustituye la participación del juez en la toma</w:t>
      </w:r>
      <w:r w:rsidRPr="00635A00">
        <w:rPr>
          <w:rFonts w:ascii="Times New Roman" w:hAnsi="Times New Roman" w:cs="Times New Roman"/>
          <w:bCs/>
          <w:color w:val="auto"/>
          <w:lang w:val="es-CO"/>
        </w:rPr>
        <w:t xml:space="preserve"> de la decisión por un eventual control de legalidad judicial de la determinación que ahora le corresponde adoptar a la autoridad administrativa.</w:t>
      </w:r>
    </w:p>
    <w:p w:rsidR="00894010" w:rsidRPr="00635A00" w:rsidRDefault="00635A00" w:rsidP="00894010">
      <w:pPr>
        <w:pStyle w:val="Prrafodelista"/>
        <w:rPr>
          <w:rFonts w:ascii="Times New Roman" w:hAnsi="Times New Roman" w:cs="Times New Roman"/>
          <w:bCs/>
          <w:color w:val="auto"/>
          <w:lang w:val="es-CO"/>
        </w:rPr>
      </w:pPr>
    </w:p>
    <w:p w:rsidR="00894010"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 xml:space="preserve">Tercero, la medida en cuestión, además de regresiva, es </w:t>
      </w:r>
      <w:r w:rsidRPr="00635A00">
        <w:rPr>
          <w:rFonts w:ascii="Times New Roman" w:hAnsi="Times New Roman" w:cs="Times New Roman"/>
          <w:bCs/>
          <w:color w:val="auto"/>
          <w:lang w:val="es-CO"/>
        </w:rPr>
        <w:t xml:space="preserve">inadecuada e </w:t>
      </w:r>
      <w:r w:rsidRPr="00635A00">
        <w:rPr>
          <w:rFonts w:ascii="Times New Roman" w:hAnsi="Times New Roman" w:cs="Times New Roman"/>
          <w:bCs/>
          <w:color w:val="auto"/>
          <w:lang w:val="es-CO"/>
        </w:rPr>
        <w:t xml:space="preserve">injustificada. </w:t>
      </w:r>
      <w:r w:rsidRPr="00635A00">
        <w:rPr>
          <w:rFonts w:ascii="Times New Roman" w:hAnsi="Times New Roman" w:cs="Times New Roman"/>
          <w:bCs/>
          <w:color w:val="auto"/>
          <w:lang w:val="es-CO"/>
        </w:rPr>
        <w:t xml:space="preserve">No hay en el PND una razón que explique por qué la supresión de la reserva judicial </w:t>
      </w:r>
      <w:r w:rsidRPr="00635A00">
        <w:rPr>
          <w:rFonts w:ascii="Times New Roman" w:hAnsi="Times New Roman" w:cs="Times New Roman"/>
          <w:bCs/>
          <w:color w:val="auto"/>
          <w:lang w:val="es-CO"/>
        </w:rPr>
        <w:t xml:space="preserve">en </w:t>
      </w:r>
      <w:r w:rsidRPr="00635A00">
        <w:rPr>
          <w:rFonts w:ascii="Times New Roman" w:hAnsi="Times New Roman" w:cs="Times New Roman"/>
          <w:bCs/>
          <w:color w:val="auto"/>
          <w:lang w:val="es-CO"/>
        </w:rPr>
        <w:t>la</w:t>
      </w:r>
      <w:r w:rsidRPr="00635A00">
        <w:rPr>
          <w:rFonts w:ascii="Times New Roman" w:hAnsi="Times New Roman" w:cs="Times New Roman"/>
          <w:bCs/>
          <w:color w:val="auto"/>
          <w:lang w:val="es-CO"/>
        </w:rPr>
        <w:t>s</w:t>
      </w:r>
      <w:r w:rsidRPr="00635A00">
        <w:rPr>
          <w:rFonts w:ascii="Times New Roman" w:hAnsi="Times New Roman" w:cs="Times New Roman"/>
          <w:bCs/>
          <w:color w:val="auto"/>
          <w:lang w:val="es-CO"/>
        </w:rPr>
        <w:t xml:space="preserve"> decisi</w:t>
      </w:r>
      <w:r w:rsidRPr="00635A00">
        <w:rPr>
          <w:rFonts w:ascii="Times New Roman" w:hAnsi="Times New Roman" w:cs="Times New Roman"/>
          <w:bCs/>
          <w:color w:val="auto"/>
          <w:lang w:val="es-CO"/>
        </w:rPr>
        <w:t>o</w:t>
      </w:r>
      <w:r w:rsidRPr="00635A00">
        <w:rPr>
          <w:rFonts w:ascii="Times New Roman" w:hAnsi="Times New Roman" w:cs="Times New Roman"/>
          <w:bCs/>
          <w:color w:val="auto"/>
          <w:lang w:val="es-CO"/>
        </w:rPr>
        <w:t>n</w:t>
      </w:r>
      <w:r w:rsidRPr="00635A00">
        <w:rPr>
          <w:rFonts w:ascii="Times New Roman" w:hAnsi="Times New Roman" w:cs="Times New Roman"/>
          <w:bCs/>
          <w:color w:val="auto"/>
          <w:lang w:val="es-CO"/>
        </w:rPr>
        <w:t>es</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 xml:space="preserve">sobre la clarificación, el deslinde o la </w:t>
      </w:r>
      <w:r w:rsidRPr="00635A00">
        <w:rPr>
          <w:rFonts w:ascii="Times New Roman" w:hAnsi="Times New Roman" w:cs="Times New Roman"/>
          <w:bCs/>
          <w:color w:val="auto"/>
          <w:lang w:val="es-CO"/>
        </w:rPr>
        <w:t>extinción de domini</w:t>
      </w:r>
      <w:r w:rsidRPr="00635A00">
        <w:rPr>
          <w:rFonts w:ascii="Times New Roman" w:hAnsi="Times New Roman" w:cs="Times New Roman"/>
          <w:bCs/>
          <w:color w:val="auto"/>
          <w:lang w:val="es-CO"/>
        </w:rPr>
        <w:t>o hace más eficiente la obtención de tierras para adjudicar</w:t>
      </w:r>
      <w:r w:rsidRPr="00635A00">
        <w:rPr>
          <w:rFonts w:ascii="Times New Roman" w:hAnsi="Times New Roman" w:cs="Times New Roman"/>
          <w:bCs/>
          <w:color w:val="auto"/>
          <w:lang w:val="es-CO"/>
        </w:rPr>
        <w:t>, mucho menos a través de programas</w:t>
      </w:r>
      <w:r w:rsidRPr="00635A00">
        <w:rPr>
          <w:rFonts w:ascii="Times New Roman" w:hAnsi="Times New Roman" w:cs="Times New Roman"/>
          <w:bCs/>
          <w:color w:val="auto"/>
          <w:lang w:val="es-CO"/>
        </w:rPr>
        <w:t xml:space="preserve"> de enajenación voluntaria</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Por el contrario, la reserva judicial garantiza una mayor eficacia de tales decisiones, y además asegura la independencia, transparencia e imparcialidad de </w:t>
      </w:r>
      <w:r w:rsidRPr="00635A00">
        <w:rPr>
          <w:rFonts w:ascii="Times New Roman" w:hAnsi="Times New Roman" w:cs="Times New Roman"/>
          <w:bCs/>
          <w:color w:val="auto"/>
          <w:lang w:val="es-CO"/>
        </w:rPr>
        <w:t>las autoridades encargadas de proferirlas</w:t>
      </w:r>
      <w:r w:rsidRPr="00635A00">
        <w:rPr>
          <w:rFonts w:ascii="Times New Roman" w:hAnsi="Times New Roman" w:cs="Times New Roman"/>
          <w:bCs/>
          <w:color w:val="auto"/>
          <w:lang w:val="es-CO"/>
        </w:rPr>
        <w:t>.</w:t>
      </w:r>
    </w:p>
    <w:p w:rsidR="00104CF2" w:rsidRPr="00635A00" w:rsidRDefault="00635A00" w:rsidP="00104CF2">
      <w:pPr>
        <w:pStyle w:val="Prrafodelista"/>
        <w:rPr>
          <w:rFonts w:ascii="Times New Roman" w:hAnsi="Times New Roman" w:cs="Times New Roman"/>
          <w:bCs/>
          <w:color w:val="auto"/>
          <w:lang w:val="es-CO"/>
        </w:rPr>
      </w:pPr>
    </w:p>
    <w:p w:rsidR="00104CF2"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 xml:space="preserve">Cuarto, el </w:t>
      </w:r>
      <w:r w:rsidRPr="00635A00">
        <w:rPr>
          <w:rFonts w:ascii="Times New Roman" w:hAnsi="Times New Roman" w:cs="Times New Roman"/>
          <w:bCs/>
          <w:color w:val="auto"/>
          <w:lang w:val="es-CO"/>
        </w:rPr>
        <w:t>mecanismo</w:t>
      </w:r>
      <w:r w:rsidRPr="00635A00">
        <w:rPr>
          <w:rFonts w:ascii="Times New Roman" w:hAnsi="Times New Roman" w:cs="Times New Roman"/>
          <w:bCs/>
          <w:color w:val="auto"/>
          <w:lang w:val="es-CO"/>
        </w:rPr>
        <w:t xml:space="preserve"> procesa</w:t>
      </w:r>
      <w:r w:rsidRPr="00635A00">
        <w:rPr>
          <w:rFonts w:ascii="Times New Roman" w:hAnsi="Times New Roman" w:cs="Times New Roman"/>
          <w:bCs/>
          <w:color w:val="auto"/>
          <w:lang w:val="es-CO"/>
        </w:rPr>
        <w:t xml:space="preserve">l previsto en el Decreto Ley 902 de 2017 </w:t>
      </w:r>
      <w:r w:rsidRPr="00635A00">
        <w:rPr>
          <w:rFonts w:ascii="Times New Roman" w:hAnsi="Times New Roman" w:cs="Times New Roman"/>
          <w:bCs/>
          <w:color w:val="auto"/>
          <w:lang w:val="es-CO"/>
        </w:rPr>
        <w:t>fue diseñado con el propósito de garantizar un adecuado equilibrio institucional en la solución de los conflictos sobre tierras</w:t>
      </w:r>
      <w:r w:rsidRPr="00635A00">
        <w:rPr>
          <w:rFonts w:ascii="Times New Roman" w:hAnsi="Times New Roman" w:cs="Times New Roman"/>
          <w:bCs/>
          <w:color w:val="auto"/>
          <w:lang w:val="es-CO"/>
        </w:rPr>
        <w:t>. Sin embargo,</w:t>
      </w:r>
      <w:r w:rsidRPr="00635A00">
        <w:rPr>
          <w:rFonts w:ascii="Times New Roman" w:hAnsi="Times New Roman" w:cs="Times New Roman"/>
          <w:bCs/>
          <w:color w:val="auto"/>
          <w:lang w:val="es-CO"/>
        </w:rPr>
        <w:t xml:space="preserve"> ahora que se crea la jurisdicción agraria, </w:t>
      </w:r>
      <w:r w:rsidRPr="00635A00">
        <w:rPr>
          <w:rFonts w:ascii="Times New Roman" w:hAnsi="Times New Roman" w:cs="Times New Roman"/>
          <w:bCs/>
          <w:color w:val="auto"/>
          <w:lang w:val="es-CO"/>
        </w:rPr>
        <w:t>con la norma acusada se</w:t>
      </w:r>
      <w:r w:rsidRPr="00635A00">
        <w:rPr>
          <w:rFonts w:ascii="Times New Roman" w:hAnsi="Times New Roman" w:cs="Times New Roman"/>
          <w:bCs/>
          <w:color w:val="auto"/>
          <w:lang w:val="es-CO"/>
        </w:rPr>
        <w:t xml:space="preserve"> preten</w:t>
      </w:r>
      <w:r w:rsidRPr="00635A00">
        <w:rPr>
          <w:rFonts w:ascii="Times New Roman" w:hAnsi="Times New Roman" w:cs="Times New Roman"/>
          <w:bCs/>
          <w:color w:val="auto"/>
          <w:lang w:val="es-CO"/>
        </w:rPr>
        <w:t>de</w:t>
      </w:r>
      <w:r w:rsidRPr="00635A00">
        <w:rPr>
          <w:rFonts w:ascii="Times New Roman" w:hAnsi="Times New Roman" w:cs="Times New Roman"/>
          <w:bCs/>
          <w:color w:val="auto"/>
          <w:lang w:val="es-CO"/>
        </w:rPr>
        <w:t>, extrañamente,</w:t>
      </w:r>
      <w:r w:rsidRPr="00635A00">
        <w:rPr>
          <w:rFonts w:ascii="Times New Roman" w:hAnsi="Times New Roman" w:cs="Times New Roman"/>
          <w:bCs/>
          <w:color w:val="auto"/>
          <w:lang w:val="es-CO"/>
        </w:rPr>
        <w:t xml:space="preserve"> retornar competencias en la materia a la autoridad administrativa.</w:t>
      </w:r>
    </w:p>
    <w:p w:rsidR="006625A0" w:rsidRPr="00635A00" w:rsidRDefault="00635A00" w:rsidP="006625A0">
      <w:pPr>
        <w:pStyle w:val="Prrafodelista"/>
        <w:rPr>
          <w:rFonts w:ascii="Times New Roman" w:hAnsi="Times New Roman" w:cs="Times New Roman"/>
          <w:bCs/>
          <w:color w:val="auto"/>
          <w:lang w:val="es-CO"/>
        </w:rPr>
      </w:pPr>
    </w:p>
    <w:p w:rsidR="006625A0"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
          <w:color w:val="auto"/>
          <w:lang w:val="es-CO"/>
        </w:rPr>
        <w:t>Tercer cargo contra el inciso quinto del numeral 6 del artículo 61 de la Ley 2294 por violación del artículo 238 de la Constitución</w:t>
      </w:r>
      <w:r w:rsidRPr="00635A00">
        <w:rPr>
          <w:rStyle w:val="Refdenotaalpie"/>
          <w:rFonts w:ascii="Times New Roman" w:hAnsi="Times New Roman" w:cs="Times New Roman"/>
          <w:b/>
          <w:color w:val="auto"/>
          <w:lang w:val="es-CO"/>
        </w:rPr>
        <w:footnoteReference w:id="17"/>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El actor planteó que el mencionado inciso de la norma acusada </w:t>
      </w:r>
      <w:r w:rsidRPr="00635A00">
        <w:rPr>
          <w:rFonts w:ascii="Times New Roman" w:hAnsi="Times New Roman" w:cs="Times New Roman"/>
          <w:bCs/>
          <w:color w:val="auto"/>
          <w:lang w:val="es-CO"/>
        </w:rPr>
        <w:t>autoriza a la ANT para disponer sobre los inmuebles en disputa a pesar de la suspensión judicial de los actos que declaran la clarificación de la propiedad, el deslinde o la extinción de domini</w:t>
      </w:r>
      <w:r w:rsidRPr="00635A00">
        <w:rPr>
          <w:rFonts w:ascii="Times New Roman" w:hAnsi="Times New Roman" w:cs="Times New Roman"/>
          <w:bCs/>
          <w:color w:val="auto"/>
          <w:lang w:val="es-CO"/>
        </w:rPr>
        <w:t xml:space="preserve">o. En criterio del demandante, tal habilitación </w:t>
      </w:r>
      <w:r w:rsidRPr="00635A00">
        <w:rPr>
          <w:rFonts w:ascii="Times New Roman" w:hAnsi="Times New Roman" w:cs="Times New Roman"/>
          <w:bCs/>
          <w:color w:val="auto"/>
          <w:lang w:val="es-CO"/>
        </w:rPr>
        <w:t>vulnera la norma constitucional que otorga a la jurisdicción de lo contencioso administrativo la potestad para suspender provisionalmente actos administrativos susceptibles de impugnación por vía jurisdiccion</w:t>
      </w:r>
      <w:r w:rsidRPr="00635A00">
        <w:rPr>
          <w:rFonts w:ascii="Times New Roman" w:hAnsi="Times New Roman" w:cs="Times New Roman"/>
          <w:bCs/>
          <w:color w:val="auto"/>
          <w:lang w:val="es-CO"/>
        </w:rPr>
        <w:t>al</w:t>
      </w:r>
      <w:r w:rsidRPr="00635A00">
        <w:rPr>
          <w:rFonts w:ascii="Times New Roman" w:hAnsi="Times New Roman" w:cs="Times New Roman"/>
          <w:bCs/>
          <w:color w:val="auto"/>
          <w:lang w:val="es-CO"/>
        </w:rPr>
        <w:t>, ya que le resta todo efecto útil a dicha medida provisional.</w:t>
      </w:r>
    </w:p>
    <w:p w:rsidR="00F46CCA" w:rsidRPr="00635A00" w:rsidRDefault="00635A00" w:rsidP="00F46CCA">
      <w:pPr>
        <w:pStyle w:val="Prrafodelista"/>
        <w:rPr>
          <w:rFonts w:ascii="Times New Roman" w:hAnsi="Times New Roman" w:cs="Times New Roman"/>
          <w:bCs/>
          <w:color w:val="auto"/>
          <w:lang w:val="es-CO"/>
        </w:rPr>
      </w:pPr>
    </w:p>
    <w:p w:rsidR="00F46CCA"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 xml:space="preserve">El demandante </w:t>
      </w:r>
      <w:r w:rsidRPr="00635A00">
        <w:rPr>
          <w:rFonts w:ascii="Times New Roman" w:hAnsi="Times New Roman" w:cs="Times New Roman"/>
          <w:bCs/>
          <w:color w:val="auto"/>
          <w:lang w:val="es-CO"/>
        </w:rPr>
        <w:t>señaló</w:t>
      </w:r>
      <w:r w:rsidRPr="00635A00">
        <w:rPr>
          <w:rFonts w:ascii="Times New Roman" w:hAnsi="Times New Roman" w:cs="Times New Roman"/>
          <w:bCs/>
          <w:color w:val="auto"/>
          <w:lang w:val="es-CO"/>
        </w:rPr>
        <w:t xml:space="preserve"> que, conforme lo han reconocido tanto la Corte Constitucional como el Consejo de Estado</w:t>
      </w:r>
      <w:r w:rsidRPr="00635A00">
        <w:rPr>
          <w:rStyle w:val="Refdenotaalpie"/>
          <w:rFonts w:ascii="Times New Roman" w:hAnsi="Times New Roman" w:cs="Times New Roman"/>
          <w:bCs/>
          <w:color w:val="auto"/>
          <w:lang w:val="es-CO"/>
        </w:rPr>
        <w:footnoteReference w:id="18"/>
      </w:r>
      <w:r w:rsidRPr="00635A00">
        <w:rPr>
          <w:rFonts w:ascii="Times New Roman" w:hAnsi="Times New Roman" w:cs="Times New Roman"/>
          <w:bCs/>
          <w:color w:val="auto"/>
          <w:lang w:val="es-CO"/>
        </w:rPr>
        <w:t xml:space="preserve">, la suspensión provisional no es una simple medida cautelar sino que constituye </w:t>
      </w:r>
      <w:r w:rsidRPr="00635A00">
        <w:rPr>
          <w:rFonts w:ascii="Times New Roman" w:hAnsi="Times New Roman" w:cs="Times New Roman"/>
          <w:bCs/>
          <w:color w:val="auto"/>
          <w:lang w:val="es-CO"/>
        </w:rPr>
        <w:t xml:space="preserve">una garantía judicial eficiente para protección de los particulares frente a la ejecución de actos administrativos que </w:t>
      </w:r>
      <w:r w:rsidRPr="00635A00">
        <w:rPr>
          <w:rFonts w:ascii="Times New Roman" w:hAnsi="Times New Roman" w:cs="Times New Roman"/>
          <w:bCs/>
          <w:i/>
          <w:iCs/>
          <w:color w:val="auto"/>
          <w:lang w:val="es-CO"/>
        </w:rPr>
        <w:t>prima facie</w:t>
      </w:r>
      <w:r w:rsidRPr="00635A00">
        <w:rPr>
          <w:rFonts w:ascii="Times New Roman" w:hAnsi="Times New Roman" w:cs="Times New Roman"/>
          <w:bCs/>
          <w:color w:val="auto"/>
          <w:lang w:val="es-CO"/>
        </w:rPr>
        <w:t xml:space="preserve"> resultan violatorios del ordenamiento jurídico.</w:t>
      </w:r>
      <w:r w:rsidRPr="00635A00">
        <w:rPr>
          <w:rFonts w:ascii="Times New Roman" w:hAnsi="Times New Roman" w:cs="Times New Roman"/>
          <w:bCs/>
          <w:color w:val="auto"/>
          <w:lang w:val="es-CO"/>
        </w:rPr>
        <w:t xml:space="preserve"> Por lo tanto, en criterio del actor es inexplicable que el Legislador pueda m</w:t>
      </w:r>
      <w:r w:rsidRPr="00635A00">
        <w:rPr>
          <w:rFonts w:ascii="Times New Roman" w:hAnsi="Times New Roman" w:cs="Times New Roman"/>
          <w:bCs/>
          <w:color w:val="auto"/>
          <w:lang w:val="es-CO"/>
        </w:rPr>
        <w:t>odular los efectos de dicha garantía judicial reconocida por la Carta, al punto de hacerlos nugatorios.</w:t>
      </w:r>
    </w:p>
    <w:p w:rsidR="00734EFA" w:rsidRPr="00635A00" w:rsidRDefault="00635A00" w:rsidP="00734EFA">
      <w:pPr>
        <w:pStyle w:val="Prrafodelista"/>
        <w:rPr>
          <w:rFonts w:ascii="Times New Roman" w:hAnsi="Times New Roman" w:cs="Times New Roman"/>
          <w:bCs/>
          <w:color w:val="auto"/>
          <w:lang w:val="es-CO"/>
        </w:rPr>
      </w:pPr>
    </w:p>
    <w:p w:rsidR="00734EFA" w:rsidRPr="00635A00" w:rsidRDefault="00635A00" w:rsidP="009240F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 xml:space="preserve">A continuación se reseñan los </w:t>
      </w:r>
      <w:r w:rsidRPr="00635A00">
        <w:rPr>
          <w:rFonts w:ascii="Times New Roman" w:hAnsi="Times New Roman" w:cs="Times New Roman"/>
          <w:bCs/>
          <w:color w:val="auto"/>
          <w:lang w:val="es-CO"/>
        </w:rPr>
        <w:t xml:space="preserve">cargos formulados por los demandantes que fueron admitidos por la magistrada sustanciadora para el respectivo estudio de </w:t>
      </w:r>
      <w:r w:rsidRPr="00635A00">
        <w:rPr>
          <w:rFonts w:ascii="Times New Roman" w:hAnsi="Times New Roman" w:cs="Times New Roman"/>
          <w:bCs/>
          <w:color w:val="auto"/>
          <w:lang w:val="es-CO"/>
        </w:rPr>
        <w:t>constitucionalidad:</w:t>
      </w:r>
    </w:p>
    <w:p w:rsidR="000F3F81" w:rsidRPr="00635A00" w:rsidRDefault="00635A00" w:rsidP="009240FE">
      <w:pPr>
        <w:pStyle w:val="Sombreadovistoso-nfasis31"/>
        <w:ind w:left="0"/>
        <w:rPr>
          <w:rFonts w:ascii="Times New Roman" w:hAnsi="Times New Roman" w:cs="Times New Roman"/>
          <w:b/>
          <w:color w:val="auto"/>
          <w:lang w:val="es-CO"/>
        </w:rPr>
      </w:pPr>
    </w:p>
    <w:p w:rsidR="000F3F81" w:rsidRPr="00635A00" w:rsidRDefault="00635A00" w:rsidP="000F3F81">
      <w:pPr>
        <w:pStyle w:val="Descripcin"/>
        <w:keepNext/>
        <w:rPr>
          <w:rFonts w:ascii="Times New Roman" w:hAnsi="Times New Roman" w:cs="Times New Roman"/>
          <w:caps w:val="0"/>
          <w:szCs w:val="24"/>
        </w:rPr>
      </w:pPr>
      <w:r w:rsidRPr="00635A00">
        <w:rPr>
          <w:rFonts w:ascii="Times New Roman" w:hAnsi="Times New Roman" w:cs="Times New Roman"/>
          <w:caps w:val="0"/>
          <w:szCs w:val="24"/>
        </w:rPr>
        <w:t xml:space="preserve">Tabla </w:t>
      </w:r>
      <w:r w:rsidRPr="00635A00">
        <w:rPr>
          <w:rFonts w:ascii="Times New Roman" w:hAnsi="Times New Roman" w:cs="Times New Roman"/>
          <w:caps w:val="0"/>
          <w:szCs w:val="24"/>
        </w:rPr>
        <w:fldChar w:fldCharType="begin"/>
      </w:r>
      <w:r w:rsidRPr="00635A00">
        <w:rPr>
          <w:rFonts w:ascii="Times New Roman" w:hAnsi="Times New Roman" w:cs="Times New Roman"/>
          <w:caps w:val="0"/>
          <w:szCs w:val="24"/>
        </w:rPr>
        <w:instrText xml:space="preserve"> SEQ Tabla \* ARABIC </w:instrText>
      </w:r>
      <w:r w:rsidRPr="00635A00">
        <w:rPr>
          <w:rFonts w:ascii="Times New Roman" w:hAnsi="Times New Roman" w:cs="Times New Roman"/>
          <w:caps w:val="0"/>
          <w:szCs w:val="24"/>
        </w:rPr>
        <w:fldChar w:fldCharType="separate"/>
      </w:r>
      <w:r w:rsidRPr="00635A00">
        <w:rPr>
          <w:rFonts w:ascii="Times New Roman" w:hAnsi="Times New Roman" w:cs="Times New Roman"/>
          <w:caps w:val="0"/>
          <w:noProof/>
          <w:szCs w:val="24"/>
        </w:rPr>
        <w:t>1</w:t>
      </w:r>
      <w:r w:rsidRPr="00635A00">
        <w:rPr>
          <w:rFonts w:ascii="Times New Roman" w:hAnsi="Times New Roman" w:cs="Times New Roman"/>
          <w:caps w:val="0"/>
          <w:szCs w:val="24"/>
        </w:rPr>
        <w:fldChar w:fldCharType="end"/>
      </w:r>
      <w:r w:rsidRPr="00635A00">
        <w:rPr>
          <w:rFonts w:ascii="Times New Roman" w:hAnsi="Times New Roman" w:cs="Times New Roman"/>
          <w:caps w:val="0"/>
          <w:szCs w:val="24"/>
        </w:rPr>
        <w:t xml:space="preserve"> – Síntesis de los cargos admitidos</w:t>
      </w:r>
    </w:p>
    <w:tbl>
      <w:tblPr>
        <w:tblStyle w:val="Tablaconcuadrcula"/>
        <w:tblW w:w="0" w:type="auto"/>
        <w:tblLook w:val="04A0" w:firstRow="1" w:lastRow="0" w:firstColumn="1" w:lastColumn="0" w:noHBand="0" w:noVBand="1"/>
      </w:tblPr>
      <w:tblGrid>
        <w:gridCol w:w="7461"/>
        <w:gridCol w:w="1367"/>
      </w:tblGrid>
      <w:tr w:rsidR="00301B43" w:rsidRPr="00635A00" w:rsidTr="0036321C">
        <w:trPr>
          <w:tblHeader/>
        </w:trPr>
        <w:tc>
          <w:tcPr>
            <w:tcW w:w="7611" w:type="dxa"/>
            <w:shd w:val="clear" w:color="auto" w:fill="E2EFD9" w:themeFill="accent6" w:themeFillTint="33"/>
          </w:tcPr>
          <w:p w:rsidR="000F3F81" w:rsidRPr="00635A00" w:rsidRDefault="00635A00" w:rsidP="000F3F81">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Cargo</w:t>
            </w:r>
          </w:p>
        </w:tc>
        <w:tc>
          <w:tcPr>
            <w:tcW w:w="1367" w:type="dxa"/>
            <w:shd w:val="clear" w:color="auto" w:fill="E2EFD9" w:themeFill="accent6" w:themeFillTint="33"/>
          </w:tcPr>
          <w:p w:rsidR="000F3F81" w:rsidRPr="00635A00" w:rsidRDefault="00635A00" w:rsidP="000F3F81">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Expediente</w:t>
            </w:r>
          </w:p>
        </w:tc>
      </w:tr>
      <w:tr w:rsidR="00301B43" w:rsidRPr="00635A00" w:rsidTr="0036321C">
        <w:tc>
          <w:tcPr>
            <w:tcW w:w="7611" w:type="dxa"/>
            <w:vAlign w:val="center"/>
          </w:tcPr>
          <w:p w:rsidR="0036321C" w:rsidRPr="00635A00" w:rsidRDefault="00635A00" w:rsidP="00231ABF">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Violación de los principios de consecutividad</w:t>
            </w:r>
            <w:r w:rsidRPr="00635A00">
              <w:rPr>
                <w:rFonts w:ascii="Times New Roman" w:hAnsi="Times New Roman"/>
                <w:bCs/>
                <w:color w:val="auto"/>
                <w:szCs w:val="24"/>
                <w:lang w:val="es-CO"/>
              </w:rPr>
              <w:t xml:space="preserve"> e</w:t>
            </w:r>
            <w:r w:rsidRPr="00635A00">
              <w:rPr>
                <w:rFonts w:ascii="Times New Roman" w:hAnsi="Times New Roman"/>
                <w:bCs/>
                <w:color w:val="auto"/>
                <w:szCs w:val="24"/>
                <w:lang w:val="es-CO"/>
              </w:rPr>
              <w:t xml:space="preserve"> identidad flexible</w:t>
            </w:r>
          </w:p>
        </w:tc>
        <w:tc>
          <w:tcPr>
            <w:tcW w:w="1367" w:type="dxa"/>
            <w:vAlign w:val="center"/>
          </w:tcPr>
          <w:p w:rsidR="0036321C" w:rsidRPr="00635A00" w:rsidRDefault="00635A00" w:rsidP="0036321C">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D-15461</w:t>
            </w:r>
          </w:p>
        </w:tc>
      </w:tr>
      <w:tr w:rsidR="00301B43" w:rsidRPr="00635A00" w:rsidTr="0036321C">
        <w:tc>
          <w:tcPr>
            <w:tcW w:w="7611" w:type="dxa"/>
            <w:vAlign w:val="center"/>
          </w:tcPr>
          <w:p w:rsidR="00D47802" w:rsidRPr="00635A00" w:rsidRDefault="00635A00" w:rsidP="009240FE">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Violación del principio de publicidad</w:t>
            </w:r>
          </w:p>
        </w:tc>
        <w:tc>
          <w:tcPr>
            <w:tcW w:w="1367" w:type="dxa"/>
            <w:vAlign w:val="center"/>
          </w:tcPr>
          <w:p w:rsidR="00D47802" w:rsidRPr="00635A00" w:rsidRDefault="00635A00" w:rsidP="0036321C">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D-15461</w:t>
            </w:r>
          </w:p>
        </w:tc>
      </w:tr>
      <w:tr w:rsidR="00301B43" w:rsidRPr="00635A00" w:rsidTr="0036321C">
        <w:tc>
          <w:tcPr>
            <w:tcW w:w="7611" w:type="dxa"/>
            <w:vAlign w:val="center"/>
          </w:tcPr>
          <w:p w:rsidR="000F3F81" w:rsidRPr="00635A00" w:rsidRDefault="00635A00" w:rsidP="009240FE">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Violación del principio de progresividad y </w:t>
            </w:r>
            <w:r w:rsidRPr="00635A00">
              <w:rPr>
                <w:rFonts w:ascii="Times New Roman" w:hAnsi="Times New Roman"/>
                <w:bCs/>
                <w:color w:val="auto"/>
                <w:szCs w:val="24"/>
                <w:lang w:val="es-CO"/>
              </w:rPr>
              <w:t>no</w:t>
            </w:r>
            <w:r w:rsidRPr="00635A00">
              <w:rPr>
                <w:rFonts w:ascii="Times New Roman" w:hAnsi="Times New Roman"/>
                <w:bCs/>
                <w:color w:val="auto"/>
                <w:szCs w:val="24"/>
                <w:lang w:val="es-CO"/>
              </w:rPr>
              <w:t xml:space="preserve"> regresividad respecto del derecho fundamental al debido proceso.</w:t>
            </w:r>
          </w:p>
        </w:tc>
        <w:tc>
          <w:tcPr>
            <w:tcW w:w="1367" w:type="dxa"/>
            <w:vAlign w:val="center"/>
          </w:tcPr>
          <w:p w:rsidR="00231ABF" w:rsidRPr="00635A00" w:rsidRDefault="00635A00" w:rsidP="0036321C">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D-15438</w:t>
            </w:r>
          </w:p>
          <w:p w:rsidR="00541D0A" w:rsidRPr="00635A00" w:rsidRDefault="00635A00" w:rsidP="0036321C">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D-15461</w:t>
            </w:r>
          </w:p>
        </w:tc>
      </w:tr>
      <w:tr w:rsidR="0036321C" w:rsidRPr="00635A00" w:rsidTr="0036321C">
        <w:tc>
          <w:tcPr>
            <w:tcW w:w="7611" w:type="dxa"/>
            <w:vAlign w:val="center"/>
          </w:tcPr>
          <w:p w:rsidR="0036321C" w:rsidRPr="00635A00" w:rsidRDefault="00635A00" w:rsidP="0036321C">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Violación de la potestad judicial para suspender actos administrativos</w:t>
            </w:r>
          </w:p>
        </w:tc>
        <w:tc>
          <w:tcPr>
            <w:tcW w:w="1367" w:type="dxa"/>
            <w:vAlign w:val="center"/>
          </w:tcPr>
          <w:p w:rsidR="0036321C" w:rsidRPr="00635A00" w:rsidRDefault="00635A00" w:rsidP="0036321C">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D-15461</w:t>
            </w:r>
          </w:p>
        </w:tc>
      </w:tr>
    </w:tbl>
    <w:p w:rsidR="000F3F81" w:rsidRPr="00635A00" w:rsidRDefault="00635A00" w:rsidP="009240FE">
      <w:pPr>
        <w:pStyle w:val="Sombreadovistoso-nfasis31"/>
        <w:ind w:left="0"/>
        <w:rPr>
          <w:rFonts w:ascii="Times New Roman" w:hAnsi="Times New Roman" w:cs="Times New Roman"/>
          <w:b/>
          <w:color w:val="auto"/>
          <w:lang w:val="es-CO"/>
        </w:rPr>
      </w:pPr>
    </w:p>
    <w:p w:rsidR="00231ABF" w:rsidRPr="00635A00" w:rsidRDefault="00635A00" w:rsidP="00231ABF">
      <w:pPr>
        <w:pStyle w:val="Sombreadovistoso-nfasis31"/>
        <w:numPr>
          <w:ilvl w:val="0"/>
          <w:numId w:val="4"/>
        </w:numPr>
        <w:ind w:left="1134" w:hanging="567"/>
        <w:rPr>
          <w:rFonts w:ascii="Times New Roman" w:hAnsi="Times New Roman" w:cs="Times New Roman"/>
          <w:b/>
          <w:color w:val="auto"/>
          <w:lang w:val="es-CO"/>
        </w:rPr>
      </w:pPr>
      <w:r w:rsidRPr="00635A00">
        <w:rPr>
          <w:rFonts w:ascii="Times New Roman" w:hAnsi="Times New Roman" w:cs="Times New Roman"/>
          <w:b/>
          <w:color w:val="auto"/>
          <w:lang w:val="es-CO"/>
        </w:rPr>
        <w:t>Pruebas</w:t>
      </w:r>
    </w:p>
    <w:p w:rsidR="006F604E" w:rsidRPr="00635A00" w:rsidRDefault="00635A00" w:rsidP="00BB6F8E">
      <w:pPr>
        <w:pStyle w:val="Sombreadovistoso-nfasis31"/>
        <w:ind w:left="567"/>
        <w:rPr>
          <w:rFonts w:ascii="Times New Roman" w:hAnsi="Times New Roman" w:cs="Times New Roman"/>
          <w:b/>
          <w:color w:val="auto"/>
          <w:lang w:val="es-CO"/>
        </w:rPr>
      </w:pPr>
    </w:p>
    <w:p w:rsidR="00BB6F8E" w:rsidRPr="00635A00" w:rsidRDefault="00635A00" w:rsidP="00BB6F8E">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 xml:space="preserve">Con ocasión del requerimiento </w:t>
      </w:r>
      <w:r w:rsidRPr="00635A00">
        <w:rPr>
          <w:rFonts w:ascii="Times New Roman" w:hAnsi="Times New Roman" w:cs="Times New Roman"/>
          <w:bCs/>
          <w:color w:val="auto"/>
          <w:lang w:val="es-CO"/>
        </w:rPr>
        <w:t>probatorio decretado por la magistrada sustanciadora en el auto del 24 de agosto de 2023, durante el trámite los secretarios generales de la Cámara de Representantes y del Senado de la República hicieron llegar</w:t>
      </w:r>
      <w:r w:rsidRPr="00635A00">
        <w:rPr>
          <w:rFonts w:ascii="Times New Roman" w:hAnsi="Times New Roman" w:cs="Times New Roman"/>
          <w:bCs/>
          <w:color w:val="auto"/>
          <w:lang w:val="es-CO"/>
        </w:rPr>
        <w:t>, en lo pertinente, las siguientes Gacetas del</w:t>
      </w:r>
      <w:r w:rsidRPr="00635A00">
        <w:rPr>
          <w:rFonts w:ascii="Times New Roman" w:hAnsi="Times New Roman" w:cs="Times New Roman"/>
          <w:bCs/>
          <w:color w:val="auto"/>
          <w:lang w:val="es-CO"/>
        </w:rPr>
        <w:t xml:space="preserve"> Congreso en donde constan los antecedentes d</w:t>
      </w:r>
      <w:r w:rsidRPr="00635A00">
        <w:rPr>
          <w:rFonts w:ascii="Times New Roman" w:hAnsi="Times New Roman" w:cs="Times New Roman"/>
          <w:bCs/>
          <w:color w:val="auto"/>
          <w:lang w:val="es-CO"/>
        </w:rPr>
        <w:t>el trámite de la Ley 2294</w:t>
      </w:r>
      <w:r w:rsidRPr="00635A00">
        <w:rPr>
          <w:rFonts w:ascii="Times New Roman" w:hAnsi="Times New Roman" w:cs="Times New Roman"/>
          <w:bCs/>
          <w:color w:val="auto"/>
          <w:lang w:val="es-CO"/>
        </w:rPr>
        <w:t xml:space="preserve"> (Proyecto de Ley 274 de 2023 Senado – 338 de 2023 Cámara)</w:t>
      </w:r>
      <w:r w:rsidRPr="00635A00">
        <w:rPr>
          <w:rFonts w:ascii="Times New Roman" w:hAnsi="Times New Roman" w:cs="Times New Roman"/>
          <w:bCs/>
          <w:color w:val="auto"/>
          <w:lang w:val="es-CO"/>
        </w:rPr>
        <w:t>.</w:t>
      </w:r>
    </w:p>
    <w:p w:rsidR="00BB6F8E" w:rsidRPr="00635A00" w:rsidRDefault="00635A00" w:rsidP="00BB6F8E">
      <w:pPr>
        <w:pStyle w:val="Sombreadovistoso-nfasis31"/>
        <w:ind w:left="567"/>
        <w:rPr>
          <w:rFonts w:ascii="Times New Roman" w:hAnsi="Times New Roman" w:cs="Times New Roman"/>
          <w:b/>
          <w:color w:val="auto"/>
          <w:lang w:val="es-CO"/>
        </w:rPr>
      </w:pPr>
    </w:p>
    <w:p w:rsidR="00BB6F8E" w:rsidRPr="00635A00" w:rsidRDefault="00635A00" w:rsidP="00BB6F8E">
      <w:pPr>
        <w:pStyle w:val="Descripcin"/>
        <w:keepNext/>
        <w:rPr>
          <w:rFonts w:ascii="Times New Roman" w:hAnsi="Times New Roman" w:cs="Times New Roman"/>
          <w:caps w:val="0"/>
          <w:szCs w:val="24"/>
        </w:rPr>
      </w:pPr>
      <w:r w:rsidRPr="00635A00">
        <w:rPr>
          <w:rFonts w:ascii="Times New Roman" w:hAnsi="Times New Roman" w:cs="Times New Roman"/>
          <w:caps w:val="0"/>
          <w:szCs w:val="24"/>
        </w:rPr>
        <w:t xml:space="preserve">Tabla </w:t>
      </w:r>
      <w:r w:rsidRPr="00635A00">
        <w:rPr>
          <w:rFonts w:ascii="Times New Roman" w:hAnsi="Times New Roman" w:cs="Times New Roman"/>
          <w:caps w:val="0"/>
          <w:szCs w:val="24"/>
        </w:rPr>
        <w:fldChar w:fldCharType="begin"/>
      </w:r>
      <w:r w:rsidRPr="00635A00">
        <w:rPr>
          <w:rFonts w:ascii="Times New Roman" w:hAnsi="Times New Roman" w:cs="Times New Roman"/>
          <w:caps w:val="0"/>
          <w:szCs w:val="24"/>
        </w:rPr>
        <w:instrText xml:space="preserve"> SEQ Tabla \* ARABIC </w:instrText>
      </w:r>
      <w:r w:rsidRPr="00635A00">
        <w:rPr>
          <w:rFonts w:ascii="Times New Roman" w:hAnsi="Times New Roman" w:cs="Times New Roman"/>
          <w:caps w:val="0"/>
          <w:szCs w:val="24"/>
        </w:rPr>
        <w:fldChar w:fldCharType="separate"/>
      </w:r>
      <w:r w:rsidRPr="00635A00">
        <w:rPr>
          <w:rFonts w:ascii="Times New Roman" w:hAnsi="Times New Roman" w:cs="Times New Roman"/>
          <w:caps w:val="0"/>
          <w:noProof/>
          <w:szCs w:val="24"/>
        </w:rPr>
        <w:t>2</w:t>
      </w:r>
      <w:r w:rsidRPr="00635A00">
        <w:rPr>
          <w:rFonts w:ascii="Times New Roman" w:hAnsi="Times New Roman" w:cs="Times New Roman"/>
          <w:caps w:val="0"/>
          <w:szCs w:val="24"/>
        </w:rPr>
        <w:fldChar w:fldCharType="end"/>
      </w:r>
      <w:r w:rsidRPr="00635A00">
        <w:rPr>
          <w:rFonts w:ascii="Times New Roman" w:hAnsi="Times New Roman" w:cs="Times New Roman"/>
          <w:caps w:val="0"/>
          <w:szCs w:val="24"/>
        </w:rPr>
        <w:t xml:space="preserve"> – </w:t>
      </w:r>
      <w:r w:rsidRPr="00635A00">
        <w:rPr>
          <w:rFonts w:ascii="Times New Roman" w:hAnsi="Times New Roman" w:cs="Times New Roman"/>
          <w:caps w:val="0"/>
          <w:szCs w:val="24"/>
        </w:rPr>
        <w:t>Antecedentes de la Ley 2294</w:t>
      </w:r>
    </w:p>
    <w:tbl>
      <w:tblPr>
        <w:tblStyle w:val="Tablaconcuadrcula"/>
        <w:tblW w:w="0" w:type="auto"/>
        <w:tblLook w:val="04A0" w:firstRow="1" w:lastRow="0" w:firstColumn="1" w:lastColumn="0" w:noHBand="0" w:noVBand="1"/>
      </w:tblPr>
      <w:tblGrid>
        <w:gridCol w:w="1829"/>
        <w:gridCol w:w="5359"/>
        <w:gridCol w:w="1640"/>
      </w:tblGrid>
      <w:tr w:rsidR="00301B43" w:rsidRPr="00635A00" w:rsidTr="00FB2407">
        <w:trPr>
          <w:tblHeader/>
        </w:trPr>
        <w:tc>
          <w:tcPr>
            <w:tcW w:w="1829" w:type="dxa"/>
            <w:shd w:val="clear" w:color="auto" w:fill="E2EFD9" w:themeFill="accent6" w:themeFillTint="33"/>
          </w:tcPr>
          <w:p w:rsidR="003D10AB" w:rsidRPr="00635A00" w:rsidRDefault="00635A00" w:rsidP="001417EA">
            <w:pPr>
              <w:pStyle w:val="Sombreadovistoso-nfasis31"/>
              <w:ind w:left="0"/>
              <w:jc w:val="center"/>
              <w:rPr>
                <w:rFonts w:ascii="Times New Roman" w:hAnsi="Times New Roman"/>
                <w:b/>
                <w:color w:val="auto"/>
                <w:szCs w:val="24"/>
                <w:lang w:val="es-CO"/>
              </w:rPr>
            </w:pPr>
            <w:bookmarkStart w:id="7" w:name="_Hlk168657291"/>
            <w:r w:rsidRPr="00635A00">
              <w:rPr>
                <w:rFonts w:ascii="Times New Roman" w:hAnsi="Times New Roman"/>
                <w:b/>
                <w:color w:val="auto"/>
                <w:szCs w:val="24"/>
                <w:lang w:val="es-CO"/>
              </w:rPr>
              <w:t>Cámara</w:t>
            </w:r>
          </w:p>
        </w:tc>
        <w:tc>
          <w:tcPr>
            <w:tcW w:w="5564" w:type="dxa"/>
            <w:shd w:val="clear" w:color="auto" w:fill="E2EFD9" w:themeFill="accent6" w:themeFillTint="33"/>
          </w:tcPr>
          <w:p w:rsidR="003D10AB" w:rsidRPr="00635A00" w:rsidRDefault="00635A00" w:rsidP="001417EA">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Asunto</w:t>
            </w:r>
          </w:p>
        </w:tc>
        <w:tc>
          <w:tcPr>
            <w:tcW w:w="1661" w:type="dxa"/>
            <w:shd w:val="clear" w:color="auto" w:fill="E2EFD9" w:themeFill="accent6" w:themeFillTint="33"/>
          </w:tcPr>
          <w:p w:rsidR="003D10AB" w:rsidRPr="00635A00" w:rsidRDefault="00635A00" w:rsidP="001417EA">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Gaceta</w:t>
            </w:r>
          </w:p>
        </w:tc>
      </w:tr>
      <w:tr w:rsidR="00301B43" w:rsidRPr="00635A00" w:rsidTr="00FB2407">
        <w:tc>
          <w:tcPr>
            <w:tcW w:w="1829" w:type="dxa"/>
            <w:vMerge w:val="restart"/>
            <w:vAlign w:val="center"/>
          </w:tcPr>
          <w:p w:rsidR="00B04692" w:rsidRPr="00635A00" w:rsidRDefault="00635A00" w:rsidP="00046DC7">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Cámara de Representantes</w:t>
            </w:r>
            <w:r w:rsidRPr="00635A00">
              <w:rPr>
                <w:rStyle w:val="Refdenotaalpie"/>
                <w:rFonts w:ascii="Times New Roman" w:hAnsi="Times New Roman"/>
                <w:bCs/>
                <w:color w:val="auto"/>
                <w:szCs w:val="24"/>
                <w:lang w:val="es-CO"/>
              </w:rPr>
              <w:footnoteReference w:id="19"/>
            </w:r>
          </w:p>
        </w:tc>
        <w:tc>
          <w:tcPr>
            <w:tcW w:w="5564" w:type="dxa"/>
          </w:tcPr>
          <w:p w:rsidR="00B04692" w:rsidRPr="00635A00" w:rsidRDefault="00635A00" w:rsidP="00046DC7">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Proyecto de ley</w:t>
            </w:r>
            <w:r w:rsidRPr="00635A00">
              <w:rPr>
                <w:rFonts w:ascii="Times New Roman" w:hAnsi="Times New Roman"/>
                <w:bCs/>
                <w:color w:val="auto"/>
                <w:szCs w:val="24"/>
                <w:lang w:val="es-CO"/>
              </w:rPr>
              <w:t xml:space="preserve"> y exposición de motivos</w:t>
            </w:r>
          </w:p>
        </w:tc>
        <w:tc>
          <w:tcPr>
            <w:tcW w:w="1661" w:type="dxa"/>
          </w:tcPr>
          <w:p w:rsidR="00B04692" w:rsidRPr="00635A00" w:rsidRDefault="00635A00" w:rsidP="00046DC7">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18/2023</w:t>
            </w:r>
          </w:p>
        </w:tc>
      </w:tr>
      <w:tr w:rsidR="00301B43" w:rsidRPr="00635A00" w:rsidTr="00FB2407">
        <w:tc>
          <w:tcPr>
            <w:tcW w:w="1829" w:type="dxa"/>
            <w:vMerge/>
          </w:tcPr>
          <w:p w:rsidR="00B04692" w:rsidRPr="00635A00" w:rsidRDefault="00635A00" w:rsidP="00046DC7">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046DC7">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Ponencia para primer debate</w:t>
            </w:r>
          </w:p>
        </w:tc>
        <w:tc>
          <w:tcPr>
            <w:tcW w:w="1661" w:type="dxa"/>
          </w:tcPr>
          <w:p w:rsidR="00B04692" w:rsidRPr="00635A00" w:rsidRDefault="00635A00" w:rsidP="00046DC7">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180/2023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Ponencia negativa primer debate</w:t>
            </w:r>
          </w:p>
        </w:tc>
        <w:tc>
          <w:tcPr>
            <w:tcW w:w="1661" w:type="dxa"/>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182/2023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Actas primer debate</w:t>
            </w:r>
          </w:p>
        </w:tc>
        <w:tc>
          <w:tcPr>
            <w:tcW w:w="1661" w:type="dxa"/>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858/2023</w:t>
            </w:r>
          </w:p>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859/2023</w:t>
            </w:r>
          </w:p>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860/2023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213E5E"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Texto aprobado en primer debate</w:t>
            </w:r>
          </w:p>
        </w:tc>
        <w:tc>
          <w:tcPr>
            <w:tcW w:w="1661" w:type="dxa"/>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274/2023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Ponencia segundo debate</w:t>
            </w:r>
          </w:p>
        </w:tc>
        <w:tc>
          <w:tcPr>
            <w:tcW w:w="1661" w:type="dxa"/>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388/2023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Actas </w:t>
            </w:r>
            <w:r w:rsidRPr="00635A00">
              <w:rPr>
                <w:rFonts w:ascii="Times New Roman" w:hAnsi="Times New Roman"/>
                <w:bCs/>
                <w:color w:val="auto"/>
                <w:szCs w:val="24"/>
                <w:lang w:val="es-CO"/>
              </w:rPr>
              <w:t>segundo debate</w:t>
            </w:r>
          </w:p>
        </w:tc>
        <w:tc>
          <w:tcPr>
            <w:tcW w:w="1661" w:type="dxa"/>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892/2023</w:t>
            </w:r>
          </w:p>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1311/2023</w:t>
            </w:r>
          </w:p>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1143/2023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Texto definitivo aprobado en segundo debate</w:t>
            </w:r>
          </w:p>
        </w:tc>
        <w:tc>
          <w:tcPr>
            <w:tcW w:w="1661" w:type="dxa"/>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428/2023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Informe de conciliación</w:t>
            </w:r>
          </w:p>
        </w:tc>
        <w:tc>
          <w:tcPr>
            <w:tcW w:w="1661" w:type="dxa"/>
            <w:shd w:val="clear" w:color="auto" w:fill="auto"/>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429/2023</w:t>
            </w:r>
          </w:p>
        </w:tc>
      </w:tr>
      <w:tr w:rsidR="00301B43" w:rsidRPr="00635A00" w:rsidTr="00FB2407">
        <w:tc>
          <w:tcPr>
            <w:tcW w:w="1829" w:type="dxa"/>
            <w:vMerge/>
          </w:tcPr>
          <w:p w:rsidR="00B04692" w:rsidRPr="00635A00" w:rsidRDefault="00635A00" w:rsidP="00DA0444">
            <w:pPr>
              <w:pStyle w:val="Sombreadovistoso-nfasis31"/>
              <w:ind w:left="0"/>
              <w:jc w:val="center"/>
              <w:rPr>
                <w:rFonts w:ascii="Times New Roman" w:hAnsi="Times New Roman"/>
                <w:bCs/>
                <w:color w:val="auto"/>
                <w:szCs w:val="24"/>
                <w:lang w:val="es-CO"/>
              </w:rPr>
            </w:pPr>
          </w:p>
        </w:tc>
        <w:tc>
          <w:tcPr>
            <w:tcW w:w="5564" w:type="dxa"/>
          </w:tcPr>
          <w:p w:rsidR="00B04692"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Acta discusión y aprobación informe de conciliación</w:t>
            </w:r>
          </w:p>
          <w:p w:rsidR="00B04692" w:rsidRPr="00635A00" w:rsidRDefault="00635A00" w:rsidP="00DA0444">
            <w:pPr>
              <w:pStyle w:val="Sombreadovistoso-nfasis31"/>
              <w:ind w:left="0"/>
              <w:rPr>
                <w:rFonts w:ascii="Times New Roman" w:hAnsi="Times New Roman"/>
                <w:bCs/>
                <w:color w:val="auto"/>
                <w:szCs w:val="24"/>
                <w:lang w:val="es-CO"/>
              </w:rPr>
            </w:pPr>
          </w:p>
        </w:tc>
        <w:tc>
          <w:tcPr>
            <w:tcW w:w="1661" w:type="dxa"/>
          </w:tcPr>
          <w:p w:rsidR="00B04692"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923/2023</w:t>
            </w:r>
          </w:p>
        </w:tc>
      </w:tr>
      <w:tr w:rsidR="00301B43" w:rsidRPr="00635A00" w:rsidTr="00FB2407">
        <w:tc>
          <w:tcPr>
            <w:tcW w:w="1829" w:type="dxa"/>
            <w:vMerge w:val="restart"/>
            <w:vAlign w:val="center"/>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 de la República</w:t>
            </w:r>
            <w:r w:rsidRPr="00635A00">
              <w:rPr>
                <w:rStyle w:val="Refdenotaalpie"/>
                <w:rFonts w:ascii="Times New Roman" w:hAnsi="Times New Roman"/>
                <w:bCs/>
                <w:color w:val="auto"/>
                <w:szCs w:val="24"/>
                <w:lang w:val="es-CO"/>
              </w:rPr>
              <w:footnoteReference w:id="20"/>
            </w:r>
          </w:p>
        </w:tc>
        <w:tc>
          <w:tcPr>
            <w:tcW w:w="5564" w:type="dxa"/>
          </w:tcPr>
          <w:p w:rsidR="00DA0444"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Ponencia primer debate</w:t>
            </w:r>
          </w:p>
        </w:tc>
        <w:tc>
          <w:tcPr>
            <w:tcW w:w="1661" w:type="dxa"/>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181/2023</w:t>
            </w:r>
          </w:p>
        </w:tc>
      </w:tr>
      <w:tr w:rsidR="00301B43" w:rsidRPr="00635A00" w:rsidTr="00FB2407">
        <w:tc>
          <w:tcPr>
            <w:tcW w:w="1829" w:type="dxa"/>
            <w:vMerge/>
          </w:tcPr>
          <w:p w:rsidR="00DA0444"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DA0444"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Ponencia negativa primer debate</w:t>
            </w:r>
          </w:p>
        </w:tc>
        <w:tc>
          <w:tcPr>
            <w:tcW w:w="1661" w:type="dxa"/>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183/2023</w:t>
            </w:r>
          </w:p>
        </w:tc>
      </w:tr>
      <w:tr w:rsidR="00301B43" w:rsidRPr="00635A00" w:rsidTr="00FB2407">
        <w:tc>
          <w:tcPr>
            <w:tcW w:w="1829" w:type="dxa"/>
            <w:vMerge/>
          </w:tcPr>
          <w:p w:rsidR="00213E5E"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213E5E"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Actas primer debate</w:t>
            </w:r>
          </w:p>
          <w:p w:rsidR="00213E5E" w:rsidRPr="00635A00" w:rsidRDefault="00635A00" w:rsidP="00DA0444">
            <w:pPr>
              <w:pStyle w:val="Sombreadovistoso-nfasis31"/>
              <w:ind w:left="0"/>
              <w:rPr>
                <w:rFonts w:ascii="Times New Roman" w:hAnsi="Times New Roman"/>
                <w:bCs/>
                <w:color w:val="auto"/>
                <w:szCs w:val="24"/>
                <w:lang w:val="es-CO"/>
              </w:rPr>
            </w:pPr>
          </w:p>
        </w:tc>
        <w:tc>
          <w:tcPr>
            <w:tcW w:w="1661" w:type="dxa"/>
          </w:tcPr>
          <w:p w:rsidR="004E687E" w:rsidRPr="00635A00" w:rsidRDefault="00635A00" w:rsidP="004E687E">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858/2023</w:t>
            </w:r>
          </w:p>
          <w:p w:rsidR="004E687E" w:rsidRPr="00635A00" w:rsidRDefault="00635A00" w:rsidP="004E687E">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859/2023</w:t>
            </w:r>
          </w:p>
          <w:p w:rsidR="00213E5E" w:rsidRPr="00635A00" w:rsidRDefault="00635A00" w:rsidP="004E687E">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860/2023</w:t>
            </w:r>
          </w:p>
        </w:tc>
      </w:tr>
      <w:tr w:rsidR="00301B43" w:rsidRPr="00635A00" w:rsidTr="00FB2407">
        <w:tc>
          <w:tcPr>
            <w:tcW w:w="1829" w:type="dxa"/>
            <w:vMerge/>
          </w:tcPr>
          <w:p w:rsidR="00DA0444"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DA0444"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Texto aprobado en primer debate</w:t>
            </w:r>
          </w:p>
          <w:p w:rsidR="00DA0444" w:rsidRPr="00635A00" w:rsidRDefault="00635A00" w:rsidP="00DA0444">
            <w:pPr>
              <w:pStyle w:val="Sombreadovistoso-nfasis31"/>
              <w:ind w:left="0"/>
              <w:rPr>
                <w:rFonts w:ascii="Times New Roman" w:hAnsi="Times New Roman"/>
                <w:bCs/>
                <w:color w:val="auto"/>
                <w:szCs w:val="24"/>
                <w:lang w:val="es-CO"/>
              </w:rPr>
            </w:pPr>
          </w:p>
        </w:tc>
        <w:tc>
          <w:tcPr>
            <w:tcW w:w="1661" w:type="dxa"/>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274/2023</w:t>
            </w:r>
          </w:p>
        </w:tc>
      </w:tr>
      <w:tr w:rsidR="00301B43" w:rsidRPr="00635A00" w:rsidTr="00FB2407">
        <w:tc>
          <w:tcPr>
            <w:tcW w:w="1829" w:type="dxa"/>
            <w:vMerge/>
          </w:tcPr>
          <w:p w:rsidR="00DA0444"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DA0444"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Ponencia segundo debate</w:t>
            </w:r>
          </w:p>
        </w:tc>
        <w:tc>
          <w:tcPr>
            <w:tcW w:w="1661" w:type="dxa"/>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386/2023</w:t>
            </w:r>
          </w:p>
        </w:tc>
      </w:tr>
      <w:tr w:rsidR="00301B43" w:rsidRPr="00635A00" w:rsidTr="00FB2407">
        <w:tc>
          <w:tcPr>
            <w:tcW w:w="1829" w:type="dxa"/>
            <w:vMerge/>
          </w:tcPr>
          <w:p w:rsidR="00213E5E"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213E5E"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Acta segundo debate</w:t>
            </w:r>
          </w:p>
          <w:p w:rsidR="004958FC" w:rsidRPr="00635A00" w:rsidRDefault="00635A00" w:rsidP="00DA0444">
            <w:pPr>
              <w:pStyle w:val="Sombreadovistoso-nfasis31"/>
              <w:ind w:left="0"/>
              <w:rPr>
                <w:rFonts w:ascii="Times New Roman" w:hAnsi="Times New Roman"/>
                <w:bCs/>
                <w:color w:val="auto"/>
                <w:szCs w:val="24"/>
                <w:lang w:val="es-CO"/>
              </w:rPr>
            </w:pPr>
          </w:p>
        </w:tc>
        <w:tc>
          <w:tcPr>
            <w:tcW w:w="1661" w:type="dxa"/>
          </w:tcPr>
          <w:p w:rsidR="00B64991"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889/2023</w:t>
            </w:r>
          </w:p>
        </w:tc>
      </w:tr>
      <w:tr w:rsidR="00301B43" w:rsidRPr="00635A00" w:rsidTr="00FB2407">
        <w:tc>
          <w:tcPr>
            <w:tcW w:w="1829" w:type="dxa"/>
            <w:vMerge/>
          </w:tcPr>
          <w:p w:rsidR="00DA0444"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DA0444"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Texto </w:t>
            </w:r>
            <w:r w:rsidRPr="00635A00">
              <w:rPr>
                <w:rFonts w:ascii="Times New Roman" w:hAnsi="Times New Roman"/>
                <w:bCs/>
                <w:color w:val="auto"/>
                <w:szCs w:val="24"/>
                <w:lang w:val="es-CO"/>
              </w:rPr>
              <w:t xml:space="preserve">definitivo </w:t>
            </w:r>
            <w:r w:rsidRPr="00635A00">
              <w:rPr>
                <w:rFonts w:ascii="Times New Roman" w:hAnsi="Times New Roman"/>
                <w:bCs/>
                <w:color w:val="auto"/>
                <w:szCs w:val="24"/>
                <w:lang w:val="es-CO"/>
              </w:rPr>
              <w:t>aprobado en segundo debate</w:t>
            </w:r>
          </w:p>
        </w:tc>
        <w:tc>
          <w:tcPr>
            <w:tcW w:w="1661" w:type="dxa"/>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417/2023</w:t>
            </w:r>
          </w:p>
        </w:tc>
      </w:tr>
      <w:tr w:rsidR="00301B43" w:rsidRPr="00635A00" w:rsidTr="00FB2407">
        <w:tc>
          <w:tcPr>
            <w:tcW w:w="1829" w:type="dxa"/>
            <w:vMerge/>
          </w:tcPr>
          <w:p w:rsidR="00DA0444"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DA0444" w:rsidRPr="00635A00" w:rsidRDefault="00635A00" w:rsidP="00DA0444">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Informe de conciliación</w:t>
            </w:r>
          </w:p>
        </w:tc>
        <w:tc>
          <w:tcPr>
            <w:tcW w:w="1661" w:type="dxa"/>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427/2023</w:t>
            </w:r>
          </w:p>
        </w:tc>
      </w:tr>
      <w:tr w:rsidR="00DA0444" w:rsidRPr="00635A00" w:rsidTr="00FB2407">
        <w:tc>
          <w:tcPr>
            <w:tcW w:w="1829" w:type="dxa"/>
            <w:vMerge/>
          </w:tcPr>
          <w:p w:rsidR="00DA0444" w:rsidRPr="00635A00" w:rsidRDefault="00635A00" w:rsidP="00DA0444">
            <w:pPr>
              <w:pStyle w:val="Sombreadovistoso-nfasis31"/>
              <w:ind w:left="0"/>
              <w:rPr>
                <w:rFonts w:ascii="Times New Roman" w:hAnsi="Times New Roman"/>
                <w:bCs/>
                <w:color w:val="auto"/>
                <w:szCs w:val="24"/>
                <w:lang w:val="es-CO"/>
              </w:rPr>
            </w:pPr>
          </w:p>
        </w:tc>
        <w:tc>
          <w:tcPr>
            <w:tcW w:w="5564" w:type="dxa"/>
          </w:tcPr>
          <w:p w:rsidR="00213E5E" w:rsidRPr="00635A00" w:rsidRDefault="00635A00" w:rsidP="00213E5E">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Acta discusión y aprobación informe de conciliación</w:t>
            </w:r>
          </w:p>
          <w:p w:rsidR="00DA0444" w:rsidRPr="00635A00" w:rsidRDefault="00635A00" w:rsidP="00213E5E">
            <w:pPr>
              <w:pStyle w:val="Sombreadovistoso-nfasis31"/>
              <w:ind w:left="0"/>
              <w:rPr>
                <w:rFonts w:ascii="Times New Roman" w:hAnsi="Times New Roman"/>
                <w:bCs/>
                <w:color w:val="auto"/>
                <w:szCs w:val="24"/>
                <w:lang w:val="es-CO"/>
              </w:rPr>
            </w:pPr>
          </w:p>
        </w:tc>
        <w:tc>
          <w:tcPr>
            <w:tcW w:w="1661" w:type="dxa"/>
          </w:tcPr>
          <w:p w:rsidR="00DA0444" w:rsidRPr="00635A00" w:rsidRDefault="00635A00" w:rsidP="00DA044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855/2023</w:t>
            </w:r>
          </w:p>
        </w:tc>
      </w:tr>
      <w:bookmarkEnd w:id="7"/>
    </w:tbl>
    <w:p w:rsidR="003D10AB" w:rsidRPr="00635A00" w:rsidRDefault="00635A00" w:rsidP="00231ABF">
      <w:pPr>
        <w:pStyle w:val="Sombreadovistoso-nfasis31"/>
        <w:ind w:left="0"/>
        <w:rPr>
          <w:rFonts w:ascii="Times New Roman" w:hAnsi="Times New Roman" w:cs="Times New Roman"/>
          <w:b/>
          <w:color w:val="auto"/>
          <w:lang w:val="es-CO"/>
        </w:rPr>
      </w:pPr>
    </w:p>
    <w:p w:rsidR="003D10AB" w:rsidRPr="00635A00" w:rsidRDefault="00635A00" w:rsidP="00231ABF">
      <w:pPr>
        <w:pStyle w:val="Sombreadovistoso-nfasis31"/>
        <w:ind w:left="0"/>
        <w:rPr>
          <w:rFonts w:ascii="Times New Roman" w:hAnsi="Times New Roman" w:cs="Times New Roman"/>
          <w:b/>
          <w:color w:val="auto"/>
          <w:lang w:val="es-CO"/>
        </w:rPr>
      </w:pPr>
    </w:p>
    <w:p w:rsidR="000628C0" w:rsidRPr="00635A00" w:rsidRDefault="00635A00" w:rsidP="00DC0AF4">
      <w:pPr>
        <w:pStyle w:val="Sombreadovistoso-nfasis31"/>
        <w:numPr>
          <w:ilvl w:val="0"/>
          <w:numId w:val="4"/>
        </w:numPr>
        <w:ind w:left="1134" w:hanging="567"/>
        <w:rPr>
          <w:rFonts w:ascii="Times New Roman" w:hAnsi="Times New Roman" w:cs="Times New Roman"/>
          <w:b/>
          <w:color w:val="auto"/>
          <w:lang w:val="es-CO"/>
        </w:rPr>
      </w:pPr>
      <w:bookmarkStart w:id="8" w:name="_Ref170926569"/>
      <w:bookmarkEnd w:id="6"/>
      <w:r w:rsidRPr="00635A00">
        <w:rPr>
          <w:rFonts w:ascii="Times New Roman" w:hAnsi="Times New Roman" w:cs="Times New Roman"/>
          <w:b/>
          <w:color w:val="auto"/>
          <w:lang w:val="es-CO"/>
        </w:rPr>
        <w:t>Intervenciones</w:t>
      </w:r>
      <w:bookmarkEnd w:id="8"/>
    </w:p>
    <w:p w:rsidR="000628C0" w:rsidRPr="00635A00" w:rsidRDefault="00635A00" w:rsidP="000628C0">
      <w:pPr>
        <w:pStyle w:val="Sombreadovistoso-nfasis31"/>
        <w:ind w:left="0"/>
        <w:rPr>
          <w:rFonts w:ascii="Times New Roman" w:hAnsi="Times New Roman" w:cs="Times New Roman"/>
          <w:bCs/>
          <w:color w:val="auto"/>
          <w:lang w:val="es-CO"/>
        </w:rPr>
      </w:pPr>
    </w:p>
    <w:p w:rsidR="00F63DEC" w:rsidRPr="00635A00" w:rsidRDefault="00635A00" w:rsidP="000F4E72">
      <w:pPr>
        <w:pStyle w:val="Prrafodelista"/>
        <w:numPr>
          <w:ilvl w:val="0"/>
          <w:numId w:val="3"/>
        </w:numPr>
        <w:tabs>
          <w:tab w:val="left" w:pos="567"/>
        </w:tabs>
        <w:rPr>
          <w:rFonts w:ascii="Times New Roman" w:hAnsi="Times New Roman" w:cs="Times New Roman"/>
          <w:bCs/>
          <w:color w:val="auto"/>
          <w:lang w:val="es-CO"/>
        </w:rPr>
      </w:pPr>
      <w:r w:rsidRPr="00635A00">
        <w:rPr>
          <w:rFonts w:ascii="Times New Roman" w:hAnsi="Times New Roman" w:cs="Times New Roman"/>
          <w:bCs/>
          <w:color w:val="auto"/>
          <w:lang w:val="es-CO"/>
        </w:rPr>
        <w:t>Durante el trámite, se recibieron</w:t>
      </w:r>
      <w:r w:rsidRPr="00635A00">
        <w:rPr>
          <w:rFonts w:ascii="Times New Roman" w:hAnsi="Times New Roman" w:cs="Times New Roman"/>
          <w:bCs/>
          <w:color w:val="auto"/>
          <w:lang w:val="es-CO"/>
        </w:rPr>
        <w:t xml:space="preserve"> oportunamente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14</w:t>
      </w:r>
      <w:r w:rsidRPr="00635A00">
        <w:rPr>
          <w:rFonts w:ascii="Times New Roman" w:hAnsi="Times New Roman" w:cs="Times New Roman"/>
          <w:bCs/>
          <w:color w:val="auto"/>
          <w:lang w:val="es-CO"/>
        </w:rPr>
        <w:t xml:space="preserve"> intervenciones y conceptos sobre la constitucionalidad de los preceptos demandados</w:t>
      </w:r>
      <w:r w:rsidRPr="00635A00">
        <w:rPr>
          <w:rStyle w:val="Refdenotaalpie"/>
          <w:rFonts w:ascii="Times New Roman" w:hAnsi="Times New Roman" w:cs="Times New Roman"/>
          <w:bCs/>
          <w:color w:val="auto"/>
          <w:lang w:val="es-CO"/>
        </w:rPr>
        <w:footnoteReference w:id="21"/>
      </w:r>
      <w:r w:rsidRPr="00635A00">
        <w:rPr>
          <w:rFonts w:ascii="Times New Roman" w:hAnsi="Times New Roman" w:cs="Times New Roman"/>
          <w:bCs/>
          <w:color w:val="auto"/>
          <w:lang w:val="es-CO"/>
        </w:rPr>
        <w:t>, cuyos planteamientos se reseñan a continuación:</w:t>
      </w:r>
    </w:p>
    <w:p w:rsidR="00EC1C1E" w:rsidRPr="00635A00" w:rsidRDefault="00635A00" w:rsidP="00BB6F8E">
      <w:pPr>
        <w:pStyle w:val="Sombreadovistoso-nfasis31"/>
        <w:ind w:left="708" w:hanging="708"/>
        <w:jc w:val="center"/>
        <w:rPr>
          <w:rFonts w:ascii="Times New Roman" w:hAnsi="Times New Roman" w:cs="Times New Roman"/>
          <w:bCs/>
          <w:color w:val="auto"/>
          <w:lang w:val="es-CO"/>
        </w:rPr>
      </w:pPr>
    </w:p>
    <w:p w:rsidR="001375C9" w:rsidRPr="00635A00" w:rsidRDefault="00635A00" w:rsidP="00EC1C1E">
      <w:pPr>
        <w:pStyle w:val="Sombreadovistoso-nfasis31"/>
        <w:ind w:left="0"/>
        <w:jc w:val="center"/>
        <w:rPr>
          <w:rFonts w:ascii="Times New Roman" w:hAnsi="Times New Roman" w:cs="Times New Roman"/>
          <w:bCs/>
          <w:color w:val="auto"/>
          <w:lang w:val="es-CO"/>
        </w:rPr>
      </w:pPr>
    </w:p>
    <w:p w:rsidR="00BB6F8E" w:rsidRPr="00635A00" w:rsidRDefault="00635A00" w:rsidP="00BB6F8E">
      <w:pPr>
        <w:pStyle w:val="Descripcin"/>
        <w:keepNext/>
        <w:rPr>
          <w:rFonts w:ascii="Times New Roman" w:hAnsi="Times New Roman" w:cs="Times New Roman"/>
          <w:caps w:val="0"/>
          <w:szCs w:val="24"/>
        </w:rPr>
      </w:pPr>
      <w:r w:rsidRPr="00635A00">
        <w:rPr>
          <w:rFonts w:ascii="Times New Roman" w:hAnsi="Times New Roman" w:cs="Times New Roman"/>
          <w:caps w:val="0"/>
          <w:szCs w:val="24"/>
        </w:rPr>
        <w:t xml:space="preserve">Tabla </w:t>
      </w:r>
      <w:r w:rsidRPr="00635A00">
        <w:rPr>
          <w:rFonts w:ascii="Times New Roman" w:hAnsi="Times New Roman" w:cs="Times New Roman"/>
          <w:caps w:val="0"/>
          <w:szCs w:val="24"/>
        </w:rPr>
        <w:fldChar w:fldCharType="begin"/>
      </w:r>
      <w:r w:rsidRPr="00635A00">
        <w:rPr>
          <w:rFonts w:ascii="Times New Roman" w:hAnsi="Times New Roman" w:cs="Times New Roman"/>
          <w:caps w:val="0"/>
          <w:szCs w:val="24"/>
        </w:rPr>
        <w:instrText xml:space="preserve"> SEQ Tabla \* ARABIC </w:instrText>
      </w:r>
      <w:r w:rsidRPr="00635A00">
        <w:rPr>
          <w:rFonts w:ascii="Times New Roman" w:hAnsi="Times New Roman" w:cs="Times New Roman"/>
          <w:caps w:val="0"/>
          <w:szCs w:val="24"/>
        </w:rPr>
        <w:fldChar w:fldCharType="separate"/>
      </w:r>
      <w:r w:rsidRPr="00635A00">
        <w:rPr>
          <w:rFonts w:ascii="Times New Roman" w:hAnsi="Times New Roman" w:cs="Times New Roman"/>
          <w:caps w:val="0"/>
          <w:noProof/>
          <w:szCs w:val="24"/>
        </w:rPr>
        <w:t>3</w:t>
      </w:r>
      <w:r w:rsidRPr="00635A00">
        <w:rPr>
          <w:rFonts w:ascii="Times New Roman" w:hAnsi="Times New Roman" w:cs="Times New Roman"/>
          <w:caps w:val="0"/>
          <w:szCs w:val="24"/>
        </w:rPr>
        <w:fldChar w:fldCharType="end"/>
      </w:r>
      <w:r w:rsidRPr="00635A00">
        <w:rPr>
          <w:rFonts w:ascii="Times New Roman" w:hAnsi="Times New Roman" w:cs="Times New Roman"/>
          <w:caps w:val="0"/>
          <w:szCs w:val="24"/>
        </w:rPr>
        <w:t xml:space="preserve"> – Síntesis de intervenciones y conceptos</w:t>
      </w:r>
    </w:p>
    <w:p w:rsidR="00560CE7" w:rsidRPr="00635A00" w:rsidRDefault="00635A00" w:rsidP="008E6166">
      <w:pPr>
        <w:ind w:left="708" w:hanging="708"/>
        <w:rPr>
          <w:rFonts w:ascii="Times New Roman" w:hAnsi="Times New Roman" w:cs="Times New Roman"/>
          <w:sz w:val="28"/>
          <w:lang w:val="es-ES" w:eastAsia="es-ES"/>
        </w:rPr>
      </w:pPr>
    </w:p>
    <w:tbl>
      <w:tblPr>
        <w:tblStyle w:val="Tablaconcuadrcula"/>
        <w:tblW w:w="0" w:type="auto"/>
        <w:tblLook w:val="04A0" w:firstRow="1" w:lastRow="0" w:firstColumn="1" w:lastColumn="0" w:noHBand="0" w:noVBand="1"/>
      </w:tblPr>
      <w:tblGrid>
        <w:gridCol w:w="2563"/>
        <w:gridCol w:w="6265"/>
      </w:tblGrid>
      <w:tr w:rsidR="00301B43" w:rsidRPr="00635A00" w:rsidTr="00640B08">
        <w:trPr>
          <w:tblHeader/>
        </w:trPr>
        <w:tc>
          <w:tcPr>
            <w:tcW w:w="2563" w:type="dxa"/>
            <w:shd w:val="clear" w:color="auto" w:fill="E2EFD9" w:themeFill="accent6" w:themeFillTint="33"/>
          </w:tcPr>
          <w:p w:rsidR="001375C9" w:rsidRPr="00635A00" w:rsidRDefault="00635A00" w:rsidP="00065E05">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Intervención/Concepto</w:t>
            </w:r>
          </w:p>
        </w:tc>
        <w:tc>
          <w:tcPr>
            <w:tcW w:w="6491" w:type="dxa"/>
            <w:shd w:val="clear" w:color="auto" w:fill="E2EFD9" w:themeFill="accent6" w:themeFillTint="33"/>
          </w:tcPr>
          <w:p w:rsidR="001375C9" w:rsidRPr="00635A00" w:rsidRDefault="00635A00" w:rsidP="00A376FB">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Argumentos</w:t>
            </w:r>
          </w:p>
        </w:tc>
      </w:tr>
      <w:tr w:rsidR="00301B43" w:rsidRPr="00635A00" w:rsidTr="00640B08">
        <w:tc>
          <w:tcPr>
            <w:tcW w:w="2563" w:type="dxa"/>
          </w:tcPr>
          <w:p w:rsidR="001375C9"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Departamento</w:t>
            </w:r>
            <w:r w:rsidRPr="00635A00">
              <w:rPr>
                <w:rFonts w:ascii="Times New Roman" w:hAnsi="Times New Roman"/>
                <w:bCs/>
                <w:color w:val="auto"/>
                <w:szCs w:val="24"/>
                <w:lang w:val="es-CO"/>
              </w:rPr>
              <w:t xml:space="preserve"> Nacional de Planeación</w:t>
            </w:r>
          </w:p>
          <w:p w:rsidR="00065E05" w:rsidRPr="00635A00" w:rsidRDefault="00635A00" w:rsidP="00065E05">
            <w:pPr>
              <w:pStyle w:val="Sombreadovistoso-nfasis31"/>
              <w:ind w:left="0"/>
              <w:jc w:val="center"/>
              <w:rPr>
                <w:rFonts w:ascii="Times New Roman" w:hAnsi="Times New Roman"/>
                <w:bCs/>
                <w:color w:val="auto"/>
                <w:szCs w:val="24"/>
                <w:lang w:val="es-CO"/>
              </w:rPr>
            </w:pPr>
          </w:p>
          <w:p w:rsidR="00065E05"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(exequibilidad)</w:t>
            </w:r>
          </w:p>
        </w:tc>
        <w:tc>
          <w:tcPr>
            <w:tcW w:w="6491" w:type="dxa"/>
            <w:vAlign w:val="center"/>
          </w:tcPr>
          <w:p w:rsidR="00560CE7" w:rsidRPr="00635A00" w:rsidRDefault="00635A00">
            <w:pPr>
              <w:pStyle w:val="Sombreadovistoso-nfasis31"/>
              <w:numPr>
                <w:ilvl w:val="0"/>
                <w:numId w:val="5"/>
              </w:numPr>
              <w:tabs>
                <w:tab w:val="left" w:pos="555"/>
              </w:tabs>
              <w:ind w:left="0" w:hanging="47"/>
              <w:rPr>
                <w:rFonts w:ascii="Times New Roman" w:hAnsi="Times New Roman"/>
                <w:bCs/>
                <w:color w:val="auto"/>
                <w:szCs w:val="24"/>
                <w:lang w:val="es-CO"/>
              </w:rPr>
            </w:pPr>
            <w:r w:rsidRPr="00635A00">
              <w:rPr>
                <w:rFonts w:ascii="Times New Roman" w:hAnsi="Times New Roman"/>
                <w:bCs/>
                <w:color w:val="auto"/>
                <w:szCs w:val="24"/>
                <w:lang w:val="es-CO"/>
              </w:rPr>
              <w:t xml:space="preserve">No hay violación de los principios de consecutividad e identidad flexible. </w:t>
            </w:r>
            <w:r w:rsidRPr="00635A00">
              <w:rPr>
                <w:rFonts w:ascii="Times New Roman" w:hAnsi="Times New Roman"/>
                <w:bCs/>
                <w:color w:val="auto"/>
                <w:szCs w:val="24"/>
                <w:lang w:val="es-CO"/>
              </w:rPr>
              <w:t>Si bien la supresión de la fase judicial de algunos procedimientos agrarios no estaba contemplada en las ponencias para primer y segundo deb</w:t>
            </w:r>
            <w:r w:rsidRPr="00635A00">
              <w:rPr>
                <w:rFonts w:ascii="Times New Roman" w:hAnsi="Times New Roman"/>
                <w:bCs/>
                <w:color w:val="auto"/>
                <w:szCs w:val="24"/>
                <w:lang w:val="es-CO"/>
              </w:rPr>
              <w:t>ate, no se trata de un asunto nuevo o ajeno a la materia del artículo acusado.</w:t>
            </w:r>
            <w:r w:rsidRPr="00635A00">
              <w:rPr>
                <w:rFonts w:ascii="Times New Roman" w:hAnsi="Times New Roman"/>
                <w:bCs/>
                <w:color w:val="auto"/>
                <w:szCs w:val="24"/>
                <w:lang w:val="es-CO"/>
              </w:rPr>
              <w:t xml:space="preserve"> Uno de los pilares del PND es el cumplimiento de los acuerdos de paz, y la modificación introducida por los apartes demandados busca acelerar la implementación de la Reforma Rur</w:t>
            </w:r>
            <w:r w:rsidRPr="00635A00">
              <w:rPr>
                <w:rFonts w:ascii="Times New Roman" w:hAnsi="Times New Roman"/>
                <w:bCs/>
                <w:color w:val="auto"/>
                <w:szCs w:val="24"/>
                <w:lang w:val="es-CO"/>
              </w:rPr>
              <w:t>al Integral [pactada en el Acuerdo de Paz entre el Gobierno nacional y las FARC-EP], que por demás obliga al Estado a promover el acceso de los campesinos y trabajadores agrarios a la tierra.</w:t>
            </w:r>
          </w:p>
          <w:p w:rsidR="000A13F6" w:rsidRPr="00635A00" w:rsidRDefault="00635A00" w:rsidP="000A13F6">
            <w:pPr>
              <w:pStyle w:val="Sombreadovistoso-nfasis31"/>
              <w:tabs>
                <w:tab w:val="left" w:pos="319"/>
              </w:tabs>
              <w:ind w:left="319"/>
              <w:rPr>
                <w:rFonts w:ascii="Times New Roman" w:hAnsi="Times New Roman"/>
                <w:bCs/>
                <w:color w:val="auto"/>
                <w:szCs w:val="24"/>
                <w:lang w:val="es-CO"/>
              </w:rPr>
            </w:pPr>
          </w:p>
          <w:p w:rsidR="000A13F6" w:rsidRPr="00635A00" w:rsidRDefault="00635A00">
            <w:pPr>
              <w:pStyle w:val="Sombreadovistoso-nfasis31"/>
              <w:numPr>
                <w:ilvl w:val="0"/>
                <w:numId w:val="5"/>
              </w:numPr>
              <w:tabs>
                <w:tab w:val="left" w:pos="555"/>
              </w:tabs>
              <w:ind w:left="0" w:hanging="47"/>
              <w:rPr>
                <w:rFonts w:ascii="Times New Roman" w:hAnsi="Times New Roman"/>
                <w:bCs/>
                <w:color w:val="auto"/>
                <w:szCs w:val="24"/>
                <w:lang w:val="es-CO"/>
              </w:rPr>
            </w:pPr>
            <w:r w:rsidRPr="00635A00">
              <w:rPr>
                <w:rFonts w:ascii="Times New Roman" w:hAnsi="Times New Roman"/>
                <w:bCs/>
                <w:color w:val="auto"/>
                <w:szCs w:val="24"/>
                <w:lang w:val="es-CO"/>
              </w:rPr>
              <w:t xml:space="preserve">No se desconoce la facultad judicial para suspender </w:t>
            </w:r>
            <w:r w:rsidRPr="00635A00">
              <w:rPr>
                <w:rFonts w:ascii="Times New Roman" w:hAnsi="Times New Roman"/>
                <w:bCs/>
                <w:color w:val="auto"/>
                <w:szCs w:val="24"/>
                <w:lang w:val="es-CO"/>
              </w:rPr>
              <w:t>provisionalmente actos administrativos. El art. 238 de la Carta delega en el Legislador la regulación de los términos en los que debe ejercerse tal potestad, que por demás no es exclusiva de la jurisdicción de lo contencioso administrativo. La sentencia C-</w:t>
            </w:r>
            <w:r w:rsidRPr="00635A00">
              <w:rPr>
                <w:rFonts w:ascii="Times New Roman" w:hAnsi="Times New Roman"/>
                <w:bCs/>
                <w:color w:val="auto"/>
                <w:szCs w:val="24"/>
                <w:lang w:val="es-CO"/>
              </w:rPr>
              <w:t>623 de 2015 invocada por el demandante no constituye un precedente para el caso concreto. Tampoco es cierto que se le reste todo efecto útil a la suspensión provisional puesto que en todo caso se le impone a la ANT la obligación de adoptar medidas para pre</w:t>
            </w:r>
            <w:r w:rsidRPr="00635A00">
              <w:rPr>
                <w:rFonts w:ascii="Times New Roman" w:hAnsi="Times New Roman"/>
                <w:bCs/>
                <w:color w:val="auto"/>
                <w:szCs w:val="24"/>
                <w:lang w:val="es-CO"/>
              </w:rPr>
              <w:t>servar los derechos patrimoniales de las partes involucradas.</w:t>
            </w:r>
          </w:p>
          <w:p w:rsidR="00B81151" w:rsidRPr="00635A00" w:rsidRDefault="00635A00" w:rsidP="00B81151">
            <w:pPr>
              <w:pStyle w:val="Prrafodelista"/>
              <w:rPr>
                <w:rFonts w:ascii="Times New Roman" w:hAnsi="Times New Roman"/>
                <w:bCs/>
                <w:color w:val="auto"/>
                <w:szCs w:val="24"/>
                <w:lang w:val="es-CO"/>
              </w:rPr>
            </w:pPr>
          </w:p>
          <w:p w:rsidR="00B81151" w:rsidRPr="00635A00" w:rsidRDefault="00635A00">
            <w:pPr>
              <w:pStyle w:val="Sombreadovistoso-nfasis31"/>
              <w:numPr>
                <w:ilvl w:val="0"/>
                <w:numId w:val="5"/>
              </w:numPr>
              <w:tabs>
                <w:tab w:val="left" w:pos="555"/>
              </w:tabs>
              <w:ind w:left="0" w:hanging="47"/>
              <w:rPr>
                <w:rFonts w:ascii="Times New Roman" w:hAnsi="Times New Roman"/>
                <w:bCs/>
                <w:color w:val="auto"/>
                <w:szCs w:val="24"/>
                <w:lang w:val="es-CO"/>
              </w:rPr>
            </w:pPr>
            <w:r w:rsidRPr="00635A00">
              <w:rPr>
                <w:rFonts w:ascii="Times New Roman" w:hAnsi="Times New Roman"/>
                <w:bCs/>
                <w:color w:val="auto"/>
                <w:szCs w:val="24"/>
                <w:lang w:val="es-CO"/>
              </w:rPr>
              <w:t>No hay violación del principio de progresividad y no regresividad. Primero, el cambio de naturaleza del procedimiento no implica una atribución de funciones judiciales a la ANT. Adicionalmente,</w:t>
            </w:r>
            <w:r w:rsidRPr="00635A00">
              <w:rPr>
                <w:rFonts w:ascii="Times New Roman" w:hAnsi="Times New Roman"/>
                <w:bCs/>
                <w:color w:val="auto"/>
                <w:szCs w:val="24"/>
                <w:lang w:val="es-CO"/>
              </w:rPr>
              <w:t xml:space="preserve"> la Constitución no impone que los asuntos agrarios deban siempre dirimirse a través de trámites jurisdiccionales, y, en todo caso, los procedimientos administrativos deben también respetar el debido proceso, se resuelven mediante actos que no pueden ser a</w:t>
            </w:r>
            <w:r w:rsidRPr="00635A00">
              <w:rPr>
                <w:rFonts w:ascii="Times New Roman" w:hAnsi="Times New Roman"/>
                <w:bCs/>
                <w:color w:val="auto"/>
                <w:szCs w:val="24"/>
                <w:lang w:val="es-CO"/>
              </w:rPr>
              <w:t xml:space="preserve">rbitrarios, por lo demás susceptibles de control judicial. Segundo, la supresión de la fase judicial de ciertos procedimientos agrarios resulta proporcional, toda vez que </w:t>
            </w:r>
            <w:r w:rsidRPr="00635A00">
              <w:rPr>
                <w:rFonts w:ascii="Times New Roman" w:hAnsi="Times New Roman"/>
                <w:bCs/>
                <w:color w:val="auto"/>
                <w:szCs w:val="24"/>
                <w:lang w:val="es-CO"/>
              </w:rPr>
              <w:t>se trata de una medida idónea para</w:t>
            </w:r>
            <w:r w:rsidRPr="00635A00">
              <w:rPr>
                <w:rFonts w:ascii="Times New Roman" w:hAnsi="Times New Roman"/>
                <w:bCs/>
                <w:color w:val="auto"/>
                <w:szCs w:val="24"/>
                <w:lang w:val="es-CO"/>
              </w:rPr>
              <w:t xml:space="preserve"> cumplir la finalidad de acelerar los mecanismos </w:t>
            </w:r>
            <w:r w:rsidRPr="00635A00">
              <w:rPr>
                <w:rFonts w:ascii="Times New Roman" w:hAnsi="Times New Roman"/>
                <w:bCs/>
                <w:color w:val="auto"/>
                <w:szCs w:val="24"/>
                <w:lang w:val="es-CO"/>
              </w:rPr>
              <w:t>de</w:t>
            </w:r>
            <w:r w:rsidRPr="00635A00">
              <w:rPr>
                <w:rFonts w:ascii="Times New Roman" w:hAnsi="Times New Roman"/>
                <w:bCs/>
                <w:color w:val="auto"/>
                <w:szCs w:val="24"/>
                <w:lang w:val="es-CO"/>
              </w:rPr>
              <w:t xml:space="preserve"> formalización de la propiedad rural</w:t>
            </w:r>
            <w:r w:rsidRPr="00635A00">
              <w:rPr>
                <w:rFonts w:ascii="Times New Roman" w:hAnsi="Times New Roman"/>
                <w:bCs/>
                <w:color w:val="auto"/>
                <w:szCs w:val="24"/>
                <w:lang w:val="es-CO"/>
              </w:rPr>
              <w:t xml:space="preserve"> como fue pactado en el Acuerdo de Paz, </w:t>
            </w:r>
            <w:r w:rsidRPr="00635A00">
              <w:rPr>
                <w:rFonts w:ascii="Times New Roman" w:hAnsi="Times New Roman"/>
                <w:bCs/>
                <w:color w:val="auto"/>
                <w:szCs w:val="24"/>
                <w:lang w:val="es-CO"/>
              </w:rPr>
              <w:t>necesaria porque, de todos los medios posibles, el previsto en las normas acusadas es el que de mejor manera acelera la adquisición de predios para la Reforma Rural Integral, y pro</w:t>
            </w:r>
            <w:r w:rsidRPr="00635A00">
              <w:rPr>
                <w:rFonts w:ascii="Times New Roman" w:hAnsi="Times New Roman"/>
                <w:bCs/>
                <w:color w:val="auto"/>
                <w:szCs w:val="24"/>
                <w:lang w:val="es-CO"/>
              </w:rPr>
              <w:t>porcional en sentido estricto porque el beneficio que la medida ofrece es sustancialmente superior al costo que apareja.</w:t>
            </w:r>
          </w:p>
          <w:p w:rsidR="00560CE7" w:rsidRPr="00635A00" w:rsidRDefault="00635A00" w:rsidP="00560CE7">
            <w:pPr>
              <w:pStyle w:val="Sombreadovistoso-nfasis31"/>
              <w:ind w:left="0"/>
              <w:jc w:val="left"/>
              <w:rPr>
                <w:rFonts w:ascii="Times New Roman" w:hAnsi="Times New Roman"/>
                <w:bCs/>
                <w:color w:val="auto"/>
                <w:szCs w:val="24"/>
                <w:lang w:val="es-CO"/>
              </w:rPr>
            </w:pPr>
          </w:p>
        </w:tc>
      </w:tr>
      <w:tr w:rsidR="00301B43" w:rsidRPr="00635A00" w:rsidTr="00640B08">
        <w:tc>
          <w:tcPr>
            <w:tcW w:w="2563" w:type="dxa"/>
          </w:tcPr>
          <w:p w:rsidR="001375C9"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Harold Sua Montaña</w:t>
            </w:r>
          </w:p>
          <w:p w:rsidR="00640B08" w:rsidRPr="00635A00" w:rsidRDefault="00635A00" w:rsidP="00065E05">
            <w:pPr>
              <w:pStyle w:val="Sombreadovistoso-nfasis31"/>
              <w:ind w:left="0"/>
              <w:jc w:val="center"/>
              <w:rPr>
                <w:rFonts w:ascii="Times New Roman" w:hAnsi="Times New Roman"/>
                <w:bCs/>
                <w:color w:val="auto"/>
                <w:szCs w:val="24"/>
                <w:lang w:val="es-CO"/>
              </w:rPr>
            </w:pPr>
          </w:p>
          <w:p w:rsidR="00640B08"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(exequibilidad e inexequibilidad)</w:t>
            </w:r>
          </w:p>
        </w:tc>
        <w:tc>
          <w:tcPr>
            <w:tcW w:w="6491" w:type="dxa"/>
            <w:vAlign w:val="center"/>
          </w:tcPr>
          <w:p w:rsidR="00857CD1" w:rsidRPr="00635A00" w:rsidRDefault="00635A00">
            <w:pPr>
              <w:pStyle w:val="Sombreadovistoso-nfasis31"/>
              <w:numPr>
                <w:ilvl w:val="0"/>
                <w:numId w:val="6"/>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 xml:space="preserve">Los apartes demandados carecen de unidad de materia </w:t>
            </w:r>
            <w:r w:rsidRPr="00635A00">
              <w:rPr>
                <w:rFonts w:ascii="Times New Roman" w:hAnsi="Times New Roman"/>
                <w:bCs/>
                <w:color w:val="auto"/>
                <w:szCs w:val="24"/>
                <w:lang w:val="es-CO"/>
              </w:rPr>
              <w:t xml:space="preserve">porque regulan un </w:t>
            </w:r>
            <w:r w:rsidRPr="00635A00">
              <w:rPr>
                <w:rFonts w:ascii="Times New Roman" w:hAnsi="Times New Roman"/>
                <w:bCs/>
                <w:color w:val="auto"/>
                <w:szCs w:val="24"/>
                <w:lang w:val="es-CO"/>
              </w:rPr>
              <w:t>procedimiento administrativo que no guarda relación con el eje transversal del PND referido al ordenamiento del territorio alrededor del agua.</w:t>
            </w:r>
          </w:p>
          <w:p w:rsidR="00857CD1" w:rsidRPr="00635A00" w:rsidRDefault="00635A00" w:rsidP="00857CD1">
            <w:pPr>
              <w:pStyle w:val="Sombreadovistoso-nfasis31"/>
              <w:tabs>
                <w:tab w:val="left" w:pos="555"/>
              </w:tabs>
              <w:ind w:left="0"/>
              <w:rPr>
                <w:rFonts w:ascii="Times New Roman" w:hAnsi="Times New Roman"/>
                <w:bCs/>
                <w:color w:val="auto"/>
                <w:szCs w:val="24"/>
                <w:lang w:val="es-CO"/>
              </w:rPr>
            </w:pPr>
          </w:p>
          <w:p w:rsidR="00857CD1" w:rsidRPr="00635A00" w:rsidRDefault="00635A00">
            <w:pPr>
              <w:pStyle w:val="Sombreadovistoso-nfasis31"/>
              <w:numPr>
                <w:ilvl w:val="0"/>
                <w:numId w:val="6"/>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Las disposiciones acusadas afectan el derecho al debido proceso en su garantía de imparcialidad objetiva</w:t>
            </w:r>
            <w:r w:rsidRPr="00635A00">
              <w:rPr>
                <w:rFonts w:ascii="Times New Roman" w:hAnsi="Times New Roman"/>
                <w:bCs/>
                <w:color w:val="auto"/>
                <w:szCs w:val="24"/>
                <w:lang w:val="es-CO"/>
              </w:rPr>
              <w:t>, en con</w:t>
            </w:r>
            <w:r w:rsidRPr="00635A00">
              <w:rPr>
                <w:rFonts w:ascii="Times New Roman" w:hAnsi="Times New Roman"/>
                <w:bCs/>
                <w:color w:val="auto"/>
                <w:szCs w:val="24"/>
                <w:lang w:val="es-CO"/>
              </w:rPr>
              <w:t>diciones similares a las que consideró la Corte Interamericana de Derechos Humanos en el caso Petro Urrego vs. Colombia.</w:t>
            </w:r>
          </w:p>
          <w:p w:rsidR="00E76D90" w:rsidRPr="00635A00" w:rsidRDefault="00635A00" w:rsidP="00E76D90">
            <w:pPr>
              <w:pStyle w:val="Prrafodelista"/>
              <w:rPr>
                <w:rFonts w:ascii="Times New Roman" w:hAnsi="Times New Roman"/>
                <w:bCs/>
                <w:color w:val="auto"/>
                <w:szCs w:val="24"/>
                <w:lang w:val="es-CO"/>
              </w:rPr>
            </w:pPr>
          </w:p>
          <w:p w:rsidR="00E76D90" w:rsidRPr="00635A00" w:rsidRDefault="00635A00">
            <w:pPr>
              <w:pStyle w:val="Sombreadovistoso-nfasis31"/>
              <w:numPr>
                <w:ilvl w:val="0"/>
                <w:numId w:val="6"/>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Las medidas de compra de tierras previstas en el artículo acusado riñen con el carácter temporal de los planes de desarrollo.</w:t>
            </w:r>
          </w:p>
          <w:p w:rsidR="00E76D90" w:rsidRPr="00635A00" w:rsidRDefault="00635A00" w:rsidP="00E76D90">
            <w:pPr>
              <w:pStyle w:val="Prrafodelista"/>
              <w:rPr>
                <w:rFonts w:ascii="Times New Roman" w:hAnsi="Times New Roman"/>
                <w:bCs/>
                <w:color w:val="auto"/>
                <w:szCs w:val="24"/>
                <w:lang w:val="es-CO"/>
              </w:rPr>
            </w:pPr>
          </w:p>
          <w:p w:rsidR="001375C9" w:rsidRPr="00635A00" w:rsidRDefault="00635A00">
            <w:pPr>
              <w:pStyle w:val="Sombreadovistoso-nfasis31"/>
              <w:numPr>
                <w:ilvl w:val="0"/>
                <w:numId w:val="6"/>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La norm</w:t>
            </w:r>
            <w:r w:rsidRPr="00635A00">
              <w:rPr>
                <w:rFonts w:ascii="Times New Roman" w:hAnsi="Times New Roman"/>
                <w:bCs/>
                <w:color w:val="auto"/>
                <w:szCs w:val="24"/>
                <w:lang w:val="es-CO"/>
              </w:rPr>
              <w:t>a cuestionada no afecta el efecto útil de la suspensión provisional de actos administrativos porque se le impone a la autoridad el deber de constituir una reserva dirigida a garantizar el cumplimiento de eventuales órdenes judiciales a favor de los interes</w:t>
            </w:r>
            <w:r w:rsidRPr="00635A00">
              <w:rPr>
                <w:rFonts w:ascii="Times New Roman" w:hAnsi="Times New Roman"/>
                <w:bCs/>
                <w:color w:val="auto"/>
                <w:szCs w:val="24"/>
                <w:lang w:val="es-CO"/>
              </w:rPr>
              <w:t>es de los afectados.</w:t>
            </w:r>
          </w:p>
          <w:p w:rsidR="002B2C0A" w:rsidRPr="00635A00" w:rsidRDefault="00635A00" w:rsidP="002B2C0A">
            <w:pPr>
              <w:pStyle w:val="Prrafodelista"/>
              <w:rPr>
                <w:rFonts w:ascii="Times New Roman" w:hAnsi="Times New Roman"/>
                <w:bCs/>
                <w:color w:val="auto"/>
                <w:szCs w:val="24"/>
                <w:lang w:val="es-CO"/>
              </w:rPr>
            </w:pPr>
          </w:p>
          <w:p w:rsidR="002B2C0A" w:rsidRPr="00635A00" w:rsidRDefault="00635A00">
            <w:pPr>
              <w:pStyle w:val="Sombreadovistoso-nfasis31"/>
              <w:numPr>
                <w:ilvl w:val="0"/>
                <w:numId w:val="6"/>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No hay violación del principio de publicidad porque la norma acusada proviene de una proposición modificatoria del artículo 55 del proyecto avalada en el informe de ponencia publicado el 26 de abril de 2023. En su momento, la presiden</w:t>
            </w:r>
            <w:r w:rsidRPr="00635A00">
              <w:rPr>
                <w:rFonts w:ascii="Times New Roman" w:hAnsi="Times New Roman"/>
                <w:bCs/>
                <w:color w:val="auto"/>
                <w:szCs w:val="24"/>
                <w:lang w:val="es-CO"/>
              </w:rPr>
              <w:t>cia del Senado indicó sucintamente los cambios generados con el articulado aprobado en sesión conjunta de las comisiones, y ninguno de los accionantes solicitó moción de orden por falta de discusión.</w:t>
            </w:r>
          </w:p>
          <w:p w:rsidR="00E76D90" w:rsidRPr="00635A00" w:rsidRDefault="00635A00" w:rsidP="00E76D90">
            <w:pPr>
              <w:pStyle w:val="Sombreadovistoso-nfasis31"/>
              <w:tabs>
                <w:tab w:val="left" w:pos="555"/>
              </w:tabs>
              <w:ind w:left="0"/>
              <w:rPr>
                <w:rFonts w:ascii="Times New Roman" w:hAnsi="Times New Roman"/>
                <w:bCs/>
                <w:color w:val="auto"/>
                <w:szCs w:val="24"/>
                <w:lang w:val="es-CO"/>
              </w:rPr>
            </w:pPr>
          </w:p>
        </w:tc>
      </w:tr>
      <w:tr w:rsidR="00301B43" w:rsidRPr="00635A00" w:rsidTr="00640B08">
        <w:tc>
          <w:tcPr>
            <w:tcW w:w="2563" w:type="dxa"/>
          </w:tcPr>
          <w:p w:rsidR="001375C9"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Universidad Libre</w:t>
            </w:r>
          </w:p>
          <w:p w:rsidR="00FE6C5B" w:rsidRPr="00635A00" w:rsidRDefault="00635A00" w:rsidP="00065E05">
            <w:pPr>
              <w:pStyle w:val="Sombreadovistoso-nfasis31"/>
              <w:ind w:left="0"/>
              <w:jc w:val="center"/>
              <w:rPr>
                <w:rFonts w:ascii="Times New Roman" w:hAnsi="Times New Roman"/>
                <w:bCs/>
                <w:color w:val="auto"/>
                <w:szCs w:val="24"/>
                <w:lang w:val="es-CO"/>
              </w:rPr>
            </w:pPr>
          </w:p>
          <w:p w:rsidR="00FE6C5B"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(exequibilidad)</w:t>
            </w:r>
          </w:p>
        </w:tc>
        <w:tc>
          <w:tcPr>
            <w:tcW w:w="6491" w:type="dxa"/>
            <w:vAlign w:val="center"/>
          </w:tcPr>
          <w:p w:rsidR="00A91BDC" w:rsidRPr="00635A00" w:rsidRDefault="00635A00">
            <w:pPr>
              <w:pStyle w:val="Sombreadovistoso-nfasis31"/>
              <w:numPr>
                <w:ilvl w:val="0"/>
                <w:numId w:val="7"/>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 xml:space="preserve">Los preceptos </w:t>
            </w:r>
            <w:r w:rsidRPr="00635A00">
              <w:rPr>
                <w:rFonts w:ascii="Times New Roman" w:hAnsi="Times New Roman"/>
                <w:bCs/>
                <w:color w:val="auto"/>
                <w:szCs w:val="24"/>
                <w:lang w:val="es-CO"/>
              </w:rPr>
              <w:t>demandados no vulneran el principio de progresividad y no regresividad.</w:t>
            </w:r>
            <w:r w:rsidRPr="00635A00">
              <w:rPr>
                <w:rFonts w:ascii="Times New Roman" w:hAnsi="Times New Roman"/>
                <w:bCs/>
                <w:color w:val="auto"/>
                <w:szCs w:val="24"/>
                <w:lang w:val="es-CO"/>
              </w:rPr>
              <w:t xml:space="preserve"> El procedimiento administrativo fijado por la norma no comporta una afectación de la faceta prestacional del derecho fundamental al debido proceso</w:t>
            </w:r>
            <w:r w:rsidRPr="00635A00">
              <w:rPr>
                <w:rFonts w:ascii="Times New Roman" w:hAnsi="Times New Roman"/>
                <w:bCs/>
                <w:color w:val="auto"/>
                <w:szCs w:val="24"/>
                <w:lang w:val="es-CO"/>
              </w:rPr>
              <w:t>, ya que en todo caso la decisión admi</w:t>
            </w:r>
            <w:r w:rsidRPr="00635A00">
              <w:rPr>
                <w:rFonts w:ascii="Times New Roman" w:hAnsi="Times New Roman"/>
                <w:bCs/>
                <w:color w:val="auto"/>
                <w:szCs w:val="24"/>
                <w:lang w:val="es-CO"/>
              </w:rPr>
              <w:t>nistrativa está sujeta a control judicial a través de la acción de nulidad agraria. Es decir, la norma prevé la protección judicial del derecho al debido proceso. Además, aún si se aceptase que la norma trae consigo un retroceso, éste se encontraría justif</w:t>
            </w:r>
            <w:r w:rsidRPr="00635A00">
              <w:rPr>
                <w:rFonts w:ascii="Times New Roman" w:hAnsi="Times New Roman"/>
                <w:bCs/>
                <w:color w:val="auto"/>
                <w:szCs w:val="24"/>
                <w:lang w:val="es-CO"/>
              </w:rPr>
              <w:t>icado porqu</w:t>
            </w:r>
            <w:r w:rsidRPr="00635A00">
              <w:rPr>
                <w:rFonts w:ascii="Times New Roman" w:hAnsi="Times New Roman"/>
                <w:bCs/>
                <w:color w:val="auto"/>
                <w:szCs w:val="24"/>
                <w:lang w:val="es-CO"/>
              </w:rPr>
              <w:t>e</w:t>
            </w:r>
            <w:r w:rsidRPr="00635A00">
              <w:rPr>
                <w:rFonts w:ascii="Times New Roman" w:hAnsi="Times New Roman"/>
                <w:bCs/>
                <w:color w:val="auto"/>
                <w:szCs w:val="24"/>
                <w:lang w:val="es-CO"/>
              </w:rPr>
              <w:t xml:space="preserve"> responde a la finalidad del PND de avanzar en la restitución y titulación de la tierra como instrumento esencial para la paz y la potencialización de la producción agrícola nacional.</w:t>
            </w:r>
          </w:p>
          <w:p w:rsidR="00640B08" w:rsidRPr="00635A00" w:rsidRDefault="00635A00" w:rsidP="00640B08">
            <w:pPr>
              <w:pStyle w:val="Sombreadovistoso-nfasis31"/>
              <w:ind w:left="0"/>
              <w:rPr>
                <w:rFonts w:ascii="Times New Roman" w:hAnsi="Times New Roman"/>
                <w:bCs/>
                <w:color w:val="auto"/>
                <w:szCs w:val="24"/>
                <w:lang w:val="es-CO"/>
              </w:rPr>
            </w:pPr>
          </w:p>
        </w:tc>
      </w:tr>
      <w:tr w:rsidR="00301B43" w:rsidRPr="00635A00" w:rsidTr="00640B08">
        <w:tc>
          <w:tcPr>
            <w:tcW w:w="2563" w:type="dxa"/>
          </w:tcPr>
          <w:p w:rsidR="001375C9" w:rsidRPr="00635A00" w:rsidRDefault="00635A00" w:rsidP="00E410C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Instituto de Ciencia Política Hernán Echavarría Olózaga</w:t>
            </w:r>
          </w:p>
          <w:p w:rsidR="00FE6C5B" w:rsidRPr="00635A00" w:rsidRDefault="00635A00" w:rsidP="00E410C4">
            <w:pPr>
              <w:pStyle w:val="Sombreadovistoso-nfasis31"/>
              <w:ind w:left="0"/>
              <w:jc w:val="center"/>
              <w:rPr>
                <w:rFonts w:ascii="Times New Roman" w:hAnsi="Times New Roman"/>
                <w:bCs/>
                <w:color w:val="auto"/>
                <w:szCs w:val="24"/>
                <w:lang w:val="es-CO"/>
              </w:rPr>
            </w:pPr>
          </w:p>
          <w:p w:rsidR="00FE6C5B" w:rsidRPr="00635A00" w:rsidRDefault="00635A00" w:rsidP="00E410C4">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w:t>
            </w:r>
            <w:r w:rsidRPr="00635A00">
              <w:rPr>
                <w:rFonts w:ascii="Times New Roman" w:hAnsi="Times New Roman"/>
                <w:bCs/>
                <w:color w:val="auto"/>
                <w:szCs w:val="24"/>
                <w:lang w:val="es-CO"/>
              </w:rPr>
              <w:t>inexequibilidad)</w:t>
            </w:r>
          </w:p>
        </w:tc>
        <w:tc>
          <w:tcPr>
            <w:tcW w:w="6491" w:type="dxa"/>
            <w:vAlign w:val="center"/>
          </w:tcPr>
          <w:p w:rsidR="00E410C4" w:rsidRPr="00635A00" w:rsidRDefault="00635A00">
            <w:pPr>
              <w:pStyle w:val="Sombreadovistoso-nfasis31"/>
              <w:numPr>
                <w:ilvl w:val="0"/>
                <w:numId w:val="8"/>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 xml:space="preserve">Algunas de las disposiciones del artículo 61 demandado afectan gravemente los derechos al debido proceso y a la defensa, y los principios de justicia material y progresividad y no regresividad, porque eliminan la fase judicial que </w:t>
            </w:r>
            <w:r w:rsidRPr="00635A00">
              <w:rPr>
                <w:rFonts w:ascii="Times New Roman" w:hAnsi="Times New Roman"/>
                <w:bCs/>
                <w:color w:val="auto"/>
                <w:szCs w:val="24"/>
                <w:lang w:val="es-CO"/>
              </w:rPr>
              <w:t>garantiza que la decisión sobre las controversias entre el propietario de la tierra y el ente administrativo esté en manos de un tercero imparcial.</w:t>
            </w:r>
            <w:r w:rsidRPr="00635A00">
              <w:rPr>
                <w:rFonts w:ascii="Times New Roman" w:hAnsi="Times New Roman"/>
                <w:bCs/>
                <w:color w:val="auto"/>
                <w:szCs w:val="24"/>
                <w:lang w:val="es-CO"/>
              </w:rPr>
              <w:t xml:space="preserve"> En cambio, las normas acusadas permiten que sea la autoridad administrativa la que resuelva la disputa, e imponen al campesino, productor o agricultor la carga de acudir a la administración de justicia para demostrar la ilegalidad del acto administrativo.</w:t>
            </w:r>
            <w:r w:rsidRPr="00635A00">
              <w:rPr>
                <w:rFonts w:ascii="Times New Roman" w:hAnsi="Times New Roman"/>
                <w:bCs/>
                <w:color w:val="auto"/>
                <w:szCs w:val="24"/>
                <w:lang w:val="es-CO"/>
              </w:rPr>
              <w:t xml:space="preserve"> Además, esta modificación va en contravía del sistema de pesos y contrapesos</w:t>
            </w:r>
            <w:r w:rsidRPr="00635A00">
              <w:rPr>
                <w:rFonts w:ascii="Times New Roman" w:hAnsi="Times New Roman"/>
                <w:bCs/>
                <w:color w:val="auto"/>
                <w:szCs w:val="24"/>
                <w:lang w:val="es-CO"/>
              </w:rPr>
              <w:t>, y pone en desventaja y en situación de desprotección al productor, campesino o agricultor.</w:t>
            </w:r>
          </w:p>
          <w:p w:rsidR="00E24111" w:rsidRPr="00635A00" w:rsidRDefault="00635A00" w:rsidP="00E24111">
            <w:pPr>
              <w:pStyle w:val="Sombreadovistoso-nfasis31"/>
              <w:tabs>
                <w:tab w:val="left" w:pos="555"/>
              </w:tabs>
              <w:ind w:left="0"/>
              <w:rPr>
                <w:rFonts w:ascii="Times New Roman" w:hAnsi="Times New Roman"/>
                <w:bCs/>
                <w:color w:val="auto"/>
                <w:szCs w:val="24"/>
                <w:lang w:val="es-CO"/>
              </w:rPr>
            </w:pPr>
          </w:p>
          <w:p w:rsidR="00E24111" w:rsidRPr="00635A00" w:rsidRDefault="00635A00">
            <w:pPr>
              <w:pStyle w:val="Sombreadovistoso-nfasis31"/>
              <w:numPr>
                <w:ilvl w:val="0"/>
                <w:numId w:val="8"/>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La supresión de la fase judicial de los procesos agrarios comprendidos en los numeral</w:t>
            </w:r>
            <w:r w:rsidRPr="00635A00">
              <w:rPr>
                <w:rFonts w:ascii="Times New Roman" w:hAnsi="Times New Roman"/>
                <w:bCs/>
                <w:color w:val="auto"/>
                <w:szCs w:val="24"/>
                <w:lang w:val="es-CO"/>
              </w:rPr>
              <w:t>es 4, 5 y 7 del artículo 58 del Decreto Ley 902 de 2017 constituye una extralimitación que afecta la seguridad jurídica, el debido proceso y el derecho a la propiedad privada porque concentra el poder decisivo en la ANT sin que exista un contrapeso. Esto p</w:t>
            </w:r>
            <w:r w:rsidRPr="00635A00">
              <w:rPr>
                <w:rFonts w:ascii="Times New Roman" w:hAnsi="Times New Roman"/>
                <w:bCs/>
                <w:color w:val="auto"/>
                <w:szCs w:val="24"/>
                <w:lang w:val="es-CO"/>
              </w:rPr>
              <w:t>uede propiciar un riesgo de que dicha entidad sea instrumentalizada con fines políticos o de lucro.</w:t>
            </w:r>
          </w:p>
          <w:p w:rsidR="00E410C4" w:rsidRPr="00635A00" w:rsidRDefault="00635A00" w:rsidP="00E410C4">
            <w:pPr>
              <w:pStyle w:val="Sombreadovistoso-nfasis31"/>
              <w:tabs>
                <w:tab w:val="left" w:pos="555"/>
              </w:tabs>
              <w:ind w:left="0"/>
              <w:rPr>
                <w:rFonts w:ascii="Times New Roman" w:hAnsi="Times New Roman"/>
                <w:bCs/>
                <w:color w:val="auto"/>
                <w:szCs w:val="24"/>
                <w:lang w:val="es-CO"/>
              </w:rPr>
            </w:pPr>
          </w:p>
          <w:p w:rsidR="00FE3B0A" w:rsidRPr="00635A00" w:rsidRDefault="00635A00">
            <w:pPr>
              <w:pStyle w:val="Sombreadovistoso-nfasis31"/>
              <w:numPr>
                <w:ilvl w:val="0"/>
                <w:numId w:val="8"/>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La configuración actual del art</w:t>
            </w:r>
            <w:r w:rsidRPr="00635A00">
              <w:rPr>
                <w:rFonts w:ascii="Times New Roman" w:hAnsi="Times New Roman"/>
                <w:bCs/>
                <w:color w:val="auto"/>
                <w:szCs w:val="24"/>
                <w:lang w:val="es-CO"/>
              </w:rPr>
              <w:t>í</w:t>
            </w:r>
            <w:r w:rsidRPr="00635A00">
              <w:rPr>
                <w:rFonts w:ascii="Times New Roman" w:hAnsi="Times New Roman"/>
                <w:bCs/>
                <w:color w:val="auto"/>
                <w:szCs w:val="24"/>
                <w:lang w:val="es-CO"/>
              </w:rPr>
              <w:t>culo 61 de la Ley 2294 le permite al Ministerio de Agricultura la utilización arbitraria del mecanismo de extinción de domi</w:t>
            </w:r>
            <w:r w:rsidRPr="00635A00">
              <w:rPr>
                <w:rFonts w:ascii="Times New Roman" w:hAnsi="Times New Roman"/>
                <w:bCs/>
                <w:color w:val="auto"/>
                <w:szCs w:val="24"/>
                <w:lang w:val="es-CO"/>
              </w:rPr>
              <w:t>nio, así como la expedición regulaciones que vulneran aún más el derecho a la propiedad privada y atentan contra la seguridad jurídica.</w:t>
            </w:r>
          </w:p>
          <w:p w:rsidR="001375C9" w:rsidRPr="00635A00" w:rsidRDefault="00635A00" w:rsidP="00E410C4">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1375C9"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 xml:space="preserve">Secretaría Jurídica de la </w:t>
            </w:r>
            <w:r w:rsidRPr="00635A00">
              <w:rPr>
                <w:rFonts w:ascii="Times New Roman" w:hAnsi="Times New Roman"/>
                <w:bCs/>
                <w:color w:val="auto"/>
                <w:szCs w:val="24"/>
                <w:lang w:val="es-CO"/>
              </w:rPr>
              <w:t>Presidencia de la República</w:t>
            </w:r>
          </w:p>
          <w:p w:rsidR="002974A3" w:rsidRPr="00635A00" w:rsidRDefault="00635A00" w:rsidP="00065E05">
            <w:pPr>
              <w:pStyle w:val="Sombreadovistoso-nfasis31"/>
              <w:ind w:left="0"/>
              <w:jc w:val="center"/>
              <w:rPr>
                <w:rFonts w:ascii="Times New Roman" w:hAnsi="Times New Roman"/>
                <w:bCs/>
                <w:color w:val="auto"/>
                <w:szCs w:val="24"/>
                <w:lang w:val="es-CO"/>
              </w:rPr>
            </w:pPr>
          </w:p>
          <w:p w:rsidR="002974A3"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w:t>
            </w:r>
            <w:r w:rsidRPr="00635A00">
              <w:rPr>
                <w:rFonts w:ascii="Times New Roman" w:hAnsi="Times New Roman"/>
                <w:bCs/>
                <w:color w:val="auto"/>
                <w:szCs w:val="24"/>
                <w:lang w:val="es-CO"/>
              </w:rPr>
              <w:t xml:space="preserve">inhibición y </w:t>
            </w:r>
            <w:r w:rsidRPr="00635A00">
              <w:rPr>
                <w:rFonts w:ascii="Times New Roman" w:hAnsi="Times New Roman"/>
                <w:bCs/>
                <w:color w:val="auto"/>
                <w:szCs w:val="24"/>
                <w:lang w:val="es-CO"/>
              </w:rPr>
              <w:t>exequibilidad)</w:t>
            </w:r>
          </w:p>
        </w:tc>
        <w:tc>
          <w:tcPr>
            <w:tcW w:w="6491" w:type="dxa"/>
            <w:vAlign w:val="center"/>
          </w:tcPr>
          <w:p w:rsidR="00C54DF7" w:rsidRPr="00635A00" w:rsidRDefault="00635A00">
            <w:pPr>
              <w:pStyle w:val="Sombreadovistoso-nfasis31"/>
              <w:numPr>
                <w:ilvl w:val="0"/>
                <w:numId w:val="9"/>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 xml:space="preserve">Los cargos admitidos no cumplen </w:t>
            </w:r>
            <w:r w:rsidRPr="00635A00">
              <w:rPr>
                <w:rFonts w:ascii="Times New Roman" w:hAnsi="Times New Roman"/>
                <w:bCs/>
                <w:color w:val="auto"/>
                <w:szCs w:val="24"/>
                <w:lang w:val="es-CO"/>
              </w:rPr>
              <w:t>con los requisitos de claridad y especificidad. La argumentación carece de hilo conductor, los planteamientos se repiten en los distintos cargos, lo que genera confusión frente al argumento principal. Las afirmaciones de los demandantes son imprecisas, y n</w:t>
            </w:r>
            <w:r w:rsidRPr="00635A00">
              <w:rPr>
                <w:rFonts w:ascii="Times New Roman" w:hAnsi="Times New Roman"/>
                <w:bCs/>
                <w:color w:val="auto"/>
                <w:szCs w:val="24"/>
                <w:lang w:val="es-CO"/>
              </w:rPr>
              <w:t>o presentan razones que verdaderamente evidencien la supuesta contradicción entre los preceptos cuestionados y la Carta.</w:t>
            </w:r>
          </w:p>
          <w:p w:rsidR="00C54DF7" w:rsidRPr="00635A00" w:rsidRDefault="00635A00" w:rsidP="00C54DF7">
            <w:pPr>
              <w:pStyle w:val="Sombreadovistoso-nfasis31"/>
              <w:tabs>
                <w:tab w:val="left" w:pos="555"/>
              </w:tabs>
              <w:ind w:left="0"/>
              <w:rPr>
                <w:rFonts w:ascii="Times New Roman" w:hAnsi="Times New Roman"/>
                <w:bCs/>
                <w:color w:val="auto"/>
                <w:szCs w:val="24"/>
                <w:lang w:val="es-CO"/>
              </w:rPr>
            </w:pPr>
          </w:p>
          <w:p w:rsidR="00485CC1" w:rsidRPr="00635A00" w:rsidRDefault="00635A00">
            <w:pPr>
              <w:pStyle w:val="Sombreadovistoso-nfasis31"/>
              <w:numPr>
                <w:ilvl w:val="0"/>
                <w:numId w:val="9"/>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La norma acusada no contraviene los principios de consecutividad e identidad flexible toda vez que su contenido hacer parte de los obj</w:t>
            </w:r>
            <w:r w:rsidRPr="00635A00">
              <w:rPr>
                <w:rFonts w:ascii="Times New Roman" w:hAnsi="Times New Roman"/>
                <w:bCs/>
                <w:color w:val="auto"/>
                <w:szCs w:val="24"/>
                <w:lang w:val="es-CO"/>
              </w:rPr>
              <w:t>etivos del PND y desde sus bases se indicó la necesidad de incorporar estrategias estructurales para el cumplimiento del punto 1 del Acuerdo Final de Paz y el fortalecimiento de la Reforma Rural Integral.</w:t>
            </w:r>
          </w:p>
          <w:p w:rsidR="00485CC1" w:rsidRPr="00635A00" w:rsidRDefault="00635A00" w:rsidP="00485CC1">
            <w:pPr>
              <w:pStyle w:val="Prrafodelista"/>
              <w:rPr>
                <w:rFonts w:ascii="Times New Roman" w:hAnsi="Times New Roman"/>
                <w:bCs/>
                <w:color w:val="auto"/>
                <w:szCs w:val="24"/>
                <w:lang w:val="es-CO"/>
              </w:rPr>
            </w:pPr>
          </w:p>
          <w:p w:rsidR="00642A79" w:rsidRPr="00635A00" w:rsidRDefault="00635A00">
            <w:pPr>
              <w:pStyle w:val="Sombreadovistoso-nfasis31"/>
              <w:numPr>
                <w:ilvl w:val="0"/>
                <w:numId w:val="9"/>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Además, en el presente caso es posible constatar q</w:t>
            </w:r>
            <w:r w:rsidRPr="00635A00">
              <w:rPr>
                <w:rFonts w:ascii="Times New Roman" w:hAnsi="Times New Roman"/>
                <w:bCs/>
                <w:color w:val="auto"/>
                <w:szCs w:val="24"/>
                <w:lang w:val="es-CO"/>
              </w:rPr>
              <w:t>ue existió un debate parlamentario respetuoso del principio de publicidad, cuya satisfacción debe verificarse no desde una perspectiva rígida sino a la luz del principio de instrumentalidad de las formas. En este sentido, se debe valorar que durante el deb</w:t>
            </w:r>
            <w:r w:rsidRPr="00635A00">
              <w:rPr>
                <w:rFonts w:ascii="Times New Roman" w:hAnsi="Times New Roman"/>
                <w:bCs/>
                <w:color w:val="auto"/>
                <w:szCs w:val="24"/>
                <w:lang w:val="es-CO"/>
              </w:rPr>
              <w:t xml:space="preserve">ate en la plenaria del Senado la ministra de Agricultura y Desarrollo Rural </w:t>
            </w:r>
            <w:r w:rsidRPr="00635A00">
              <w:rPr>
                <w:rFonts w:ascii="Times New Roman" w:hAnsi="Times New Roman"/>
                <w:bCs/>
                <w:color w:val="auto"/>
                <w:szCs w:val="24"/>
                <w:lang w:val="es-CO"/>
              </w:rPr>
              <w:t>hizo una larga exposición sobre la necesidad de suprimir la etapa judicial de los procesos administrativos agrarios, y que luego de su intervención, varios parlamentarios debatiero</w:t>
            </w:r>
            <w:r w:rsidRPr="00635A00">
              <w:rPr>
                <w:rFonts w:ascii="Times New Roman" w:hAnsi="Times New Roman"/>
                <w:bCs/>
                <w:color w:val="auto"/>
                <w:szCs w:val="24"/>
                <w:lang w:val="es-CO"/>
              </w:rPr>
              <w:t xml:space="preserve">n sobre el particular. </w:t>
            </w:r>
            <w:r w:rsidRPr="00635A00">
              <w:rPr>
                <w:rFonts w:ascii="Times New Roman" w:hAnsi="Times New Roman"/>
                <w:bCs/>
                <w:color w:val="auto"/>
                <w:szCs w:val="24"/>
                <w:lang w:val="es-CO"/>
              </w:rPr>
              <w:t>A su juicio, “</w:t>
            </w:r>
            <w:r w:rsidRPr="00635A00">
              <w:rPr>
                <w:rFonts w:ascii="Times New Roman" w:hAnsi="Times New Roman"/>
                <w:color w:val="auto"/>
                <w:szCs w:val="23"/>
              </w:rPr>
              <w:t>la actuación desplegada por la plenaria de la Cámara y del Senado, se dio con respeto de los principios constitucionales que han regido el trámite legislativo y que están relacionados con la publicidad, en donde, los pa</w:t>
            </w:r>
            <w:r w:rsidRPr="00635A00">
              <w:rPr>
                <w:rFonts w:ascii="Times New Roman" w:hAnsi="Times New Roman"/>
                <w:color w:val="auto"/>
                <w:szCs w:val="23"/>
              </w:rPr>
              <w:t>rlamentarios, luego de tener el conocimiento del texto de las proposiciones publicadas en la página del Congreso, exteriorizaron su intención de votación posterior a una amplia interacción y votación sobre los aspectos que contenía dichas proposiciones”</w:t>
            </w:r>
            <w:r w:rsidRPr="00635A00">
              <w:rPr>
                <w:rStyle w:val="Refdenotaalpie"/>
                <w:rFonts w:ascii="Times New Roman" w:hAnsi="Times New Roman"/>
                <w:color w:val="auto"/>
                <w:szCs w:val="23"/>
              </w:rPr>
              <w:footnoteReference w:id="22"/>
            </w:r>
            <w:r w:rsidRPr="00635A00">
              <w:rPr>
                <w:rFonts w:ascii="Times New Roman" w:hAnsi="Times New Roman"/>
                <w:bCs/>
                <w:color w:val="auto"/>
                <w:szCs w:val="24"/>
                <w:lang w:val="es-CO"/>
              </w:rPr>
              <w:t xml:space="preserve">. </w:t>
            </w:r>
            <w:r w:rsidRPr="00635A00">
              <w:rPr>
                <w:rFonts w:ascii="Times New Roman" w:hAnsi="Times New Roman"/>
                <w:bCs/>
                <w:color w:val="auto"/>
                <w:szCs w:val="24"/>
                <w:lang w:val="es-CO"/>
              </w:rPr>
              <w:t>Finalmente, el hecho de que la norma haya sido votada en bloque con otros no implica que no fue publicitada ni debatida previamente.</w:t>
            </w:r>
          </w:p>
          <w:p w:rsidR="00642A79" w:rsidRPr="00635A00" w:rsidRDefault="00635A00" w:rsidP="00642A79">
            <w:pPr>
              <w:pStyle w:val="Sombreadovistoso-nfasis31"/>
              <w:tabs>
                <w:tab w:val="left" w:pos="555"/>
              </w:tabs>
              <w:ind w:left="0"/>
              <w:rPr>
                <w:rFonts w:ascii="Times New Roman" w:hAnsi="Times New Roman"/>
                <w:bCs/>
                <w:color w:val="auto"/>
                <w:szCs w:val="24"/>
                <w:lang w:val="es-CO"/>
              </w:rPr>
            </w:pPr>
          </w:p>
          <w:p w:rsidR="002974A3" w:rsidRPr="00635A00" w:rsidRDefault="00635A00">
            <w:pPr>
              <w:pStyle w:val="Sombreadovistoso-nfasis31"/>
              <w:numPr>
                <w:ilvl w:val="0"/>
                <w:numId w:val="9"/>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El artículo 61 de la Ley 2294 no vulnera la reserva judicial en materia de suspensión provisional de actos administrativos</w:t>
            </w:r>
            <w:r w:rsidRPr="00635A00">
              <w:rPr>
                <w:rFonts w:ascii="Times New Roman" w:hAnsi="Times New Roman"/>
                <w:bCs/>
                <w:color w:val="auto"/>
                <w:szCs w:val="24"/>
                <w:lang w:val="es-CO"/>
              </w:rPr>
              <w:t xml:space="preserve"> porque no existe una atribución de competencias jurisdiccionales a la ANT</w:t>
            </w:r>
            <w:r w:rsidRPr="00635A00">
              <w:rPr>
                <w:rFonts w:ascii="Times New Roman" w:hAnsi="Times New Roman"/>
                <w:bCs/>
                <w:color w:val="auto"/>
                <w:szCs w:val="24"/>
                <w:lang w:val="es-CO"/>
              </w:rPr>
              <w:t>.</w:t>
            </w:r>
            <w:r w:rsidRPr="00635A00">
              <w:rPr>
                <w:rFonts w:ascii="Times New Roman" w:hAnsi="Times New Roman"/>
                <w:bCs/>
                <w:color w:val="auto"/>
                <w:szCs w:val="24"/>
                <w:lang w:val="es-CO"/>
              </w:rPr>
              <w:t xml:space="preserve"> La sentencia C-073 de 2018 de esta Corporación señaló que las competencias que el Decreto Ley 902 de 2017 asignó a dicha entidad no implicaban un otorgamiento de facultades omnímod</w:t>
            </w:r>
            <w:r w:rsidRPr="00635A00">
              <w:rPr>
                <w:rFonts w:ascii="Times New Roman" w:hAnsi="Times New Roman"/>
                <w:bCs/>
                <w:color w:val="auto"/>
                <w:szCs w:val="24"/>
                <w:lang w:val="es-CO"/>
              </w:rPr>
              <w:t>as, ya que la misma norma prevé que los actos de la ANT son susceptibles de control judicial. Con todo, la Reforma Rural Integral no contempló inicialmente la inclusión de una etapa judicial en los procesos de extinción de dominio; en este sentido, el Decr</w:t>
            </w:r>
            <w:r w:rsidRPr="00635A00">
              <w:rPr>
                <w:rFonts w:ascii="Times New Roman" w:hAnsi="Times New Roman"/>
                <w:bCs/>
                <w:color w:val="auto"/>
                <w:szCs w:val="24"/>
                <w:lang w:val="es-CO"/>
              </w:rPr>
              <w:t>eto Ley 902 de 2017 desbordó la intención del Acuerdo de Paz.</w:t>
            </w:r>
            <w:r w:rsidRPr="00635A00">
              <w:rPr>
                <w:rFonts w:ascii="Times New Roman" w:hAnsi="Times New Roman"/>
                <w:bCs/>
                <w:color w:val="auto"/>
                <w:szCs w:val="24"/>
                <w:lang w:val="es-CO"/>
              </w:rPr>
              <w:t xml:space="preserve"> Por otra parte, la posibilidad que la norma otorga a la ANT de disponer del inmueble a pesar de la suspensión provisional de sus actos debe interpretarse como una adecuación normativa frente a l</w:t>
            </w:r>
            <w:r w:rsidRPr="00635A00">
              <w:rPr>
                <w:rFonts w:ascii="Times New Roman" w:hAnsi="Times New Roman"/>
                <w:bCs/>
                <w:color w:val="auto"/>
                <w:szCs w:val="24"/>
                <w:lang w:val="es-CO"/>
              </w:rPr>
              <w:t>o establecido en el artículo 54 de la Ley 160 de 1994, y o como un desconocimiento de una medida judicial. Finalmente, la norma en todo caso exige la constitución de una reserva para la protección de los derechos de los afectados.</w:t>
            </w:r>
          </w:p>
          <w:p w:rsidR="00642A79" w:rsidRPr="00635A00" w:rsidRDefault="00635A00" w:rsidP="00642A79">
            <w:pPr>
              <w:pStyle w:val="Prrafodelista"/>
              <w:rPr>
                <w:rFonts w:ascii="Times New Roman" w:hAnsi="Times New Roman"/>
                <w:bCs/>
                <w:color w:val="auto"/>
                <w:szCs w:val="24"/>
                <w:lang w:val="es-CO"/>
              </w:rPr>
            </w:pPr>
          </w:p>
          <w:p w:rsidR="00642A79" w:rsidRPr="00635A00" w:rsidRDefault="00635A00">
            <w:pPr>
              <w:pStyle w:val="Sombreadovistoso-nfasis31"/>
              <w:numPr>
                <w:ilvl w:val="0"/>
                <w:numId w:val="9"/>
              </w:numPr>
              <w:tabs>
                <w:tab w:val="left" w:pos="555"/>
              </w:tabs>
              <w:ind w:left="0" w:hanging="12"/>
              <w:rPr>
                <w:rFonts w:ascii="Times New Roman" w:hAnsi="Times New Roman"/>
                <w:bCs/>
                <w:color w:val="auto"/>
                <w:szCs w:val="24"/>
                <w:lang w:val="es-CO"/>
              </w:rPr>
            </w:pPr>
            <w:r w:rsidRPr="00635A00">
              <w:rPr>
                <w:rFonts w:ascii="Times New Roman" w:hAnsi="Times New Roman"/>
                <w:bCs/>
                <w:color w:val="auto"/>
                <w:szCs w:val="24"/>
                <w:lang w:val="es-CO"/>
              </w:rPr>
              <w:t>No se violó el principio</w:t>
            </w:r>
            <w:r w:rsidRPr="00635A00">
              <w:rPr>
                <w:rFonts w:ascii="Times New Roman" w:hAnsi="Times New Roman"/>
                <w:bCs/>
                <w:color w:val="auto"/>
                <w:szCs w:val="24"/>
                <w:lang w:val="es-CO"/>
              </w:rPr>
              <w:t xml:space="preserve"> de progresividad y no regresividad. La norma demandada busca armonizar la ejecución de los procesos agrarios a los recientes desarrollos constitucionales en materia de sujetos de especial protección como campesinos, víctimas del conflicto armado y grupos </w:t>
            </w:r>
            <w:r w:rsidRPr="00635A00">
              <w:rPr>
                <w:rFonts w:ascii="Times New Roman" w:hAnsi="Times New Roman"/>
                <w:bCs/>
                <w:color w:val="auto"/>
                <w:szCs w:val="24"/>
                <w:lang w:val="es-CO"/>
              </w:rPr>
              <w:t>étnicos.</w:t>
            </w:r>
            <w:r w:rsidRPr="00635A00">
              <w:rPr>
                <w:rFonts w:ascii="Times New Roman" w:hAnsi="Times New Roman"/>
                <w:bCs/>
                <w:color w:val="auto"/>
                <w:szCs w:val="24"/>
                <w:lang w:val="es-CO"/>
              </w:rPr>
              <w:t xml:space="preserve"> Los preceptos acusados sí tienen relación con los mecanismos para facilitar la compra de tierras, toda vez que los procesos de clarificación permiten habilitar la negociación voluntaria de predios. Por otro lado, el principio de progresividad y no</w:t>
            </w:r>
            <w:r w:rsidRPr="00635A00">
              <w:rPr>
                <w:rFonts w:ascii="Times New Roman" w:hAnsi="Times New Roman"/>
                <w:bCs/>
                <w:color w:val="auto"/>
                <w:szCs w:val="24"/>
                <w:lang w:val="es-CO"/>
              </w:rPr>
              <w:t xml:space="preserve"> regresividad se predica únicamente de derechos económicos, sociales y culturales, y no es aplicable a la eliminación de una fase judicial dentro de un procedimiento administrativo.</w:t>
            </w:r>
            <w:r w:rsidRPr="00635A00">
              <w:rPr>
                <w:rFonts w:ascii="Times New Roman" w:hAnsi="Times New Roman"/>
                <w:bCs/>
                <w:color w:val="auto"/>
                <w:szCs w:val="24"/>
                <w:lang w:val="es-CO"/>
              </w:rPr>
              <w:t xml:space="preserve"> Los demandantes no demostraron que la norma acusada reduzca el radio de pr</w:t>
            </w:r>
            <w:r w:rsidRPr="00635A00">
              <w:rPr>
                <w:rFonts w:ascii="Times New Roman" w:hAnsi="Times New Roman"/>
                <w:bCs/>
                <w:color w:val="auto"/>
                <w:szCs w:val="24"/>
                <w:lang w:val="es-CO"/>
              </w:rPr>
              <w:t xml:space="preserve">otección de un derecho social, disminuya recursos o aumente el costo par su satisfacción, y aún si se aceptase que se trata de una medida regresiva, ésta estaría justificada en la necesidad de remediar las injusticias sociales y honrar deuda histórica con </w:t>
            </w:r>
            <w:r w:rsidRPr="00635A00">
              <w:rPr>
                <w:rFonts w:ascii="Times New Roman" w:hAnsi="Times New Roman"/>
                <w:bCs/>
                <w:color w:val="auto"/>
                <w:szCs w:val="24"/>
                <w:lang w:val="es-CO"/>
              </w:rPr>
              <w:t>el campesinado en materia de acceso a la tierra.</w:t>
            </w:r>
            <w:r w:rsidRPr="00635A00">
              <w:rPr>
                <w:rFonts w:ascii="Times New Roman" w:hAnsi="Times New Roman"/>
                <w:bCs/>
                <w:color w:val="auto"/>
                <w:szCs w:val="24"/>
                <w:lang w:val="es-CO"/>
              </w:rPr>
              <w:t xml:space="preserve"> Además, en todo caso, el procedimiento conserva la acción de nulidad agraria como recurso judicial efectivo en cabeza de los particulares que pretendan impugnar la legalidad de lo</w:t>
            </w:r>
            <w:r w:rsidRPr="00635A00">
              <w:rPr>
                <w:rFonts w:ascii="Times New Roman" w:hAnsi="Times New Roman"/>
                <w:bCs/>
                <w:color w:val="auto"/>
                <w:szCs w:val="24"/>
                <w:lang w:val="es-CO"/>
              </w:rPr>
              <w:t>s</w:t>
            </w:r>
            <w:r w:rsidRPr="00635A00">
              <w:rPr>
                <w:rFonts w:ascii="Times New Roman" w:hAnsi="Times New Roman"/>
                <w:bCs/>
                <w:color w:val="auto"/>
                <w:szCs w:val="24"/>
                <w:lang w:val="es-CO"/>
              </w:rPr>
              <w:t xml:space="preserve"> actos administrativos de l</w:t>
            </w:r>
            <w:r w:rsidRPr="00635A00">
              <w:rPr>
                <w:rFonts w:ascii="Times New Roman" w:hAnsi="Times New Roman"/>
                <w:bCs/>
                <w:color w:val="auto"/>
                <w:szCs w:val="24"/>
                <w:lang w:val="es-CO"/>
              </w:rPr>
              <w:t>a ANT. Al respecto, la sentencia C-073 de 2018 de la Corte Constitucional reconoció que el diseño procesal de estos trámites se enmarca en el margen de configuración legislativa extraordinaria en materia de procedimientos.</w:t>
            </w:r>
          </w:p>
          <w:p w:rsidR="001375C9"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FF4212"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 xml:space="preserve">Ministerio de Agricultura y </w:t>
            </w:r>
            <w:r w:rsidRPr="00635A00">
              <w:rPr>
                <w:rFonts w:ascii="Times New Roman" w:hAnsi="Times New Roman"/>
                <w:bCs/>
                <w:color w:val="auto"/>
                <w:szCs w:val="24"/>
                <w:lang w:val="es-CO"/>
              </w:rPr>
              <w:t>Desarrollo Rural</w:t>
            </w:r>
          </w:p>
          <w:p w:rsidR="00A65C73" w:rsidRPr="00635A00" w:rsidRDefault="00635A00" w:rsidP="00065E05">
            <w:pPr>
              <w:pStyle w:val="Sombreadovistoso-nfasis31"/>
              <w:ind w:left="0"/>
              <w:jc w:val="center"/>
              <w:rPr>
                <w:rFonts w:ascii="Times New Roman" w:hAnsi="Times New Roman"/>
                <w:bCs/>
                <w:color w:val="auto"/>
                <w:szCs w:val="24"/>
                <w:lang w:val="es-CO"/>
              </w:rPr>
            </w:pPr>
          </w:p>
          <w:p w:rsidR="00A65C73"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(inhibición y exequibilidad)</w:t>
            </w:r>
          </w:p>
        </w:tc>
        <w:tc>
          <w:tcPr>
            <w:tcW w:w="6491" w:type="dxa"/>
            <w:vAlign w:val="center"/>
          </w:tcPr>
          <w:p w:rsidR="0006429A" w:rsidRPr="00635A00" w:rsidRDefault="00635A00" w:rsidP="00A52178">
            <w:pPr>
              <w:pStyle w:val="Sombreadovistoso-nfasis31"/>
              <w:tabs>
                <w:tab w:val="left" w:pos="555"/>
              </w:tabs>
              <w:ind w:left="0"/>
              <w:rPr>
                <w:rFonts w:ascii="Times New Roman" w:hAnsi="Times New Roman"/>
                <w:bCs/>
                <w:color w:val="auto"/>
                <w:szCs w:val="24"/>
                <w:lang w:val="es-CO"/>
              </w:rPr>
            </w:pPr>
            <w:r w:rsidRPr="00635A00">
              <w:rPr>
                <w:rFonts w:ascii="Times New Roman" w:hAnsi="Times New Roman"/>
                <w:bCs/>
                <w:color w:val="auto"/>
                <w:szCs w:val="24"/>
                <w:lang w:val="es-CO"/>
              </w:rPr>
              <w:t xml:space="preserve">Esta entidad presentó una intervención con planteamientos </w:t>
            </w:r>
            <w:r w:rsidRPr="00635A00">
              <w:rPr>
                <w:rFonts w:ascii="Times New Roman" w:hAnsi="Times New Roman"/>
                <w:bCs/>
                <w:color w:val="auto"/>
                <w:szCs w:val="24"/>
                <w:lang w:val="es-CO"/>
              </w:rPr>
              <w:t>similares</w:t>
            </w:r>
            <w:r w:rsidRPr="00635A00">
              <w:rPr>
                <w:rFonts w:ascii="Times New Roman" w:hAnsi="Times New Roman"/>
                <w:bCs/>
                <w:color w:val="auto"/>
                <w:szCs w:val="24"/>
                <w:lang w:val="es-CO"/>
              </w:rPr>
              <w:t xml:space="preserve"> a los formulados por la Secretaría Jurídica de la Presidencia de la República.</w:t>
            </w:r>
          </w:p>
          <w:p w:rsidR="00FF4212"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FF4212"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Manuel Enrique Cifuentes Muñoz</w:t>
            </w:r>
          </w:p>
          <w:p w:rsidR="00A52178" w:rsidRPr="00635A00" w:rsidRDefault="00635A00" w:rsidP="00065E05">
            <w:pPr>
              <w:pStyle w:val="Sombreadovistoso-nfasis31"/>
              <w:ind w:left="0"/>
              <w:jc w:val="center"/>
              <w:rPr>
                <w:rFonts w:ascii="Times New Roman" w:hAnsi="Times New Roman"/>
                <w:bCs/>
                <w:color w:val="auto"/>
                <w:szCs w:val="24"/>
                <w:lang w:val="es-CO"/>
              </w:rPr>
            </w:pPr>
          </w:p>
          <w:p w:rsidR="00A52178"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(inexequibilidad)</w:t>
            </w:r>
          </w:p>
          <w:p w:rsidR="00A52178" w:rsidRPr="00635A00" w:rsidRDefault="00635A00" w:rsidP="00065E05">
            <w:pPr>
              <w:pStyle w:val="Sombreadovistoso-nfasis31"/>
              <w:ind w:left="0"/>
              <w:jc w:val="center"/>
              <w:rPr>
                <w:rFonts w:ascii="Times New Roman" w:hAnsi="Times New Roman"/>
                <w:bCs/>
                <w:color w:val="auto"/>
                <w:szCs w:val="24"/>
                <w:lang w:val="es-CO"/>
              </w:rPr>
            </w:pPr>
          </w:p>
        </w:tc>
        <w:tc>
          <w:tcPr>
            <w:tcW w:w="6491" w:type="dxa"/>
            <w:vAlign w:val="center"/>
          </w:tcPr>
          <w:p w:rsidR="00A52178" w:rsidRPr="00635A00" w:rsidRDefault="00635A00">
            <w:pPr>
              <w:pStyle w:val="Sombreadovistoso-nfasis31"/>
              <w:numPr>
                <w:ilvl w:val="0"/>
                <w:numId w:val="10"/>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 xml:space="preserve">La norma </w:t>
            </w:r>
            <w:r w:rsidRPr="00635A00">
              <w:rPr>
                <w:rFonts w:ascii="Times New Roman" w:hAnsi="Times New Roman"/>
                <w:bCs/>
                <w:color w:val="auto"/>
                <w:szCs w:val="24"/>
                <w:lang w:val="es-CO"/>
              </w:rPr>
              <w:t>demandada vulnera el principio de consecutividad e identidad flexible porque la etapa judicial del procedimiento de extinción de dominio no tiene relación funcional con la compra de tierras por oferta voluntaria, y se incorporó en el penúltimo debate del t</w:t>
            </w:r>
            <w:r w:rsidRPr="00635A00">
              <w:rPr>
                <w:rFonts w:ascii="Times New Roman" w:hAnsi="Times New Roman"/>
                <w:bCs/>
                <w:color w:val="auto"/>
                <w:szCs w:val="24"/>
                <w:lang w:val="es-CO"/>
              </w:rPr>
              <w:t>rámite legislativo. En el debate ante la plenaria del Senado se violó el principio democrático porque se omitió la publicidad y el debate de la proposición que incorporaba esta norma al articulado antes de ser votada y aprobada.</w:t>
            </w:r>
          </w:p>
          <w:p w:rsidR="00A52178" w:rsidRPr="00635A00" w:rsidRDefault="00635A00" w:rsidP="00A52178">
            <w:pPr>
              <w:pStyle w:val="Sombreadovistoso-nfasis31"/>
              <w:tabs>
                <w:tab w:val="left" w:pos="555"/>
              </w:tabs>
              <w:ind w:left="-12"/>
              <w:rPr>
                <w:rFonts w:ascii="Times New Roman" w:hAnsi="Times New Roman"/>
                <w:bCs/>
                <w:color w:val="auto"/>
                <w:szCs w:val="24"/>
                <w:lang w:val="es-CO"/>
              </w:rPr>
            </w:pPr>
          </w:p>
          <w:p w:rsidR="00A52178" w:rsidRPr="00635A00" w:rsidRDefault="00635A00">
            <w:pPr>
              <w:pStyle w:val="Sombreadovistoso-nfasis31"/>
              <w:numPr>
                <w:ilvl w:val="0"/>
                <w:numId w:val="10"/>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 xml:space="preserve">La regulación de la </w:t>
            </w:r>
            <w:r w:rsidRPr="00635A00">
              <w:rPr>
                <w:rFonts w:ascii="Times New Roman" w:hAnsi="Times New Roman"/>
                <w:bCs/>
                <w:color w:val="auto"/>
                <w:szCs w:val="24"/>
                <w:lang w:val="es-CO"/>
              </w:rPr>
              <w:t>suspensión provisional de los actos administrativos de la ANT vulnera el artículo 229 de la Carta porque vacía de contenido la autonomía judicial en materia de definición de medias cautelares, y resta efectos a la figura de la suspensión provisional.</w:t>
            </w:r>
          </w:p>
          <w:p w:rsidR="00824830" w:rsidRPr="00635A00" w:rsidRDefault="00635A00" w:rsidP="00824830">
            <w:pPr>
              <w:pStyle w:val="Prrafodelista"/>
              <w:rPr>
                <w:rFonts w:ascii="Times New Roman" w:hAnsi="Times New Roman"/>
                <w:bCs/>
                <w:color w:val="auto"/>
                <w:szCs w:val="24"/>
                <w:lang w:val="es-CO"/>
              </w:rPr>
            </w:pPr>
          </w:p>
          <w:p w:rsidR="00824830" w:rsidRPr="00635A00" w:rsidRDefault="00635A00">
            <w:pPr>
              <w:pStyle w:val="Sombreadovistoso-nfasis31"/>
              <w:numPr>
                <w:ilvl w:val="0"/>
                <w:numId w:val="10"/>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La n</w:t>
            </w:r>
            <w:r w:rsidRPr="00635A00">
              <w:rPr>
                <w:rFonts w:ascii="Times New Roman" w:hAnsi="Times New Roman"/>
                <w:bCs/>
                <w:color w:val="auto"/>
                <w:szCs w:val="24"/>
                <w:lang w:val="es-CO"/>
              </w:rPr>
              <w:t>orma acusada es regresiva porque suprime la intervención judicial directa en la decisión final sobre procesos de clarificación de la propiedad, extinción de dominio y deslinde. Se debe distinguir entre decisión judicial y control judicial, por lo que la mo</w:t>
            </w:r>
            <w:r w:rsidRPr="00635A00">
              <w:rPr>
                <w:rFonts w:ascii="Times New Roman" w:hAnsi="Times New Roman"/>
                <w:bCs/>
                <w:color w:val="auto"/>
                <w:szCs w:val="24"/>
                <w:lang w:val="es-CO"/>
              </w:rPr>
              <w:t>dificación introducida por los preceptos demandados sí implica un retroceso en las garantías del afectado. Además, la norma desconoce los postulados de los Acuerdos de Paz, de la Reforma Rural Integral y de la jurisprudencia constitucional, concretados a t</w:t>
            </w:r>
            <w:r w:rsidRPr="00635A00">
              <w:rPr>
                <w:rFonts w:ascii="Times New Roman" w:hAnsi="Times New Roman"/>
                <w:bCs/>
                <w:color w:val="auto"/>
                <w:szCs w:val="24"/>
                <w:lang w:val="es-CO"/>
              </w:rPr>
              <w:t>ravés del diseño procesal adoptado mediante el Decreto Ley 902 de 2017. En esta normatividad se estableció como parámetro mínimo de garantía del juez natural que la decisión de fondo fuese adoptada por una autoridad judicial, no administrativa. Por otra pa</w:t>
            </w:r>
            <w:r w:rsidRPr="00635A00">
              <w:rPr>
                <w:rFonts w:ascii="Times New Roman" w:hAnsi="Times New Roman"/>
                <w:bCs/>
                <w:color w:val="auto"/>
                <w:szCs w:val="24"/>
                <w:lang w:val="es-CO"/>
              </w:rPr>
              <w:t>rte, la norma no supera los criterios fijados por esta Corporación para garantizar la constitucionalidad de las medidas regresivas: no se justificó la existencia de una finalidad constitucional imperativa, lo que a su vez implica que la medida es inconduce</w:t>
            </w:r>
            <w:r w:rsidRPr="00635A00">
              <w:rPr>
                <w:rFonts w:ascii="Times New Roman" w:hAnsi="Times New Roman"/>
                <w:bCs/>
                <w:color w:val="auto"/>
                <w:szCs w:val="24"/>
                <w:lang w:val="es-CO"/>
              </w:rPr>
              <w:t>nte. Tampoco se analizaron posibles alternativas para proteger la</w:t>
            </w:r>
            <w:r w:rsidRPr="00635A00">
              <w:rPr>
                <w:rFonts w:ascii="Times New Roman" w:hAnsi="Times New Roman"/>
                <w:bCs/>
                <w:color w:val="auto"/>
                <w:szCs w:val="24"/>
                <w:lang w:val="es-CO"/>
              </w:rPr>
              <w:t>s garantías procesales derivadas de la Reforma Rural Integral, y la medida afecta de manera desproporcionada la faceta prestacional del derecho al debido proceso, dado que el beneficio que al</w:t>
            </w:r>
            <w:r w:rsidRPr="00635A00">
              <w:rPr>
                <w:rFonts w:ascii="Times New Roman" w:hAnsi="Times New Roman"/>
                <w:bCs/>
                <w:color w:val="auto"/>
                <w:szCs w:val="24"/>
                <w:lang w:val="es-CO"/>
              </w:rPr>
              <w:t>canza -extinguir el dominio administrativamente- no es superior a las garantías procesales mínimas que se ven sacrificadas.</w:t>
            </w:r>
          </w:p>
          <w:p w:rsidR="000C4654" w:rsidRPr="00635A00" w:rsidRDefault="00635A00" w:rsidP="000C4654">
            <w:pPr>
              <w:pStyle w:val="Sombreadovistoso-nfasis31"/>
              <w:tabs>
                <w:tab w:val="left" w:pos="555"/>
              </w:tabs>
              <w:ind w:left="-12"/>
              <w:rPr>
                <w:rFonts w:ascii="Times New Roman" w:hAnsi="Times New Roman"/>
                <w:bCs/>
                <w:color w:val="auto"/>
                <w:szCs w:val="24"/>
                <w:lang w:val="es-CO"/>
              </w:rPr>
            </w:pPr>
          </w:p>
          <w:p w:rsidR="000C4654" w:rsidRPr="00635A00" w:rsidRDefault="00635A00">
            <w:pPr>
              <w:pStyle w:val="Sombreadovistoso-nfasis31"/>
              <w:numPr>
                <w:ilvl w:val="0"/>
                <w:numId w:val="10"/>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La norma desconoce las competencias de la Jurisdicción Agraria creada mediante Acto Legislativo 3 de 2023.</w:t>
            </w:r>
          </w:p>
          <w:p w:rsidR="00FF4212"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647A7F"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Sociedad de Agricultor</w:t>
            </w:r>
            <w:r w:rsidRPr="00635A00">
              <w:rPr>
                <w:rFonts w:ascii="Times New Roman" w:hAnsi="Times New Roman"/>
                <w:bCs/>
                <w:color w:val="auto"/>
                <w:szCs w:val="24"/>
                <w:lang w:val="es-CO"/>
              </w:rPr>
              <w:t>es de Colombia</w:t>
            </w:r>
          </w:p>
          <w:p w:rsidR="000C4654" w:rsidRPr="00635A00" w:rsidRDefault="00635A00" w:rsidP="00065E05">
            <w:pPr>
              <w:pStyle w:val="Sombreadovistoso-nfasis31"/>
              <w:ind w:left="0"/>
              <w:jc w:val="center"/>
              <w:rPr>
                <w:rFonts w:ascii="Times New Roman" w:hAnsi="Times New Roman"/>
                <w:bCs/>
                <w:color w:val="auto"/>
                <w:szCs w:val="24"/>
                <w:lang w:val="es-CO"/>
              </w:rPr>
            </w:pPr>
          </w:p>
          <w:p w:rsidR="000C4654"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(inexequibilidad)</w:t>
            </w:r>
          </w:p>
        </w:tc>
        <w:tc>
          <w:tcPr>
            <w:tcW w:w="6491" w:type="dxa"/>
            <w:vAlign w:val="center"/>
          </w:tcPr>
          <w:p w:rsidR="004838EF" w:rsidRPr="00635A00" w:rsidRDefault="00635A00">
            <w:pPr>
              <w:pStyle w:val="Sombreadovistoso-nfasis31"/>
              <w:numPr>
                <w:ilvl w:val="0"/>
                <w:numId w:val="11"/>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 xml:space="preserve">Se vulneró el principio de progresividad y prohibición de regresividad en relación con el derecho al debido proceso. El Decreto Ley 902 de 2017 estableció los mecanismos necesarios para el cumplimiento del punto 1 del Acuerdo Final de Paz, y en tal virtud </w:t>
            </w:r>
            <w:r w:rsidRPr="00635A00">
              <w:rPr>
                <w:rFonts w:ascii="Times New Roman" w:hAnsi="Times New Roman"/>
                <w:bCs/>
                <w:color w:val="auto"/>
                <w:szCs w:val="24"/>
                <w:lang w:val="es-CO"/>
              </w:rPr>
              <w:t>previó que los procesos agrarios estuviesen compuestos por una fase administrativa y una judicial. La supresión de esta última implica un retroceso respecto del derecho de defensa y del derecho al debido proceso porque la controversia ya no es resuelta por</w:t>
            </w:r>
            <w:r w:rsidRPr="00635A00">
              <w:rPr>
                <w:rFonts w:ascii="Times New Roman" w:hAnsi="Times New Roman"/>
                <w:bCs/>
                <w:color w:val="auto"/>
                <w:szCs w:val="24"/>
                <w:lang w:val="es-CO"/>
              </w:rPr>
              <w:t xml:space="preserve"> un tercero imparcial e independiente. Además, se trata de una medida </w:t>
            </w:r>
            <w:r w:rsidRPr="00635A00">
              <w:rPr>
                <w:rFonts w:ascii="Times New Roman" w:hAnsi="Times New Roman"/>
                <w:bCs/>
                <w:color w:val="auto"/>
                <w:szCs w:val="24"/>
                <w:lang w:val="es-CO"/>
              </w:rPr>
              <w:t xml:space="preserve">regresiva </w:t>
            </w:r>
            <w:r w:rsidRPr="00635A00">
              <w:rPr>
                <w:rFonts w:ascii="Times New Roman" w:hAnsi="Times New Roman"/>
                <w:bCs/>
                <w:color w:val="auto"/>
                <w:szCs w:val="24"/>
                <w:lang w:val="es-CO"/>
              </w:rPr>
              <w:t>que carece por completo de justificación</w:t>
            </w:r>
            <w:r w:rsidRPr="00635A00">
              <w:rPr>
                <w:rFonts w:ascii="Times New Roman" w:hAnsi="Times New Roman"/>
                <w:bCs/>
                <w:color w:val="auto"/>
                <w:szCs w:val="24"/>
                <w:lang w:val="es-CO"/>
              </w:rPr>
              <w:t>, por lo que se presume inconstitucional, y amerita ser suspendida provisionalmente.</w:t>
            </w:r>
          </w:p>
          <w:p w:rsidR="00EA4DB2" w:rsidRPr="00635A00" w:rsidRDefault="00635A00" w:rsidP="00EA4DB2">
            <w:pPr>
              <w:pStyle w:val="Sombreadovistoso-nfasis31"/>
              <w:tabs>
                <w:tab w:val="left" w:pos="555"/>
              </w:tabs>
              <w:ind w:left="0"/>
              <w:rPr>
                <w:rFonts w:ascii="Times New Roman" w:hAnsi="Times New Roman"/>
                <w:bCs/>
                <w:color w:val="auto"/>
                <w:szCs w:val="24"/>
                <w:lang w:val="es-CO"/>
              </w:rPr>
            </w:pPr>
          </w:p>
          <w:p w:rsidR="004838EF" w:rsidRPr="00635A00" w:rsidRDefault="00635A00">
            <w:pPr>
              <w:pStyle w:val="Sombreadovistoso-nfasis31"/>
              <w:numPr>
                <w:ilvl w:val="0"/>
                <w:numId w:val="11"/>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L</w:t>
            </w:r>
            <w:r w:rsidRPr="00635A00">
              <w:rPr>
                <w:rFonts w:ascii="Times New Roman" w:hAnsi="Times New Roman"/>
                <w:bCs/>
                <w:color w:val="auto"/>
                <w:szCs w:val="24"/>
                <w:lang w:val="es-CO"/>
              </w:rPr>
              <w:t>a norma desconoce la institución de la suspensión</w:t>
            </w:r>
            <w:r w:rsidRPr="00635A00">
              <w:rPr>
                <w:rFonts w:ascii="Times New Roman" w:hAnsi="Times New Roman"/>
                <w:bCs/>
                <w:color w:val="auto"/>
                <w:szCs w:val="24"/>
                <w:lang w:val="es-CO"/>
              </w:rPr>
              <w:t xml:space="preserve"> provisional de los actos administrativos prevista en el artículo 238 superior, puesto que autoriza a la ANT a exceptuar el cumplimiento de la medida cautelar decretada, a condición de constituir una reserva monetaria</w:t>
            </w:r>
            <w:r w:rsidRPr="00635A00">
              <w:rPr>
                <w:rFonts w:ascii="Times New Roman" w:hAnsi="Times New Roman"/>
                <w:bCs/>
                <w:color w:val="auto"/>
                <w:szCs w:val="24"/>
                <w:lang w:val="es-CO"/>
              </w:rPr>
              <w:t>. Esto se traduce en una acumulación de</w:t>
            </w:r>
            <w:r w:rsidRPr="00635A00">
              <w:rPr>
                <w:rFonts w:ascii="Times New Roman" w:hAnsi="Times New Roman"/>
                <w:bCs/>
                <w:color w:val="auto"/>
                <w:szCs w:val="24"/>
                <w:lang w:val="es-CO"/>
              </w:rPr>
              <w:t xml:space="preserve"> poder desmesurada en la ANT, que termina fungiendo como juez y parte. Es tan clara la inconstitucionalidad, que la norma ameritaría ser suspendida provisionalmente.</w:t>
            </w:r>
          </w:p>
          <w:p w:rsidR="00D80698" w:rsidRPr="00635A00" w:rsidRDefault="00635A00" w:rsidP="00D80698">
            <w:pPr>
              <w:pStyle w:val="Prrafodelista"/>
              <w:rPr>
                <w:rFonts w:ascii="Times New Roman" w:hAnsi="Times New Roman"/>
                <w:bCs/>
                <w:color w:val="auto"/>
                <w:szCs w:val="24"/>
                <w:lang w:val="es-CO"/>
              </w:rPr>
            </w:pPr>
          </w:p>
          <w:p w:rsidR="00D80698" w:rsidRPr="00635A00" w:rsidRDefault="00635A00">
            <w:pPr>
              <w:pStyle w:val="Sombreadovistoso-nfasis31"/>
              <w:numPr>
                <w:ilvl w:val="0"/>
                <w:numId w:val="11"/>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La protección a la producción de alimentos también goza de especial protección constituci</w:t>
            </w:r>
            <w:r w:rsidRPr="00635A00">
              <w:rPr>
                <w:rFonts w:ascii="Times New Roman" w:hAnsi="Times New Roman"/>
                <w:bCs/>
                <w:color w:val="auto"/>
                <w:szCs w:val="24"/>
                <w:lang w:val="es-CO"/>
              </w:rPr>
              <w:t>onal y requiere de ciertos presupuestos como la garantía de no regresividad de los derechos, el respeto por el debido proceso en la definición y protección de la propiedad privada, y la garantía de los principios de seguridad jurídica, confianza legítima y</w:t>
            </w:r>
            <w:r w:rsidRPr="00635A00">
              <w:rPr>
                <w:rFonts w:ascii="Times New Roman" w:hAnsi="Times New Roman"/>
                <w:bCs/>
                <w:color w:val="auto"/>
                <w:szCs w:val="24"/>
                <w:lang w:val="es-CO"/>
              </w:rPr>
              <w:t xml:space="preserve"> buena fe.</w:t>
            </w:r>
          </w:p>
          <w:p w:rsidR="00647A7F"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647A7F"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Comisión Colombiana de Juristas</w:t>
            </w:r>
          </w:p>
          <w:p w:rsidR="00D80698" w:rsidRPr="00635A00" w:rsidRDefault="00635A00" w:rsidP="00065E05">
            <w:pPr>
              <w:pStyle w:val="Sombreadovistoso-nfasis31"/>
              <w:ind w:left="0"/>
              <w:jc w:val="center"/>
              <w:rPr>
                <w:rFonts w:ascii="Times New Roman" w:hAnsi="Times New Roman"/>
                <w:bCs/>
                <w:color w:val="auto"/>
                <w:szCs w:val="24"/>
                <w:lang w:val="es-CO"/>
              </w:rPr>
            </w:pPr>
          </w:p>
          <w:p w:rsidR="00D80698"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(inhibición y exequibilidad)</w:t>
            </w:r>
          </w:p>
          <w:p w:rsidR="00D80698" w:rsidRPr="00635A00" w:rsidRDefault="00635A00" w:rsidP="00065E05">
            <w:pPr>
              <w:pStyle w:val="Sombreadovistoso-nfasis31"/>
              <w:ind w:left="0"/>
              <w:jc w:val="center"/>
              <w:rPr>
                <w:rFonts w:ascii="Times New Roman" w:hAnsi="Times New Roman"/>
                <w:bCs/>
                <w:color w:val="auto"/>
                <w:szCs w:val="24"/>
                <w:lang w:val="es-CO"/>
              </w:rPr>
            </w:pPr>
          </w:p>
        </w:tc>
        <w:tc>
          <w:tcPr>
            <w:tcW w:w="6491" w:type="dxa"/>
            <w:vAlign w:val="center"/>
          </w:tcPr>
          <w:p w:rsidR="00D80698" w:rsidRPr="00635A00" w:rsidRDefault="00635A00">
            <w:pPr>
              <w:pStyle w:val="Sombreadovistoso-nfasis31"/>
              <w:numPr>
                <w:ilvl w:val="0"/>
                <w:numId w:val="12"/>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El cargo por violación del principio de progresividad y no regresividad del derecho al debido proceso carece de certeza</w:t>
            </w:r>
            <w:r w:rsidRPr="00635A00">
              <w:rPr>
                <w:rFonts w:ascii="Times New Roman" w:hAnsi="Times New Roman"/>
                <w:bCs/>
                <w:color w:val="auto"/>
                <w:szCs w:val="24"/>
                <w:lang w:val="es-CO"/>
              </w:rPr>
              <w:t xml:space="preserve"> porque parte de una interpretación subjetiva según la cual la ANT en su actuación no se rige por los postulados del debido proceso administrativo. Además, el actor ignora que el acto administrativo de adquisición de tierras es susceptible de control judic</w:t>
            </w:r>
            <w:r w:rsidRPr="00635A00">
              <w:rPr>
                <w:rFonts w:ascii="Times New Roman" w:hAnsi="Times New Roman"/>
                <w:bCs/>
                <w:color w:val="auto"/>
                <w:szCs w:val="24"/>
                <w:lang w:val="es-CO"/>
              </w:rPr>
              <w:t xml:space="preserve">ial a través de la acción de nulidad agraria. </w:t>
            </w:r>
          </w:p>
          <w:p w:rsidR="00D80698" w:rsidRPr="00635A00" w:rsidRDefault="00635A00" w:rsidP="00D80698">
            <w:pPr>
              <w:pStyle w:val="Sombreadovistoso-nfasis31"/>
              <w:tabs>
                <w:tab w:val="left" w:pos="555"/>
              </w:tabs>
              <w:ind w:left="0"/>
              <w:rPr>
                <w:rFonts w:ascii="Times New Roman" w:hAnsi="Times New Roman"/>
                <w:bCs/>
                <w:color w:val="auto"/>
                <w:szCs w:val="24"/>
                <w:lang w:val="es-CO"/>
              </w:rPr>
            </w:pPr>
          </w:p>
          <w:p w:rsidR="00D80698" w:rsidRPr="00635A00" w:rsidRDefault="00635A00">
            <w:pPr>
              <w:pStyle w:val="Sombreadovistoso-nfasis31"/>
              <w:numPr>
                <w:ilvl w:val="0"/>
                <w:numId w:val="12"/>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El cargo por violación del art. 238 de la Constitución carece de cer</w:t>
            </w:r>
            <w:r w:rsidRPr="00635A00">
              <w:rPr>
                <w:rFonts w:ascii="Times New Roman" w:hAnsi="Times New Roman"/>
                <w:bCs/>
                <w:color w:val="auto"/>
                <w:szCs w:val="24"/>
                <w:lang w:val="es-CO"/>
              </w:rPr>
              <w:t>t</w:t>
            </w:r>
            <w:r w:rsidRPr="00635A00">
              <w:rPr>
                <w:rFonts w:ascii="Times New Roman" w:hAnsi="Times New Roman"/>
                <w:bCs/>
                <w:color w:val="auto"/>
                <w:szCs w:val="24"/>
                <w:lang w:val="es-CO"/>
              </w:rPr>
              <w:t>eza.</w:t>
            </w:r>
            <w:r w:rsidRPr="00635A00">
              <w:rPr>
                <w:rFonts w:ascii="Times New Roman" w:hAnsi="Times New Roman"/>
                <w:bCs/>
                <w:color w:val="auto"/>
                <w:szCs w:val="24"/>
                <w:lang w:val="es-CO"/>
              </w:rPr>
              <w:t xml:space="preserve"> La norma no autoriza a la ANT para desconocer medidas cautelares, sino que, en casos de bienes cobijados por medidas cautelares, se requiere constituir una garantía económica para disponer del bien. En sentencia C-357 de 2019, la Corte declaró la exequibi</w:t>
            </w:r>
            <w:r w:rsidRPr="00635A00">
              <w:rPr>
                <w:rFonts w:ascii="Times New Roman" w:hAnsi="Times New Roman"/>
                <w:bCs/>
                <w:color w:val="auto"/>
                <w:szCs w:val="24"/>
                <w:lang w:val="es-CO"/>
              </w:rPr>
              <w:t>lidad de una norma del Código de Extinción de Dominio que permitía la disposición temprana de bienes objeto de medidas cautelares.</w:t>
            </w:r>
          </w:p>
          <w:p w:rsidR="00D80698" w:rsidRPr="00635A00" w:rsidRDefault="00635A00" w:rsidP="00D80698">
            <w:pPr>
              <w:pStyle w:val="Prrafodelista"/>
              <w:rPr>
                <w:rFonts w:ascii="Times New Roman" w:hAnsi="Times New Roman"/>
                <w:bCs/>
                <w:color w:val="auto"/>
                <w:szCs w:val="24"/>
                <w:lang w:val="es-CO"/>
              </w:rPr>
            </w:pPr>
          </w:p>
          <w:p w:rsidR="00D80698" w:rsidRPr="00635A00" w:rsidRDefault="00635A00">
            <w:pPr>
              <w:pStyle w:val="Sombreadovistoso-nfasis31"/>
              <w:numPr>
                <w:ilvl w:val="0"/>
                <w:numId w:val="12"/>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Durante el trámite de expedición del artículo demandado no se vulneró el principio de consecutividad e identidad flexible.</w:t>
            </w:r>
            <w:r w:rsidRPr="00635A00">
              <w:rPr>
                <w:rFonts w:ascii="Times New Roman" w:hAnsi="Times New Roman"/>
                <w:bCs/>
                <w:color w:val="auto"/>
                <w:szCs w:val="24"/>
                <w:lang w:val="es-CO"/>
              </w:rPr>
              <w:t xml:space="preserve"> L</w:t>
            </w:r>
            <w:r w:rsidRPr="00635A00">
              <w:rPr>
                <w:rFonts w:ascii="Times New Roman" w:hAnsi="Times New Roman"/>
                <w:bCs/>
                <w:color w:val="auto"/>
                <w:szCs w:val="24"/>
                <w:lang w:val="es-CO"/>
              </w:rPr>
              <w:t>as normas acusadas guardan relación clara, necesaria, específica y evidente con las bases del PND, que se refieren a necesidad de adoptar medidas para la superación de las problemáticas relacionadas con la distribución de la tierra</w:t>
            </w:r>
            <w:r w:rsidRPr="00635A00">
              <w:rPr>
                <w:rFonts w:ascii="Times New Roman" w:hAnsi="Times New Roman"/>
                <w:bCs/>
                <w:color w:val="auto"/>
                <w:szCs w:val="24"/>
                <w:lang w:val="es-CO"/>
              </w:rPr>
              <w:t xml:space="preserve">, pues buscan establecer </w:t>
            </w:r>
            <w:r w:rsidRPr="00635A00">
              <w:rPr>
                <w:rFonts w:ascii="Times New Roman" w:hAnsi="Times New Roman"/>
                <w:bCs/>
                <w:color w:val="auto"/>
                <w:szCs w:val="24"/>
                <w:lang w:val="es-CO"/>
              </w:rPr>
              <w:t>mecanismos para facilitar y dinamizar procesos de compra de tierras por oferta voluntaria, para lo cual se requieren medidas que propendan a garantizar la tenencia, formalización, adjudicación y regularización de la tierra. Esto hace razonable que el Legis</w:t>
            </w:r>
            <w:r w:rsidRPr="00635A00">
              <w:rPr>
                <w:rFonts w:ascii="Times New Roman" w:hAnsi="Times New Roman"/>
                <w:bCs/>
                <w:color w:val="auto"/>
                <w:szCs w:val="24"/>
                <w:lang w:val="es-CO"/>
              </w:rPr>
              <w:t>lador haya optado por modificar ciertos aspectos del procedimiento único establecido en el Decreto Ley 902 de 2017. Por otra parte, durante los primeros debates sí se discutió ampliamente la temática sobre la reforma a las facultades de la ANT con el fin d</w:t>
            </w:r>
            <w:r w:rsidRPr="00635A00">
              <w:rPr>
                <w:rFonts w:ascii="Times New Roman" w:hAnsi="Times New Roman"/>
                <w:bCs/>
                <w:color w:val="auto"/>
                <w:szCs w:val="24"/>
                <w:lang w:val="es-CO"/>
              </w:rPr>
              <w:t>e facilitar los procesos de adquisición de tierras.</w:t>
            </w:r>
          </w:p>
          <w:p w:rsidR="00647A7F"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647A7F"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Universidad Pontificia Bolivariana de Medellín</w:t>
            </w:r>
          </w:p>
          <w:p w:rsidR="005C42D8" w:rsidRPr="00635A00" w:rsidRDefault="00635A00" w:rsidP="00065E05">
            <w:pPr>
              <w:pStyle w:val="Sombreadovistoso-nfasis31"/>
              <w:ind w:left="0"/>
              <w:jc w:val="center"/>
              <w:rPr>
                <w:rFonts w:ascii="Times New Roman" w:hAnsi="Times New Roman"/>
                <w:bCs/>
                <w:color w:val="auto"/>
                <w:szCs w:val="24"/>
                <w:lang w:val="es-CO"/>
              </w:rPr>
            </w:pPr>
          </w:p>
          <w:p w:rsidR="005C42D8"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(inexequibilidad)</w:t>
            </w:r>
          </w:p>
        </w:tc>
        <w:tc>
          <w:tcPr>
            <w:tcW w:w="6491" w:type="dxa"/>
            <w:vAlign w:val="center"/>
          </w:tcPr>
          <w:p w:rsidR="005C42D8" w:rsidRPr="00635A00" w:rsidRDefault="00635A00">
            <w:pPr>
              <w:pStyle w:val="Sombreadovistoso-nfasis31"/>
              <w:numPr>
                <w:ilvl w:val="0"/>
                <w:numId w:val="13"/>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 xml:space="preserve">Los apartes demandados violan los principios de deliberación democrática, consecutividad e identidad flexible por las siguientes </w:t>
            </w:r>
            <w:r w:rsidRPr="00635A00">
              <w:rPr>
                <w:rFonts w:ascii="Times New Roman" w:hAnsi="Times New Roman"/>
                <w:bCs/>
                <w:color w:val="auto"/>
                <w:szCs w:val="24"/>
                <w:lang w:val="es-CO"/>
              </w:rPr>
              <w:t>razones. Primero, tales disposiciones fueron incorporadas en el segundo de tres debates, es decir, en una etapa tardía del trámite legislativo. Segundo, las normas no tienen conexión estrecha, cercana ni suficiente con el objeto y los núcleos temáticos dis</w:t>
            </w:r>
            <w:r w:rsidRPr="00635A00">
              <w:rPr>
                <w:rFonts w:ascii="Times New Roman" w:hAnsi="Times New Roman"/>
                <w:bCs/>
                <w:color w:val="auto"/>
                <w:szCs w:val="24"/>
                <w:lang w:val="es-CO"/>
              </w:rPr>
              <w:t>cutidos durante las etapas previas del trámite legislativo. Tercero, los preceptos acusados fueron aprobados sin explicación ni deliberación democrática</w:t>
            </w:r>
            <w:r w:rsidRPr="00635A00">
              <w:rPr>
                <w:rFonts w:ascii="Times New Roman" w:hAnsi="Times New Roman"/>
                <w:bCs/>
                <w:color w:val="auto"/>
                <w:szCs w:val="24"/>
                <w:lang w:val="es-CO"/>
              </w:rPr>
              <w:t>, toda vez que no fue debidamente publicitada ni deliberada en la plenaria del Senado</w:t>
            </w:r>
            <w:r w:rsidRPr="00635A00">
              <w:rPr>
                <w:rFonts w:ascii="Times New Roman" w:hAnsi="Times New Roman"/>
                <w:bCs/>
                <w:color w:val="auto"/>
                <w:szCs w:val="24"/>
                <w:lang w:val="es-CO"/>
              </w:rPr>
              <w:t xml:space="preserve">. Cuarto, </w:t>
            </w:r>
            <w:r w:rsidRPr="00635A00">
              <w:rPr>
                <w:rFonts w:ascii="Times New Roman" w:hAnsi="Times New Roman"/>
                <w:bCs/>
                <w:color w:val="auto"/>
                <w:szCs w:val="24"/>
                <w:lang w:val="es-CO"/>
              </w:rPr>
              <w:t>estas dis</w:t>
            </w:r>
            <w:r w:rsidRPr="00635A00">
              <w:rPr>
                <w:rFonts w:ascii="Times New Roman" w:hAnsi="Times New Roman"/>
                <w:bCs/>
                <w:color w:val="auto"/>
                <w:szCs w:val="24"/>
                <w:lang w:val="es-CO"/>
              </w:rPr>
              <w:t>posiciones podrían conformar una regulación autónoma en una ley diferente, pues suponen una reforma estructural sobre los procedimientos agrarios.</w:t>
            </w:r>
          </w:p>
          <w:p w:rsidR="00D15042" w:rsidRPr="00635A00" w:rsidRDefault="00635A00" w:rsidP="00D15042">
            <w:pPr>
              <w:pStyle w:val="Sombreadovistoso-nfasis31"/>
              <w:tabs>
                <w:tab w:val="left" w:pos="555"/>
              </w:tabs>
              <w:ind w:left="0"/>
              <w:rPr>
                <w:rFonts w:ascii="Times New Roman" w:hAnsi="Times New Roman"/>
                <w:bCs/>
                <w:color w:val="auto"/>
                <w:szCs w:val="24"/>
                <w:lang w:val="es-CO"/>
              </w:rPr>
            </w:pPr>
          </w:p>
          <w:p w:rsidR="00D15042" w:rsidRPr="00635A00" w:rsidRDefault="00635A00">
            <w:pPr>
              <w:pStyle w:val="Sombreadovistoso-nfasis31"/>
              <w:numPr>
                <w:ilvl w:val="0"/>
                <w:numId w:val="13"/>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 xml:space="preserve">La norma parcialmente acusada viola el artículo 238 superior por cuanto cercena al juez la potestad de </w:t>
            </w:r>
            <w:r w:rsidRPr="00635A00">
              <w:rPr>
                <w:rFonts w:ascii="Times New Roman" w:hAnsi="Times New Roman"/>
                <w:bCs/>
                <w:color w:val="auto"/>
                <w:szCs w:val="24"/>
                <w:lang w:val="es-CO"/>
              </w:rPr>
              <w:t>suspender provisionalmente los efectos de los actos administrativos de la ANT que resuelvan de fondo asuntos relativos a los numerales 4, 5 y 7 del artículo 58 del Decreto Ley 902 de 2017. La autorización a la ANT para disponer de los inmuebles implica que</w:t>
            </w:r>
            <w:r w:rsidRPr="00635A00">
              <w:rPr>
                <w:rFonts w:ascii="Times New Roman" w:hAnsi="Times New Roman"/>
                <w:bCs/>
                <w:color w:val="auto"/>
                <w:szCs w:val="24"/>
                <w:lang w:val="es-CO"/>
              </w:rPr>
              <w:t xml:space="preserve"> la suspensión provisional de los actos administrativos es meramente simbólica.</w:t>
            </w:r>
          </w:p>
          <w:p w:rsidR="00647A7F"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647A7F"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Asociación Nacional de Empresarios de Colombia</w:t>
            </w:r>
          </w:p>
          <w:p w:rsidR="00D15042" w:rsidRPr="00635A00" w:rsidRDefault="00635A00" w:rsidP="00065E05">
            <w:pPr>
              <w:pStyle w:val="Sombreadovistoso-nfasis31"/>
              <w:ind w:left="0"/>
              <w:jc w:val="center"/>
              <w:rPr>
                <w:rFonts w:ascii="Times New Roman" w:hAnsi="Times New Roman"/>
                <w:bCs/>
                <w:color w:val="auto"/>
                <w:szCs w:val="24"/>
                <w:lang w:val="es-CO"/>
              </w:rPr>
            </w:pPr>
          </w:p>
          <w:p w:rsidR="00D15042"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(inexequibilidad)</w:t>
            </w:r>
          </w:p>
          <w:p w:rsidR="00D15042" w:rsidRPr="00635A00" w:rsidRDefault="00635A00" w:rsidP="00065E05">
            <w:pPr>
              <w:pStyle w:val="Sombreadovistoso-nfasis31"/>
              <w:ind w:left="0"/>
              <w:jc w:val="center"/>
              <w:rPr>
                <w:rFonts w:ascii="Times New Roman" w:hAnsi="Times New Roman"/>
                <w:bCs/>
                <w:color w:val="auto"/>
                <w:szCs w:val="24"/>
                <w:lang w:val="es-CO"/>
              </w:rPr>
            </w:pPr>
          </w:p>
        </w:tc>
        <w:tc>
          <w:tcPr>
            <w:tcW w:w="6491" w:type="dxa"/>
            <w:vAlign w:val="center"/>
          </w:tcPr>
          <w:p w:rsidR="00571C04" w:rsidRPr="00635A00" w:rsidRDefault="00635A00">
            <w:pPr>
              <w:pStyle w:val="Sombreadovistoso-nfasis31"/>
              <w:numPr>
                <w:ilvl w:val="0"/>
                <w:numId w:val="14"/>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Las disposiciones cuestionadas no cumplen la regla de haber sido estudiada y debatida durante todos los deb</w:t>
            </w:r>
            <w:r w:rsidRPr="00635A00">
              <w:rPr>
                <w:rFonts w:ascii="Times New Roman" w:hAnsi="Times New Roman"/>
                <w:bCs/>
                <w:color w:val="auto"/>
                <w:szCs w:val="24"/>
                <w:lang w:val="es-CO"/>
              </w:rPr>
              <w:t>ates del procedimiento legislativo, toda vez que fueron introducidos en los debates ante las plenarias de la Cámara y del Senado, sin ser considerados por las Comisiones Constitucionales Permanentes en primer debate, en donde no se discutió la desjudiciali</w:t>
            </w:r>
            <w:r w:rsidRPr="00635A00">
              <w:rPr>
                <w:rFonts w:ascii="Times New Roman" w:hAnsi="Times New Roman"/>
                <w:bCs/>
                <w:color w:val="auto"/>
                <w:szCs w:val="24"/>
                <w:lang w:val="es-CO"/>
              </w:rPr>
              <w:t>zación de los procesos especiales agrarios. Tales preceptos tampoco satisfacen el principio de publicidad y deliberación, porque se incorporaron al articulado a través de una proposición modificatoria que no fue incorporada en el informe de ponencia ni leí</w:t>
            </w:r>
            <w:r w:rsidRPr="00635A00">
              <w:rPr>
                <w:rFonts w:ascii="Times New Roman" w:hAnsi="Times New Roman"/>
                <w:bCs/>
                <w:color w:val="auto"/>
                <w:szCs w:val="24"/>
                <w:lang w:val="es-CO"/>
              </w:rPr>
              <w:t>da a la plenaria previo a su votación en bloque con otros artículos. Eso evidencia que la norma fue aprobada sin que los senadores hayan podido conocer su contenido previamente.</w:t>
            </w:r>
          </w:p>
          <w:p w:rsidR="00A21892" w:rsidRPr="00635A00" w:rsidRDefault="00635A00" w:rsidP="00A21892">
            <w:pPr>
              <w:pStyle w:val="Sombreadovistoso-nfasis31"/>
              <w:tabs>
                <w:tab w:val="left" w:pos="555"/>
              </w:tabs>
              <w:ind w:left="-12"/>
              <w:rPr>
                <w:rFonts w:ascii="Times New Roman" w:hAnsi="Times New Roman"/>
                <w:bCs/>
                <w:color w:val="auto"/>
                <w:szCs w:val="24"/>
                <w:lang w:val="es-CO"/>
              </w:rPr>
            </w:pPr>
          </w:p>
          <w:p w:rsidR="00A21892" w:rsidRPr="00635A00" w:rsidRDefault="00635A00">
            <w:pPr>
              <w:pStyle w:val="Sombreadovistoso-nfasis31"/>
              <w:numPr>
                <w:ilvl w:val="0"/>
                <w:numId w:val="14"/>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 xml:space="preserve">El numeral 6 y el parágrafo 3 del artículo 61 de la Ley 2294 violan los </w:t>
            </w:r>
            <w:r w:rsidRPr="00635A00">
              <w:rPr>
                <w:rFonts w:ascii="Times New Roman" w:hAnsi="Times New Roman"/>
                <w:bCs/>
                <w:color w:val="auto"/>
                <w:szCs w:val="24"/>
                <w:lang w:val="es-CO"/>
              </w:rPr>
              <w:t>artículos 29 y 238 de la Carta porque desvirtúan por completo de la figura de la suspensión provisional como garantía constitucional de los particulares frente a actos administrativos contrarios al ordenamiento</w:t>
            </w:r>
            <w:r w:rsidRPr="00635A00">
              <w:rPr>
                <w:rFonts w:ascii="Times New Roman" w:hAnsi="Times New Roman"/>
                <w:bCs/>
                <w:color w:val="auto"/>
                <w:szCs w:val="24"/>
                <w:lang w:val="es-CO"/>
              </w:rPr>
              <w:t>, al permitirle a la ANT la posibilidad de con</w:t>
            </w:r>
            <w:r w:rsidRPr="00635A00">
              <w:rPr>
                <w:rFonts w:ascii="Times New Roman" w:hAnsi="Times New Roman"/>
                <w:bCs/>
                <w:color w:val="auto"/>
                <w:szCs w:val="24"/>
                <w:lang w:val="es-CO"/>
              </w:rPr>
              <w:t>tinuar con la disposición del bien pese a la medida cautelar sobre sus actos.</w:t>
            </w:r>
          </w:p>
          <w:p w:rsidR="00647A7F"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647A7F"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Universidad de Nariño</w:t>
            </w:r>
          </w:p>
          <w:p w:rsidR="00CF45FE" w:rsidRPr="00635A00" w:rsidRDefault="00635A00" w:rsidP="00065E05">
            <w:pPr>
              <w:pStyle w:val="Sombreadovistoso-nfasis31"/>
              <w:ind w:left="0"/>
              <w:jc w:val="center"/>
              <w:rPr>
                <w:rFonts w:ascii="Times New Roman" w:hAnsi="Times New Roman"/>
                <w:bCs/>
                <w:color w:val="auto"/>
                <w:szCs w:val="24"/>
                <w:lang w:val="es-CO"/>
              </w:rPr>
            </w:pPr>
          </w:p>
          <w:p w:rsidR="00CF45FE"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(exequibilidad)</w:t>
            </w:r>
          </w:p>
          <w:p w:rsidR="00CF45FE" w:rsidRPr="00635A00" w:rsidRDefault="00635A00" w:rsidP="00065E05">
            <w:pPr>
              <w:pStyle w:val="Sombreadovistoso-nfasis31"/>
              <w:ind w:left="0"/>
              <w:jc w:val="center"/>
              <w:rPr>
                <w:rFonts w:ascii="Times New Roman" w:hAnsi="Times New Roman"/>
                <w:bCs/>
                <w:color w:val="auto"/>
                <w:szCs w:val="24"/>
                <w:lang w:val="es-CO"/>
              </w:rPr>
            </w:pPr>
          </w:p>
        </w:tc>
        <w:tc>
          <w:tcPr>
            <w:tcW w:w="6491" w:type="dxa"/>
            <w:vAlign w:val="center"/>
          </w:tcPr>
          <w:p w:rsidR="00CF45FE" w:rsidRPr="00635A00" w:rsidRDefault="00635A00">
            <w:pPr>
              <w:pStyle w:val="Sombreadovistoso-nfasis31"/>
              <w:numPr>
                <w:ilvl w:val="0"/>
                <w:numId w:val="15"/>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 xml:space="preserve">La norma cuestionada no es regresiva ya que si bien elimina la fase judicial del procedimiento único agrario, lo sustituye por otra de </w:t>
            </w:r>
            <w:r w:rsidRPr="00635A00">
              <w:rPr>
                <w:rFonts w:ascii="Times New Roman" w:hAnsi="Times New Roman"/>
                <w:bCs/>
                <w:color w:val="auto"/>
                <w:szCs w:val="24"/>
                <w:lang w:val="es-CO"/>
              </w:rPr>
              <w:t>carácter administrativo sujeta a control judicial a través de la acción de nulidad agraria. No hay menoscabo en la garantía del derecho al debido proceso porque éste también se predica de las actuaciones administrativas.</w:t>
            </w:r>
          </w:p>
          <w:p w:rsidR="00CF45FE" w:rsidRPr="00635A00" w:rsidRDefault="00635A00" w:rsidP="00CF45FE">
            <w:pPr>
              <w:pStyle w:val="Sombreadovistoso-nfasis31"/>
              <w:tabs>
                <w:tab w:val="left" w:pos="555"/>
              </w:tabs>
              <w:ind w:left="0"/>
              <w:rPr>
                <w:rFonts w:ascii="Times New Roman" w:hAnsi="Times New Roman"/>
                <w:bCs/>
                <w:color w:val="auto"/>
                <w:szCs w:val="24"/>
                <w:lang w:val="es-CO"/>
              </w:rPr>
            </w:pPr>
          </w:p>
          <w:p w:rsidR="00CF45FE" w:rsidRPr="00635A00" w:rsidRDefault="00635A00">
            <w:pPr>
              <w:pStyle w:val="Sombreadovistoso-nfasis31"/>
              <w:numPr>
                <w:ilvl w:val="0"/>
                <w:numId w:val="15"/>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No</w:t>
            </w:r>
            <w:r w:rsidRPr="00635A00">
              <w:rPr>
                <w:rFonts w:ascii="Times New Roman" w:hAnsi="Times New Roman"/>
                <w:bCs/>
                <w:color w:val="auto"/>
                <w:szCs w:val="24"/>
                <w:lang w:val="es-CO"/>
              </w:rPr>
              <w:t xml:space="preserve"> se vulnera el principio de consecutividad e identidad flexible. La norma acusada hace parte de los objetivos previstos en el PND, cuyas bases sientan la necesidad de incorporar estrategias para el cumplimiento del Acuerdo de Paz y la Reforma Rural Integra</w:t>
            </w:r>
            <w:r w:rsidRPr="00635A00">
              <w:rPr>
                <w:rFonts w:ascii="Times New Roman" w:hAnsi="Times New Roman"/>
                <w:bCs/>
                <w:color w:val="auto"/>
                <w:szCs w:val="24"/>
                <w:lang w:val="es-CO"/>
              </w:rPr>
              <w:t>l.</w:t>
            </w:r>
          </w:p>
          <w:p w:rsidR="00E82533" w:rsidRPr="00635A00" w:rsidRDefault="00635A00" w:rsidP="00E82533">
            <w:pPr>
              <w:pStyle w:val="Prrafodelista"/>
              <w:rPr>
                <w:rFonts w:ascii="Times New Roman" w:hAnsi="Times New Roman"/>
                <w:bCs/>
                <w:color w:val="auto"/>
                <w:szCs w:val="24"/>
                <w:lang w:val="es-CO"/>
              </w:rPr>
            </w:pPr>
          </w:p>
          <w:p w:rsidR="00E82533" w:rsidRPr="00635A00" w:rsidRDefault="00635A00">
            <w:pPr>
              <w:pStyle w:val="Sombreadovistoso-nfasis31"/>
              <w:numPr>
                <w:ilvl w:val="0"/>
                <w:numId w:val="15"/>
              </w:numPr>
              <w:tabs>
                <w:tab w:val="left" w:pos="555"/>
              </w:tabs>
              <w:ind w:left="0" w:firstLine="0"/>
              <w:rPr>
                <w:rFonts w:ascii="Times New Roman" w:hAnsi="Times New Roman"/>
                <w:bCs/>
                <w:color w:val="auto"/>
                <w:szCs w:val="24"/>
                <w:lang w:val="es-CO"/>
              </w:rPr>
            </w:pPr>
            <w:r w:rsidRPr="00635A00">
              <w:rPr>
                <w:rFonts w:ascii="Times New Roman" w:hAnsi="Times New Roman"/>
                <w:bCs/>
                <w:color w:val="auto"/>
                <w:szCs w:val="24"/>
                <w:lang w:val="es-CO"/>
              </w:rPr>
              <w:t xml:space="preserve">Tampoco se desconoce la reserva judicial en materia de suspensión provisional de actos administrativos. Esta potestad no es exclusiva o autónoma del juez contencioso administrativo, y se supedita a los requisitos y condiciones fijados por la Ley, como </w:t>
            </w:r>
            <w:r w:rsidRPr="00635A00">
              <w:rPr>
                <w:rFonts w:ascii="Times New Roman" w:hAnsi="Times New Roman"/>
                <w:bCs/>
                <w:color w:val="auto"/>
                <w:szCs w:val="24"/>
                <w:lang w:val="es-CO"/>
              </w:rPr>
              <w:t xml:space="preserve">lo es la norma aquí demandada. De manera que el artículo demandado no infringe el artículo 238 superior sino que, por el contrario, lo cumple. </w:t>
            </w:r>
          </w:p>
          <w:p w:rsidR="00647A7F" w:rsidRPr="00635A00" w:rsidRDefault="00635A00" w:rsidP="00A376FB">
            <w:pPr>
              <w:pStyle w:val="Sombreadovistoso-nfasis31"/>
              <w:ind w:left="0"/>
              <w:jc w:val="center"/>
              <w:rPr>
                <w:rFonts w:ascii="Times New Roman" w:hAnsi="Times New Roman"/>
                <w:bCs/>
                <w:color w:val="auto"/>
                <w:szCs w:val="24"/>
                <w:lang w:val="es-CO"/>
              </w:rPr>
            </w:pPr>
          </w:p>
        </w:tc>
      </w:tr>
      <w:tr w:rsidR="00301B43" w:rsidRPr="00635A00" w:rsidTr="00640B08">
        <w:tc>
          <w:tcPr>
            <w:tcW w:w="2563" w:type="dxa"/>
          </w:tcPr>
          <w:p w:rsidR="00647A7F"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Universidad Agraria de Colombia</w:t>
            </w:r>
          </w:p>
          <w:p w:rsidR="00E15505" w:rsidRPr="00635A00" w:rsidRDefault="00635A00" w:rsidP="00065E05">
            <w:pPr>
              <w:pStyle w:val="Sombreadovistoso-nfasis31"/>
              <w:ind w:left="0"/>
              <w:jc w:val="center"/>
              <w:rPr>
                <w:rFonts w:ascii="Times New Roman" w:hAnsi="Times New Roman"/>
                <w:bCs/>
                <w:color w:val="auto"/>
                <w:szCs w:val="24"/>
                <w:lang w:val="es-CO"/>
              </w:rPr>
            </w:pPr>
          </w:p>
          <w:p w:rsidR="00E15505"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(exequibilidad)</w:t>
            </w:r>
          </w:p>
          <w:p w:rsidR="00E15505" w:rsidRPr="00635A00" w:rsidRDefault="00635A00" w:rsidP="00065E05">
            <w:pPr>
              <w:pStyle w:val="Sombreadovistoso-nfasis31"/>
              <w:ind w:left="0"/>
              <w:jc w:val="center"/>
              <w:rPr>
                <w:rFonts w:ascii="Times New Roman" w:hAnsi="Times New Roman"/>
                <w:bCs/>
                <w:color w:val="auto"/>
                <w:szCs w:val="24"/>
                <w:lang w:val="es-CO"/>
              </w:rPr>
            </w:pPr>
          </w:p>
          <w:p w:rsidR="00E15505" w:rsidRPr="00635A00" w:rsidRDefault="00635A00" w:rsidP="00065E05">
            <w:pPr>
              <w:pStyle w:val="Sombreadovistoso-nfasis31"/>
              <w:ind w:left="0"/>
              <w:jc w:val="center"/>
              <w:rPr>
                <w:rFonts w:ascii="Times New Roman" w:hAnsi="Times New Roman"/>
                <w:bCs/>
                <w:color w:val="auto"/>
                <w:szCs w:val="24"/>
                <w:lang w:val="es-CO"/>
              </w:rPr>
            </w:pPr>
          </w:p>
        </w:tc>
        <w:tc>
          <w:tcPr>
            <w:tcW w:w="6491" w:type="dxa"/>
            <w:vAlign w:val="center"/>
          </w:tcPr>
          <w:p w:rsidR="00E82533" w:rsidRPr="00635A00" w:rsidRDefault="00635A00" w:rsidP="00D041A3">
            <w:pPr>
              <w:pStyle w:val="Sombreadovistoso-nfasis31"/>
              <w:tabs>
                <w:tab w:val="left" w:pos="555"/>
              </w:tabs>
              <w:ind w:left="0"/>
              <w:rPr>
                <w:rFonts w:ascii="Times New Roman" w:hAnsi="Times New Roman"/>
                <w:bCs/>
                <w:color w:val="auto"/>
                <w:szCs w:val="24"/>
                <w:lang w:val="es-CO"/>
              </w:rPr>
            </w:pPr>
            <w:r w:rsidRPr="00635A00">
              <w:rPr>
                <w:rFonts w:ascii="Times New Roman" w:hAnsi="Times New Roman"/>
                <w:bCs/>
                <w:color w:val="auto"/>
                <w:szCs w:val="24"/>
                <w:lang w:val="es-CO"/>
              </w:rPr>
              <w:t xml:space="preserve">La interpretación que los demandantes hacen de la norma no </w:t>
            </w:r>
            <w:r w:rsidRPr="00635A00">
              <w:rPr>
                <w:rFonts w:ascii="Times New Roman" w:hAnsi="Times New Roman"/>
                <w:bCs/>
                <w:color w:val="auto"/>
                <w:szCs w:val="24"/>
                <w:lang w:val="es-CO"/>
              </w:rPr>
              <w:t>se ajusta a su realidad jurídica porque tanto el artículo 61 de la Ley 2294 como los artículos 58, 75 y 76 del Decreto Ley 902 de 2017 establecen la procedencia del trámite judicial en los casos en que exista oposición durante el trámite administrativo</w:t>
            </w:r>
            <w:r w:rsidRPr="00635A00">
              <w:rPr>
                <w:rFonts w:ascii="Times New Roman" w:hAnsi="Times New Roman"/>
                <w:bCs/>
                <w:color w:val="auto"/>
                <w:szCs w:val="24"/>
                <w:lang w:val="es-CO"/>
              </w:rPr>
              <w:t>.</w:t>
            </w:r>
            <w:r w:rsidRPr="00635A00">
              <w:rPr>
                <w:rFonts w:ascii="Times New Roman" w:hAnsi="Times New Roman"/>
                <w:bCs/>
                <w:color w:val="auto"/>
                <w:szCs w:val="24"/>
                <w:lang w:val="es-CO"/>
              </w:rPr>
              <w:t xml:space="preserve"> Po</w:t>
            </w:r>
            <w:r w:rsidRPr="00635A00">
              <w:rPr>
                <w:rFonts w:ascii="Times New Roman" w:hAnsi="Times New Roman"/>
                <w:bCs/>
                <w:color w:val="auto"/>
                <w:szCs w:val="24"/>
                <w:lang w:val="es-CO"/>
              </w:rPr>
              <w:t>r lo tanto, no se vulnera el principio de progresividad.</w:t>
            </w:r>
          </w:p>
          <w:p w:rsidR="00647A7F" w:rsidRPr="00635A00" w:rsidRDefault="00635A00" w:rsidP="00A376FB">
            <w:pPr>
              <w:pStyle w:val="Sombreadovistoso-nfasis31"/>
              <w:ind w:left="0"/>
              <w:jc w:val="center"/>
              <w:rPr>
                <w:rFonts w:ascii="Times New Roman" w:hAnsi="Times New Roman"/>
                <w:bCs/>
                <w:color w:val="auto"/>
                <w:szCs w:val="24"/>
                <w:lang w:val="es-CO"/>
              </w:rPr>
            </w:pPr>
          </w:p>
        </w:tc>
      </w:tr>
      <w:tr w:rsidR="00647A7F" w:rsidRPr="00635A00" w:rsidTr="00640B08">
        <w:tc>
          <w:tcPr>
            <w:tcW w:w="2563" w:type="dxa"/>
          </w:tcPr>
          <w:p w:rsidR="00647A7F"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Cámara Colombiana de la Construcción</w:t>
            </w:r>
          </w:p>
          <w:p w:rsidR="00D041A3" w:rsidRPr="00635A00" w:rsidRDefault="00635A00" w:rsidP="00065E05">
            <w:pPr>
              <w:pStyle w:val="Sombreadovistoso-nfasis31"/>
              <w:ind w:left="0"/>
              <w:jc w:val="center"/>
              <w:rPr>
                <w:rFonts w:ascii="Times New Roman" w:hAnsi="Times New Roman"/>
                <w:bCs/>
                <w:color w:val="auto"/>
                <w:szCs w:val="24"/>
                <w:lang w:val="es-CO"/>
              </w:rPr>
            </w:pPr>
          </w:p>
          <w:p w:rsidR="00D041A3" w:rsidRPr="00635A00" w:rsidRDefault="00635A00" w:rsidP="00065E05">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(inexequibilidad)</w:t>
            </w:r>
          </w:p>
          <w:p w:rsidR="00D041A3" w:rsidRPr="00635A00" w:rsidRDefault="00635A00" w:rsidP="00065E05">
            <w:pPr>
              <w:pStyle w:val="Sombreadovistoso-nfasis31"/>
              <w:ind w:left="0"/>
              <w:jc w:val="center"/>
              <w:rPr>
                <w:rFonts w:ascii="Times New Roman" w:hAnsi="Times New Roman"/>
                <w:bCs/>
                <w:color w:val="auto"/>
                <w:szCs w:val="24"/>
                <w:lang w:val="es-CO"/>
              </w:rPr>
            </w:pPr>
          </w:p>
        </w:tc>
        <w:tc>
          <w:tcPr>
            <w:tcW w:w="6491" w:type="dxa"/>
            <w:vAlign w:val="center"/>
          </w:tcPr>
          <w:p w:rsidR="00D041A3" w:rsidRPr="00635A00" w:rsidRDefault="00635A00">
            <w:pPr>
              <w:pStyle w:val="Sombreadovistoso-nfasis31"/>
              <w:numPr>
                <w:ilvl w:val="0"/>
                <w:numId w:val="16"/>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 xml:space="preserve">Durante el trámite legislativo se omitió la publicidad y debate de las disposiciones demandadas. Éstas fueron adicionadas </w:t>
            </w:r>
            <w:r w:rsidRPr="00635A00">
              <w:rPr>
                <w:rFonts w:ascii="Times New Roman" w:hAnsi="Times New Roman"/>
                <w:bCs/>
                <w:color w:val="auto"/>
                <w:szCs w:val="24"/>
                <w:lang w:val="es-CO"/>
              </w:rPr>
              <w:t xml:space="preserve">en el segundo </w:t>
            </w:r>
            <w:r w:rsidRPr="00635A00">
              <w:rPr>
                <w:rFonts w:ascii="Times New Roman" w:hAnsi="Times New Roman"/>
                <w:bCs/>
                <w:color w:val="auto"/>
                <w:szCs w:val="24"/>
                <w:lang w:val="es-CO"/>
              </w:rPr>
              <w:t>debate del proyecto, sin que guarden relación con el objeto del artículo originalmente planteado, referido a los mecanismos para facilitar y dinamizar los procesos de compra de tierras por oferta voluntaria</w:t>
            </w:r>
            <w:r w:rsidRPr="00635A00">
              <w:rPr>
                <w:rFonts w:ascii="Times New Roman" w:hAnsi="Times New Roman"/>
                <w:bCs/>
                <w:color w:val="auto"/>
                <w:szCs w:val="24"/>
                <w:lang w:val="es-CO"/>
              </w:rPr>
              <w:t>.</w:t>
            </w:r>
            <w:r w:rsidRPr="00635A00">
              <w:rPr>
                <w:rFonts w:ascii="Times New Roman" w:hAnsi="Times New Roman"/>
                <w:bCs/>
                <w:color w:val="auto"/>
                <w:szCs w:val="24"/>
                <w:lang w:val="es-CO"/>
              </w:rPr>
              <w:t xml:space="preserve"> Además, la omisión en la lectura de las proposic</w:t>
            </w:r>
            <w:r w:rsidRPr="00635A00">
              <w:rPr>
                <w:rFonts w:ascii="Times New Roman" w:hAnsi="Times New Roman"/>
                <w:bCs/>
                <w:color w:val="auto"/>
                <w:szCs w:val="24"/>
                <w:lang w:val="es-CO"/>
              </w:rPr>
              <w:t>iones adicionadas comportó una vulneración del principio de publicidad porque impidió que los parlamentarios conociesen su contenido previo a discutirlo y votarlo. Esta circunstancia fue debidamente advertida por los legisladores en el curso del trámite, p</w:t>
            </w:r>
            <w:r w:rsidRPr="00635A00">
              <w:rPr>
                <w:rFonts w:ascii="Times New Roman" w:hAnsi="Times New Roman"/>
                <w:bCs/>
                <w:color w:val="auto"/>
                <w:szCs w:val="24"/>
                <w:lang w:val="es-CO"/>
              </w:rPr>
              <w:t>ese a lo cual no se dio lectura a la proposición.</w:t>
            </w:r>
          </w:p>
          <w:p w:rsidR="001D6C32" w:rsidRPr="00635A00" w:rsidRDefault="00635A00" w:rsidP="001D6C32">
            <w:pPr>
              <w:pStyle w:val="Sombreadovistoso-nfasis31"/>
              <w:tabs>
                <w:tab w:val="left" w:pos="555"/>
              </w:tabs>
              <w:ind w:left="-12"/>
              <w:rPr>
                <w:rFonts w:ascii="Times New Roman" w:hAnsi="Times New Roman"/>
                <w:bCs/>
                <w:color w:val="auto"/>
                <w:szCs w:val="24"/>
                <w:lang w:val="es-CO"/>
              </w:rPr>
            </w:pPr>
          </w:p>
          <w:p w:rsidR="001D6C32" w:rsidRPr="00635A00" w:rsidRDefault="00635A00">
            <w:pPr>
              <w:pStyle w:val="Sombreadovistoso-nfasis31"/>
              <w:numPr>
                <w:ilvl w:val="0"/>
                <w:numId w:val="16"/>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La norma demandada vulnera lo</w:t>
            </w:r>
            <w:r w:rsidRPr="00635A00">
              <w:rPr>
                <w:rFonts w:ascii="Times New Roman" w:hAnsi="Times New Roman"/>
                <w:bCs/>
                <w:color w:val="auto"/>
                <w:szCs w:val="24"/>
                <w:lang w:val="es-CO"/>
              </w:rPr>
              <w:t>s</w:t>
            </w:r>
            <w:r w:rsidRPr="00635A00">
              <w:rPr>
                <w:rFonts w:ascii="Times New Roman" w:hAnsi="Times New Roman"/>
                <w:bCs/>
                <w:color w:val="auto"/>
                <w:szCs w:val="24"/>
                <w:lang w:val="es-CO"/>
              </w:rPr>
              <w:t xml:space="preserve"> artículos 29 y 238 de la Carta porque desconocen la suspensión provisional de actos administrativos.</w:t>
            </w:r>
            <w:r w:rsidRPr="00635A00">
              <w:rPr>
                <w:rFonts w:ascii="Times New Roman" w:hAnsi="Times New Roman"/>
                <w:bCs/>
                <w:color w:val="auto"/>
                <w:szCs w:val="24"/>
                <w:lang w:val="es-CO"/>
              </w:rPr>
              <w:t xml:space="preserve"> La forma en que el Legislador habilita a la ANT para desconocer la medida</w:t>
            </w:r>
            <w:r w:rsidRPr="00635A00">
              <w:rPr>
                <w:rFonts w:ascii="Times New Roman" w:hAnsi="Times New Roman"/>
                <w:bCs/>
                <w:color w:val="auto"/>
                <w:szCs w:val="24"/>
                <w:lang w:val="es-CO"/>
              </w:rPr>
              <w:t xml:space="preserve"> cautelar de suspensión del acto administrativo que se esté cuestionando en sede judicial contraviene lo preceptuado en tales artículos, porque hace nugatorios los efectos de la medida cautelar de suspensión provisional de actos administrativos.</w:t>
            </w:r>
          </w:p>
          <w:p w:rsidR="00642796" w:rsidRPr="00635A00" w:rsidRDefault="00635A00" w:rsidP="00642796">
            <w:pPr>
              <w:pStyle w:val="Prrafodelista"/>
              <w:rPr>
                <w:rFonts w:ascii="Times New Roman" w:hAnsi="Times New Roman"/>
                <w:bCs/>
                <w:color w:val="auto"/>
                <w:szCs w:val="24"/>
                <w:lang w:val="es-CO"/>
              </w:rPr>
            </w:pPr>
          </w:p>
          <w:p w:rsidR="00642796" w:rsidRPr="00635A00" w:rsidRDefault="00635A00">
            <w:pPr>
              <w:pStyle w:val="Sombreadovistoso-nfasis31"/>
              <w:numPr>
                <w:ilvl w:val="0"/>
                <w:numId w:val="16"/>
              </w:numPr>
              <w:tabs>
                <w:tab w:val="left" w:pos="555"/>
              </w:tabs>
              <w:ind w:left="-12" w:firstLine="0"/>
              <w:rPr>
                <w:rFonts w:ascii="Times New Roman" w:hAnsi="Times New Roman"/>
                <w:bCs/>
                <w:color w:val="auto"/>
                <w:szCs w:val="24"/>
                <w:lang w:val="es-CO"/>
              </w:rPr>
            </w:pPr>
            <w:r w:rsidRPr="00635A00">
              <w:rPr>
                <w:rFonts w:ascii="Times New Roman" w:hAnsi="Times New Roman"/>
                <w:bCs/>
                <w:color w:val="auto"/>
                <w:szCs w:val="24"/>
                <w:lang w:val="es-CO"/>
              </w:rPr>
              <w:t xml:space="preserve">La norma </w:t>
            </w:r>
            <w:r w:rsidRPr="00635A00">
              <w:rPr>
                <w:rFonts w:ascii="Times New Roman" w:hAnsi="Times New Roman"/>
                <w:bCs/>
                <w:color w:val="auto"/>
                <w:szCs w:val="24"/>
                <w:lang w:val="es-CO"/>
              </w:rPr>
              <w:t>acusada desconoce el principio de progresividad y no regresividad respecto del derecho al debido proceso por cuanto eliminan la fase judicial de los procedimientos agrarios, en desmedro de las garantías del juez natural, derecho de defensa, e independencia</w:t>
            </w:r>
            <w:r w:rsidRPr="00635A00">
              <w:rPr>
                <w:rFonts w:ascii="Times New Roman" w:hAnsi="Times New Roman"/>
                <w:bCs/>
                <w:color w:val="auto"/>
                <w:szCs w:val="24"/>
                <w:lang w:val="es-CO"/>
              </w:rPr>
              <w:t xml:space="preserve"> e imparcialidad de la autoridad que decide.</w:t>
            </w:r>
          </w:p>
          <w:p w:rsidR="00647A7F" w:rsidRPr="00635A00" w:rsidRDefault="00635A00" w:rsidP="00A376FB">
            <w:pPr>
              <w:pStyle w:val="Sombreadovistoso-nfasis31"/>
              <w:ind w:left="0"/>
              <w:jc w:val="center"/>
              <w:rPr>
                <w:rFonts w:ascii="Times New Roman" w:hAnsi="Times New Roman"/>
                <w:bCs/>
                <w:color w:val="auto"/>
                <w:szCs w:val="24"/>
                <w:lang w:val="es-CO"/>
              </w:rPr>
            </w:pPr>
          </w:p>
        </w:tc>
      </w:tr>
    </w:tbl>
    <w:p w:rsidR="001375C9" w:rsidRPr="00635A00" w:rsidRDefault="00635A00" w:rsidP="00EC1C1E">
      <w:pPr>
        <w:pStyle w:val="Sombreadovistoso-nfasis31"/>
        <w:ind w:left="0"/>
        <w:jc w:val="center"/>
        <w:rPr>
          <w:rFonts w:ascii="Times New Roman" w:hAnsi="Times New Roman" w:cs="Times New Roman"/>
          <w:bCs/>
          <w:color w:val="auto"/>
          <w:lang w:val="es-CO"/>
        </w:rPr>
      </w:pPr>
    </w:p>
    <w:p w:rsidR="00C3313F" w:rsidRPr="00635A00" w:rsidRDefault="00635A00" w:rsidP="00DC0AF4">
      <w:pPr>
        <w:pStyle w:val="Sombreadovistoso-nfasis31"/>
        <w:numPr>
          <w:ilvl w:val="0"/>
          <w:numId w:val="4"/>
        </w:numPr>
        <w:ind w:left="1134" w:hanging="567"/>
        <w:rPr>
          <w:rFonts w:ascii="Times New Roman" w:hAnsi="Times New Roman" w:cs="Times New Roman"/>
          <w:b/>
          <w:color w:val="auto"/>
          <w:lang w:val="es-CO"/>
        </w:rPr>
      </w:pPr>
      <w:r w:rsidRPr="00635A00">
        <w:rPr>
          <w:rFonts w:ascii="Times New Roman" w:hAnsi="Times New Roman" w:cs="Times New Roman"/>
          <w:b/>
          <w:color w:val="auto"/>
          <w:lang w:val="es-CO"/>
        </w:rPr>
        <w:t>Concepto de la procuradora general de la Nación</w:t>
      </w:r>
    </w:p>
    <w:p w:rsidR="00C3313F" w:rsidRPr="00635A00" w:rsidRDefault="00635A00" w:rsidP="0024402C">
      <w:pPr>
        <w:pStyle w:val="Sombreadovistoso-nfasis31"/>
        <w:ind w:left="0"/>
        <w:rPr>
          <w:rFonts w:ascii="Times New Roman" w:hAnsi="Times New Roman" w:cs="Times New Roman"/>
          <w:b/>
          <w:color w:val="auto"/>
        </w:rPr>
      </w:pPr>
    </w:p>
    <w:p w:rsidR="00DC0AF4" w:rsidRPr="00635A00" w:rsidRDefault="00635A00" w:rsidP="00643D7C">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primer lugar, la </w:t>
      </w:r>
      <w:r w:rsidRPr="00635A00">
        <w:rPr>
          <w:rFonts w:ascii="Times New Roman" w:hAnsi="Times New Roman" w:cs="Times New Roman"/>
          <w:color w:val="auto"/>
        </w:rPr>
        <w:t>procuradora general de la Nación</w:t>
      </w:r>
      <w:r w:rsidRPr="00635A00">
        <w:rPr>
          <w:rFonts w:ascii="Times New Roman" w:hAnsi="Times New Roman" w:cs="Times New Roman"/>
          <w:color w:val="auto"/>
        </w:rPr>
        <w:t xml:space="preserve"> puso de presente que en esta Corporación cursan demandas similares en contra de los apartes demandados</w:t>
      </w:r>
      <w:r w:rsidRPr="00635A00">
        <w:rPr>
          <w:rStyle w:val="Refdenotaalpie"/>
          <w:rFonts w:ascii="Times New Roman" w:hAnsi="Times New Roman" w:cs="Times New Roman"/>
          <w:color w:val="auto"/>
        </w:rPr>
        <w:footnoteReference w:id="23"/>
      </w:r>
      <w:r w:rsidRPr="00635A00">
        <w:rPr>
          <w:rFonts w:ascii="Times New Roman" w:hAnsi="Times New Roman" w:cs="Times New Roman"/>
          <w:color w:val="auto"/>
        </w:rPr>
        <w:t xml:space="preserve">, por lo que en su momento la Sala deberá examinar si se configura o no la cosa juzgada dentro del presente asunto. </w:t>
      </w:r>
      <w:r w:rsidRPr="00635A00">
        <w:rPr>
          <w:rFonts w:ascii="Times New Roman" w:hAnsi="Times New Roman" w:cs="Times New Roman"/>
          <w:color w:val="auto"/>
        </w:rPr>
        <w:t>A continuación, la procuradora general de la Nación presentó las razones que la llevaron a solicitar la inexequibilidad de las normas cuesti</w:t>
      </w:r>
      <w:r w:rsidRPr="00635A00">
        <w:rPr>
          <w:rFonts w:ascii="Times New Roman" w:hAnsi="Times New Roman" w:cs="Times New Roman"/>
          <w:color w:val="auto"/>
        </w:rPr>
        <w:t>onadas, y que se reseñan enseguida.</w:t>
      </w:r>
    </w:p>
    <w:p w:rsidR="008076DF" w:rsidRPr="00635A00" w:rsidRDefault="00635A00" w:rsidP="008076DF">
      <w:pPr>
        <w:pStyle w:val="Sombreadovistoso-nfasis31"/>
        <w:ind w:left="0"/>
        <w:rPr>
          <w:rFonts w:ascii="Times New Roman" w:hAnsi="Times New Roman" w:cs="Times New Roman"/>
          <w:color w:val="auto"/>
        </w:rPr>
      </w:pPr>
    </w:p>
    <w:p w:rsidR="00215D10" w:rsidRPr="00635A00" w:rsidRDefault="00635A00" w:rsidP="00643D7C">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Primero, </w:t>
      </w:r>
      <w:r w:rsidRPr="00635A00">
        <w:rPr>
          <w:rFonts w:ascii="Times New Roman" w:hAnsi="Times New Roman" w:cs="Times New Roman"/>
          <w:color w:val="auto"/>
        </w:rPr>
        <w:t xml:space="preserve">durante el trámite legislativo del numeral 6 y del parágrafo 3° del artículo 61 de la Ley 2294 </w:t>
      </w:r>
      <w:r w:rsidRPr="00635A00">
        <w:rPr>
          <w:rFonts w:ascii="Times New Roman" w:hAnsi="Times New Roman" w:cs="Times New Roman"/>
          <w:color w:val="auto"/>
        </w:rPr>
        <w:t xml:space="preserve">en la plenaria del Senado </w:t>
      </w:r>
      <w:r w:rsidRPr="00635A00">
        <w:rPr>
          <w:rFonts w:ascii="Times New Roman" w:hAnsi="Times New Roman" w:cs="Times New Roman"/>
          <w:color w:val="auto"/>
        </w:rPr>
        <w:t xml:space="preserve">se desconoció el principio de publicidad porque se incorporaron mediante proposiciones </w:t>
      </w:r>
      <w:r w:rsidRPr="00635A00">
        <w:rPr>
          <w:rFonts w:ascii="Times New Roman" w:hAnsi="Times New Roman" w:cs="Times New Roman"/>
          <w:color w:val="auto"/>
        </w:rPr>
        <w:t>ra</w:t>
      </w:r>
      <w:r w:rsidRPr="00635A00">
        <w:rPr>
          <w:rFonts w:ascii="Times New Roman" w:hAnsi="Times New Roman" w:cs="Times New Roman"/>
          <w:color w:val="auto"/>
        </w:rPr>
        <w:t>dicadas después de la publicación del informe de ponencia para segundo debate, por lo que los senadores no tuvieron la oportunidad de conocer su contenido a través del medio ordinario de comunicación previsto para tales propósitos. Además, la mesa directiv</w:t>
      </w:r>
      <w:r w:rsidRPr="00635A00">
        <w:rPr>
          <w:rFonts w:ascii="Times New Roman" w:hAnsi="Times New Roman" w:cs="Times New Roman"/>
          <w:color w:val="auto"/>
        </w:rPr>
        <w:t>a omitió dar lectura de los mencionados apartes normativos, pese a que varios de los senadores solicitaron se publicitara su contenido.</w:t>
      </w:r>
    </w:p>
    <w:p w:rsidR="00215D10" w:rsidRPr="00635A00" w:rsidRDefault="00635A00" w:rsidP="00215D10">
      <w:pPr>
        <w:pStyle w:val="Prrafodelista"/>
        <w:rPr>
          <w:rFonts w:ascii="Times New Roman" w:hAnsi="Times New Roman" w:cs="Times New Roman"/>
          <w:color w:val="auto"/>
        </w:rPr>
      </w:pPr>
    </w:p>
    <w:p w:rsidR="00215D10" w:rsidRPr="00635A00" w:rsidRDefault="00635A00" w:rsidP="00643D7C">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Segundo, las normas demandadas vulneran los principios de consecutividad e identidad flexible porque </w:t>
      </w:r>
      <w:r w:rsidRPr="00635A00">
        <w:rPr>
          <w:rFonts w:ascii="Times New Roman" w:hAnsi="Times New Roman" w:cs="Times New Roman"/>
          <w:color w:val="auto"/>
        </w:rPr>
        <w:t xml:space="preserve">fueron introducidas durante los segundos debates ante las plenarias de las cámaras, </w:t>
      </w:r>
      <w:r w:rsidRPr="00635A00">
        <w:rPr>
          <w:rFonts w:ascii="Times New Roman" w:hAnsi="Times New Roman" w:cs="Times New Roman"/>
          <w:color w:val="auto"/>
        </w:rPr>
        <w:t>sin que guardaran relación con el contenido del proyecto de ley</w:t>
      </w:r>
      <w:r w:rsidRPr="00635A00">
        <w:rPr>
          <w:rFonts w:ascii="Times New Roman" w:hAnsi="Times New Roman" w:cs="Times New Roman"/>
          <w:color w:val="auto"/>
        </w:rPr>
        <w:t xml:space="preserve">. Al respecto, la procuradora general de la Nación puso de presente que dentro del trámite legislativo no se </w:t>
      </w:r>
      <w:r w:rsidRPr="00635A00">
        <w:rPr>
          <w:rFonts w:ascii="Times New Roman" w:hAnsi="Times New Roman" w:cs="Times New Roman"/>
          <w:color w:val="auto"/>
        </w:rPr>
        <w:t>observa ninguna justificación para la supresión de la fase judicial de los procedimientos regulados por el Decreto Ley 902 de 2017.</w:t>
      </w:r>
    </w:p>
    <w:p w:rsidR="00215D10" w:rsidRPr="00635A00" w:rsidRDefault="00635A00" w:rsidP="00215D10">
      <w:pPr>
        <w:pStyle w:val="Prrafodelista"/>
        <w:rPr>
          <w:rFonts w:ascii="Times New Roman" w:hAnsi="Times New Roman" w:cs="Times New Roman"/>
          <w:color w:val="auto"/>
        </w:rPr>
      </w:pPr>
    </w:p>
    <w:p w:rsidR="008076DF" w:rsidRPr="00635A00" w:rsidRDefault="00635A00" w:rsidP="00643D7C">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Tercero, la desjudicialización de los procedimientos agrarios es una medida regresiva frente al derecho al debido proceso </w:t>
      </w:r>
      <w:r w:rsidRPr="00635A00">
        <w:rPr>
          <w:rFonts w:ascii="Times New Roman" w:hAnsi="Times New Roman" w:cs="Times New Roman"/>
          <w:color w:val="auto"/>
        </w:rPr>
        <w:t>porque, aunque éste se predica de toda actuación administrativa o judicial, “en el primer escenario ocurre bajo estándares más flexibles”</w:t>
      </w:r>
      <w:r w:rsidRPr="00635A00">
        <w:rPr>
          <w:rStyle w:val="Refdenotaalpie"/>
          <w:rFonts w:ascii="Times New Roman" w:hAnsi="Times New Roman" w:cs="Times New Roman"/>
          <w:color w:val="auto"/>
        </w:rPr>
        <w:footnoteReference w:id="24"/>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De suerte que, si el ordenamiento consagra una garantía de control judicial de las decisiones administrativas, su el</w:t>
      </w:r>
      <w:r w:rsidRPr="00635A00">
        <w:rPr>
          <w:rFonts w:ascii="Times New Roman" w:hAnsi="Times New Roman" w:cs="Times New Roman"/>
          <w:color w:val="auto"/>
        </w:rPr>
        <w:t xml:space="preserve">iminación comporta un retroceso que afecta el núcleo esencial del derecho al debido proceso en cuanto a la independencia e imparcialidad de la autoridad que decide la cuestión. </w:t>
      </w:r>
      <w:r w:rsidRPr="00635A00">
        <w:rPr>
          <w:rFonts w:ascii="Times New Roman" w:hAnsi="Times New Roman" w:cs="Times New Roman"/>
          <w:color w:val="auto"/>
        </w:rPr>
        <w:t>Adicionalmente, esta medida no es idónea para mejorar la eficiencia y celeridad</w:t>
      </w:r>
      <w:r w:rsidRPr="00635A00">
        <w:rPr>
          <w:rFonts w:ascii="Times New Roman" w:hAnsi="Times New Roman" w:cs="Times New Roman"/>
          <w:color w:val="auto"/>
        </w:rPr>
        <w:t xml:space="preserve"> de los procedimientos agrarios, ni se corresponde con los esfuerzos del Gobierno nacional por consolidar la Jurisdicción Ordinaria Agraria.</w:t>
      </w:r>
    </w:p>
    <w:p w:rsidR="000D4684" w:rsidRPr="00635A00" w:rsidRDefault="00635A00" w:rsidP="000D4684">
      <w:pPr>
        <w:pStyle w:val="Prrafodelista"/>
        <w:rPr>
          <w:rFonts w:ascii="Times New Roman" w:hAnsi="Times New Roman" w:cs="Times New Roman"/>
          <w:color w:val="auto"/>
        </w:rPr>
      </w:pPr>
    </w:p>
    <w:p w:rsidR="000D4684" w:rsidRPr="00635A00" w:rsidRDefault="00635A00" w:rsidP="00643D7C">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Cuarto, los preceptos demandados desconocen la potestad que el artículo 238 de la Carta otorga a la jurisdicción d</w:t>
      </w:r>
      <w:r w:rsidRPr="00635A00">
        <w:rPr>
          <w:rFonts w:ascii="Times New Roman" w:hAnsi="Times New Roman" w:cs="Times New Roman"/>
          <w:color w:val="auto"/>
        </w:rPr>
        <w:t xml:space="preserve">e lo contencioso administrativo para suspender provisionalmente los actos de las entidades públicas, incluyendo aquéllos proferidos por la ANT en los procesos agrarios especiales. En criterio </w:t>
      </w:r>
      <w:r w:rsidRPr="00635A00">
        <w:rPr>
          <w:rFonts w:ascii="Times New Roman" w:hAnsi="Times New Roman" w:cs="Times New Roman"/>
          <w:color w:val="auto"/>
        </w:rPr>
        <w:t>de la procuradora general</w:t>
      </w:r>
      <w:r w:rsidRPr="00635A00">
        <w:rPr>
          <w:rFonts w:ascii="Times New Roman" w:hAnsi="Times New Roman" w:cs="Times New Roman"/>
          <w:color w:val="auto"/>
        </w:rPr>
        <w:t>, las normas acusadas establecen que di</w:t>
      </w:r>
      <w:r w:rsidRPr="00635A00">
        <w:rPr>
          <w:rFonts w:ascii="Times New Roman" w:hAnsi="Times New Roman" w:cs="Times New Roman"/>
          <w:color w:val="auto"/>
        </w:rPr>
        <w:t>cha suspensión no aplica para tales actos en lo que concierne al dominio y la tenencia de predios, porque le permite a la ANT disponer de los inmuebles a pesar de la suspensión provisional de sus actos administ</w:t>
      </w:r>
      <w:r w:rsidRPr="00635A00">
        <w:rPr>
          <w:rFonts w:ascii="Times New Roman" w:hAnsi="Times New Roman" w:cs="Times New Roman"/>
          <w:color w:val="auto"/>
        </w:rPr>
        <w:t>r</w:t>
      </w:r>
      <w:r w:rsidRPr="00635A00">
        <w:rPr>
          <w:rFonts w:ascii="Times New Roman" w:hAnsi="Times New Roman" w:cs="Times New Roman"/>
          <w:color w:val="auto"/>
        </w:rPr>
        <w:t>ativos.</w:t>
      </w:r>
    </w:p>
    <w:p w:rsidR="000D4684" w:rsidRPr="00635A00" w:rsidRDefault="00635A00" w:rsidP="00433D93">
      <w:pPr>
        <w:pStyle w:val="Sombreadovistoso-nfasis31"/>
        <w:ind w:left="0"/>
        <w:rPr>
          <w:rFonts w:ascii="Times New Roman" w:hAnsi="Times New Roman" w:cs="Times New Roman"/>
          <w:color w:val="auto"/>
        </w:rPr>
      </w:pPr>
    </w:p>
    <w:p w:rsidR="004331A5" w:rsidRPr="00635A00" w:rsidRDefault="00635A00" w:rsidP="00DC0AF4">
      <w:pPr>
        <w:rPr>
          <w:rFonts w:ascii="Times New Roman" w:hAnsi="Times New Roman" w:cs="Times New Roman"/>
          <w:sz w:val="28"/>
        </w:rPr>
      </w:pPr>
    </w:p>
    <w:p w:rsidR="00DC0AF4" w:rsidRPr="00635A00" w:rsidRDefault="00635A00" w:rsidP="00DC0AF4">
      <w:pPr>
        <w:pStyle w:val="Sombreadovistoso-nfasis31"/>
        <w:numPr>
          <w:ilvl w:val="0"/>
          <w:numId w:val="2"/>
        </w:numPr>
        <w:tabs>
          <w:tab w:val="left" w:pos="567"/>
        </w:tabs>
        <w:ind w:left="0" w:firstLine="0"/>
        <w:rPr>
          <w:rFonts w:ascii="Times New Roman" w:hAnsi="Times New Roman" w:cs="Times New Roman"/>
          <w:b/>
          <w:bCs/>
          <w:color w:val="auto"/>
        </w:rPr>
      </w:pPr>
      <w:bookmarkStart w:id="9" w:name="_Ref171148163"/>
      <w:r w:rsidRPr="00635A00">
        <w:rPr>
          <w:rFonts w:ascii="Times New Roman" w:hAnsi="Times New Roman" w:cs="Times New Roman"/>
          <w:b/>
          <w:bCs/>
          <w:color w:val="auto"/>
        </w:rPr>
        <w:t>CONSIDERACIONES</w:t>
      </w:r>
      <w:bookmarkEnd w:id="9"/>
    </w:p>
    <w:p w:rsidR="00DC0AF4" w:rsidRPr="00635A00" w:rsidRDefault="00635A00" w:rsidP="00DC0AF4">
      <w:pPr>
        <w:rPr>
          <w:rFonts w:ascii="Times New Roman" w:hAnsi="Times New Roman" w:cs="Times New Roman"/>
          <w:sz w:val="28"/>
        </w:rPr>
      </w:pPr>
    </w:p>
    <w:p w:rsidR="00DC0AF4" w:rsidRPr="00635A00" w:rsidRDefault="00635A00">
      <w:pPr>
        <w:pStyle w:val="Prrafodelista"/>
        <w:widowControl/>
        <w:numPr>
          <w:ilvl w:val="0"/>
          <w:numId w:val="17"/>
        </w:numPr>
        <w:tabs>
          <w:tab w:val="left" w:pos="1134"/>
        </w:tabs>
        <w:ind w:hanging="153"/>
        <w:contextualSpacing/>
        <w:rPr>
          <w:rFonts w:ascii="Times New Roman" w:hAnsi="Times New Roman" w:cs="Times New Roman"/>
          <w:b/>
          <w:bCs/>
          <w:color w:val="auto"/>
        </w:rPr>
      </w:pPr>
      <w:r w:rsidRPr="00635A00">
        <w:rPr>
          <w:rFonts w:ascii="Times New Roman" w:hAnsi="Times New Roman" w:cs="Times New Roman"/>
          <w:b/>
          <w:bCs/>
          <w:color w:val="auto"/>
        </w:rPr>
        <w:t>Competencia</w:t>
      </w:r>
    </w:p>
    <w:p w:rsidR="00DC0AF4" w:rsidRPr="00635A00" w:rsidRDefault="00635A00" w:rsidP="00DC0AF4">
      <w:pPr>
        <w:pStyle w:val="Prrafodelista"/>
        <w:tabs>
          <w:tab w:val="left" w:pos="1134"/>
        </w:tabs>
        <w:ind w:left="1134"/>
        <w:rPr>
          <w:rFonts w:ascii="Times New Roman" w:hAnsi="Times New Roman" w:cs="Times New Roman"/>
          <w:b/>
          <w:bCs/>
          <w:color w:val="auto"/>
        </w:rPr>
      </w:pPr>
    </w:p>
    <w:p w:rsidR="00DC0AF4" w:rsidRPr="00635A00" w:rsidRDefault="00635A00" w:rsidP="00CE4144">
      <w:pPr>
        <w:pStyle w:val="Sombreadovistoso-nfasis31"/>
        <w:numPr>
          <w:ilvl w:val="0"/>
          <w:numId w:val="3"/>
        </w:numPr>
        <w:rPr>
          <w:rFonts w:ascii="Times New Roman" w:hAnsi="Times New Roman" w:cs="Times New Roman"/>
          <w:color w:val="auto"/>
          <w:lang w:eastAsia="es-CO"/>
        </w:rPr>
      </w:pPr>
      <w:r w:rsidRPr="00635A00">
        <w:rPr>
          <w:rFonts w:ascii="Times New Roman" w:hAnsi="Times New Roman" w:cs="Times New Roman"/>
          <w:color w:val="auto"/>
          <w:shd w:val="clear" w:color="auto" w:fill="FFFFFF"/>
        </w:rPr>
        <w:t xml:space="preserve">De </w:t>
      </w:r>
      <w:r w:rsidRPr="00635A00">
        <w:rPr>
          <w:rFonts w:ascii="Times New Roman" w:hAnsi="Times New Roman" w:cs="Times New Roman"/>
          <w:color w:val="auto"/>
          <w:shd w:val="clear" w:color="auto" w:fill="FFFFFF"/>
        </w:rPr>
        <w:t>conformidad con lo dispuesto en el artículo 241.4 de la Constitución Política, la Corte es competente para conocer y decidir definitivamente sobre la</w:t>
      </w:r>
      <w:r w:rsidRPr="00635A00">
        <w:rPr>
          <w:rFonts w:ascii="Times New Roman" w:hAnsi="Times New Roman" w:cs="Times New Roman"/>
          <w:color w:val="auto"/>
          <w:shd w:val="clear" w:color="auto" w:fill="FFFFFF"/>
        </w:rPr>
        <w:t>s</w:t>
      </w:r>
      <w:r w:rsidRPr="00635A00">
        <w:rPr>
          <w:rFonts w:ascii="Times New Roman" w:hAnsi="Times New Roman" w:cs="Times New Roman"/>
          <w:color w:val="auto"/>
          <w:shd w:val="clear" w:color="auto" w:fill="FFFFFF"/>
        </w:rPr>
        <w:t xml:space="preserve"> demanda</w:t>
      </w:r>
      <w:r w:rsidRPr="00635A00">
        <w:rPr>
          <w:rFonts w:ascii="Times New Roman" w:hAnsi="Times New Roman" w:cs="Times New Roman"/>
          <w:color w:val="auto"/>
          <w:shd w:val="clear" w:color="auto" w:fill="FFFFFF"/>
        </w:rPr>
        <w:t>s</w:t>
      </w:r>
      <w:r w:rsidRPr="00635A00">
        <w:rPr>
          <w:rFonts w:ascii="Times New Roman" w:hAnsi="Times New Roman" w:cs="Times New Roman"/>
          <w:color w:val="auto"/>
          <w:shd w:val="clear" w:color="auto" w:fill="FFFFFF"/>
        </w:rPr>
        <w:t xml:space="preserve"> de inconstitucionalidad</w:t>
      </w:r>
      <w:r w:rsidRPr="00635A00">
        <w:rPr>
          <w:rFonts w:ascii="Times New Roman" w:hAnsi="Times New Roman" w:cs="Times New Roman"/>
          <w:color w:val="auto"/>
          <w:shd w:val="clear" w:color="auto" w:fill="FFFFFF"/>
        </w:rPr>
        <w:t xml:space="preserve"> presentadas dentro de las actuaciones de la referencia</w:t>
      </w:r>
      <w:r w:rsidRPr="00635A00">
        <w:rPr>
          <w:rFonts w:ascii="Times New Roman" w:hAnsi="Times New Roman" w:cs="Times New Roman"/>
          <w:color w:val="auto"/>
          <w:shd w:val="clear" w:color="auto" w:fill="FFFFFF"/>
        </w:rPr>
        <w:t xml:space="preserve">, dado que </w:t>
      </w:r>
      <w:r w:rsidRPr="00635A00">
        <w:rPr>
          <w:rFonts w:ascii="Times New Roman" w:hAnsi="Times New Roman" w:cs="Times New Roman"/>
          <w:color w:val="auto"/>
          <w:shd w:val="clear" w:color="auto" w:fill="FFFFFF"/>
        </w:rPr>
        <w:t>en ella</w:t>
      </w:r>
      <w:r w:rsidRPr="00635A00">
        <w:rPr>
          <w:rFonts w:ascii="Times New Roman" w:hAnsi="Times New Roman" w:cs="Times New Roman"/>
          <w:color w:val="auto"/>
          <w:shd w:val="clear" w:color="auto" w:fill="FFFFFF"/>
        </w:rPr>
        <w:t>s</w:t>
      </w:r>
      <w:r w:rsidRPr="00635A00">
        <w:rPr>
          <w:rFonts w:ascii="Times New Roman" w:hAnsi="Times New Roman" w:cs="Times New Roman"/>
          <w:color w:val="auto"/>
          <w:shd w:val="clear" w:color="auto" w:fill="FFFFFF"/>
        </w:rPr>
        <w:t xml:space="preserve"> se cuestionan normas </w:t>
      </w:r>
      <w:r w:rsidRPr="00635A00">
        <w:rPr>
          <w:rFonts w:ascii="Times New Roman" w:hAnsi="Times New Roman" w:cs="Times New Roman"/>
          <w:color w:val="auto"/>
          <w:shd w:val="clear" w:color="auto" w:fill="FFFFFF"/>
        </w:rPr>
        <w:t>contenida</w:t>
      </w:r>
      <w:r w:rsidRPr="00635A00">
        <w:rPr>
          <w:rFonts w:ascii="Times New Roman" w:hAnsi="Times New Roman" w:cs="Times New Roman"/>
          <w:color w:val="auto"/>
          <w:shd w:val="clear" w:color="auto" w:fill="FFFFFF"/>
        </w:rPr>
        <w:t>s</w:t>
      </w:r>
      <w:r w:rsidRPr="00635A00">
        <w:rPr>
          <w:rFonts w:ascii="Times New Roman" w:hAnsi="Times New Roman" w:cs="Times New Roman"/>
          <w:color w:val="auto"/>
          <w:shd w:val="clear" w:color="auto" w:fill="FFFFFF"/>
        </w:rPr>
        <w:t xml:space="preserve"> en una ley de la República</w:t>
      </w:r>
      <w:r w:rsidRPr="00635A00">
        <w:rPr>
          <w:rFonts w:ascii="Times New Roman" w:hAnsi="Times New Roman" w:cs="Times New Roman"/>
          <w:bCs/>
          <w:color w:val="auto"/>
          <w:lang w:eastAsia="es-CO"/>
        </w:rPr>
        <w:t>.</w:t>
      </w:r>
    </w:p>
    <w:p w:rsidR="00CE4144" w:rsidRPr="00635A00" w:rsidRDefault="00635A00" w:rsidP="00CE4144">
      <w:pPr>
        <w:pStyle w:val="Sombreadovistoso-nfasis31"/>
        <w:ind w:left="0"/>
        <w:rPr>
          <w:rFonts w:ascii="Times New Roman" w:hAnsi="Times New Roman" w:cs="Times New Roman"/>
          <w:bCs/>
          <w:color w:val="auto"/>
          <w:lang w:eastAsia="es-CO"/>
        </w:rPr>
      </w:pPr>
    </w:p>
    <w:p w:rsidR="001C0972" w:rsidRPr="00635A00" w:rsidRDefault="00635A00" w:rsidP="001C0972">
      <w:pPr>
        <w:pStyle w:val="Prrafodelista"/>
        <w:widowControl/>
        <w:numPr>
          <w:ilvl w:val="0"/>
          <w:numId w:val="17"/>
        </w:numPr>
        <w:tabs>
          <w:tab w:val="left" w:pos="1134"/>
        </w:tabs>
        <w:ind w:left="1134" w:hanging="567"/>
        <w:contextualSpacing/>
        <w:rPr>
          <w:rFonts w:ascii="Times New Roman" w:hAnsi="Times New Roman" w:cs="Times New Roman"/>
          <w:color w:val="auto"/>
          <w:lang w:eastAsia="es-CO"/>
        </w:rPr>
      </w:pPr>
      <w:r w:rsidRPr="00635A00">
        <w:rPr>
          <w:rFonts w:ascii="Times New Roman" w:hAnsi="Times New Roman" w:cs="Times New Roman"/>
          <w:b/>
          <w:bCs/>
          <w:color w:val="auto"/>
        </w:rPr>
        <w:t>Primera</w:t>
      </w:r>
      <w:r w:rsidRPr="00635A00">
        <w:rPr>
          <w:rFonts w:ascii="Times New Roman" w:hAnsi="Times New Roman" w:cs="Times New Roman"/>
          <w:b/>
          <w:bCs/>
          <w:color w:val="auto"/>
        </w:rPr>
        <w:t xml:space="preserve"> cuestión previa – </w:t>
      </w:r>
      <w:r w:rsidRPr="00635A00">
        <w:rPr>
          <w:rFonts w:ascii="Times New Roman" w:hAnsi="Times New Roman" w:cs="Times New Roman"/>
          <w:b/>
          <w:bCs/>
          <w:color w:val="auto"/>
        </w:rPr>
        <w:t>inexistencia de cosa juzgada constitucional</w:t>
      </w:r>
      <w:r w:rsidRPr="00635A00">
        <w:rPr>
          <w:rFonts w:ascii="Times New Roman" w:hAnsi="Times New Roman" w:cs="Times New Roman"/>
          <w:bCs/>
          <w:color w:val="auto"/>
          <w:lang w:eastAsia="es-CO"/>
        </w:rPr>
        <w:t>.</w:t>
      </w:r>
    </w:p>
    <w:p w:rsidR="00FA588F" w:rsidRPr="00635A00" w:rsidRDefault="00635A00" w:rsidP="00FA588F">
      <w:pPr>
        <w:pStyle w:val="Prrafodelista"/>
        <w:widowControl/>
        <w:tabs>
          <w:tab w:val="left" w:pos="1134"/>
        </w:tabs>
        <w:ind w:left="1134"/>
        <w:contextualSpacing/>
        <w:rPr>
          <w:rFonts w:ascii="Times New Roman" w:hAnsi="Times New Roman" w:cs="Times New Roman"/>
          <w:color w:val="auto"/>
          <w:lang w:eastAsia="es-CO"/>
        </w:rPr>
      </w:pPr>
    </w:p>
    <w:p w:rsidR="00552C74" w:rsidRPr="00635A00" w:rsidRDefault="00635A00" w:rsidP="001C0972">
      <w:pPr>
        <w:pStyle w:val="Sombreadovistoso-nfasis31"/>
        <w:numPr>
          <w:ilvl w:val="0"/>
          <w:numId w:val="3"/>
        </w:numPr>
        <w:rPr>
          <w:rFonts w:ascii="Times New Roman" w:hAnsi="Times New Roman" w:cs="Times New Roman"/>
          <w:color w:val="auto"/>
          <w:lang w:eastAsia="es-CO"/>
        </w:rPr>
      </w:pPr>
      <w:r w:rsidRPr="00635A00">
        <w:rPr>
          <w:rFonts w:ascii="Times New Roman" w:hAnsi="Times New Roman" w:cs="Times New Roman"/>
          <w:color w:val="auto"/>
          <w:shd w:val="clear" w:color="auto" w:fill="FFFFFF"/>
        </w:rPr>
        <w:t xml:space="preserve">En atención </w:t>
      </w:r>
      <w:r w:rsidRPr="00635A00">
        <w:rPr>
          <w:rFonts w:ascii="Times New Roman" w:hAnsi="Times New Roman" w:cs="Times New Roman"/>
          <w:color w:val="auto"/>
          <w:shd w:val="clear" w:color="auto" w:fill="FFFFFF"/>
        </w:rPr>
        <w:t>a lo planteado por</w:t>
      </w:r>
      <w:r w:rsidRPr="00635A00">
        <w:rPr>
          <w:rFonts w:ascii="Times New Roman" w:hAnsi="Times New Roman" w:cs="Times New Roman"/>
          <w:color w:val="auto"/>
          <w:shd w:val="clear" w:color="auto" w:fill="FFFFFF"/>
        </w:rPr>
        <w:t xml:space="preserve"> la Procuraduría General de la</w:t>
      </w:r>
      <w:r w:rsidRPr="00635A00">
        <w:rPr>
          <w:rFonts w:ascii="Times New Roman" w:hAnsi="Times New Roman" w:cs="Times New Roman"/>
          <w:color w:val="auto"/>
          <w:shd w:val="clear" w:color="auto" w:fill="FFFFFF"/>
        </w:rPr>
        <w:t xml:space="preserve"> Nación sobre la posible configuración de la cosa juzgada</w:t>
      </w:r>
      <w:r w:rsidRPr="00635A00">
        <w:rPr>
          <w:rFonts w:ascii="Times New Roman" w:hAnsi="Times New Roman" w:cs="Times New Roman"/>
          <w:color w:val="auto"/>
          <w:shd w:val="clear" w:color="auto" w:fill="FFFFFF"/>
        </w:rPr>
        <w:t>, la</w:t>
      </w:r>
      <w:r w:rsidRPr="00635A00">
        <w:rPr>
          <w:rFonts w:ascii="Times New Roman" w:hAnsi="Times New Roman" w:cs="Times New Roman"/>
          <w:color w:val="auto"/>
          <w:shd w:val="clear" w:color="auto" w:fill="FFFFFF"/>
        </w:rPr>
        <w:t xml:space="preserve"> Sala verificará en primer lugar si</w:t>
      </w:r>
      <w:r w:rsidRPr="00635A00">
        <w:rPr>
          <w:rFonts w:ascii="Times New Roman" w:hAnsi="Times New Roman" w:cs="Times New Roman"/>
          <w:color w:val="auto"/>
          <w:shd w:val="clear" w:color="auto" w:fill="FFFFFF"/>
        </w:rPr>
        <w:t xml:space="preserve"> existen pronunciamientos previos por parte de esta Corporación respecto de los preceptos normativos </w:t>
      </w:r>
      <w:r w:rsidRPr="00635A00">
        <w:rPr>
          <w:rFonts w:ascii="Times New Roman" w:hAnsi="Times New Roman" w:cs="Times New Roman"/>
          <w:color w:val="auto"/>
          <w:shd w:val="clear" w:color="auto" w:fill="FFFFFF"/>
        </w:rPr>
        <w:t>cuestionados</w:t>
      </w:r>
      <w:r w:rsidRPr="00635A00">
        <w:rPr>
          <w:rFonts w:ascii="Times New Roman" w:hAnsi="Times New Roman" w:cs="Times New Roman"/>
          <w:color w:val="auto"/>
          <w:shd w:val="clear" w:color="auto" w:fill="FFFFFF"/>
        </w:rPr>
        <w:t xml:space="preserve"> en el presente trámite, en los que se haya decidido sobre su constitucionalidad a partir de los mismos </w:t>
      </w:r>
      <w:r w:rsidRPr="00635A00">
        <w:rPr>
          <w:rFonts w:ascii="Times New Roman" w:hAnsi="Times New Roman" w:cs="Times New Roman"/>
          <w:color w:val="auto"/>
          <w:shd w:val="clear" w:color="auto" w:fill="FFFFFF"/>
        </w:rPr>
        <w:t>carg</w:t>
      </w:r>
      <w:r w:rsidRPr="00635A00">
        <w:rPr>
          <w:rFonts w:ascii="Times New Roman" w:hAnsi="Times New Roman" w:cs="Times New Roman"/>
          <w:color w:val="auto"/>
          <w:shd w:val="clear" w:color="auto" w:fill="FFFFFF"/>
        </w:rPr>
        <w:t>os</w:t>
      </w:r>
      <w:r w:rsidRPr="00635A00">
        <w:rPr>
          <w:rFonts w:ascii="Times New Roman" w:hAnsi="Times New Roman" w:cs="Times New Roman"/>
          <w:color w:val="auto"/>
          <w:shd w:val="clear" w:color="auto" w:fill="FFFFFF"/>
        </w:rPr>
        <w:t xml:space="preserve"> formulados por los aquí demandantes</w:t>
      </w:r>
      <w:r w:rsidRPr="00635A00">
        <w:rPr>
          <w:rStyle w:val="Refdenotaalpie"/>
          <w:rFonts w:ascii="Times New Roman" w:hAnsi="Times New Roman" w:cs="Times New Roman"/>
          <w:color w:val="auto"/>
          <w:shd w:val="clear" w:color="auto" w:fill="FFFFFF"/>
        </w:rPr>
        <w:footnoteReference w:id="25"/>
      </w:r>
      <w:r w:rsidRPr="00635A00">
        <w:rPr>
          <w:rFonts w:ascii="Times New Roman" w:hAnsi="Times New Roman" w:cs="Times New Roman"/>
          <w:color w:val="auto"/>
          <w:shd w:val="clear" w:color="auto" w:fill="FFFFFF"/>
        </w:rPr>
        <w:t>.</w:t>
      </w:r>
    </w:p>
    <w:p w:rsidR="00552C74" w:rsidRPr="00635A00" w:rsidRDefault="00635A00" w:rsidP="00552C74">
      <w:pPr>
        <w:pStyle w:val="Sombreadovistoso-nfasis31"/>
        <w:ind w:left="0"/>
        <w:rPr>
          <w:rFonts w:ascii="Times New Roman" w:hAnsi="Times New Roman" w:cs="Times New Roman"/>
          <w:color w:val="auto"/>
          <w:shd w:val="clear" w:color="auto" w:fill="FFFFFF"/>
        </w:rPr>
      </w:pPr>
    </w:p>
    <w:p w:rsidR="001C0972" w:rsidRPr="00635A00" w:rsidRDefault="00635A00" w:rsidP="001C0972">
      <w:pPr>
        <w:pStyle w:val="Sombreadovistoso-nfasis31"/>
        <w:numPr>
          <w:ilvl w:val="0"/>
          <w:numId w:val="3"/>
        </w:numPr>
        <w:rPr>
          <w:rFonts w:ascii="Times New Roman" w:hAnsi="Times New Roman" w:cs="Times New Roman"/>
          <w:color w:val="auto"/>
          <w:lang w:eastAsia="es-CO"/>
        </w:rPr>
      </w:pPr>
      <w:r w:rsidRPr="00635A00">
        <w:rPr>
          <w:rFonts w:ascii="Times New Roman" w:hAnsi="Times New Roman" w:cs="Times New Roman"/>
          <w:color w:val="auto"/>
          <w:lang w:eastAsia="es-CO"/>
        </w:rPr>
        <w:t>Según el sistema de consulta de la Corte Constitucional</w:t>
      </w:r>
      <w:r w:rsidRPr="00635A00">
        <w:rPr>
          <w:rStyle w:val="Refdenotaalpie"/>
          <w:rFonts w:ascii="Times New Roman" w:hAnsi="Times New Roman" w:cs="Times New Roman"/>
          <w:color w:val="auto"/>
          <w:lang w:eastAsia="es-CO"/>
        </w:rPr>
        <w:footnoteReference w:id="26"/>
      </w:r>
      <w:r w:rsidRPr="00635A00">
        <w:rPr>
          <w:rFonts w:ascii="Times New Roman" w:hAnsi="Times New Roman" w:cs="Times New Roman"/>
          <w:color w:val="auto"/>
          <w:lang w:eastAsia="es-CO"/>
        </w:rPr>
        <w:t>, además de los expedientes de la referencia (D-15438 y D-15461), a</w:t>
      </w:r>
      <w:r w:rsidRPr="00635A00">
        <w:rPr>
          <w:rFonts w:ascii="Times New Roman" w:hAnsi="Times New Roman" w:cs="Times New Roman"/>
          <w:color w:val="auto"/>
          <w:lang w:eastAsia="es-CO"/>
        </w:rPr>
        <w:t xml:space="preserve">ctualmente cursan en esta corporación </w:t>
      </w:r>
      <w:r w:rsidRPr="00635A00">
        <w:rPr>
          <w:rFonts w:ascii="Times New Roman" w:hAnsi="Times New Roman" w:cs="Times New Roman"/>
          <w:color w:val="auto"/>
          <w:lang w:eastAsia="es-CO"/>
        </w:rPr>
        <w:t>las siguientes actuaciones en las que se demanda</w:t>
      </w:r>
      <w:r w:rsidRPr="00635A00">
        <w:rPr>
          <w:rFonts w:ascii="Times New Roman" w:hAnsi="Times New Roman" w:cs="Times New Roman"/>
          <w:color w:val="auto"/>
          <w:lang w:eastAsia="es-CO"/>
        </w:rPr>
        <w:t xml:space="preserve"> específicamente</w:t>
      </w:r>
      <w:r w:rsidRPr="00635A00">
        <w:rPr>
          <w:rFonts w:ascii="Times New Roman" w:hAnsi="Times New Roman" w:cs="Times New Roman"/>
          <w:color w:val="auto"/>
          <w:lang w:eastAsia="es-CO"/>
        </w:rPr>
        <w:t xml:space="preserve"> la </w:t>
      </w:r>
      <w:r w:rsidRPr="00635A00">
        <w:rPr>
          <w:rFonts w:ascii="Times New Roman" w:hAnsi="Times New Roman" w:cs="Times New Roman"/>
          <w:color w:val="auto"/>
          <w:lang w:eastAsia="es-CO"/>
        </w:rPr>
        <w:t>in</w:t>
      </w:r>
      <w:r w:rsidRPr="00635A00">
        <w:rPr>
          <w:rFonts w:ascii="Times New Roman" w:hAnsi="Times New Roman" w:cs="Times New Roman"/>
          <w:color w:val="auto"/>
          <w:lang w:eastAsia="es-CO"/>
        </w:rPr>
        <w:t>constitucionalidad del numeral 6° y del parágrafo 3° del artículo 61 de la Ley 2294:</w:t>
      </w:r>
    </w:p>
    <w:p w:rsidR="000B1A05" w:rsidRPr="00635A00" w:rsidRDefault="00635A00" w:rsidP="001C0972">
      <w:pPr>
        <w:tabs>
          <w:tab w:val="left" w:pos="1134"/>
        </w:tabs>
        <w:contextualSpacing/>
        <w:rPr>
          <w:rFonts w:ascii="Times New Roman" w:hAnsi="Times New Roman" w:cs="Times New Roman"/>
          <w:b/>
          <w:bCs/>
          <w:sz w:val="28"/>
          <w:lang w:val="es-ES"/>
        </w:rPr>
      </w:pPr>
    </w:p>
    <w:p w:rsidR="003F0C81" w:rsidRPr="00635A00" w:rsidRDefault="00635A00" w:rsidP="003F0C81">
      <w:pPr>
        <w:pStyle w:val="Descripcin"/>
        <w:keepNext/>
        <w:rPr>
          <w:rFonts w:ascii="Times New Roman" w:hAnsi="Times New Roman" w:cs="Times New Roman"/>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4</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Otros procesos en curso contra las normas demandadas</w:t>
      </w:r>
    </w:p>
    <w:tbl>
      <w:tblPr>
        <w:tblStyle w:val="Tablaconcuadrcula"/>
        <w:tblW w:w="0" w:type="auto"/>
        <w:tblLook w:val="04A0" w:firstRow="1" w:lastRow="0" w:firstColumn="1" w:lastColumn="0" w:noHBand="0" w:noVBand="1"/>
      </w:tblPr>
      <w:tblGrid>
        <w:gridCol w:w="1526"/>
        <w:gridCol w:w="7302"/>
      </w:tblGrid>
      <w:tr w:rsidR="00301B43" w:rsidRPr="00635A00" w:rsidTr="003F0C81">
        <w:trPr>
          <w:tblHeader/>
        </w:trPr>
        <w:tc>
          <w:tcPr>
            <w:tcW w:w="1526" w:type="dxa"/>
            <w:shd w:val="clear" w:color="auto" w:fill="E2EFD9" w:themeFill="accent6" w:themeFillTint="33"/>
          </w:tcPr>
          <w:p w:rsidR="00EF6E79" w:rsidRPr="00635A00" w:rsidRDefault="00635A00" w:rsidP="003F0C81">
            <w:pPr>
              <w:tabs>
                <w:tab w:val="left" w:pos="1134"/>
              </w:tabs>
              <w:contextualSpacing/>
              <w:jc w:val="center"/>
              <w:rPr>
                <w:rFonts w:ascii="Times New Roman" w:hAnsi="Times New Roman"/>
                <w:b/>
                <w:bCs/>
                <w:sz w:val="28"/>
              </w:rPr>
            </w:pPr>
            <w:r w:rsidRPr="00635A00">
              <w:rPr>
                <w:rFonts w:ascii="Times New Roman" w:hAnsi="Times New Roman"/>
                <w:b/>
                <w:bCs/>
                <w:sz w:val="28"/>
              </w:rPr>
              <w:t>Expediente</w:t>
            </w:r>
          </w:p>
        </w:tc>
        <w:tc>
          <w:tcPr>
            <w:tcW w:w="7452" w:type="dxa"/>
            <w:shd w:val="clear" w:color="auto" w:fill="E2EFD9" w:themeFill="accent6" w:themeFillTint="33"/>
          </w:tcPr>
          <w:p w:rsidR="00EF6E79" w:rsidRPr="00635A00" w:rsidRDefault="00635A00" w:rsidP="003F0C81">
            <w:pPr>
              <w:tabs>
                <w:tab w:val="left" w:pos="1134"/>
              </w:tabs>
              <w:contextualSpacing/>
              <w:jc w:val="center"/>
              <w:rPr>
                <w:rFonts w:ascii="Times New Roman" w:hAnsi="Times New Roman"/>
                <w:b/>
                <w:bCs/>
                <w:sz w:val="28"/>
              </w:rPr>
            </w:pPr>
            <w:r w:rsidRPr="00635A00">
              <w:rPr>
                <w:rFonts w:ascii="Times New Roman" w:hAnsi="Times New Roman"/>
                <w:b/>
                <w:bCs/>
                <w:sz w:val="28"/>
              </w:rPr>
              <w:t>Estado</w:t>
            </w:r>
          </w:p>
        </w:tc>
      </w:tr>
      <w:tr w:rsidR="00301B43" w:rsidRPr="00635A00" w:rsidTr="002B508C">
        <w:tc>
          <w:tcPr>
            <w:tcW w:w="1526" w:type="dxa"/>
          </w:tcPr>
          <w:p w:rsidR="00EF6E79" w:rsidRPr="00635A00" w:rsidRDefault="00635A00" w:rsidP="0086147C">
            <w:pPr>
              <w:tabs>
                <w:tab w:val="left" w:pos="1134"/>
              </w:tabs>
              <w:contextualSpacing/>
              <w:jc w:val="center"/>
              <w:rPr>
                <w:rFonts w:ascii="Times New Roman" w:hAnsi="Times New Roman"/>
                <w:sz w:val="28"/>
              </w:rPr>
            </w:pPr>
            <w:r w:rsidRPr="00635A00">
              <w:rPr>
                <w:rFonts w:ascii="Times New Roman" w:hAnsi="Times New Roman"/>
                <w:sz w:val="28"/>
              </w:rPr>
              <w:t>D-15516</w:t>
            </w:r>
          </w:p>
        </w:tc>
        <w:tc>
          <w:tcPr>
            <w:tcW w:w="7452" w:type="dxa"/>
          </w:tcPr>
          <w:p w:rsidR="00EF6E79" w:rsidRPr="00635A00" w:rsidRDefault="00635A00" w:rsidP="00BB2796">
            <w:pPr>
              <w:tabs>
                <w:tab w:val="left" w:pos="1134"/>
              </w:tabs>
              <w:contextualSpacing/>
              <w:jc w:val="both"/>
              <w:rPr>
                <w:rFonts w:ascii="Times New Roman" w:hAnsi="Times New Roman"/>
                <w:sz w:val="28"/>
              </w:rPr>
            </w:pPr>
            <w:r w:rsidRPr="00635A00">
              <w:rPr>
                <w:rFonts w:ascii="Times New Roman" w:hAnsi="Times New Roman"/>
                <w:sz w:val="28"/>
              </w:rPr>
              <w:t xml:space="preserve">El 28 de junio de 2024 se reanudó el término para elaboración y registro de proyecto de fallo, suspendido desde el </w:t>
            </w:r>
            <w:r w:rsidRPr="00635A00">
              <w:rPr>
                <w:rFonts w:ascii="Times New Roman" w:hAnsi="Times New Roman"/>
                <w:sz w:val="28"/>
              </w:rPr>
              <w:t xml:space="preserve">24 de enero anterior con ocasión del </w:t>
            </w:r>
            <w:r w:rsidRPr="00635A00">
              <w:rPr>
                <w:rFonts w:ascii="Times New Roman" w:hAnsi="Times New Roman"/>
                <w:sz w:val="28"/>
              </w:rPr>
              <w:t>impedimento manifestado por el magistrado Vladimir Fernández Andrade</w:t>
            </w:r>
            <w:r w:rsidRPr="00635A00">
              <w:rPr>
                <w:rFonts w:ascii="Times New Roman" w:hAnsi="Times New Roman"/>
                <w:sz w:val="28"/>
              </w:rPr>
              <w:t xml:space="preserve">. La Sala Plena </w:t>
            </w:r>
            <w:r w:rsidRPr="00635A00">
              <w:rPr>
                <w:rFonts w:ascii="Times New Roman" w:hAnsi="Times New Roman"/>
                <w:sz w:val="28"/>
              </w:rPr>
              <w:t xml:space="preserve">declarado fundado </w:t>
            </w:r>
            <w:r w:rsidRPr="00635A00">
              <w:rPr>
                <w:rFonts w:ascii="Times New Roman" w:hAnsi="Times New Roman"/>
                <w:sz w:val="28"/>
              </w:rPr>
              <w:t>el</w:t>
            </w:r>
            <w:r w:rsidRPr="00635A00">
              <w:rPr>
                <w:rFonts w:ascii="Times New Roman" w:hAnsi="Times New Roman"/>
                <w:sz w:val="28"/>
              </w:rPr>
              <w:t xml:space="preserve"> impedimento mediante </w:t>
            </w:r>
            <w:r w:rsidRPr="00635A00">
              <w:rPr>
                <w:rFonts w:ascii="Times New Roman" w:hAnsi="Times New Roman"/>
                <w:sz w:val="28"/>
              </w:rPr>
              <w:t>auto 1092 del 19 de junio de 2024</w:t>
            </w:r>
            <w:r w:rsidRPr="00635A00">
              <w:rPr>
                <w:rStyle w:val="Refdenotaalpie"/>
                <w:rFonts w:ascii="Times New Roman" w:hAnsi="Times New Roman"/>
                <w:sz w:val="28"/>
              </w:rPr>
              <w:footnoteReference w:id="27"/>
            </w:r>
            <w:r w:rsidRPr="00635A00">
              <w:rPr>
                <w:rFonts w:ascii="Times New Roman" w:hAnsi="Times New Roman"/>
                <w:sz w:val="28"/>
              </w:rPr>
              <w:t xml:space="preserve">. </w:t>
            </w:r>
          </w:p>
        </w:tc>
      </w:tr>
      <w:tr w:rsidR="00301B43" w:rsidRPr="00635A00" w:rsidTr="002B508C">
        <w:tc>
          <w:tcPr>
            <w:tcW w:w="1526" w:type="dxa"/>
          </w:tcPr>
          <w:p w:rsidR="00EF6E79" w:rsidRPr="00635A00" w:rsidRDefault="00635A00" w:rsidP="0086147C">
            <w:pPr>
              <w:tabs>
                <w:tab w:val="left" w:pos="1134"/>
              </w:tabs>
              <w:contextualSpacing/>
              <w:jc w:val="center"/>
              <w:rPr>
                <w:rFonts w:ascii="Times New Roman" w:hAnsi="Times New Roman"/>
                <w:sz w:val="28"/>
              </w:rPr>
            </w:pPr>
            <w:r w:rsidRPr="00635A00">
              <w:rPr>
                <w:rFonts w:ascii="Times New Roman" w:hAnsi="Times New Roman"/>
                <w:sz w:val="28"/>
              </w:rPr>
              <w:t>D-15481</w:t>
            </w:r>
            <w:r w:rsidRPr="00635A00">
              <w:rPr>
                <w:rFonts w:ascii="Times New Roman" w:hAnsi="Times New Roman"/>
                <w:sz w:val="28"/>
              </w:rPr>
              <w:t xml:space="preserve"> y D-15470</w:t>
            </w:r>
          </w:p>
          <w:p w:rsidR="00375B56" w:rsidRPr="00635A00" w:rsidRDefault="00635A00" w:rsidP="0086147C">
            <w:pPr>
              <w:tabs>
                <w:tab w:val="left" w:pos="1134"/>
              </w:tabs>
              <w:contextualSpacing/>
              <w:jc w:val="center"/>
              <w:rPr>
                <w:rFonts w:ascii="Times New Roman" w:hAnsi="Times New Roman"/>
                <w:sz w:val="28"/>
              </w:rPr>
            </w:pPr>
            <w:r w:rsidRPr="00635A00">
              <w:rPr>
                <w:rFonts w:ascii="Times New Roman" w:hAnsi="Times New Roman"/>
                <w:sz w:val="28"/>
              </w:rPr>
              <w:t>(acumulados)</w:t>
            </w:r>
          </w:p>
        </w:tc>
        <w:tc>
          <w:tcPr>
            <w:tcW w:w="7452" w:type="dxa"/>
          </w:tcPr>
          <w:p w:rsidR="00EF6E79" w:rsidRPr="00635A00" w:rsidRDefault="00635A00" w:rsidP="00BB2796">
            <w:pPr>
              <w:tabs>
                <w:tab w:val="left" w:pos="1134"/>
              </w:tabs>
              <w:contextualSpacing/>
              <w:jc w:val="both"/>
              <w:rPr>
                <w:rFonts w:ascii="Times New Roman" w:hAnsi="Times New Roman"/>
                <w:sz w:val="28"/>
              </w:rPr>
            </w:pPr>
            <w:r w:rsidRPr="00635A00">
              <w:rPr>
                <w:rFonts w:ascii="Times New Roman" w:hAnsi="Times New Roman"/>
                <w:sz w:val="28"/>
              </w:rPr>
              <w:t>El 20 de mayo de 2024 se registró proyecto de fallo</w:t>
            </w:r>
            <w:r w:rsidRPr="00635A00">
              <w:rPr>
                <w:rFonts w:ascii="Times New Roman" w:hAnsi="Times New Roman"/>
                <w:sz w:val="28"/>
              </w:rPr>
              <w:t xml:space="preserve"> en la Secretaría General de la Corporación</w:t>
            </w:r>
            <w:r w:rsidRPr="00635A00">
              <w:rPr>
                <w:rStyle w:val="Refdenotaalpie"/>
                <w:rFonts w:ascii="Times New Roman" w:hAnsi="Times New Roman"/>
                <w:sz w:val="28"/>
              </w:rPr>
              <w:footnoteReference w:id="28"/>
            </w:r>
            <w:r w:rsidRPr="00635A00">
              <w:rPr>
                <w:rFonts w:ascii="Times New Roman" w:hAnsi="Times New Roman"/>
                <w:sz w:val="28"/>
              </w:rPr>
              <w:t>.</w:t>
            </w:r>
            <w:r w:rsidRPr="00635A00">
              <w:rPr>
                <w:rFonts w:ascii="Times New Roman" w:hAnsi="Times New Roman"/>
                <w:sz w:val="28"/>
              </w:rPr>
              <w:t xml:space="preserve"> Con fundamento en esta f</w:t>
            </w:r>
            <w:r w:rsidRPr="00635A00">
              <w:rPr>
                <w:rFonts w:ascii="Times New Roman" w:hAnsi="Times New Roman"/>
                <w:sz w:val="28"/>
              </w:rPr>
              <w:t xml:space="preserve">echa de registro </w:t>
            </w:r>
            <w:r w:rsidRPr="00635A00">
              <w:rPr>
                <w:rFonts w:ascii="Times New Roman" w:hAnsi="Times New Roman"/>
                <w:sz w:val="28"/>
              </w:rPr>
              <w:t xml:space="preserve">y el término de 60 días previsto en el </w:t>
            </w:r>
            <w:r w:rsidRPr="00635A00">
              <w:rPr>
                <w:rFonts w:ascii="Times New Roman" w:hAnsi="Times New Roman"/>
                <w:sz w:val="28"/>
              </w:rPr>
              <w:t xml:space="preserve">artículo 8 del Decreto 2067 de 1991 </w:t>
            </w:r>
            <w:r w:rsidRPr="00635A00">
              <w:rPr>
                <w:rFonts w:ascii="Times New Roman" w:hAnsi="Times New Roman"/>
                <w:sz w:val="28"/>
              </w:rPr>
              <w:t xml:space="preserve">el término </w:t>
            </w:r>
            <w:r w:rsidRPr="00635A00">
              <w:rPr>
                <w:rFonts w:ascii="Times New Roman" w:hAnsi="Times New Roman"/>
                <w:sz w:val="28"/>
              </w:rPr>
              <w:t xml:space="preserve">para decisión en este proceso es el </w:t>
            </w:r>
            <w:r w:rsidRPr="00635A00">
              <w:rPr>
                <w:rFonts w:ascii="Times New Roman" w:hAnsi="Times New Roman"/>
                <w:sz w:val="28"/>
              </w:rPr>
              <w:t>16 de agosto de 2024.</w:t>
            </w:r>
          </w:p>
        </w:tc>
      </w:tr>
      <w:tr w:rsidR="00EF6E79" w:rsidRPr="00635A00" w:rsidTr="002B508C">
        <w:tc>
          <w:tcPr>
            <w:tcW w:w="1526" w:type="dxa"/>
          </w:tcPr>
          <w:p w:rsidR="00EF6E79" w:rsidRPr="00635A00" w:rsidRDefault="00635A00" w:rsidP="0086147C">
            <w:pPr>
              <w:tabs>
                <w:tab w:val="left" w:pos="1134"/>
              </w:tabs>
              <w:contextualSpacing/>
              <w:jc w:val="center"/>
              <w:rPr>
                <w:rFonts w:ascii="Times New Roman" w:hAnsi="Times New Roman"/>
                <w:sz w:val="28"/>
              </w:rPr>
            </w:pPr>
            <w:r w:rsidRPr="00635A00">
              <w:rPr>
                <w:rFonts w:ascii="Times New Roman" w:hAnsi="Times New Roman"/>
                <w:sz w:val="28"/>
              </w:rPr>
              <w:t>D-15631</w:t>
            </w:r>
          </w:p>
        </w:tc>
        <w:tc>
          <w:tcPr>
            <w:tcW w:w="7452" w:type="dxa"/>
          </w:tcPr>
          <w:p w:rsidR="00EF6E79" w:rsidRPr="00635A00" w:rsidRDefault="00635A00" w:rsidP="00BB2796">
            <w:pPr>
              <w:tabs>
                <w:tab w:val="left" w:pos="1134"/>
              </w:tabs>
              <w:contextualSpacing/>
              <w:jc w:val="both"/>
              <w:rPr>
                <w:rFonts w:ascii="Times New Roman" w:hAnsi="Times New Roman"/>
                <w:sz w:val="28"/>
              </w:rPr>
            </w:pPr>
            <w:r w:rsidRPr="00635A00">
              <w:rPr>
                <w:rFonts w:ascii="Times New Roman" w:hAnsi="Times New Roman"/>
                <w:sz w:val="28"/>
              </w:rPr>
              <w:t xml:space="preserve">El 24 de junio se recibió el concepto de la procuradora general de la Nación. Actualmente </w:t>
            </w:r>
            <w:r w:rsidRPr="00635A00">
              <w:rPr>
                <w:rFonts w:ascii="Times New Roman" w:hAnsi="Times New Roman"/>
                <w:sz w:val="28"/>
              </w:rPr>
              <w:t>avanza el</w:t>
            </w:r>
            <w:r w:rsidRPr="00635A00">
              <w:rPr>
                <w:rFonts w:ascii="Times New Roman" w:hAnsi="Times New Roman"/>
                <w:sz w:val="28"/>
              </w:rPr>
              <w:t xml:space="preserve"> tér</w:t>
            </w:r>
            <w:r w:rsidRPr="00635A00">
              <w:rPr>
                <w:rFonts w:ascii="Times New Roman" w:hAnsi="Times New Roman"/>
                <w:sz w:val="28"/>
              </w:rPr>
              <w:t>mino para elaboración y registro de proyecto de fallo</w:t>
            </w:r>
            <w:r w:rsidRPr="00635A00">
              <w:rPr>
                <w:rStyle w:val="Refdenotaalpie"/>
                <w:rFonts w:ascii="Times New Roman" w:hAnsi="Times New Roman"/>
                <w:sz w:val="28"/>
              </w:rPr>
              <w:footnoteReference w:id="29"/>
            </w:r>
            <w:r w:rsidRPr="00635A00">
              <w:rPr>
                <w:rFonts w:ascii="Times New Roman" w:hAnsi="Times New Roman"/>
                <w:sz w:val="28"/>
              </w:rPr>
              <w:t>.</w:t>
            </w:r>
          </w:p>
        </w:tc>
      </w:tr>
    </w:tbl>
    <w:p w:rsidR="001C0972" w:rsidRPr="00635A00" w:rsidRDefault="00635A00" w:rsidP="001C0972">
      <w:pPr>
        <w:tabs>
          <w:tab w:val="left" w:pos="1134"/>
        </w:tabs>
        <w:contextualSpacing/>
        <w:rPr>
          <w:rFonts w:ascii="Times New Roman" w:hAnsi="Times New Roman" w:cs="Times New Roman"/>
          <w:b/>
          <w:bCs/>
          <w:sz w:val="28"/>
        </w:rPr>
      </w:pPr>
    </w:p>
    <w:p w:rsidR="000B3D9D" w:rsidRPr="00635A00" w:rsidRDefault="00635A00" w:rsidP="000B3D9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También cursan actualmente </w:t>
      </w:r>
      <w:r w:rsidRPr="00635A00">
        <w:rPr>
          <w:rFonts w:ascii="Times New Roman" w:hAnsi="Times New Roman" w:cs="Times New Roman"/>
          <w:color w:val="auto"/>
        </w:rPr>
        <w:t xml:space="preserve">procesos por </w:t>
      </w:r>
      <w:r w:rsidRPr="00635A00">
        <w:rPr>
          <w:rFonts w:ascii="Times New Roman" w:hAnsi="Times New Roman" w:cs="Times New Roman"/>
          <w:color w:val="auto"/>
        </w:rPr>
        <w:t>demandas en contra de toda la Ley 2294 (</w:t>
      </w:r>
      <w:r w:rsidRPr="00635A00">
        <w:rPr>
          <w:rFonts w:ascii="Times New Roman" w:hAnsi="Times New Roman" w:cs="Times New Roman"/>
          <w:color w:val="auto"/>
        </w:rPr>
        <w:t>e</w:t>
      </w:r>
      <w:r w:rsidRPr="00635A00">
        <w:rPr>
          <w:rFonts w:ascii="Times New Roman" w:hAnsi="Times New Roman" w:cs="Times New Roman"/>
          <w:color w:val="auto"/>
        </w:rPr>
        <w:t xml:space="preserve">xpedientes D-15345, </w:t>
      </w:r>
      <w:r w:rsidRPr="00635A00">
        <w:rPr>
          <w:rFonts w:ascii="Times New Roman" w:hAnsi="Times New Roman" w:cs="Times New Roman"/>
          <w:color w:val="auto"/>
        </w:rPr>
        <w:t>D-15357, D-15380</w:t>
      </w:r>
      <w:r w:rsidRPr="00635A00">
        <w:rPr>
          <w:rFonts w:ascii="Times New Roman" w:hAnsi="Times New Roman" w:cs="Times New Roman"/>
          <w:color w:val="auto"/>
        </w:rPr>
        <w:t xml:space="preserve"> y</w:t>
      </w:r>
      <w:r w:rsidRPr="00635A00">
        <w:rPr>
          <w:rFonts w:ascii="Times New Roman" w:hAnsi="Times New Roman" w:cs="Times New Roman"/>
          <w:color w:val="auto"/>
        </w:rPr>
        <w:t xml:space="preserve"> D-15465), pero en ninguno de estos procesos se ha proferido sentencia. Dentro </w:t>
      </w:r>
      <w:r w:rsidRPr="00635A00">
        <w:rPr>
          <w:rFonts w:ascii="Times New Roman" w:hAnsi="Times New Roman" w:cs="Times New Roman"/>
          <w:color w:val="auto"/>
        </w:rPr>
        <w:t xml:space="preserve">del expediente D-15357, el 10 de abril de 2024 la Sala Plena </w:t>
      </w:r>
      <w:r w:rsidRPr="00635A00">
        <w:rPr>
          <w:rFonts w:ascii="Times New Roman" w:hAnsi="Times New Roman" w:cs="Times New Roman"/>
          <w:color w:val="auto"/>
        </w:rPr>
        <w:t>emitió</w:t>
      </w:r>
      <w:r w:rsidRPr="00635A00">
        <w:rPr>
          <w:rFonts w:ascii="Times New Roman" w:hAnsi="Times New Roman" w:cs="Times New Roman"/>
          <w:color w:val="auto"/>
        </w:rPr>
        <w:t xml:space="preserve"> el auto 705 mediante el cual </w:t>
      </w:r>
      <w:r w:rsidRPr="00635A00">
        <w:rPr>
          <w:rFonts w:ascii="Times New Roman" w:hAnsi="Times New Roman" w:cs="Times New Roman"/>
          <w:color w:val="auto"/>
        </w:rPr>
        <w:t xml:space="preserve">(i) </w:t>
      </w:r>
      <w:r w:rsidRPr="00635A00">
        <w:rPr>
          <w:rFonts w:ascii="Times New Roman" w:hAnsi="Times New Roman" w:cs="Times New Roman"/>
          <w:color w:val="auto"/>
        </w:rPr>
        <w:t xml:space="preserve">ordenó al presidente del Senado de la República la subsanación del trámite de expedición de la Ley 2294 respecto de los artículos que fueron objeto de </w:t>
      </w:r>
      <w:r w:rsidRPr="00635A00">
        <w:rPr>
          <w:rFonts w:ascii="Times New Roman" w:hAnsi="Times New Roman" w:cs="Times New Roman"/>
          <w:color w:val="auto"/>
        </w:rPr>
        <w:t>conciliación</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y (ii) suspendió los términos para la tramitación de los procesos de constitucionalidad por demandas instauradas contra dichos artículos. </w:t>
      </w:r>
      <w:r w:rsidRPr="00635A00">
        <w:rPr>
          <w:rFonts w:ascii="Times New Roman" w:hAnsi="Times New Roman" w:cs="Times New Roman"/>
          <w:color w:val="auto"/>
        </w:rPr>
        <w:t>No obstante e</w:t>
      </w:r>
      <w:r w:rsidRPr="00635A00">
        <w:rPr>
          <w:rFonts w:ascii="Times New Roman" w:hAnsi="Times New Roman" w:cs="Times New Roman"/>
          <w:color w:val="auto"/>
        </w:rPr>
        <w:t>sta determinación no cobija al artículo 61 de la Ley 2294, ya que este no fue objeto de con</w:t>
      </w:r>
      <w:r w:rsidRPr="00635A00">
        <w:rPr>
          <w:rFonts w:ascii="Times New Roman" w:hAnsi="Times New Roman" w:cs="Times New Roman"/>
          <w:color w:val="auto"/>
        </w:rPr>
        <w:t>ciliación</w:t>
      </w:r>
      <w:r w:rsidRPr="00635A00">
        <w:rPr>
          <w:rStyle w:val="Refdenotaalpie"/>
          <w:rFonts w:ascii="Times New Roman" w:hAnsi="Times New Roman" w:cs="Times New Roman"/>
          <w:color w:val="auto"/>
        </w:rPr>
        <w:footnoteReference w:id="30"/>
      </w:r>
      <w:r w:rsidRPr="00635A00">
        <w:rPr>
          <w:rFonts w:ascii="Times New Roman" w:hAnsi="Times New Roman" w:cs="Times New Roman"/>
          <w:color w:val="auto"/>
        </w:rPr>
        <w:t>.</w:t>
      </w:r>
    </w:p>
    <w:p w:rsidR="003D41FA" w:rsidRPr="00635A00" w:rsidRDefault="00635A00" w:rsidP="003D41FA">
      <w:pPr>
        <w:pStyle w:val="Sombreadovistoso-nfasis31"/>
        <w:ind w:left="0"/>
        <w:rPr>
          <w:rFonts w:ascii="Times New Roman" w:hAnsi="Times New Roman" w:cs="Times New Roman"/>
          <w:color w:val="auto"/>
        </w:rPr>
      </w:pPr>
    </w:p>
    <w:p w:rsidR="003D41FA" w:rsidRPr="00635A00" w:rsidRDefault="00635A00" w:rsidP="000B3D9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Como se puede advertir, a la fecha no existen sentencias de constitucionalidad respecto del numeral 6° y el parágrafo 3° del artículo 61 de la Ley 2294</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En consecuencia, la Sala </w:t>
      </w:r>
      <w:r w:rsidRPr="00635A00">
        <w:rPr>
          <w:rFonts w:ascii="Times New Roman" w:hAnsi="Times New Roman" w:cs="Times New Roman"/>
          <w:color w:val="auto"/>
        </w:rPr>
        <w:t xml:space="preserve">descarta la posible configuración de cosa juzgada </w:t>
      </w:r>
      <w:r w:rsidRPr="00635A00">
        <w:rPr>
          <w:rFonts w:ascii="Times New Roman" w:hAnsi="Times New Roman" w:cs="Times New Roman"/>
          <w:color w:val="auto"/>
        </w:rPr>
        <w:t xml:space="preserve">constitucional </w:t>
      </w:r>
      <w:r w:rsidRPr="00635A00">
        <w:rPr>
          <w:rFonts w:ascii="Times New Roman" w:hAnsi="Times New Roman" w:cs="Times New Roman"/>
          <w:color w:val="auto"/>
        </w:rPr>
        <w:t xml:space="preserve">que </w:t>
      </w:r>
      <w:r w:rsidRPr="00635A00">
        <w:rPr>
          <w:rFonts w:ascii="Times New Roman" w:hAnsi="Times New Roman" w:cs="Times New Roman"/>
          <w:color w:val="auto"/>
        </w:rPr>
        <w:t xml:space="preserve">la </w:t>
      </w:r>
      <w:r w:rsidRPr="00635A00">
        <w:rPr>
          <w:rFonts w:ascii="Times New Roman" w:hAnsi="Times New Roman" w:cs="Times New Roman"/>
          <w:color w:val="auto"/>
        </w:rPr>
        <w:t>inhiba de pronunciarse dentro del asunto bajo examen.</w:t>
      </w:r>
    </w:p>
    <w:p w:rsidR="001C0972" w:rsidRPr="00635A00" w:rsidRDefault="00635A00" w:rsidP="001C0972">
      <w:pPr>
        <w:tabs>
          <w:tab w:val="left" w:pos="1134"/>
        </w:tabs>
        <w:contextualSpacing/>
        <w:rPr>
          <w:rFonts w:ascii="Times New Roman" w:hAnsi="Times New Roman" w:cs="Times New Roman"/>
          <w:sz w:val="28"/>
          <w:lang w:val="es-ES"/>
        </w:rPr>
      </w:pPr>
    </w:p>
    <w:p w:rsidR="001C0972" w:rsidRPr="00635A00" w:rsidRDefault="00635A00" w:rsidP="001C0972">
      <w:pPr>
        <w:pStyle w:val="Prrafodelista"/>
        <w:widowControl/>
        <w:numPr>
          <w:ilvl w:val="0"/>
          <w:numId w:val="17"/>
        </w:numPr>
        <w:tabs>
          <w:tab w:val="left" w:pos="1134"/>
        </w:tabs>
        <w:ind w:left="1134" w:hanging="567"/>
        <w:contextualSpacing/>
        <w:rPr>
          <w:rFonts w:ascii="Times New Roman" w:hAnsi="Times New Roman" w:cs="Times New Roman"/>
          <w:b/>
          <w:bCs/>
          <w:color w:val="auto"/>
        </w:rPr>
      </w:pPr>
      <w:r w:rsidRPr="00635A00">
        <w:rPr>
          <w:rFonts w:ascii="Times New Roman" w:hAnsi="Times New Roman" w:cs="Times New Roman"/>
          <w:b/>
          <w:bCs/>
          <w:color w:val="auto"/>
        </w:rPr>
        <w:t xml:space="preserve">Segunda cuestión previa – </w:t>
      </w:r>
      <w:r w:rsidRPr="00635A00">
        <w:rPr>
          <w:rFonts w:ascii="Times New Roman" w:hAnsi="Times New Roman" w:cs="Times New Roman"/>
          <w:b/>
          <w:bCs/>
          <w:color w:val="auto"/>
        </w:rPr>
        <w:t>oportunidad de los cargos por vicios de procedimiento</w:t>
      </w:r>
    </w:p>
    <w:p w:rsidR="00375B56" w:rsidRPr="00635A00" w:rsidRDefault="00635A00" w:rsidP="00375B56">
      <w:pPr>
        <w:tabs>
          <w:tab w:val="left" w:pos="1134"/>
        </w:tabs>
        <w:contextualSpacing/>
        <w:rPr>
          <w:rFonts w:ascii="Times New Roman" w:hAnsi="Times New Roman" w:cs="Times New Roman"/>
          <w:b/>
          <w:bCs/>
          <w:sz w:val="28"/>
        </w:rPr>
      </w:pPr>
    </w:p>
    <w:p w:rsidR="00375B56" w:rsidRPr="00635A00" w:rsidRDefault="00635A00" w:rsidP="00375B56">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El numeral 3° del artículo 242 de la Constitución establece un término de caducidad de un año para las acciones </w:t>
      </w:r>
      <w:r w:rsidRPr="00635A00">
        <w:rPr>
          <w:rFonts w:ascii="Times New Roman" w:hAnsi="Times New Roman" w:cs="Times New Roman"/>
          <w:color w:val="auto"/>
        </w:rPr>
        <w:t>de inconstitucionalidad por vicios de forma, como lo son, en este caso, los cargos por violación de los principios de consecutividad e identidad flexible, por un lado, y de publicidad, por otro. Dicho lapso empieza a correr a partir de la publicación de la</w:t>
      </w:r>
      <w:r w:rsidRPr="00635A00">
        <w:rPr>
          <w:rFonts w:ascii="Times New Roman" w:hAnsi="Times New Roman" w:cs="Times New Roman"/>
          <w:color w:val="auto"/>
        </w:rPr>
        <w:t xml:space="preserve"> norma demandada.</w:t>
      </w:r>
    </w:p>
    <w:p w:rsidR="00182238" w:rsidRPr="00635A00" w:rsidRDefault="00635A00" w:rsidP="00182238">
      <w:pPr>
        <w:pStyle w:val="Sombreadovistoso-nfasis31"/>
        <w:ind w:left="0"/>
        <w:rPr>
          <w:rFonts w:ascii="Times New Roman" w:hAnsi="Times New Roman" w:cs="Times New Roman"/>
          <w:color w:val="auto"/>
        </w:rPr>
      </w:pPr>
    </w:p>
    <w:p w:rsidR="00182238" w:rsidRPr="00635A00" w:rsidRDefault="00635A00" w:rsidP="00375B56">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La Ley 2294 se publicó en el Diario Oficial </w:t>
      </w:r>
      <w:r w:rsidRPr="00635A00">
        <w:rPr>
          <w:rFonts w:ascii="Times New Roman" w:hAnsi="Times New Roman" w:cs="Times New Roman"/>
          <w:color w:val="auto"/>
        </w:rPr>
        <w:t xml:space="preserve">52400 del 19 de mayo de 2023. </w:t>
      </w:r>
      <w:r w:rsidRPr="00635A00">
        <w:rPr>
          <w:rFonts w:ascii="Times New Roman" w:hAnsi="Times New Roman" w:cs="Times New Roman"/>
          <w:color w:val="auto"/>
        </w:rPr>
        <w:t>El ciudadano Julián Andrés Pimiento Echeverri, quien formuló tales cargos por vicios de procedimiento en la formación de la Ley, presentó su demanda de inconstituc</w:t>
      </w:r>
      <w:r w:rsidRPr="00635A00">
        <w:rPr>
          <w:rFonts w:ascii="Times New Roman" w:hAnsi="Times New Roman" w:cs="Times New Roman"/>
          <w:color w:val="auto"/>
        </w:rPr>
        <w:t xml:space="preserve">ionalidad el </w:t>
      </w:r>
      <w:r w:rsidRPr="00635A00">
        <w:rPr>
          <w:rFonts w:ascii="Times New Roman" w:hAnsi="Times New Roman" w:cs="Times New Roman"/>
          <w:color w:val="auto"/>
        </w:rPr>
        <w:t>3 de agosto de 2023</w:t>
      </w:r>
      <w:r w:rsidRPr="00635A00">
        <w:rPr>
          <w:rStyle w:val="Refdenotaalpie"/>
          <w:rFonts w:ascii="Times New Roman" w:hAnsi="Times New Roman" w:cs="Times New Roman"/>
          <w:color w:val="auto"/>
        </w:rPr>
        <w:footnoteReference w:id="31"/>
      </w:r>
      <w:r w:rsidRPr="00635A00">
        <w:rPr>
          <w:rFonts w:ascii="Times New Roman" w:hAnsi="Times New Roman" w:cs="Times New Roman"/>
          <w:color w:val="auto"/>
        </w:rPr>
        <w:t>, es decir, dentro del año siguiente a su publicación. En consecuenci</w:t>
      </w:r>
      <w:r w:rsidRPr="00635A00">
        <w:rPr>
          <w:rFonts w:ascii="Times New Roman" w:hAnsi="Times New Roman" w:cs="Times New Roman"/>
          <w:color w:val="auto"/>
        </w:rPr>
        <w:t xml:space="preserve">a, </w:t>
      </w:r>
      <w:r w:rsidRPr="00635A00">
        <w:rPr>
          <w:rFonts w:ascii="Times New Roman" w:hAnsi="Times New Roman" w:cs="Times New Roman"/>
          <w:color w:val="auto"/>
        </w:rPr>
        <w:t xml:space="preserve">el actor </w:t>
      </w:r>
      <w:r w:rsidRPr="00635A00">
        <w:rPr>
          <w:rFonts w:ascii="Times New Roman" w:hAnsi="Times New Roman" w:cs="Times New Roman"/>
          <w:color w:val="auto"/>
        </w:rPr>
        <w:t>presentó</w:t>
      </w:r>
      <w:r w:rsidRPr="00635A00">
        <w:rPr>
          <w:rFonts w:ascii="Times New Roman" w:hAnsi="Times New Roman" w:cs="Times New Roman"/>
          <w:color w:val="auto"/>
        </w:rPr>
        <w:t xml:space="preserve"> los cargos por desconocimiento de los principios de consecutividad e identidad flexible y publicidad de manera oportuna.</w:t>
      </w:r>
    </w:p>
    <w:p w:rsidR="00375B56" w:rsidRPr="00635A00" w:rsidRDefault="00635A00" w:rsidP="00375B56">
      <w:pPr>
        <w:tabs>
          <w:tab w:val="left" w:pos="1134"/>
        </w:tabs>
        <w:contextualSpacing/>
        <w:rPr>
          <w:rFonts w:ascii="Times New Roman" w:hAnsi="Times New Roman" w:cs="Times New Roman"/>
          <w:b/>
          <w:bCs/>
          <w:sz w:val="28"/>
          <w:lang w:val="es-ES"/>
        </w:rPr>
      </w:pPr>
    </w:p>
    <w:p w:rsidR="00733780" w:rsidRPr="00635A00" w:rsidRDefault="00635A00" w:rsidP="00733780">
      <w:pPr>
        <w:pStyle w:val="Prrafodelista"/>
        <w:widowControl/>
        <w:numPr>
          <w:ilvl w:val="0"/>
          <w:numId w:val="17"/>
        </w:numPr>
        <w:tabs>
          <w:tab w:val="left" w:pos="1134"/>
        </w:tabs>
        <w:ind w:hanging="153"/>
        <w:contextualSpacing/>
        <w:rPr>
          <w:rFonts w:ascii="Times New Roman" w:hAnsi="Times New Roman" w:cs="Times New Roman"/>
          <w:b/>
          <w:bCs/>
          <w:color w:val="auto"/>
        </w:rPr>
      </w:pPr>
      <w:r w:rsidRPr="00635A00">
        <w:rPr>
          <w:rFonts w:ascii="Times New Roman" w:hAnsi="Times New Roman" w:cs="Times New Roman"/>
          <w:b/>
          <w:bCs/>
          <w:color w:val="auto"/>
        </w:rPr>
        <w:t>Tercera</w:t>
      </w:r>
      <w:r w:rsidRPr="00635A00">
        <w:rPr>
          <w:rFonts w:ascii="Times New Roman" w:hAnsi="Times New Roman" w:cs="Times New Roman"/>
          <w:b/>
          <w:bCs/>
          <w:color w:val="auto"/>
        </w:rPr>
        <w:t xml:space="preserve"> </w:t>
      </w:r>
      <w:r w:rsidRPr="00635A00">
        <w:rPr>
          <w:rFonts w:ascii="Times New Roman" w:hAnsi="Times New Roman" w:cs="Times New Roman"/>
          <w:b/>
          <w:bCs/>
          <w:color w:val="auto"/>
        </w:rPr>
        <w:t xml:space="preserve">cuestión </w:t>
      </w:r>
      <w:r w:rsidRPr="00635A00">
        <w:rPr>
          <w:rFonts w:ascii="Times New Roman" w:hAnsi="Times New Roman" w:cs="Times New Roman"/>
          <w:b/>
          <w:bCs/>
          <w:color w:val="auto"/>
        </w:rPr>
        <w:t xml:space="preserve">previa </w:t>
      </w:r>
      <w:r w:rsidRPr="00635A00">
        <w:rPr>
          <w:rFonts w:ascii="Times New Roman" w:hAnsi="Times New Roman" w:cs="Times New Roman"/>
          <w:b/>
          <w:bCs/>
          <w:color w:val="auto"/>
        </w:rPr>
        <w:t>–</w:t>
      </w:r>
      <w:r w:rsidRPr="00635A00">
        <w:rPr>
          <w:rFonts w:ascii="Times New Roman" w:hAnsi="Times New Roman" w:cs="Times New Roman"/>
          <w:b/>
          <w:bCs/>
          <w:color w:val="auto"/>
        </w:rPr>
        <w:t xml:space="preserve"> </w:t>
      </w:r>
      <w:r w:rsidRPr="00635A00">
        <w:rPr>
          <w:rFonts w:ascii="Times New Roman" w:hAnsi="Times New Roman" w:cs="Times New Roman"/>
          <w:b/>
          <w:bCs/>
          <w:color w:val="auto"/>
        </w:rPr>
        <w:t>aptitud sustantiva de las demandas</w:t>
      </w:r>
    </w:p>
    <w:p w:rsidR="0059516F" w:rsidRPr="00635A00" w:rsidRDefault="00635A00" w:rsidP="005F523B">
      <w:pPr>
        <w:tabs>
          <w:tab w:val="left" w:pos="1134"/>
        </w:tabs>
        <w:contextualSpacing/>
        <w:rPr>
          <w:rFonts w:ascii="Times New Roman" w:hAnsi="Times New Roman" w:cs="Times New Roman"/>
          <w:b/>
          <w:bCs/>
          <w:sz w:val="28"/>
        </w:rPr>
      </w:pPr>
    </w:p>
    <w:p w:rsidR="00871163" w:rsidRPr="00635A00" w:rsidRDefault="00635A00" w:rsidP="005F523B">
      <w:pPr>
        <w:pStyle w:val="Sombreadovistoso-nfasis31"/>
        <w:numPr>
          <w:ilvl w:val="0"/>
          <w:numId w:val="3"/>
        </w:numPr>
        <w:rPr>
          <w:rFonts w:ascii="Times New Roman" w:hAnsi="Times New Roman" w:cs="Times New Roman"/>
          <w:b/>
          <w:bCs/>
          <w:color w:val="auto"/>
        </w:rPr>
      </w:pPr>
      <w:r w:rsidRPr="00635A00">
        <w:rPr>
          <w:rFonts w:ascii="Times New Roman" w:hAnsi="Times New Roman" w:cs="Times New Roman"/>
          <w:color w:val="auto"/>
        </w:rPr>
        <w:t xml:space="preserve">El </w:t>
      </w:r>
      <w:r w:rsidRPr="00635A00">
        <w:rPr>
          <w:rFonts w:ascii="Times New Roman" w:hAnsi="Times New Roman" w:cs="Times New Roman"/>
          <w:color w:val="auto"/>
        </w:rPr>
        <w:t>numeral 3</w:t>
      </w:r>
      <w:r w:rsidRPr="00635A00">
        <w:rPr>
          <w:rFonts w:ascii="Times New Roman" w:hAnsi="Times New Roman" w:cs="Times New Roman"/>
          <w:color w:val="auto"/>
        </w:rPr>
        <w:t>°</w:t>
      </w:r>
      <w:r w:rsidRPr="00635A00">
        <w:rPr>
          <w:rFonts w:ascii="Times New Roman" w:hAnsi="Times New Roman" w:cs="Times New Roman"/>
          <w:color w:val="auto"/>
        </w:rPr>
        <w:t xml:space="preserve"> del artículo 2</w:t>
      </w:r>
      <w:r w:rsidRPr="00635A00">
        <w:rPr>
          <w:rFonts w:ascii="Times New Roman" w:hAnsi="Times New Roman" w:cs="Times New Roman"/>
          <w:color w:val="auto"/>
        </w:rPr>
        <w:t>°</w:t>
      </w:r>
      <w:r w:rsidRPr="00635A00">
        <w:rPr>
          <w:rFonts w:ascii="Times New Roman" w:hAnsi="Times New Roman" w:cs="Times New Roman"/>
          <w:color w:val="auto"/>
        </w:rPr>
        <w:t xml:space="preserve"> del Decreto Ley 2067 de 1991 establece que las demandas de inconstitucionalidad deben contener las razones por las cuales se estima que las normas cuestionadas </w:t>
      </w:r>
      <w:r w:rsidRPr="00635A00">
        <w:rPr>
          <w:rFonts w:ascii="Times New Roman" w:hAnsi="Times New Roman" w:cs="Times New Roman"/>
          <w:color w:val="auto"/>
        </w:rPr>
        <w:t>vulneran</w:t>
      </w:r>
      <w:r w:rsidRPr="00635A00">
        <w:rPr>
          <w:rFonts w:ascii="Times New Roman" w:hAnsi="Times New Roman" w:cs="Times New Roman"/>
          <w:color w:val="auto"/>
        </w:rPr>
        <w:t xml:space="preserve"> la </w:t>
      </w:r>
      <w:r w:rsidRPr="00635A00">
        <w:rPr>
          <w:rFonts w:ascii="Times New Roman" w:hAnsi="Times New Roman" w:cs="Times New Roman"/>
          <w:color w:val="auto"/>
        </w:rPr>
        <w:t>Constitución</w:t>
      </w:r>
      <w:r w:rsidRPr="00635A00">
        <w:rPr>
          <w:rFonts w:ascii="Times New Roman" w:hAnsi="Times New Roman" w:cs="Times New Roman"/>
          <w:color w:val="auto"/>
        </w:rPr>
        <w:t xml:space="preserve">, es decir, el concepto de la </w:t>
      </w:r>
      <w:r w:rsidRPr="00635A00">
        <w:rPr>
          <w:rFonts w:ascii="Times New Roman" w:hAnsi="Times New Roman" w:cs="Times New Roman"/>
          <w:color w:val="auto"/>
        </w:rPr>
        <w:t>violación</w:t>
      </w:r>
      <w:r w:rsidRPr="00635A00">
        <w:rPr>
          <w:rStyle w:val="Refdenotaalpie"/>
          <w:rFonts w:ascii="Times New Roman" w:hAnsi="Times New Roman" w:cs="Times New Roman"/>
          <w:color w:val="auto"/>
        </w:rPr>
        <w:footnoteReference w:id="32"/>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Inicialmente, le corresponde al magistrado sustanciador verificar </w:t>
      </w:r>
      <w:r w:rsidRPr="00635A00">
        <w:rPr>
          <w:rFonts w:ascii="Times New Roman" w:hAnsi="Times New Roman" w:cs="Times New Roman"/>
          <w:color w:val="auto"/>
        </w:rPr>
        <w:t>la satisfacción de este requisito</w:t>
      </w:r>
      <w:r w:rsidRPr="00635A00">
        <w:rPr>
          <w:rFonts w:ascii="Times New Roman" w:hAnsi="Times New Roman" w:cs="Times New Roman"/>
          <w:color w:val="auto"/>
        </w:rPr>
        <w:t xml:space="preserve"> al decidir </w:t>
      </w:r>
      <w:r w:rsidRPr="00635A00">
        <w:rPr>
          <w:rFonts w:ascii="Times New Roman" w:hAnsi="Times New Roman" w:cs="Times New Roman"/>
          <w:color w:val="auto"/>
        </w:rPr>
        <w:t>si la demanda es apta para ser admitida</w:t>
      </w:r>
      <w:r w:rsidRPr="00635A00">
        <w:rPr>
          <w:rStyle w:val="Refdenotaalpie"/>
          <w:rFonts w:ascii="Times New Roman" w:hAnsi="Times New Roman" w:cs="Times New Roman"/>
          <w:color w:val="auto"/>
        </w:rPr>
        <w:footnoteReference w:id="33"/>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S</w:t>
      </w:r>
      <w:r w:rsidRPr="00635A00">
        <w:rPr>
          <w:rFonts w:ascii="Times New Roman" w:hAnsi="Times New Roman" w:cs="Times New Roman"/>
          <w:color w:val="auto"/>
        </w:rPr>
        <w:t xml:space="preserve">in embargo, esto no impide que la </w:t>
      </w:r>
      <w:r w:rsidRPr="00635A00">
        <w:rPr>
          <w:rFonts w:ascii="Times New Roman" w:hAnsi="Times New Roman" w:cs="Times New Roman"/>
          <w:color w:val="auto"/>
        </w:rPr>
        <w:t xml:space="preserve">Sala Plena </w:t>
      </w:r>
      <w:r w:rsidRPr="00635A00">
        <w:rPr>
          <w:rFonts w:ascii="Times New Roman" w:hAnsi="Times New Roman" w:cs="Times New Roman"/>
          <w:color w:val="auto"/>
        </w:rPr>
        <w:t>examine de nuevo</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el cumplimiento de dicha exigencia en la sentencia, </w:t>
      </w:r>
      <w:r w:rsidRPr="00635A00">
        <w:rPr>
          <w:rFonts w:ascii="Times New Roman" w:hAnsi="Times New Roman" w:cs="Times New Roman"/>
          <w:color w:val="auto"/>
        </w:rPr>
        <w:t xml:space="preserve">más cuando para ese momento ya se cuenta con las </w:t>
      </w:r>
      <w:r w:rsidRPr="00635A00">
        <w:rPr>
          <w:rFonts w:ascii="Times New Roman" w:hAnsi="Times New Roman" w:cs="Times New Roman"/>
          <w:color w:val="auto"/>
        </w:rPr>
        <w:t>intervenciones de los ciudadanos, de las entidades y organizaciones invitadas a participar en el trámite, así como de la Procuraduría Gene</w:t>
      </w:r>
      <w:r w:rsidRPr="00635A00">
        <w:rPr>
          <w:rFonts w:ascii="Times New Roman" w:hAnsi="Times New Roman" w:cs="Times New Roman"/>
          <w:color w:val="auto"/>
        </w:rPr>
        <w:t>ral de la Nación.</w:t>
      </w:r>
      <w:r w:rsidRPr="00635A00">
        <w:rPr>
          <w:rFonts w:ascii="Times New Roman" w:hAnsi="Times New Roman" w:cs="Times New Roman"/>
          <w:color w:val="auto"/>
        </w:rPr>
        <w:t xml:space="preserve"> </w:t>
      </w:r>
      <w:r w:rsidRPr="00635A00">
        <w:rPr>
          <w:rFonts w:ascii="Times New Roman" w:hAnsi="Times New Roman" w:cs="Times New Roman"/>
          <w:color w:val="auto"/>
        </w:rPr>
        <w:t>Tales intervenciones</w:t>
      </w:r>
      <w:r w:rsidRPr="00635A00">
        <w:rPr>
          <w:rFonts w:ascii="Times New Roman" w:hAnsi="Times New Roman" w:cs="Times New Roman"/>
          <w:color w:val="auto"/>
        </w:rPr>
        <w:t>, necesariamente presentad</w:t>
      </w:r>
      <w:r w:rsidRPr="00635A00">
        <w:rPr>
          <w:rFonts w:ascii="Times New Roman" w:hAnsi="Times New Roman" w:cs="Times New Roman"/>
          <w:color w:val="auto"/>
        </w:rPr>
        <w:t>a</w:t>
      </w:r>
      <w:r w:rsidRPr="00635A00">
        <w:rPr>
          <w:rFonts w:ascii="Times New Roman" w:hAnsi="Times New Roman" w:cs="Times New Roman"/>
          <w:color w:val="auto"/>
        </w:rPr>
        <w:t xml:space="preserve">s con posterioridad a la admisión de la demanda, </w:t>
      </w:r>
      <w:r w:rsidRPr="00635A00">
        <w:rPr>
          <w:rFonts w:ascii="Times New Roman" w:hAnsi="Times New Roman" w:cs="Times New Roman"/>
          <w:color w:val="auto"/>
        </w:rPr>
        <w:t xml:space="preserve">pueden aportarle a la Sala Plena elementos de juicio sobre los presupuestos de aptitud sustantiva de la demanda, </w:t>
      </w:r>
      <w:r w:rsidRPr="00635A00">
        <w:rPr>
          <w:rFonts w:ascii="Times New Roman" w:hAnsi="Times New Roman" w:cs="Times New Roman"/>
          <w:color w:val="auto"/>
        </w:rPr>
        <w:t xml:space="preserve">por demás </w:t>
      </w:r>
      <w:r w:rsidRPr="00635A00">
        <w:rPr>
          <w:rFonts w:ascii="Times New Roman" w:hAnsi="Times New Roman" w:cs="Times New Roman"/>
          <w:color w:val="auto"/>
        </w:rPr>
        <w:t>indispensables para</w:t>
      </w:r>
      <w:r w:rsidRPr="00635A00">
        <w:rPr>
          <w:rFonts w:ascii="Times New Roman" w:hAnsi="Times New Roman" w:cs="Times New Roman"/>
          <w:color w:val="auto"/>
        </w:rPr>
        <w:t xml:space="preserve"> que la Corte pueda emitir un pronunciamiento de fondo</w:t>
      </w:r>
      <w:r w:rsidRPr="00635A00">
        <w:rPr>
          <w:rStyle w:val="Refdenotaalpie"/>
          <w:rFonts w:ascii="Times New Roman" w:hAnsi="Times New Roman" w:cs="Times New Roman"/>
          <w:color w:val="auto"/>
        </w:rPr>
        <w:footnoteReference w:id="34"/>
      </w:r>
      <w:r w:rsidRPr="00635A00">
        <w:rPr>
          <w:rFonts w:ascii="Times New Roman" w:hAnsi="Times New Roman" w:cs="Times New Roman"/>
          <w:color w:val="auto"/>
        </w:rPr>
        <w:t>.</w:t>
      </w:r>
    </w:p>
    <w:p w:rsidR="00F07A7B" w:rsidRPr="00635A00" w:rsidRDefault="00635A00" w:rsidP="00F07A7B">
      <w:pPr>
        <w:pStyle w:val="Sombreadovistoso-nfasis31"/>
        <w:ind w:left="0"/>
        <w:rPr>
          <w:rFonts w:ascii="Times New Roman" w:hAnsi="Times New Roman" w:cs="Times New Roman"/>
          <w:b/>
          <w:bCs/>
          <w:color w:val="auto"/>
        </w:rPr>
      </w:pPr>
    </w:p>
    <w:p w:rsidR="005F6DAB" w:rsidRPr="00635A00" w:rsidRDefault="00635A00" w:rsidP="005F523B">
      <w:pPr>
        <w:pStyle w:val="Sombreadovistoso-nfasis31"/>
        <w:numPr>
          <w:ilvl w:val="0"/>
          <w:numId w:val="3"/>
        </w:numPr>
        <w:rPr>
          <w:rFonts w:ascii="Times New Roman" w:hAnsi="Times New Roman" w:cs="Times New Roman"/>
          <w:b/>
          <w:bCs/>
          <w:color w:val="auto"/>
        </w:rPr>
      </w:pPr>
      <w:r w:rsidRPr="00635A00">
        <w:rPr>
          <w:rFonts w:ascii="Times New Roman" w:hAnsi="Times New Roman" w:cs="Times New Roman"/>
          <w:color w:val="auto"/>
        </w:rPr>
        <w:t xml:space="preserve">En </w:t>
      </w:r>
      <w:r w:rsidRPr="00635A00">
        <w:rPr>
          <w:rFonts w:ascii="Times New Roman" w:hAnsi="Times New Roman" w:cs="Times New Roman"/>
          <w:color w:val="auto"/>
        </w:rPr>
        <w:t xml:space="preserve">sentencia C-1052 de 2001, esta </w:t>
      </w:r>
      <w:r w:rsidRPr="00635A00">
        <w:rPr>
          <w:rFonts w:ascii="Times New Roman" w:hAnsi="Times New Roman" w:cs="Times New Roman"/>
          <w:color w:val="auto"/>
        </w:rPr>
        <w:t>Corte</w:t>
      </w:r>
      <w:r w:rsidRPr="00635A00">
        <w:rPr>
          <w:rFonts w:ascii="Times New Roman" w:hAnsi="Times New Roman" w:cs="Times New Roman"/>
          <w:color w:val="auto"/>
        </w:rPr>
        <w:t xml:space="preserve"> determinó que el correcto planteamiento del concepto de la vulneración exige que los cargos de inconstitucionalidad estén fundamentados en razones claras, ciertas, específicas, pertinentes y suficientes, atributos que ha</w:t>
      </w:r>
      <w:r w:rsidRPr="00635A00">
        <w:rPr>
          <w:rFonts w:ascii="Times New Roman" w:hAnsi="Times New Roman" w:cs="Times New Roman"/>
          <w:color w:val="auto"/>
        </w:rPr>
        <w:t>n sido objeto de cuantiosos pronunc</w:t>
      </w:r>
      <w:r w:rsidRPr="00635A00">
        <w:rPr>
          <w:rFonts w:ascii="Times New Roman" w:hAnsi="Times New Roman" w:cs="Times New Roman"/>
          <w:color w:val="auto"/>
        </w:rPr>
        <w:t>iamientos por parte de esta Corporación</w:t>
      </w:r>
      <w:r w:rsidRPr="00635A00">
        <w:rPr>
          <w:rStyle w:val="Refdenotaalpie"/>
          <w:rFonts w:ascii="Times New Roman" w:hAnsi="Times New Roman" w:cs="Times New Roman"/>
          <w:color w:val="auto"/>
        </w:rPr>
        <w:footnoteReference w:id="35"/>
      </w:r>
      <w:r w:rsidRPr="00635A00">
        <w:rPr>
          <w:rFonts w:ascii="Times New Roman" w:hAnsi="Times New Roman" w:cs="Times New Roman"/>
          <w:color w:val="auto"/>
        </w:rPr>
        <w:t>. En sentencia C-385 de 2022</w:t>
      </w:r>
      <w:r w:rsidRPr="00635A00">
        <w:rPr>
          <w:rStyle w:val="Refdenotaalpie"/>
          <w:rFonts w:ascii="Times New Roman" w:hAnsi="Times New Roman" w:cs="Times New Roman"/>
          <w:color w:val="auto"/>
        </w:rPr>
        <w:footnoteReference w:id="36"/>
      </w:r>
      <w:r w:rsidRPr="00635A00">
        <w:rPr>
          <w:rFonts w:ascii="Times New Roman" w:hAnsi="Times New Roman" w:cs="Times New Roman"/>
          <w:color w:val="auto"/>
        </w:rPr>
        <w:t>, la Corte sintetizó el contenido de tales requisitos en los siguientes términos:</w:t>
      </w:r>
    </w:p>
    <w:p w:rsidR="005F6DAB" w:rsidRPr="00635A00" w:rsidRDefault="00635A00" w:rsidP="005F6DAB">
      <w:pPr>
        <w:pStyle w:val="Sombreadovistoso-nfasis31"/>
        <w:ind w:left="0"/>
        <w:rPr>
          <w:rFonts w:ascii="Times New Roman" w:hAnsi="Times New Roman" w:cs="Times New Roman"/>
          <w:color w:val="auto"/>
        </w:rPr>
      </w:pPr>
    </w:p>
    <w:p w:rsidR="00F07A7B" w:rsidRPr="00635A00" w:rsidRDefault="00635A00" w:rsidP="006C62D5">
      <w:pPr>
        <w:shd w:val="clear" w:color="auto" w:fill="FFFFFF"/>
        <w:ind w:left="567" w:right="49"/>
        <w:jc w:val="both"/>
        <w:rPr>
          <w:rFonts w:ascii="Times New Roman" w:hAnsi="Times New Roman" w:cs="Times New Roman"/>
          <w:b/>
          <w:bCs/>
          <w:sz w:val="28"/>
        </w:rPr>
      </w:pPr>
      <w:bookmarkStart w:id="10" w:name="_Hlk153641817"/>
      <w:r w:rsidRPr="00635A00">
        <w:rPr>
          <w:rFonts w:ascii="Times New Roman" w:hAnsi="Times New Roman" w:cs="Times New Roman"/>
          <w:sz w:val="28"/>
          <w:shd w:val="clear" w:color="auto" w:fill="FFFFFF"/>
        </w:rPr>
        <w:t>“…las acusaciones deben: (i) ser suficientemente comprensibles (claridad); (ii) recaer sobre el contenid</w:t>
      </w:r>
      <w:r w:rsidRPr="00635A00">
        <w:rPr>
          <w:rFonts w:ascii="Times New Roman" w:hAnsi="Times New Roman" w:cs="Times New Roman"/>
          <w:sz w:val="28"/>
          <w:shd w:val="clear" w:color="auto" w:fill="FFFFFF"/>
        </w:rPr>
        <w:t>o real de la disposición acusada y no sobre uno inferido por quien demanda (certeza); (iii) demostrar cómo la disposición vulnera la Constitución Política, mediante argumentos determinados, concretos, precisos y particulares sobre la norma en juicio (espec</w:t>
      </w:r>
      <w:r w:rsidRPr="00635A00">
        <w:rPr>
          <w:rFonts w:ascii="Times New Roman" w:hAnsi="Times New Roman" w:cs="Times New Roman"/>
          <w:sz w:val="28"/>
          <w:shd w:val="clear" w:color="auto" w:fill="FFFFFF"/>
        </w:rPr>
        <w:t>ificidad); (iv) ofrecer razonamientos de índole constitucional que se refieran al contenido normativo de las disposiciones demandadas (pertinencia); y (v) suscitar una mínima duda sobre la constitucionalidad de la norma que se estima contraria a la Carta P</w:t>
      </w:r>
      <w:r w:rsidRPr="00635A00">
        <w:rPr>
          <w:rFonts w:ascii="Times New Roman" w:hAnsi="Times New Roman" w:cs="Times New Roman"/>
          <w:sz w:val="28"/>
          <w:shd w:val="clear" w:color="auto" w:fill="FFFFFF"/>
        </w:rPr>
        <w:t>olítica (suficiencia).”</w:t>
      </w:r>
      <w:bookmarkEnd w:id="10"/>
      <w:r w:rsidRPr="00635A00">
        <w:rPr>
          <w:rFonts w:ascii="Times New Roman" w:hAnsi="Times New Roman" w:cs="Times New Roman"/>
          <w:sz w:val="28"/>
        </w:rPr>
        <w:t xml:space="preserve"> </w:t>
      </w:r>
    </w:p>
    <w:p w:rsidR="00F07A7B" w:rsidRPr="00635A00" w:rsidRDefault="00635A00" w:rsidP="00F07A7B">
      <w:pPr>
        <w:pStyle w:val="Sombreadovistoso-nfasis31"/>
        <w:ind w:left="0"/>
        <w:rPr>
          <w:rFonts w:ascii="Times New Roman" w:hAnsi="Times New Roman" w:cs="Times New Roman"/>
          <w:b/>
          <w:bCs/>
          <w:color w:val="auto"/>
        </w:rPr>
      </w:pPr>
    </w:p>
    <w:p w:rsidR="005F523B" w:rsidRPr="00635A00" w:rsidRDefault="00635A00" w:rsidP="005F523B">
      <w:pPr>
        <w:pStyle w:val="Sombreadovistoso-nfasis31"/>
        <w:numPr>
          <w:ilvl w:val="0"/>
          <w:numId w:val="3"/>
        </w:numPr>
        <w:rPr>
          <w:rFonts w:ascii="Times New Roman" w:hAnsi="Times New Roman" w:cs="Times New Roman"/>
          <w:b/>
          <w:bCs/>
          <w:color w:val="auto"/>
        </w:rPr>
      </w:pPr>
      <w:r w:rsidRPr="00635A00">
        <w:rPr>
          <w:rFonts w:ascii="Times New Roman" w:hAnsi="Times New Roman" w:cs="Times New Roman"/>
          <w:color w:val="auto"/>
        </w:rPr>
        <w:t>En sus intervenciones</w:t>
      </w:r>
      <w:r w:rsidRPr="00635A00">
        <w:rPr>
          <w:rFonts w:ascii="Times New Roman" w:hAnsi="Times New Roman" w:cs="Times New Roman"/>
          <w:color w:val="auto"/>
        </w:rPr>
        <w:t xml:space="preserve"> dentro del presente trámite</w:t>
      </w:r>
      <w:r w:rsidRPr="00635A00">
        <w:rPr>
          <w:rFonts w:ascii="Times New Roman" w:hAnsi="Times New Roman" w:cs="Times New Roman"/>
          <w:color w:val="auto"/>
        </w:rPr>
        <w:t xml:space="preserve">, la </w:t>
      </w:r>
      <w:r w:rsidRPr="00635A00">
        <w:rPr>
          <w:rFonts w:ascii="Times New Roman" w:hAnsi="Times New Roman" w:cs="Times New Roman"/>
          <w:color w:val="auto"/>
        </w:rPr>
        <w:t xml:space="preserve">Secretaría Jurídica de la Presidencia de la República, el Ministerio de Agricultura y Desarrollo Rural y la Comisión Colombiana de Juristas cuestionaron la aptitud sustantiva </w:t>
      </w:r>
      <w:r w:rsidRPr="00635A00">
        <w:rPr>
          <w:rFonts w:ascii="Times New Roman" w:hAnsi="Times New Roman" w:cs="Times New Roman"/>
          <w:color w:val="auto"/>
        </w:rPr>
        <w:t>de los cargos</w:t>
      </w:r>
      <w:r w:rsidRPr="00635A00">
        <w:rPr>
          <w:rFonts w:ascii="Times New Roman" w:hAnsi="Times New Roman" w:cs="Times New Roman"/>
          <w:color w:val="auto"/>
        </w:rPr>
        <w:t xml:space="preserve"> por distintas razones</w:t>
      </w:r>
      <w:r w:rsidRPr="00635A00">
        <w:rPr>
          <w:rFonts w:ascii="Times New Roman" w:hAnsi="Times New Roman" w:cs="Times New Roman"/>
          <w:color w:val="auto"/>
        </w:rPr>
        <w:t xml:space="preserve">. En consecuencia, </w:t>
      </w:r>
      <w:r w:rsidRPr="00635A00">
        <w:rPr>
          <w:rFonts w:ascii="Times New Roman" w:hAnsi="Times New Roman" w:cs="Times New Roman"/>
          <w:color w:val="auto"/>
        </w:rPr>
        <w:t xml:space="preserve">la Sala </w:t>
      </w:r>
      <w:r w:rsidRPr="00635A00">
        <w:rPr>
          <w:rFonts w:ascii="Times New Roman" w:hAnsi="Times New Roman" w:cs="Times New Roman"/>
          <w:color w:val="auto"/>
        </w:rPr>
        <w:t>verificará si las demandas bajo ex</w:t>
      </w:r>
      <w:r w:rsidRPr="00635A00">
        <w:rPr>
          <w:rFonts w:ascii="Times New Roman" w:hAnsi="Times New Roman" w:cs="Times New Roman"/>
          <w:color w:val="auto"/>
        </w:rPr>
        <w:t>a</w:t>
      </w:r>
      <w:r w:rsidRPr="00635A00">
        <w:rPr>
          <w:rFonts w:ascii="Times New Roman" w:hAnsi="Times New Roman" w:cs="Times New Roman"/>
          <w:color w:val="auto"/>
        </w:rPr>
        <w:t xml:space="preserve">men </w:t>
      </w:r>
      <w:r w:rsidRPr="00635A00">
        <w:rPr>
          <w:rFonts w:ascii="Times New Roman" w:hAnsi="Times New Roman" w:cs="Times New Roman"/>
          <w:color w:val="auto"/>
        </w:rPr>
        <w:t>cumplen o no con las referidas exigencias</w:t>
      </w:r>
      <w:r w:rsidRPr="00635A00">
        <w:rPr>
          <w:rFonts w:ascii="Times New Roman" w:hAnsi="Times New Roman" w:cs="Times New Roman"/>
          <w:color w:val="auto"/>
        </w:rPr>
        <w:t>, con especial atención a los reproches que en este sentido formularon los intervinientes</w:t>
      </w:r>
      <w:r w:rsidRPr="00635A00">
        <w:rPr>
          <w:rFonts w:ascii="Times New Roman" w:hAnsi="Times New Roman" w:cs="Times New Roman"/>
          <w:color w:val="auto"/>
        </w:rPr>
        <w:t>.</w:t>
      </w:r>
    </w:p>
    <w:p w:rsidR="000B1A05" w:rsidRPr="00635A00" w:rsidRDefault="00635A00" w:rsidP="000B1A05">
      <w:pPr>
        <w:tabs>
          <w:tab w:val="left" w:pos="1134"/>
        </w:tabs>
        <w:contextualSpacing/>
        <w:rPr>
          <w:rFonts w:ascii="Times New Roman" w:hAnsi="Times New Roman" w:cs="Times New Roman"/>
          <w:b/>
          <w:bCs/>
          <w:sz w:val="28"/>
        </w:rPr>
      </w:pPr>
    </w:p>
    <w:p w:rsidR="00E3081E" w:rsidRPr="00635A00" w:rsidRDefault="00635A00" w:rsidP="00E3081E">
      <w:pPr>
        <w:pStyle w:val="Descripcin"/>
        <w:keepNext/>
        <w:rPr>
          <w:rFonts w:ascii="Times New Roman" w:hAnsi="Times New Roman" w:cs="Times New Roman"/>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5</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Verificación de la aptitud sustantiva de las demandas</w:t>
      </w:r>
    </w:p>
    <w:tbl>
      <w:tblPr>
        <w:tblStyle w:val="Tablaconcuadrcula"/>
        <w:tblW w:w="0" w:type="auto"/>
        <w:tblLook w:val="04A0" w:firstRow="1" w:lastRow="0" w:firstColumn="1" w:lastColumn="0" w:noHBand="0" w:noVBand="1"/>
      </w:tblPr>
      <w:tblGrid>
        <w:gridCol w:w="1662"/>
        <w:gridCol w:w="3568"/>
        <w:gridCol w:w="3598"/>
      </w:tblGrid>
      <w:tr w:rsidR="00301B43" w:rsidRPr="00635A00" w:rsidTr="00A86D3D">
        <w:trPr>
          <w:tblHeader/>
        </w:trPr>
        <w:tc>
          <w:tcPr>
            <w:tcW w:w="1668" w:type="dxa"/>
            <w:shd w:val="clear" w:color="auto" w:fill="E2EFD9" w:themeFill="accent6" w:themeFillTint="33"/>
          </w:tcPr>
          <w:p w:rsidR="00E3081E" w:rsidRPr="00635A00" w:rsidRDefault="00635A00" w:rsidP="00E3081E">
            <w:pPr>
              <w:tabs>
                <w:tab w:val="left" w:pos="1134"/>
              </w:tabs>
              <w:contextualSpacing/>
              <w:jc w:val="center"/>
              <w:rPr>
                <w:rFonts w:ascii="Times New Roman" w:hAnsi="Times New Roman"/>
                <w:b/>
                <w:bCs/>
                <w:sz w:val="28"/>
              </w:rPr>
            </w:pPr>
            <w:r w:rsidRPr="00635A00">
              <w:rPr>
                <w:rFonts w:ascii="Times New Roman" w:hAnsi="Times New Roman"/>
                <w:b/>
                <w:bCs/>
                <w:sz w:val="28"/>
              </w:rPr>
              <w:t>Requisito</w:t>
            </w:r>
          </w:p>
        </w:tc>
        <w:tc>
          <w:tcPr>
            <w:tcW w:w="3655" w:type="dxa"/>
            <w:shd w:val="clear" w:color="auto" w:fill="E2EFD9" w:themeFill="accent6" w:themeFillTint="33"/>
          </w:tcPr>
          <w:p w:rsidR="00E3081E" w:rsidRPr="00635A00" w:rsidRDefault="00635A00" w:rsidP="00E3081E">
            <w:pPr>
              <w:tabs>
                <w:tab w:val="left" w:pos="1134"/>
              </w:tabs>
              <w:contextualSpacing/>
              <w:jc w:val="center"/>
              <w:rPr>
                <w:rFonts w:ascii="Times New Roman" w:hAnsi="Times New Roman"/>
                <w:b/>
                <w:bCs/>
                <w:sz w:val="28"/>
              </w:rPr>
            </w:pPr>
            <w:r w:rsidRPr="00635A00">
              <w:rPr>
                <w:rFonts w:ascii="Times New Roman" w:hAnsi="Times New Roman"/>
                <w:b/>
                <w:bCs/>
                <w:sz w:val="28"/>
              </w:rPr>
              <w:t>Expediente D-15438</w:t>
            </w:r>
          </w:p>
        </w:tc>
        <w:tc>
          <w:tcPr>
            <w:tcW w:w="3655" w:type="dxa"/>
            <w:shd w:val="clear" w:color="auto" w:fill="E2EFD9" w:themeFill="accent6" w:themeFillTint="33"/>
          </w:tcPr>
          <w:p w:rsidR="00E3081E" w:rsidRPr="00635A00" w:rsidRDefault="00635A00" w:rsidP="00E3081E">
            <w:pPr>
              <w:tabs>
                <w:tab w:val="left" w:pos="1134"/>
              </w:tabs>
              <w:contextualSpacing/>
              <w:jc w:val="center"/>
              <w:rPr>
                <w:rFonts w:ascii="Times New Roman" w:hAnsi="Times New Roman"/>
                <w:b/>
                <w:bCs/>
                <w:sz w:val="28"/>
              </w:rPr>
            </w:pPr>
            <w:r w:rsidRPr="00635A00">
              <w:rPr>
                <w:rFonts w:ascii="Times New Roman" w:hAnsi="Times New Roman"/>
                <w:b/>
                <w:bCs/>
                <w:sz w:val="28"/>
              </w:rPr>
              <w:t>Expediente D-15461</w:t>
            </w:r>
          </w:p>
        </w:tc>
      </w:tr>
      <w:tr w:rsidR="00301B43" w:rsidRPr="00635A00" w:rsidTr="00EE7D4B">
        <w:tc>
          <w:tcPr>
            <w:tcW w:w="1668" w:type="dxa"/>
            <w:vAlign w:val="center"/>
          </w:tcPr>
          <w:p w:rsidR="003812ED" w:rsidRPr="00635A00" w:rsidRDefault="00635A00" w:rsidP="00E3081E">
            <w:pPr>
              <w:tabs>
                <w:tab w:val="left" w:pos="1134"/>
              </w:tabs>
              <w:contextualSpacing/>
              <w:jc w:val="center"/>
              <w:rPr>
                <w:rFonts w:ascii="Times New Roman" w:hAnsi="Times New Roman"/>
                <w:sz w:val="28"/>
              </w:rPr>
            </w:pPr>
            <w:r w:rsidRPr="00635A00">
              <w:rPr>
                <w:rFonts w:ascii="Times New Roman" w:hAnsi="Times New Roman"/>
                <w:sz w:val="28"/>
              </w:rPr>
              <w:t>Claridad</w:t>
            </w:r>
          </w:p>
        </w:tc>
        <w:tc>
          <w:tcPr>
            <w:tcW w:w="7310" w:type="dxa"/>
            <w:gridSpan w:val="2"/>
            <w:tcBorders>
              <w:bottom w:val="single" w:sz="4" w:space="0" w:color="auto"/>
            </w:tcBorders>
          </w:tcPr>
          <w:p w:rsidR="003812ED" w:rsidRPr="00635A00" w:rsidRDefault="00635A00" w:rsidP="00D47335">
            <w:pPr>
              <w:tabs>
                <w:tab w:val="left" w:pos="1134"/>
              </w:tabs>
              <w:contextualSpacing/>
              <w:jc w:val="both"/>
              <w:rPr>
                <w:rFonts w:ascii="Times New Roman" w:hAnsi="Times New Roman"/>
                <w:sz w:val="28"/>
              </w:rPr>
            </w:pPr>
            <w:r w:rsidRPr="00635A00">
              <w:rPr>
                <w:rFonts w:ascii="Times New Roman" w:hAnsi="Times New Roman"/>
                <w:sz w:val="28"/>
              </w:rPr>
              <w:t xml:space="preserve">Las demandas </w:t>
            </w:r>
            <w:r w:rsidRPr="00635A00">
              <w:rPr>
                <w:rFonts w:ascii="Times New Roman" w:hAnsi="Times New Roman"/>
                <w:sz w:val="28"/>
              </w:rPr>
              <w:t>utilizan</w:t>
            </w:r>
            <w:r w:rsidRPr="00635A00">
              <w:rPr>
                <w:rFonts w:ascii="Times New Roman" w:hAnsi="Times New Roman"/>
                <w:sz w:val="28"/>
              </w:rPr>
              <w:t xml:space="preserve"> un lenguaje</w:t>
            </w:r>
            <w:r w:rsidRPr="00635A00">
              <w:rPr>
                <w:rFonts w:ascii="Times New Roman" w:hAnsi="Times New Roman"/>
                <w:sz w:val="28"/>
              </w:rPr>
              <w:t xml:space="preserve"> y una sintaxis comprensible. C</w:t>
            </w:r>
            <w:r w:rsidRPr="00635A00">
              <w:rPr>
                <w:rFonts w:ascii="Times New Roman" w:hAnsi="Times New Roman"/>
                <w:sz w:val="28"/>
              </w:rPr>
              <w:t>ontrario a lo planteado por la Secretaría Jurídica d</w:t>
            </w:r>
            <w:r w:rsidRPr="00635A00">
              <w:rPr>
                <w:rFonts w:ascii="Times New Roman" w:hAnsi="Times New Roman"/>
                <w:sz w:val="28"/>
              </w:rPr>
              <w:t xml:space="preserve">e la Presidencia de la República y el Ministerio de Agricultura y Desarrollo Rural, </w:t>
            </w:r>
            <w:r w:rsidRPr="00635A00">
              <w:rPr>
                <w:rFonts w:ascii="Times New Roman" w:hAnsi="Times New Roman"/>
                <w:sz w:val="28"/>
              </w:rPr>
              <w:t xml:space="preserve">las demandas sí cuentan con un hilo conductor que permite identificar las normas acusadas, los preceptos superiores que se invocan como vulnerados, las razones por las que </w:t>
            </w:r>
            <w:r w:rsidRPr="00635A00">
              <w:rPr>
                <w:rFonts w:ascii="Times New Roman" w:hAnsi="Times New Roman"/>
                <w:sz w:val="28"/>
              </w:rPr>
              <w:t>los demandantes consideran que ocurre la violación, y el remedio que, en consecuencia, consideran debe adoptar la Corte.</w:t>
            </w:r>
            <w:r w:rsidRPr="00635A00">
              <w:rPr>
                <w:rFonts w:ascii="Times New Roman" w:hAnsi="Times New Roman"/>
                <w:sz w:val="28"/>
              </w:rPr>
              <w:t xml:space="preserve"> El hecho de que los accionantes reiteren sus argumentos para sustentar sus reproches no afecta la claridad de los cargos, ni genera con</w:t>
            </w:r>
            <w:r w:rsidRPr="00635A00">
              <w:rPr>
                <w:rFonts w:ascii="Times New Roman" w:hAnsi="Times New Roman"/>
                <w:sz w:val="28"/>
              </w:rPr>
              <w:t>fusión.</w:t>
            </w:r>
            <w:r w:rsidRPr="00635A00">
              <w:rPr>
                <w:rFonts w:ascii="Times New Roman" w:hAnsi="Times New Roman"/>
                <w:sz w:val="28"/>
              </w:rPr>
              <w:t xml:space="preserve"> </w:t>
            </w:r>
            <w:r w:rsidRPr="00635A00">
              <w:rPr>
                <w:rFonts w:ascii="Times New Roman" w:hAnsi="Times New Roman"/>
                <w:sz w:val="28"/>
              </w:rPr>
              <w:t xml:space="preserve"> </w:t>
            </w:r>
            <w:r w:rsidRPr="00635A00">
              <w:rPr>
                <w:rFonts w:ascii="Times New Roman" w:hAnsi="Times New Roman"/>
                <w:sz w:val="28"/>
              </w:rPr>
              <w:t>Además, los mencionados intervinientes en todo caso refutaron los cargos de inconstitucionalidad, lo que denota que lograron comprender en qué consistían tales acusaciones.</w:t>
            </w:r>
          </w:p>
        </w:tc>
      </w:tr>
      <w:tr w:rsidR="00301B43" w:rsidRPr="00635A00" w:rsidTr="00EE7D4B">
        <w:tc>
          <w:tcPr>
            <w:tcW w:w="1668" w:type="dxa"/>
            <w:vMerge w:val="restart"/>
            <w:tcBorders>
              <w:right w:val="single" w:sz="4" w:space="0" w:color="auto"/>
            </w:tcBorders>
            <w:vAlign w:val="center"/>
          </w:tcPr>
          <w:p w:rsidR="00EE7D4B" w:rsidRPr="00635A00" w:rsidRDefault="00635A00" w:rsidP="00E3081E">
            <w:pPr>
              <w:tabs>
                <w:tab w:val="left" w:pos="1134"/>
              </w:tabs>
              <w:contextualSpacing/>
              <w:jc w:val="center"/>
              <w:rPr>
                <w:rFonts w:ascii="Times New Roman" w:hAnsi="Times New Roman"/>
                <w:sz w:val="28"/>
              </w:rPr>
            </w:pPr>
            <w:r w:rsidRPr="00635A00">
              <w:rPr>
                <w:rFonts w:ascii="Times New Roman" w:hAnsi="Times New Roman"/>
                <w:sz w:val="28"/>
              </w:rPr>
              <w:t>Certeza</w:t>
            </w:r>
          </w:p>
        </w:tc>
        <w:tc>
          <w:tcPr>
            <w:tcW w:w="7310" w:type="dxa"/>
            <w:gridSpan w:val="2"/>
            <w:tcBorders>
              <w:top w:val="single" w:sz="4" w:space="0" w:color="auto"/>
              <w:left w:val="single" w:sz="4" w:space="0" w:color="auto"/>
              <w:bottom w:val="nil"/>
              <w:right w:val="single" w:sz="4" w:space="0" w:color="auto"/>
            </w:tcBorders>
          </w:tcPr>
          <w:p w:rsidR="00DA0C5F" w:rsidRPr="00635A00" w:rsidRDefault="00635A00" w:rsidP="0010471D">
            <w:pPr>
              <w:tabs>
                <w:tab w:val="left" w:pos="1134"/>
              </w:tabs>
              <w:contextualSpacing/>
              <w:jc w:val="both"/>
              <w:rPr>
                <w:rFonts w:ascii="Times New Roman" w:hAnsi="Times New Roman"/>
                <w:sz w:val="28"/>
              </w:rPr>
            </w:pPr>
            <w:r w:rsidRPr="00635A00">
              <w:rPr>
                <w:rFonts w:ascii="Times New Roman" w:hAnsi="Times New Roman"/>
                <w:sz w:val="28"/>
              </w:rPr>
              <w:t xml:space="preserve">La Secretaría Jurídica de la Presidencia de la República indicó </w:t>
            </w:r>
            <w:r w:rsidRPr="00635A00">
              <w:rPr>
                <w:rFonts w:ascii="Times New Roman" w:hAnsi="Times New Roman"/>
                <w:sz w:val="28"/>
              </w:rPr>
              <w:t>que los cargos se basan en “en simples afirmaciones que no guardan una correspondencia lógica con el contenido del precepto acusado”</w:t>
            </w:r>
            <w:r w:rsidRPr="00635A00">
              <w:rPr>
                <w:rStyle w:val="Refdenotaalpie"/>
                <w:rFonts w:ascii="Times New Roman" w:hAnsi="Times New Roman"/>
                <w:sz w:val="28"/>
              </w:rPr>
              <w:footnoteReference w:id="37"/>
            </w:r>
            <w:r w:rsidRPr="00635A00">
              <w:rPr>
                <w:rFonts w:ascii="Times New Roman" w:hAnsi="Times New Roman"/>
                <w:sz w:val="28"/>
              </w:rPr>
              <w:t xml:space="preserve">, al señalar que las normas demandadas buscan reformar el procedimiento único agrario regulado por el Decreto Ley 902 de </w:t>
            </w:r>
            <w:r w:rsidRPr="00635A00">
              <w:rPr>
                <w:rFonts w:ascii="Times New Roman" w:hAnsi="Times New Roman"/>
                <w:sz w:val="28"/>
              </w:rPr>
              <w:t>2017 en relación con algunas de las materias que se tramitan bajo dicho procedimiento.</w:t>
            </w:r>
            <w:r w:rsidRPr="00635A00">
              <w:rPr>
                <w:rFonts w:ascii="Times New Roman" w:hAnsi="Times New Roman"/>
                <w:sz w:val="28"/>
              </w:rPr>
              <w:t xml:space="preserve"> Por su parte, </w:t>
            </w:r>
            <w:r w:rsidRPr="00635A00">
              <w:rPr>
                <w:rFonts w:ascii="Times New Roman" w:hAnsi="Times New Roman"/>
                <w:sz w:val="28"/>
              </w:rPr>
              <w:t>la Comisión Colombiana de Juristas indicó que el cargo carece de certeza porque se sustenta en apreciaciones subjetivas de los actores en cuanto a la efica</w:t>
            </w:r>
            <w:r w:rsidRPr="00635A00">
              <w:rPr>
                <w:rFonts w:ascii="Times New Roman" w:hAnsi="Times New Roman"/>
                <w:sz w:val="28"/>
              </w:rPr>
              <w:t>cia del derecho al debido proceso en las actuaciones administrativas de la ANT.</w:t>
            </w:r>
          </w:p>
          <w:p w:rsidR="00DA0C5F" w:rsidRPr="00635A00" w:rsidRDefault="00635A00" w:rsidP="0010471D">
            <w:pPr>
              <w:tabs>
                <w:tab w:val="left" w:pos="1134"/>
              </w:tabs>
              <w:contextualSpacing/>
              <w:jc w:val="both"/>
              <w:rPr>
                <w:rFonts w:ascii="Times New Roman" w:hAnsi="Times New Roman"/>
                <w:sz w:val="28"/>
              </w:rPr>
            </w:pPr>
          </w:p>
          <w:p w:rsidR="00EE7D4B" w:rsidRPr="00635A00" w:rsidRDefault="00635A00" w:rsidP="0010471D">
            <w:pPr>
              <w:tabs>
                <w:tab w:val="left" w:pos="1134"/>
              </w:tabs>
              <w:contextualSpacing/>
              <w:jc w:val="both"/>
              <w:rPr>
                <w:rFonts w:ascii="Times New Roman" w:hAnsi="Times New Roman"/>
                <w:sz w:val="28"/>
              </w:rPr>
            </w:pPr>
            <w:r w:rsidRPr="00635A00">
              <w:rPr>
                <w:rFonts w:ascii="Times New Roman" w:hAnsi="Times New Roman"/>
                <w:sz w:val="28"/>
              </w:rPr>
              <w:t xml:space="preserve">La </w:t>
            </w:r>
            <w:r w:rsidRPr="00635A00">
              <w:rPr>
                <w:rFonts w:ascii="Times New Roman" w:hAnsi="Times New Roman"/>
                <w:sz w:val="28"/>
              </w:rPr>
              <w:t xml:space="preserve">Corte observa </w:t>
            </w:r>
            <w:r w:rsidRPr="00635A00">
              <w:rPr>
                <w:rFonts w:ascii="Times New Roman" w:hAnsi="Times New Roman"/>
                <w:sz w:val="28"/>
              </w:rPr>
              <w:t>que a</w:t>
            </w:r>
            <w:r w:rsidRPr="00635A00">
              <w:rPr>
                <w:rFonts w:ascii="Times New Roman" w:hAnsi="Times New Roman"/>
                <w:sz w:val="28"/>
              </w:rPr>
              <w:t>mbas demandas cuestionan que las normas demandadas suprimen la etapa judicial del procedimiento único agrario regulado por el De</w:t>
            </w:r>
            <w:r w:rsidRPr="00635A00">
              <w:rPr>
                <w:rFonts w:ascii="Times New Roman" w:hAnsi="Times New Roman"/>
                <w:sz w:val="28"/>
              </w:rPr>
              <w:t xml:space="preserve">creto Ley 902 de 2017, </w:t>
            </w:r>
            <w:r w:rsidRPr="00635A00">
              <w:rPr>
                <w:rFonts w:ascii="Times New Roman" w:hAnsi="Times New Roman"/>
                <w:sz w:val="28"/>
              </w:rPr>
              <w:t>re</w:t>
            </w:r>
            <w:r w:rsidRPr="00635A00">
              <w:rPr>
                <w:rFonts w:ascii="Times New Roman" w:hAnsi="Times New Roman"/>
                <w:sz w:val="28"/>
              </w:rPr>
              <w:t>specto de los trámites de clarificación de la propiedad, deslinde y recuperación de baldíos; extinción judicial del dominio sobre tierras incultas; y caducidad administrativa, condición resolutoria del subsidio, reversión y revocatoria de titulación de bal</w:t>
            </w:r>
            <w:r w:rsidRPr="00635A00">
              <w:rPr>
                <w:rFonts w:ascii="Times New Roman" w:hAnsi="Times New Roman"/>
                <w:sz w:val="28"/>
              </w:rPr>
              <w:t xml:space="preserve">díos. </w:t>
            </w:r>
            <w:r w:rsidRPr="00635A00">
              <w:rPr>
                <w:rFonts w:ascii="Times New Roman" w:hAnsi="Times New Roman"/>
                <w:sz w:val="28"/>
              </w:rPr>
              <w:t xml:space="preserve">Este reproche sí surge de una </w:t>
            </w:r>
            <w:r w:rsidRPr="00635A00">
              <w:rPr>
                <w:rFonts w:ascii="Times New Roman" w:hAnsi="Times New Roman"/>
                <w:sz w:val="28"/>
              </w:rPr>
              <w:t xml:space="preserve">lectura correcta de las proposiciones normativas cuestionadas, en cuanto establecen que tales materias </w:t>
            </w:r>
            <w:r w:rsidRPr="00635A00">
              <w:rPr>
                <w:rFonts w:ascii="Times New Roman" w:hAnsi="Times New Roman"/>
                <w:sz w:val="28"/>
              </w:rPr>
              <w:t>ya no se resuelven a través de un trámite mixto compuesto por una etapa administrativa y otra judicial que culmina co</w:t>
            </w:r>
            <w:r w:rsidRPr="00635A00">
              <w:rPr>
                <w:rFonts w:ascii="Times New Roman" w:hAnsi="Times New Roman"/>
                <w:sz w:val="28"/>
              </w:rPr>
              <w:t xml:space="preserve">n una sentencia, sino que ahora </w:t>
            </w:r>
            <w:r w:rsidRPr="00635A00">
              <w:rPr>
                <w:rFonts w:ascii="Times New Roman" w:hAnsi="Times New Roman"/>
                <w:sz w:val="28"/>
              </w:rPr>
              <w:t xml:space="preserve">deben ser decididas de fondo por la ANT mediante </w:t>
            </w:r>
            <w:r w:rsidRPr="00635A00">
              <w:rPr>
                <w:rFonts w:ascii="Times New Roman" w:hAnsi="Times New Roman"/>
                <w:sz w:val="28"/>
              </w:rPr>
              <w:t xml:space="preserve">un </w:t>
            </w:r>
            <w:r w:rsidRPr="00635A00">
              <w:rPr>
                <w:rFonts w:ascii="Times New Roman" w:hAnsi="Times New Roman"/>
                <w:sz w:val="28"/>
              </w:rPr>
              <w:t>acto administrativo susceptible de ser demandado a través de la acción de nulidad agraria</w:t>
            </w:r>
            <w:r w:rsidRPr="00635A00">
              <w:rPr>
                <w:rFonts w:ascii="Times New Roman" w:hAnsi="Times New Roman"/>
                <w:sz w:val="28"/>
              </w:rPr>
              <w:t>.</w:t>
            </w:r>
            <w:r w:rsidRPr="00635A00">
              <w:rPr>
                <w:rFonts w:ascii="Times New Roman" w:hAnsi="Times New Roman"/>
                <w:sz w:val="28"/>
              </w:rPr>
              <w:t xml:space="preserve"> </w:t>
            </w:r>
            <w:r w:rsidRPr="00635A00">
              <w:rPr>
                <w:rFonts w:ascii="Times New Roman" w:hAnsi="Times New Roman"/>
                <w:sz w:val="28"/>
              </w:rPr>
              <w:t xml:space="preserve">Tan cierto es que este cambio supone una modificación del procedimiento regulado </w:t>
            </w:r>
            <w:r w:rsidRPr="00635A00">
              <w:rPr>
                <w:rFonts w:ascii="Times New Roman" w:hAnsi="Times New Roman"/>
                <w:sz w:val="28"/>
              </w:rPr>
              <w:t>por el Decreto Ley 902 de 2017, que el parágrafo 3° del artículo 61 aquí demandado deroga expresamente algunas disposiciones del mencionado Decreto Ley que resultarían incompatibles con la posibilidad de tramitar las aludidas materias a través de una actua</w:t>
            </w:r>
            <w:r w:rsidRPr="00635A00">
              <w:rPr>
                <w:rFonts w:ascii="Times New Roman" w:hAnsi="Times New Roman"/>
                <w:sz w:val="28"/>
              </w:rPr>
              <w:t>ción administrativa y no de un procedimiento mixto administrativo-judicial.</w:t>
            </w:r>
          </w:p>
        </w:tc>
      </w:tr>
      <w:tr w:rsidR="00301B43" w:rsidRPr="00635A00" w:rsidTr="00CB2C04">
        <w:tc>
          <w:tcPr>
            <w:tcW w:w="1668" w:type="dxa"/>
            <w:vMerge/>
            <w:tcBorders>
              <w:right w:val="single" w:sz="4" w:space="0" w:color="auto"/>
            </w:tcBorders>
            <w:vAlign w:val="center"/>
          </w:tcPr>
          <w:p w:rsidR="00EE7D4B" w:rsidRPr="00635A00" w:rsidRDefault="00635A00" w:rsidP="00E3081E">
            <w:pPr>
              <w:tabs>
                <w:tab w:val="left" w:pos="1134"/>
              </w:tabs>
              <w:contextualSpacing/>
              <w:jc w:val="center"/>
              <w:rPr>
                <w:rFonts w:ascii="Times New Roman" w:hAnsi="Times New Roman"/>
                <w:sz w:val="28"/>
              </w:rPr>
            </w:pPr>
          </w:p>
        </w:tc>
        <w:tc>
          <w:tcPr>
            <w:tcW w:w="3655" w:type="dxa"/>
            <w:tcBorders>
              <w:top w:val="nil"/>
              <w:left w:val="single" w:sz="4" w:space="0" w:color="auto"/>
              <w:bottom w:val="single" w:sz="4" w:space="0" w:color="auto"/>
              <w:right w:val="nil"/>
            </w:tcBorders>
          </w:tcPr>
          <w:p w:rsidR="00EE7D4B" w:rsidRPr="00635A00" w:rsidRDefault="00635A00" w:rsidP="0010471D">
            <w:pPr>
              <w:tabs>
                <w:tab w:val="left" w:pos="1134"/>
              </w:tabs>
              <w:contextualSpacing/>
              <w:jc w:val="both"/>
              <w:rPr>
                <w:rFonts w:ascii="Times New Roman" w:hAnsi="Times New Roman"/>
                <w:sz w:val="28"/>
              </w:rPr>
            </w:pPr>
          </w:p>
        </w:tc>
        <w:tc>
          <w:tcPr>
            <w:tcW w:w="3655" w:type="dxa"/>
            <w:tcBorders>
              <w:top w:val="nil"/>
              <w:left w:val="nil"/>
              <w:bottom w:val="single" w:sz="4" w:space="0" w:color="auto"/>
              <w:right w:val="single" w:sz="4" w:space="0" w:color="auto"/>
            </w:tcBorders>
          </w:tcPr>
          <w:p w:rsidR="007E498B" w:rsidRPr="00635A00" w:rsidRDefault="00635A00" w:rsidP="0010471D">
            <w:pPr>
              <w:tabs>
                <w:tab w:val="left" w:pos="1134"/>
              </w:tabs>
              <w:contextualSpacing/>
              <w:jc w:val="both"/>
              <w:rPr>
                <w:rFonts w:ascii="Times New Roman" w:hAnsi="Times New Roman"/>
                <w:sz w:val="28"/>
              </w:rPr>
            </w:pPr>
            <w:r w:rsidRPr="00635A00">
              <w:rPr>
                <w:rFonts w:ascii="Times New Roman" w:hAnsi="Times New Roman"/>
                <w:sz w:val="28"/>
              </w:rPr>
              <w:t xml:space="preserve">La Comisión Colombiana de Juristas planteó que el cargo por violación del artículo 238 superior también carece de certeza, porque las normas acusadas no autorizan a la ANT para </w:t>
            </w:r>
            <w:r w:rsidRPr="00635A00">
              <w:rPr>
                <w:rFonts w:ascii="Times New Roman" w:hAnsi="Times New Roman"/>
                <w:sz w:val="28"/>
              </w:rPr>
              <w:t>desconocer medidas cautelares dictadas por los jueces, sino que exige a dicha entidad la constitución de una garantía económica para disponer de bienes afectados con actos administrativos suspendidos de manera provisional por parte de autoridades judiciale</w:t>
            </w:r>
            <w:r w:rsidRPr="00635A00">
              <w:rPr>
                <w:rFonts w:ascii="Times New Roman" w:hAnsi="Times New Roman"/>
                <w:sz w:val="28"/>
              </w:rPr>
              <w:t>s.</w:t>
            </w:r>
          </w:p>
          <w:p w:rsidR="00246137" w:rsidRPr="00635A00" w:rsidRDefault="00635A00" w:rsidP="0010471D">
            <w:pPr>
              <w:tabs>
                <w:tab w:val="left" w:pos="1134"/>
              </w:tabs>
              <w:contextualSpacing/>
              <w:jc w:val="both"/>
              <w:rPr>
                <w:rFonts w:ascii="Times New Roman" w:hAnsi="Times New Roman"/>
                <w:sz w:val="28"/>
              </w:rPr>
            </w:pPr>
          </w:p>
          <w:p w:rsidR="00246137" w:rsidRPr="00635A00" w:rsidRDefault="00635A00" w:rsidP="0010471D">
            <w:pPr>
              <w:tabs>
                <w:tab w:val="left" w:pos="1134"/>
              </w:tabs>
              <w:contextualSpacing/>
              <w:jc w:val="both"/>
              <w:rPr>
                <w:rFonts w:ascii="Times New Roman" w:hAnsi="Times New Roman"/>
                <w:sz w:val="28"/>
              </w:rPr>
            </w:pPr>
            <w:r w:rsidRPr="00635A00">
              <w:rPr>
                <w:rFonts w:ascii="Times New Roman" w:hAnsi="Times New Roman"/>
                <w:sz w:val="28"/>
              </w:rPr>
              <w:t>La Sala discrepa del planteamiento del interviniente. Según se desprende del inciso quinto del numeral 6° del artículo 61 demandado, la garantía económica a la que allí se alude es justamente para que la ANT pueda ejecutar la disposición de un bien ordenad</w:t>
            </w:r>
            <w:r w:rsidRPr="00635A00">
              <w:rPr>
                <w:rFonts w:ascii="Times New Roman" w:hAnsi="Times New Roman"/>
                <w:sz w:val="28"/>
              </w:rPr>
              <w:t xml:space="preserve">a en un acto administrativo, a pesar de su suspensión provisional por autoridad judicial. Esto es justamente lo que el demandante considera como violatorio de la Carta. </w:t>
            </w:r>
          </w:p>
          <w:p w:rsidR="007E498B" w:rsidRPr="00635A00" w:rsidRDefault="00635A00" w:rsidP="0010471D">
            <w:pPr>
              <w:tabs>
                <w:tab w:val="left" w:pos="1134"/>
              </w:tabs>
              <w:contextualSpacing/>
              <w:jc w:val="both"/>
              <w:rPr>
                <w:rFonts w:ascii="Times New Roman" w:hAnsi="Times New Roman"/>
                <w:sz w:val="28"/>
              </w:rPr>
            </w:pPr>
          </w:p>
          <w:p w:rsidR="00EE7D4B" w:rsidRPr="00635A00" w:rsidRDefault="00635A00" w:rsidP="0010471D">
            <w:pPr>
              <w:tabs>
                <w:tab w:val="left" w:pos="1134"/>
              </w:tabs>
              <w:contextualSpacing/>
              <w:jc w:val="both"/>
              <w:rPr>
                <w:rFonts w:ascii="Times New Roman" w:hAnsi="Times New Roman"/>
                <w:sz w:val="28"/>
              </w:rPr>
            </w:pPr>
            <w:r w:rsidRPr="00635A00">
              <w:rPr>
                <w:rFonts w:ascii="Times New Roman" w:hAnsi="Times New Roman"/>
                <w:sz w:val="28"/>
              </w:rPr>
              <w:t>Luego, i</w:t>
            </w:r>
            <w:r w:rsidRPr="00635A00">
              <w:rPr>
                <w:rFonts w:ascii="Times New Roman" w:hAnsi="Times New Roman"/>
                <w:sz w:val="28"/>
              </w:rPr>
              <w:t>ndependientemente de que le asista o no razón al accionante en cuanto a que d</w:t>
            </w:r>
            <w:r w:rsidRPr="00635A00">
              <w:rPr>
                <w:rFonts w:ascii="Times New Roman" w:hAnsi="Times New Roman"/>
                <w:sz w:val="28"/>
              </w:rPr>
              <w:t>icha autorización contraviene el artículo 238 superior, lo cierto es que la acusación sí se dirige en contra de una proposición jurídica efectivamente contenida en la norma demandada.</w:t>
            </w:r>
            <w:r w:rsidRPr="00635A00">
              <w:rPr>
                <w:rFonts w:ascii="Times New Roman" w:hAnsi="Times New Roman"/>
                <w:sz w:val="28"/>
              </w:rPr>
              <w:t xml:space="preserve"> </w:t>
            </w:r>
          </w:p>
        </w:tc>
      </w:tr>
      <w:tr w:rsidR="00301B43" w:rsidRPr="00635A00" w:rsidTr="00CB2C04">
        <w:tc>
          <w:tcPr>
            <w:tcW w:w="1668" w:type="dxa"/>
            <w:vMerge w:val="restart"/>
            <w:tcBorders>
              <w:right w:val="single" w:sz="4" w:space="0" w:color="auto"/>
            </w:tcBorders>
            <w:vAlign w:val="center"/>
          </w:tcPr>
          <w:p w:rsidR="00364B7F" w:rsidRPr="00635A00" w:rsidRDefault="00635A00" w:rsidP="00E3081E">
            <w:pPr>
              <w:tabs>
                <w:tab w:val="left" w:pos="1134"/>
              </w:tabs>
              <w:contextualSpacing/>
              <w:jc w:val="center"/>
              <w:rPr>
                <w:rFonts w:ascii="Times New Roman" w:hAnsi="Times New Roman"/>
                <w:sz w:val="28"/>
              </w:rPr>
            </w:pPr>
            <w:r w:rsidRPr="00635A00">
              <w:rPr>
                <w:rFonts w:ascii="Times New Roman" w:hAnsi="Times New Roman"/>
                <w:sz w:val="28"/>
              </w:rPr>
              <w:t>Especificidad</w:t>
            </w:r>
          </w:p>
        </w:tc>
        <w:tc>
          <w:tcPr>
            <w:tcW w:w="3655" w:type="dxa"/>
            <w:tcBorders>
              <w:top w:val="single" w:sz="4" w:space="0" w:color="auto"/>
              <w:left w:val="single" w:sz="4" w:space="0" w:color="auto"/>
              <w:bottom w:val="nil"/>
              <w:right w:val="nil"/>
            </w:tcBorders>
          </w:tcPr>
          <w:p w:rsidR="00364B7F" w:rsidRPr="00635A00" w:rsidRDefault="00635A00" w:rsidP="000B1A05">
            <w:pPr>
              <w:tabs>
                <w:tab w:val="left" w:pos="1134"/>
              </w:tabs>
              <w:contextualSpacing/>
              <w:rPr>
                <w:rFonts w:ascii="Times New Roman" w:hAnsi="Times New Roman"/>
                <w:sz w:val="28"/>
              </w:rPr>
            </w:pPr>
          </w:p>
        </w:tc>
        <w:tc>
          <w:tcPr>
            <w:tcW w:w="3655" w:type="dxa"/>
            <w:tcBorders>
              <w:top w:val="single" w:sz="4" w:space="0" w:color="auto"/>
              <w:left w:val="nil"/>
              <w:bottom w:val="nil"/>
              <w:right w:val="single" w:sz="4" w:space="0" w:color="auto"/>
            </w:tcBorders>
          </w:tcPr>
          <w:p w:rsidR="00CB2C04" w:rsidRPr="00635A00" w:rsidRDefault="00635A00" w:rsidP="00CB2C04">
            <w:pPr>
              <w:tabs>
                <w:tab w:val="left" w:pos="1134"/>
              </w:tabs>
              <w:contextualSpacing/>
              <w:jc w:val="both"/>
              <w:rPr>
                <w:rFonts w:ascii="Times New Roman" w:hAnsi="Times New Roman"/>
                <w:sz w:val="28"/>
              </w:rPr>
            </w:pPr>
            <w:r w:rsidRPr="00635A00">
              <w:rPr>
                <w:rFonts w:ascii="Times New Roman" w:hAnsi="Times New Roman"/>
                <w:sz w:val="28"/>
              </w:rPr>
              <w:t>En la sustentación de los cargos por violación de los p</w:t>
            </w:r>
            <w:r w:rsidRPr="00635A00">
              <w:rPr>
                <w:rFonts w:ascii="Times New Roman" w:hAnsi="Times New Roman"/>
                <w:sz w:val="28"/>
              </w:rPr>
              <w:t>rincipios de consecutividad e identidad flexible y publicidad, el demandante</w:t>
            </w:r>
            <w:r w:rsidRPr="00635A00">
              <w:rPr>
                <w:rFonts w:ascii="Times New Roman" w:hAnsi="Times New Roman"/>
                <w:sz w:val="28"/>
              </w:rPr>
              <w:t xml:space="preserve"> señaló </w:t>
            </w:r>
            <w:r w:rsidRPr="00635A00">
              <w:rPr>
                <w:rFonts w:ascii="Times New Roman" w:hAnsi="Times New Roman"/>
                <w:sz w:val="28"/>
              </w:rPr>
              <w:t xml:space="preserve">cómo debe desarrollarse el proceso legislativo para garantizar tales preceptos, </w:t>
            </w:r>
            <w:r w:rsidRPr="00635A00">
              <w:rPr>
                <w:rFonts w:ascii="Times New Roman" w:hAnsi="Times New Roman"/>
                <w:sz w:val="28"/>
              </w:rPr>
              <w:t xml:space="preserve">se refirió concretamente a las supuestas irregularidades que se habrían configurado durante </w:t>
            </w:r>
            <w:r w:rsidRPr="00635A00">
              <w:rPr>
                <w:rFonts w:ascii="Times New Roman" w:hAnsi="Times New Roman"/>
                <w:sz w:val="28"/>
              </w:rPr>
              <w:t xml:space="preserve">el trámite </w:t>
            </w:r>
            <w:r w:rsidRPr="00635A00">
              <w:rPr>
                <w:rFonts w:ascii="Times New Roman" w:hAnsi="Times New Roman"/>
                <w:sz w:val="28"/>
              </w:rPr>
              <w:t>de expedición</w:t>
            </w:r>
            <w:r w:rsidRPr="00635A00">
              <w:rPr>
                <w:rFonts w:ascii="Times New Roman" w:hAnsi="Times New Roman"/>
                <w:sz w:val="28"/>
              </w:rPr>
              <w:t xml:space="preserve"> de las normas cuestionadas, y </w:t>
            </w:r>
            <w:r w:rsidRPr="00635A00">
              <w:rPr>
                <w:rFonts w:ascii="Times New Roman" w:hAnsi="Times New Roman"/>
                <w:sz w:val="28"/>
              </w:rPr>
              <w:t xml:space="preserve">expuso </w:t>
            </w:r>
            <w:r w:rsidRPr="00635A00">
              <w:rPr>
                <w:rFonts w:ascii="Times New Roman" w:hAnsi="Times New Roman"/>
                <w:sz w:val="28"/>
              </w:rPr>
              <w:t xml:space="preserve">la manera en que </w:t>
            </w:r>
            <w:r w:rsidRPr="00635A00">
              <w:rPr>
                <w:rFonts w:ascii="Times New Roman" w:hAnsi="Times New Roman"/>
                <w:sz w:val="28"/>
              </w:rPr>
              <w:t xml:space="preserve">se vulneraron los citados principios constitucionales. </w:t>
            </w:r>
          </w:p>
          <w:p w:rsidR="00CB2C04" w:rsidRPr="00635A00" w:rsidRDefault="00635A00" w:rsidP="00CB2C04">
            <w:pPr>
              <w:tabs>
                <w:tab w:val="left" w:pos="1134"/>
              </w:tabs>
              <w:contextualSpacing/>
              <w:jc w:val="both"/>
              <w:rPr>
                <w:rFonts w:ascii="Times New Roman" w:hAnsi="Times New Roman"/>
                <w:sz w:val="28"/>
              </w:rPr>
            </w:pPr>
          </w:p>
          <w:p w:rsidR="00364B7F" w:rsidRPr="00635A00" w:rsidRDefault="00635A00" w:rsidP="00CB2C04">
            <w:pPr>
              <w:tabs>
                <w:tab w:val="left" w:pos="1134"/>
              </w:tabs>
              <w:contextualSpacing/>
              <w:jc w:val="both"/>
              <w:rPr>
                <w:rFonts w:ascii="Times New Roman" w:hAnsi="Times New Roman"/>
                <w:sz w:val="28"/>
              </w:rPr>
            </w:pPr>
            <w:r w:rsidRPr="00635A00">
              <w:rPr>
                <w:rFonts w:ascii="Times New Roman" w:hAnsi="Times New Roman"/>
                <w:sz w:val="28"/>
              </w:rPr>
              <w:t>En consecuencia, el actor cumplió con explicar el concepto de la vulneración, y específicamente con la exigencia previst</w:t>
            </w:r>
            <w:r w:rsidRPr="00635A00">
              <w:rPr>
                <w:rFonts w:ascii="Times New Roman" w:hAnsi="Times New Roman"/>
                <w:sz w:val="28"/>
              </w:rPr>
              <w:t>a en el numeral 4° del artículo 2 del Decreto Ley 2067 de 1991, en cuanto al deber de indicar el trámite exigido por la Carta para la expedición de la norma cuestionada, y la forma en que este habría sido quebrantado.</w:t>
            </w:r>
          </w:p>
          <w:p w:rsidR="00364B7F" w:rsidRPr="00635A00" w:rsidRDefault="00635A00" w:rsidP="00CB2C04">
            <w:pPr>
              <w:tabs>
                <w:tab w:val="left" w:pos="1134"/>
              </w:tabs>
              <w:contextualSpacing/>
              <w:rPr>
                <w:rFonts w:ascii="Times New Roman" w:hAnsi="Times New Roman"/>
                <w:sz w:val="28"/>
              </w:rPr>
            </w:pPr>
          </w:p>
        </w:tc>
      </w:tr>
      <w:tr w:rsidR="00301B43" w:rsidRPr="00635A00" w:rsidTr="00CB2C04">
        <w:tc>
          <w:tcPr>
            <w:tcW w:w="1668" w:type="dxa"/>
            <w:vMerge/>
            <w:tcBorders>
              <w:right w:val="single" w:sz="4" w:space="0" w:color="auto"/>
            </w:tcBorders>
            <w:vAlign w:val="center"/>
          </w:tcPr>
          <w:p w:rsidR="00364B7F" w:rsidRPr="00635A00" w:rsidRDefault="00635A00" w:rsidP="00E3081E">
            <w:pPr>
              <w:tabs>
                <w:tab w:val="left" w:pos="1134"/>
              </w:tabs>
              <w:contextualSpacing/>
              <w:jc w:val="center"/>
              <w:rPr>
                <w:rFonts w:ascii="Times New Roman" w:hAnsi="Times New Roman"/>
                <w:sz w:val="28"/>
              </w:rPr>
            </w:pPr>
          </w:p>
        </w:tc>
        <w:tc>
          <w:tcPr>
            <w:tcW w:w="7310" w:type="dxa"/>
            <w:gridSpan w:val="2"/>
            <w:tcBorders>
              <w:top w:val="nil"/>
              <w:left w:val="single" w:sz="4" w:space="0" w:color="auto"/>
              <w:bottom w:val="nil"/>
              <w:right w:val="single" w:sz="4" w:space="0" w:color="auto"/>
            </w:tcBorders>
          </w:tcPr>
          <w:p w:rsidR="00364B7F" w:rsidRPr="00635A00" w:rsidRDefault="00635A00" w:rsidP="00C622EE">
            <w:pPr>
              <w:tabs>
                <w:tab w:val="left" w:pos="1134"/>
              </w:tabs>
              <w:contextualSpacing/>
              <w:jc w:val="both"/>
              <w:rPr>
                <w:rFonts w:ascii="Times New Roman" w:hAnsi="Times New Roman"/>
                <w:sz w:val="28"/>
              </w:rPr>
            </w:pPr>
            <w:r w:rsidRPr="00635A00">
              <w:rPr>
                <w:rFonts w:ascii="Times New Roman" w:hAnsi="Times New Roman"/>
                <w:sz w:val="28"/>
              </w:rPr>
              <w:t xml:space="preserve">La Secretaría Jurídica de la </w:t>
            </w:r>
            <w:r w:rsidRPr="00635A00">
              <w:rPr>
                <w:rFonts w:ascii="Times New Roman" w:hAnsi="Times New Roman"/>
                <w:sz w:val="28"/>
              </w:rPr>
              <w:t>Presidencia de la República señaló que l</w:t>
            </w:r>
            <w:r w:rsidRPr="00635A00">
              <w:rPr>
                <w:rFonts w:ascii="Times New Roman" w:hAnsi="Times New Roman"/>
                <w:sz w:val="28"/>
              </w:rPr>
              <w:t>a</w:t>
            </w:r>
            <w:r w:rsidRPr="00635A00">
              <w:rPr>
                <w:rFonts w:ascii="Times New Roman" w:hAnsi="Times New Roman"/>
                <w:sz w:val="28"/>
              </w:rPr>
              <w:t xml:space="preserve"> argumentación </w:t>
            </w:r>
            <w:r w:rsidRPr="00635A00">
              <w:rPr>
                <w:rFonts w:ascii="Times New Roman" w:hAnsi="Times New Roman"/>
                <w:sz w:val="28"/>
              </w:rPr>
              <w:t xml:space="preserve">del cargo por violación </w:t>
            </w:r>
            <w:r w:rsidRPr="00635A00">
              <w:rPr>
                <w:rFonts w:ascii="Times New Roman" w:hAnsi="Times New Roman"/>
                <w:sz w:val="28"/>
              </w:rPr>
              <w:t>de</w:t>
            </w:r>
            <w:r w:rsidRPr="00635A00">
              <w:rPr>
                <w:rFonts w:ascii="Times New Roman" w:hAnsi="Times New Roman"/>
                <w:sz w:val="28"/>
              </w:rPr>
              <w:t>l</w:t>
            </w:r>
            <w:r w:rsidRPr="00635A00">
              <w:rPr>
                <w:rFonts w:ascii="Times New Roman" w:hAnsi="Times New Roman"/>
                <w:sz w:val="28"/>
              </w:rPr>
              <w:t xml:space="preserve"> principio de </w:t>
            </w:r>
            <w:r w:rsidRPr="00635A00">
              <w:rPr>
                <w:rFonts w:ascii="Times New Roman" w:hAnsi="Times New Roman"/>
                <w:sz w:val="28"/>
              </w:rPr>
              <w:t>progresividad y no regresividad en relación del derecho al debido proceso no cumple con los criterios fijados por la Corte Constitucional para argumentar la tr</w:t>
            </w:r>
            <w:r w:rsidRPr="00635A00">
              <w:rPr>
                <w:rFonts w:ascii="Times New Roman" w:hAnsi="Times New Roman"/>
                <w:sz w:val="28"/>
              </w:rPr>
              <w:t xml:space="preserve">asgresión de dicho precepto. </w:t>
            </w:r>
            <w:r w:rsidRPr="00635A00">
              <w:rPr>
                <w:rFonts w:ascii="Times New Roman" w:hAnsi="Times New Roman"/>
                <w:sz w:val="28"/>
              </w:rPr>
              <w:t>Sin entrar a juzgar en este momento la corrección de los planteamientos de los demandantes</w:t>
            </w:r>
            <w:r w:rsidRPr="00635A00">
              <w:rPr>
                <w:rFonts w:ascii="Times New Roman" w:hAnsi="Times New Roman"/>
                <w:sz w:val="28"/>
              </w:rPr>
              <w:t xml:space="preserve">, la </w:t>
            </w:r>
            <w:r w:rsidRPr="00635A00">
              <w:rPr>
                <w:rFonts w:ascii="Times New Roman" w:hAnsi="Times New Roman"/>
                <w:sz w:val="28"/>
              </w:rPr>
              <w:t>Sala</w:t>
            </w:r>
            <w:r w:rsidRPr="00635A00">
              <w:rPr>
                <w:rFonts w:ascii="Times New Roman" w:hAnsi="Times New Roman"/>
                <w:sz w:val="28"/>
              </w:rPr>
              <w:t xml:space="preserve"> </w:t>
            </w:r>
            <w:r w:rsidRPr="00635A00">
              <w:rPr>
                <w:rFonts w:ascii="Times New Roman" w:hAnsi="Times New Roman"/>
                <w:sz w:val="28"/>
              </w:rPr>
              <w:t>nota</w:t>
            </w:r>
            <w:r w:rsidRPr="00635A00">
              <w:rPr>
                <w:rFonts w:ascii="Times New Roman" w:hAnsi="Times New Roman"/>
                <w:sz w:val="28"/>
              </w:rPr>
              <w:t xml:space="preserve"> </w:t>
            </w:r>
            <w:r w:rsidRPr="00635A00">
              <w:rPr>
                <w:rFonts w:ascii="Times New Roman" w:hAnsi="Times New Roman"/>
                <w:sz w:val="28"/>
              </w:rPr>
              <w:t xml:space="preserve">estos sí se ajustan a los criterios jurisprudenciales que permiten considerar la aptitud del cargo en cuestión, ya que </w:t>
            </w:r>
            <w:r w:rsidRPr="00635A00">
              <w:rPr>
                <w:rFonts w:ascii="Times New Roman" w:hAnsi="Times New Roman"/>
                <w:sz w:val="28"/>
              </w:rPr>
              <w:t xml:space="preserve">efectivamente expusieron las razones por las que consideran que la supresión de la fase judicial del procedimiento único agrario </w:t>
            </w:r>
            <w:r w:rsidRPr="00635A00">
              <w:rPr>
                <w:rFonts w:ascii="Times New Roman" w:hAnsi="Times New Roman"/>
                <w:sz w:val="28"/>
              </w:rPr>
              <w:t>implica</w:t>
            </w:r>
            <w:r w:rsidRPr="00635A00">
              <w:rPr>
                <w:rFonts w:ascii="Times New Roman" w:hAnsi="Times New Roman"/>
                <w:sz w:val="28"/>
              </w:rPr>
              <w:t>ría</w:t>
            </w:r>
            <w:r w:rsidRPr="00635A00">
              <w:rPr>
                <w:rFonts w:ascii="Times New Roman" w:hAnsi="Times New Roman"/>
                <w:sz w:val="28"/>
              </w:rPr>
              <w:t xml:space="preserve"> un retroceso en el ámbito de protección de </w:t>
            </w:r>
            <w:r w:rsidRPr="00635A00">
              <w:rPr>
                <w:rFonts w:ascii="Times New Roman" w:hAnsi="Times New Roman"/>
                <w:sz w:val="28"/>
              </w:rPr>
              <w:t>la mencionada</w:t>
            </w:r>
            <w:r w:rsidRPr="00635A00">
              <w:rPr>
                <w:rFonts w:ascii="Times New Roman" w:hAnsi="Times New Roman"/>
                <w:sz w:val="28"/>
              </w:rPr>
              <w:t xml:space="preserve"> garantía fundamental,</w:t>
            </w:r>
            <w:r w:rsidRPr="00635A00">
              <w:rPr>
                <w:rFonts w:ascii="Times New Roman" w:hAnsi="Times New Roman"/>
                <w:sz w:val="28"/>
              </w:rPr>
              <w:t xml:space="preserve"> y explicaron por qué, a su juicio, es</w:t>
            </w:r>
            <w:r w:rsidRPr="00635A00">
              <w:rPr>
                <w:rFonts w:ascii="Times New Roman" w:hAnsi="Times New Roman"/>
                <w:sz w:val="28"/>
              </w:rPr>
              <w:t>te resulta injustificado</w:t>
            </w:r>
            <w:r w:rsidRPr="00635A00">
              <w:rPr>
                <w:rStyle w:val="Refdenotaalpie"/>
                <w:rFonts w:ascii="Times New Roman" w:hAnsi="Times New Roman"/>
                <w:sz w:val="28"/>
              </w:rPr>
              <w:footnoteReference w:id="38"/>
            </w:r>
            <w:r w:rsidRPr="00635A00">
              <w:rPr>
                <w:rFonts w:ascii="Times New Roman" w:hAnsi="Times New Roman"/>
                <w:sz w:val="28"/>
              </w:rPr>
              <w:t>.</w:t>
            </w:r>
          </w:p>
          <w:p w:rsidR="00364B7F" w:rsidRPr="00635A00" w:rsidRDefault="00635A00" w:rsidP="00F00E3A">
            <w:pPr>
              <w:tabs>
                <w:tab w:val="left" w:pos="1134"/>
              </w:tabs>
              <w:contextualSpacing/>
              <w:rPr>
                <w:rFonts w:ascii="Times New Roman" w:hAnsi="Times New Roman"/>
                <w:sz w:val="28"/>
              </w:rPr>
            </w:pPr>
          </w:p>
        </w:tc>
      </w:tr>
      <w:tr w:rsidR="00301B43" w:rsidRPr="00635A00" w:rsidTr="00CB2C04">
        <w:tc>
          <w:tcPr>
            <w:tcW w:w="1668" w:type="dxa"/>
            <w:vMerge/>
            <w:tcBorders>
              <w:right w:val="single" w:sz="4" w:space="0" w:color="auto"/>
            </w:tcBorders>
            <w:vAlign w:val="center"/>
          </w:tcPr>
          <w:p w:rsidR="00364B7F" w:rsidRPr="00635A00" w:rsidRDefault="00635A00" w:rsidP="00E3081E">
            <w:pPr>
              <w:tabs>
                <w:tab w:val="left" w:pos="1134"/>
              </w:tabs>
              <w:contextualSpacing/>
              <w:jc w:val="center"/>
              <w:rPr>
                <w:rFonts w:ascii="Times New Roman" w:hAnsi="Times New Roman"/>
                <w:sz w:val="28"/>
              </w:rPr>
            </w:pPr>
          </w:p>
        </w:tc>
        <w:tc>
          <w:tcPr>
            <w:tcW w:w="3655" w:type="dxa"/>
            <w:tcBorders>
              <w:top w:val="nil"/>
              <w:left w:val="single" w:sz="4" w:space="0" w:color="auto"/>
              <w:bottom w:val="single" w:sz="4" w:space="0" w:color="auto"/>
              <w:right w:val="nil"/>
            </w:tcBorders>
          </w:tcPr>
          <w:p w:rsidR="00364B7F" w:rsidRPr="00635A00" w:rsidRDefault="00635A00" w:rsidP="000B1A05">
            <w:pPr>
              <w:tabs>
                <w:tab w:val="left" w:pos="1134"/>
              </w:tabs>
              <w:contextualSpacing/>
              <w:rPr>
                <w:rFonts w:ascii="Times New Roman" w:hAnsi="Times New Roman"/>
                <w:sz w:val="28"/>
              </w:rPr>
            </w:pPr>
          </w:p>
        </w:tc>
        <w:tc>
          <w:tcPr>
            <w:tcW w:w="3655" w:type="dxa"/>
            <w:tcBorders>
              <w:top w:val="nil"/>
              <w:left w:val="nil"/>
              <w:bottom w:val="single" w:sz="4" w:space="0" w:color="auto"/>
              <w:right w:val="single" w:sz="4" w:space="0" w:color="auto"/>
            </w:tcBorders>
          </w:tcPr>
          <w:p w:rsidR="00364B7F" w:rsidRPr="00635A00" w:rsidRDefault="00635A00" w:rsidP="007A3A35">
            <w:pPr>
              <w:tabs>
                <w:tab w:val="left" w:pos="1134"/>
              </w:tabs>
              <w:contextualSpacing/>
              <w:jc w:val="both"/>
              <w:rPr>
                <w:rFonts w:ascii="Times New Roman" w:hAnsi="Times New Roman"/>
                <w:sz w:val="28"/>
              </w:rPr>
            </w:pPr>
            <w:r w:rsidRPr="00635A00">
              <w:rPr>
                <w:rFonts w:ascii="Times New Roman" w:hAnsi="Times New Roman"/>
                <w:sz w:val="28"/>
              </w:rPr>
              <w:t>En cuanto al cargo por violación del artículo 238 de la Carta, el demandante también expuso los argumentos por</w:t>
            </w:r>
            <w:r w:rsidRPr="00635A00">
              <w:rPr>
                <w:rFonts w:ascii="Times New Roman" w:hAnsi="Times New Roman"/>
                <w:sz w:val="28"/>
              </w:rPr>
              <w:t xml:space="preserve"> los que, en su criterio, la autorización a la ANT para disponer de un bien pese a la suspensión del acto administrativo que así lo ordena, implica un desconocimiento de dicha norma superior, porque, a su juicio, esto le resta </w:t>
            </w:r>
            <w:r w:rsidRPr="00635A00">
              <w:rPr>
                <w:rFonts w:ascii="Times New Roman" w:hAnsi="Times New Roman"/>
                <w:sz w:val="28"/>
              </w:rPr>
              <w:t>toda utilidad</w:t>
            </w:r>
            <w:r w:rsidRPr="00635A00">
              <w:rPr>
                <w:rFonts w:ascii="Times New Roman" w:hAnsi="Times New Roman"/>
                <w:sz w:val="28"/>
              </w:rPr>
              <w:t xml:space="preserve"> a la facultad q</w:t>
            </w:r>
            <w:r w:rsidRPr="00635A00">
              <w:rPr>
                <w:rFonts w:ascii="Times New Roman" w:hAnsi="Times New Roman"/>
                <w:sz w:val="28"/>
              </w:rPr>
              <w:t xml:space="preserve">ue la Carta confiere a la Jurisdicción de lo Contencioso Administrativo para suspender </w:t>
            </w:r>
            <w:r w:rsidRPr="00635A00">
              <w:rPr>
                <w:rFonts w:ascii="Times New Roman" w:hAnsi="Times New Roman"/>
                <w:sz w:val="28"/>
              </w:rPr>
              <w:t>los efectos de los actos de la Administración susceptibles de control por vía judicial.</w:t>
            </w:r>
          </w:p>
        </w:tc>
      </w:tr>
      <w:tr w:rsidR="00301B43" w:rsidRPr="00635A00" w:rsidTr="00A376FB">
        <w:tc>
          <w:tcPr>
            <w:tcW w:w="1668" w:type="dxa"/>
            <w:vAlign w:val="center"/>
          </w:tcPr>
          <w:p w:rsidR="00F00E3A" w:rsidRPr="00635A00" w:rsidRDefault="00635A00" w:rsidP="00E3081E">
            <w:pPr>
              <w:tabs>
                <w:tab w:val="left" w:pos="1134"/>
              </w:tabs>
              <w:contextualSpacing/>
              <w:jc w:val="center"/>
              <w:rPr>
                <w:rFonts w:ascii="Times New Roman" w:hAnsi="Times New Roman"/>
                <w:sz w:val="28"/>
              </w:rPr>
            </w:pPr>
            <w:r w:rsidRPr="00635A00">
              <w:rPr>
                <w:rFonts w:ascii="Times New Roman" w:hAnsi="Times New Roman"/>
                <w:sz w:val="28"/>
              </w:rPr>
              <w:t>Pertinencia</w:t>
            </w:r>
          </w:p>
        </w:tc>
        <w:tc>
          <w:tcPr>
            <w:tcW w:w="7310" w:type="dxa"/>
            <w:gridSpan w:val="2"/>
            <w:tcBorders>
              <w:top w:val="single" w:sz="4" w:space="0" w:color="auto"/>
            </w:tcBorders>
          </w:tcPr>
          <w:p w:rsidR="00F00E3A" w:rsidRPr="00635A00" w:rsidRDefault="00635A00" w:rsidP="00B25CE8">
            <w:pPr>
              <w:tabs>
                <w:tab w:val="left" w:pos="1134"/>
              </w:tabs>
              <w:contextualSpacing/>
              <w:jc w:val="both"/>
              <w:rPr>
                <w:rFonts w:ascii="Times New Roman" w:hAnsi="Times New Roman"/>
                <w:sz w:val="28"/>
              </w:rPr>
            </w:pPr>
            <w:r w:rsidRPr="00635A00">
              <w:rPr>
                <w:rFonts w:ascii="Times New Roman" w:hAnsi="Times New Roman"/>
                <w:sz w:val="28"/>
              </w:rPr>
              <w:t xml:space="preserve">Los demandantes </w:t>
            </w:r>
            <w:r w:rsidRPr="00635A00">
              <w:rPr>
                <w:rFonts w:ascii="Times New Roman" w:hAnsi="Times New Roman"/>
                <w:sz w:val="28"/>
              </w:rPr>
              <w:t xml:space="preserve">presentaron argumentos de relevancia constitucional para sustentar el concepto de la vulneración en cada uno de los cargos. </w:t>
            </w:r>
            <w:r w:rsidRPr="00635A00">
              <w:rPr>
                <w:rFonts w:ascii="Times New Roman" w:hAnsi="Times New Roman"/>
                <w:sz w:val="28"/>
              </w:rPr>
              <w:t>En términos generales, s</w:t>
            </w:r>
            <w:r w:rsidRPr="00635A00">
              <w:rPr>
                <w:rFonts w:ascii="Times New Roman" w:hAnsi="Times New Roman"/>
                <w:sz w:val="28"/>
              </w:rPr>
              <w:t>us acusaciones no está</w:t>
            </w:r>
            <w:r w:rsidRPr="00635A00">
              <w:rPr>
                <w:rFonts w:ascii="Times New Roman" w:hAnsi="Times New Roman"/>
                <w:sz w:val="28"/>
              </w:rPr>
              <w:t>n basadas en razonamientos de orden legal</w:t>
            </w:r>
            <w:r w:rsidRPr="00635A00">
              <w:rPr>
                <w:rFonts w:ascii="Times New Roman" w:hAnsi="Times New Roman"/>
                <w:sz w:val="28"/>
              </w:rPr>
              <w:t xml:space="preserve">, y si bien algunos planteamientos </w:t>
            </w:r>
            <w:r w:rsidRPr="00635A00">
              <w:rPr>
                <w:rFonts w:ascii="Times New Roman" w:hAnsi="Times New Roman"/>
                <w:sz w:val="28"/>
              </w:rPr>
              <w:t>para suste</w:t>
            </w:r>
            <w:r w:rsidRPr="00635A00">
              <w:rPr>
                <w:rFonts w:ascii="Times New Roman" w:hAnsi="Times New Roman"/>
                <w:sz w:val="28"/>
              </w:rPr>
              <w:t xml:space="preserve">ntar el cargo violación del principio de progresividad y prohibición de regresividad podrían </w:t>
            </w:r>
            <w:r w:rsidRPr="00635A00">
              <w:rPr>
                <w:rFonts w:ascii="Times New Roman" w:hAnsi="Times New Roman"/>
                <w:sz w:val="28"/>
              </w:rPr>
              <w:t>leerse como</w:t>
            </w:r>
            <w:r w:rsidRPr="00635A00">
              <w:rPr>
                <w:rFonts w:ascii="Times New Roman" w:hAnsi="Times New Roman"/>
                <w:sz w:val="28"/>
              </w:rPr>
              <w:t xml:space="preserve"> </w:t>
            </w:r>
            <w:r w:rsidRPr="00635A00">
              <w:rPr>
                <w:rFonts w:ascii="Times New Roman" w:hAnsi="Times New Roman"/>
                <w:sz w:val="28"/>
              </w:rPr>
              <w:t>consideraciones de conveniencia, y no estrictamente de constitucionalidad, no por ello dejan de ser pertinentes</w:t>
            </w:r>
            <w:r w:rsidRPr="00635A00">
              <w:rPr>
                <w:rFonts w:ascii="Times New Roman" w:hAnsi="Times New Roman"/>
                <w:sz w:val="28"/>
              </w:rPr>
              <w:t xml:space="preserve"> para este caso específico</w:t>
            </w:r>
            <w:r w:rsidRPr="00635A00">
              <w:rPr>
                <w:rFonts w:ascii="Times New Roman" w:hAnsi="Times New Roman"/>
                <w:sz w:val="28"/>
              </w:rPr>
              <w:t>, ya que los d</w:t>
            </w:r>
            <w:r w:rsidRPr="00635A00">
              <w:rPr>
                <w:rFonts w:ascii="Times New Roman" w:hAnsi="Times New Roman"/>
                <w:sz w:val="28"/>
              </w:rPr>
              <w:t xml:space="preserve">emandantes las emplean para sustentar su tesis sobre el carácter </w:t>
            </w:r>
            <w:r w:rsidRPr="00635A00">
              <w:rPr>
                <w:rFonts w:ascii="Times New Roman" w:hAnsi="Times New Roman"/>
                <w:sz w:val="28"/>
              </w:rPr>
              <w:t xml:space="preserve">inidóneo e </w:t>
            </w:r>
            <w:r w:rsidRPr="00635A00">
              <w:rPr>
                <w:rFonts w:ascii="Times New Roman" w:hAnsi="Times New Roman"/>
                <w:sz w:val="28"/>
              </w:rPr>
              <w:t xml:space="preserve">innecesario -y por ende injustificado- de la supresión de la etapa judicial del procedimiento único agrario para ciertas materias. </w:t>
            </w:r>
          </w:p>
        </w:tc>
      </w:tr>
      <w:tr w:rsidR="003812ED" w:rsidRPr="00635A00" w:rsidTr="0030449F">
        <w:tc>
          <w:tcPr>
            <w:tcW w:w="1668" w:type="dxa"/>
            <w:vAlign w:val="center"/>
          </w:tcPr>
          <w:p w:rsidR="003812ED" w:rsidRPr="00635A00" w:rsidRDefault="00635A00" w:rsidP="00E3081E">
            <w:pPr>
              <w:tabs>
                <w:tab w:val="left" w:pos="1134"/>
              </w:tabs>
              <w:contextualSpacing/>
              <w:jc w:val="center"/>
              <w:rPr>
                <w:rFonts w:ascii="Times New Roman" w:hAnsi="Times New Roman"/>
                <w:sz w:val="28"/>
              </w:rPr>
            </w:pPr>
            <w:r w:rsidRPr="00635A00">
              <w:rPr>
                <w:rFonts w:ascii="Times New Roman" w:hAnsi="Times New Roman"/>
                <w:sz w:val="28"/>
              </w:rPr>
              <w:t>Suficiencia</w:t>
            </w:r>
          </w:p>
        </w:tc>
        <w:tc>
          <w:tcPr>
            <w:tcW w:w="7310" w:type="dxa"/>
            <w:gridSpan w:val="2"/>
          </w:tcPr>
          <w:p w:rsidR="003812ED" w:rsidRPr="00635A00" w:rsidRDefault="00635A00" w:rsidP="003812ED">
            <w:pPr>
              <w:tabs>
                <w:tab w:val="left" w:pos="1134"/>
              </w:tabs>
              <w:contextualSpacing/>
              <w:jc w:val="both"/>
              <w:rPr>
                <w:rFonts w:ascii="Times New Roman" w:hAnsi="Times New Roman"/>
                <w:sz w:val="28"/>
              </w:rPr>
            </w:pPr>
            <w:r w:rsidRPr="00635A00">
              <w:rPr>
                <w:rFonts w:ascii="Times New Roman" w:hAnsi="Times New Roman"/>
                <w:sz w:val="28"/>
              </w:rPr>
              <w:t xml:space="preserve">En la medida en que, como quedó </w:t>
            </w:r>
            <w:r w:rsidRPr="00635A00">
              <w:rPr>
                <w:rFonts w:ascii="Times New Roman" w:hAnsi="Times New Roman"/>
                <w:sz w:val="28"/>
              </w:rPr>
              <w:t>visto, los cuatro cargos formulados</w:t>
            </w:r>
            <w:r w:rsidRPr="00635A00">
              <w:rPr>
                <w:rFonts w:ascii="Times New Roman" w:hAnsi="Times New Roman"/>
                <w:sz w:val="28"/>
              </w:rPr>
              <w:t xml:space="preserve"> son claros, cuestionan proposiciones jurídicas efectivamente contenidas en los preceptos acusados, y exponen razones de relevancia constitucional para evidenciar por qué las normas acusadas serían contrarias a la Carta,</w:t>
            </w:r>
            <w:r w:rsidRPr="00635A00">
              <w:rPr>
                <w:rFonts w:ascii="Times New Roman" w:hAnsi="Times New Roman"/>
                <w:sz w:val="28"/>
              </w:rPr>
              <w:t xml:space="preserve"> las demandas sí despiertan cuando menos una mínima duda sobre la supuesta contradicción entre tales preceptos y el texto superior.</w:t>
            </w:r>
          </w:p>
        </w:tc>
      </w:tr>
    </w:tbl>
    <w:p w:rsidR="005A3DC2" w:rsidRPr="00635A00" w:rsidRDefault="00635A00" w:rsidP="000B1A05">
      <w:pPr>
        <w:tabs>
          <w:tab w:val="left" w:pos="1134"/>
        </w:tabs>
        <w:contextualSpacing/>
        <w:rPr>
          <w:rFonts w:ascii="Times New Roman" w:hAnsi="Times New Roman" w:cs="Times New Roman"/>
          <w:b/>
          <w:bCs/>
          <w:sz w:val="28"/>
        </w:rPr>
      </w:pPr>
    </w:p>
    <w:p w:rsidR="005A3DC2" w:rsidRPr="00635A00" w:rsidRDefault="00635A00" w:rsidP="00DF0E51">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suma, a diferencia de lo planteado por </w:t>
      </w:r>
      <w:r w:rsidRPr="00635A00">
        <w:rPr>
          <w:rFonts w:ascii="Times New Roman" w:hAnsi="Times New Roman" w:cs="Times New Roman"/>
          <w:color w:val="auto"/>
        </w:rPr>
        <w:t xml:space="preserve">algunos de los intervinientes, los cargos de inconstitucionalidad admitidos por </w:t>
      </w:r>
      <w:r w:rsidRPr="00635A00">
        <w:rPr>
          <w:rFonts w:ascii="Times New Roman" w:hAnsi="Times New Roman" w:cs="Times New Roman"/>
          <w:color w:val="auto"/>
        </w:rPr>
        <w:t>la magistrada sustanciadora son claros, ciertos, específicos, pertinentes y suficientes. En consecuencia, se encuentran satisfechos los requisitos para que la Sala pueda pronunciarse de fondo, a lo que procede a continuación.</w:t>
      </w:r>
      <w:r w:rsidRPr="00635A00">
        <w:rPr>
          <w:rFonts w:ascii="Times New Roman" w:hAnsi="Times New Roman" w:cs="Times New Roman"/>
          <w:color w:val="auto"/>
        </w:rPr>
        <w:t xml:space="preserve"> </w:t>
      </w:r>
    </w:p>
    <w:p w:rsidR="000B1A05" w:rsidRPr="00635A00" w:rsidRDefault="00635A00" w:rsidP="000B1A05">
      <w:pPr>
        <w:pStyle w:val="Prrafodelista"/>
        <w:rPr>
          <w:rFonts w:ascii="Times New Roman" w:hAnsi="Times New Roman" w:cs="Times New Roman"/>
          <w:b/>
          <w:bCs/>
          <w:color w:val="auto"/>
        </w:rPr>
      </w:pPr>
    </w:p>
    <w:p w:rsidR="0059516F" w:rsidRPr="00635A00" w:rsidRDefault="00635A00" w:rsidP="00733780">
      <w:pPr>
        <w:pStyle w:val="Prrafodelista"/>
        <w:widowControl/>
        <w:numPr>
          <w:ilvl w:val="0"/>
          <w:numId w:val="17"/>
        </w:numPr>
        <w:tabs>
          <w:tab w:val="left" w:pos="1134"/>
        </w:tabs>
        <w:ind w:hanging="153"/>
        <w:contextualSpacing/>
        <w:rPr>
          <w:rFonts w:ascii="Times New Roman" w:hAnsi="Times New Roman" w:cs="Times New Roman"/>
          <w:b/>
          <w:bCs/>
          <w:color w:val="auto"/>
        </w:rPr>
      </w:pPr>
      <w:r w:rsidRPr="00635A00">
        <w:rPr>
          <w:rFonts w:ascii="Times New Roman" w:hAnsi="Times New Roman" w:cs="Times New Roman"/>
          <w:b/>
          <w:bCs/>
          <w:color w:val="auto"/>
        </w:rPr>
        <w:t>Delimitación del problema ju</w:t>
      </w:r>
      <w:r w:rsidRPr="00635A00">
        <w:rPr>
          <w:rFonts w:ascii="Times New Roman" w:hAnsi="Times New Roman" w:cs="Times New Roman"/>
          <w:b/>
          <w:bCs/>
          <w:color w:val="auto"/>
        </w:rPr>
        <w:t>rídico y estructura de la decisión</w:t>
      </w:r>
    </w:p>
    <w:p w:rsidR="0059516F" w:rsidRPr="00635A00" w:rsidRDefault="00635A00" w:rsidP="0059516F">
      <w:pPr>
        <w:rPr>
          <w:rFonts w:ascii="Times New Roman" w:hAnsi="Times New Roman" w:cs="Times New Roman"/>
          <w:b/>
          <w:bCs/>
          <w:sz w:val="28"/>
          <w:lang w:val="es-ES"/>
        </w:rPr>
      </w:pPr>
    </w:p>
    <w:p w:rsidR="00B74DBF" w:rsidRPr="00635A00" w:rsidRDefault="00635A00" w:rsidP="00412CA2">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Para identificar correctamente</w:t>
      </w:r>
      <w:r w:rsidRPr="00635A00">
        <w:rPr>
          <w:rFonts w:ascii="Times New Roman" w:hAnsi="Times New Roman" w:cs="Times New Roman"/>
          <w:color w:val="auto"/>
        </w:rPr>
        <w:t xml:space="preserve"> los asuntos a resolver, </w:t>
      </w:r>
      <w:r w:rsidRPr="00635A00">
        <w:rPr>
          <w:rFonts w:ascii="Times New Roman" w:hAnsi="Times New Roman" w:cs="Times New Roman"/>
          <w:color w:val="auto"/>
        </w:rPr>
        <w:t xml:space="preserve">la Sala </w:t>
      </w:r>
      <w:r w:rsidRPr="00635A00">
        <w:rPr>
          <w:rFonts w:ascii="Times New Roman" w:hAnsi="Times New Roman" w:cs="Times New Roman"/>
          <w:color w:val="auto"/>
        </w:rPr>
        <w:t xml:space="preserve">en primer lugar </w:t>
      </w:r>
      <w:r w:rsidRPr="00635A00">
        <w:rPr>
          <w:rFonts w:ascii="Times New Roman" w:hAnsi="Times New Roman" w:cs="Times New Roman"/>
          <w:color w:val="auto"/>
        </w:rPr>
        <w:t>precisa</w:t>
      </w:r>
      <w:r w:rsidRPr="00635A00">
        <w:rPr>
          <w:rFonts w:ascii="Times New Roman" w:hAnsi="Times New Roman" w:cs="Times New Roman"/>
          <w:color w:val="auto"/>
        </w:rPr>
        <w:t xml:space="preserve"> que </w:t>
      </w:r>
      <w:r w:rsidRPr="00635A00">
        <w:rPr>
          <w:rFonts w:ascii="Times New Roman" w:hAnsi="Times New Roman" w:cs="Times New Roman"/>
          <w:color w:val="auto"/>
        </w:rPr>
        <w:t>no</w:t>
      </w:r>
      <w:r w:rsidRPr="00635A00">
        <w:rPr>
          <w:rFonts w:ascii="Times New Roman" w:hAnsi="Times New Roman" w:cs="Times New Roman"/>
          <w:color w:val="auto"/>
        </w:rPr>
        <w:t xml:space="preserve"> </w:t>
      </w:r>
      <w:r w:rsidRPr="00635A00">
        <w:rPr>
          <w:rFonts w:ascii="Times New Roman" w:hAnsi="Times New Roman" w:cs="Times New Roman"/>
          <w:color w:val="auto"/>
        </w:rPr>
        <w:t>se referirá a</w:t>
      </w:r>
      <w:r w:rsidRPr="00635A00">
        <w:rPr>
          <w:rFonts w:ascii="Times New Roman" w:hAnsi="Times New Roman" w:cs="Times New Roman"/>
          <w:color w:val="auto"/>
        </w:rPr>
        <w:t xml:space="preserve"> los cargos de inconstitucionalidad formulados </w:t>
      </w:r>
      <w:r w:rsidRPr="00635A00">
        <w:rPr>
          <w:rFonts w:ascii="Times New Roman" w:hAnsi="Times New Roman" w:cs="Times New Roman"/>
          <w:color w:val="auto"/>
        </w:rPr>
        <w:t>por algunos de los intervinientes</w:t>
      </w:r>
      <w:r w:rsidRPr="00635A00">
        <w:rPr>
          <w:rFonts w:ascii="Times New Roman" w:hAnsi="Times New Roman" w:cs="Times New Roman"/>
          <w:color w:val="auto"/>
        </w:rPr>
        <w:t>, que desbordan aquellos que plan</w:t>
      </w:r>
      <w:r w:rsidRPr="00635A00">
        <w:rPr>
          <w:rFonts w:ascii="Times New Roman" w:hAnsi="Times New Roman" w:cs="Times New Roman"/>
          <w:color w:val="auto"/>
        </w:rPr>
        <w:t>tearon los demandantes</w:t>
      </w:r>
      <w:r w:rsidRPr="00635A00">
        <w:rPr>
          <w:rStyle w:val="Refdenotaalpie"/>
          <w:rFonts w:ascii="Times New Roman" w:hAnsi="Times New Roman" w:cs="Times New Roman"/>
          <w:color w:val="auto"/>
        </w:rPr>
        <w:footnoteReference w:id="39"/>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La jurisprudencia de esta Corporación establece que, por regla general, el examen de constitucionalidad se contrae a los cargos formulados en la demanda y </w:t>
      </w:r>
      <w:r w:rsidRPr="00635A00">
        <w:rPr>
          <w:rFonts w:ascii="Times New Roman" w:hAnsi="Times New Roman" w:cs="Times New Roman"/>
          <w:color w:val="auto"/>
        </w:rPr>
        <w:t xml:space="preserve">que fueron </w:t>
      </w:r>
      <w:r w:rsidRPr="00635A00">
        <w:rPr>
          <w:rFonts w:ascii="Times New Roman" w:hAnsi="Times New Roman" w:cs="Times New Roman"/>
          <w:color w:val="auto"/>
        </w:rPr>
        <w:t>admitidos para el debate</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pues es </w:t>
      </w:r>
      <w:r w:rsidRPr="00635A00">
        <w:rPr>
          <w:rFonts w:ascii="Times New Roman" w:hAnsi="Times New Roman" w:cs="Times New Roman"/>
          <w:color w:val="auto"/>
        </w:rPr>
        <w:t xml:space="preserve">con respecto a estos que los </w:t>
      </w:r>
      <w:r w:rsidRPr="00635A00">
        <w:rPr>
          <w:rFonts w:ascii="Times New Roman" w:hAnsi="Times New Roman" w:cs="Times New Roman"/>
          <w:color w:val="auto"/>
        </w:rPr>
        <w:t>intervinientes y los invitados a participar presentan sus argumentos para defender o impugnar la constitucionalidad de la norma demandada</w:t>
      </w:r>
      <w:r w:rsidRPr="00635A00">
        <w:rPr>
          <w:rStyle w:val="Refdenotaalpie"/>
          <w:rFonts w:ascii="Times New Roman" w:hAnsi="Times New Roman" w:cs="Times New Roman"/>
          <w:color w:val="auto"/>
          <w:bdr w:val="none" w:sz="0" w:space="0" w:color="auto" w:frame="1"/>
          <w:shd w:val="clear" w:color="auto" w:fill="FFFFFF"/>
        </w:rPr>
        <w:footnoteReference w:id="40"/>
      </w:r>
      <w:r w:rsidRPr="00635A00">
        <w:rPr>
          <w:rFonts w:ascii="Times New Roman" w:hAnsi="Times New Roman" w:cs="Times New Roman"/>
          <w:color w:val="auto"/>
        </w:rPr>
        <w:t>.</w:t>
      </w:r>
    </w:p>
    <w:p w:rsidR="00B74DBF" w:rsidRPr="00635A00" w:rsidRDefault="00635A00" w:rsidP="00B74DBF">
      <w:pPr>
        <w:pStyle w:val="Sombreadovistoso-nfasis31"/>
        <w:ind w:left="0"/>
        <w:rPr>
          <w:rFonts w:ascii="Times New Roman" w:hAnsi="Times New Roman" w:cs="Times New Roman"/>
          <w:color w:val="auto"/>
        </w:rPr>
      </w:pPr>
    </w:p>
    <w:p w:rsidR="00A117DB" w:rsidRPr="00635A00" w:rsidRDefault="00635A00" w:rsidP="00412CA2">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La Corte también ha señalado que </w:t>
      </w:r>
      <w:r w:rsidRPr="00635A00">
        <w:rPr>
          <w:rFonts w:ascii="Times New Roman" w:hAnsi="Times New Roman" w:cs="Times New Roman"/>
          <w:color w:val="auto"/>
        </w:rPr>
        <w:t xml:space="preserve">sólo </w:t>
      </w:r>
      <w:r w:rsidRPr="00635A00">
        <w:rPr>
          <w:rFonts w:ascii="Times New Roman" w:hAnsi="Times New Roman" w:cs="Times New Roman"/>
          <w:color w:val="auto"/>
        </w:rPr>
        <w:t xml:space="preserve">excepcionalmente </w:t>
      </w:r>
      <w:r w:rsidRPr="00635A00">
        <w:rPr>
          <w:rFonts w:ascii="Times New Roman" w:hAnsi="Times New Roman" w:cs="Times New Roman"/>
          <w:color w:val="auto"/>
        </w:rPr>
        <w:t xml:space="preserve">puede </w:t>
      </w:r>
      <w:r w:rsidRPr="00635A00">
        <w:rPr>
          <w:rFonts w:ascii="Times New Roman" w:hAnsi="Times New Roman" w:cs="Times New Roman"/>
          <w:color w:val="auto"/>
        </w:rPr>
        <w:t xml:space="preserve">entrar </w:t>
      </w:r>
      <w:r w:rsidRPr="00635A00">
        <w:rPr>
          <w:rFonts w:ascii="Times New Roman" w:hAnsi="Times New Roman" w:cs="Times New Roman"/>
          <w:color w:val="auto"/>
        </w:rPr>
        <w:t>considerar argumentos de inconstitucionalidad d</w:t>
      </w:r>
      <w:r w:rsidRPr="00635A00">
        <w:rPr>
          <w:rFonts w:ascii="Times New Roman" w:hAnsi="Times New Roman" w:cs="Times New Roman"/>
          <w:color w:val="auto"/>
        </w:rPr>
        <w:t xml:space="preserve">iferentes a los planteados por los demandantes, </w:t>
      </w:r>
      <w:r w:rsidRPr="00635A00">
        <w:rPr>
          <w:rFonts w:ascii="Times New Roman" w:hAnsi="Times New Roman" w:cs="Times New Roman"/>
          <w:color w:val="auto"/>
        </w:rPr>
        <w:t xml:space="preserve">siempre y </w:t>
      </w:r>
      <w:r w:rsidRPr="00635A00">
        <w:rPr>
          <w:rFonts w:ascii="Times New Roman" w:hAnsi="Times New Roman" w:cs="Times New Roman"/>
          <w:color w:val="auto"/>
        </w:rPr>
        <w:t>cuando se advierta que existe un evidente vicio de constitucionalidad</w:t>
      </w:r>
      <w:r w:rsidRPr="00635A00">
        <w:rPr>
          <w:rStyle w:val="Refdenotaalpie"/>
          <w:rFonts w:ascii="Times New Roman" w:hAnsi="Times New Roman" w:cs="Times New Roman"/>
          <w:color w:val="auto"/>
        </w:rPr>
        <w:footnoteReference w:id="41"/>
      </w:r>
      <w:r w:rsidRPr="00635A00">
        <w:rPr>
          <w:rFonts w:ascii="Times New Roman" w:hAnsi="Times New Roman" w:cs="Times New Roman"/>
          <w:color w:val="auto"/>
        </w:rPr>
        <w:t xml:space="preserve">. </w:t>
      </w:r>
      <w:r w:rsidRPr="00635A00">
        <w:rPr>
          <w:rFonts w:ascii="Times New Roman" w:hAnsi="Times New Roman" w:cs="Times New Roman"/>
          <w:color w:val="auto"/>
        </w:rPr>
        <w:t>M</w:t>
      </w:r>
      <w:r w:rsidRPr="00635A00">
        <w:rPr>
          <w:rFonts w:ascii="Times New Roman" w:hAnsi="Times New Roman" w:cs="Times New Roman"/>
          <w:color w:val="auto"/>
        </w:rPr>
        <w:t xml:space="preserve">ás adelante se </w:t>
      </w:r>
      <w:r w:rsidRPr="00635A00">
        <w:rPr>
          <w:rFonts w:ascii="Times New Roman" w:hAnsi="Times New Roman" w:cs="Times New Roman"/>
          <w:color w:val="auto"/>
        </w:rPr>
        <w:t xml:space="preserve">verá por qué </w:t>
      </w:r>
      <w:r w:rsidRPr="00635A00">
        <w:rPr>
          <w:rFonts w:ascii="Times New Roman" w:hAnsi="Times New Roman" w:cs="Times New Roman"/>
          <w:color w:val="auto"/>
        </w:rPr>
        <w:t xml:space="preserve">en el presente caso no </w:t>
      </w:r>
      <w:r w:rsidRPr="00635A00">
        <w:rPr>
          <w:rFonts w:ascii="Times New Roman" w:hAnsi="Times New Roman" w:cs="Times New Roman"/>
          <w:color w:val="auto"/>
        </w:rPr>
        <w:t xml:space="preserve">es </w:t>
      </w:r>
      <w:r w:rsidRPr="00635A00">
        <w:rPr>
          <w:rFonts w:ascii="Times New Roman" w:hAnsi="Times New Roman" w:cs="Times New Roman"/>
          <w:color w:val="auto"/>
        </w:rPr>
        <w:t xml:space="preserve">viable que la Corporación </w:t>
      </w:r>
      <w:r w:rsidRPr="00635A00">
        <w:rPr>
          <w:rFonts w:ascii="Times New Roman" w:hAnsi="Times New Roman" w:cs="Times New Roman"/>
          <w:color w:val="auto"/>
        </w:rPr>
        <w:t xml:space="preserve">haga uso de esa posibilidad </w:t>
      </w:r>
      <w:r w:rsidRPr="00635A00">
        <w:rPr>
          <w:rFonts w:ascii="Times New Roman" w:hAnsi="Times New Roman" w:cs="Times New Roman"/>
          <w:color w:val="auto"/>
        </w:rPr>
        <w:t>excepcional.</w:t>
      </w:r>
    </w:p>
    <w:p w:rsidR="00673C28" w:rsidRPr="00635A00" w:rsidRDefault="00635A00" w:rsidP="00673C28">
      <w:pPr>
        <w:pStyle w:val="Prrafodelista"/>
        <w:rPr>
          <w:rFonts w:ascii="Times New Roman" w:hAnsi="Times New Roman" w:cs="Times New Roman"/>
          <w:color w:val="auto"/>
        </w:rPr>
      </w:pPr>
    </w:p>
    <w:p w:rsidR="00673C28" w:rsidRPr="00635A00" w:rsidRDefault="00635A00" w:rsidP="00412CA2">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Hec</w:t>
      </w:r>
      <w:r w:rsidRPr="00635A00">
        <w:rPr>
          <w:rFonts w:ascii="Times New Roman" w:hAnsi="Times New Roman" w:cs="Times New Roman"/>
          <w:color w:val="auto"/>
        </w:rPr>
        <w:t xml:space="preserve">has estas precisiones, </w:t>
      </w:r>
      <w:r w:rsidRPr="00635A00">
        <w:rPr>
          <w:rFonts w:ascii="Times New Roman" w:hAnsi="Times New Roman" w:cs="Times New Roman"/>
          <w:color w:val="auto"/>
        </w:rPr>
        <w:t xml:space="preserve">y teniendo en cuenta los cargos formulados por los demandantes, en principio a la Corte le corresponde </w:t>
      </w:r>
      <w:r w:rsidRPr="00635A00">
        <w:rPr>
          <w:rFonts w:ascii="Times New Roman" w:hAnsi="Times New Roman" w:cs="Times New Roman"/>
          <w:color w:val="auto"/>
        </w:rPr>
        <w:t>resolver los siguientes</w:t>
      </w:r>
      <w:r w:rsidRPr="00635A00">
        <w:rPr>
          <w:rFonts w:ascii="Times New Roman" w:hAnsi="Times New Roman" w:cs="Times New Roman"/>
          <w:color w:val="auto"/>
        </w:rPr>
        <w:t xml:space="preserve"> problemas jurídicos</w:t>
      </w:r>
      <w:r w:rsidRPr="00635A00">
        <w:rPr>
          <w:rFonts w:ascii="Times New Roman" w:hAnsi="Times New Roman" w:cs="Times New Roman"/>
          <w:color w:val="auto"/>
        </w:rPr>
        <w:t>:</w:t>
      </w:r>
    </w:p>
    <w:p w:rsidR="000B22A4" w:rsidRPr="00635A00" w:rsidRDefault="00635A00" w:rsidP="00A117DB">
      <w:pPr>
        <w:pStyle w:val="Sombreadovistoso-nfasis31"/>
        <w:ind w:left="0"/>
        <w:rPr>
          <w:rFonts w:ascii="Times New Roman" w:hAnsi="Times New Roman" w:cs="Times New Roman"/>
          <w:color w:val="auto"/>
        </w:rPr>
      </w:pPr>
    </w:p>
    <w:p w:rsidR="00337A52" w:rsidRPr="00635A00" w:rsidRDefault="00635A00" w:rsidP="001F3848">
      <w:pPr>
        <w:pStyle w:val="Sombreadovistoso-nfasis31"/>
        <w:numPr>
          <w:ilvl w:val="0"/>
          <w:numId w:val="18"/>
        </w:numPr>
        <w:tabs>
          <w:tab w:val="left" w:pos="1418"/>
        </w:tabs>
        <w:ind w:left="1418" w:hanging="709"/>
        <w:rPr>
          <w:rFonts w:ascii="Times New Roman" w:hAnsi="Times New Roman" w:cs="Times New Roman"/>
          <w:color w:val="auto"/>
        </w:rPr>
      </w:pPr>
      <w:r w:rsidRPr="00635A00">
        <w:rPr>
          <w:rFonts w:ascii="Times New Roman" w:hAnsi="Times New Roman" w:cs="Times New Roman"/>
          <w:color w:val="auto"/>
        </w:rPr>
        <w:t>¿</w:t>
      </w:r>
      <w:r w:rsidRPr="00635A00">
        <w:rPr>
          <w:rFonts w:ascii="Times New Roman" w:hAnsi="Times New Roman" w:cs="Times New Roman"/>
          <w:color w:val="auto"/>
        </w:rPr>
        <w:t>Vulneró e</w:t>
      </w:r>
      <w:r w:rsidRPr="00635A00">
        <w:rPr>
          <w:rFonts w:ascii="Times New Roman" w:hAnsi="Times New Roman" w:cs="Times New Roman"/>
          <w:color w:val="auto"/>
        </w:rPr>
        <w:t xml:space="preserve">l Congreso de la República los principios de consecutividad e identidad flexible durante el trámite legislativo del numeral 6° y </w:t>
      </w:r>
      <w:r w:rsidRPr="00635A00">
        <w:rPr>
          <w:rFonts w:ascii="Times New Roman" w:hAnsi="Times New Roman" w:cs="Times New Roman"/>
          <w:color w:val="auto"/>
        </w:rPr>
        <w:t>d</w:t>
      </w:r>
      <w:r w:rsidRPr="00635A00">
        <w:rPr>
          <w:rFonts w:ascii="Times New Roman" w:hAnsi="Times New Roman" w:cs="Times New Roman"/>
          <w:color w:val="auto"/>
        </w:rPr>
        <w:t xml:space="preserve">el parágrafo 3° del artículo 61 de la Ley 2294, </w:t>
      </w:r>
      <w:r w:rsidRPr="00635A00">
        <w:rPr>
          <w:rFonts w:ascii="Times New Roman" w:hAnsi="Times New Roman" w:cs="Times New Roman"/>
          <w:color w:val="auto"/>
        </w:rPr>
        <w:t xml:space="preserve">debido a que </w:t>
      </w:r>
      <w:r w:rsidRPr="00635A00">
        <w:rPr>
          <w:rFonts w:ascii="Times New Roman" w:hAnsi="Times New Roman" w:cs="Times New Roman"/>
          <w:color w:val="auto"/>
        </w:rPr>
        <w:t xml:space="preserve">habrían sido </w:t>
      </w:r>
      <w:r w:rsidRPr="00635A00">
        <w:rPr>
          <w:rFonts w:ascii="Times New Roman" w:hAnsi="Times New Roman" w:cs="Times New Roman"/>
          <w:color w:val="auto"/>
        </w:rPr>
        <w:t>incorporados al proyecto de ley durante el segundo d</w:t>
      </w:r>
      <w:r w:rsidRPr="00635A00">
        <w:rPr>
          <w:rFonts w:ascii="Times New Roman" w:hAnsi="Times New Roman" w:cs="Times New Roman"/>
          <w:color w:val="auto"/>
        </w:rPr>
        <w:t xml:space="preserve">ebate sin que la materia que regulan fuera discutida en primer debate? </w:t>
      </w:r>
    </w:p>
    <w:p w:rsidR="008D4246" w:rsidRPr="00635A00" w:rsidRDefault="00635A00" w:rsidP="008D4246">
      <w:pPr>
        <w:pStyle w:val="Sombreadovistoso-nfasis31"/>
        <w:tabs>
          <w:tab w:val="left" w:pos="1418"/>
        </w:tabs>
        <w:ind w:left="1418"/>
        <w:rPr>
          <w:rFonts w:ascii="Times New Roman" w:hAnsi="Times New Roman" w:cs="Times New Roman"/>
          <w:color w:val="auto"/>
        </w:rPr>
      </w:pPr>
    </w:p>
    <w:p w:rsidR="008D4246" w:rsidRPr="00635A00" w:rsidRDefault="00635A00" w:rsidP="001F3848">
      <w:pPr>
        <w:pStyle w:val="Sombreadovistoso-nfasis31"/>
        <w:numPr>
          <w:ilvl w:val="0"/>
          <w:numId w:val="18"/>
        </w:numPr>
        <w:tabs>
          <w:tab w:val="left" w:pos="1418"/>
        </w:tabs>
        <w:ind w:left="1418" w:hanging="709"/>
        <w:rPr>
          <w:rFonts w:ascii="Times New Roman" w:hAnsi="Times New Roman" w:cs="Times New Roman"/>
          <w:color w:val="auto"/>
        </w:rPr>
      </w:pPr>
      <w:r w:rsidRPr="00635A00">
        <w:rPr>
          <w:rFonts w:ascii="Times New Roman" w:hAnsi="Times New Roman" w:cs="Times New Roman"/>
          <w:color w:val="auto"/>
        </w:rPr>
        <w:t>¿</w:t>
      </w:r>
      <w:r w:rsidRPr="00635A00">
        <w:rPr>
          <w:rFonts w:ascii="Times New Roman" w:hAnsi="Times New Roman" w:cs="Times New Roman"/>
          <w:color w:val="auto"/>
        </w:rPr>
        <w:t>Desconoció e</w:t>
      </w:r>
      <w:r w:rsidRPr="00635A00">
        <w:rPr>
          <w:rFonts w:ascii="Times New Roman" w:hAnsi="Times New Roman" w:cs="Times New Roman"/>
          <w:color w:val="auto"/>
        </w:rPr>
        <w:t>l Congreso de la República el principio de publicidad durante el trámite legislativo del numeral 6</w:t>
      </w:r>
      <w:r w:rsidRPr="00635A00">
        <w:rPr>
          <w:rFonts w:ascii="Times New Roman" w:hAnsi="Times New Roman" w:cs="Times New Roman"/>
          <w:color w:val="auto"/>
        </w:rPr>
        <w:t>°</w:t>
      </w:r>
      <w:r w:rsidRPr="00635A00">
        <w:rPr>
          <w:rFonts w:ascii="Times New Roman" w:hAnsi="Times New Roman" w:cs="Times New Roman"/>
          <w:color w:val="auto"/>
        </w:rPr>
        <w:t xml:space="preserve"> y del parágrafo 3° del artículo 61 de la Ley 2294</w:t>
      </w:r>
      <w:r w:rsidRPr="00635A00">
        <w:rPr>
          <w:rFonts w:ascii="Times New Roman" w:hAnsi="Times New Roman" w:cs="Times New Roman"/>
          <w:color w:val="auto"/>
        </w:rPr>
        <w:t xml:space="preserve"> surtido ante la plen</w:t>
      </w:r>
      <w:r w:rsidRPr="00635A00">
        <w:rPr>
          <w:rFonts w:ascii="Times New Roman" w:hAnsi="Times New Roman" w:cs="Times New Roman"/>
          <w:color w:val="auto"/>
        </w:rPr>
        <w:t>aria del Senado</w:t>
      </w:r>
      <w:r w:rsidRPr="00635A00">
        <w:rPr>
          <w:rFonts w:ascii="Times New Roman" w:hAnsi="Times New Roman" w:cs="Times New Roman"/>
          <w:color w:val="auto"/>
        </w:rPr>
        <w:t xml:space="preserve">, porque los senadores no </w:t>
      </w:r>
      <w:r w:rsidRPr="00635A00">
        <w:rPr>
          <w:rFonts w:ascii="Times New Roman" w:hAnsi="Times New Roman" w:cs="Times New Roman"/>
          <w:color w:val="auto"/>
        </w:rPr>
        <w:t xml:space="preserve">habrían conocido </w:t>
      </w:r>
      <w:r w:rsidRPr="00635A00">
        <w:rPr>
          <w:rFonts w:ascii="Times New Roman" w:hAnsi="Times New Roman" w:cs="Times New Roman"/>
          <w:color w:val="auto"/>
        </w:rPr>
        <w:t xml:space="preserve">ni </w:t>
      </w:r>
      <w:r w:rsidRPr="00635A00">
        <w:rPr>
          <w:rFonts w:ascii="Times New Roman" w:hAnsi="Times New Roman" w:cs="Times New Roman"/>
          <w:color w:val="auto"/>
        </w:rPr>
        <w:t xml:space="preserve">tenido </w:t>
      </w:r>
      <w:r w:rsidRPr="00635A00">
        <w:rPr>
          <w:rFonts w:ascii="Times New Roman" w:hAnsi="Times New Roman" w:cs="Times New Roman"/>
          <w:color w:val="auto"/>
        </w:rPr>
        <w:t xml:space="preserve">la oportunidad de conocer el contenido de la proposición con la que se introdujeron tales normas al articulado durante el segundo debate? </w:t>
      </w:r>
    </w:p>
    <w:p w:rsidR="005A746E" w:rsidRPr="00635A00" w:rsidRDefault="00635A00" w:rsidP="006E0F04">
      <w:pPr>
        <w:pStyle w:val="Prrafodelista"/>
        <w:rPr>
          <w:rFonts w:ascii="Times New Roman" w:hAnsi="Times New Roman" w:cs="Times New Roman"/>
          <w:color w:val="auto"/>
        </w:rPr>
      </w:pPr>
    </w:p>
    <w:p w:rsidR="00A66F7B" w:rsidRPr="00635A00" w:rsidRDefault="00635A00" w:rsidP="001F3848">
      <w:pPr>
        <w:pStyle w:val="Sombreadovistoso-nfasis31"/>
        <w:numPr>
          <w:ilvl w:val="0"/>
          <w:numId w:val="18"/>
        </w:numPr>
        <w:tabs>
          <w:tab w:val="left" w:pos="1418"/>
        </w:tabs>
        <w:ind w:left="1418" w:hanging="709"/>
        <w:rPr>
          <w:rFonts w:ascii="Times New Roman" w:hAnsi="Times New Roman" w:cs="Times New Roman"/>
          <w:color w:val="auto"/>
        </w:rPr>
      </w:pPr>
      <w:r w:rsidRPr="00635A00">
        <w:rPr>
          <w:rFonts w:ascii="Times New Roman" w:hAnsi="Times New Roman" w:cs="Times New Roman"/>
          <w:color w:val="auto"/>
        </w:rPr>
        <w:t>¿La supresión de la fase judicial del procedimie</w:t>
      </w:r>
      <w:r w:rsidRPr="00635A00">
        <w:rPr>
          <w:rFonts w:ascii="Times New Roman" w:hAnsi="Times New Roman" w:cs="Times New Roman"/>
          <w:color w:val="auto"/>
        </w:rPr>
        <w:t>nto único agrario regulado por el Decreto Ley 902 de 2017</w:t>
      </w:r>
      <w:r w:rsidRPr="00635A00">
        <w:rPr>
          <w:rFonts w:ascii="Times New Roman" w:hAnsi="Times New Roman" w:cs="Times New Roman"/>
          <w:color w:val="auto"/>
        </w:rPr>
        <w:t xml:space="preserve"> para los trámites de</w:t>
      </w:r>
      <w:r w:rsidRPr="00635A00">
        <w:rPr>
          <w:rFonts w:ascii="Times New Roman" w:hAnsi="Times New Roman" w:cs="Times New Roman"/>
          <w:color w:val="auto"/>
        </w:rPr>
        <w:t xml:space="preserve"> </w:t>
      </w:r>
      <w:r w:rsidRPr="00635A00">
        <w:rPr>
          <w:rFonts w:ascii="Times New Roman" w:hAnsi="Times New Roman" w:cs="Times New Roman"/>
          <w:color w:val="auto"/>
        </w:rPr>
        <w:t>clarificación de la propiedad, deslinde y recuperación de baldíos, extinción judicial del dominio sobre tierras incultas y caducidad administrativa, condición resolutoria del su</w:t>
      </w:r>
      <w:r w:rsidRPr="00635A00">
        <w:rPr>
          <w:rFonts w:ascii="Times New Roman" w:hAnsi="Times New Roman" w:cs="Times New Roman"/>
          <w:color w:val="auto"/>
        </w:rPr>
        <w:t>bsidio, reversión y revocatoria de titulación de baldíos, implica un retroceso injustificado</w:t>
      </w:r>
      <w:r w:rsidRPr="00635A00">
        <w:rPr>
          <w:rFonts w:ascii="Times New Roman" w:hAnsi="Times New Roman" w:cs="Times New Roman"/>
          <w:color w:val="auto"/>
        </w:rPr>
        <w:t xml:space="preserve"> en el ámbito de protección del derecho al debido proceso, violatorio del principio de progresividad y no regresividad?</w:t>
      </w:r>
    </w:p>
    <w:p w:rsidR="00A66F7B" w:rsidRPr="00635A00" w:rsidRDefault="00635A00" w:rsidP="00A66F7B">
      <w:pPr>
        <w:pStyle w:val="Prrafodelista"/>
        <w:rPr>
          <w:rFonts w:ascii="Times New Roman" w:hAnsi="Times New Roman" w:cs="Times New Roman"/>
          <w:color w:val="auto"/>
        </w:rPr>
      </w:pPr>
    </w:p>
    <w:p w:rsidR="006E0F04" w:rsidRPr="00635A00" w:rsidRDefault="00635A00" w:rsidP="001F3848">
      <w:pPr>
        <w:pStyle w:val="Sombreadovistoso-nfasis31"/>
        <w:numPr>
          <w:ilvl w:val="0"/>
          <w:numId w:val="18"/>
        </w:numPr>
        <w:tabs>
          <w:tab w:val="left" w:pos="1418"/>
        </w:tabs>
        <w:ind w:left="1418" w:hanging="709"/>
        <w:rPr>
          <w:rFonts w:ascii="Times New Roman" w:hAnsi="Times New Roman" w:cs="Times New Roman"/>
          <w:color w:val="auto"/>
        </w:rPr>
      </w:pPr>
      <w:r w:rsidRPr="00635A00">
        <w:rPr>
          <w:rFonts w:ascii="Times New Roman" w:hAnsi="Times New Roman" w:cs="Times New Roman"/>
          <w:color w:val="auto"/>
        </w:rPr>
        <w:t>¿</w:t>
      </w:r>
      <w:r w:rsidRPr="00635A00">
        <w:rPr>
          <w:rFonts w:ascii="Times New Roman" w:hAnsi="Times New Roman" w:cs="Times New Roman"/>
          <w:color w:val="auto"/>
        </w:rPr>
        <w:t xml:space="preserve"> Es contrario al artículo 238 de la Consti</w:t>
      </w:r>
      <w:r w:rsidRPr="00635A00">
        <w:rPr>
          <w:rFonts w:ascii="Times New Roman" w:hAnsi="Times New Roman" w:cs="Times New Roman"/>
          <w:color w:val="auto"/>
        </w:rPr>
        <w:t>tución e</w:t>
      </w:r>
      <w:r w:rsidRPr="00635A00">
        <w:rPr>
          <w:rFonts w:ascii="Times New Roman" w:hAnsi="Times New Roman" w:cs="Times New Roman"/>
          <w:color w:val="auto"/>
        </w:rPr>
        <w:t xml:space="preserve">l inciso quinto del numeral 6° del artículo 61 de la Ley 2294 </w:t>
      </w:r>
      <w:r w:rsidRPr="00635A00">
        <w:rPr>
          <w:rFonts w:ascii="Times New Roman" w:hAnsi="Times New Roman" w:cs="Times New Roman"/>
          <w:color w:val="auto"/>
        </w:rPr>
        <w:t>al permitir</w:t>
      </w:r>
      <w:r w:rsidRPr="00635A00">
        <w:rPr>
          <w:rFonts w:ascii="Times New Roman" w:hAnsi="Times New Roman" w:cs="Times New Roman"/>
          <w:color w:val="auto"/>
        </w:rPr>
        <w:t xml:space="preserve"> a la ANT continuar con la ejecución de actos administrativos suspendidos provisionalmente por una autoridad judicial?</w:t>
      </w:r>
      <w:r w:rsidRPr="00635A00">
        <w:rPr>
          <w:rFonts w:ascii="Times New Roman" w:hAnsi="Times New Roman" w:cs="Times New Roman"/>
          <w:color w:val="auto"/>
        </w:rPr>
        <w:t xml:space="preserve">  </w:t>
      </w:r>
    </w:p>
    <w:p w:rsidR="00412CA2" w:rsidRPr="00635A00" w:rsidRDefault="00635A00" w:rsidP="0059516F">
      <w:pPr>
        <w:rPr>
          <w:rFonts w:ascii="Times New Roman" w:hAnsi="Times New Roman" w:cs="Times New Roman"/>
          <w:b/>
          <w:bCs/>
          <w:sz w:val="28"/>
          <w:lang w:val="es-ES"/>
        </w:rPr>
      </w:pPr>
    </w:p>
    <w:p w:rsidR="00B74DBF" w:rsidRPr="00635A00" w:rsidRDefault="00635A00" w:rsidP="00B74DBF">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cuanto al método a seguir, l</w:t>
      </w:r>
      <w:r w:rsidRPr="00635A00">
        <w:rPr>
          <w:rFonts w:ascii="Times New Roman" w:hAnsi="Times New Roman" w:cs="Times New Roman"/>
          <w:color w:val="auto"/>
        </w:rPr>
        <w:t>a Sala</w:t>
      </w:r>
      <w:r w:rsidRPr="00635A00">
        <w:rPr>
          <w:rFonts w:ascii="Times New Roman" w:hAnsi="Times New Roman" w:cs="Times New Roman"/>
          <w:color w:val="auto"/>
        </w:rPr>
        <w:t xml:space="preserve"> </w:t>
      </w:r>
      <w:r w:rsidRPr="00635A00">
        <w:rPr>
          <w:rFonts w:ascii="Times New Roman" w:hAnsi="Times New Roman" w:cs="Times New Roman"/>
          <w:color w:val="auto"/>
        </w:rPr>
        <w:t>iniciará</w:t>
      </w:r>
      <w:r w:rsidRPr="00635A00">
        <w:rPr>
          <w:rFonts w:ascii="Times New Roman" w:hAnsi="Times New Roman" w:cs="Times New Roman"/>
          <w:color w:val="auto"/>
        </w:rPr>
        <w:t xml:space="preserve"> con una breve</w:t>
      </w:r>
      <w:r w:rsidRPr="00635A00">
        <w:rPr>
          <w:rFonts w:ascii="Times New Roman" w:hAnsi="Times New Roman" w:cs="Times New Roman"/>
          <w:color w:val="auto"/>
        </w:rPr>
        <w:t xml:space="preserve"> referencia a las generalidades de la ley del Plan Nacional de Desarrollo. Acto seguido, hará una</w:t>
      </w:r>
      <w:r w:rsidRPr="00635A00">
        <w:rPr>
          <w:rFonts w:ascii="Times New Roman" w:hAnsi="Times New Roman" w:cs="Times New Roman"/>
          <w:color w:val="auto"/>
        </w:rPr>
        <w:t xml:space="preserve"> descripción de</w:t>
      </w:r>
      <w:r w:rsidRPr="00635A00">
        <w:rPr>
          <w:rFonts w:ascii="Times New Roman" w:hAnsi="Times New Roman" w:cs="Times New Roman"/>
          <w:color w:val="auto"/>
        </w:rPr>
        <w:t>l</w:t>
      </w:r>
      <w:r w:rsidRPr="00635A00">
        <w:rPr>
          <w:rFonts w:ascii="Times New Roman" w:hAnsi="Times New Roman" w:cs="Times New Roman"/>
          <w:color w:val="auto"/>
        </w:rPr>
        <w:t xml:space="preserve"> contenido y alcance de las normas demandadas, con el fin de </w:t>
      </w:r>
      <w:r w:rsidRPr="00635A00">
        <w:rPr>
          <w:rFonts w:ascii="Times New Roman" w:hAnsi="Times New Roman" w:cs="Times New Roman"/>
          <w:color w:val="auto"/>
        </w:rPr>
        <w:t>resaltar</w:t>
      </w:r>
      <w:r w:rsidRPr="00635A00">
        <w:rPr>
          <w:rFonts w:ascii="Times New Roman" w:hAnsi="Times New Roman" w:cs="Times New Roman"/>
          <w:color w:val="auto"/>
        </w:rPr>
        <w:t xml:space="preserve"> algunos aspectos </w:t>
      </w:r>
      <w:r w:rsidRPr="00635A00">
        <w:rPr>
          <w:rFonts w:ascii="Times New Roman" w:hAnsi="Times New Roman" w:cs="Times New Roman"/>
          <w:color w:val="auto"/>
        </w:rPr>
        <w:t xml:space="preserve">que posteriormente serán de relevancia </w:t>
      </w:r>
      <w:r w:rsidRPr="00635A00">
        <w:rPr>
          <w:rFonts w:ascii="Times New Roman" w:hAnsi="Times New Roman" w:cs="Times New Roman"/>
          <w:color w:val="auto"/>
        </w:rPr>
        <w:t>par</w:t>
      </w:r>
      <w:r w:rsidRPr="00635A00">
        <w:rPr>
          <w:rFonts w:ascii="Times New Roman" w:hAnsi="Times New Roman" w:cs="Times New Roman"/>
          <w:color w:val="auto"/>
        </w:rPr>
        <w:t xml:space="preserve">a el análisis de constitucionalidad. </w:t>
      </w:r>
      <w:r w:rsidRPr="00635A00">
        <w:rPr>
          <w:rFonts w:ascii="Times New Roman" w:hAnsi="Times New Roman" w:cs="Times New Roman"/>
          <w:color w:val="auto"/>
        </w:rPr>
        <w:t>Luego,</w:t>
      </w:r>
      <w:r w:rsidRPr="00635A00">
        <w:rPr>
          <w:rFonts w:ascii="Times New Roman" w:hAnsi="Times New Roman" w:cs="Times New Roman"/>
          <w:color w:val="auto"/>
        </w:rPr>
        <w:t xml:space="preserve"> </w:t>
      </w:r>
      <w:r w:rsidRPr="00635A00">
        <w:rPr>
          <w:rFonts w:ascii="Times New Roman" w:hAnsi="Times New Roman" w:cs="Times New Roman"/>
          <w:color w:val="auto"/>
        </w:rPr>
        <w:t>tras el planteamiento de estos elementos generales, se</w:t>
      </w:r>
      <w:r w:rsidRPr="00635A00">
        <w:rPr>
          <w:rFonts w:ascii="Times New Roman" w:hAnsi="Times New Roman" w:cs="Times New Roman"/>
          <w:color w:val="auto"/>
        </w:rPr>
        <w:t xml:space="preserve"> llevará </w:t>
      </w:r>
      <w:r w:rsidRPr="00635A00">
        <w:rPr>
          <w:rFonts w:ascii="Times New Roman" w:hAnsi="Times New Roman" w:cs="Times New Roman"/>
          <w:color w:val="auto"/>
        </w:rPr>
        <w:t xml:space="preserve">a cabo </w:t>
      </w:r>
      <w:r w:rsidRPr="00635A00">
        <w:rPr>
          <w:rFonts w:ascii="Times New Roman" w:hAnsi="Times New Roman" w:cs="Times New Roman"/>
          <w:color w:val="auto"/>
        </w:rPr>
        <w:t>el examen de los cargos por vicios de procedimiento</w:t>
      </w:r>
      <w:r w:rsidRPr="00635A00">
        <w:rPr>
          <w:rFonts w:ascii="Times New Roman" w:hAnsi="Times New Roman" w:cs="Times New Roman"/>
          <w:color w:val="auto"/>
        </w:rPr>
        <w:t xml:space="preserve">, referidos a la </w:t>
      </w:r>
      <w:r w:rsidRPr="00635A00">
        <w:rPr>
          <w:rFonts w:ascii="Times New Roman" w:hAnsi="Times New Roman" w:cs="Times New Roman"/>
          <w:color w:val="auto"/>
        </w:rPr>
        <w:t xml:space="preserve">posible </w:t>
      </w:r>
      <w:r w:rsidRPr="00635A00">
        <w:rPr>
          <w:rFonts w:ascii="Times New Roman" w:hAnsi="Times New Roman" w:cs="Times New Roman"/>
          <w:color w:val="auto"/>
        </w:rPr>
        <w:t>violación de</w:t>
      </w:r>
      <w:r w:rsidRPr="00635A00">
        <w:rPr>
          <w:rFonts w:ascii="Times New Roman" w:hAnsi="Times New Roman" w:cs="Times New Roman"/>
          <w:color w:val="auto"/>
        </w:rPr>
        <w:t xml:space="preserve"> los </w:t>
      </w:r>
      <w:r w:rsidRPr="00635A00">
        <w:rPr>
          <w:rFonts w:ascii="Times New Roman" w:hAnsi="Times New Roman" w:cs="Times New Roman"/>
          <w:color w:val="auto"/>
        </w:rPr>
        <w:t>principio</w:t>
      </w:r>
      <w:r w:rsidRPr="00635A00">
        <w:rPr>
          <w:rFonts w:ascii="Times New Roman" w:hAnsi="Times New Roman" w:cs="Times New Roman"/>
          <w:color w:val="auto"/>
        </w:rPr>
        <w:t>s</w:t>
      </w:r>
      <w:r w:rsidRPr="00635A00">
        <w:rPr>
          <w:rFonts w:ascii="Times New Roman" w:hAnsi="Times New Roman" w:cs="Times New Roman"/>
          <w:color w:val="auto"/>
        </w:rPr>
        <w:t xml:space="preserve"> de</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(i) </w:t>
      </w:r>
      <w:r w:rsidRPr="00635A00">
        <w:rPr>
          <w:rFonts w:ascii="Times New Roman" w:hAnsi="Times New Roman" w:cs="Times New Roman"/>
          <w:color w:val="auto"/>
        </w:rPr>
        <w:t>publicidad</w:t>
      </w:r>
      <w:r w:rsidRPr="00635A00">
        <w:rPr>
          <w:rFonts w:ascii="Times New Roman" w:hAnsi="Times New Roman" w:cs="Times New Roman"/>
          <w:color w:val="auto"/>
        </w:rPr>
        <w:t xml:space="preserve"> y (ii) consecutivid</w:t>
      </w:r>
      <w:r w:rsidRPr="00635A00">
        <w:rPr>
          <w:rFonts w:ascii="Times New Roman" w:hAnsi="Times New Roman" w:cs="Times New Roman"/>
          <w:color w:val="auto"/>
        </w:rPr>
        <w:t>ad e identidad flexible</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L</w:t>
      </w:r>
      <w:r w:rsidRPr="00635A00">
        <w:rPr>
          <w:rFonts w:ascii="Times New Roman" w:hAnsi="Times New Roman" w:cs="Times New Roman"/>
          <w:color w:val="auto"/>
        </w:rPr>
        <w:t xml:space="preserve">a Sala aclara que </w:t>
      </w:r>
      <w:r w:rsidRPr="00635A00">
        <w:rPr>
          <w:rFonts w:ascii="Times New Roman" w:hAnsi="Times New Roman" w:cs="Times New Roman"/>
          <w:color w:val="auto"/>
        </w:rPr>
        <w:t xml:space="preserve">primero </w:t>
      </w:r>
      <w:r w:rsidRPr="00635A00">
        <w:rPr>
          <w:rFonts w:ascii="Times New Roman" w:hAnsi="Times New Roman" w:cs="Times New Roman"/>
          <w:color w:val="auto"/>
        </w:rPr>
        <w:t xml:space="preserve">emprenderá </w:t>
      </w:r>
      <w:r w:rsidRPr="00635A00">
        <w:rPr>
          <w:rFonts w:ascii="Times New Roman" w:hAnsi="Times New Roman" w:cs="Times New Roman"/>
          <w:color w:val="auto"/>
        </w:rPr>
        <w:t xml:space="preserve">el examen </w:t>
      </w:r>
      <w:r w:rsidRPr="00635A00">
        <w:rPr>
          <w:rFonts w:ascii="Times New Roman" w:hAnsi="Times New Roman" w:cs="Times New Roman"/>
          <w:color w:val="auto"/>
        </w:rPr>
        <w:t>del cargo por violación del principio de</w:t>
      </w:r>
      <w:r w:rsidRPr="00635A00">
        <w:rPr>
          <w:rFonts w:ascii="Times New Roman" w:hAnsi="Times New Roman" w:cs="Times New Roman"/>
          <w:color w:val="auto"/>
        </w:rPr>
        <w:t xml:space="preserve"> publicidad, debido a que la eventual configuración de un vicio </w:t>
      </w:r>
      <w:r w:rsidRPr="00635A00">
        <w:rPr>
          <w:rFonts w:ascii="Times New Roman" w:hAnsi="Times New Roman" w:cs="Times New Roman"/>
          <w:color w:val="auto"/>
        </w:rPr>
        <w:t xml:space="preserve">en este aspecto puede incidir en afectación de los principios de consecutividad e identidad flexible. </w:t>
      </w:r>
      <w:r w:rsidRPr="00635A00">
        <w:rPr>
          <w:rFonts w:ascii="Times New Roman" w:hAnsi="Times New Roman" w:cs="Times New Roman"/>
          <w:color w:val="auto"/>
        </w:rPr>
        <w:t>Finalmente, se precisa que s</w:t>
      </w:r>
      <w:r w:rsidRPr="00635A00">
        <w:rPr>
          <w:rFonts w:ascii="Times New Roman" w:hAnsi="Times New Roman" w:cs="Times New Roman"/>
          <w:color w:val="auto"/>
        </w:rPr>
        <w:t xml:space="preserve">ólo en el evento de que </w:t>
      </w:r>
      <w:r w:rsidRPr="00635A00">
        <w:rPr>
          <w:rFonts w:ascii="Times New Roman" w:hAnsi="Times New Roman" w:cs="Times New Roman"/>
          <w:color w:val="auto"/>
        </w:rPr>
        <w:t>los vicios formales</w:t>
      </w:r>
      <w:r w:rsidRPr="00635A00">
        <w:rPr>
          <w:rFonts w:ascii="Times New Roman" w:hAnsi="Times New Roman" w:cs="Times New Roman"/>
          <w:color w:val="auto"/>
        </w:rPr>
        <w:t xml:space="preserve"> no prosperen</w:t>
      </w:r>
      <w:r w:rsidRPr="00635A00">
        <w:rPr>
          <w:rFonts w:ascii="Times New Roman" w:hAnsi="Times New Roman" w:cs="Times New Roman"/>
          <w:color w:val="auto"/>
        </w:rPr>
        <w:t>,</w:t>
      </w:r>
      <w:r w:rsidRPr="00635A00">
        <w:rPr>
          <w:rFonts w:ascii="Times New Roman" w:hAnsi="Times New Roman" w:cs="Times New Roman"/>
          <w:color w:val="auto"/>
        </w:rPr>
        <w:t xml:space="preserve"> se proseguir</w:t>
      </w:r>
      <w:r w:rsidRPr="00635A00">
        <w:rPr>
          <w:rFonts w:ascii="Times New Roman" w:hAnsi="Times New Roman" w:cs="Times New Roman"/>
          <w:color w:val="auto"/>
        </w:rPr>
        <w:t>ía</w:t>
      </w:r>
      <w:r w:rsidRPr="00635A00">
        <w:rPr>
          <w:rFonts w:ascii="Times New Roman" w:hAnsi="Times New Roman" w:cs="Times New Roman"/>
          <w:color w:val="auto"/>
        </w:rPr>
        <w:t xml:space="preserve"> con el análisis por vicios de fo</w:t>
      </w:r>
      <w:r w:rsidRPr="00635A00">
        <w:rPr>
          <w:rFonts w:ascii="Times New Roman" w:hAnsi="Times New Roman" w:cs="Times New Roman"/>
          <w:color w:val="auto"/>
        </w:rPr>
        <w:t>ndo</w:t>
      </w:r>
      <w:r w:rsidRPr="00635A00">
        <w:rPr>
          <w:rFonts w:ascii="Times New Roman" w:hAnsi="Times New Roman" w:cs="Times New Roman"/>
          <w:color w:val="auto"/>
        </w:rPr>
        <w:t>, pues de lo contr</w:t>
      </w:r>
      <w:r w:rsidRPr="00635A00">
        <w:rPr>
          <w:rFonts w:ascii="Times New Roman" w:hAnsi="Times New Roman" w:cs="Times New Roman"/>
          <w:color w:val="auto"/>
        </w:rPr>
        <w:t xml:space="preserve">ario, por sustracción de materia no habría lugar a pronunciarse sobre </w:t>
      </w:r>
      <w:r w:rsidRPr="00635A00">
        <w:rPr>
          <w:rFonts w:ascii="Times New Roman" w:hAnsi="Times New Roman" w:cs="Times New Roman"/>
          <w:color w:val="auto"/>
        </w:rPr>
        <w:t>ellos</w:t>
      </w:r>
      <w:r w:rsidRPr="00635A00">
        <w:rPr>
          <w:rStyle w:val="Refdenotaalpie"/>
          <w:rFonts w:ascii="Times New Roman" w:hAnsi="Times New Roman" w:cs="Times New Roman"/>
          <w:color w:val="auto"/>
        </w:rPr>
        <w:footnoteReference w:id="42"/>
      </w:r>
      <w:r w:rsidRPr="00635A00">
        <w:rPr>
          <w:rFonts w:ascii="Times New Roman" w:hAnsi="Times New Roman" w:cs="Times New Roman"/>
          <w:color w:val="auto"/>
        </w:rPr>
        <w:t xml:space="preserve">. </w:t>
      </w:r>
    </w:p>
    <w:p w:rsidR="00B74DBF" w:rsidRPr="00635A00" w:rsidRDefault="00635A00" w:rsidP="0059516F">
      <w:pPr>
        <w:rPr>
          <w:rFonts w:ascii="Times New Roman" w:hAnsi="Times New Roman" w:cs="Times New Roman"/>
          <w:b/>
          <w:bCs/>
          <w:sz w:val="28"/>
          <w:lang w:val="es-ES"/>
        </w:rPr>
      </w:pPr>
    </w:p>
    <w:p w:rsidR="00F451FB" w:rsidRPr="00635A00" w:rsidRDefault="00635A00" w:rsidP="003E0293">
      <w:pPr>
        <w:pStyle w:val="Prrafodelista"/>
        <w:numPr>
          <w:ilvl w:val="0"/>
          <w:numId w:val="17"/>
        </w:numPr>
        <w:tabs>
          <w:tab w:val="left" w:pos="1134"/>
        </w:tabs>
        <w:contextualSpacing/>
        <w:rPr>
          <w:rFonts w:ascii="Times New Roman" w:hAnsi="Times New Roman" w:cs="Times New Roman"/>
          <w:b/>
          <w:bCs/>
          <w:color w:val="auto"/>
        </w:rPr>
      </w:pPr>
      <w:r w:rsidRPr="00635A00">
        <w:rPr>
          <w:rFonts w:ascii="Times New Roman" w:hAnsi="Times New Roman" w:cs="Times New Roman"/>
          <w:b/>
          <w:bCs/>
          <w:color w:val="auto"/>
        </w:rPr>
        <w:t>Generalidades del Plan Nacional de Desarrollo</w:t>
      </w:r>
    </w:p>
    <w:p w:rsidR="002B4271" w:rsidRPr="00635A00" w:rsidRDefault="00635A00" w:rsidP="002B4271">
      <w:pPr>
        <w:pStyle w:val="Prrafodelista"/>
        <w:tabs>
          <w:tab w:val="left" w:pos="1134"/>
        </w:tabs>
        <w:ind w:left="720"/>
        <w:contextualSpacing/>
        <w:rPr>
          <w:rFonts w:ascii="Times New Roman" w:hAnsi="Times New Roman" w:cs="Times New Roman"/>
          <w:b/>
          <w:bCs/>
          <w:color w:val="auto"/>
        </w:rPr>
      </w:pPr>
    </w:p>
    <w:p w:rsidR="00B50F16" w:rsidRPr="00635A00" w:rsidRDefault="00635A00">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El</w:t>
      </w:r>
      <w:r w:rsidRPr="00635A00">
        <w:rPr>
          <w:rFonts w:ascii="Times New Roman" w:hAnsi="Times New Roman" w:cs="Times New Roman"/>
          <w:color w:val="auto"/>
        </w:rPr>
        <w:t xml:space="preserve"> título XII de la Carta Política se encarga del régimen </w:t>
      </w:r>
      <w:r w:rsidRPr="00635A00">
        <w:rPr>
          <w:rFonts w:ascii="Times New Roman" w:hAnsi="Times New Roman" w:cs="Times New Roman"/>
          <w:color w:val="auto"/>
        </w:rPr>
        <w:t>económico y de Hacienda Pública</w:t>
      </w:r>
      <w:r w:rsidRPr="00635A00">
        <w:rPr>
          <w:rFonts w:ascii="Times New Roman" w:hAnsi="Times New Roman" w:cs="Times New Roman"/>
          <w:color w:val="auto"/>
        </w:rPr>
        <w:t xml:space="preserve">, el cual parte del reconocimiento del rol del Estado en la dirección de la economía </w:t>
      </w:r>
      <w:r w:rsidRPr="00635A00">
        <w:rPr>
          <w:rFonts w:ascii="Times New Roman" w:hAnsi="Times New Roman" w:cs="Times New Roman"/>
          <w:color w:val="auto"/>
        </w:rPr>
        <w:t xml:space="preserve">mediante </w:t>
      </w:r>
      <w:r w:rsidRPr="00635A00">
        <w:rPr>
          <w:rFonts w:ascii="Times New Roman" w:hAnsi="Times New Roman" w:cs="Times New Roman"/>
          <w:color w:val="auto"/>
        </w:rPr>
        <w:t xml:space="preserve">la intervención en una serie de actividades económicas y </w:t>
      </w:r>
      <w:r w:rsidRPr="00635A00">
        <w:rPr>
          <w:rFonts w:ascii="Times New Roman" w:hAnsi="Times New Roman" w:cs="Times New Roman"/>
          <w:color w:val="auto"/>
        </w:rPr>
        <w:t>con el propósito de alcanzar diversas</w:t>
      </w:r>
      <w:r w:rsidRPr="00635A00">
        <w:rPr>
          <w:rFonts w:ascii="Times New Roman" w:hAnsi="Times New Roman" w:cs="Times New Roman"/>
          <w:color w:val="auto"/>
        </w:rPr>
        <w:t xml:space="preserve"> finalidades asociadas al modelo de Estado Social de Derecho</w:t>
      </w:r>
      <w:r w:rsidRPr="00635A00">
        <w:rPr>
          <w:rFonts w:ascii="Times New Roman" w:hAnsi="Times New Roman" w:cs="Times New Roman"/>
          <w:color w:val="auto"/>
        </w:rPr>
        <w:t xml:space="preserve">. Así, </w:t>
      </w:r>
      <w:r w:rsidRPr="00635A00">
        <w:rPr>
          <w:rFonts w:ascii="Times New Roman" w:hAnsi="Times New Roman" w:cs="Times New Roman"/>
          <w:color w:val="auto"/>
        </w:rPr>
        <w:t>l</w:t>
      </w:r>
      <w:r w:rsidRPr="00635A00">
        <w:rPr>
          <w:rFonts w:ascii="Times New Roman" w:hAnsi="Times New Roman" w:cs="Times New Roman"/>
          <w:color w:val="auto"/>
        </w:rPr>
        <w:t>a dirección de la economía y el manejo de las finanzas públicas propenderá por</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el mejoramiento de la calidad de vida de los habitantes, </w:t>
      </w:r>
      <w:r w:rsidRPr="00635A00">
        <w:rPr>
          <w:rFonts w:ascii="Times New Roman" w:hAnsi="Times New Roman" w:cs="Times New Roman"/>
          <w:color w:val="auto"/>
        </w:rPr>
        <w:t>la distribución equitativa de beneficios y oportunidades</w:t>
      </w:r>
      <w:r w:rsidRPr="00635A00">
        <w:rPr>
          <w:rFonts w:ascii="Times New Roman" w:hAnsi="Times New Roman" w:cs="Times New Roman"/>
          <w:color w:val="auto"/>
        </w:rPr>
        <w:t xml:space="preserve"> de desarrollo</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el acceso </w:t>
      </w:r>
      <w:r w:rsidRPr="00635A00">
        <w:rPr>
          <w:rFonts w:ascii="Times New Roman" w:hAnsi="Times New Roman" w:cs="Times New Roman"/>
          <w:color w:val="auto"/>
        </w:rPr>
        <w:t>progresivo</w:t>
      </w:r>
      <w:r w:rsidRPr="00635A00">
        <w:rPr>
          <w:rFonts w:ascii="Times New Roman" w:hAnsi="Times New Roman" w:cs="Times New Roman"/>
          <w:color w:val="auto"/>
        </w:rPr>
        <w:t>,</w:t>
      </w:r>
      <w:r w:rsidRPr="00635A00">
        <w:rPr>
          <w:rFonts w:ascii="Times New Roman" w:hAnsi="Times New Roman" w:cs="Times New Roman"/>
          <w:color w:val="auto"/>
        </w:rPr>
        <w:t xml:space="preserve"> efectivo y pleno al conjun</w:t>
      </w:r>
      <w:r w:rsidRPr="00635A00">
        <w:rPr>
          <w:rFonts w:ascii="Times New Roman" w:hAnsi="Times New Roman" w:cs="Times New Roman"/>
          <w:color w:val="auto"/>
        </w:rPr>
        <w:t xml:space="preserve">to de </w:t>
      </w:r>
      <w:r w:rsidRPr="00635A00">
        <w:rPr>
          <w:rFonts w:ascii="Times New Roman" w:hAnsi="Times New Roman" w:cs="Times New Roman"/>
          <w:color w:val="auto"/>
        </w:rPr>
        <w:t>los bienes y servicios básicos, entre otras finalidades que guían la labor estatal en materia económica.</w:t>
      </w:r>
    </w:p>
    <w:p w:rsidR="00B50F16" w:rsidRPr="00635A00" w:rsidRDefault="00635A00" w:rsidP="00B50F16">
      <w:pPr>
        <w:pStyle w:val="Sombreadovistoso-nfasis31"/>
        <w:ind w:left="0"/>
        <w:rPr>
          <w:rFonts w:ascii="Times New Roman" w:hAnsi="Times New Roman" w:cs="Times New Roman"/>
          <w:color w:val="auto"/>
        </w:rPr>
      </w:pPr>
    </w:p>
    <w:p w:rsidR="00C47D03" w:rsidRPr="00635A00" w:rsidRDefault="00635A00" w:rsidP="00B3313D">
      <w:pPr>
        <w:pStyle w:val="Sombreadovistoso-nfasis31"/>
        <w:numPr>
          <w:ilvl w:val="0"/>
          <w:numId w:val="3"/>
        </w:numPr>
        <w:rPr>
          <w:rFonts w:ascii="Times New Roman" w:hAnsi="Times New Roman" w:cs="Times New Roman"/>
          <w:color w:val="auto"/>
        </w:rPr>
      </w:pPr>
      <w:bookmarkStart w:id="11" w:name="_Ref173913107"/>
      <w:r w:rsidRPr="00635A00">
        <w:rPr>
          <w:rFonts w:ascii="Times New Roman" w:hAnsi="Times New Roman" w:cs="Times New Roman"/>
          <w:color w:val="auto"/>
        </w:rPr>
        <w:t>En</w:t>
      </w:r>
      <w:r w:rsidRPr="00635A00">
        <w:rPr>
          <w:rFonts w:ascii="Times New Roman" w:hAnsi="Times New Roman" w:cs="Times New Roman"/>
          <w:color w:val="auto"/>
        </w:rPr>
        <w:t xml:space="preserve"> los instrumentos </w:t>
      </w:r>
      <w:r w:rsidRPr="00635A00">
        <w:rPr>
          <w:rFonts w:ascii="Times New Roman" w:hAnsi="Times New Roman" w:cs="Times New Roman"/>
          <w:color w:val="auto"/>
        </w:rPr>
        <w:t xml:space="preserve">constitucionales del régimen económico y de hacienda pública </w:t>
      </w:r>
      <w:r w:rsidRPr="00635A00">
        <w:rPr>
          <w:rFonts w:ascii="Times New Roman" w:hAnsi="Times New Roman" w:cs="Times New Roman"/>
          <w:color w:val="auto"/>
        </w:rPr>
        <w:t xml:space="preserve">se encuentran los </w:t>
      </w:r>
      <w:r w:rsidRPr="00635A00">
        <w:rPr>
          <w:rFonts w:ascii="Times New Roman" w:hAnsi="Times New Roman" w:cs="Times New Roman"/>
          <w:color w:val="auto"/>
        </w:rPr>
        <w:t xml:space="preserve">planes de desarrollo, </w:t>
      </w:r>
      <w:r w:rsidRPr="00635A00">
        <w:rPr>
          <w:rFonts w:ascii="Times New Roman" w:hAnsi="Times New Roman" w:cs="Times New Roman"/>
          <w:color w:val="auto"/>
        </w:rPr>
        <w:t xml:space="preserve">estos son </w:t>
      </w:r>
      <w:r w:rsidRPr="00635A00">
        <w:rPr>
          <w:rFonts w:ascii="Times New Roman" w:hAnsi="Times New Roman" w:cs="Times New Roman"/>
          <w:color w:val="auto"/>
        </w:rPr>
        <w:t>el Plan de De</w:t>
      </w:r>
      <w:r w:rsidRPr="00635A00">
        <w:rPr>
          <w:rFonts w:ascii="Times New Roman" w:hAnsi="Times New Roman" w:cs="Times New Roman"/>
          <w:color w:val="auto"/>
        </w:rPr>
        <w:t>sarrollo de carácter nacional y los</w:t>
      </w:r>
      <w:r w:rsidRPr="00635A00">
        <w:rPr>
          <w:rFonts w:ascii="Times New Roman" w:hAnsi="Times New Roman" w:cs="Times New Roman"/>
          <w:color w:val="auto"/>
        </w:rPr>
        <w:t xml:space="preserve"> p</w:t>
      </w:r>
      <w:r w:rsidRPr="00635A00">
        <w:rPr>
          <w:rFonts w:ascii="Times New Roman" w:hAnsi="Times New Roman" w:cs="Times New Roman"/>
          <w:color w:val="auto"/>
        </w:rPr>
        <w:t xml:space="preserve">lanes de desarrollo de las entidades territoriales. </w:t>
      </w:r>
      <w:r w:rsidRPr="00635A00">
        <w:rPr>
          <w:rFonts w:ascii="Times New Roman" w:hAnsi="Times New Roman" w:cs="Times New Roman"/>
          <w:color w:val="auto"/>
        </w:rPr>
        <w:t>En</w:t>
      </w:r>
      <w:r w:rsidRPr="00635A00">
        <w:rPr>
          <w:rFonts w:ascii="Times New Roman" w:hAnsi="Times New Roman" w:cs="Times New Roman"/>
          <w:color w:val="auto"/>
        </w:rPr>
        <w:t xml:space="preserve"> relación con el</w:t>
      </w:r>
      <w:r w:rsidRPr="00635A00">
        <w:rPr>
          <w:rFonts w:ascii="Times New Roman" w:hAnsi="Times New Roman" w:cs="Times New Roman"/>
          <w:color w:val="auto"/>
        </w:rPr>
        <w:t xml:space="preserve"> Plan Nacional de Desarrollo</w:t>
      </w:r>
      <w:r w:rsidRPr="00635A00">
        <w:rPr>
          <w:rFonts w:ascii="Times New Roman" w:hAnsi="Times New Roman" w:cs="Times New Roman"/>
          <w:color w:val="auto"/>
        </w:rPr>
        <w:t xml:space="preserve">, </w:t>
      </w:r>
      <w:bookmarkEnd w:id="11"/>
      <w:r w:rsidRPr="00635A00">
        <w:rPr>
          <w:rFonts w:ascii="Times New Roman" w:hAnsi="Times New Roman" w:cs="Times New Roman"/>
          <w:color w:val="auto"/>
        </w:rPr>
        <w:t>la Carta Política precisa</w:t>
      </w:r>
      <w:r w:rsidRPr="00635A00">
        <w:rPr>
          <w:rStyle w:val="Refdenotaalpie"/>
          <w:rFonts w:ascii="Times New Roman" w:hAnsi="Times New Roman" w:cs="Times New Roman"/>
          <w:color w:val="auto"/>
        </w:rPr>
        <w:footnoteReference w:id="43"/>
      </w:r>
      <w:r w:rsidRPr="00635A00">
        <w:rPr>
          <w:rFonts w:ascii="Times New Roman" w:hAnsi="Times New Roman" w:cs="Times New Roman"/>
          <w:color w:val="auto"/>
        </w:rPr>
        <w:t xml:space="preserve">: </w:t>
      </w:r>
    </w:p>
    <w:p w:rsidR="00C47D03" w:rsidRPr="00635A00" w:rsidRDefault="00635A00" w:rsidP="00C47D03">
      <w:pPr>
        <w:pStyle w:val="Prrafodelista"/>
        <w:rPr>
          <w:rFonts w:ascii="Times New Roman" w:hAnsi="Times New Roman" w:cs="Times New Roman"/>
          <w:color w:val="auto"/>
        </w:rPr>
      </w:pPr>
    </w:p>
    <w:p w:rsidR="006A1AAB" w:rsidRPr="00635A00" w:rsidRDefault="00635A00" w:rsidP="001F3848">
      <w:pPr>
        <w:pStyle w:val="Sombreadovistoso-nfasis31"/>
        <w:numPr>
          <w:ilvl w:val="0"/>
          <w:numId w:val="19"/>
        </w:numPr>
        <w:rPr>
          <w:rFonts w:ascii="Times New Roman" w:hAnsi="Times New Roman" w:cs="Times New Roman"/>
          <w:color w:val="auto"/>
          <w:lang w:val="es-CO"/>
        </w:rPr>
      </w:pPr>
      <w:r w:rsidRPr="00635A00">
        <w:rPr>
          <w:rFonts w:ascii="Times New Roman" w:hAnsi="Times New Roman" w:cs="Times New Roman"/>
          <w:color w:val="auto"/>
        </w:rPr>
        <w:t xml:space="preserve">El </w:t>
      </w:r>
      <w:r w:rsidRPr="00635A00">
        <w:rPr>
          <w:rFonts w:ascii="Times New Roman" w:hAnsi="Times New Roman" w:cs="Times New Roman"/>
          <w:color w:val="auto"/>
        </w:rPr>
        <w:t xml:space="preserve">contenido, </w:t>
      </w:r>
      <w:r w:rsidRPr="00635A00">
        <w:rPr>
          <w:rFonts w:ascii="Times New Roman" w:hAnsi="Times New Roman" w:cs="Times New Roman"/>
          <w:color w:val="auto"/>
        </w:rPr>
        <w:t xml:space="preserve">pues </w:t>
      </w:r>
      <w:r w:rsidRPr="00635A00">
        <w:rPr>
          <w:rFonts w:ascii="Times New Roman" w:hAnsi="Times New Roman" w:cs="Times New Roman"/>
          <w:color w:val="auto"/>
        </w:rPr>
        <w:t xml:space="preserve">el artículo 339 superior </w:t>
      </w:r>
      <w:r w:rsidRPr="00635A00">
        <w:rPr>
          <w:rFonts w:ascii="Times New Roman" w:hAnsi="Times New Roman" w:cs="Times New Roman"/>
          <w:color w:val="auto"/>
        </w:rPr>
        <w:t>señala</w:t>
      </w:r>
      <w:r w:rsidRPr="00635A00">
        <w:rPr>
          <w:rFonts w:ascii="Times New Roman" w:hAnsi="Times New Roman" w:cs="Times New Roman"/>
          <w:color w:val="auto"/>
        </w:rPr>
        <w:t xml:space="preserve"> que está integrado (i)  por una parte general, la cual</w:t>
      </w:r>
      <w:r w:rsidRPr="00635A00">
        <w:rPr>
          <w:rFonts w:ascii="Times New Roman" w:hAnsi="Times New Roman" w:cs="Times New Roman"/>
          <w:color w:val="auto"/>
          <w:lang w:val="es-CO"/>
        </w:rPr>
        <w:t xml:space="preserve"> señalará los propósitos y objetivos nacionales de largo plazo, las metas y prioridades de la acción estatal a mediano plazo y las estrategias y orientaciones generales de la política económica, social</w:t>
      </w:r>
      <w:r w:rsidRPr="00635A00">
        <w:rPr>
          <w:rFonts w:ascii="Times New Roman" w:hAnsi="Times New Roman" w:cs="Times New Roman"/>
          <w:color w:val="auto"/>
          <w:lang w:val="es-CO"/>
        </w:rPr>
        <w:t xml:space="preserve"> y ambiental que serán adoptadas por el Gobierno; y (ii) por</w:t>
      </w:r>
      <w:r w:rsidRPr="00635A00">
        <w:rPr>
          <w:rFonts w:ascii="Times New Roman" w:hAnsi="Times New Roman" w:cs="Times New Roman"/>
          <w:color w:val="auto"/>
        </w:rPr>
        <w:t xml:space="preserve"> un plan de inversiones de las entidades públicas del orden nacional, el cual </w:t>
      </w:r>
      <w:r w:rsidRPr="00635A00">
        <w:rPr>
          <w:rFonts w:ascii="Times New Roman" w:hAnsi="Times New Roman" w:cs="Times New Roman"/>
          <w:color w:val="auto"/>
          <w:shd w:val="clear" w:color="auto" w:fill="FFFFFF"/>
        </w:rPr>
        <w:t>contiene los presupuestos plurianuales de los principales programas y proyectos de inversión pública nacional y la esp</w:t>
      </w:r>
      <w:r w:rsidRPr="00635A00">
        <w:rPr>
          <w:rFonts w:ascii="Times New Roman" w:hAnsi="Times New Roman" w:cs="Times New Roman"/>
          <w:color w:val="auto"/>
          <w:shd w:val="clear" w:color="auto" w:fill="FFFFFF"/>
        </w:rPr>
        <w:t>ecificación de los recursos financieros requeridos para su ejecución, dentro de un marco que garantice la sostenibilidad fiscal</w:t>
      </w:r>
      <w:r w:rsidRPr="00635A00">
        <w:rPr>
          <w:rStyle w:val="Refdenotaalpie"/>
          <w:rFonts w:ascii="Times New Roman" w:hAnsi="Times New Roman" w:cs="Times New Roman"/>
          <w:color w:val="auto"/>
          <w:shd w:val="clear" w:color="auto" w:fill="FFFFFF"/>
        </w:rPr>
        <w:footnoteReference w:id="44"/>
      </w:r>
      <w:r w:rsidRPr="00635A00">
        <w:rPr>
          <w:rFonts w:ascii="Times New Roman" w:hAnsi="Times New Roman" w:cs="Times New Roman"/>
          <w:color w:val="auto"/>
          <w:shd w:val="clear" w:color="auto" w:fill="FFFFFF"/>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 </w:t>
      </w:r>
    </w:p>
    <w:p w:rsidR="00382152" w:rsidRPr="00635A00" w:rsidRDefault="00635A00" w:rsidP="00382152">
      <w:pPr>
        <w:pStyle w:val="Sombreadovistoso-nfasis31"/>
        <w:numPr>
          <w:ilvl w:val="0"/>
          <w:numId w:val="19"/>
        </w:numPr>
        <w:rPr>
          <w:rFonts w:ascii="Times New Roman" w:hAnsi="Times New Roman" w:cs="Times New Roman"/>
          <w:color w:val="auto"/>
          <w:lang w:val="es-CO"/>
        </w:rPr>
      </w:pPr>
      <w:r w:rsidRPr="00635A00">
        <w:rPr>
          <w:rFonts w:ascii="Times New Roman" w:hAnsi="Times New Roman" w:cs="Times New Roman"/>
          <w:color w:val="auto"/>
          <w:lang w:val="es-CO"/>
        </w:rPr>
        <w:t xml:space="preserve">La </w:t>
      </w:r>
      <w:r w:rsidRPr="00635A00">
        <w:rPr>
          <w:rFonts w:ascii="Times New Roman" w:hAnsi="Times New Roman" w:cs="Times New Roman"/>
          <w:color w:val="auto"/>
          <w:lang w:val="es-CO"/>
        </w:rPr>
        <w:t xml:space="preserve">competencia de </w:t>
      </w:r>
      <w:r w:rsidRPr="00635A00">
        <w:rPr>
          <w:rFonts w:ascii="Times New Roman" w:hAnsi="Times New Roman" w:cs="Times New Roman"/>
          <w:color w:val="auto"/>
          <w:lang w:val="es-CO"/>
        </w:rPr>
        <w:t>elaboración</w:t>
      </w:r>
      <w:r w:rsidRPr="00635A00">
        <w:rPr>
          <w:rFonts w:ascii="Times New Roman" w:hAnsi="Times New Roman" w:cs="Times New Roman"/>
          <w:color w:val="auto"/>
          <w:lang w:val="es-CO"/>
        </w:rPr>
        <w:t>, la cual está asignada a</w:t>
      </w:r>
      <w:r w:rsidRPr="00635A00">
        <w:rPr>
          <w:rFonts w:ascii="Times New Roman" w:hAnsi="Times New Roman" w:cs="Times New Roman"/>
          <w:color w:val="auto"/>
          <w:lang w:val="es-CO"/>
        </w:rPr>
        <w:t>l Gobierno nacional</w:t>
      </w:r>
      <w:r w:rsidRPr="00635A00">
        <w:rPr>
          <w:rFonts w:ascii="Times New Roman" w:hAnsi="Times New Roman" w:cs="Times New Roman"/>
          <w:color w:val="auto"/>
          <w:lang w:val="es-CO"/>
        </w:rPr>
        <w:t xml:space="preserve"> y el carácter participativo del proceso de elaboración de los planes de desarrollo.</w:t>
      </w:r>
    </w:p>
    <w:p w:rsidR="00382152" w:rsidRPr="00635A00" w:rsidRDefault="00635A00" w:rsidP="00382152">
      <w:pPr>
        <w:pStyle w:val="Sombreadovistoso-nfasis31"/>
        <w:numPr>
          <w:ilvl w:val="0"/>
          <w:numId w:val="19"/>
        </w:numPr>
        <w:rPr>
          <w:rFonts w:ascii="Times New Roman" w:hAnsi="Times New Roman" w:cs="Times New Roman"/>
          <w:color w:val="auto"/>
          <w:lang w:val="es-CO"/>
        </w:rPr>
      </w:pPr>
      <w:r w:rsidRPr="00635A00">
        <w:rPr>
          <w:rFonts w:ascii="Times New Roman" w:hAnsi="Times New Roman" w:cs="Times New Roman"/>
          <w:color w:val="auto"/>
          <w:lang w:val="es-CO"/>
        </w:rPr>
        <w:t xml:space="preserve">La estructura orgánica de discusión. De un lado, la composición del Consejo Nacional de Planeación como órgano consultivo y foro de discusión y, de otro, la participación </w:t>
      </w:r>
      <w:r w:rsidRPr="00635A00">
        <w:rPr>
          <w:rFonts w:ascii="Times New Roman" w:hAnsi="Times New Roman" w:cs="Times New Roman"/>
          <w:color w:val="auto"/>
          <w:lang w:val="es-CO"/>
        </w:rPr>
        <w:t>en el proceso de elaboración de las autoridades de planeación</w:t>
      </w:r>
      <w:r w:rsidRPr="00635A00">
        <w:rPr>
          <w:rStyle w:val="Refdenotaalpie"/>
          <w:rFonts w:ascii="Times New Roman" w:hAnsi="Times New Roman" w:cs="Times New Roman"/>
          <w:color w:val="auto"/>
          <w:lang w:val="es-CO"/>
        </w:rPr>
        <w:footnoteReference w:id="45"/>
      </w:r>
      <w:r w:rsidRPr="00635A00">
        <w:rPr>
          <w:rFonts w:ascii="Times New Roman" w:hAnsi="Times New Roman" w:cs="Times New Roman"/>
          <w:color w:val="auto"/>
          <w:lang w:val="es-CO"/>
        </w:rPr>
        <w:t>, el Consejo Superior de la Judicatura y las entidades territoriales.</w:t>
      </w:r>
    </w:p>
    <w:p w:rsidR="00382152" w:rsidRPr="00635A00" w:rsidRDefault="00635A00" w:rsidP="00382152">
      <w:pPr>
        <w:pStyle w:val="Sombreadovistoso-nfasis31"/>
        <w:numPr>
          <w:ilvl w:val="0"/>
          <w:numId w:val="19"/>
        </w:numPr>
        <w:rPr>
          <w:rFonts w:ascii="Times New Roman" w:hAnsi="Times New Roman" w:cs="Times New Roman"/>
          <w:color w:val="auto"/>
          <w:lang w:val="es-CO"/>
        </w:rPr>
      </w:pPr>
      <w:r w:rsidRPr="00635A00">
        <w:rPr>
          <w:rFonts w:ascii="Times New Roman" w:hAnsi="Times New Roman" w:cs="Times New Roman"/>
          <w:color w:val="auto"/>
          <w:lang w:val="es-CO"/>
        </w:rPr>
        <w:t>La remisión a la ley orgánica para la regulación de la participación en la elaboración, aprobación y ejecución del Plan Naci</w:t>
      </w:r>
      <w:r w:rsidRPr="00635A00">
        <w:rPr>
          <w:rFonts w:ascii="Times New Roman" w:hAnsi="Times New Roman" w:cs="Times New Roman"/>
          <w:color w:val="auto"/>
          <w:lang w:val="es-CO"/>
        </w:rPr>
        <w:t>onal de Desarrollo.</w:t>
      </w:r>
    </w:p>
    <w:p w:rsidR="00F66228" w:rsidRPr="00635A00" w:rsidRDefault="00635A00" w:rsidP="001F3848">
      <w:pPr>
        <w:pStyle w:val="Sombreadovistoso-nfasis31"/>
        <w:numPr>
          <w:ilvl w:val="0"/>
          <w:numId w:val="19"/>
        </w:numPr>
        <w:rPr>
          <w:rFonts w:ascii="Times New Roman" w:hAnsi="Times New Roman" w:cs="Times New Roman"/>
          <w:color w:val="auto"/>
          <w:lang w:val="es-CO"/>
        </w:rPr>
      </w:pPr>
      <w:r w:rsidRPr="00635A00">
        <w:rPr>
          <w:rFonts w:ascii="Times New Roman" w:hAnsi="Times New Roman" w:cs="Times New Roman"/>
          <w:color w:val="auto"/>
          <w:lang w:val="es-CO"/>
        </w:rPr>
        <w:t xml:space="preserve">La </w:t>
      </w:r>
      <w:r w:rsidRPr="00635A00">
        <w:rPr>
          <w:rFonts w:ascii="Times New Roman" w:hAnsi="Times New Roman" w:cs="Times New Roman"/>
          <w:color w:val="auto"/>
          <w:lang w:val="es-CO"/>
        </w:rPr>
        <w:t>función</w:t>
      </w:r>
      <w:r w:rsidRPr="00635A00">
        <w:rPr>
          <w:rFonts w:ascii="Times New Roman" w:hAnsi="Times New Roman" w:cs="Times New Roman"/>
          <w:color w:val="auto"/>
          <w:lang w:val="es-CO"/>
        </w:rPr>
        <w:t xml:space="preserve"> del Congreso </w:t>
      </w:r>
      <w:r w:rsidRPr="00635A00">
        <w:rPr>
          <w:rFonts w:ascii="Times New Roman" w:hAnsi="Times New Roman" w:cs="Times New Roman"/>
          <w:color w:val="auto"/>
          <w:lang w:val="es-CO"/>
        </w:rPr>
        <w:t xml:space="preserve">de </w:t>
      </w:r>
      <w:r w:rsidRPr="00635A00">
        <w:rPr>
          <w:rFonts w:ascii="Times New Roman" w:hAnsi="Times New Roman" w:cs="Times New Roman"/>
          <w:color w:val="auto"/>
          <w:lang w:val="es-CO"/>
        </w:rPr>
        <w:t>aprobar el plan a través de una ley de la República.</w:t>
      </w:r>
      <w:r w:rsidRPr="00635A00">
        <w:rPr>
          <w:rFonts w:ascii="Times New Roman" w:hAnsi="Times New Roman" w:cs="Times New Roman"/>
          <w:color w:val="auto"/>
        </w:rPr>
        <w:t xml:space="preserve"> </w:t>
      </w:r>
      <w:r w:rsidRPr="00635A00">
        <w:rPr>
          <w:rFonts w:ascii="Times New Roman" w:hAnsi="Times New Roman" w:cs="Times New Roman"/>
          <w:color w:val="auto"/>
        </w:rPr>
        <w:t>Según el artículo 341 superior, e</w:t>
      </w:r>
      <w:r w:rsidRPr="00635A00">
        <w:rPr>
          <w:rFonts w:ascii="Times New Roman" w:hAnsi="Times New Roman" w:cs="Times New Roman"/>
          <w:color w:val="auto"/>
          <w:lang w:val="es-CO"/>
        </w:rPr>
        <w:t>l Plan Nacional de Inversiones se expedirá mediante una ley que tendrá prelación sobre las demás leyes</w:t>
      </w:r>
      <w:r w:rsidRPr="00635A00">
        <w:rPr>
          <w:rFonts w:ascii="Times New Roman" w:hAnsi="Times New Roman" w:cs="Times New Roman"/>
          <w:color w:val="auto"/>
          <w:lang w:val="es-CO"/>
        </w:rPr>
        <w:t>,</w:t>
      </w:r>
      <w:r w:rsidRPr="00635A00">
        <w:rPr>
          <w:rFonts w:ascii="Times New Roman" w:hAnsi="Times New Roman" w:cs="Times New Roman"/>
          <w:color w:val="auto"/>
          <w:lang w:val="es-CO"/>
        </w:rPr>
        <w:t xml:space="preserve"> </w:t>
      </w:r>
      <w:r w:rsidRPr="00635A00">
        <w:rPr>
          <w:rFonts w:ascii="Times New Roman" w:hAnsi="Times New Roman" w:cs="Times New Roman"/>
          <w:color w:val="auto"/>
          <w:lang w:val="es-CO"/>
        </w:rPr>
        <w:t xml:space="preserve">razón por la que </w:t>
      </w:r>
      <w:r w:rsidRPr="00635A00">
        <w:rPr>
          <w:rFonts w:ascii="Times New Roman" w:hAnsi="Times New Roman" w:cs="Times New Roman"/>
          <w:color w:val="auto"/>
          <w:lang w:val="es-CO"/>
        </w:rPr>
        <w:t>su</w:t>
      </w:r>
      <w:r w:rsidRPr="00635A00">
        <w:rPr>
          <w:rFonts w:ascii="Times New Roman" w:hAnsi="Times New Roman" w:cs="Times New Roman"/>
          <w:color w:val="auto"/>
          <w:lang w:val="es-CO"/>
        </w:rPr>
        <w:t>s mandatos constituirán mecanismos idóneos para su ejecución y suplirán los existentes sin necesidad de la expedición de leyes posteriores.</w:t>
      </w:r>
    </w:p>
    <w:p w:rsidR="00382152" w:rsidRPr="00635A00" w:rsidRDefault="00635A00" w:rsidP="00382152">
      <w:pPr>
        <w:pStyle w:val="Sombreadovistoso-nfasis31"/>
        <w:numPr>
          <w:ilvl w:val="0"/>
          <w:numId w:val="19"/>
        </w:numPr>
        <w:rPr>
          <w:rFonts w:ascii="Times New Roman" w:hAnsi="Times New Roman" w:cs="Times New Roman"/>
          <w:color w:val="auto"/>
        </w:rPr>
      </w:pPr>
      <w:r w:rsidRPr="00635A00">
        <w:rPr>
          <w:rFonts w:ascii="Times New Roman" w:hAnsi="Times New Roman" w:cs="Times New Roman"/>
          <w:color w:val="auto"/>
          <w:shd w:val="clear" w:color="auto" w:fill="FFFFFF"/>
        </w:rPr>
        <w:t>La competencia del Congreso para</w:t>
      </w:r>
      <w:r w:rsidRPr="00635A00">
        <w:rPr>
          <w:rFonts w:ascii="Times New Roman" w:hAnsi="Times New Roman" w:cs="Times New Roman"/>
          <w:color w:val="auto"/>
          <w:shd w:val="clear" w:color="auto" w:fill="FFFFFF"/>
        </w:rPr>
        <w:t xml:space="preserve"> modificar el Plan de Inversiones, previa autorización escrita del Ministerio de Hacienda y Crédito Público, siempre que se conserve el equilibrio financiero</w:t>
      </w:r>
      <w:r w:rsidRPr="00635A00">
        <w:rPr>
          <w:rStyle w:val="Refdenotaalpie"/>
          <w:rFonts w:ascii="Times New Roman" w:hAnsi="Times New Roman" w:cs="Times New Roman"/>
          <w:color w:val="auto"/>
          <w:shd w:val="clear" w:color="auto" w:fill="FFFFFF"/>
        </w:rPr>
        <w:footnoteReference w:id="46"/>
      </w:r>
      <w:r w:rsidRPr="00635A00">
        <w:rPr>
          <w:rFonts w:ascii="Times New Roman" w:hAnsi="Times New Roman" w:cs="Times New Roman"/>
          <w:color w:val="auto"/>
          <w:shd w:val="clear" w:color="auto" w:fill="FFFFFF"/>
        </w:rPr>
        <w:t xml:space="preserve">;  </w:t>
      </w:r>
    </w:p>
    <w:p w:rsidR="00382152" w:rsidRPr="00635A00" w:rsidRDefault="00635A00" w:rsidP="00382152">
      <w:pPr>
        <w:pStyle w:val="Sombreadovistoso-nfasis31"/>
        <w:numPr>
          <w:ilvl w:val="0"/>
          <w:numId w:val="19"/>
        </w:numPr>
        <w:rPr>
          <w:rFonts w:ascii="Times New Roman" w:hAnsi="Times New Roman" w:cs="Times New Roman"/>
          <w:color w:val="auto"/>
        </w:rPr>
      </w:pPr>
      <w:r w:rsidRPr="00635A00">
        <w:rPr>
          <w:rFonts w:ascii="Times New Roman" w:hAnsi="Times New Roman" w:cs="Times New Roman"/>
          <w:color w:val="auto"/>
          <w:shd w:val="clear" w:color="auto" w:fill="FFFFFF"/>
        </w:rPr>
        <w:t>Si el Congreso no aprueba el Plan de Inversiones Públicas en un término de tres meses, el Gobi</w:t>
      </w:r>
      <w:r w:rsidRPr="00635A00">
        <w:rPr>
          <w:rFonts w:ascii="Times New Roman" w:hAnsi="Times New Roman" w:cs="Times New Roman"/>
          <w:color w:val="auto"/>
          <w:shd w:val="clear" w:color="auto" w:fill="FFFFFF"/>
        </w:rPr>
        <w:t>erno puede ponerlo en vigencia a través de un decreto con fuerza de ley</w:t>
      </w:r>
      <w:r w:rsidRPr="00635A00">
        <w:rPr>
          <w:rStyle w:val="Refdenotaalpie"/>
          <w:rFonts w:ascii="Times New Roman" w:hAnsi="Times New Roman" w:cs="Times New Roman"/>
          <w:color w:val="auto"/>
          <w:shd w:val="clear" w:color="auto" w:fill="FFFFFF"/>
        </w:rPr>
        <w:footnoteReference w:id="47"/>
      </w:r>
      <w:r w:rsidRPr="00635A00">
        <w:rPr>
          <w:rFonts w:ascii="Times New Roman" w:hAnsi="Times New Roman" w:cs="Times New Roman"/>
          <w:color w:val="auto"/>
          <w:shd w:val="clear" w:color="auto" w:fill="FFFFFF"/>
        </w:rPr>
        <w:t>.</w:t>
      </w:r>
    </w:p>
    <w:p w:rsidR="00382152" w:rsidRPr="00635A00" w:rsidRDefault="00635A00" w:rsidP="001F3848">
      <w:pPr>
        <w:pStyle w:val="Sombreadovistoso-nfasis31"/>
        <w:numPr>
          <w:ilvl w:val="0"/>
          <w:numId w:val="19"/>
        </w:numPr>
        <w:rPr>
          <w:rFonts w:ascii="Times New Roman" w:hAnsi="Times New Roman" w:cs="Times New Roman"/>
          <w:color w:val="auto"/>
          <w:lang w:val="es-CO"/>
        </w:rPr>
      </w:pPr>
      <w:r w:rsidRPr="00635A00">
        <w:rPr>
          <w:rFonts w:ascii="Times New Roman" w:hAnsi="Times New Roman" w:cs="Times New Roman"/>
          <w:color w:val="auto"/>
          <w:lang w:val="es-CO"/>
        </w:rPr>
        <w:t>En las leyes anuales de presupuesto se pueden aumentar o disminuir las partidas y recursos aprobados en la ley del plan.</w:t>
      </w:r>
    </w:p>
    <w:p w:rsidR="00B47CEC" w:rsidRPr="00635A00" w:rsidRDefault="00635A00" w:rsidP="00382152">
      <w:pPr>
        <w:pStyle w:val="Sombreadovistoso-nfasis31"/>
        <w:ind w:left="0"/>
        <w:rPr>
          <w:rFonts w:ascii="Times New Roman" w:hAnsi="Times New Roman" w:cs="Times New Roman"/>
          <w:color w:val="auto"/>
          <w:lang w:val="es-CO"/>
        </w:rPr>
      </w:pPr>
    </w:p>
    <w:p w:rsidR="00D77792" w:rsidRPr="00635A00" w:rsidRDefault="00635A00" w:rsidP="00FD4967">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Adicionalmente, e</w:t>
      </w:r>
      <w:r w:rsidRPr="00635A00">
        <w:rPr>
          <w:rFonts w:ascii="Times New Roman" w:hAnsi="Times New Roman" w:cs="Times New Roman"/>
          <w:color w:val="auto"/>
        </w:rPr>
        <w:t xml:space="preserve">n relación con el trámite legislativo para </w:t>
      </w:r>
      <w:r w:rsidRPr="00635A00">
        <w:rPr>
          <w:rFonts w:ascii="Times New Roman" w:hAnsi="Times New Roman" w:cs="Times New Roman"/>
          <w:color w:val="auto"/>
        </w:rPr>
        <w:t xml:space="preserve">la aprobación del Plan Nacional de Desarrollo </w:t>
      </w:r>
      <w:r w:rsidRPr="00635A00">
        <w:rPr>
          <w:rFonts w:ascii="Times New Roman" w:hAnsi="Times New Roman" w:cs="Times New Roman"/>
          <w:color w:val="auto"/>
        </w:rPr>
        <w:t>deben tenerse en cuenta las siguientes reglas</w:t>
      </w:r>
      <w:r w:rsidRPr="00635A00">
        <w:rPr>
          <w:rFonts w:ascii="Times New Roman" w:hAnsi="Times New Roman" w:cs="Times New Roman"/>
          <w:color w:val="auto"/>
        </w:rPr>
        <w:t xml:space="preserve"> que han sido ampliamente reiteradas por parte de esta corporación y que se derivan de</w:t>
      </w:r>
      <w:r w:rsidRPr="00635A00">
        <w:rPr>
          <w:rFonts w:ascii="Times New Roman" w:hAnsi="Times New Roman" w:cs="Times New Roman"/>
          <w:color w:val="auto"/>
        </w:rPr>
        <w:t xml:space="preserve"> los artículos 341 y 342 de la Carta Política</w:t>
      </w:r>
      <w:r w:rsidRPr="00635A00">
        <w:rPr>
          <w:rFonts w:ascii="Times New Roman" w:hAnsi="Times New Roman" w:cs="Times New Roman"/>
          <w:color w:val="auto"/>
        </w:rPr>
        <w:t xml:space="preserve">, </w:t>
      </w:r>
      <w:r w:rsidRPr="00635A00">
        <w:rPr>
          <w:rFonts w:ascii="Times New Roman" w:hAnsi="Times New Roman" w:cs="Times New Roman"/>
          <w:color w:val="auto"/>
        </w:rPr>
        <w:t>la Ley</w:t>
      </w:r>
      <w:r w:rsidRPr="00635A00">
        <w:rPr>
          <w:rFonts w:ascii="Times New Roman" w:hAnsi="Times New Roman" w:cs="Times New Roman"/>
          <w:color w:val="auto"/>
        </w:rPr>
        <w:t xml:space="preserve"> 5 de 1992 y la Ley </w:t>
      </w:r>
      <w:r w:rsidRPr="00635A00">
        <w:rPr>
          <w:rFonts w:ascii="Times New Roman" w:hAnsi="Times New Roman" w:cs="Times New Roman"/>
          <w:color w:val="auto"/>
        </w:rPr>
        <w:t>orgáni</w:t>
      </w:r>
      <w:r w:rsidRPr="00635A00">
        <w:rPr>
          <w:rFonts w:ascii="Times New Roman" w:hAnsi="Times New Roman" w:cs="Times New Roman"/>
          <w:color w:val="auto"/>
        </w:rPr>
        <w:t>ca del Plan Nacional de Desarrollo</w:t>
      </w:r>
      <w:r w:rsidRPr="00635A00">
        <w:rPr>
          <w:rStyle w:val="Refdenotaalpie"/>
          <w:rFonts w:ascii="Times New Roman" w:hAnsi="Times New Roman" w:cs="Times New Roman"/>
          <w:color w:val="auto"/>
        </w:rPr>
        <w:footnoteReference w:id="48"/>
      </w:r>
      <w:r w:rsidRPr="00635A00">
        <w:rPr>
          <w:rFonts w:ascii="Times New Roman" w:hAnsi="Times New Roman" w:cs="Times New Roman"/>
          <w:color w:val="auto"/>
        </w:rPr>
        <w:t xml:space="preserve">: (i) </w:t>
      </w:r>
      <w:r w:rsidRPr="00635A00">
        <w:rPr>
          <w:rFonts w:ascii="Times New Roman" w:hAnsi="Times New Roman" w:cs="Times New Roman"/>
          <w:color w:val="auto"/>
        </w:rPr>
        <w:t>la iniciativa en est</w:t>
      </w:r>
      <w:r w:rsidRPr="00635A00">
        <w:rPr>
          <w:rFonts w:ascii="Times New Roman" w:hAnsi="Times New Roman" w:cs="Times New Roman"/>
          <w:color w:val="auto"/>
        </w:rPr>
        <w:t>a</w:t>
      </w:r>
      <w:r w:rsidRPr="00635A00">
        <w:rPr>
          <w:rFonts w:ascii="Times New Roman" w:hAnsi="Times New Roman" w:cs="Times New Roman"/>
          <w:color w:val="auto"/>
        </w:rPr>
        <w:t xml:space="preserve"> materia es del Gobierno </w:t>
      </w:r>
      <w:r w:rsidRPr="00635A00">
        <w:rPr>
          <w:rFonts w:ascii="Times New Roman" w:hAnsi="Times New Roman" w:cs="Times New Roman"/>
          <w:color w:val="auto"/>
        </w:rPr>
        <w:t>n</w:t>
      </w:r>
      <w:r w:rsidRPr="00635A00">
        <w:rPr>
          <w:rFonts w:ascii="Times New Roman" w:hAnsi="Times New Roman" w:cs="Times New Roman"/>
          <w:color w:val="auto"/>
        </w:rPr>
        <w:t xml:space="preserve">acional; (ii) el Gobierno </w:t>
      </w:r>
      <w:r w:rsidRPr="00635A00">
        <w:rPr>
          <w:rFonts w:ascii="Times New Roman" w:hAnsi="Times New Roman" w:cs="Times New Roman"/>
          <w:color w:val="auto"/>
        </w:rPr>
        <w:t>n</w:t>
      </w:r>
      <w:r w:rsidRPr="00635A00">
        <w:rPr>
          <w:rFonts w:ascii="Times New Roman" w:hAnsi="Times New Roman" w:cs="Times New Roman"/>
          <w:color w:val="auto"/>
        </w:rPr>
        <w:t>acional presentará a</w:t>
      </w:r>
      <w:r w:rsidRPr="00635A00">
        <w:rPr>
          <w:rFonts w:ascii="Times New Roman" w:hAnsi="Times New Roman" w:cs="Times New Roman"/>
          <w:color w:val="auto"/>
        </w:rPr>
        <w:t xml:space="preserve"> consideración del</w:t>
      </w:r>
      <w:r w:rsidRPr="00635A00">
        <w:rPr>
          <w:rFonts w:ascii="Times New Roman" w:hAnsi="Times New Roman" w:cs="Times New Roman"/>
          <w:color w:val="auto"/>
        </w:rPr>
        <w:t xml:space="preserve"> Congreso el Plan Nacional de Desarrollo</w:t>
      </w:r>
      <w:r w:rsidRPr="00635A00">
        <w:rPr>
          <w:rFonts w:ascii="Times New Roman" w:hAnsi="Times New Roman" w:cs="Times New Roman"/>
          <w:color w:val="auto"/>
        </w:rPr>
        <w:t xml:space="preserve"> dentro de los 6 meses siguientes al inicio del período presidencial respectivo</w:t>
      </w:r>
      <w:r w:rsidRPr="00635A00">
        <w:rPr>
          <w:rStyle w:val="Refdenotaalpie"/>
          <w:rFonts w:ascii="Times New Roman" w:hAnsi="Times New Roman" w:cs="Times New Roman"/>
          <w:color w:val="auto"/>
        </w:rPr>
        <w:footnoteReference w:id="49"/>
      </w:r>
      <w:r w:rsidRPr="00635A00">
        <w:rPr>
          <w:rFonts w:ascii="Times New Roman" w:hAnsi="Times New Roman" w:cs="Times New Roman"/>
          <w:color w:val="auto"/>
        </w:rPr>
        <w:t xml:space="preserve">; (iii) </w:t>
      </w:r>
      <w:r w:rsidRPr="00635A00">
        <w:rPr>
          <w:rFonts w:ascii="Times New Roman" w:hAnsi="Times New Roman" w:cs="Times New Roman"/>
          <w:color w:val="auto"/>
        </w:rPr>
        <w:t xml:space="preserve">el </w:t>
      </w:r>
      <w:r w:rsidRPr="00635A00">
        <w:rPr>
          <w:rFonts w:ascii="Times New Roman" w:hAnsi="Times New Roman" w:cs="Times New Roman"/>
          <w:color w:val="auto"/>
          <w:shd w:val="clear" w:color="auto" w:fill="FFFFFF"/>
        </w:rPr>
        <w:t xml:space="preserve">primer debate </w:t>
      </w:r>
      <w:r w:rsidRPr="00635A00">
        <w:rPr>
          <w:rFonts w:ascii="Times New Roman" w:hAnsi="Times New Roman" w:cs="Times New Roman"/>
          <w:color w:val="auto"/>
          <w:shd w:val="clear" w:color="auto" w:fill="FFFFFF"/>
        </w:rPr>
        <w:t xml:space="preserve">se </w:t>
      </w:r>
      <w:r w:rsidRPr="00635A00">
        <w:rPr>
          <w:rFonts w:ascii="Times New Roman" w:hAnsi="Times New Roman" w:cs="Times New Roman"/>
          <w:color w:val="auto"/>
          <w:shd w:val="clear" w:color="auto" w:fill="FFFFFF"/>
        </w:rPr>
        <w:t xml:space="preserve">adelantará </w:t>
      </w:r>
      <w:r w:rsidRPr="00635A00">
        <w:rPr>
          <w:rFonts w:ascii="Times New Roman" w:hAnsi="Times New Roman" w:cs="Times New Roman"/>
          <w:color w:val="auto"/>
          <w:shd w:val="clear" w:color="auto" w:fill="FFFFFF"/>
        </w:rPr>
        <w:t xml:space="preserve">en las comisiones económicas de ambas </w:t>
      </w:r>
      <w:r w:rsidRPr="00635A00">
        <w:rPr>
          <w:rFonts w:ascii="Times New Roman" w:hAnsi="Times New Roman" w:cs="Times New Roman"/>
          <w:color w:val="auto"/>
          <w:shd w:val="clear" w:color="auto" w:fill="FFFFFF"/>
        </w:rPr>
        <w:t>c</w:t>
      </w:r>
      <w:r w:rsidRPr="00635A00">
        <w:rPr>
          <w:rFonts w:ascii="Times New Roman" w:hAnsi="Times New Roman" w:cs="Times New Roman"/>
          <w:color w:val="auto"/>
          <w:shd w:val="clear" w:color="auto" w:fill="FFFFFF"/>
        </w:rPr>
        <w:t>ámaras en sesión conjunta</w:t>
      </w:r>
      <w:r w:rsidRPr="00635A00">
        <w:rPr>
          <w:rStyle w:val="Refdenotaalpie"/>
          <w:rFonts w:ascii="Times New Roman" w:hAnsi="Times New Roman" w:cs="Times New Roman"/>
          <w:color w:val="auto"/>
          <w:shd w:val="clear" w:color="auto" w:fill="FFFFFF"/>
        </w:rPr>
        <w:footnoteReference w:id="50"/>
      </w:r>
      <w:r w:rsidRPr="00635A00">
        <w:rPr>
          <w:rFonts w:ascii="Times New Roman" w:hAnsi="Times New Roman" w:cs="Times New Roman"/>
          <w:color w:val="auto"/>
          <w:shd w:val="clear" w:color="auto" w:fill="FFFFFF"/>
        </w:rPr>
        <w:t>; (i</w:t>
      </w:r>
      <w:r w:rsidRPr="00635A00">
        <w:rPr>
          <w:rFonts w:ascii="Times New Roman" w:hAnsi="Times New Roman" w:cs="Times New Roman"/>
          <w:color w:val="auto"/>
          <w:shd w:val="clear" w:color="auto" w:fill="FFFFFF"/>
        </w:rPr>
        <w:t>v</w:t>
      </w:r>
      <w:r w:rsidRPr="00635A00">
        <w:rPr>
          <w:rFonts w:ascii="Times New Roman" w:hAnsi="Times New Roman" w:cs="Times New Roman"/>
          <w:color w:val="auto"/>
          <w:shd w:val="clear" w:color="auto" w:fill="FFFFFF"/>
        </w:rPr>
        <w:t xml:space="preserve">) </w:t>
      </w:r>
      <w:r w:rsidRPr="00635A00">
        <w:rPr>
          <w:rFonts w:ascii="Times New Roman" w:hAnsi="Times New Roman" w:cs="Times New Roman"/>
          <w:color w:val="auto"/>
          <w:shd w:val="clear" w:color="auto" w:fill="FFFFFF"/>
        </w:rPr>
        <w:t xml:space="preserve">el </w:t>
      </w:r>
      <w:r w:rsidRPr="00635A00">
        <w:rPr>
          <w:rFonts w:ascii="Times New Roman" w:hAnsi="Times New Roman" w:cs="Times New Roman"/>
          <w:color w:val="auto"/>
          <w:shd w:val="clear" w:color="auto" w:fill="FFFFFF"/>
        </w:rPr>
        <w:t xml:space="preserve">segundo debate </w:t>
      </w:r>
      <w:r w:rsidRPr="00635A00">
        <w:rPr>
          <w:rFonts w:ascii="Times New Roman" w:hAnsi="Times New Roman" w:cs="Times New Roman"/>
          <w:color w:val="auto"/>
          <w:shd w:val="clear" w:color="auto" w:fill="FFFFFF"/>
        </w:rPr>
        <w:t xml:space="preserve">se adelantará </w:t>
      </w:r>
      <w:r w:rsidRPr="00635A00">
        <w:rPr>
          <w:rFonts w:ascii="Times New Roman" w:hAnsi="Times New Roman" w:cs="Times New Roman"/>
          <w:color w:val="auto"/>
          <w:shd w:val="clear" w:color="auto" w:fill="FFFFFF"/>
        </w:rPr>
        <w:t>en la plenaria de cada Cámara</w:t>
      </w:r>
      <w:r w:rsidRPr="00635A00">
        <w:rPr>
          <w:rStyle w:val="Refdenotaalpie"/>
          <w:rFonts w:ascii="Times New Roman" w:hAnsi="Times New Roman" w:cs="Times New Roman"/>
          <w:color w:val="auto"/>
          <w:shd w:val="clear" w:color="auto" w:fill="FFFFFF"/>
        </w:rPr>
        <w:footnoteReference w:id="51"/>
      </w:r>
      <w:r w:rsidRPr="00635A00">
        <w:rPr>
          <w:rFonts w:ascii="Times New Roman" w:hAnsi="Times New Roman" w:cs="Times New Roman"/>
          <w:color w:val="auto"/>
          <w:shd w:val="clear" w:color="auto" w:fill="FFFFFF"/>
        </w:rPr>
        <w:t>.</w:t>
      </w:r>
      <w:r w:rsidRPr="00635A00">
        <w:rPr>
          <w:rFonts w:ascii="Times New Roman" w:hAnsi="Times New Roman" w:cs="Times New Roman"/>
          <w:color w:val="auto"/>
          <w:shd w:val="clear" w:color="auto" w:fill="FFFFFF"/>
        </w:rPr>
        <w:t xml:space="preserve"> </w:t>
      </w:r>
    </w:p>
    <w:p w:rsidR="00D77792" w:rsidRPr="00635A00" w:rsidRDefault="00635A00" w:rsidP="00D77792">
      <w:pPr>
        <w:pStyle w:val="Sombreadovistoso-nfasis31"/>
        <w:ind w:left="0"/>
        <w:rPr>
          <w:rFonts w:ascii="Times New Roman" w:hAnsi="Times New Roman" w:cs="Times New Roman"/>
          <w:color w:val="auto"/>
        </w:rPr>
      </w:pPr>
    </w:p>
    <w:p w:rsidR="00FD0D25" w:rsidRPr="00635A00" w:rsidRDefault="00635A00" w:rsidP="00FD0D25">
      <w:pPr>
        <w:pStyle w:val="Prrafodelista"/>
        <w:numPr>
          <w:ilvl w:val="0"/>
          <w:numId w:val="3"/>
        </w:numPr>
        <w:rPr>
          <w:rFonts w:ascii="Times New Roman" w:hAnsi="Times New Roman" w:cs="Times New Roman"/>
          <w:color w:val="auto"/>
        </w:rPr>
      </w:pPr>
      <w:r w:rsidRPr="00635A00">
        <w:rPr>
          <w:rFonts w:ascii="Times New Roman" w:hAnsi="Times New Roman" w:cs="Times New Roman"/>
          <w:color w:val="auto"/>
          <w:shd w:val="clear" w:color="auto" w:fill="FFFFFF"/>
        </w:rPr>
        <w:t xml:space="preserve">Las reglas </w:t>
      </w:r>
      <w:r w:rsidRPr="00635A00">
        <w:rPr>
          <w:rFonts w:ascii="Times New Roman" w:hAnsi="Times New Roman" w:cs="Times New Roman"/>
          <w:color w:val="auto"/>
          <w:shd w:val="clear" w:color="auto" w:fill="FFFFFF"/>
        </w:rPr>
        <w:t>identificadas</w:t>
      </w:r>
      <w:r w:rsidRPr="00635A00">
        <w:rPr>
          <w:rFonts w:ascii="Times New Roman" w:hAnsi="Times New Roman" w:cs="Times New Roman"/>
          <w:color w:val="auto"/>
          <w:shd w:val="clear" w:color="auto" w:fill="FFFFFF"/>
        </w:rPr>
        <w:t>, examinadas en conjunto,</w:t>
      </w:r>
      <w:r w:rsidRPr="00635A00">
        <w:rPr>
          <w:rFonts w:ascii="Times New Roman" w:hAnsi="Times New Roman" w:cs="Times New Roman"/>
          <w:color w:val="auto"/>
          <w:shd w:val="clear" w:color="auto" w:fill="FFFFFF"/>
        </w:rPr>
        <w:t xml:space="preserve"> revelan unas particularidades del trámite legislativo de aprobación del Plan Nacional de Desarrollo y de Inversiones Públicas, caracterizado por la iniciativa gubernamental exclusiva, un menor espacio</w:t>
      </w:r>
      <w:r w:rsidRPr="00635A00">
        <w:rPr>
          <w:rFonts w:ascii="Times New Roman" w:hAnsi="Times New Roman" w:cs="Times New Roman"/>
          <w:color w:val="auto"/>
          <w:shd w:val="clear" w:color="auto" w:fill="FFFFFF"/>
        </w:rPr>
        <w:t>,</w:t>
      </w:r>
      <w:r w:rsidRPr="00635A00">
        <w:rPr>
          <w:rFonts w:ascii="Times New Roman" w:hAnsi="Times New Roman" w:cs="Times New Roman"/>
          <w:color w:val="auto"/>
          <w:shd w:val="clear" w:color="auto" w:fill="FFFFFF"/>
        </w:rPr>
        <w:t xml:space="preserve"> tie</w:t>
      </w:r>
      <w:r w:rsidRPr="00635A00">
        <w:rPr>
          <w:rFonts w:ascii="Times New Roman" w:hAnsi="Times New Roman" w:cs="Times New Roman"/>
          <w:color w:val="auto"/>
          <w:shd w:val="clear" w:color="auto" w:fill="FFFFFF"/>
        </w:rPr>
        <w:t xml:space="preserve">mpo de discusión </w:t>
      </w:r>
      <w:r w:rsidRPr="00635A00">
        <w:rPr>
          <w:rFonts w:ascii="Times New Roman" w:hAnsi="Times New Roman" w:cs="Times New Roman"/>
          <w:color w:val="auto"/>
          <w:shd w:val="clear" w:color="auto" w:fill="FFFFFF"/>
        </w:rPr>
        <w:t xml:space="preserve">e incidencia del Congreso de la República </w:t>
      </w:r>
      <w:r w:rsidRPr="00635A00">
        <w:rPr>
          <w:rFonts w:ascii="Times New Roman" w:hAnsi="Times New Roman" w:cs="Times New Roman"/>
          <w:color w:val="auto"/>
          <w:shd w:val="clear" w:color="auto" w:fill="FFFFFF"/>
        </w:rPr>
        <w:t xml:space="preserve">por el trámite conjunto en las comisiones económicas, el término restringido para la aprobación de la ley y los límites a las posibilidades de modificación de las disposiciones por </w:t>
      </w:r>
      <w:r w:rsidRPr="00635A00">
        <w:rPr>
          <w:rFonts w:ascii="Times New Roman" w:hAnsi="Times New Roman" w:cs="Times New Roman"/>
          <w:color w:val="auto"/>
          <w:shd w:val="clear" w:color="auto" w:fill="FFFFFF"/>
        </w:rPr>
        <w:t xml:space="preserve">parte de </w:t>
      </w:r>
      <w:r w:rsidRPr="00635A00">
        <w:rPr>
          <w:rFonts w:ascii="Times New Roman" w:hAnsi="Times New Roman" w:cs="Times New Roman"/>
          <w:color w:val="auto"/>
          <w:shd w:val="clear" w:color="auto" w:fill="FFFFFF"/>
        </w:rPr>
        <w:t>los con</w:t>
      </w:r>
      <w:r w:rsidRPr="00635A00">
        <w:rPr>
          <w:rFonts w:ascii="Times New Roman" w:hAnsi="Times New Roman" w:cs="Times New Roman"/>
          <w:color w:val="auto"/>
          <w:shd w:val="clear" w:color="auto" w:fill="FFFFFF"/>
        </w:rPr>
        <w:t xml:space="preserve">gresistas. Todo ello sumado al papel preponderante de plan nacional de inversiones frente a otras leyes. Estas características, como se explicará más adelante en la reconstrucción de los estándares de juzgamiento del trámite legislativo, </w:t>
      </w:r>
      <w:bookmarkStart w:id="12" w:name="_Hlk176199436"/>
      <w:r w:rsidRPr="00635A00">
        <w:rPr>
          <w:rFonts w:ascii="Times New Roman" w:hAnsi="Times New Roman" w:cs="Times New Roman"/>
          <w:color w:val="auto"/>
          <w:shd w:val="clear" w:color="auto" w:fill="FFFFFF"/>
        </w:rPr>
        <w:t>inciden en la inte</w:t>
      </w:r>
      <w:r w:rsidRPr="00635A00">
        <w:rPr>
          <w:rFonts w:ascii="Times New Roman" w:hAnsi="Times New Roman" w:cs="Times New Roman"/>
          <w:color w:val="auto"/>
          <w:shd w:val="clear" w:color="auto" w:fill="FFFFFF"/>
        </w:rPr>
        <w:t xml:space="preserve">nsidad del escrutinio </w:t>
      </w:r>
      <w:r w:rsidRPr="00635A00">
        <w:rPr>
          <w:rFonts w:ascii="Times New Roman" w:hAnsi="Times New Roman" w:cs="Times New Roman"/>
          <w:color w:val="auto"/>
          <w:shd w:val="clear" w:color="auto" w:fill="FFFFFF"/>
        </w:rPr>
        <w:t>sobre algunas de</w:t>
      </w:r>
      <w:r w:rsidRPr="00635A00">
        <w:rPr>
          <w:rFonts w:ascii="Times New Roman" w:hAnsi="Times New Roman" w:cs="Times New Roman"/>
          <w:color w:val="auto"/>
          <w:shd w:val="clear" w:color="auto" w:fill="FFFFFF"/>
        </w:rPr>
        <w:t xml:space="preserve"> las garantías </w:t>
      </w:r>
      <w:r w:rsidRPr="00635A00">
        <w:rPr>
          <w:rFonts w:ascii="Times New Roman" w:hAnsi="Times New Roman" w:cs="Times New Roman"/>
          <w:color w:val="auto"/>
          <w:shd w:val="clear" w:color="auto" w:fill="FFFFFF"/>
        </w:rPr>
        <w:t xml:space="preserve">mínimas </w:t>
      </w:r>
      <w:r w:rsidRPr="00635A00">
        <w:rPr>
          <w:rFonts w:ascii="Times New Roman" w:hAnsi="Times New Roman" w:cs="Times New Roman"/>
          <w:color w:val="auto"/>
          <w:shd w:val="clear" w:color="auto" w:fill="FFFFFF"/>
        </w:rPr>
        <w:t xml:space="preserve">que han de ser observadas para la adopción de una decisión democrática </w:t>
      </w:r>
      <w:r w:rsidRPr="00635A00">
        <w:rPr>
          <w:rFonts w:ascii="Times New Roman" w:hAnsi="Times New Roman" w:cs="Times New Roman"/>
          <w:color w:val="auto"/>
          <w:shd w:val="clear" w:color="auto" w:fill="FFFFFF"/>
        </w:rPr>
        <w:t>por parte</w:t>
      </w:r>
      <w:r w:rsidRPr="00635A00">
        <w:rPr>
          <w:rFonts w:ascii="Times New Roman" w:hAnsi="Times New Roman" w:cs="Times New Roman"/>
          <w:color w:val="auto"/>
          <w:shd w:val="clear" w:color="auto" w:fill="FFFFFF"/>
        </w:rPr>
        <w:t xml:space="preserve"> Congreso de la República.</w:t>
      </w:r>
      <w:bookmarkEnd w:id="12"/>
    </w:p>
    <w:p w:rsidR="00BF1D14" w:rsidRPr="00635A00" w:rsidRDefault="00635A00" w:rsidP="00FD0D25">
      <w:pPr>
        <w:pStyle w:val="Prrafodelista"/>
        <w:ind w:left="0"/>
        <w:rPr>
          <w:rFonts w:ascii="Times New Roman" w:hAnsi="Times New Roman" w:cs="Times New Roman"/>
          <w:color w:val="auto"/>
        </w:rPr>
      </w:pPr>
      <w:r w:rsidRPr="00635A00">
        <w:rPr>
          <w:rFonts w:ascii="Times New Roman" w:hAnsi="Times New Roman" w:cs="Times New Roman"/>
          <w:color w:val="auto"/>
        </w:rPr>
        <w:t xml:space="preserve"> </w:t>
      </w:r>
    </w:p>
    <w:p w:rsidR="001E7934" w:rsidRPr="00635A00" w:rsidRDefault="00635A00" w:rsidP="00744340">
      <w:pPr>
        <w:pStyle w:val="Sombreadovistoso-nfasis31"/>
        <w:numPr>
          <w:ilvl w:val="0"/>
          <w:numId w:val="3"/>
        </w:numPr>
        <w:rPr>
          <w:rFonts w:ascii="Times New Roman" w:hAnsi="Times New Roman" w:cs="Times New Roman"/>
          <w:color w:val="auto"/>
        </w:rPr>
      </w:pPr>
      <w:bookmarkStart w:id="13" w:name="_Ref173913126"/>
      <w:r w:rsidRPr="00635A00">
        <w:rPr>
          <w:rFonts w:ascii="Times New Roman" w:hAnsi="Times New Roman" w:cs="Times New Roman"/>
          <w:color w:val="auto"/>
        </w:rPr>
        <w:t>En síntesis, el Plan Nacional de Desarrollo constituye un instrumento central desde la</w:t>
      </w:r>
      <w:r w:rsidRPr="00635A00">
        <w:rPr>
          <w:rFonts w:ascii="Times New Roman" w:hAnsi="Times New Roman" w:cs="Times New Roman"/>
          <w:color w:val="auto"/>
        </w:rPr>
        <w:t xml:space="preserve"> perspectiva de planeación estatal</w:t>
      </w:r>
      <w:r w:rsidRPr="00635A00">
        <w:rPr>
          <w:rFonts w:ascii="Times New Roman" w:hAnsi="Times New Roman" w:cs="Times New Roman"/>
          <w:color w:val="auto"/>
        </w:rPr>
        <w:t xml:space="preserve">. La </w:t>
      </w:r>
      <w:r w:rsidRPr="00635A00">
        <w:rPr>
          <w:rFonts w:ascii="Times New Roman" w:hAnsi="Times New Roman" w:cs="Times New Roman"/>
          <w:color w:val="auto"/>
        </w:rPr>
        <w:t>relevancia</w:t>
      </w:r>
      <w:r w:rsidRPr="00635A00">
        <w:rPr>
          <w:rFonts w:ascii="Times New Roman" w:hAnsi="Times New Roman" w:cs="Times New Roman"/>
          <w:color w:val="auto"/>
        </w:rPr>
        <w:t xml:space="preserve"> de esta herramienta para la definición de la estrategia y los </w:t>
      </w:r>
      <w:r w:rsidRPr="00635A00">
        <w:rPr>
          <w:rFonts w:ascii="Times New Roman" w:hAnsi="Times New Roman" w:cs="Times New Roman"/>
          <w:color w:val="auto"/>
        </w:rPr>
        <w:t>objetivos</w:t>
      </w:r>
      <w:r w:rsidRPr="00635A00">
        <w:rPr>
          <w:rFonts w:ascii="Times New Roman" w:hAnsi="Times New Roman" w:cs="Times New Roman"/>
          <w:color w:val="auto"/>
        </w:rPr>
        <w:t xml:space="preserve"> de la acción </w:t>
      </w:r>
      <w:r w:rsidRPr="00635A00">
        <w:rPr>
          <w:rFonts w:ascii="Times New Roman" w:hAnsi="Times New Roman" w:cs="Times New Roman"/>
          <w:color w:val="auto"/>
        </w:rPr>
        <w:t>estatal sustenta una serie de reglas de naturaleza constitucional y orgánica sobre las fases de elaboración, aprobación y</w:t>
      </w:r>
      <w:r w:rsidRPr="00635A00">
        <w:rPr>
          <w:rFonts w:ascii="Times New Roman" w:hAnsi="Times New Roman" w:cs="Times New Roman"/>
          <w:color w:val="auto"/>
        </w:rPr>
        <w:t xml:space="preserve"> ejecución,</w:t>
      </w:r>
      <w:r w:rsidRPr="00635A00">
        <w:rPr>
          <w:rFonts w:ascii="Times New Roman" w:hAnsi="Times New Roman" w:cs="Times New Roman"/>
          <w:color w:val="auto"/>
        </w:rPr>
        <w:t xml:space="preserve"> </w:t>
      </w:r>
      <w:r w:rsidRPr="00635A00">
        <w:rPr>
          <w:rFonts w:ascii="Times New Roman" w:hAnsi="Times New Roman" w:cs="Times New Roman"/>
          <w:color w:val="auto"/>
        </w:rPr>
        <w:t>las cuales</w:t>
      </w:r>
      <w:r w:rsidRPr="00635A00">
        <w:rPr>
          <w:rFonts w:ascii="Times New Roman" w:hAnsi="Times New Roman" w:cs="Times New Roman"/>
          <w:color w:val="auto"/>
        </w:rPr>
        <w:t xml:space="preserve"> inciden en el control de constitucionalidad por parte de esta Corporación</w:t>
      </w:r>
      <w:r w:rsidRPr="00635A00">
        <w:rPr>
          <w:rFonts w:ascii="Times New Roman" w:hAnsi="Times New Roman" w:cs="Times New Roman"/>
          <w:color w:val="auto"/>
        </w:rPr>
        <w:t xml:space="preserve">, </w:t>
      </w:r>
      <w:bookmarkEnd w:id="13"/>
      <w:r w:rsidRPr="00635A00">
        <w:rPr>
          <w:rFonts w:ascii="Times New Roman" w:hAnsi="Times New Roman" w:cs="Times New Roman"/>
          <w:color w:val="auto"/>
        </w:rPr>
        <w:t>particularmente se traduce en el mayor rigor del examen del trámite legislativo</w:t>
      </w:r>
      <w:r w:rsidRPr="00635A00">
        <w:rPr>
          <w:rFonts w:ascii="Times New Roman" w:hAnsi="Times New Roman" w:cs="Times New Roman"/>
          <w:color w:val="auto"/>
        </w:rPr>
        <w:t xml:space="preserve"> en algunos aspectos como el principio de publicidad, tal y como se explicará m</w:t>
      </w:r>
      <w:r w:rsidRPr="00635A00">
        <w:rPr>
          <w:rFonts w:ascii="Times New Roman" w:hAnsi="Times New Roman" w:cs="Times New Roman"/>
          <w:color w:val="auto"/>
        </w:rPr>
        <w:t>ás adelante.</w:t>
      </w:r>
    </w:p>
    <w:p w:rsidR="000F2123" w:rsidRPr="00635A00" w:rsidRDefault="00635A00" w:rsidP="000F2123">
      <w:pPr>
        <w:pStyle w:val="Prrafodelista"/>
        <w:rPr>
          <w:rFonts w:ascii="Times New Roman" w:hAnsi="Times New Roman" w:cs="Times New Roman"/>
          <w:color w:val="auto"/>
        </w:rPr>
      </w:pPr>
    </w:p>
    <w:p w:rsidR="003E0293" w:rsidRPr="00635A00" w:rsidRDefault="00635A00" w:rsidP="003E0293">
      <w:pPr>
        <w:pStyle w:val="Prrafodelista"/>
        <w:widowControl/>
        <w:numPr>
          <w:ilvl w:val="0"/>
          <w:numId w:val="17"/>
        </w:numPr>
        <w:tabs>
          <w:tab w:val="left" w:pos="1134"/>
        </w:tabs>
        <w:ind w:hanging="153"/>
        <w:contextualSpacing/>
        <w:rPr>
          <w:rFonts w:ascii="Times New Roman" w:hAnsi="Times New Roman" w:cs="Times New Roman"/>
          <w:b/>
          <w:bCs/>
          <w:color w:val="auto"/>
        </w:rPr>
      </w:pPr>
      <w:bookmarkStart w:id="14" w:name="_Ref171148190"/>
      <w:r w:rsidRPr="00635A00">
        <w:rPr>
          <w:rFonts w:ascii="Times New Roman" w:hAnsi="Times New Roman" w:cs="Times New Roman"/>
          <w:b/>
          <w:bCs/>
          <w:color w:val="auto"/>
        </w:rPr>
        <w:t>Contenido y alcance de las normas demandadas</w:t>
      </w:r>
      <w:bookmarkEnd w:id="14"/>
    </w:p>
    <w:p w:rsidR="003E0293" w:rsidRPr="00635A00" w:rsidRDefault="00635A00" w:rsidP="003E0293">
      <w:pPr>
        <w:tabs>
          <w:tab w:val="left" w:pos="426"/>
        </w:tabs>
        <w:contextualSpacing/>
        <w:rPr>
          <w:rFonts w:ascii="Times New Roman" w:hAnsi="Times New Roman" w:cs="Times New Roman"/>
          <w:sz w:val="28"/>
        </w:rPr>
      </w:pPr>
    </w:p>
    <w:p w:rsidR="003E0293" w:rsidRPr="00635A00" w:rsidRDefault="00635A00" w:rsidP="003E0293">
      <w:pPr>
        <w:tabs>
          <w:tab w:val="left" w:pos="1134"/>
        </w:tabs>
        <w:contextualSpacing/>
        <w:rPr>
          <w:rFonts w:ascii="Times New Roman" w:hAnsi="Times New Roman" w:cs="Times New Roman"/>
          <w:b/>
          <w:bCs/>
          <w:sz w:val="28"/>
          <w:szCs w:val="28"/>
        </w:rPr>
      </w:pPr>
      <w:r w:rsidRPr="00635A00">
        <w:rPr>
          <w:rFonts w:ascii="Times New Roman" w:hAnsi="Times New Roman" w:cs="Times New Roman"/>
          <w:b/>
          <w:bCs/>
          <w:sz w:val="28"/>
          <w:szCs w:val="28"/>
        </w:rPr>
        <w:t>Estructura general del Plan Nacional de Desarrollo 2022 - 2026</w:t>
      </w:r>
    </w:p>
    <w:p w:rsidR="003E0293" w:rsidRPr="00635A00" w:rsidRDefault="00635A00" w:rsidP="003E0293">
      <w:pPr>
        <w:pStyle w:val="Sombreadovistoso-nfasis31"/>
        <w:rPr>
          <w:rFonts w:ascii="Times New Roman" w:hAnsi="Times New Roman" w:cs="Times New Roman"/>
          <w:color w:val="auto"/>
        </w:rPr>
      </w:pPr>
    </w:p>
    <w:p w:rsidR="00E4512E" w:rsidRPr="00635A00" w:rsidRDefault="00635A00" w:rsidP="00BD29D3">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lang w:val="es-CO"/>
        </w:rPr>
        <w:t>En virtud de lo previsto en los artículos 339 y 341 de la Constitución</w:t>
      </w:r>
      <w:r w:rsidRPr="00635A00">
        <w:rPr>
          <w:rFonts w:ascii="Times New Roman" w:hAnsi="Times New Roman" w:cs="Times New Roman"/>
          <w:color w:val="auto"/>
          <w:lang w:val="es-CO"/>
        </w:rPr>
        <w:t xml:space="preserve"> y de la Ley Orgánica 152 de 1994</w:t>
      </w:r>
      <w:r w:rsidRPr="00635A00">
        <w:rPr>
          <w:rStyle w:val="Refdenotaalpie"/>
          <w:rFonts w:ascii="Times New Roman" w:hAnsi="Times New Roman" w:cs="Times New Roman"/>
          <w:color w:val="auto"/>
          <w:lang w:val="es-CO"/>
        </w:rPr>
        <w:footnoteReference w:id="52"/>
      </w:r>
      <w:r w:rsidRPr="00635A00">
        <w:rPr>
          <w:rFonts w:ascii="Times New Roman" w:hAnsi="Times New Roman" w:cs="Times New Roman"/>
          <w:color w:val="auto"/>
          <w:lang w:val="es-CO"/>
        </w:rPr>
        <w:t xml:space="preserve">, mediante la Ley 2294 </w:t>
      </w:r>
      <w:r w:rsidRPr="00635A00">
        <w:rPr>
          <w:rFonts w:ascii="Times New Roman" w:hAnsi="Times New Roman" w:cs="Times New Roman"/>
          <w:color w:val="auto"/>
        </w:rPr>
        <w:t xml:space="preserve">el Congreso de la República expidió el </w:t>
      </w:r>
      <w:r w:rsidRPr="00635A00">
        <w:rPr>
          <w:rFonts w:ascii="Times New Roman" w:hAnsi="Times New Roman" w:cs="Times New Roman"/>
          <w:color w:val="auto"/>
        </w:rPr>
        <w:t>PND</w:t>
      </w:r>
      <w:r w:rsidRPr="00635A00">
        <w:rPr>
          <w:rFonts w:ascii="Times New Roman" w:hAnsi="Times New Roman" w:cs="Times New Roman"/>
          <w:color w:val="auto"/>
        </w:rPr>
        <w:t xml:space="preserve"> </w:t>
      </w:r>
      <w:r w:rsidRPr="00635A00">
        <w:rPr>
          <w:rFonts w:ascii="Times New Roman" w:hAnsi="Times New Roman" w:cs="Times New Roman"/>
          <w:color w:val="auto"/>
        </w:rPr>
        <w:t>presentado</w:t>
      </w:r>
      <w:r w:rsidRPr="00635A00">
        <w:rPr>
          <w:rFonts w:ascii="Times New Roman" w:hAnsi="Times New Roman" w:cs="Times New Roman"/>
          <w:color w:val="auto"/>
        </w:rPr>
        <w:t xml:space="preserve"> por el Gobierno nacional elegido para el cuatrienio 2022 – 2026</w:t>
      </w:r>
      <w:r w:rsidRPr="00635A00">
        <w:rPr>
          <w:rStyle w:val="Refdenotaalpie"/>
          <w:rFonts w:ascii="Times New Roman" w:hAnsi="Times New Roman" w:cs="Times New Roman"/>
          <w:color w:val="auto"/>
        </w:rPr>
        <w:footnoteReference w:id="53"/>
      </w:r>
      <w:r w:rsidRPr="00635A00">
        <w:rPr>
          <w:rFonts w:ascii="Times New Roman" w:hAnsi="Times New Roman" w:cs="Times New Roman"/>
          <w:color w:val="auto"/>
        </w:rPr>
        <w:t xml:space="preserve">, </w:t>
      </w:r>
      <w:r w:rsidRPr="00635A00">
        <w:rPr>
          <w:rFonts w:ascii="Times New Roman" w:hAnsi="Times New Roman" w:cs="Times New Roman"/>
          <w:color w:val="auto"/>
        </w:rPr>
        <w:t>denominado</w:t>
      </w:r>
      <w:r w:rsidRPr="00635A00">
        <w:rPr>
          <w:rFonts w:ascii="Times New Roman" w:hAnsi="Times New Roman" w:cs="Times New Roman"/>
          <w:color w:val="auto"/>
        </w:rPr>
        <w:t xml:space="preserve"> “Colombia Potencia Mundial de la Vida”. Este instrumento de planeación</w:t>
      </w:r>
      <w:r w:rsidRPr="00635A00">
        <w:rPr>
          <w:rFonts w:ascii="Times New Roman" w:hAnsi="Times New Roman" w:cs="Times New Roman"/>
          <w:color w:val="auto"/>
        </w:rPr>
        <w:t>, que “constituye la concreción legislativa del program</w:t>
      </w:r>
      <w:r w:rsidRPr="00635A00">
        <w:rPr>
          <w:rFonts w:ascii="Times New Roman" w:hAnsi="Times New Roman" w:cs="Times New Roman"/>
          <w:color w:val="auto"/>
        </w:rPr>
        <w:t>a de gobierno propuesto por el primer mandatario”</w:t>
      </w:r>
      <w:r w:rsidRPr="00635A00">
        <w:rPr>
          <w:rStyle w:val="Refdenotaalpie"/>
          <w:rFonts w:ascii="Times New Roman" w:hAnsi="Times New Roman" w:cs="Times New Roman"/>
          <w:color w:val="auto"/>
        </w:rPr>
        <w:footnoteReference w:id="54"/>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 se compone de cuatro títulos referidos a las siguientes materias: (i) la parte general del PND</w:t>
      </w:r>
      <w:r w:rsidRPr="00635A00">
        <w:rPr>
          <w:rStyle w:val="Refdenotaalpie"/>
          <w:rFonts w:ascii="Times New Roman" w:hAnsi="Times New Roman" w:cs="Times New Roman"/>
          <w:color w:val="auto"/>
        </w:rPr>
        <w:footnoteReference w:id="55"/>
      </w:r>
      <w:r w:rsidRPr="00635A00">
        <w:rPr>
          <w:rFonts w:ascii="Times New Roman" w:hAnsi="Times New Roman" w:cs="Times New Roman"/>
          <w:color w:val="auto"/>
        </w:rPr>
        <w:t>; (ii) el plan de inversiones y presupuestos</w:t>
      </w:r>
      <w:r w:rsidRPr="00635A00">
        <w:rPr>
          <w:rStyle w:val="Refdenotaalpie"/>
          <w:rFonts w:ascii="Times New Roman" w:hAnsi="Times New Roman" w:cs="Times New Roman"/>
          <w:color w:val="auto"/>
        </w:rPr>
        <w:footnoteReference w:id="56"/>
      </w:r>
      <w:r w:rsidRPr="00635A00">
        <w:rPr>
          <w:rFonts w:ascii="Times New Roman" w:hAnsi="Times New Roman" w:cs="Times New Roman"/>
          <w:color w:val="auto"/>
        </w:rPr>
        <w:t>, (iii) los mecanismos de ejecución y (iv) otras disposiciones.</w:t>
      </w:r>
      <w:r w:rsidRPr="00635A00">
        <w:rPr>
          <w:rFonts w:ascii="Times New Roman" w:hAnsi="Times New Roman" w:cs="Times New Roman"/>
          <w:color w:val="auto"/>
        </w:rPr>
        <w:t xml:space="preserve"> </w:t>
      </w:r>
    </w:p>
    <w:p w:rsidR="00E4512E" w:rsidRPr="00635A00" w:rsidRDefault="00635A00" w:rsidP="00E4512E">
      <w:pPr>
        <w:pStyle w:val="Sombreadovistoso-nfasis31"/>
        <w:ind w:left="0"/>
        <w:rPr>
          <w:rFonts w:ascii="Times New Roman" w:hAnsi="Times New Roman" w:cs="Times New Roman"/>
          <w:color w:val="auto"/>
        </w:rPr>
      </w:pPr>
    </w:p>
    <w:p w:rsidR="00204D12" w:rsidRPr="00635A00" w:rsidRDefault="00635A00" w:rsidP="00BD29D3">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su parte general</w:t>
      </w:r>
      <w:r w:rsidRPr="00635A00">
        <w:rPr>
          <w:rFonts w:ascii="Times New Roman" w:hAnsi="Times New Roman" w:cs="Times New Roman"/>
          <w:color w:val="auto"/>
        </w:rPr>
        <w:t xml:space="preserve"> (Título I de la Ley)</w:t>
      </w:r>
      <w:r w:rsidRPr="00635A00">
        <w:rPr>
          <w:rFonts w:ascii="Times New Roman" w:hAnsi="Times New Roman" w:cs="Times New Roman"/>
          <w:color w:val="auto"/>
        </w:rPr>
        <w:t xml:space="preserve">, el PND se fija </w:t>
      </w:r>
      <w:r w:rsidRPr="00635A00">
        <w:rPr>
          <w:rFonts w:ascii="Times New Roman" w:hAnsi="Times New Roman" w:cs="Times New Roman"/>
          <w:color w:val="auto"/>
        </w:rPr>
        <w:t>como</w:t>
      </w:r>
      <w:r w:rsidRPr="00635A00">
        <w:rPr>
          <w:rFonts w:ascii="Times New Roman" w:hAnsi="Times New Roman" w:cs="Times New Roman"/>
          <w:color w:val="auto"/>
        </w:rPr>
        <w:t xml:space="preserve"> objetivo </w:t>
      </w:r>
      <w:r w:rsidRPr="00635A00">
        <w:rPr>
          <w:rFonts w:ascii="Times New Roman" w:hAnsi="Times New Roman" w:cs="Times New Roman"/>
          <w:color w:val="auto"/>
        </w:rPr>
        <w:t>sentar</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las bases para que </w:t>
      </w:r>
      <w:r w:rsidRPr="00635A00">
        <w:rPr>
          <w:rFonts w:ascii="Times New Roman" w:hAnsi="Times New Roman" w:cs="Times New Roman"/>
          <w:color w:val="auto"/>
        </w:rPr>
        <w:t>el país sea líder en la protección de la vida a partir de un nuevo contrato social que permita la superación de las injusticias y exclusiones históricas</w:t>
      </w:r>
      <w:r w:rsidRPr="00635A00">
        <w:rPr>
          <w:rFonts w:ascii="Times New Roman" w:hAnsi="Times New Roman" w:cs="Times New Roman"/>
          <w:color w:val="auto"/>
        </w:rPr>
        <w:t>,</w:t>
      </w:r>
      <w:r w:rsidRPr="00635A00">
        <w:rPr>
          <w:rFonts w:ascii="Times New Roman" w:hAnsi="Times New Roman" w:cs="Times New Roman"/>
          <w:color w:val="auto"/>
        </w:rPr>
        <w:t xml:space="preserve"> la no repetición del conflicto</w:t>
      </w:r>
      <w:r w:rsidRPr="00635A00">
        <w:rPr>
          <w:rFonts w:ascii="Times New Roman" w:hAnsi="Times New Roman" w:cs="Times New Roman"/>
          <w:color w:val="auto"/>
        </w:rPr>
        <w:t>, el</w:t>
      </w:r>
      <w:r w:rsidRPr="00635A00">
        <w:rPr>
          <w:rFonts w:ascii="Times New Roman" w:hAnsi="Times New Roman" w:cs="Times New Roman"/>
          <w:color w:val="auto"/>
        </w:rPr>
        <w:t xml:space="preserve"> cambio en la relación con el medio ambiente; </w:t>
      </w:r>
      <w:r w:rsidRPr="00635A00">
        <w:rPr>
          <w:rFonts w:ascii="Times New Roman" w:hAnsi="Times New Roman" w:cs="Times New Roman"/>
          <w:color w:val="auto"/>
        </w:rPr>
        <w:t>l</w:t>
      </w:r>
      <w:r w:rsidRPr="00635A00">
        <w:rPr>
          <w:rFonts w:ascii="Times New Roman" w:hAnsi="Times New Roman" w:cs="Times New Roman"/>
          <w:color w:val="auto"/>
        </w:rPr>
        <w:t>a transformación productiva basada en el conocimiento y en armonía con la naturaleza, y la paz total</w:t>
      </w:r>
      <w:r w:rsidRPr="00635A00">
        <w:rPr>
          <w:rStyle w:val="Refdenotaalpie"/>
          <w:rFonts w:ascii="Times New Roman" w:hAnsi="Times New Roman" w:cs="Times New Roman"/>
          <w:color w:val="auto"/>
        </w:rPr>
        <w:footnoteReference w:id="57"/>
      </w:r>
      <w:r w:rsidRPr="00635A00">
        <w:rPr>
          <w:rFonts w:ascii="Times New Roman" w:hAnsi="Times New Roman" w:cs="Times New Roman"/>
          <w:color w:val="auto"/>
        </w:rPr>
        <w:t xml:space="preserve">. </w:t>
      </w:r>
      <w:r w:rsidRPr="00635A00">
        <w:rPr>
          <w:rFonts w:ascii="Times New Roman" w:hAnsi="Times New Roman" w:cs="Times New Roman"/>
          <w:color w:val="auto"/>
        </w:rPr>
        <w:t>Para materializar este objetivo, el PND plantea cinco ejes de transform</w:t>
      </w:r>
      <w:r w:rsidRPr="00635A00">
        <w:rPr>
          <w:rFonts w:ascii="Times New Roman" w:hAnsi="Times New Roman" w:cs="Times New Roman"/>
          <w:color w:val="auto"/>
        </w:rPr>
        <w:t>ación y cuatro ejes con asuntos transversales a todo el Plan:</w:t>
      </w:r>
    </w:p>
    <w:p w:rsidR="004B31AF" w:rsidRPr="00635A00" w:rsidRDefault="00635A00" w:rsidP="004B31AF">
      <w:pPr>
        <w:pStyle w:val="Prrafodelista"/>
        <w:rPr>
          <w:rFonts w:ascii="Times New Roman" w:hAnsi="Times New Roman" w:cs="Times New Roman"/>
          <w:color w:val="auto"/>
        </w:rPr>
      </w:pPr>
    </w:p>
    <w:p w:rsidR="00C5262A" w:rsidRPr="00635A00" w:rsidRDefault="00635A00" w:rsidP="00C5262A">
      <w:pPr>
        <w:pStyle w:val="Descripcin"/>
        <w:keepNext/>
        <w:rPr>
          <w:rFonts w:ascii="Times New Roman" w:hAnsi="Times New Roman" w:cs="Times New Roman"/>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6</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Ejes temáticos del PND</w:t>
      </w:r>
    </w:p>
    <w:tbl>
      <w:tblPr>
        <w:tblStyle w:val="Tablaconcuadrcula"/>
        <w:tblW w:w="0" w:type="auto"/>
        <w:tblLook w:val="04A0" w:firstRow="1" w:lastRow="0" w:firstColumn="1" w:lastColumn="0" w:noHBand="0" w:noVBand="1"/>
      </w:tblPr>
      <w:tblGrid>
        <w:gridCol w:w="4422"/>
        <w:gridCol w:w="4406"/>
      </w:tblGrid>
      <w:tr w:rsidR="00301B43" w:rsidRPr="00635A00" w:rsidTr="00C5262A">
        <w:trPr>
          <w:tblHeader/>
        </w:trPr>
        <w:tc>
          <w:tcPr>
            <w:tcW w:w="4489" w:type="dxa"/>
            <w:shd w:val="clear" w:color="auto" w:fill="E2EFD9" w:themeFill="accent6" w:themeFillTint="33"/>
          </w:tcPr>
          <w:p w:rsidR="004B31AF" w:rsidRPr="00635A00" w:rsidRDefault="00635A00" w:rsidP="00C5262A">
            <w:pPr>
              <w:pStyle w:val="Sombreadovistoso-nfasis31"/>
              <w:ind w:left="0"/>
              <w:jc w:val="center"/>
              <w:rPr>
                <w:rFonts w:ascii="Times New Roman" w:hAnsi="Times New Roman"/>
                <w:b/>
                <w:bCs/>
                <w:color w:val="auto"/>
                <w:szCs w:val="24"/>
              </w:rPr>
            </w:pPr>
            <w:r w:rsidRPr="00635A00">
              <w:rPr>
                <w:rFonts w:ascii="Times New Roman" w:hAnsi="Times New Roman"/>
                <w:b/>
                <w:bCs/>
                <w:color w:val="auto"/>
                <w:szCs w:val="24"/>
              </w:rPr>
              <w:t>Ejes de transformación</w:t>
            </w:r>
            <w:r w:rsidRPr="00635A00">
              <w:rPr>
                <w:rStyle w:val="Refdenotaalpie"/>
                <w:rFonts w:ascii="Times New Roman" w:hAnsi="Times New Roman"/>
                <w:b/>
                <w:bCs/>
                <w:color w:val="auto"/>
                <w:szCs w:val="24"/>
              </w:rPr>
              <w:footnoteReference w:id="58"/>
            </w:r>
          </w:p>
        </w:tc>
        <w:tc>
          <w:tcPr>
            <w:tcW w:w="4489" w:type="dxa"/>
            <w:shd w:val="clear" w:color="auto" w:fill="E2EFD9" w:themeFill="accent6" w:themeFillTint="33"/>
          </w:tcPr>
          <w:p w:rsidR="004B31AF" w:rsidRPr="00635A00" w:rsidRDefault="00635A00" w:rsidP="00C5262A">
            <w:pPr>
              <w:pStyle w:val="Sombreadovistoso-nfasis31"/>
              <w:ind w:left="0"/>
              <w:jc w:val="center"/>
              <w:rPr>
                <w:rFonts w:ascii="Times New Roman" w:hAnsi="Times New Roman"/>
                <w:b/>
                <w:bCs/>
                <w:color w:val="auto"/>
                <w:szCs w:val="24"/>
              </w:rPr>
            </w:pPr>
            <w:r w:rsidRPr="00635A00">
              <w:rPr>
                <w:rFonts w:ascii="Times New Roman" w:hAnsi="Times New Roman"/>
                <w:b/>
                <w:bCs/>
                <w:color w:val="auto"/>
                <w:szCs w:val="24"/>
              </w:rPr>
              <w:t>Ejes transversales</w:t>
            </w:r>
            <w:r w:rsidRPr="00635A00">
              <w:rPr>
                <w:rStyle w:val="Refdenotaalpie"/>
                <w:rFonts w:ascii="Times New Roman" w:hAnsi="Times New Roman"/>
                <w:b/>
                <w:bCs/>
                <w:color w:val="auto"/>
                <w:szCs w:val="24"/>
              </w:rPr>
              <w:footnoteReference w:id="59"/>
            </w:r>
          </w:p>
        </w:tc>
      </w:tr>
      <w:tr w:rsidR="004B31AF" w:rsidRPr="00635A00" w:rsidTr="004B31AF">
        <w:tc>
          <w:tcPr>
            <w:tcW w:w="4489" w:type="dxa"/>
          </w:tcPr>
          <w:p w:rsidR="004B31AF" w:rsidRPr="00635A00" w:rsidRDefault="00635A00" w:rsidP="001F3848">
            <w:pPr>
              <w:pStyle w:val="Sombreadovistoso-nfasis31"/>
              <w:numPr>
                <w:ilvl w:val="0"/>
                <w:numId w:val="20"/>
              </w:numPr>
              <w:tabs>
                <w:tab w:val="left" w:pos="567"/>
              </w:tabs>
              <w:ind w:left="567" w:hanging="567"/>
              <w:rPr>
                <w:rFonts w:ascii="Times New Roman" w:hAnsi="Times New Roman"/>
                <w:color w:val="auto"/>
                <w:szCs w:val="24"/>
              </w:rPr>
            </w:pPr>
            <w:r w:rsidRPr="00635A00">
              <w:rPr>
                <w:rFonts w:ascii="Times New Roman" w:hAnsi="Times New Roman"/>
                <w:color w:val="auto"/>
                <w:szCs w:val="24"/>
              </w:rPr>
              <w:t>Ordenamiento del territorio alrededor del agua</w:t>
            </w:r>
          </w:p>
          <w:p w:rsidR="00C5262A" w:rsidRPr="00635A00" w:rsidRDefault="00635A00" w:rsidP="001F3848">
            <w:pPr>
              <w:pStyle w:val="Sombreadovistoso-nfasis31"/>
              <w:numPr>
                <w:ilvl w:val="0"/>
                <w:numId w:val="20"/>
              </w:numPr>
              <w:tabs>
                <w:tab w:val="left" w:pos="567"/>
              </w:tabs>
              <w:ind w:left="567" w:hanging="567"/>
              <w:rPr>
                <w:rFonts w:ascii="Times New Roman" w:hAnsi="Times New Roman"/>
                <w:color w:val="auto"/>
                <w:szCs w:val="24"/>
              </w:rPr>
            </w:pPr>
            <w:r w:rsidRPr="00635A00">
              <w:rPr>
                <w:rFonts w:ascii="Times New Roman" w:hAnsi="Times New Roman"/>
                <w:color w:val="auto"/>
                <w:szCs w:val="24"/>
              </w:rPr>
              <w:t>Seguridad humana y justicia social</w:t>
            </w:r>
          </w:p>
          <w:p w:rsidR="00C5262A" w:rsidRPr="00635A00" w:rsidRDefault="00635A00" w:rsidP="001F3848">
            <w:pPr>
              <w:pStyle w:val="Sombreadovistoso-nfasis31"/>
              <w:numPr>
                <w:ilvl w:val="0"/>
                <w:numId w:val="20"/>
              </w:numPr>
              <w:tabs>
                <w:tab w:val="left" w:pos="567"/>
              </w:tabs>
              <w:ind w:left="567" w:hanging="567"/>
              <w:rPr>
                <w:rFonts w:ascii="Times New Roman" w:hAnsi="Times New Roman"/>
                <w:color w:val="auto"/>
                <w:szCs w:val="24"/>
              </w:rPr>
            </w:pPr>
            <w:r w:rsidRPr="00635A00">
              <w:rPr>
                <w:rFonts w:ascii="Times New Roman" w:hAnsi="Times New Roman"/>
                <w:color w:val="auto"/>
                <w:szCs w:val="24"/>
              </w:rPr>
              <w:t xml:space="preserve">Derecho </w:t>
            </w:r>
            <w:r w:rsidRPr="00635A00">
              <w:rPr>
                <w:rFonts w:ascii="Times New Roman" w:hAnsi="Times New Roman"/>
                <w:color w:val="auto"/>
                <w:szCs w:val="24"/>
              </w:rPr>
              <w:t>humano a la alimentación</w:t>
            </w:r>
          </w:p>
          <w:p w:rsidR="00C5262A" w:rsidRPr="00635A00" w:rsidRDefault="00635A00" w:rsidP="001F3848">
            <w:pPr>
              <w:pStyle w:val="Sombreadovistoso-nfasis31"/>
              <w:numPr>
                <w:ilvl w:val="0"/>
                <w:numId w:val="20"/>
              </w:numPr>
              <w:tabs>
                <w:tab w:val="left" w:pos="567"/>
              </w:tabs>
              <w:ind w:left="567" w:hanging="567"/>
              <w:rPr>
                <w:rFonts w:ascii="Times New Roman" w:hAnsi="Times New Roman"/>
                <w:color w:val="auto"/>
                <w:szCs w:val="24"/>
              </w:rPr>
            </w:pPr>
            <w:r w:rsidRPr="00635A00">
              <w:rPr>
                <w:rFonts w:ascii="Times New Roman" w:hAnsi="Times New Roman"/>
                <w:color w:val="auto"/>
                <w:szCs w:val="24"/>
              </w:rPr>
              <w:t>Transformación productiva, internacionalización y acción climática</w:t>
            </w:r>
          </w:p>
          <w:p w:rsidR="00C5262A" w:rsidRPr="00635A00" w:rsidRDefault="00635A00" w:rsidP="001F3848">
            <w:pPr>
              <w:pStyle w:val="Sombreadovistoso-nfasis31"/>
              <w:numPr>
                <w:ilvl w:val="0"/>
                <w:numId w:val="20"/>
              </w:numPr>
              <w:tabs>
                <w:tab w:val="left" w:pos="567"/>
              </w:tabs>
              <w:ind w:left="567" w:hanging="567"/>
              <w:rPr>
                <w:rFonts w:ascii="Times New Roman" w:hAnsi="Times New Roman"/>
                <w:color w:val="auto"/>
                <w:szCs w:val="24"/>
              </w:rPr>
            </w:pPr>
            <w:r w:rsidRPr="00635A00">
              <w:rPr>
                <w:rFonts w:ascii="Times New Roman" w:hAnsi="Times New Roman"/>
                <w:color w:val="auto"/>
                <w:szCs w:val="24"/>
              </w:rPr>
              <w:t>Convergencia regional</w:t>
            </w:r>
            <w:r w:rsidRPr="00635A00">
              <w:rPr>
                <w:rFonts w:ascii="Times New Roman" w:hAnsi="Times New Roman"/>
                <w:color w:val="auto"/>
                <w:szCs w:val="24"/>
              </w:rPr>
              <w:t>.</w:t>
            </w:r>
          </w:p>
        </w:tc>
        <w:tc>
          <w:tcPr>
            <w:tcW w:w="4489" w:type="dxa"/>
          </w:tcPr>
          <w:p w:rsidR="00C5262A" w:rsidRPr="00635A00" w:rsidRDefault="00635A00" w:rsidP="001F3848">
            <w:pPr>
              <w:pStyle w:val="Sombreadovistoso-nfasis31"/>
              <w:numPr>
                <w:ilvl w:val="0"/>
                <w:numId w:val="21"/>
              </w:numPr>
              <w:tabs>
                <w:tab w:val="left" w:pos="460"/>
              </w:tabs>
              <w:ind w:left="472" w:hanging="472"/>
              <w:rPr>
                <w:rFonts w:ascii="Times New Roman" w:hAnsi="Times New Roman"/>
                <w:color w:val="auto"/>
                <w:szCs w:val="24"/>
              </w:rPr>
            </w:pPr>
            <w:r w:rsidRPr="00635A00">
              <w:rPr>
                <w:rFonts w:ascii="Times New Roman" w:hAnsi="Times New Roman"/>
                <w:color w:val="auto"/>
                <w:szCs w:val="24"/>
              </w:rPr>
              <w:t>Paz total</w:t>
            </w:r>
          </w:p>
          <w:p w:rsidR="00C5262A" w:rsidRPr="00635A00" w:rsidRDefault="00635A00" w:rsidP="001F3848">
            <w:pPr>
              <w:pStyle w:val="Sombreadovistoso-nfasis31"/>
              <w:numPr>
                <w:ilvl w:val="0"/>
                <w:numId w:val="21"/>
              </w:numPr>
              <w:tabs>
                <w:tab w:val="left" w:pos="460"/>
              </w:tabs>
              <w:ind w:left="472" w:hanging="472"/>
              <w:rPr>
                <w:rFonts w:ascii="Times New Roman" w:hAnsi="Times New Roman"/>
                <w:color w:val="auto"/>
                <w:szCs w:val="24"/>
              </w:rPr>
            </w:pPr>
            <w:r w:rsidRPr="00635A00">
              <w:rPr>
                <w:rFonts w:ascii="Times New Roman" w:hAnsi="Times New Roman"/>
                <w:color w:val="auto"/>
                <w:szCs w:val="24"/>
              </w:rPr>
              <w:t>Actores diferenciales para el cambio</w:t>
            </w:r>
          </w:p>
          <w:p w:rsidR="00C5262A" w:rsidRPr="00635A00" w:rsidRDefault="00635A00" w:rsidP="001F3848">
            <w:pPr>
              <w:pStyle w:val="Sombreadovistoso-nfasis31"/>
              <w:numPr>
                <w:ilvl w:val="0"/>
                <w:numId w:val="21"/>
              </w:numPr>
              <w:tabs>
                <w:tab w:val="left" w:pos="460"/>
              </w:tabs>
              <w:ind w:left="472" w:hanging="472"/>
              <w:rPr>
                <w:rFonts w:ascii="Times New Roman" w:hAnsi="Times New Roman"/>
                <w:color w:val="auto"/>
                <w:szCs w:val="24"/>
              </w:rPr>
            </w:pPr>
            <w:r w:rsidRPr="00635A00">
              <w:rPr>
                <w:rFonts w:ascii="Times New Roman" w:hAnsi="Times New Roman"/>
                <w:color w:val="auto"/>
                <w:szCs w:val="24"/>
              </w:rPr>
              <w:t>Estabilidad macroeconómica</w:t>
            </w:r>
          </w:p>
          <w:p w:rsidR="00C5262A" w:rsidRPr="00635A00" w:rsidRDefault="00635A00" w:rsidP="001F3848">
            <w:pPr>
              <w:pStyle w:val="Sombreadovistoso-nfasis31"/>
              <w:numPr>
                <w:ilvl w:val="0"/>
                <w:numId w:val="21"/>
              </w:numPr>
              <w:tabs>
                <w:tab w:val="left" w:pos="460"/>
              </w:tabs>
              <w:ind w:left="472" w:hanging="472"/>
              <w:rPr>
                <w:rFonts w:ascii="Times New Roman" w:hAnsi="Times New Roman"/>
                <w:color w:val="auto"/>
                <w:szCs w:val="24"/>
              </w:rPr>
            </w:pPr>
            <w:r w:rsidRPr="00635A00">
              <w:rPr>
                <w:rFonts w:ascii="Times New Roman" w:hAnsi="Times New Roman"/>
                <w:color w:val="auto"/>
                <w:szCs w:val="24"/>
              </w:rPr>
              <w:t>Política exterior con enfoque de género</w:t>
            </w:r>
          </w:p>
        </w:tc>
      </w:tr>
    </w:tbl>
    <w:p w:rsidR="004B31AF" w:rsidRPr="00635A00" w:rsidRDefault="00635A00" w:rsidP="004B31AF">
      <w:pPr>
        <w:pStyle w:val="Sombreadovistoso-nfasis31"/>
        <w:ind w:left="0"/>
        <w:rPr>
          <w:rFonts w:ascii="Times New Roman" w:hAnsi="Times New Roman" w:cs="Times New Roman"/>
          <w:color w:val="auto"/>
        </w:rPr>
      </w:pPr>
    </w:p>
    <w:p w:rsidR="00956B07" w:rsidRPr="00635A00" w:rsidRDefault="00635A00" w:rsidP="00BD29D3">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El Título II de la Ley se</w:t>
      </w:r>
      <w:r w:rsidRPr="00635A00">
        <w:rPr>
          <w:rFonts w:ascii="Times New Roman" w:hAnsi="Times New Roman" w:cs="Times New Roman"/>
          <w:color w:val="auto"/>
        </w:rPr>
        <w:t xml:space="preserve"> ocupa del Plan de Inversiones y Presupuestos Plurianuales del PND, así como de sus fuentes de financiación. Su contenido no es relevante para el análisis de los asuntos bajo examen.</w:t>
      </w:r>
    </w:p>
    <w:p w:rsidR="00956B07" w:rsidRPr="00635A00" w:rsidRDefault="00635A00" w:rsidP="00956B07">
      <w:pPr>
        <w:pStyle w:val="Sombreadovistoso-nfasis31"/>
        <w:ind w:left="0"/>
        <w:rPr>
          <w:rFonts w:ascii="Times New Roman" w:hAnsi="Times New Roman" w:cs="Times New Roman"/>
          <w:color w:val="auto"/>
        </w:rPr>
      </w:pPr>
    </w:p>
    <w:p w:rsidR="00AC6D00" w:rsidRPr="00635A00" w:rsidRDefault="00635A00" w:rsidP="00BD29D3">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 El Título III de la Ley establece los mecanismos de ejecución del PND</w:t>
      </w:r>
      <w:r w:rsidRPr="00635A00">
        <w:rPr>
          <w:rFonts w:ascii="Times New Roman" w:hAnsi="Times New Roman" w:cs="Times New Roman"/>
          <w:color w:val="auto"/>
        </w:rPr>
        <w:t xml:space="preserve">, </w:t>
      </w:r>
      <w:r w:rsidRPr="00635A00">
        <w:rPr>
          <w:rFonts w:ascii="Times New Roman" w:hAnsi="Times New Roman" w:cs="Times New Roman"/>
          <w:color w:val="auto"/>
        </w:rPr>
        <w:t>cuya justificación se encuentra contenida en el documento “Bases del Plan Nacional de Desarrollo 2022-2026 ‘Colombia Potencia Mundial de la Vida’” que hace parte integral de la Ley 2294</w:t>
      </w:r>
      <w:r w:rsidRPr="00635A00">
        <w:rPr>
          <w:rStyle w:val="Refdenotaalpie"/>
          <w:rFonts w:ascii="Times New Roman" w:hAnsi="Times New Roman" w:cs="Times New Roman"/>
          <w:color w:val="auto"/>
        </w:rPr>
        <w:footnoteReference w:id="60"/>
      </w:r>
      <w:r w:rsidRPr="00635A00">
        <w:rPr>
          <w:rFonts w:ascii="Times New Roman" w:hAnsi="Times New Roman" w:cs="Times New Roman"/>
          <w:color w:val="auto"/>
        </w:rPr>
        <w:t>. E</w:t>
      </w:r>
      <w:r w:rsidRPr="00635A00">
        <w:rPr>
          <w:rFonts w:ascii="Times New Roman" w:hAnsi="Times New Roman" w:cs="Times New Roman"/>
          <w:color w:val="auto"/>
        </w:rPr>
        <w:t>n su mayor parte</w:t>
      </w:r>
      <w:r w:rsidRPr="00635A00">
        <w:rPr>
          <w:rFonts w:ascii="Times New Roman" w:hAnsi="Times New Roman" w:cs="Times New Roman"/>
          <w:color w:val="auto"/>
        </w:rPr>
        <w:t>, tales mecanismos</w:t>
      </w:r>
      <w:r w:rsidRPr="00635A00">
        <w:rPr>
          <w:rFonts w:ascii="Times New Roman" w:hAnsi="Times New Roman" w:cs="Times New Roman"/>
          <w:color w:val="auto"/>
        </w:rPr>
        <w:t xml:space="preserve"> se encuentran clasificados de co</w:t>
      </w:r>
      <w:r w:rsidRPr="00635A00">
        <w:rPr>
          <w:rFonts w:ascii="Times New Roman" w:hAnsi="Times New Roman" w:cs="Times New Roman"/>
          <w:color w:val="auto"/>
        </w:rPr>
        <w:t>nformidad con los mencionados ejes temáticos, así:</w:t>
      </w:r>
    </w:p>
    <w:p w:rsidR="00BE5F87" w:rsidRPr="00635A00" w:rsidRDefault="00635A00" w:rsidP="00BE5F87">
      <w:pPr>
        <w:pStyle w:val="Descripcin"/>
        <w:keepNext/>
        <w:rPr>
          <w:rFonts w:ascii="Times New Roman" w:hAnsi="Times New Roman" w:cs="Times New Roman"/>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7</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Mecanismos de ejecución del PND</w:t>
      </w:r>
    </w:p>
    <w:tbl>
      <w:tblPr>
        <w:tblStyle w:val="Tablaconcuadrcula"/>
        <w:tblW w:w="0" w:type="auto"/>
        <w:tblLook w:val="04A0" w:firstRow="1" w:lastRow="0" w:firstColumn="1" w:lastColumn="0" w:noHBand="0" w:noVBand="1"/>
      </w:tblPr>
      <w:tblGrid>
        <w:gridCol w:w="3056"/>
        <w:gridCol w:w="5772"/>
      </w:tblGrid>
      <w:tr w:rsidR="00301B43" w:rsidRPr="00635A00" w:rsidTr="00D254FA">
        <w:trPr>
          <w:tblHeader/>
        </w:trPr>
        <w:tc>
          <w:tcPr>
            <w:tcW w:w="3085" w:type="dxa"/>
            <w:shd w:val="clear" w:color="auto" w:fill="E2EFD9" w:themeFill="accent6" w:themeFillTint="33"/>
            <w:vAlign w:val="center"/>
          </w:tcPr>
          <w:p w:rsidR="005F651C" w:rsidRPr="00635A00" w:rsidRDefault="00635A00" w:rsidP="00BE5F87">
            <w:pPr>
              <w:jc w:val="center"/>
              <w:rPr>
                <w:rFonts w:ascii="Times New Roman" w:hAnsi="Times New Roman"/>
                <w:b/>
                <w:bCs/>
                <w:sz w:val="28"/>
              </w:rPr>
            </w:pPr>
            <w:r w:rsidRPr="00635A00">
              <w:rPr>
                <w:rFonts w:ascii="Times New Roman" w:hAnsi="Times New Roman"/>
                <w:b/>
                <w:bCs/>
                <w:sz w:val="28"/>
              </w:rPr>
              <w:t>Capítulo</w:t>
            </w:r>
          </w:p>
        </w:tc>
        <w:tc>
          <w:tcPr>
            <w:tcW w:w="5893" w:type="dxa"/>
            <w:shd w:val="clear" w:color="auto" w:fill="E2EFD9" w:themeFill="accent6" w:themeFillTint="33"/>
          </w:tcPr>
          <w:p w:rsidR="005F651C" w:rsidRPr="00635A00" w:rsidRDefault="00635A00" w:rsidP="00BE5F87">
            <w:pPr>
              <w:jc w:val="center"/>
              <w:rPr>
                <w:rFonts w:ascii="Times New Roman" w:hAnsi="Times New Roman"/>
                <w:b/>
                <w:bCs/>
                <w:sz w:val="28"/>
              </w:rPr>
            </w:pPr>
            <w:r w:rsidRPr="00635A00">
              <w:rPr>
                <w:rFonts w:ascii="Times New Roman" w:hAnsi="Times New Roman"/>
                <w:b/>
                <w:bCs/>
                <w:sz w:val="28"/>
              </w:rPr>
              <w:t>Contenido</w:t>
            </w:r>
          </w:p>
        </w:tc>
      </w:tr>
      <w:tr w:rsidR="00301B43" w:rsidRPr="00635A00" w:rsidTr="00DF367B">
        <w:tc>
          <w:tcPr>
            <w:tcW w:w="8978" w:type="dxa"/>
            <w:gridSpan w:val="2"/>
            <w:vAlign w:val="center"/>
          </w:tcPr>
          <w:p w:rsidR="00EB0811" w:rsidRPr="00635A00" w:rsidRDefault="00635A00" w:rsidP="005C7E04">
            <w:pPr>
              <w:jc w:val="both"/>
              <w:rPr>
                <w:rFonts w:ascii="Times New Roman" w:hAnsi="Times New Roman"/>
                <w:sz w:val="28"/>
              </w:rPr>
            </w:pPr>
            <w:r w:rsidRPr="00635A00">
              <w:rPr>
                <w:rFonts w:ascii="Times New Roman" w:hAnsi="Times New Roman"/>
                <w:sz w:val="28"/>
              </w:rPr>
              <w:t>Capítulo I - Proyectos, políticas y programas para la construcción de la paz</w:t>
            </w:r>
          </w:p>
        </w:tc>
      </w:tr>
      <w:tr w:rsidR="00301B43" w:rsidRPr="00635A00" w:rsidTr="00D254FA">
        <w:tc>
          <w:tcPr>
            <w:tcW w:w="3085" w:type="dxa"/>
            <w:vMerge w:val="restart"/>
            <w:vAlign w:val="center"/>
          </w:tcPr>
          <w:p w:rsidR="005F651C" w:rsidRPr="00635A00" w:rsidRDefault="00635A00" w:rsidP="005C7E04">
            <w:pPr>
              <w:jc w:val="both"/>
              <w:rPr>
                <w:rFonts w:ascii="Times New Roman" w:hAnsi="Times New Roman"/>
                <w:b/>
                <w:bCs/>
                <w:sz w:val="28"/>
              </w:rPr>
            </w:pPr>
            <w:r w:rsidRPr="00635A00">
              <w:rPr>
                <w:rFonts w:ascii="Times New Roman" w:hAnsi="Times New Roman"/>
                <w:b/>
                <w:bCs/>
                <w:sz w:val="28"/>
              </w:rPr>
              <w:t>Capítulo II</w:t>
            </w:r>
            <w:r w:rsidRPr="00635A00">
              <w:rPr>
                <w:rFonts w:ascii="Times New Roman" w:hAnsi="Times New Roman"/>
                <w:b/>
                <w:bCs/>
                <w:sz w:val="28"/>
              </w:rPr>
              <w:t xml:space="preserve"> - </w:t>
            </w:r>
            <w:r w:rsidRPr="00635A00">
              <w:rPr>
                <w:rFonts w:ascii="Times New Roman" w:hAnsi="Times New Roman"/>
                <w:b/>
                <w:bCs/>
                <w:sz w:val="28"/>
              </w:rPr>
              <w:t xml:space="preserve">Ordenamiento del territorio alrededor del </w:t>
            </w:r>
            <w:r w:rsidRPr="00635A00">
              <w:rPr>
                <w:rFonts w:ascii="Times New Roman" w:hAnsi="Times New Roman"/>
                <w:b/>
                <w:bCs/>
                <w:sz w:val="28"/>
              </w:rPr>
              <w:t>a</w:t>
            </w:r>
            <w:r w:rsidRPr="00635A00">
              <w:rPr>
                <w:rFonts w:ascii="Times New Roman" w:hAnsi="Times New Roman"/>
                <w:b/>
                <w:bCs/>
                <w:sz w:val="28"/>
              </w:rPr>
              <w:t xml:space="preserve">gua y </w:t>
            </w:r>
            <w:r w:rsidRPr="00635A00">
              <w:rPr>
                <w:rFonts w:ascii="Times New Roman" w:hAnsi="Times New Roman"/>
                <w:b/>
                <w:bCs/>
                <w:sz w:val="28"/>
              </w:rPr>
              <w:t>j</w:t>
            </w:r>
            <w:r w:rsidRPr="00635A00">
              <w:rPr>
                <w:rFonts w:ascii="Times New Roman" w:hAnsi="Times New Roman"/>
                <w:b/>
                <w:bCs/>
                <w:sz w:val="28"/>
              </w:rPr>
              <w:t xml:space="preserve">usticia </w:t>
            </w:r>
            <w:r w:rsidRPr="00635A00">
              <w:rPr>
                <w:rFonts w:ascii="Times New Roman" w:hAnsi="Times New Roman"/>
                <w:b/>
                <w:bCs/>
                <w:sz w:val="28"/>
              </w:rPr>
              <w:t>a</w:t>
            </w:r>
            <w:r w:rsidRPr="00635A00">
              <w:rPr>
                <w:rFonts w:ascii="Times New Roman" w:hAnsi="Times New Roman"/>
                <w:b/>
                <w:bCs/>
                <w:sz w:val="28"/>
              </w:rPr>
              <w:t>mbiental</w:t>
            </w:r>
          </w:p>
        </w:tc>
        <w:tc>
          <w:tcPr>
            <w:tcW w:w="5893" w:type="dxa"/>
          </w:tcPr>
          <w:p w:rsidR="005F651C" w:rsidRPr="00635A00" w:rsidRDefault="00635A00" w:rsidP="006A381D">
            <w:pPr>
              <w:rPr>
                <w:rFonts w:ascii="Times New Roman" w:hAnsi="Times New Roman"/>
                <w:sz w:val="28"/>
              </w:rPr>
            </w:pPr>
            <w:r w:rsidRPr="00635A00">
              <w:rPr>
                <w:rFonts w:ascii="Times New Roman" w:hAnsi="Times New Roman"/>
                <w:sz w:val="28"/>
              </w:rPr>
              <w:t>Sección I</w:t>
            </w:r>
            <w:r w:rsidRPr="00635A00">
              <w:rPr>
                <w:rFonts w:ascii="Times New Roman" w:hAnsi="Times New Roman"/>
                <w:sz w:val="28"/>
              </w:rPr>
              <w:t xml:space="preserve"> - </w:t>
            </w:r>
            <w:r w:rsidRPr="00635A00">
              <w:rPr>
                <w:rFonts w:ascii="Times New Roman" w:hAnsi="Times New Roman"/>
                <w:sz w:val="28"/>
              </w:rPr>
              <w:t>Justicia Ambiental y Gobernanza inclusiva</w:t>
            </w:r>
          </w:p>
        </w:tc>
      </w:tr>
      <w:tr w:rsidR="00301B43" w:rsidRPr="00635A00" w:rsidTr="00D254FA">
        <w:tc>
          <w:tcPr>
            <w:tcW w:w="3085" w:type="dxa"/>
            <w:vMerge/>
            <w:vAlign w:val="center"/>
          </w:tcPr>
          <w:p w:rsidR="005F651C" w:rsidRPr="00635A00" w:rsidRDefault="00635A00" w:rsidP="005F651C">
            <w:pPr>
              <w:rPr>
                <w:rFonts w:ascii="Times New Roman" w:hAnsi="Times New Roman"/>
                <w:sz w:val="28"/>
              </w:rPr>
            </w:pPr>
          </w:p>
        </w:tc>
        <w:tc>
          <w:tcPr>
            <w:tcW w:w="5893" w:type="dxa"/>
          </w:tcPr>
          <w:p w:rsidR="005F651C" w:rsidRPr="00635A00" w:rsidRDefault="00635A00" w:rsidP="006A381D">
            <w:pPr>
              <w:rPr>
                <w:rFonts w:ascii="Times New Roman" w:hAnsi="Times New Roman"/>
                <w:sz w:val="28"/>
              </w:rPr>
            </w:pPr>
            <w:r w:rsidRPr="00635A00">
              <w:rPr>
                <w:rFonts w:ascii="Times New Roman" w:hAnsi="Times New Roman"/>
                <w:sz w:val="28"/>
              </w:rPr>
              <w:t>Sección II</w:t>
            </w:r>
            <w:r w:rsidRPr="00635A00">
              <w:rPr>
                <w:rFonts w:ascii="Times New Roman" w:hAnsi="Times New Roman"/>
                <w:sz w:val="28"/>
              </w:rPr>
              <w:t xml:space="preserve"> - </w:t>
            </w:r>
            <w:r w:rsidRPr="00635A00">
              <w:rPr>
                <w:rFonts w:ascii="Times New Roman" w:hAnsi="Times New Roman"/>
                <w:sz w:val="28"/>
              </w:rPr>
              <w:t>El agua y las personas, en el centro del ordenamiento territorial</w:t>
            </w:r>
          </w:p>
        </w:tc>
      </w:tr>
      <w:tr w:rsidR="00301B43" w:rsidRPr="00635A00" w:rsidTr="00D254FA">
        <w:tc>
          <w:tcPr>
            <w:tcW w:w="3085" w:type="dxa"/>
            <w:vMerge/>
            <w:vAlign w:val="center"/>
          </w:tcPr>
          <w:p w:rsidR="005F651C" w:rsidRPr="00635A00" w:rsidRDefault="00635A00" w:rsidP="005F651C">
            <w:pPr>
              <w:rPr>
                <w:rFonts w:ascii="Times New Roman" w:hAnsi="Times New Roman"/>
                <w:sz w:val="28"/>
              </w:rPr>
            </w:pPr>
          </w:p>
        </w:tc>
        <w:tc>
          <w:tcPr>
            <w:tcW w:w="5893" w:type="dxa"/>
          </w:tcPr>
          <w:p w:rsidR="005F651C" w:rsidRPr="00635A00" w:rsidRDefault="00635A00" w:rsidP="006A381D">
            <w:pPr>
              <w:rPr>
                <w:rFonts w:ascii="Times New Roman" w:hAnsi="Times New Roman"/>
                <w:sz w:val="28"/>
              </w:rPr>
            </w:pPr>
            <w:r w:rsidRPr="00635A00">
              <w:rPr>
                <w:rFonts w:ascii="Times New Roman" w:hAnsi="Times New Roman"/>
                <w:sz w:val="28"/>
              </w:rPr>
              <w:t>Sección III</w:t>
            </w:r>
            <w:r w:rsidRPr="00635A00">
              <w:rPr>
                <w:rFonts w:ascii="Times New Roman" w:hAnsi="Times New Roman"/>
                <w:sz w:val="28"/>
              </w:rPr>
              <w:t xml:space="preserve"> - </w:t>
            </w:r>
            <w:r w:rsidRPr="00635A00">
              <w:rPr>
                <w:rFonts w:ascii="Times New Roman" w:hAnsi="Times New Roman"/>
                <w:sz w:val="28"/>
              </w:rPr>
              <w:t xml:space="preserve">Coordinación de los instrumentos de </w:t>
            </w:r>
            <w:r w:rsidRPr="00635A00">
              <w:rPr>
                <w:rFonts w:ascii="Times New Roman" w:hAnsi="Times New Roman"/>
                <w:sz w:val="28"/>
              </w:rPr>
              <w:t>planificación de territorios vitales</w:t>
            </w:r>
          </w:p>
        </w:tc>
      </w:tr>
      <w:tr w:rsidR="00301B43" w:rsidRPr="00635A00" w:rsidTr="00D254FA">
        <w:tc>
          <w:tcPr>
            <w:tcW w:w="3085" w:type="dxa"/>
            <w:vMerge/>
            <w:vAlign w:val="center"/>
          </w:tcPr>
          <w:p w:rsidR="005F651C" w:rsidRPr="00635A00" w:rsidRDefault="00635A00" w:rsidP="005F651C">
            <w:pPr>
              <w:rPr>
                <w:rFonts w:ascii="Times New Roman" w:hAnsi="Times New Roman"/>
                <w:sz w:val="28"/>
              </w:rPr>
            </w:pPr>
          </w:p>
        </w:tc>
        <w:tc>
          <w:tcPr>
            <w:tcW w:w="5893" w:type="dxa"/>
          </w:tcPr>
          <w:p w:rsidR="005F651C" w:rsidRPr="00635A00" w:rsidRDefault="00635A00" w:rsidP="006A381D">
            <w:pPr>
              <w:rPr>
                <w:rFonts w:ascii="Times New Roman" w:hAnsi="Times New Roman"/>
                <w:sz w:val="28"/>
              </w:rPr>
            </w:pPr>
            <w:r w:rsidRPr="00635A00">
              <w:rPr>
                <w:rFonts w:ascii="Times New Roman" w:hAnsi="Times New Roman"/>
                <w:sz w:val="28"/>
              </w:rPr>
              <w:t>Sección IV</w:t>
            </w:r>
            <w:r w:rsidRPr="00635A00">
              <w:rPr>
                <w:rFonts w:ascii="Times New Roman" w:hAnsi="Times New Roman"/>
                <w:sz w:val="28"/>
              </w:rPr>
              <w:t xml:space="preserve"> - </w:t>
            </w:r>
            <w:r w:rsidRPr="00635A00">
              <w:rPr>
                <w:rFonts w:ascii="Times New Roman" w:hAnsi="Times New Roman"/>
                <w:sz w:val="28"/>
              </w:rPr>
              <w:t>Capacidades de los gobiernos locales y las comunidades para la toma de decisiones de ordenamiento y planificación territorial</w:t>
            </w:r>
          </w:p>
        </w:tc>
      </w:tr>
      <w:tr w:rsidR="00301B43" w:rsidRPr="00635A00" w:rsidTr="00D254FA">
        <w:tc>
          <w:tcPr>
            <w:tcW w:w="3085" w:type="dxa"/>
            <w:vMerge/>
            <w:vAlign w:val="center"/>
          </w:tcPr>
          <w:p w:rsidR="005F651C" w:rsidRPr="00635A00" w:rsidRDefault="00635A00" w:rsidP="005F651C">
            <w:pPr>
              <w:rPr>
                <w:rFonts w:ascii="Times New Roman" w:hAnsi="Times New Roman"/>
                <w:sz w:val="28"/>
              </w:rPr>
            </w:pPr>
          </w:p>
        </w:tc>
        <w:tc>
          <w:tcPr>
            <w:tcW w:w="5893" w:type="dxa"/>
          </w:tcPr>
          <w:p w:rsidR="005F651C" w:rsidRPr="00635A00" w:rsidRDefault="00635A00" w:rsidP="006A381D">
            <w:pPr>
              <w:rPr>
                <w:rFonts w:ascii="Times New Roman" w:hAnsi="Times New Roman"/>
                <w:sz w:val="28"/>
              </w:rPr>
            </w:pPr>
            <w:r w:rsidRPr="00635A00">
              <w:rPr>
                <w:rFonts w:ascii="Times New Roman" w:hAnsi="Times New Roman"/>
                <w:sz w:val="28"/>
              </w:rPr>
              <w:t>Sección V</w:t>
            </w:r>
            <w:r w:rsidRPr="00635A00">
              <w:rPr>
                <w:rFonts w:ascii="Times New Roman" w:hAnsi="Times New Roman"/>
                <w:sz w:val="28"/>
              </w:rPr>
              <w:t xml:space="preserve"> - </w:t>
            </w:r>
            <w:r w:rsidRPr="00635A00">
              <w:rPr>
                <w:rFonts w:ascii="Times New Roman" w:hAnsi="Times New Roman"/>
                <w:sz w:val="28"/>
              </w:rPr>
              <w:t>Consolidación del catastro multipropósito y tránsito hacia el Si</w:t>
            </w:r>
            <w:r w:rsidRPr="00635A00">
              <w:rPr>
                <w:rFonts w:ascii="Times New Roman" w:hAnsi="Times New Roman"/>
                <w:sz w:val="28"/>
              </w:rPr>
              <w:t>stema de Administración del Territori</w:t>
            </w:r>
            <w:r w:rsidRPr="00635A00">
              <w:rPr>
                <w:rFonts w:ascii="Times New Roman" w:hAnsi="Times New Roman"/>
                <w:sz w:val="28"/>
              </w:rPr>
              <w:t>o</w:t>
            </w:r>
          </w:p>
        </w:tc>
      </w:tr>
      <w:tr w:rsidR="00301B43" w:rsidRPr="00635A00" w:rsidTr="00D254FA">
        <w:tc>
          <w:tcPr>
            <w:tcW w:w="3085" w:type="dxa"/>
            <w:vMerge/>
            <w:vAlign w:val="center"/>
          </w:tcPr>
          <w:p w:rsidR="005F651C" w:rsidRPr="00635A00" w:rsidRDefault="00635A00" w:rsidP="005F651C">
            <w:pPr>
              <w:rPr>
                <w:rFonts w:ascii="Times New Roman" w:hAnsi="Times New Roman"/>
                <w:sz w:val="28"/>
              </w:rPr>
            </w:pPr>
          </w:p>
        </w:tc>
        <w:tc>
          <w:tcPr>
            <w:tcW w:w="5893" w:type="dxa"/>
          </w:tcPr>
          <w:p w:rsidR="005F651C" w:rsidRPr="00635A00" w:rsidRDefault="00635A00" w:rsidP="006A381D">
            <w:pPr>
              <w:rPr>
                <w:rFonts w:ascii="Times New Roman" w:hAnsi="Times New Roman"/>
                <w:b/>
                <w:bCs/>
                <w:sz w:val="28"/>
              </w:rPr>
            </w:pPr>
            <w:r w:rsidRPr="00635A00">
              <w:rPr>
                <w:rFonts w:ascii="Times New Roman" w:hAnsi="Times New Roman"/>
                <w:b/>
                <w:bCs/>
                <w:sz w:val="28"/>
              </w:rPr>
              <w:t>Sección VI</w:t>
            </w:r>
            <w:r w:rsidRPr="00635A00">
              <w:rPr>
                <w:rFonts w:ascii="Times New Roman" w:hAnsi="Times New Roman"/>
                <w:b/>
                <w:bCs/>
                <w:sz w:val="28"/>
              </w:rPr>
              <w:t xml:space="preserve"> - </w:t>
            </w:r>
            <w:r w:rsidRPr="00635A00">
              <w:rPr>
                <w:rFonts w:ascii="Times New Roman" w:hAnsi="Times New Roman"/>
                <w:b/>
                <w:bCs/>
                <w:sz w:val="28"/>
              </w:rPr>
              <w:t>Tenencia en las zonas rural, urbana y suburbana formalizada, adjudicada y regularizada</w:t>
            </w:r>
          </w:p>
        </w:tc>
      </w:tr>
      <w:tr w:rsidR="00301B43" w:rsidRPr="00635A00" w:rsidTr="00D254FA">
        <w:tc>
          <w:tcPr>
            <w:tcW w:w="3085" w:type="dxa"/>
            <w:vMerge w:val="restart"/>
            <w:vAlign w:val="center"/>
          </w:tcPr>
          <w:p w:rsidR="00EB0811" w:rsidRPr="00635A00" w:rsidRDefault="00635A00" w:rsidP="005C7E04">
            <w:pPr>
              <w:jc w:val="both"/>
              <w:rPr>
                <w:rFonts w:ascii="Times New Roman" w:hAnsi="Times New Roman"/>
                <w:sz w:val="28"/>
              </w:rPr>
            </w:pPr>
            <w:r w:rsidRPr="00635A00">
              <w:rPr>
                <w:rFonts w:ascii="Times New Roman" w:hAnsi="Times New Roman"/>
                <w:sz w:val="28"/>
              </w:rPr>
              <w:t>Capítulo III</w:t>
            </w:r>
            <w:r w:rsidRPr="00635A00">
              <w:rPr>
                <w:rFonts w:ascii="Times New Roman" w:hAnsi="Times New Roman"/>
                <w:sz w:val="28"/>
              </w:rPr>
              <w:t xml:space="preserve"> - </w:t>
            </w:r>
            <w:r w:rsidRPr="00635A00">
              <w:rPr>
                <w:rFonts w:ascii="Times New Roman" w:hAnsi="Times New Roman"/>
                <w:sz w:val="28"/>
              </w:rPr>
              <w:t>Seguridad humana y justicia social</w:t>
            </w:r>
          </w:p>
        </w:tc>
        <w:tc>
          <w:tcPr>
            <w:tcW w:w="5893" w:type="dxa"/>
          </w:tcPr>
          <w:p w:rsidR="00EB0811" w:rsidRPr="00635A00" w:rsidRDefault="00635A00" w:rsidP="006A381D">
            <w:pPr>
              <w:rPr>
                <w:rFonts w:ascii="Times New Roman" w:hAnsi="Times New Roman"/>
                <w:sz w:val="28"/>
              </w:rPr>
            </w:pPr>
            <w:r w:rsidRPr="00635A00">
              <w:rPr>
                <w:rFonts w:ascii="Times New Roman" w:hAnsi="Times New Roman"/>
                <w:sz w:val="28"/>
              </w:rPr>
              <w:t>Sección I</w:t>
            </w:r>
            <w:r w:rsidRPr="00635A00">
              <w:rPr>
                <w:rFonts w:ascii="Times New Roman" w:hAnsi="Times New Roman"/>
                <w:sz w:val="28"/>
              </w:rPr>
              <w:t xml:space="preserve"> - </w:t>
            </w:r>
            <w:r w:rsidRPr="00635A00">
              <w:rPr>
                <w:rFonts w:ascii="Times New Roman" w:hAnsi="Times New Roman"/>
                <w:sz w:val="28"/>
              </w:rPr>
              <w:t xml:space="preserve">Hacia un sistema de protección social con cobertura </w:t>
            </w:r>
            <w:r w:rsidRPr="00635A00">
              <w:rPr>
                <w:rFonts w:ascii="Times New Roman" w:hAnsi="Times New Roman"/>
                <w:sz w:val="28"/>
              </w:rPr>
              <w:t>universal de riesgos. Cuidado como pilar del bienestar</w:t>
            </w:r>
          </w:p>
        </w:tc>
      </w:tr>
      <w:tr w:rsidR="00301B43" w:rsidRPr="00635A00" w:rsidTr="00D254FA">
        <w:tc>
          <w:tcPr>
            <w:tcW w:w="3085" w:type="dxa"/>
            <w:vMerge/>
            <w:vAlign w:val="center"/>
          </w:tcPr>
          <w:p w:rsidR="00EB0811" w:rsidRPr="00635A00" w:rsidRDefault="00635A00" w:rsidP="005F651C">
            <w:pPr>
              <w:rPr>
                <w:rFonts w:ascii="Times New Roman" w:hAnsi="Times New Roman"/>
                <w:sz w:val="28"/>
              </w:rPr>
            </w:pPr>
          </w:p>
        </w:tc>
        <w:tc>
          <w:tcPr>
            <w:tcW w:w="5893" w:type="dxa"/>
          </w:tcPr>
          <w:p w:rsidR="00EB0811" w:rsidRPr="00635A00" w:rsidRDefault="00635A00" w:rsidP="006A381D">
            <w:pPr>
              <w:rPr>
                <w:rFonts w:ascii="Times New Roman" w:hAnsi="Times New Roman"/>
                <w:sz w:val="28"/>
              </w:rPr>
            </w:pPr>
            <w:r w:rsidRPr="00635A00">
              <w:rPr>
                <w:rFonts w:ascii="Times New Roman" w:hAnsi="Times New Roman"/>
                <w:sz w:val="28"/>
              </w:rPr>
              <w:t>Sección II</w:t>
            </w:r>
            <w:r w:rsidRPr="00635A00">
              <w:rPr>
                <w:rFonts w:ascii="Times New Roman" w:hAnsi="Times New Roman"/>
                <w:sz w:val="28"/>
              </w:rPr>
              <w:t xml:space="preserve"> - </w:t>
            </w:r>
            <w:r w:rsidRPr="00635A00">
              <w:rPr>
                <w:rFonts w:ascii="Times New Roman" w:hAnsi="Times New Roman"/>
                <w:sz w:val="28"/>
              </w:rPr>
              <w:t>Inclusión productiva con trabajo decente y apoyo a la inserción productiva</w:t>
            </w:r>
          </w:p>
        </w:tc>
      </w:tr>
      <w:tr w:rsidR="00301B43" w:rsidRPr="00635A00" w:rsidTr="00D254FA">
        <w:tc>
          <w:tcPr>
            <w:tcW w:w="3085" w:type="dxa"/>
            <w:vMerge/>
            <w:vAlign w:val="center"/>
          </w:tcPr>
          <w:p w:rsidR="00EB0811" w:rsidRPr="00635A00" w:rsidRDefault="00635A00" w:rsidP="005F651C">
            <w:pPr>
              <w:rPr>
                <w:rFonts w:ascii="Times New Roman" w:hAnsi="Times New Roman"/>
                <w:sz w:val="28"/>
              </w:rPr>
            </w:pPr>
          </w:p>
        </w:tc>
        <w:tc>
          <w:tcPr>
            <w:tcW w:w="5893" w:type="dxa"/>
          </w:tcPr>
          <w:p w:rsidR="00EB0811" w:rsidRPr="00635A00" w:rsidRDefault="00635A00" w:rsidP="006A381D">
            <w:pPr>
              <w:rPr>
                <w:rFonts w:ascii="Times New Roman" w:hAnsi="Times New Roman"/>
                <w:sz w:val="28"/>
              </w:rPr>
            </w:pPr>
            <w:r w:rsidRPr="00635A00">
              <w:rPr>
                <w:rFonts w:ascii="Times New Roman" w:hAnsi="Times New Roman"/>
                <w:sz w:val="28"/>
              </w:rPr>
              <w:t>Sección III</w:t>
            </w:r>
            <w:r w:rsidRPr="00635A00">
              <w:rPr>
                <w:rFonts w:ascii="Times New Roman" w:hAnsi="Times New Roman"/>
                <w:sz w:val="28"/>
              </w:rPr>
              <w:t xml:space="preserve"> - </w:t>
            </w:r>
            <w:r w:rsidRPr="00635A00">
              <w:rPr>
                <w:rFonts w:ascii="Times New Roman" w:hAnsi="Times New Roman"/>
                <w:sz w:val="28"/>
              </w:rPr>
              <w:t>Garantía de derechos como fundamento de la dignidad humana y condiciones para el bienestar</w:t>
            </w:r>
          </w:p>
        </w:tc>
      </w:tr>
      <w:tr w:rsidR="00301B43" w:rsidRPr="00635A00" w:rsidTr="00D254FA">
        <w:tc>
          <w:tcPr>
            <w:tcW w:w="3085" w:type="dxa"/>
            <w:vMerge/>
            <w:vAlign w:val="center"/>
          </w:tcPr>
          <w:p w:rsidR="00EB0811" w:rsidRPr="00635A00" w:rsidRDefault="00635A00" w:rsidP="005F651C">
            <w:pPr>
              <w:rPr>
                <w:rFonts w:ascii="Times New Roman" w:hAnsi="Times New Roman"/>
                <w:sz w:val="28"/>
              </w:rPr>
            </w:pPr>
          </w:p>
        </w:tc>
        <w:tc>
          <w:tcPr>
            <w:tcW w:w="5893" w:type="dxa"/>
          </w:tcPr>
          <w:p w:rsidR="00EB0811" w:rsidRPr="00635A00" w:rsidRDefault="00635A00" w:rsidP="006A381D">
            <w:pPr>
              <w:rPr>
                <w:rFonts w:ascii="Times New Roman" w:hAnsi="Times New Roman"/>
                <w:sz w:val="28"/>
              </w:rPr>
            </w:pPr>
            <w:r w:rsidRPr="00635A00">
              <w:rPr>
                <w:rFonts w:ascii="Times New Roman" w:hAnsi="Times New Roman"/>
                <w:sz w:val="28"/>
              </w:rPr>
              <w:t>Se</w:t>
            </w:r>
            <w:r w:rsidRPr="00635A00">
              <w:rPr>
                <w:rFonts w:ascii="Times New Roman" w:hAnsi="Times New Roman"/>
                <w:sz w:val="28"/>
              </w:rPr>
              <w:t>cción IV</w:t>
            </w:r>
            <w:r w:rsidRPr="00635A00">
              <w:rPr>
                <w:rFonts w:ascii="Times New Roman" w:hAnsi="Times New Roman"/>
                <w:sz w:val="28"/>
              </w:rPr>
              <w:t xml:space="preserve"> - </w:t>
            </w:r>
            <w:r w:rsidRPr="00635A00">
              <w:rPr>
                <w:rFonts w:ascii="Times New Roman" w:hAnsi="Times New Roman"/>
                <w:sz w:val="28"/>
              </w:rPr>
              <w:t>Protección de la vida y control institucional de los territorios para la construcción de una sociedad segura y sin violencias</w:t>
            </w:r>
          </w:p>
        </w:tc>
      </w:tr>
      <w:tr w:rsidR="00301B43" w:rsidRPr="00635A00" w:rsidTr="00DF367B">
        <w:tc>
          <w:tcPr>
            <w:tcW w:w="8978" w:type="dxa"/>
            <w:gridSpan w:val="2"/>
            <w:vAlign w:val="center"/>
          </w:tcPr>
          <w:p w:rsidR="00EB0811" w:rsidRPr="00635A00" w:rsidRDefault="00635A00" w:rsidP="005C7E04">
            <w:pPr>
              <w:jc w:val="both"/>
              <w:rPr>
                <w:rFonts w:ascii="Times New Roman" w:hAnsi="Times New Roman"/>
                <w:sz w:val="28"/>
              </w:rPr>
            </w:pPr>
            <w:r w:rsidRPr="00635A00">
              <w:rPr>
                <w:rFonts w:ascii="Times New Roman" w:hAnsi="Times New Roman"/>
                <w:sz w:val="28"/>
              </w:rPr>
              <w:t>Capítulo IV - Derecho humano a la alimentación</w:t>
            </w:r>
          </w:p>
        </w:tc>
      </w:tr>
      <w:tr w:rsidR="00301B43" w:rsidRPr="00635A00" w:rsidTr="00D254FA">
        <w:tc>
          <w:tcPr>
            <w:tcW w:w="3085" w:type="dxa"/>
            <w:vMerge w:val="restart"/>
            <w:vAlign w:val="center"/>
          </w:tcPr>
          <w:p w:rsidR="00581FFA" w:rsidRPr="00635A00" w:rsidRDefault="00635A00" w:rsidP="005C7E04">
            <w:pPr>
              <w:jc w:val="both"/>
              <w:rPr>
                <w:rFonts w:ascii="Times New Roman" w:hAnsi="Times New Roman"/>
                <w:sz w:val="28"/>
                <w:lang w:val="es-CO"/>
              </w:rPr>
            </w:pPr>
            <w:r w:rsidRPr="00635A00">
              <w:rPr>
                <w:rFonts w:ascii="Times New Roman" w:hAnsi="Times New Roman"/>
                <w:sz w:val="28"/>
                <w:lang w:val="es-CO"/>
              </w:rPr>
              <w:t>Capítulo V</w:t>
            </w:r>
            <w:r w:rsidRPr="00635A00">
              <w:rPr>
                <w:rFonts w:ascii="Times New Roman" w:hAnsi="Times New Roman"/>
                <w:sz w:val="28"/>
                <w:lang w:val="es-CO"/>
              </w:rPr>
              <w:t xml:space="preserve"> - </w:t>
            </w:r>
            <w:r w:rsidRPr="00635A00">
              <w:rPr>
                <w:rFonts w:ascii="Times New Roman" w:hAnsi="Times New Roman"/>
                <w:sz w:val="28"/>
                <w:lang w:val="es-CO"/>
              </w:rPr>
              <w:t xml:space="preserve">Transformación productiva, internacionalización y acción </w:t>
            </w:r>
            <w:r w:rsidRPr="00635A00">
              <w:rPr>
                <w:rFonts w:ascii="Times New Roman" w:hAnsi="Times New Roman"/>
                <w:sz w:val="28"/>
                <w:lang w:val="es-CO"/>
              </w:rPr>
              <w:t>climática</w:t>
            </w:r>
          </w:p>
        </w:tc>
        <w:tc>
          <w:tcPr>
            <w:tcW w:w="5893" w:type="dxa"/>
          </w:tcPr>
          <w:p w:rsidR="00581FFA" w:rsidRPr="00635A00" w:rsidRDefault="00635A00" w:rsidP="006A381D">
            <w:pPr>
              <w:rPr>
                <w:rFonts w:ascii="Times New Roman" w:hAnsi="Times New Roman"/>
                <w:sz w:val="28"/>
              </w:rPr>
            </w:pPr>
            <w:r w:rsidRPr="00635A00">
              <w:rPr>
                <w:rFonts w:ascii="Times New Roman" w:hAnsi="Times New Roman"/>
                <w:sz w:val="28"/>
              </w:rPr>
              <w:t>Sección I</w:t>
            </w:r>
            <w:r w:rsidRPr="00635A00">
              <w:rPr>
                <w:rFonts w:ascii="Times New Roman" w:hAnsi="Times New Roman"/>
                <w:sz w:val="28"/>
              </w:rPr>
              <w:t xml:space="preserve"> - </w:t>
            </w:r>
            <w:r w:rsidRPr="00635A00">
              <w:rPr>
                <w:rFonts w:ascii="Times New Roman" w:hAnsi="Times New Roman"/>
                <w:sz w:val="28"/>
              </w:rPr>
              <w:t>Transición energética segura, confiable y eficiente para alcanzar carbono neutralidad y consolidar territorios resilientes al clima</w:t>
            </w:r>
          </w:p>
        </w:tc>
      </w:tr>
      <w:tr w:rsidR="00301B43" w:rsidRPr="00635A00" w:rsidTr="00D254FA">
        <w:tc>
          <w:tcPr>
            <w:tcW w:w="3085" w:type="dxa"/>
            <w:vMerge/>
            <w:vAlign w:val="center"/>
          </w:tcPr>
          <w:p w:rsidR="00581FFA" w:rsidRPr="00635A00" w:rsidRDefault="00635A00" w:rsidP="005F651C">
            <w:pPr>
              <w:rPr>
                <w:rFonts w:ascii="Times New Roman" w:hAnsi="Times New Roman"/>
                <w:sz w:val="28"/>
              </w:rPr>
            </w:pPr>
          </w:p>
        </w:tc>
        <w:tc>
          <w:tcPr>
            <w:tcW w:w="5893" w:type="dxa"/>
          </w:tcPr>
          <w:p w:rsidR="00581FFA" w:rsidRPr="00635A00" w:rsidRDefault="00635A00" w:rsidP="006A381D">
            <w:pPr>
              <w:rPr>
                <w:rFonts w:ascii="Times New Roman" w:hAnsi="Times New Roman"/>
                <w:sz w:val="28"/>
              </w:rPr>
            </w:pPr>
            <w:r w:rsidRPr="00635A00">
              <w:rPr>
                <w:rFonts w:ascii="Times New Roman" w:hAnsi="Times New Roman"/>
                <w:sz w:val="28"/>
              </w:rPr>
              <w:t>Sección II</w:t>
            </w:r>
            <w:r w:rsidRPr="00635A00">
              <w:rPr>
                <w:rFonts w:ascii="Times New Roman" w:hAnsi="Times New Roman"/>
                <w:sz w:val="28"/>
              </w:rPr>
              <w:t xml:space="preserve"> - </w:t>
            </w:r>
            <w:r w:rsidRPr="00635A00">
              <w:rPr>
                <w:rFonts w:ascii="Times New Roman" w:hAnsi="Times New Roman"/>
                <w:sz w:val="28"/>
              </w:rPr>
              <w:t>Economía productiva a través de la reindustrialización y la bioeconomía</w:t>
            </w:r>
          </w:p>
        </w:tc>
      </w:tr>
      <w:tr w:rsidR="00301B43" w:rsidRPr="00635A00" w:rsidTr="00D254FA">
        <w:tc>
          <w:tcPr>
            <w:tcW w:w="3085" w:type="dxa"/>
            <w:vMerge/>
            <w:vAlign w:val="center"/>
          </w:tcPr>
          <w:p w:rsidR="00581FFA" w:rsidRPr="00635A00" w:rsidRDefault="00635A00" w:rsidP="005F651C">
            <w:pPr>
              <w:rPr>
                <w:rFonts w:ascii="Times New Roman" w:hAnsi="Times New Roman"/>
                <w:sz w:val="28"/>
              </w:rPr>
            </w:pPr>
          </w:p>
        </w:tc>
        <w:tc>
          <w:tcPr>
            <w:tcW w:w="5893" w:type="dxa"/>
          </w:tcPr>
          <w:p w:rsidR="00581FFA" w:rsidRPr="00635A00" w:rsidRDefault="00635A00" w:rsidP="006A381D">
            <w:pPr>
              <w:rPr>
                <w:rFonts w:ascii="Times New Roman" w:hAnsi="Times New Roman"/>
                <w:sz w:val="28"/>
              </w:rPr>
            </w:pPr>
            <w:r w:rsidRPr="00635A00">
              <w:rPr>
                <w:rFonts w:ascii="Times New Roman" w:hAnsi="Times New Roman"/>
                <w:sz w:val="28"/>
              </w:rPr>
              <w:t>Sección III</w:t>
            </w:r>
            <w:r w:rsidRPr="00635A00">
              <w:rPr>
                <w:rFonts w:ascii="Times New Roman" w:hAnsi="Times New Roman"/>
                <w:sz w:val="28"/>
              </w:rPr>
              <w:t xml:space="preserve"> - </w:t>
            </w:r>
            <w:r w:rsidRPr="00635A00">
              <w:rPr>
                <w:rFonts w:ascii="Times New Roman" w:hAnsi="Times New Roman"/>
                <w:sz w:val="28"/>
              </w:rPr>
              <w:t>Gobernanza inclusiva y financiamiento del desarrollo como mecanismo habilitante para una economía productiva</w:t>
            </w:r>
          </w:p>
        </w:tc>
      </w:tr>
      <w:tr w:rsidR="00301B43" w:rsidRPr="00635A00" w:rsidTr="00D254FA">
        <w:tc>
          <w:tcPr>
            <w:tcW w:w="3085" w:type="dxa"/>
            <w:vMerge w:val="restart"/>
            <w:vAlign w:val="center"/>
          </w:tcPr>
          <w:p w:rsidR="006A381D" w:rsidRPr="00635A00" w:rsidRDefault="00635A00" w:rsidP="005C7E04">
            <w:pPr>
              <w:jc w:val="both"/>
              <w:rPr>
                <w:rFonts w:ascii="Times New Roman" w:hAnsi="Times New Roman"/>
                <w:sz w:val="28"/>
              </w:rPr>
            </w:pPr>
            <w:r w:rsidRPr="00635A00">
              <w:rPr>
                <w:rFonts w:ascii="Times New Roman" w:hAnsi="Times New Roman"/>
                <w:sz w:val="28"/>
              </w:rPr>
              <w:t>Capítulo VI</w:t>
            </w:r>
            <w:r w:rsidRPr="00635A00">
              <w:rPr>
                <w:rFonts w:ascii="Times New Roman" w:hAnsi="Times New Roman"/>
                <w:sz w:val="28"/>
              </w:rPr>
              <w:t xml:space="preserve"> - </w:t>
            </w:r>
            <w:r w:rsidRPr="00635A00">
              <w:rPr>
                <w:rFonts w:ascii="Times New Roman" w:hAnsi="Times New Roman"/>
                <w:sz w:val="28"/>
              </w:rPr>
              <w:t>Convergencia regional</w:t>
            </w:r>
          </w:p>
        </w:tc>
        <w:tc>
          <w:tcPr>
            <w:tcW w:w="5893" w:type="dxa"/>
          </w:tcPr>
          <w:p w:rsidR="006A381D" w:rsidRPr="00635A00" w:rsidRDefault="00635A00" w:rsidP="006A381D">
            <w:pPr>
              <w:rPr>
                <w:rFonts w:ascii="Times New Roman" w:hAnsi="Times New Roman"/>
                <w:sz w:val="28"/>
              </w:rPr>
            </w:pPr>
            <w:r w:rsidRPr="00635A00">
              <w:rPr>
                <w:rFonts w:ascii="Times New Roman" w:hAnsi="Times New Roman"/>
                <w:sz w:val="28"/>
              </w:rPr>
              <w:t>Sección I - Construcción e implementación de modelos de desarrollo supramunicipales para el fortalecimiento</w:t>
            </w:r>
            <w:r w:rsidRPr="00635A00">
              <w:rPr>
                <w:rFonts w:ascii="Times New Roman" w:hAnsi="Times New Roman"/>
                <w:sz w:val="28"/>
              </w:rPr>
              <w:t xml:space="preserve"> de vínculos urbano rurales y la integración de los territorios</w:t>
            </w:r>
          </w:p>
        </w:tc>
      </w:tr>
      <w:tr w:rsidR="00301B43" w:rsidRPr="00635A00" w:rsidTr="00D254FA">
        <w:tc>
          <w:tcPr>
            <w:tcW w:w="3085" w:type="dxa"/>
            <w:vMerge/>
            <w:vAlign w:val="center"/>
          </w:tcPr>
          <w:p w:rsidR="006A381D" w:rsidRPr="00635A00" w:rsidRDefault="00635A00" w:rsidP="005F651C">
            <w:pPr>
              <w:rPr>
                <w:rFonts w:ascii="Times New Roman" w:hAnsi="Times New Roman"/>
                <w:sz w:val="28"/>
              </w:rPr>
            </w:pPr>
          </w:p>
        </w:tc>
        <w:tc>
          <w:tcPr>
            <w:tcW w:w="5893" w:type="dxa"/>
          </w:tcPr>
          <w:p w:rsidR="006A381D" w:rsidRPr="00635A00" w:rsidRDefault="00635A00" w:rsidP="006A381D">
            <w:pPr>
              <w:rPr>
                <w:rFonts w:ascii="Times New Roman" w:hAnsi="Times New Roman"/>
                <w:sz w:val="28"/>
              </w:rPr>
            </w:pPr>
            <w:r w:rsidRPr="00635A00">
              <w:rPr>
                <w:rFonts w:ascii="Times New Roman" w:hAnsi="Times New Roman"/>
                <w:sz w:val="28"/>
              </w:rPr>
              <w:t>Sección II - Territorios más humanos: hábitat integral</w:t>
            </w:r>
          </w:p>
        </w:tc>
      </w:tr>
      <w:tr w:rsidR="00301B43" w:rsidRPr="00635A00" w:rsidTr="00D254FA">
        <w:tc>
          <w:tcPr>
            <w:tcW w:w="3085" w:type="dxa"/>
            <w:vMerge/>
            <w:vAlign w:val="center"/>
          </w:tcPr>
          <w:p w:rsidR="006A381D" w:rsidRPr="00635A00" w:rsidRDefault="00635A00" w:rsidP="005F651C">
            <w:pPr>
              <w:rPr>
                <w:rFonts w:ascii="Times New Roman" w:hAnsi="Times New Roman"/>
                <w:sz w:val="28"/>
              </w:rPr>
            </w:pPr>
          </w:p>
        </w:tc>
        <w:tc>
          <w:tcPr>
            <w:tcW w:w="5893" w:type="dxa"/>
          </w:tcPr>
          <w:p w:rsidR="006A381D" w:rsidRPr="00635A00" w:rsidRDefault="00635A00" w:rsidP="006A381D">
            <w:pPr>
              <w:rPr>
                <w:rFonts w:ascii="Times New Roman" w:hAnsi="Times New Roman"/>
                <w:sz w:val="28"/>
              </w:rPr>
            </w:pPr>
            <w:r w:rsidRPr="00635A00">
              <w:rPr>
                <w:rFonts w:ascii="Times New Roman" w:hAnsi="Times New Roman"/>
                <w:sz w:val="28"/>
              </w:rPr>
              <w:t>Sección III - Reestructuración y desarrollo de sistemas nacionales regionales de productividad, competitividad e innovación</w:t>
            </w:r>
          </w:p>
        </w:tc>
      </w:tr>
      <w:tr w:rsidR="00301B43" w:rsidRPr="00635A00" w:rsidTr="00D254FA">
        <w:tc>
          <w:tcPr>
            <w:tcW w:w="3085" w:type="dxa"/>
            <w:vMerge/>
            <w:vAlign w:val="center"/>
          </w:tcPr>
          <w:p w:rsidR="006A381D" w:rsidRPr="00635A00" w:rsidRDefault="00635A00" w:rsidP="005F651C">
            <w:pPr>
              <w:rPr>
                <w:rFonts w:ascii="Times New Roman" w:hAnsi="Times New Roman"/>
                <w:sz w:val="28"/>
              </w:rPr>
            </w:pPr>
          </w:p>
        </w:tc>
        <w:tc>
          <w:tcPr>
            <w:tcW w:w="5893" w:type="dxa"/>
          </w:tcPr>
          <w:p w:rsidR="006A381D" w:rsidRPr="00635A00" w:rsidRDefault="00635A00" w:rsidP="006A381D">
            <w:pPr>
              <w:rPr>
                <w:rFonts w:ascii="Times New Roman" w:hAnsi="Times New Roman"/>
                <w:sz w:val="28"/>
              </w:rPr>
            </w:pPr>
            <w:r w:rsidRPr="00635A00">
              <w:rPr>
                <w:rFonts w:ascii="Times New Roman" w:hAnsi="Times New Roman"/>
                <w:sz w:val="28"/>
              </w:rPr>
              <w:t>Sección</w:t>
            </w:r>
            <w:r w:rsidRPr="00635A00">
              <w:rPr>
                <w:rFonts w:ascii="Times New Roman" w:hAnsi="Times New Roman"/>
                <w:sz w:val="28"/>
              </w:rPr>
              <w:t xml:space="preserve"> IV - Fortalecimiento institucional como motor de cambio para recuperar la confianza de la ciudadanía y para el fortalecimiento del vínculo Estado ciudadanía</w:t>
            </w:r>
          </w:p>
        </w:tc>
      </w:tr>
      <w:tr w:rsidR="00301B43" w:rsidRPr="00635A00" w:rsidTr="00DF367B">
        <w:tc>
          <w:tcPr>
            <w:tcW w:w="8978" w:type="dxa"/>
            <w:gridSpan w:val="2"/>
            <w:vAlign w:val="center"/>
          </w:tcPr>
          <w:p w:rsidR="00BE5F87" w:rsidRPr="00635A00" w:rsidRDefault="00635A00" w:rsidP="005C7E04">
            <w:pPr>
              <w:jc w:val="both"/>
              <w:rPr>
                <w:rFonts w:ascii="Times New Roman" w:hAnsi="Times New Roman"/>
                <w:sz w:val="28"/>
              </w:rPr>
            </w:pPr>
            <w:r w:rsidRPr="00635A00">
              <w:rPr>
                <w:rFonts w:ascii="Times New Roman" w:hAnsi="Times New Roman"/>
                <w:sz w:val="28"/>
              </w:rPr>
              <w:t>Capítulo VII - Estabilidad macroeconómica</w:t>
            </w:r>
          </w:p>
        </w:tc>
      </w:tr>
      <w:tr w:rsidR="00301B43" w:rsidRPr="00635A00" w:rsidTr="00D254FA">
        <w:tc>
          <w:tcPr>
            <w:tcW w:w="3085" w:type="dxa"/>
            <w:vMerge w:val="restart"/>
            <w:vAlign w:val="center"/>
          </w:tcPr>
          <w:p w:rsidR="00BE5F87" w:rsidRPr="00635A00" w:rsidRDefault="00635A00" w:rsidP="005C7E04">
            <w:pPr>
              <w:jc w:val="both"/>
              <w:rPr>
                <w:rFonts w:ascii="Times New Roman" w:hAnsi="Times New Roman"/>
                <w:sz w:val="28"/>
              </w:rPr>
            </w:pPr>
            <w:r w:rsidRPr="00635A00">
              <w:rPr>
                <w:rFonts w:ascii="Times New Roman" w:hAnsi="Times New Roman"/>
                <w:sz w:val="28"/>
              </w:rPr>
              <w:t>Capítulo VIII</w:t>
            </w:r>
            <w:r w:rsidRPr="00635A00">
              <w:rPr>
                <w:rFonts w:ascii="Times New Roman" w:hAnsi="Times New Roman"/>
                <w:sz w:val="28"/>
              </w:rPr>
              <w:t xml:space="preserve"> - </w:t>
            </w:r>
            <w:r w:rsidRPr="00635A00">
              <w:rPr>
                <w:rFonts w:ascii="Times New Roman" w:hAnsi="Times New Roman"/>
                <w:sz w:val="28"/>
              </w:rPr>
              <w:t>Actores diferenciales para el cambio</w:t>
            </w:r>
          </w:p>
        </w:tc>
        <w:tc>
          <w:tcPr>
            <w:tcW w:w="5893" w:type="dxa"/>
          </w:tcPr>
          <w:p w:rsidR="00BE5F87" w:rsidRPr="00635A00" w:rsidRDefault="00635A00" w:rsidP="006A381D">
            <w:pPr>
              <w:rPr>
                <w:rFonts w:ascii="Times New Roman" w:hAnsi="Times New Roman"/>
                <w:sz w:val="28"/>
              </w:rPr>
            </w:pPr>
            <w:r w:rsidRPr="00635A00">
              <w:rPr>
                <w:rFonts w:ascii="Times New Roman" w:hAnsi="Times New Roman"/>
                <w:sz w:val="28"/>
              </w:rPr>
              <w:t>S</w:t>
            </w:r>
            <w:r w:rsidRPr="00635A00">
              <w:rPr>
                <w:rFonts w:ascii="Times New Roman" w:hAnsi="Times New Roman"/>
                <w:sz w:val="28"/>
              </w:rPr>
              <w:t>ección I</w:t>
            </w:r>
            <w:r w:rsidRPr="00635A00">
              <w:rPr>
                <w:rFonts w:ascii="Times New Roman" w:hAnsi="Times New Roman"/>
                <w:sz w:val="28"/>
              </w:rPr>
              <w:t xml:space="preserve"> - </w:t>
            </w:r>
            <w:r w:rsidRPr="00635A00">
              <w:rPr>
                <w:rFonts w:ascii="Times New Roman" w:hAnsi="Times New Roman"/>
                <w:sz w:val="28"/>
              </w:rPr>
              <w:t>Las mujeres, potencia del cambio</w:t>
            </w:r>
          </w:p>
        </w:tc>
      </w:tr>
      <w:tr w:rsidR="00301B43" w:rsidRPr="00635A00" w:rsidTr="00D254FA">
        <w:tc>
          <w:tcPr>
            <w:tcW w:w="3085" w:type="dxa"/>
            <w:vMerge/>
            <w:vAlign w:val="center"/>
          </w:tcPr>
          <w:p w:rsidR="00BE5F87" w:rsidRPr="00635A00" w:rsidRDefault="00635A00" w:rsidP="005F651C">
            <w:pPr>
              <w:rPr>
                <w:rFonts w:ascii="Times New Roman" w:hAnsi="Times New Roman"/>
                <w:sz w:val="28"/>
              </w:rPr>
            </w:pPr>
          </w:p>
        </w:tc>
        <w:tc>
          <w:tcPr>
            <w:tcW w:w="5893" w:type="dxa"/>
          </w:tcPr>
          <w:p w:rsidR="00BE5F87" w:rsidRPr="00635A00" w:rsidRDefault="00635A00" w:rsidP="006A381D">
            <w:pPr>
              <w:rPr>
                <w:rFonts w:ascii="Times New Roman" w:hAnsi="Times New Roman"/>
                <w:sz w:val="28"/>
              </w:rPr>
            </w:pPr>
            <w:r w:rsidRPr="00635A00">
              <w:rPr>
                <w:rFonts w:ascii="Times New Roman" w:hAnsi="Times New Roman"/>
                <w:sz w:val="28"/>
              </w:rPr>
              <w:t>Sección II</w:t>
            </w:r>
            <w:r w:rsidRPr="00635A00">
              <w:rPr>
                <w:rFonts w:ascii="Times New Roman" w:hAnsi="Times New Roman"/>
                <w:sz w:val="28"/>
              </w:rPr>
              <w:t xml:space="preserve"> - </w:t>
            </w:r>
            <w:r w:rsidRPr="00635A00">
              <w:rPr>
                <w:rFonts w:ascii="Times New Roman" w:hAnsi="Times New Roman"/>
                <w:sz w:val="28"/>
              </w:rPr>
              <w:t>Niñas, niños y adolescentes amados, protegidos e impulsados en sus proyectos de vida con propósito</w:t>
            </w:r>
          </w:p>
        </w:tc>
      </w:tr>
      <w:tr w:rsidR="00BE5F87" w:rsidRPr="00635A00" w:rsidTr="00D254FA">
        <w:tc>
          <w:tcPr>
            <w:tcW w:w="3085" w:type="dxa"/>
            <w:vMerge/>
            <w:vAlign w:val="center"/>
          </w:tcPr>
          <w:p w:rsidR="00BE5F87" w:rsidRPr="00635A00" w:rsidRDefault="00635A00" w:rsidP="005F651C">
            <w:pPr>
              <w:rPr>
                <w:rFonts w:ascii="Times New Roman" w:hAnsi="Times New Roman"/>
                <w:sz w:val="28"/>
                <w:lang w:val="es-CO"/>
              </w:rPr>
            </w:pPr>
          </w:p>
        </w:tc>
        <w:tc>
          <w:tcPr>
            <w:tcW w:w="5893" w:type="dxa"/>
          </w:tcPr>
          <w:p w:rsidR="00BE5F87" w:rsidRPr="00635A00" w:rsidRDefault="00635A00" w:rsidP="006A381D">
            <w:pPr>
              <w:rPr>
                <w:rFonts w:ascii="Times New Roman" w:hAnsi="Times New Roman"/>
                <w:sz w:val="28"/>
              </w:rPr>
            </w:pPr>
            <w:r w:rsidRPr="00635A00">
              <w:rPr>
                <w:rFonts w:ascii="Times New Roman" w:hAnsi="Times New Roman"/>
                <w:sz w:val="28"/>
              </w:rPr>
              <w:t>Sección III</w:t>
            </w:r>
            <w:r w:rsidRPr="00635A00">
              <w:rPr>
                <w:rFonts w:ascii="Times New Roman" w:hAnsi="Times New Roman"/>
                <w:sz w:val="28"/>
              </w:rPr>
              <w:t xml:space="preserve"> - </w:t>
            </w:r>
            <w:r w:rsidRPr="00635A00">
              <w:rPr>
                <w:rFonts w:ascii="Times New Roman" w:hAnsi="Times New Roman"/>
                <w:sz w:val="28"/>
              </w:rPr>
              <w:t>Grupos y comunidades étnicas</w:t>
            </w:r>
          </w:p>
        </w:tc>
      </w:tr>
    </w:tbl>
    <w:p w:rsidR="005F651C" w:rsidRPr="00635A00" w:rsidRDefault="00635A00" w:rsidP="005F651C">
      <w:pPr>
        <w:rPr>
          <w:rFonts w:ascii="Times New Roman" w:hAnsi="Times New Roman" w:cs="Times New Roman"/>
          <w:sz w:val="28"/>
        </w:rPr>
      </w:pPr>
    </w:p>
    <w:p w:rsidR="00BD29D3" w:rsidRPr="00635A00" w:rsidRDefault="00635A00" w:rsidP="00BD29D3">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Por último, el Título IV de la Ley contiene </w:t>
      </w:r>
      <w:r w:rsidRPr="00635A00">
        <w:rPr>
          <w:rFonts w:ascii="Times New Roman" w:hAnsi="Times New Roman" w:cs="Times New Roman"/>
          <w:color w:val="auto"/>
        </w:rPr>
        <w:t>disposiciones varias</w:t>
      </w:r>
      <w:r w:rsidRPr="00635A00">
        <w:rPr>
          <w:rFonts w:ascii="Times New Roman" w:hAnsi="Times New Roman" w:cs="Times New Roman"/>
          <w:color w:val="auto"/>
        </w:rPr>
        <w:t xml:space="preserve"> acerca del</w:t>
      </w:r>
      <w:r w:rsidRPr="00635A00">
        <w:rPr>
          <w:rFonts w:ascii="Times New Roman" w:hAnsi="Times New Roman" w:cs="Times New Roman"/>
          <w:color w:val="auto"/>
        </w:rPr>
        <w:t xml:space="preserve"> reconocimiento, apoyo y fortalecimiento de las territorialidades campesinas, los mecanismos de verificación del cumplimiento del PND, la sujeción al Marco Fiscal de Mediano Plazo, el Sistema General de Participaciones, los p</w:t>
      </w:r>
      <w:r w:rsidRPr="00635A00">
        <w:rPr>
          <w:rFonts w:ascii="Times New Roman" w:hAnsi="Times New Roman" w:cs="Times New Roman"/>
          <w:color w:val="auto"/>
        </w:rPr>
        <w:t xml:space="preserve">rogramas sociales de Familias y Jóvenes en Acción, el Hospital </w:t>
      </w:r>
      <w:r w:rsidRPr="00635A00">
        <w:rPr>
          <w:rFonts w:ascii="Times New Roman" w:hAnsi="Times New Roman" w:cs="Times New Roman"/>
          <w:color w:val="auto"/>
        </w:rPr>
        <w:t>S</w:t>
      </w:r>
      <w:r w:rsidRPr="00635A00">
        <w:rPr>
          <w:rFonts w:ascii="Times New Roman" w:hAnsi="Times New Roman" w:cs="Times New Roman"/>
          <w:color w:val="auto"/>
        </w:rPr>
        <w:t xml:space="preserve">an Juan de Dios, los caminos vecinales, </w:t>
      </w:r>
      <w:r w:rsidRPr="00635A00">
        <w:rPr>
          <w:rFonts w:ascii="Times New Roman" w:hAnsi="Times New Roman" w:cs="Times New Roman"/>
          <w:color w:val="auto"/>
        </w:rPr>
        <w:t xml:space="preserve">el Grupo Bicentenario, el método y sistema para la determinación de las tarifas en cabeza del ICA; la Educación para el Trabajo y Desarrollo Humano, y </w:t>
      </w:r>
      <w:r w:rsidRPr="00635A00">
        <w:rPr>
          <w:rFonts w:ascii="Times New Roman" w:hAnsi="Times New Roman" w:cs="Times New Roman"/>
          <w:color w:val="auto"/>
        </w:rPr>
        <w:t>las vigencias y derogatorias de la Ley.</w:t>
      </w:r>
    </w:p>
    <w:p w:rsidR="00BD29D3" w:rsidRPr="00635A00" w:rsidRDefault="00635A00" w:rsidP="00BD29D3">
      <w:pPr>
        <w:pStyle w:val="Sombreadovistoso-nfasis31"/>
        <w:ind w:left="0"/>
        <w:rPr>
          <w:rFonts w:ascii="Times New Roman" w:hAnsi="Times New Roman" w:cs="Times New Roman"/>
          <w:color w:val="auto"/>
        </w:rPr>
      </w:pPr>
    </w:p>
    <w:p w:rsidR="00F451FB" w:rsidRPr="00635A00" w:rsidRDefault="00635A00" w:rsidP="00BD29D3">
      <w:pPr>
        <w:pStyle w:val="Sombreadovistoso-nfasis31"/>
        <w:ind w:left="0"/>
        <w:rPr>
          <w:rFonts w:ascii="Times New Roman" w:hAnsi="Times New Roman" w:cs="Times New Roman"/>
          <w:b/>
          <w:bCs/>
          <w:color w:val="auto"/>
        </w:rPr>
      </w:pPr>
      <w:r w:rsidRPr="00635A00">
        <w:rPr>
          <w:rFonts w:ascii="Times New Roman" w:hAnsi="Times New Roman" w:cs="Times New Roman"/>
          <w:b/>
          <w:bCs/>
          <w:color w:val="auto"/>
        </w:rPr>
        <w:t>Materias reguladas por el numeral 6° y el parágrafo 3° del artículo 61 de la Ley 2294</w:t>
      </w:r>
    </w:p>
    <w:p w:rsidR="00F451FB" w:rsidRPr="00635A00" w:rsidRDefault="00635A00" w:rsidP="00BD29D3">
      <w:pPr>
        <w:pStyle w:val="Sombreadovistoso-nfasis31"/>
        <w:ind w:left="0"/>
        <w:rPr>
          <w:rFonts w:ascii="Times New Roman" w:hAnsi="Times New Roman" w:cs="Times New Roman"/>
          <w:color w:val="auto"/>
        </w:rPr>
      </w:pPr>
    </w:p>
    <w:p w:rsidR="004035A7" w:rsidRPr="00635A00" w:rsidRDefault="00635A00" w:rsidP="008263D2">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Las normas aquí demandadas</w:t>
      </w:r>
      <w:r w:rsidRPr="00635A00">
        <w:rPr>
          <w:rFonts w:ascii="Times New Roman" w:hAnsi="Times New Roman" w:cs="Times New Roman"/>
          <w:color w:val="auto"/>
        </w:rPr>
        <w:t xml:space="preserve"> </w:t>
      </w:r>
      <w:r w:rsidRPr="00635A00">
        <w:rPr>
          <w:rFonts w:ascii="Times New Roman" w:hAnsi="Times New Roman" w:cs="Times New Roman"/>
          <w:color w:val="auto"/>
        </w:rPr>
        <w:t>están</w:t>
      </w:r>
      <w:r w:rsidRPr="00635A00">
        <w:rPr>
          <w:rFonts w:ascii="Times New Roman" w:hAnsi="Times New Roman" w:cs="Times New Roman"/>
          <w:color w:val="auto"/>
        </w:rPr>
        <w:t xml:space="preserve"> insert</w:t>
      </w:r>
      <w:r w:rsidRPr="00635A00">
        <w:rPr>
          <w:rFonts w:ascii="Times New Roman" w:hAnsi="Times New Roman" w:cs="Times New Roman"/>
          <w:color w:val="auto"/>
        </w:rPr>
        <w:t>a</w:t>
      </w:r>
      <w:r w:rsidRPr="00635A00">
        <w:rPr>
          <w:rFonts w:ascii="Times New Roman" w:hAnsi="Times New Roman" w:cs="Times New Roman"/>
          <w:color w:val="auto"/>
        </w:rPr>
        <w:t xml:space="preserve">s en el artículo 61 de la Ley 2294, </w:t>
      </w:r>
      <w:r w:rsidRPr="00635A00">
        <w:rPr>
          <w:rFonts w:ascii="Times New Roman" w:hAnsi="Times New Roman" w:cs="Times New Roman"/>
          <w:color w:val="auto"/>
        </w:rPr>
        <w:t xml:space="preserve">que se ubica específicamente en </w:t>
      </w:r>
      <w:r w:rsidRPr="00635A00">
        <w:rPr>
          <w:rFonts w:ascii="Times New Roman" w:hAnsi="Times New Roman" w:cs="Times New Roman"/>
          <w:color w:val="auto"/>
        </w:rPr>
        <w:t>l</w:t>
      </w:r>
      <w:r w:rsidRPr="00635A00">
        <w:rPr>
          <w:rFonts w:ascii="Times New Roman" w:hAnsi="Times New Roman" w:cs="Times New Roman"/>
          <w:color w:val="auto"/>
        </w:rPr>
        <w:t>a</w:t>
      </w:r>
      <w:r w:rsidRPr="00635A00">
        <w:rPr>
          <w:rFonts w:ascii="Times New Roman" w:hAnsi="Times New Roman" w:cs="Times New Roman"/>
          <w:color w:val="auto"/>
        </w:rPr>
        <w:t xml:space="preserve"> </w:t>
      </w:r>
      <w:r w:rsidRPr="00635A00">
        <w:rPr>
          <w:rFonts w:ascii="Times New Roman" w:hAnsi="Times New Roman" w:cs="Times New Roman"/>
          <w:color w:val="auto"/>
        </w:rPr>
        <w:t>Sección VI (tenen</w:t>
      </w:r>
      <w:r w:rsidRPr="00635A00">
        <w:rPr>
          <w:rFonts w:ascii="Times New Roman" w:hAnsi="Times New Roman" w:cs="Times New Roman"/>
          <w:color w:val="auto"/>
        </w:rPr>
        <w:t xml:space="preserve">cia en las zonas rural, urbana y suburbana formalizada, adjudicada y regularizada) del Capítulo II (ordenamiento del territorio alrededor del agua y justicia ambiental) del </w:t>
      </w:r>
      <w:r w:rsidRPr="00635A00">
        <w:rPr>
          <w:rFonts w:ascii="Times New Roman" w:hAnsi="Times New Roman" w:cs="Times New Roman"/>
          <w:color w:val="auto"/>
        </w:rPr>
        <w:t xml:space="preserve">Título III </w:t>
      </w:r>
      <w:r w:rsidRPr="00635A00">
        <w:rPr>
          <w:rFonts w:ascii="Times New Roman" w:hAnsi="Times New Roman" w:cs="Times New Roman"/>
          <w:color w:val="auto"/>
        </w:rPr>
        <w:t xml:space="preserve">sobre los </w:t>
      </w:r>
      <w:r w:rsidRPr="00635A00">
        <w:rPr>
          <w:rFonts w:ascii="Times New Roman" w:hAnsi="Times New Roman" w:cs="Times New Roman"/>
          <w:color w:val="auto"/>
        </w:rPr>
        <w:t>mecanismos de ejecución</w:t>
      </w:r>
      <w:r w:rsidRPr="00635A00">
        <w:rPr>
          <w:rFonts w:ascii="Times New Roman" w:hAnsi="Times New Roman" w:cs="Times New Roman"/>
          <w:color w:val="auto"/>
        </w:rPr>
        <w:t xml:space="preserve"> del PND.</w:t>
      </w:r>
      <w:r w:rsidRPr="00635A00">
        <w:rPr>
          <w:rFonts w:ascii="Times New Roman" w:hAnsi="Times New Roman" w:cs="Times New Roman"/>
          <w:color w:val="auto"/>
        </w:rPr>
        <w:t xml:space="preserve"> </w:t>
      </w:r>
      <w:r w:rsidRPr="00635A00">
        <w:rPr>
          <w:rFonts w:ascii="Times New Roman" w:hAnsi="Times New Roman" w:cs="Times New Roman"/>
          <w:color w:val="auto"/>
        </w:rPr>
        <w:t>El citado artículo se desagre</w:t>
      </w:r>
      <w:r w:rsidRPr="00635A00">
        <w:rPr>
          <w:rFonts w:ascii="Times New Roman" w:hAnsi="Times New Roman" w:cs="Times New Roman"/>
          <w:color w:val="auto"/>
        </w:rPr>
        <w:t xml:space="preserve">ga en seis numerales que </w:t>
      </w:r>
      <w:r w:rsidRPr="00635A00">
        <w:rPr>
          <w:rFonts w:ascii="Times New Roman" w:hAnsi="Times New Roman" w:cs="Times New Roman"/>
          <w:color w:val="auto"/>
        </w:rPr>
        <w:t xml:space="preserve">establecen </w:t>
      </w:r>
      <w:r w:rsidRPr="00635A00">
        <w:rPr>
          <w:rFonts w:ascii="Times New Roman" w:hAnsi="Times New Roman" w:cs="Times New Roman"/>
          <w:color w:val="auto"/>
        </w:rPr>
        <w:t>distintas</w:t>
      </w:r>
      <w:r w:rsidRPr="00635A00">
        <w:rPr>
          <w:rFonts w:ascii="Times New Roman" w:hAnsi="Times New Roman" w:cs="Times New Roman"/>
          <w:color w:val="auto"/>
        </w:rPr>
        <w:t xml:space="preserve"> medidas susceptibles de llevarse a cabo en el marco del procedimiento de compra de tierras por oferta voluntaria para ser destinadas al fondo de tierras a cargo de la ANT</w:t>
      </w:r>
      <w:r w:rsidRPr="00635A00">
        <w:rPr>
          <w:rFonts w:ascii="Times New Roman" w:hAnsi="Times New Roman" w:cs="Times New Roman"/>
          <w:color w:val="auto"/>
        </w:rPr>
        <w:t>.</w:t>
      </w:r>
      <w:bookmarkStart w:id="15" w:name="_Ref171003516"/>
      <w:r w:rsidRPr="00635A00">
        <w:rPr>
          <w:rFonts w:ascii="Times New Roman" w:hAnsi="Times New Roman" w:cs="Times New Roman"/>
          <w:color w:val="auto"/>
        </w:rPr>
        <w:t xml:space="preserve"> </w:t>
      </w:r>
      <w:r w:rsidRPr="00635A00">
        <w:rPr>
          <w:rFonts w:ascii="Times New Roman" w:hAnsi="Times New Roman" w:cs="Times New Roman"/>
          <w:color w:val="auto"/>
        </w:rPr>
        <w:t>La Sala hará énfasis en el numeral 6</w:t>
      </w:r>
      <w:r w:rsidRPr="00635A00">
        <w:rPr>
          <w:rFonts w:ascii="Times New Roman" w:hAnsi="Times New Roman" w:cs="Times New Roman"/>
          <w:color w:val="auto"/>
        </w:rPr>
        <w:t xml:space="preserve"> y en el parágrafo 3° que se relaciona directamente con dicho numeral</w:t>
      </w:r>
      <w:r w:rsidRPr="00635A00">
        <w:rPr>
          <w:rFonts w:ascii="Times New Roman" w:hAnsi="Times New Roman" w:cs="Times New Roman"/>
          <w:color w:val="auto"/>
        </w:rPr>
        <w:t xml:space="preserve">, por cuanto </w:t>
      </w:r>
      <w:r w:rsidRPr="00635A00">
        <w:rPr>
          <w:rFonts w:ascii="Times New Roman" w:hAnsi="Times New Roman" w:cs="Times New Roman"/>
          <w:color w:val="auto"/>
        </w:rPr>
        <w:t>corresponden a las normas que</w:t>
      </w:r>
      <w:r w:rsidRPr="00635A00">
        <w:rPr>
          <w:rFonts w:ascii="Times New Roman" w:hAnsi="Times New Roman" w:cs="Times New Roman"/>
          <w:color w:val="auto"/>
        </w:rPr>
        <w:t xml:space="preserve"> los demandantes cuestionan</w:t>
      </w:r>
      <w:r w:rsidRPr="00635A00">
        <w:rPr>
          <w:rFonts w:ascii="Times New Roman" w:hAnsi="Times New Roman" w:cs="Times New Roman"/>
          <w:color w:val="auto"/>
        </w:rPr>
        <w:t>.</w:t>
      </w:r>
    </w:p>
    <w:p w:rsidR="004035A7" w:rsidRPr="00635A00" w:rsidRDefault="00635A00" w:rsidP="004035A7">
      <w:pPr>
        <w:pStyle w:val="Sombreadovistoso-nfasis31"/>
        <w:ind w:left="0"/>
        <w:rPr>
          <w:rFonts w:ascii="Times New Roman" w:hAnsi="Times New Roman" w:cs="Times New Roman"/>
          <w:color w:val="auto"/>
        </w:rPr>
      </w:pPr>
    </w:p>
    <w:p w:rsidR="001C1992" w:rsidRPr="00635A00" w:rsidRDefault="00635A00" w:rsidP="008263D2">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Esta norma </w:t>
      </w:r>
      <w:r w:rsidRPr="00635A00">
        <w:rPr>
          <w:rFonts w:ascii="Times New Roman" w:hAnsi="Times New Roman" w:cs="Times New Roman"/>
          <w:color w:val="auto"/>
        </w:rPr>
        <w:t>modifica</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la estructura del </w:t>
      </w:r>
      <w:r w:rsidRPr="00635A00">
        <w:rPr>
          <w:rFonts w:ascii="Times New Roman" w:hAnsi="Times New Roman" w:cs="Times New Roman"/>
          <w:b/>
          <w:bCs/>
          <w:color w:val="auto"/>
        </w:rPr>
        <w:t xml:space="preserve">procedimiento único de ordenamiento social de la propiedad rural </w:t>
      </w:r>
      <w:r w:rsidRPr="00635A00">
        <w:rPr>
          <w:rFonts w:ascii="Times New Roman" w:hAnsi="Times New Roman" w:cs="Times New Roman"/>
          <w:color w:val="auto"/>
        </w:rPr>
        <w:t>regulado por</w:t>
      </w:r>
      <w:r w:rsidRPr="00635A00">
        <w:rPr>
          <w:rFonts w:ascii="Times New Roman" w:hAnsi="Times New Roman" w:cs="Times New Roman"/>
          <w:color w:val="auto"/>
        </w:rPr>
        <w:t xml:space="preserve"> el </w:t>
      </w:r>
      <w:r w:rsidRPr="00635A00">
        <w:rPr>
          <w:rFonts w:ascii="Times New Roman" w:hAnsi="Times New Roman" w:cs="Times New Roman"/>
          <w:color w:val="auto"/>
        </w:rPr>
        <w:t xml:space="preserve">Título VI del </w:t>
      </w:r>
      <w:r w:rsidRPr="00635A00">
        <w:rPr>
          <w:rFonts w:ascii="Times New Roman" w:hAnsi="Times New Roman" w:cs="Times New Roman"/>
          <w:color w:val="auto"/>
        </w:rPr>
        <w:t>Decreto Ley 902 de 2017</w:t>
      </w:r>
      <w:r w:rsidRPr="00635A00">
        <w:rPr>
          <w:rFonts w:ascii="Times New Roman" w:hAnsi="Times New Roman" w:cs="Times New Roman"/>
          <w:color w:val="auto"/>
        </w:rPr>
        <w:t xml:space="preserve"> (Decreto Ley 902)</w:t>
      </w:r>
      <w:r w:rsidRPr="00635A00">
        <w:rPr>
          <w:rStyle w:val="Refdenotaalpie"/>
          <w:rFonts w:ascii="Times New Roman" w:hAnsi="Times New Roman" w:cs="Times New Roman"/>
          <w:color w:val="auto"/>
        </w:rPr>
        <w:footnoteReference w:id="61"/>
      </w:r>
      <w:r w:rsidRPr="00635A00">
        <w:rPr>
          <w:rFonts w:ascii="Times New Roman" w:hAnsi="Times New Roman" w:cs="Times New Roman"/>
          <w:color w:val="auto"/>
        </w:rPr>
        <w:t>, cuando se trate de alguna de las siguientes materias</w:t>
      </w:r>
      <w:r w:rsidRPr="00635A00">
        <w:rPr>
          <w:rFonts w:ascii="Times New Roman" w:hAnsi="Times New Roman" w:cs="Times New Roman"/>
          <w:color w:val="auto"/>
        </w:rPr>
        <w:t xml:space="preserve"> d</w:t>
      </w:r>
      <w:r w:rsidRPr="00635A00">
        <w:rPr>
          <w:rFonts w:ascii="Times New Roman" w:hAnsi="Times New Roman" w:cs="Times New Roman"/>
          <w:color w:val="auto"/>
        </w:rPr>
        <w:t>e</w:t>
      </w:r>
      <w:r w:rsidRPr="00635A00">
        <w:rPr>
          <w:rFonts w:ascii="Times New Roman" w:hAnsi="Times New Roman" w:cs="Times New Roman"/>
          <w:color w:val="auto"/>
        </w:rPr>
        <w:t xml:space="preserve"> que trata la Ley 160 de 1994</w:t>
      </w:r>
      <w:r w:rsidRPr="00635A00">
        <w:rPr>
          <w:rFonts w:ascii="Times New Roman" w:hAnsi="Times New Roman" w:cs="Times New Roman"/>
          <w:color w:val="auto"/>
        </w:rPr>
        <w:t>: (</w:t>
      </w:r>
      <w:r w:rsidRPr="00635A00">
        <w:rPr>
          <w:rFonts w:ascii="Times New Roman" w:hAnsi="Times New Roman" w:cs="Times New Roman"/>
          <w:color w:val="auto"/>
          <w:lang w:val="es-CO" w:eastAsia="es-CO"/>
        </w:rPr>
        <w:t>i) clarificación de la propiedad, deslinde y recuperación de baldíos; (ii) extinción judicial del dominio s</w:t>
      </w:r>
      <w:r w:rsidRPr="00635A00">
        <w:rPr>
          <w:rFonts w:ascii="Times New Roman" w:hAnsi="Times New Roman" w:cs="Times New Roman"/>
          <w:color w:val="auto"/>
          <w:lang w:val="es-CO" w:eastAsia="es-CO"/>
        </w:rPr>
        <w:t>obre tierras incultas; y (iii) caducidad administrativa, condición resolutoria del subsidio, reversión y revocatoria de titulación de baldíos.</w:t>
      </w:r>
      <w:bookmarkEnd w:id="15"/>
      <w:r w:rsidRPr="00635A00">
        <w:rPr>
          <w:rFonts w:ascii="Times New Roman" w:hAnsi="Times New Roman" w:cs="Times New Roman"/>
          <w:color w:val="auto"/>
          <w:lang w:val="es-CO" w:eastAsia="es-CO"/>
        </w:rPr>
        <w:t xml:space="preserve"> </w:t>
      </w:r>
    </w:p>
    <w:p w:rsidR="00C56BBB" w:rsidRPr="00635A00" w:rsidRDefault="00635A00" w:rsidP="001C1992">
      <w:pPr>
        <w:pStyle w:val="Sombreadovistoso-nfasis31"/>
        <w:ind w:left="0"/>
        <w:rPr>
          <w:rFonts w:ascii="Times New Roman" w:hAnsi="Times New Roman" w:cs="Times New Roman"/>
          <w:color w:val="auto"/>
        </w:rPr>
      </w:pPr>
      <w:r w:rsidRPr="00635A00">
        <w:rPr>
          <w:rFonts w:ascii="Times New Roman" w:hAnsi="Times New Roman" w:cs="Times New Roman"/>
          <w:color w:val="auto"/>
          <w:lang w:val="es-CO" w:eastAsia="es-CO"/>
        </w:rPr>
        <w:t xml:space="preserve"> </w:t>
      </w:r>
    </w:p>
    <w:p w:rsidR="00C71C54" w:rsidRPr="00635A00" w:rsidRDefault="00635A00" w:rsidP="00C56BB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Antes de la vigencia del numeral </w:t>
      </w:r>
      <w:r w:rsidRPr="00635A00">
        <w:rPr>
          <w:rFonts w:ascii="Times New Roman" w:hAnsi="Times New Roman" w:cs="Times New Roman"/>
          <w:color w:val="auto"/>
        </w:rPr>
        <w:t xml:space="preserve">6 demandado, el procedimiento único para el trámite de tales asuntos </w:t>
      </w:r>
      <w:r w:rsidRPr="00635A00">
        <w:rPr>
          <w:rFonts w:ascii="Times New Roman" w:hAnsi="Times New Roman" w:cs="Times New Roman"/>
          <w:color w:val="auto"/>
        </w:rPr>
        <w:t xml:space="preserve">se componía de una fase administrativa a cargo de la ANT, seguida de una judicial. En esta última se </w:t>
      </w:r>
      <w:r w:rsidRPr="00635A00">
        <w:rPr>
          <w:rFonts w:ascii="Times New Roman" w:hAnsi="Times New Roman" w:cs="Times New Roman"/>
          <w:color w:val="auto"/>
        </w:rPr>
        <w:t>debía adoptar</w:t>
      </w:r>
      <w:r w:rsidRPr="00635A00">
        <w:rPr>
          <w:rFonts w:ascii="Times New Roman" w:hAnsi="Times New Roman" w:cs="Times New Roman"/>
          <w:color w:val="auto"/>
        </w:rPr>
        <w:t xml:space="preserve">, por </w:t>
      </w:r>
      <w:r w:rsidRPr="00635A00">
        <w:rPr>
          <w:rFonts w:ascii="Times New Roman" w:hAnsi="Times New Roman" w:cs="Times New Roman"/>
          <w:color w:val="auto"/>
        </w:rPr>
        <w:t>un</w:t>
      </w:r>
      <w:r w:rsidRPr="00635A00">
        <w:rPr>
          <w:rFonts w:ascii="Times New Roman" w:hAnsi="Times New Roman" w:cs="Times New Roman"/>
          <w:color w:val="auto"/>
        </w:rPr>
        <w:t xml:space="preserve"> juez, la decisión de fondo </w:t>
      </w:r>
      <w:r w:rsidRPr="00635A00">
        <w:rPr>
          <w:rFonts w:ascii="Times New Roman" w:hAnsi="Times New Roman" w:cs="Times New Roman"/>
          <w:color w:val="auto"/>
        </w:rPr>
        <w:t>correspondiente</w:t>
      </w:r>
      <w:r w:rsidRPr="00635A00">
        <w:rPr>
          <w:rFonts w:ascii="Times New Roman" w:hAnsi="Times New Roman" w:cs="Times New Roman"/>
          <w:color w:val="auto"/>
        </w:rPr>
        <w:t>.</w:t>
      </w:r>
    </w:p>
    <w:p w:rsidR="00C71C54" w:rsidRPr="00635A00" w:rsidRDefault="00635A00" w:rsidP="00C71C54">
      <w:pPr>
        <w:pStyle w:val="Prrafodelista"/>
        <w:rPr>
          <w:rFonts w:ascii="Times New Roman" w:hAnsi="Times New Roman" w:cs="Times New Roman"/>
          <w:color w:val="auto"/>
        </w:rPr>
      </w:pPr>
    </w:p>
    <w:p w:rsidR="002504F8" w:rsidRPr="00635A00" w:rsidRDefault="00635A00" w:rsidP="00C56BB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Al efectuar la revisión de constitucionalidad de este procedimiento, </w:t>
      </w:r>
      <w:r w:rsidRPr="00635A00">
        <w:rPr>
          <w:rFonts w:ascii="Times New Roman" w:hAnsi="Times New Roman" w:cs="Times New Roman"/>
          <w:color w:val="auto"/>
        </w:rPr>
        <w:t>esta Corporación</w:t>
      </w:r>
      <w:r w:rsidRPr="00635A00">
        <w:rPr>
          <w:rFonts w:ascii="Times New Roman" w:hAnsi="Times New Roman" w:cs="Times New Roman"/>
          <w:color w:val="auto"/>
        </w:rPr>
        <w:t xml:space="preserve"> </w:t>
      </w:r>
      <w:r w:rsidRPr="00635A00">
        <w:rPr>
          <w:rFonts w:ascii="Times New Roman" w:hAnsi="Times New Roman" w:cs="Times New Roman"/>
          <w:color w:val="auto"/>
        </w:rPr>
        <w:t>de</w:t>
      </w:r>
      <w:r w:rsidRPr="00635A00">
        <w:rPr>
          <w:rFonts w:ascii="Times New Roman" w:hAnsi="Times New Roman" w:cs="Times New Roman"/>
          <w:color w:val="auto"/>
        </w:rPr>
        <w:t>claró la inexequibilidad del artículo 78 original del Decreto Ley que establecía que la fase judicial del procedimiento único sería conocida por “las autoridades judiciales que se determinen o creen para cumplir con los objetivos de la política de ordenami</w:t>
      </w:r>
      <w:r w:rsidRPr="00635A00">
        <w:rPr>
          <w:rFonts w:ascii="Times New Roman" w:hAnsi="Times New Roman" w:cs="Times New Roman"/>
          <w:color w:val="auto"/>
        </w:rPr>
        <w:t>ento social de la propiedad rural”.</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La Corte </w:t>
      </w:r>
      <w:r w:rsidRPr="00635A00">
        <w:rPr>
          <w:rFonts w:ascii="Times New Roman" w:hAnsi="Times New Roman" w:cs="Times New Roman"/>
          <w:color w:val="auto"/>
        </w:rPr>
        <w:t>consideró que</w:t>
      </w:r>
      <w:r w:rsidRPr="00635A00">
        <w:rPr>
          <w:rFonts w:ascii="Times New Roman" w:hAnsi="Times New Roman" w:cs="Times New Roman"/>
          <w:color w:val="auto"/>
        </w:rPr>
        <w:t xml:space="preserve"> esa norma vulneraba el derecho de acceso material a la justicia debido a </w:t>
      </w:r>
      <w:r w:rsidRPr="00635A00">
        <w:rPr>
          <w:rFonts w:ascii="Times New Roman" w:hAnsi="Times New Roman" w:cs="Times New Roman"/>
          <w:color w:val="auto"/>
        </w:rPr>
        <w:t>que la posibilidad de agotar esta etapa del procedimiento quedaba supeditada a la existencia de una norma futura que definie</w:t>
      </w:r>
      <w:r w:rsidRPr="00635A00">
        <w:rPr>
          <w:rFonts w:ascii="Times New Roman" w:hAnsi="Times New Roman" w:cs="Times New Roman"/>
          <w:color w:val="auto"/>
        </w:rPr>
        <w:t>ra los jueces llamados a conocer de tales asuntos. En consecuencia, la Corte señaló que</w:t>
      </w:r>
      <w:r w:rsidRPr="00635A00">
        <w:rPr>
          <w:rFonts w:ascii="Times New Roman" w:hAnsi="Times New Roman" w:cs="Times New Roman"/>
          <w:color w:val="auto"/>
        </w:rPr>
        <w:t>:</w:t>
      </w:r>
    </w:p>
    <w:p w:rsidR="00D005FC" w:rsidRPr="00635A00" w:rsidRDefault="00635A00" w:rsidP="00D005FC">
      <w:pPr>
        <w:pStyle w:val="Prrafodelista"/>
        <w:rPr>
          <w:rFonts w:ascii="Times New Roman" w:hAnsi="Times New Roman" w:cs="Times New Roman"/>
          <w:color w:val="auto"/>
        </w:rPr>
      </w:pPr>
    </w:p>
    <w:p w:rsidR="00D005FC" w:rsidRPr="00635A00" w:rsidRDefault="00635A00" w:rsidP="006C62D5">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“el juez natural para el control de los actos administrativos que se produzcan en aplicación del Procedimiento único en fase administrativa es, necesariamente, la jur</w:t>
      </w:r>
      <w:r w:rsidRPr="00635A00">
        <w:rPr>
          <w:rFonts w:ascii="Times New Roman" w:hAnsi="Times New Roman" w:cs="Times New Roman"/>
          <w:sz w:val="28"/>
        </w:rPr>
        <w:t>isdicción contencioso</w:t>
      </w:r>
      <w:r w:rsidRPr="00635A00">
        <w:rPr>
          <w:rFonts w:ascii="Times New Roman" w:hAnsi="Times New Roman" w:cs="Times New Roman"/>
          <w:sz w:val="28"/>
        </w:rPr>
        <w:t xml:space="preserve"> </w:t>
      </w:r>
      <w:r w:rsidRPr="00635A00">
        <w:rPr>
          <w:rFonts w:ascii="Times New Roman" w:hAnsi="Times New Roman" w:cs="Times New Roman"/>
          <w:sz w:val="28"/>
        </w:rPr>
        <w:t>administrativa. Los demás procesos deberán adelantarse ante el juez que corresponda según su materia”</w:t>
      </w:r>
      <w:r w:rsidRPr="00635A00">
        <w:rPr>
          <w:rStyle w:val="Refdenotaalpie"/>
          <w:rFonts w:ascii="Times New Roman" w:hAnsi="Times New Roman" w:cs="Times New Roman"/>
          <w:sz w:val="28"/>
        </w:rPr>
        <w:footnoteReference w:id="62"/>
      </w:r>
      <w:r w:rsidRPr="00635A00">
        <w:rPr>
          <w:rFonts w:ascii="Times New Roman" w:hAnsi="Times New Roman" w:cs="Times New Roman"/>
          <w:sz w:val="28"/>
        </w:rPr>
        <w:t>.</w:t>
      </w:r>
    </w:p>
    <w:p w:rsidR="002504F8" w:rsidRPr="00635A00" w:rsidRDefault="00635A00" w:rsidP="002504F8">
      <w:pPr>
        <w:pStyle w:val="Prrafodelista"/>
        <w:rPr>
          <w:rFonts w:ascii="Times New Roman" w:hAnsi="Times New Roman" w:cs="Times New Roman"/>
          <w:color w:val="auto"/>
        </w:rPr>
      </w:pPr>
    </w:p>
    <w:p w:rsidR="003E3837" w:rsidRPr="00635A00" w:rsidRDefault="00635A00" w:rsidP="00D50A6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El numeral 6 del artículo 61 de la Ley 2294</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(i) </w:t>
      </w:r>
      <w:r w:rsidRPr="00635A00">
        <w:rPr>
          <w:rFonts w:ascii="Times New Roman" w:hAnsi="Times New Roman" w:cs="Times New Roman"/>
          <w:color w:val="auto"/>
        </w:rPr>
        <w:t>elimina la mencionada fase judicial del trámite</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(ii) </w:t>
      </w:r>
      <w:r w:rsidRPr="00635A00">
        <w:rPr>
          <w:rFonts w:ascii="Times New Roman" w:hAnsi="Times New Roman" w:cs="Times New Roman"/>
          <w:color w:val="auto"/>
        </w:rPr>
        <w:t xml:space="preserve">atribuye a la ANT </w:t>
      </w:r>
      <w:r w:rsidRPr="00635A00">
        <w:rPr>
          <w:rFonts w:ascii="Times New Roman" w:hAnsi="Times New Roman" w:cs="Times New Roman"/>
          <w:color w:val="auto"/>
        </w:rPr>
        <w:t>competencia para</w:t>
      </w:r>
      <w:r w:rsidRPr="00635A00">
        <w:rPr>
          <w:rFonts w:ascii="Times New Roman" w:hAnsi="Times New Roman" w:cs="Times New Roman"/>
          <w:color w:val="auto"/>
        </w:rPr>
        <w:t xml:space="preserve"> proferir la decisión de fondo sobre la materia; (iii) </w:t>
      </w:r>
      <w:r w:rsidRPr="00635A00">
        <w:rPr>
          <w:rFonts w:ascii="Times New Roman" w:hAnsi="Times New Roman" w:cs="Times New Roman"/>
          <w:color w:val="auto"/>
        </w:rPr>
        <w:t>dispone</w:t>
      </w:r>
      <w:r w:rsidRPr="00635A00">
        <w:rPr>
          <w:rFonts w:ascii="Times New Roman" w:hAnsi="Times New Roman" w:cs="Times New Roman"/>
          <w:color w:val="auto"/>
        </w:rPr>
        <w:t xml:space="preserve"> que esta puede ser demandada</w:t>
      </w:r>
      <w:r w:rsidRPr="00635A00">
        <w:rPr>
          <w:rFonts w:ascii="Times New Roman" w:hAnsi="Times New Roman" w:cs="Times New Roman"/>
          <w:color w:val="auto"/>
        </w:rPr>
        <w:t xml:space="preserve"> por los particulares que consideren tener derechos reales sobre el bien en cuestión</w:t>
      </w:r>
      <w:r w:rsidRPr="00635A00">
        <w:rPr>
          <w:rFonts w:ascii="Times New Roman" w:hAnsi="Times New Roman" w:cs="Times New Roman"/>
          <w:color w:val="auto"/>
        </w:rPr>
        <w:t xml:space="preserve"> a través de la acción de nulidad agraria dentro de los tres años</w:t>
      </w:r>
      <w:r w:rsidRPr="00635A00">
        <w:rPr>
          <w:rFonts w:ascii="Times New Roman" w:hAnsi="Times New Roman" w:cs="Times New Roman"/>
          <w:color w:val="auto"/>
        </w:rPr>
        <w:t xml:space="preserve"> siguientes a la inscripción del acto administrativo en el folio de matrícula inmobiliaria; y (</w:t>
      </w:r>
      <w:r w:rsidRPr="00635A00">
        <w:rPr>
          <w:rFonts w:ascii="Times New Roman" w:hAnsi="Times New Roman" w:cs="Times New Roman"/>
          <w:color w:val="auto"/>
        </w:rPr>
        <w:t>iv) cuando dicho acto sea suspendido provisionalmente por autoridad judicial, autoriza a la ANT para continuar con la disposición del bien siempre y cuando const</w:t>
      </w:r>
      <w:r w:rsidRPr="00635A00">
        <w:rPr>
          <w:rFonts w:ascii="Times New Roman" w:hAnsi="Times New Roman" w:cs="Times New Roman"/>
          <w:color w:val="auto"/>
        </w:rPr>
        <w:t xml:space="preserve">ituya una garantía para asegurar el cumplimiento de eventuales órdenes judiciales a favor de los demandantes. </w:t>
      </w:r>
      <w:r w:rsidRPr="00635A00">
        <w:rPr>
          <w:rFonts w:ascii="Times New Roman" w:hAnsi="Times New Roman" w:cs="Times New Roman"/>
          <w:color w:val="auto"/>
        </w:rPr>
        <w:t>Adicionalmente, (v)</w:t>
      </w:r>
      <w:r w:rsidRPr="00635A00">
        <w:rPr>
          <w:rFonts w:ascii="Times New Roman" w:hAnsi="Times New Roman" w:cs="Times New Roman"/>
          <w:color w:val="auto"/>
        </w:rPr>
        <w:t xml:space="preserve"> el numeral 6 prevé unas reglas especiales para los procedimientos en curso que ya habían pasado</w:t>
      </w:r>
      <w:r w:rsidRPr="00635A00">
        <w:rPr>
          <w:rFonts w:ascii="Times New Roman" w:hAnsi="Times New Roman" w:cs="Times New Roman"/>
          <w:color w:val="auto"/>
        </w:rPr>
        <w:t xml:space="preserve"> la</w:t>
      </w:r>
      <w:r w:rsidRPr="00635A00">
        <w:rPr>
          <w:rFonts w:ascii="Times New Roman" w:hAnsi="Times New Roman" w:cs="Times New Roman"/>
          <w:color w:val="auto"/>
        </w:rPr>
        <w:t xml:space="preserve"> etapa judicial para el mome</w:t>
      </w:r>
      <w:r w:rsidRPr="00635A00">
        <w:rPr>
          <w:rFonts w:ascii="Times New Roman" w:hAnsi="Times New Roman" w:cs="Times New Roman"/>
          <w:color w:val="auto"/>
        </w:rPr>
        <w:t xml:space="preserve">nto en que dicha norma entró en </w:t>
      </w:r>
      <w:r w:rsidRPr="00635A00">
        <w:rPr>
          <w:rFonts w:ascii="Times New Roman" w:hAnsi="Times New Roman" w:cs="Times New Roman"/>
          <w:color w:val="auto"/>
        </w:rPr>
        <w:t>vigor</w:t>
      </w:r>
      <w:r w:rsidRPr="00635A00">
        <w:rPr>
          <w:rFonts w:ascii="Times New Roman" w:hAnsi="Times New Roman" w:cs="Times New Roman"/>
          <w:color w:val="auto"/>
        </w:rPr>
        <w:t xml:space="preserve">. </w:t>
      </w:r>
    </w:p>
    <w:p w:rsidR="001A700F" w:rsidRPr="00635A00" w:rsidRDefault="00635A00" w:rsidP="001A700F">
      <w:pPr>
        <w:pStyle w:val="Sombreadovistoso-nfasis31"/>
        <w:ind w:left="0"/>
        <w:rPr>
          <w:rFonts w:ascii="Times New Roman" w:hAnsi="Times New Roman" w:cs="Times New Roman"/>
          <w:color w:val="auto"/>
        </w:rPr>
      </w:pPr>
    </w:p>
    <w:p w:rsidR="007B73CC" w:rsidRPr="00635A00" w:rsidRDefault="00635A00" w:rsidP="001B408E">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lang w:val="es-CO" w:eastAsia="es-CO"/>
        </w:rPr>
        <w:t xml:space="preserve">La Sala </w:t>
      </w:r>
      <w:r w:rsidRPr="00635A00">
        <w:rPr>
          <w:rFonts w:ascii="Times New Roman" w:hAnsi="Times New Roman" w:cs="Times New Roman"/>
          <w:color w:val="auto"/>
          <w:lang w:val="es-CO" w:eastAsia="es-CO"/>
        </w:rPr>
        <w:t xml:space="preserve">reitera </w:t>
      </w:r>
      <w:r w:rsidRPr="00635A00">
        <w:rPr>
          <w:rFonts w:ascii="Times New Roman" w:hAnsi="Times New Roman" w:cs="Times New Roman"/>
          <w:color w:val="auto"/>
          <w:lang w:val="es-CO" w:eastAsia="es-CO"/>
        </w:rPr>
        <w:t xml:space="preserve">que </w:t>
      </w:r>
      <w:r w:rsidRPr="00635A00">
        <w:rPr>
          <w:rFonts w:ascii="Times New Roman" w:hAnsi="Times New Roman" w:cs="Times New Roman"/>
          <w:color w:val="auto"/>
          <w:lang w:val="es-CO" w:eastAsia="es-CO"/>
        </w:rPr>
        <w:t>esta</w:t>
      </w:r>
      <w:r w:rsidRPr="00635A00">
        <w:rPr>
          <w:rFonts w:ascii="Times New Roman" w:hAnsi="Times New Roman" w:cs="Times New Roman"/>
          <w:color w:val="auto"/>
          <w:lang w:val="es-CO" w:eastAsia="es-CO"/>
        </w:rPr>
        <w:t xml:space="preserve"> modificación s</w:t>
      </w:r>
      <w:r w:rsidRPr="00635A00">
        <w:rPr>
          <w:rFonts w:ascii="Times New Roman" w:hAnsi="Times New Roman" w:cs="Times New Roman"/>
          <w:color w:val="auto"/>
          <w:lang w:val="es-CO" w:eastAsia="es-CO"/>
        </w:rPr>
        <w:t>ó</w:t>
      </w:r>
      <w:r w:rsidRPr="00635A00">
        <w:rPr>
          <w:rFonts w:ascii="Times New Roman" w:hAnsi="Times New Roman" w:cs="Times New Roman"/>
          <w:color w:val="auto"/>
          <w:lang w:val="es-CO" w:eastAsia="es-CO"/>
        </w:rPr>
        <w:t xml:space="preserve">lo aplica para el trámite de </w:t>
      </w:r>
      <w:r w:rsidRPr="00635A00">
        <w:rPr>
          <w:rFonts w:ascii="Times New Roman" w:hAnsi="Times New Roman" w:cs="Times New Roman"/>
          <w:color w:val="auto"/>
          <w:lang w:val="es-CO" w:eastAsia="es-CO"/>
        </w:rPr>
        <w:t>asuntos</w:t>
      </w:r>
      <w:r w:rsidRPr="00635A00">
        <w:rPr>
          <w:rFonts w:ascii="Times New Roman" w:hAnsi="Times New Roman" w:cs="Times New Roman"/>
          <w:color w:val="auto"/>
          <w:lang w:val="es-CO" w:eastAsia="es-CO"/>
        </w:rPr>
        <w:t xml:space="preserve"> indicados en el fundamento </w:t>
      </w:r>
      <w:r w:rsidRPr="00635A00">
        <w:rPr>
          <w:rFonts w:ascii="Times New Roman" w:hAnsi="Times New Roman" w:cs="Times New Roman"/>
          <w:color w:val="auto"/>
          <w:lang w:val="es-CO" w:eastAsia="es-CO"/>
        </w:rPr>
        <w:fldChar w:fldCharType="begin"/>
      </w:r>
      <w:r w:rsidRPr="00635A00">
        <w:rPr>
          <w:rFonts w:ascii="Times New Roman" w:hAnsi="Times New Roman" w:cs="Times New Roman"/>
          <w:color w:val="auto"/>
          <w:lang w:val="es-CO" w:eastAsia="es-CO"/>
        </w:rPr>
        <w:instrText xml:space="preserve"> REF _Ref171003516 \r \h </w:instrText>
      </w:r>
      <w:r w:rsidRPr="00635A00">
        <w:rPr>
          <w:rFonts w:ascii="Times New Roman" w:hAnsi="Times New Roman" w:cs="Times New Roman"/>
          <w:color w:val="auto"/>
          <w:lang w:val="es-CO" w:eastAsia="es-CO"/>
        </w:rPr>
        <w:instrText xml:space="preserve"> \* MERGEFORMAT </w:instrText>
      </w:r>
      <w:r w:rsidRPr="00635A00">
        <w:rPr>
          <w:rFonts w:ascii="Times New Roman" w:hAnsi="Times New Roman" w:cs="Times New Roman"/>
          <w:color w:val="auto"/>
          <w:lang w:val="es-CO" w:eastAsia="es-CO"/>
        </w:rPr>
      </w:r>
      <w:r w:rsidRPr="00635A00">
        <w:rPr>
          <w:rFonts w:ascii="Times New Roman" w:hAnsi="Times New Roman" w:cs="Times New Roman"/>
          <w:color w:val="auto"/>
          <w:lang w:val="es-CO" w:eastAsia="es-CO"/>
        </w:rPr>
        <w:fldChar w:fldCharType="separate"/>
      </w:r>
      <w:r w:rsidRPr="00635A00">
        <w:rPr>
          <w:rFonts w:ascii="Times New Roman" w:hAnsi="Times New Roman" w:cs="Times New Roman"/>
          <w:color w:val="auto"/>
          <w:lang w:val="es-CO" w:eastAsia="es-CO"/>
        </w:rPr>
        <w:t>58</w:t>
      </w:r>
      <w:r w:rsidRPr="00635A00">
        <w:rPr>
          <w:rFonts w:ascii="Times New Roman" w:hAnsi="Times New Roman" w:cs="Times New Roman"/>
          <w:color w:val="auto"/>
          <w:lang w:val="es-CO" w:eastAsia="es-CO"/>
        </w:rPr>
        <w:fldChar w:fldCharType="end"/>
      </w:r>
      <w:r w:rsidRPr="00635A00">
        <w:rPr>
          <w:rFonts w:ascii="Times New Roman" w:hAnsi="Times New Roman" w:cs="Times New Roman"/>
          <w:color w:val="auto"/>
          <w:lang w:val="es-CO" w:eastAsia="es-CO"/>
        </w:rPr>
        <w:t xml:space="preserve"> de esta providencia</w:t>
      </w:r>
      <w:r w:rsidRPr="00635A00">
        <w:rPr>
          <w:rFonts w:ascii="Times New Roman" w:hAnsi="Times New Roman" w:cs="Times New Roman"/>
          <w:color w:val="auto"/>
          <w:lang w:val="es-CO" w:eastAsia="es-CO"/>
        </w:rPr>
        <w:t>, ya que las demás materias señalada</w:t>
      </w:r>
      <w:r w:rsidRPr="00635A00">
        <w:rPr>
          <w:rFonts w:ascii="Times New Roman" w:hAnsi="Times New Roman" w:cs="Times New Roman"/>
          <w:color w:val="auto"/>
          <w:lang w:val="es-CO" w:eastAsia="es-CO"/>
        </w:rPr>
        <w:t>s</w:t>
      </w:r>
      <w:r w:rsidRPr="00635A00">
        <w:rPr>
          <w:rFonts w:ascii="Times New Roman" w:hAnsi="Times New Roman" w:cs="Times New Roman"/>
          <w:color w:val="auto"/>
          <w:lang w:val="es-CO" w:eastAsia="es-CO"/>
        </w:rPr>
        <w:t xml:space="preserve"> en el artículo 58 del Decreto Ley 902</w:t>
      </w:r>
      <w:r w:rsidRPr="00635A00">
        <w:rPr>
          <w:rStyle w:val="Refdenotaalpie"/>
          <w:rFonts w:ascii="Times New Roman" w:hAnsi="Times New Roman" w:cs="Times New Roman"/>
          <w:color w:val="auto"/>
          <w:lang w:val="es-CO" w:eastAsia="es-CO"/>
        </w:rPr>
        <w:footnoteReference w:id="63"/>
      </w:r>
      <w:r w:rsidRPr="00635A00">
        <w:rPr>
          <w:rFonts w:ascii="Times New Roman" w:hAnsi="Times New Roman" w:cs="Times New Roman"/>
          <w:color w:val="auto"/>
          <w:lang w:val="es-CO" w:eastAsia="es-CO"/>
        </w:rPr>
        <w:t xml:space="preserve"> </w:t>
      </w:r>
      <w:r w:rsidRPr="00635A00">
        <w:rPr>
          <w:rFonts w:ascii="Times New Roman" w:hAnsi="Times New Roman" w:cs="Times New Roman"/>
          <w:color w:val="auto"/>
          <w:lang w:val="es-CO" w:eastAsia="es-CO"/>
        </w:rPr>
        <w:t>continúan tramitándose bajo las reglas generales del procedimiento único contenidas en el Títul</w:t>
      </w:r>
      <w:r w:rsidRPr="00635A00">
        <w:rPr>
          <w:rFonts w:ascii="Times New Roman" w:hAnsi="Times New Roman" w:cs="Times New Roman"/>
          <w:color w:val="auto"/>
          <w:lang w:val="es-CO" w:eastAsia="es-CO"/>
        </w:rPr>
        <w:t>o VI de</w:t>
      </w:r>
      <w:r w:rsidRPr="00635A00">
        <w:rPr>
          <w:rFonts w:ascii="Times New Roman" w:hAnsi="Times New Roman" w:cs="Times New Roman"/>
          <w:color w:val="auto"/>
          <w:lang w:val="es-CO" w:eastAsia="es-CO"/>
        </w:rPr>
        <w:t xml:space="preserve"> dicha normatividad</w:t>
      </w:r>
      <w:r w:rsidRPr="00635A00">
        <w:rPr>
          <w:rFonts w:ascii="Times New Roman" w:hAnsi="Times New Roman" w:cs="Times New Roman"/>
          <w:color w:val="auto"/>
          <w:lang w:val="es-CO" w:eastAsia="es-CO"/>
        </w:rPr>
        <w:t>.</w:t>
      </w:r>
      <w:r w:rsidRPr="00635A00">
        <w:rPr>
          <w:rFonts w:ascii="Times New Roman" w:hAnsi="Times New Roman" w:cs="Times New Roman"/>
          <w:color w:val="auto"/>
          <w:lang w:val="es-CO" w:eastAsia="es-CO"/>
        </w:rPr>
        <w:t xml:space="preserve"> </w:t>
      </w:r>
    </w:p>
    <w:p w:rsidR="006D3B1D" w:rsidRPr="00635A00" w:rsidRDefault="00635A00" w:rsidP="006D3B1D">
      <w:pPr>
        <w:pStyle w:val="Sombreadovistoso-nfasis31"/>
        <w:ind w:left="0"/>
        <w:rPr>
          <w:rFonts w:ascii="Times New Roman" w:hAnsi="Times New Roman" w:cs="Times New Roman"/>
          <w:color w:val="auto"/>
        </w:rPr>
      </w:pPr>
    </w:p>
    <w:p w:rsidR="00677CC5" w:rsidRPr="00635A00" w:rsidRDefault="00635A00" w:rsidP="007B73CC">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Por su parte, el parágrafo 3 del artículo 61, también cuestionado, </w:t>
      </w:r>
      <w:r w:rsidRPr="00635A00">
        <w:rPr>
          <w:rFonts w:ascii="Times New Roman" w:hAnsi="Times New Roman" w:cs="Times New Roman"/>
          <w:color w:val="auto"/>
        </w:rPr>
        <w:t>de</w:t>
      </w:r>
      <w:r w:rsidRPr="00635A00">
        <w:rPr>
          <w:rFonts w:ascii="Times New Roman" w:hAnsi="Times New Roman" w:cs="Times New Roman"/>
          <w:color w:val="auto"/>
        </w:rPr>
        <w:t>roga</w:t>
      </w:r>
      <w:r w:rsidRPr="00635A00">
        <w:rPr>
          <w:rFonts w:ascii="Times New Roman" w:hAnsi="Times New Roman" w:cs="Times New Roman"/>
          <w:color w:val="auto"/>
        </w:rPr>
        <w:t xml:space="preserve"> algunos preceptos del Decreto Ley 902, que son consecuencia de la modificación introducida por el numeral 6 ya descrito</w:t>
      </w:r>
      <w:r w:rsidRPr="00635A00">
        <w:rPr>
          <w:rFonts w:ascii="Times New Roman" w:hAnsi="Times New Roman" w:cs="Times New Roman"/>
          <w:color w:val="auto"/>
        </w:rPr>
        <w:t>:</w:t>
      </w:r>
      <w:r w:rsidRPr="00635A00">
        <w:rPr>
          <w:rFonts w:ascii="Times New Roman" w:hAnsi="Times New Roman" w:cs="Times New Roman"/>
          <w:color w:val="auto"/>
        </w:rPr>
        <w:t xml:space="preserve"> </w:t>
      </w:r>
    </w:p>
    <w:p w:rsidR="001E7718" w:rsidRPr="00635A00" w:rsidRDefault="00635A00" w:rsidP="007B73CC">
      <w:pPr>
        <w:pStyle w:val="Sombreadovistoso-nfasis31"/>
        <w:ind w:left="0"/>
        <w:rPr>
          <w:rFonts w:ascii="Times New Roman" w:hAnsi="Times New Roman" w:cs="Times New Roman"/>
          <w:color w:val="auto"/>
        </w:rPr>
      </w:pPr>
    </w:p>
    <w:p w:rsidR="001A700F" w:rsidRPr="00635A00" w:rsidRDefault="00635A00" w:rsidP="001A700F">
      <w:pPr>
        <w:pStyle w:val="Descripcin"/>
        <w:keepNext/>
        <w:rPr>
          <w:rFonts w:ascii="Times New Roman" w:hAnsi="Times New Roman" w:cs="Times New Roman"/>
          <w:caps w:val="0"/>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8</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Normas derogadas por el parágrafo 3° del artículo 61</w:t>
      </w:r>
      <w:r w:rsidRPr="00635A00">
        <w:rPr>
          <w:rFonts w:ascii="Times New Roman" w:hAnsi="Times New Roman" w:cs="Times New Roman"/>
          <w:caps w:val="0"/>
          <w:szCs w:val="24"/>
        </w:rPr>
        <w:t xml:space="preserve"> de la Ley 2294</w:t>
      </w:r>
      <w:r w:rsidRPr="00635A00">
        <w:rPr>
          <w:rFonts w:ascii="Times New Roman" w:hAnsi="Times New Roman" w:cs="Times New Roman"/>
          <w:caps w:val="0"/>
          <w:szCs w:val="24"/>
        </w:rPr>
        <w:t xml:space="preserve"> </w:t>
      </w:r>
    </w:p>
    <w:p w:rsidR="008C4DA1" w:rsidRPr="00635A00" w:rsidRDefault="00635A00" w:rsidP="008C4DA1">
      <w:pPr>
        <w:jc w:val="center"/>
        <w:rPr>
          <w:rFonts w:ascii="Times New Roman" w:hAnsi="Times New Roman" w:cs="Times New Roman"/>
          <w:b/>
          <w:bCs/>
          <w:sz w:val="28"/>
          <w:lang w:val="es-ES" w:eastAsia="es-ES"/>
        </w:rPr>
      </w:pPr>
      <w:r w:rsidRPr="00635A00">
        <w:rPr>
          <w:rFonts w:ascii="Times New Roman" w:hAnsi="Times New Roman" w:cs="Times New Roman"/>
          <w:b/>
          <w:bCs/>
          <w:sz w:val="28"/>
          <w:lang w:val="es-ES" w:eastAsia="es-ES"/>
        </w:rPr>
        <w:t>(aplica únicamente para los numerales 4, 5 y 7 del artículo 58 del Decreto Ley 902)</w:t>
      </w:r>
    </w:p>
    <w:tbl>
      <w:tblPr>
        <w:tblStyle w:val="Tablaconcuadrcula"/>
        <w:tblW w:w="0" w:type="auto"/>
        <w:tblLook w:val="04A0" w:firstRow="1" w:lastRow="0" w:firstColumn="1" w:lastColumn="0" w:noHBand="0" w:noVBand="1"/>
      </w:tblPr>
      <w:tblGrid>
        <w:gridCol w:w="2070"/>
        <w:gridCol w:w="6758"/>
      </w:tblGrid>
      <w:tr w:rsidR="00301B43" w:rsidRPr="00635A00" w:rsidTr="00ED586E">
        <w:trPr>
          <w:tblHeader/>
        </w:trPr>
        <w:tc>
          <w:tcPr>
            <w:tcW w:w="2093" w:type="dxa"/>
            <w:shd w:val="clear" w:color="auto" w:fill="E2EFD9" w:themeFill="accent6" w:themeFillTint="33"/>
            <w:vAlign w:val="center"/>
          </w:tcPr>
          <w:p w:rsidR="00406380" w:rsidRPr="00635A00" w:rsidRDefault="00635A00" w:rsidP="00406380">
            <w:pPr>
              <w:pStyle w:val="Sombreadovistoso-nfasis31"/>
              <w:ind w:left="0"/>
              <w:jc w:val="center"/>
              <w:rPr>
                <w:rFonts w:ascii="Times New Roman" w:hAnsi="Times New Roman"/>
                <w:b/>
                <w:bCs/>
                <w:color w:val="auto"/>
                <w:szCs w:val="24"/>
              </w:rPr>
            </w:pPr>
            <w:r w:rsidRPr="00635A00">
              <w:rPr>
                <w:rFonts w:ascii="Times New Roman" w:hAnsi="Times New Roman"/>
                <w:b/>
                <w:bCs/>
                <w:color w:val="auto"/>
                <w:szCs w:val="24"/>
              </w:rPr>
              <w:t>Norma derogada</w:t>
            </w:r>
          </w:p>
        </w:tc>
        <w:tc>
          <w:tcPr>
            <w:tcW w:w="6885" w:type="dxa"/>
            <w:shd w:val="clear" w:color="auto" w:fill="E2EFD9" w:themeFill="accent6" w:themeFillTint="33"/>
            <w:vAlign w:val="center"/>
          </w:tcPr>
          <w:p w:rsidR="001E7718" w:rsidRPr="00635A00" w:rsidRDefault="00635A00" w:rsidP="00406380">
            <w:pPr>
              <w:pStyle w:val="Sombreadovistoso-nfasis31"/>
              <w:ind w:left="0"/>
              <w:jc w:val="center"/>
              <w:rPr>
                <w:rFonts w:ascii="Times New Roman" w:hAnsi="Times New Roman"/>
                <w:b/>
                <w:bCs/>
                <w:color w:val="auto"/>
                <w:szCs w:val="24"/>
              </w:rPr>
            </w:pPr>
            <w:r w:rsidRPr="00635A00">
              <w:rPr>
                <w:rFonts w:ascii="Times New Roman" w:hAnsi="Times New Roman"/>
                <w:b/>
                <w:bCs/>
                <w:color w:val="auto"/>
                <w:szCs w:val="24"/>
              </w:rPr>
              <w:t>Contenido</w:t>
            </w:r>
          </w:p>
        </w:tc>
      </w:tr>
      <w:tr w:rsidR="00301B43" w:rsidRPr="00635A00" w:rsidTr="00ED586E">
        <w:tc>
          <w:tcPr>
            <w:tcW w:w="2093" w:type="dxa"/>
            <w:vAlign w:val="center"/>
          </w:tcPr>
          <w:p w:rsidR="001A700F"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Artículo 39</w:t>
            </w:r>
          </w:p>
          <w:p w:rsidR="001E7718"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inciso segundo</w:t>
            </w:r>
          </w:p>
          <w:p w:rsidR="00406380" w:rsidRPr="00635A00" w:rsidRDefault="00635A00" w:rsidP="00ED586E">
            <w:pPr>
              <w:pStyle w:val="Sombreadovistoso-nfasis31"/>
              <w:ind w:left="0"/>
              <w:jc w:val="center"/>
              <w:rPr>
                <w:rFonts w:ascii="Times New Roman" w:hAnsi="Times New Roman"/>
                <w:color w:val="auto"/>
                <w:szCs w:val="24"/>
              </w:rPr>
            </w:pPr>
          </w:p>
        </w:tc>
        <w:tc>
          <w:tcPr>
            <w:tcW w:w="6885" w:type="dxa"/>
            <w:vAlign w:val="center"/>
          </w:tcPr>
          <w:p w:rsidR="001E7718" w:rsidRPr="00635A00" w:rsidRDefault="00635A00" w:rsidP="007B73CC">
            <w:pPr>
              <w:pStyle w:val="Sombreadovistoso-nfasis31"/>
              <w:ind w:left="0"/>
              <w:rPr>
                <w:rFonts w:ascii="Times New Roman" w:hAnsi="Times New Roman"/>
                <w:color w:val="auto"/>
                <w:szCs w:val="24"/>
              </w:rPr>
            </w:pPr>
            <w:r w:rsidRPr="00635A00">
              <w:rPr>
                <w:rFonts w:ascii="Times New Roman" w:hAnsi="Times New Roman"/>
                <w:color w:val="auto"/>
                <w:szCs w:val="24"/>
              </w:rPr>
              <w:t>Legitimación de los terceros con interés que</w:t>
            </w:r>
            <w:r w:rsidRPr="00635A00">
              <w:rPr>
                <w:rFonts w:ascii="Times New Roman" w:hAnsi="Times New Roman"/>
                <w:color w:val="auto"/>
                <w:szCs w:val="24"/>
              </w:rPr>
              <w:t xml:space="preserve"> no comparecieron al procedimiento único para interponer acción de nulidad agraria contra los actos administrativos definitivos expedidos por la ANT</w:t>
            </w:r>
            <w:r w:rsidRPr="00635A00">
              <w:rPr>
                <w:rFonts w:ascii="Times New Roman" w:hAnsi="Times New Roman"/>
                <w:color w:val="auto"/>
                <w:szCs w:val="24"/>
              </w:rPr>
              <w:t>.</w:t>
            </w:r>
          </w:p>
        </w:tc>
      </w:tr>
      <w:tr w:rsidR="00301B43" w:rsidRPr="00635A00" w:rsidTr="00ED586E">
        <w:tc>
          <w:tcPr>
            <w:tcW w:w="2093" w:type="dxa"/>
            <w:vAlign w:val="center"/>
          </w:tcPr>
          <w:p w:rsidR="001A700F"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Artículo 60</w:t>
            </w:r>
          </w:p>
          <w:p w:rsidR="001E7718"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numeral 2</w:t>
            </w:r>
          </w:p>
        </w:tc>
        <w:tc>
          <w:tcPr>
            <w:tcW w:w="6885" w:type="dxa"/>
            <w:vAlign w:val="center"/>
          </w:tcPr>
          <w:p w:rsidR="001E7718" w:rsidRPr="00635A00" w:rsidRDefault="00635A00" w:rsidP="007B73CC">
            <w:pPr>
              <w:pStyle w:val="Sombreadovistoso-nfasis31"/>
              <w:ind w:left="0"/>
              <w:rPr>
                <w:rFonts w:ascii="Times New Roman" w:hAnsi="Times New Roman"/>
                <w:color w:val="auto"/>
                <w:szCs w:val="24"/>
              </w:rPr>
            </w:pPr>
            <w:r w:rsidRPr="00635A00">
              <w:rPr>
                <w:rFonts w:ascii="Times New Roman" w:hAnsi="Times New Roman"/>
                <w:color w:val="auto"/>
                <w:szCs w:val="24"/>
              </w:rPr>
              <w:t>Fase judicial del procedimiento único en zonas focalizadas</w:t>
            </w:r>
            <w:r w:rsidRPr="00635A00">
              <w:rPr>
                <w:rStyle w:val="Refdenotaalpie"/>
                <w:rFonts w:ascii="Times New Roman" w:hAnsi="Times New Roman"/>
                <w:color w:val="auto"/>
                <w:szCs w:val="24"/>
              </w:rPr>
              <w:footnoteReference w:id="64"/>
            </w:r>
            <w:r w:rsidRPr="00635A00">
              <w:rPr>
                <w:rFonts w:ascii="Times New Roman" w:hAnsi="Times New Roman"/>
                <w:color w:val="auto"/>
                <w:szCs w:val="24"/>
              </w:rPr>
              <w:t>.</w:t>
            </w:r>
          </w:p>
        </w:tc>
      </w:tr>
      <w:tr w:rsidR="00301B43" w:rsidRPr="00635A00" w:rsidTr="00ED586E">
        <w:tc>
          <w:tcPr>
            <w:tcW w:w="2093" w:type="dxa"/>
            <w:vAlign w:val="center"/>
          </w:tcPr>
          <w:p w:rsidR="00ED586E"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Artículo 61</w:t>
            </w:r>
          </w:p>
          <w:p w:rsidR="001E7718"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 xml:space="preserve">inciso </w:t>
            </w:r>
            <w:r w:rsidRPr="00635A00">
              <w:rPr>
                <w:rFonts w:ascii="Times New Roman" w:hAnsi="Times New Roman"/>
                <w:color w:val="auto"/>
                <w:szCs w:val="24"/>
              </w:rPr>
              <w:t>segundo</w:t>
            </w:r>
          </w:p>
        </w:tc>
        <w:tc>
          <w:tcPr>
            <w:tcW w:w="6885" w:type="dxa"/>
            <w:vAlign w:val="center"/>
          </w:tcPr>
          <w:p w:rsidR="001E7718" w:rsidRPr="00635A00" w:rsidRDefault="00635A00" w:rsidP="007B73CC">
            <w:pPr>
              <w:pStyle w:val="Sombreadovistoso-nfasis31"/>
              <w:ind w:left="0"/>
              <w:rPr>
                <w:rFonts w:ascii="Times New Roman" w:hAnsi="Times New Roman"/>
                <w:color w:val="auto"/>
                <w:szCs w:val="24"/>
              </w:rPr>
            </w:pPr>
            <w:r w:rsidRPr="00635A00">
              <w:rPr>
                <w:rFonts w:ascii="Times New Roman" w:hAnsi="Times New Roman"/>
                <w:color w:val="auto"/>
                <w:szCs w:val="24"/>
              </w:rPr>
              <w:t xml:space="preserve">Fase judicial </w:t>
            </w:r>
            <w:r w:rsidRPr="00635A00">
              <w:rPr>
                <w:rFonts w:ascii="Times New Roman" w:hAnsi="Times New Roman"/>
                <w:color w:val="auto"/>
                <w:szCs w:val="24"/>
              </w:rPr>
              <w:t>obligatoria del procedimiento único en zonas no focalizadas, con independencia de que se hubieren presentado oposiciones durante el trámite administrativo, a menos que exista acuerdo o conciliación entre las partes.</w:t>
            </w:r>
          </w:p>
        </w:tc>
      </w:tr>
      <w:tr w:rsidR="00301B43" w:rsidRPr="00635A00" w:rsidTr="00ED586E">
        <w:tc>
          <w:tcPr>
            <w:tcW w:w="2093" w:type="dxa"/>
            <w:vAlign w:val="center"/>
          </w:tcPr>
          <w:p w:rsidR="001E7718"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Artículo 75</w:t>
            </w:r>
          </w:p>
        </w:tc>
        <w:tc>
          <w:tcPr>
            <w:tcW w:w="6885" w:type="dxa"/>
            <w:vAlign w:val="center"/>
          </w:tcPr>
          <w:p w:rsidR="001E7718" w:rsidRPr="00635A00" w:rsidRDefault="00635A00" w:rsidP="007B73CC">
            <w:pPr>
              <w:pStyle w:val="Sombreadovistoso-nfasis31"/>
              <w:ind w:left="0"/>
              <w:rPr>
                <w:rFonts w:ascii="Times New Roman" w:hAnsi="Times New Roman"/>
                <w:color w:val="auto"/>
                <w:szCs w:val="24"/>
              </w:rPr>
            </w:pPr>
            <w:r w:rsidRPr="00635A00">
              <w:rPr>
                <w:rFonts w:ascii="Times New Roman" w:hAnsi="Times New Roman"/>
                <w:color w:val="auto"/>
                <w:szCs w:val="24"/>
              </w:rPr>
              <w:t xml:space="preserve">Acto </w:t>
            </w:r>
            <w:r w:rsidRPr="00635A00">
              <w:rPr>
                <w:rFonts w:ascii="Times New Roman" w:hAnsi="Times New Roman"/>
                <w:color w:val="auto"/>
                <w:szCs w:val="24"/>
              </w:rPr>
              <w:t>administrativo de cierre y presentación de demanda ante el juez competente.</w:t>
            </w:r>
          </w:p>
        </w:tc>
      </w:tr>
      <w:tr w:rsidR="00301B43" w:rsidRPr="00635A00" w:rsidTr="00ED586E">
        <w:tc>
          <w:tcPr>
            <w:tcW w:w="2093" w:type="dxa"/>
            <w:vAlign w:val="center"/>
          </w:tcPr>
          <w:p w:rsidR="00ED586E"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Artículo 76</w:t>
            </w:r>
          </w:p>
          <w:p w:rsidR="001E7718" w:rsidRPr="00635A00" w:rsidRDefault="00635A00" w:rsidP="00ED586E">
            <w:pPr>
              <w:pStyle w:val="Sombreadovistoso-nfasis31"/>
              <w:ind w:left="0"/>
              <w:jc w:val="center"/>
              <w:rPr>
                <w:rFonts w:ascii="Times New Roman" w:hAnsi="Times New Roman"/>
                <w:color w:val="auto"/>
                <w:szCs w:val="24"/>
              </w:rPr>
            </w:pPr>
            <w:r w:rsidRPr="00635A00">
              <w:rPr>
                <w:rFonts w:ascii="Times New Roman" w:hAnsi="Times New Roman"/>
                <w:color w:val="auto"/>
                <w:szCs w:val="24"/>
              </w:rPr>
              <w:t>inciso 3</w:t>
            </w:r>
          </w:p>
        </w:tc>
        <w:tc>
          <w:tcPr>
            <w:tcW w:w="6885" w:type="dxa"/>
            <w:vAlign w:val="center"/>
          </w:tcPr>
          <w:p w:rsidR="001E7718" w:rsidRPr="00635A00" w:rsidRDefault="00635A00" w:rsidP="007B73CC">
            <w:pPr>
              <w:pStyle w:val="Sombreadovistoso-nfasis31"/>
              <w:ind w:left="0"/>
              <w:rPr>
                <w:rFonts w:ascii="Times New Roman" w:hAnsi="Times New Roman"/>
                <w:color w:val="auto"/>
                <w:szCs w:val="24"/>
              </w:rPr>
            </w:pPr>
            <w:r w:rsidRPr="00635A00">
              <w:rPr>
                <w:rFonts w:ascii="Times New Roman" w:hAnsi="Times New Roman"/>
                <w:color w:val="auto"/>
                <w:szCs w:val="24"/>
              </w:rPr>
              <w:t>Improcedencia de recursos y acciones de nulidad contra los actos administrativos proferidos en cumplimiento del artículo 75 del Decreto Ley 902 “teniendo en c</w:t>
            </w:r>
            <w:r w:rsidRPr="00635A00">
              <w:rPr>
                <w:rFonts w:ascii="Times New Roman" w:hAnsi="Times New Roman"/>
                <w:color w:val="auto"/>
                <w:szCs w:val="24"/>
              </w:rPr>
              <w:t>uenta la decisión de fondo será tomada en sede judicial.”</w:t>
            </w:r>
          </w:p>
        </w:tc>
      </w:tr>
      <w:tr w:rsidR="00406380" w:rsidRPr="00635A00" w:rsidTr="00ED586E">
        <w:tc>
          <w:tcPr>
            <w:tcW w:w="8978" w:type="dxa"/>
            <w:gridSpan w:val="2"/>
            <w:vAlign w:val="center"/>
          </w:tcPr>
          <w:p w:rsidR="00406380" w:rsidRPr="00635A00" w:rsidRDefault="00635A00" w:rsidP="007B73CC">
            <w:pPr>
              <w:pStyle w:val="Sombreadovistoso-nfasis31"/>
              <w:ind w:left="0"/>
              <w:rPr>
                <w:rFonts w:ascii="Times New Roman" w:hAnsi="Times New Roman"/>
                <w:color w:val="auto"/>
                <w:szCs w:val="24"/>
              </w:rPr>
            </w:pPr>
            <w:r w:rsidRPr="00635A00">
              <w:rPr>
                <w:rFonts w:ascii="Times New Roman" w:hAnsi="Times New Roman"/>
                <w:b/>
                <w:bCs/>
                <w:color w:val="auto"/>
                <w:szCs w:val="24"/>
              </w:rPr>
              <w:t>Nota</w:t>
            </w:r>
            <w:r w:rsidRPr="00635A00">
              <w:rPr>
                <w:rFonts w:ascii="Times New Roman" w:hAnsi="Times New Roman"/>
                <w:b/>
                <w:bCs/>
                <w:color w:val="auto"/>
                <w:szCs w:val="24"/>
              </w:rPr>
              <w:t xml:space="preserve"> </w:t>
            </w:r>
            <w:r w:rsidRPr="00635A00">
              <w:rPr>
                <w:rFonts w:ascii="Times New Roman" w:hAnsi="Times New Roman"/>
                <w:b/>
                <w:bCs/>
                <w:color w:val="auto"/>
                <w:szCs w:val="24"/>
              </w:rPr>
              <w:t>1</w:t>
            </w:r>
            <w:r w:rsidRPr="00635A00">
              <w:rPr>
                <w:rFonts w:ascii="Times New Roman" w:hAnsi="Times New Roman"/>
                <w:b/>
                <w:bCs/>
                <w:color w:val="auto"/>
                <w:szCs w:val="24"/>
              </w:rPr>
              <w:t>:</w:t>
            </w:r>
            <w:r w:rsidRPr="00635A00">
              <w:rPr>
                <w:rFonts w:ascii="Times New Roman" w:hAnsi="Times New Roman"/>
                <w:color w:val="auto"/>
                <w:szCs w:val="24"/>
              </w:rPr>
              <w:t xml:space="preserve"> el parágrafo 3° del artículo 61 establece que la derogatoria aplica </w:t>
            </w:r>
            <w:r w:rsidRPr="00635A00">
              <w:rPr>
                <w:rFonts w:ascii="Times New Roman" w:hAnsi="Times New Roman"/>
                <w:b/>
                <w:bCs/>
                <w:color w:val="auto"/>
                <w:szCs w:val="24"/>
              </w:rPr>
              <w:t>únicamente</w:t>
            </w:r>
            <w:r w:rsidRPr="00635A00">
              <w:rPr>
                <w:rFonts w:ascii="Times New Roman" w:hAnsi="Times New Roman"/>
                <w:color w:val="auto"/>
                <w:szCs w:val="24"/>
              </w:rPr>
              <w:t xml:space="preserve"> para los asuntos previstos en los numerales 4, 5 y 7 del artículo 58 del Decreto Ley 902.</w:t>
            </w:r>
          </w:p>
          <w:p w:rsidR="001A700F" w:rsidRPr="00635A00" w:rsidRDefault="00635A00" w:rsidP="007B73CC">
            <w:pPr>
              <w:pStyle w:val="Sombreadovistoso-nfasis31"/>
              <w:ind w:left="0"/>
              <w:rPr>
                <w:rFonts w:ascii="Times New Roman" w:hAnsi="Times New Roman"/>
                <w:color w:val="auto"/>
                <w:szCs w:val="24"/>
              </w:rPr>
            </w:pPr>
          </w:p>
          <w:p w:rsidR="001A700F" w:rsidRPr="00635A00" w:rsidRDefault="00635A00" w:rsidP="007B73CC">
            <w:pPr>
              <w:pStyle w:val="Sombreadovistoso-nfasis31"/>
              <w:ind w:left="0"/>
              <w:rPr>
                <w:rFonts w:ascii="Times New Roman" w:hAnsi="Times New Roman"/>
                <w:color w:val="auto"/>
                <w:szCs w:val="24"/>
              </w:rPr>
            </w:pPr>
            <w:r w:rsidRPr="00635A00">
              <w:rPr>
                <w:rFonts w:ascii="Times New Roman" w:hAnsi="Times New Roman"/>
                <w:b/>
                <w:bCs/>
                <w:color w:val="auto"/>
                <w:szCs w:val="24"/>
              </w:rPr>
              <w:t>Nota</w:t>
            </w:r>
            <w:r w:rsidRPr="00635A00">
              <w:rPr>
                <w:rFonts w:ascii="Times New Roman" w:hAnsi="Times New Roman"/>
                <w:b/>
                <w:bCs/>
                <w:color w:val="auto"/>
                <w:szCs w:val="24"/>
              </w:rPr>
              <w:t xml:space="preserve"> </w:t>
            </w:r>
            <w:r w:rsidRPr="00635A00">
              <w:rPr>
                <w:rFonts w:ascii="Times New Roman" w:hAnsi="Times New Roman"/>
                <w:b/>
                <w:bCs/>
                <w:color w:val="auto"/>
                <w:szCs w:val="24"/>
              </w:rPr>
              <w:t>2</w:t>
            </w:r>
            <w:r w:rsidRPr="00635A00">
              <w:rPr>
                <w:rFonts w:ascii="Times New Roman" w:hAnsi="Times New Roman"/>
                <w:color w:val="auto"/>
                <w:szCs w:val="24"/>
              </w:rPr>
              <w:t xml:space="preserve">: el </w:t>
            </w:r>
            <w:r w:rsidRPr="00635A00">
              <w:rPr>
                <w:rFonts w:ascii="Times New Roman" w:hAnsi="Times New Roman"/>
                <w:color w:val="auto"/>
                <w:szCs w:val="24"/>
              </w:rPr>
              <w:t>parágrafo 3° del artículo 61 también dispone la derogatoria de “las demás normas procedimentales que contradigan” el contenido del numeral 6 del mismo artículo.</w:t>
            </w:r>
          </w:p>
        </w:tc>
      </w:tr>
    </w:tbl>
    <w:p w:rsidR="001E7718" w:rsidRPr="00635A00" w:rsidRDefault="00635A00" w:rsidP="007B73CC">
      <w:pPr>
        <w:pStyle w:val="Sombreadovistoso-nfasis31"/>
        <w:ind w:left="0"/>
        <w:rPr>
          <w:rFonts w:ascii="Times New Roman" w:hAnsi="Times New Roman" w:cs="Times New Roman"/>
          <w:color w:val="auto"/>
        </w:rPr>
      </w:pPr>
    </w:p>
    <w:p w:rsidR="00694779" w:rsidRPr="00635A00" w:rsidRDefault="00635A00" w:rsidP="001A700F">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suma, las normas cuestionadas hacen parte del conjunto de mecanismos de ejecución del PND</w:t>
      </w:r>
      <w:r w:rsidRPr="00635A00">
        <w:rPr>
          <w:rFonts w:ascii="Times New Roman" w:hAnsi="Times New Roman" w:cs="Times New Roman"/>
          <w:color w:val="auto"/>
        </w:rPr>
        <w:t>,</w:t>
      </w:r>
      <w:r w:rsidRPr="00635A00">
        <w:rPr>
          <w:rFonts w:ascii="Times New Roman" w:hAnsi="Times New Roman" w:cs="Times New Roman"/>
          <w:color w:val="auto"/>
        </w:rPr>
        <w:t xml:space="preserve"> y modifican la estructura del procedimiento único </w:t>
      </w:r>
      <w:r w:rsidRPr="00635A00">
        <w:rPr>
          <w:rFonts w:ascii="Times New Roman" w:hAnsi="Times New Roman" w:cs="Times New Roman"/>
          <w:color w:val="auto"/>
        </w:rPr>
        <w:t>regulado por el Decreto Ley 902 para</w:t>
      </w:r>
      <w:r w:rsidRPr="00635A00">
        <w:rPr>
          <w:rFonts w:ascii="Times New Roman" w:hAnsi="Times New Roman" w:cs="Times New Roman"/>
          <w:color w:val="auto"/>
        </w:rPr>
        <w:t xml:space="preserve"> </w:t>
      </w:r>
      <w:r w:rsidRPr="00635A00">
        <w:rPr>
          <w:rFonts w:ascii="Times New Roman" w:hAnsi="Times New Roman" w:cs="Times New Roman"/>
          <w:color w:val="auto"/>
        </w:rPr>
        <w:t>los asuntos señalados en los numerales 4, 5 y 7 de</w:t>
      </w:r>
      <w:r w:rsidRPr="00635A00">
        <w:rPr>
          <w:rFonts w:ascii="Times New Roman" w:hAnsi="Times New Roman" w:cs="Times New Roman"/>
          <w:color w:val="auto"/>
        </w:rPr>
        <w:t>l artículo 58 de</w:t>
      </w:r>
      <w:r w:rsidRPr="00635A00">
        <w:rPr>
          <w:rFonts w:ascii="Times New Roman" w:hAnsi="Times New Roman" w:cs="Times New Roman"/>
          <w:color w:val="auto"/>
        </w:rPr>
        <w:t xml:space="preserve"> dicha norma, </w:t>
      </w:r>
      <w:r w:rsidRPr="00635A00">
        <w:rPr>
          <w:rFonts w:ascii="Times New Roman" w:hAnsi="Times New Roman" w:cs="Times New Roman"/>
          <w:color w:val="auto"/>
        </w:rPr>
        <w:t>en cuanto</w:t>
      </w:r>
      <w:r w:rsidRPr="00635A00">
        <w:rPr>
          <w:rFonts w:ascii="Times New Roman" w:hAnsi="Times New Roman" w:cs="Times New Roman"/>
          <w:color w:val="auto"/>
        </w:rPr>
        <w:t xml:space="preserve"> (i) suprimen la fase judicial del trámite; (ii) atribuyen a la </w:t>
      </w:r>
      <w:r w:rsidRPr="00635A00">
        <w:rPr>
          <w:rFonts w:ascii="Times New Roman" w:hAnsi="Times New Roman" w:cs="Times New Roman"/>
          <w:color w:val="auto"/>
        </w:rPr>
        <w:t>ANT</w:t>
      </w:r>
      <w:r w:rsidRPr="00635A00">
        <w:rPr>
          <w:rFonts w:ascii="Times New Roman" w:hAnsi="Times New Roman" w:cs="Times New Roman"/>
          <w:color w:val="auto"/>
        </w:rPr>
        <w:t xml:space="preserve"> la competen</w:t>
      </w:r>
      <w:r w:rsidRPr="00635A00">
        <w:rPr>
          <w:rFonts w:ascii="Times New Roman" w:hAnsi="Times New Roman" w:cs="Times New Roman"/>
          <w:color w:val="auto"/>
        </w:rPr>
        <w:t xml:space="preserve">cia para decidir de fondo sobre tales asuntos; (iii) permiten a las partes afectadas la posibilidad de controvertir el acto administrativo a través de la acción de nulidad agraria; y (iv) </w:t>
      </w:r>
      <w:r w:rsidRPr="00635A00">
        <w:rPr>
          <w:rFonts w:ascii="Times New Roman" w:hAnsi="Times New Roman" w:cs="Times New Roman"/>
          <w:color w:val="auto"/>
        </w:rPr>
        <w:t>autorizan a la ANT para que, en el evento de que dicho acto sea obje</w:t>
      </w:r>
      <w:r w:rsidRPr="00635A00">
        <w:rPr>
          <w:rFonts w:ascii="Times New Roman" w:hAnsi="Times New Roman" w:cs="Times New Roman"/>
          <w:color w:val="auto"/>
        </w:rPr>
        <w:t>to de suspensión provisional por orden de autoridad judicial, continúe con la disposición del bien siempre y cuando constituya una garantía para asegurar el cumplimiento de eventuales órdenes judiciales que favorezcan a los demandantes.</w:t>
      </w:r>
    </w:p>
    <w:p w:rsidR="004035A7" w:rsidRPr="00635A00" w:rsidRDefault="00635A00" w:rsidP="004035A7">
      <w:pPr>
        <w:pStyle w:val="Sombreadovistoso-nfasis31"/>
        <w:ind w:left="0"/>
        <w:rPr>
          <w:rFonts w:ascii="Times New Roman" w:hAnsi="Times New Roman" w:cs="Times New Roman"/>
          <w:color w:val="auto"/>
        </w:rPr>
      </w:pPr>
    </w:p>
    <w:p w:rsidR="00B96D66" w:rsidRPr="00635A00" w:rsidRDefault="00635A00" w:rsidP="00F57A96">
      <w:pPr>
        <w:pStyle w:val="Sombreadovistoso-nfasis31"/>
        <w:numPr>
          <w:ilvl w:val="0"/>
          <w:numId w:val="3"/>
        </w:numPr>
        <w:tabs>
          <w:tab w:val="left" w:pos="567"/>
        </w:tabs>
        <w:rPr>
          <w:rFonts w:ascii="Times New Roman" w:hAnsi="Times New Roman" w:cs="Times New Roman"/>
          <w:color w:val="auto"/>
          <w:lang w:val="es-CO" w:eastAsia="es-CO"/>
        </w:rPr>
      </w:pPr>
      <w:r w:rsidRPr="00635A00">
        <w:rPr>
          <w:rFonts w:ascii="Times New Roman" w:hAnsi="Times New Roman" w:cs="Times New Roman"/>
          <w:color w:val="auto"/>
        </w:rPr>
        <w:t>La Corte no pasa p</w:t>
      </w:r>
      <w:r w:rsidRPr="00635A00">
        <w:rPr>
          <w:rFonts w:ascii="Times New Roman" w:hAnsi="Times New Roman" w:cs="Times New Roman"/>
          <w:color w:val="auto"/>
        </w:rPr>
        <w:t xml:space="preserve">or alto que las normas demandadas modificaron </w:t>
      </w:r>
      <w:r w:rsidRPr="00635A00">
        <w:rPr>
          <w:rFonts w:ascii="Times New Roman" w:hAnsi="Times New Roman" w:cs="Times New Roman"/>
          <w:color w:val="auto"/>
        </w:rPr>
        <w:t>disposiciones que están íntimamente ligadas</w:t>
      </w:r>
      <w:r w:rsidRPr="00635A00">
        <w:rPr>
          <w:rFonts w:ascii="Times New Roman" w:hAnsi="Times New Roman" w:cs="Times New Roman"/>
          <w:color w:val="auto"/>
        </w:rPr>
        <w:t xml:space="preserve"> a la implementación del Acuerdo Final de Paz</w:t>
      </w:r>
      <w:r w:rsidRPr="00635A00">
        <w:rPr>
          <w:rStyle w:val="Refdenotaalpie"/>
          <w:rFonts w:ascii="Times New Roman" w:hAnsi="Times New Roman" w:cs="Times New Roman"/>
          <w:color w:val="auto"/>
        </w:rPr>
        <w:footnoteReference w:id="65"/>
      </w:r>
      <w:r w:rsidRPr="00635A00">
        <w:rPr>
          <w:rFonts w:ascii="Times New Roman" w:hAnsi="Times New Roman" w:cs="Times New Roman"/>
          <w:color w:val="auto"/>
        </w:rPr>
        <w:t xml:space="preserve">. </w:t>
      </w:r>
      <w:r w:rsidRPr="00635A00">
        <w:rPr>
          <w:rFonts w:ascii="Times New Roman" w:hAnsi="Times New Roman" w:cs="Times New Roman"/>
          <w:color w:val="auto"/>
        </w:rPr>
        <w:t>En efecto, e</w:t>
      </w:r>
      <w:r w:rsidRPr="00635A00">
        <w:rPr>
          <w:rFonts w:ascii="Times New Roman" w:hAnsi="Times New Roman" w:cs="Times New Roman"/>
          <w:color w:val="auto"/>
          <w:lang w:val="es-CO" w:eastAsia="es-CO"/>
        </w:rPr>
        <w:t xml:space="preserve">l Acto Legislativo 1 de 2016 confirió al presidente de la República facultades para expedir decretos con </w:t>
      </w:r>
      <w:r w:rsidRPr="00635A00">
        <w:rPr>
          <w:rFonts w:ascii="Times New Roman" w:hAnsi="Times New Roman" w:cs="Times New Roman"/>
          <w:color w:val="auto"/>
          <w:lang w:val="es-CO" w:eastAsia="es-CO"/>
        </w:rPr>
        <w:t xml:space="preserve">fuerza de ley que facilitaran y aseguraran la implementación y desarrollo normativo del Acuerdo Final para la Terminación del Conflicto y la Construcción de una Paz Estable y Duradera (en adelante AFP). En ejercicio de esta facultad, el presidente expidió </w:t>
      </w:r>
      <w:r w:rsidRPr="00635A00">
        <w:rPr>
          <w:rFonts w:ascii="Times New Roman" w:hAnsi="Times New Roman" w:cs="Times New Roman"/>
          <w:color w:val="auto"/>
          <w:lang w:val="es-CO" w:eastAsia="es-CO"/>
        </w:rPr>
        <w:t>el Decreto Ley 902 de 2017, “[p]or el cual se adoptan medidas para facilitar la implementación de la Reforma Rural Integral contemplada en el Acuerdo Final en materia de tierras, específicamente, el procedimiento para el acceso y formalización y el Fondo d</w:t>
      </w:r>
      <w:r w:rsidRPr="00635A00">
        <w:rPr>
          <w:rFonts w:ascii="Times New Roman" w:hAnsi="Times New Roman" w:cs="Times New Roman"/>
          <w:color w:val="auto"/>
          <w:lang w:val="es-CO" w:eastAsia="es-CO"/>
        </w:rPr>
        <w:t>e Tierras”</w:t>
      </w:r>
      <w:r w:rsidRPr="00635A00">
        <w:rPr>
          <w:rFonts w:ascii="Times New Roman" w:hAnsi="Times New Roman" w:cs="Times New Roman"/>
          <w:color w:val="auto"/>
          <w:lang w:val="es-CO" w:eastAsia="es-CO"/>
        </w:rPr>
        <w:t>.</w:t>
      </w:r>
      <w:r w:rsidRPr="00635A00">
        <w:rPr>
          <w:rFonts w:ascii="Times New Roman" w:hAnsi="Times New Roman" w:cs="Times New Roman"/>
          <w:color w:val="auto"/>
          <w:lang w:val="es-CO" w:eastAsia="es-CO"/>
        </w:rPr>
        <w:t xml:space="preserve"> El numeral 6 y el parágrafo 3 del artículo 61 de la Ley 2294 modifican y derogan, respectivamente, algunas de las disposiciones del citado Decreto Ley 902.</w:t>
      </w:r>
    </w:p>
    <w:p w:rsidR="00B96D66" w:rsidRPr="00635A00" w:rsidRDefault="00635A00" w:rsidP="00B96D66">
      <w:pPr>
        <w:pStyle w:val="Prrafodelista"/>
        <w:rPr>
          <w:rFonts w:ascii="Times New Roman" w:hAnsi="Times New Roman" w:cs="Times New Roman"/>
          <w:color w:val="auto"/>
          <w:lang w:val="es-CO" w:eastAsia="es-CO"/>
        </w:rPr>
      </w:pPr>
    </w:p>
    <w:p w:rsidR="004035A7" w:rsidRPr="00635A00" w:rsidRDefault="00635A00" w:rsidP="001A700F">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w:t>
      </w:r>
      <w:r w:rsidRPr="00635A00">
        <w:rPr>
          <w:rFonts w:ascii="Times New Roman" w:hAnsi="Times New Roman" w:cs="Times New Roman"/>
          <w:color w:val="auto"/>
        </w:rPr>
        <w:t xml:space="preserve">l </w:t>
      </w:r>
      <w:r w:rsidRPr="00635A00">
        <w:rPr>
          <w:rFonts w:ascii="Times New Roman" w:hAnsi="Times New Roman" w:cs="Times New Roman"/>
          <w:color w:val="auto"/>
        </w:rPr>
        <w:t xml:space="preserve">contenido del </w:t>
      </w:r>
      <w:r w:rsidRPr="00635A00">
        <w:rPr>
          <w:rFonts w:ascii="Times New Roman" w:hAnsi="Times New Roman" w:cs="Times New Roman"/>
          <w:color w:val="auto"/>
        </w:rPr>
        <w:t>Decreto Ley 902</w:t>
      </w:r>
      <w:r w:rsidRPr="00635A00">
        <w:rPr>
          <w:rFonts w:ascii="Times New Roman" w:hAnsi="Times New Roman" w:cs="Times New Roman"/>
          <w:color w:val="auto"/>
        </w:rPr>
        <w:t xml:space="preserve"> no solo recoge los resultados del proceso político, so</w:t>
      </w:r>
      <w:r w:rsidRPr="00635A00">
        <w:rPr>
          <w:rFonts w:ascii="Times New Roman" w:hAnsi="Times New Roman" w:cs="Times New Roman"/>
          <w:color w:val="auto"/>
        </w:rPr>
        <w:t xml:space="preserve">cial y democrático que resultó en dicho Acuerdo Final, sino que además </w:t>
      </w:r>
      <w:r w:rsidRPr="00635A00">
        <w:rPr>
          <w:rFonts w:ascii="Times New Roman" w:hAnsi="Times New Roman" w:cs="Times New Roman"/>
          <w:color w:val="auto"/>
        </w:rPr>
        <w:t>fue</w:t>
      </w:r>
      <w:r w:rsidRPr="00635A00">
        <w:rPr>
          <w:rFonts w:ascii="Times New Roman" w:hAnsi="Times New Roman" w:cs="Times New Roman"/>
          <w:color w:val="auto"/>
        </w:rPr>
        <w:t xml:space="preserve"> sometid</w:t>
      </w:r>
      <w:r w:rsidRPr="00635A00">
        <w:rPr>
          <w:rFonts w:ascii="Times New Roman" w:hAnsi="Times New Roman" w:cs="Times New Roman"/>
          <w:color w:val="auto"/>
        </w:rPr>
        <w:t>o</w:t>
      </w:r>
      <w:r w:rsidRPr="00635A00">
        <w:rPr>
          <w:rFonts w:ascii="Times New Roman" w:hAnsi="Times New Roman" w:cs="Times New Roman"/>
          <w:color w:val="auto"/>
        </w:rPr>
        <w:t xml:space="preserve"> a consulta previa </w:t>
      </w:r>
      <w:r w:rsidRPr="00635A00">
        <w:rPr>
          <w:rFonts w:ascii="Times New Roman" w:hAnsi="Times New Roman" w:cs="Times New Roman"/>
          <w:color w:val="auto"/>
        </w:rPr>
        <w:t xml:space="preserve">con las comunidades y </w:t>
      </w:r>
      <w:r w:rsidRPr="00635A00">
        <w:rPr>
          <w:rFonts w:ascii="Times New Roman" w:hAnsi="Times New Roman" w:cs="Times New Roman"/>
          <w:color w:val="auto"/>
        </w:rPr>
        <w:t>a control previo e integral de constitucionalidad por parte de esta Corporación</w:t>
      </w:r>
      <w:r w:rsidRPr="00635A00">
        <w:rPr>
          <w:rStyle w:val="Refdenotaalpie"/>
          <w:rFonts w:ascii="Times New Roman" w:hAnsi="Times New Roman" w:cs="Times New Roman"/>
          <w:color w:val="auto"/>
        </w:rPr>
        <w:footnoteReference w:id="66"/>
      </w:r>
      <w:r w:rsidRPr="00635A00">
        <w:rPr>
          <w:rFonts w:ascii="Times New Roman" w:hAnsi="Times New Roman" w:cs="Times New Roman"/>
          <w:color w:val="auto"/>
        </w:rPr>
        <w:t>, por tratarse una norma especial expedida por el pr</w:t>
      </w:r>
      <w:r w:rsidRPr="00635A00">
        <w:rPr>
          <w:rFonts w:ascii="Times New Roman" w:hAnsi="Times New Roman" w:cs="Times New Roman"/>
          <w:color w:val="auto"/>
        </w:rPr>
        <w:t>esidente de la República al amparo del Acto Legislativo 1 de 2016</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Esto, desde luego, </w:t>
      </w:r>
      <w:r w:rsidRPr="00635A00">
        <w:rPr>
          <w:rFonts w:ascii="Times New Roman" w:hAnsi="Times New Roman" w:cs="Times New Roman"/>
          <w:color w:val="auto"/>
        </w:rPr>
        <w:t xml:space="preserve">no </w:t>
      </w:r>
      <w:r w:rsidRPr="00635A00">
        <w:rPr>
          <w:rFonts w:ascii="Times New Roman" w:hAnsi="Times New Roman" w:cs="Times New Roman"/>
          <w:color w:val="auto"/>
        </w:rPr>
        <w:t>impide</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que </w:t>
      </w:r>
      <w:r w:rsidRPr="00635A00">
        <w:rPr>
          <w:rFonts w:ascii="Times New Roman" w:hAnsi="Times New Roman" w:cs="Times New Roman"/>
          <w:color w:val="auto"/>
        </w:rPr>
        <w:t xml:space="preserve">el </w:t>
      </w:r>
      <w:r w:rsidRPr="00635A00">
        <w:rPr>
          <w:rFonts w:ascii="Times New Roman" w:hAnsi="Times New Roman" w:cs="Times New Roman"/>
          <w:color w:val="auto"/>
        </w:rPr>
        <w:t>l</w:t>
      </w:r>
      <w:r w:rsidRPr="00635A00">
        <w:rPr>
          <w:rFonts w:ascii="Times New Roman" w:hAnsi="Times New Roman" w:cs="Times New Roman"/>
          <w:color w:val="auto"/>
        </w:rPr>
        <w:t xml:space="preserve">egislador </w:t>
      </w:r>
      <w:r w:rsidRPr="00635A00">
        <w:rPr>
          <w:rFonts w:ascii="Times New Roman" w:hAnsi="Times New Roman" w:cs="Times New Roman"/>
          <w:color w:val="auto"/>
        </w:rPr>
        <w:t>pueda reformar estas disposiciones en el ámbito de sus competencias</w:t>
      </w:r>
      <w:r w:rsidRPr="00635A00">
        <w:rPr>
          <w:rFonts w:ascii="Times New Roman" w:hAnsi="Times New Roman" w:cs="Times New Roman"/>
          <w:color w:val="auto"/>
        </w:rPr>
        <w:t xml:space="preserve">, pero sí </w:t>
      </w:r>
      <w:r w:rsidRPr="00635A00">
        <w:rPr>
          <w:rFonts w:ascii="Times New Roman" w:hAnsi="Times New Roman" w:cs="Times New Roman"/>
          <w:color w:val="auto"/>
        </w:rPr>
        <w:t xml:space="preserve">justifica </w:t>
      </w:r>
      <w:r w:rsidRPr="00635A00">
        <w:rPr>
          <w:rFonts w:ascii="Times New Roman" w:hAnsi="Times New Roman" w:cs="Times New Roman"/>
          <w:color w:val="auto"/>
        </w:rPr>
        <w:t>una mayor</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cautela </w:t>
      </w:r>
      <w:r w:rsidRPr="00635A00">
        <w:rPr>
          <w:rFonts w:ascii="Times New Roman" w:hAnsi="Times New Roman" w:cs="Times New Roman"/>
          <w:color w:val="auto"/>
        </w:rPr>
        <w:t xml:space="preserve">en </w:t>
      </w:r>
      <w:r w:rsidRPr="00635A00">
        <w:rPr>
          <w:rFonts w:ascii="Times New Roman" w:hAnsi="Times New Roman" w:cs="Times New Roman"/>
          <w:color w:val="auto"/>
        </w:rPr>
        <w:t>el control de constitucionalidad</w:t>
      </w:r>
      <w:r w:rsidRPr="00635A00">
        <w:rPr>
          <w:rFonts w:ascii="Times New Roman" w:hAnsi="Times New Roman" w:cs="Times New Roman"/>
          <w:color w:val="auto"/>
        </w:rPr>
        <w:t xml:space="preserve"> que de las normas que las modifican o derogan</w:t>
      </w:r>
      <w:r w:rsidRPr="00635A00">
        <w:rPr>
          <w:rFonts w:ascii="Times New Roman" w:hAnsi="Times New Roman" w:cs="Times New Roman"/>
          <w:color w:val="auto"/>
        </w:rPr>
        <w:t>,</w:t>
      </w:r>
      <w:r w:rsidRPr="00635A00">
        <w:rPr>
          <w:rFonts w:ascii="Times New Roman" w:hAnsi="Times New Roman" w:cs="Times New Roman"/>
          <w:color w:val="auto"/>
        </w:rPr>
        <w:t xml:space="preserve"> habida cuenta de la importancia que </w:t>
      </w:r>
      <w:r w:rsidRPr="00635A00">
        <w:rPr>
          <w:rFonts w:ascii="Times New Roman" w:hAnsi="Times New Roman" w:cs="Times New Roman"/>
          <w:color w:val="auto"/>
        </w:rPr>
        <w:t>tales disposiciones</w:t>
      </w:r>
      <w:r w:rsidRPr="00635A00">
        <w:rPr>
          <w:rFonts w:ascii="Times New Roman" w:hAnsi="Times New Roman" w:cs="Times New Roman"/>
          <w:color w:val="auto"/>
        </w:rPr>
        <w:t xml:space="preserve"> revisten </w:t>
      </w:r>
      <w:r w:rsidRPr="00635A00">
        <w:rPr>
          <w:rFonts w:ascii="Times New Roman" w:hAnsi="Times New Roman" w:cs="Times New Roman"/>
          <w:color w:val="auto"/>
        </w:rPr>
        <w:t xml:space="preserve">como herramientas </w:t>
      </w:r>
      <w:r w:rsidRPr="00635A00">
        <w:rPr>
          <w:rFonts w:ascii="Times New Roman" w:hAnsi="Times New Roman" w:cs="Times New Roman"/>
          <w:color w:val="auto"/>
        </w:rPr>
        <w:t xml:space="preserve">para </w:t>
      </w:r>
      <w:r w:rsidRPr="00635A00">
        <w:rPr>
          <w:rFonts w:ascii="Times New Roman" w:hAnsi="Times New Roman" w:cs="Times New Roman"/>
          <w:color w:val="auto"/>
        </w:rPr>
        <w:t xml:space="preserve">logar la </w:t>
      </w:r>
      <w:r w:rsidRPr="00635A00">
        <w:rPr>
          <w:rFonts w:ascii="Times New Roman" w:hAnsi="Times New Roman" w:cs="Times New Roman"/>
          <w:color w:val="auto"/>
        </w:rPr>
        <w:t xml:space="preserve">verdadera </w:t>
      </w:r>
      <w:r w:rsidRPr="00635A00">
        <w:rPr>
          <w:rFonts w:ascii="Times New Roman" w:hAnsi="Times New Roman" w:cs="Times New Roman"/>
          <w:color w:val="auto"/>
        </w:rPr>
        <w:t xml:space="preserve">terminación del conflicto armado interno </w:t>
      </w:r>
      <w:r w:rsidRPr="00635A00">
        <w:rPr>
          <w:rFonts w:ascii="Times New Roman" w:hAnsi="Times New Roman" w:cs="Times New Roman"/>
          <w:color w:val="auto"/>
        </w:rPr>
        <w:t>y la consolidación de la convivencia pacífica</w:t>
      </w:r>
      <w:r w:rsidRPr="00635A00">
        <w:rPr>
          <w:rFonts w:ascii="Times New Roman" w:hAnsi="Times New Roman" w:cs="Times New Roman"/>
          <w:color w:val="auto"/>
        </w:rPr>
        <w:t xml:space="preserve"> en el país</w:t>
      </w:r>
      <w:r w:rsidRPr="00635A00">
        <w:rPr>
          <w:rStyle w:val="Refdenotaalpie"/>
          <w:rFonts w:ascii="Times New Roman" w:hAnsi="Times New Roman" w:cs="Times New Roman"/>
          <w:color w:val="auto"/>
        </w:rPr>
        <w:footnoteReference w:id="67"/>
      </w:r>
      <w:r w:rsidRPr="00635A00">
        <w:rPr>
          <w:rFonts w:ascii="Times New Roman" w:hAnsi="Times New Roman" w:cs="Times New Roman"/>
          <w:color w:val="auto"/>
        </w:rPr>
        <w:t>.</w:t>
      </w:r>
    </w:p>
    <w:p w:rsidR="002572E8" w:rsidRPr="00635A00" w:rsidRDefault="00635A00" w:rsidP="002572E8">
      <w:pPr>
        <w:rPr>
          <w:rFonts w:ascii="Times New Roman" w:hAnsi="Times New Roman" w:cs="Times New Roman"/>
          <w:sz w:val="28"/>
        </w:rPr>
      </w:pPr>
    </w:p>
    <w:p w:rsidR="00EF09F4" w:rsidRPr="00635A00" w:rsidRDefault="00635A00" w:rsidP="00EF09F4">
      <w:pPr>
        <w:pStyle w:val="Prrafodelista"/>
        <w:widowControl/>
        <w:numPr>
          <w:ilvl w:val="0"/>
          <w:numId w:val="17"/>
        </w:numPr>
        <w:tabs>
          <w:tab w:val="left" w:pos="1134"/>
        </w:tabs>
        <w:ind w:left="1134" w:hanging="567"/>
        <w:contextualSpacing/>
        <w:rPr>
          <w:rFonts w:ascii="Times New Roman" w:hAnsi="Times New Roman" w:cs="Times New Roman"/>
          <w:b/>
          <w:bCs/>
          <w:color w:val="auto"/>
        </w:rPr>
      </w:pPr>
      <w:r w:rsidRPr="00635A00">
        <w:rPr>
          <w:rFonts w:ascii="Times New Roman" w:hAnsi="Times New Roman" w:cs="Times New Roman"/>
          <w:b/>
          <w:bCs/>
          <w:color w:val="auto"/>
        </w:rPr>
        <w:t xml:space="preserve">Examen del cargo por violación del principio de publicidad </w:t>
      </w:r>
    </w:p>
    <w:p w:rsidR="00EF09F4" w:rsidRPr="00635A00" w:rsidRDefault="00635A00" w:rsidP="00EF09F4">
      <w:pPr>
        <w:autoSpaceDE w:val="0"/>
        <w:autoSpaceDN w:val="0"/>
        <w:adjustRightInd w:val="0"/>
        <w:spacing w:before="1"/>
        <w:ind w:right="103"/>
        <w:contextualSpacing/>
        <w:jc w:val="both"/>
        <w:rPr>
          <w:rFonts w:ascii="Times New Roman" w:hAnsi="Times New Roman" w:cs="Times New Roman"/>
          <w:bCs/>
          <w:sz w:val="28"/>
          <w:szCs w:val="28"/>
          <w:lang w:val="es-ES"/>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La jurisprudencia constitucional ha señalado que “las proposiciones son el instrumento a través del cual los participantes en el debate legislativo pueden formular alternativas de regulación sobr</w:t>
      </w:r>
      <w:r w:rsidRPr="00635A00">
        <w:rPr>
          <w:rFonts w:ascii="Times New Roman" w:hAnsi="Times New Roman" w:cs="Times New Roman"/>
          <w:color w:val="auto"/>
        </w:rPr>
        <w:t>e los proyectos de ley o actos legislativos objeto de discusión”</w:t>
      </w:r>
      <w:r w:rsidRPr="00635A00">
        <w:rPr>
          <w:rStyle w:val="Refdenotaalpie"/>
          <w:rFonts w:ascii="Times New Roman" w:hAnsi="Times New Roman" w:cs="Times New Roman"/>
          <w:color w:val="auto"/>
        </w:rPr>
        <w:footnoteReference w:id="68"/>
      </w:r>
      <w:r w:rsidRPr="00635A00">
        <w:rPr>
          <w:rFonts w:ascii="Times New Roman" w:hAnsi="Times New Roman" w:cs="Times New Roman"/>
          <w:color w:val="auto"/>
        </w:rPr>
        <w:t>. Una vez presentadas, es obligación de la mesa directiva del órgano legislativo respectivo someterlas a debate</w:t>
      </w:r>
      <w:r w:rsidRPr="00635A00">
        <w:rPr>
          <w:rStyle w:val="Refdenotaalpie"/>
          <w:rFonts w:ascii="Times New Roman" w:hAnsi="Times New Roman" w:cs="Times New Roman"/>
          <w:color w:val="auto"/>
        </w:rPr>
        <w:footnoteReference w:id="69"/>
      </w:r>
      <w:r w:rsidRPr="00635A00">
        <w:rPr>
          <w:rFonts w:ascii="Times New Roman" w:hAnsi="Times New Roman" w:cs="Times New Roman"/>
          <w:color w:val="auto"/>
        </w:rPr>
        <w:t>, previa garantía del principio de publicidad. Este principio exige que el cont</w:t>
      </w:r>
      <w:r w:rsidRPr="00635A00">
        <w:rPr>
          <w:rFonts w:ascii="Times New Roman" w:hAnsi="Times New Roman" w:cs="Times New Roman"/>
          <w:color w:val="auto"/>
        </w:rPr>
        <w:t>enido de la proposición sea conocido por los congresistas, o que estos al menos contaron con la posibilidad real de conocerlo.</w:t>
      </w:r>
    </w:p>
    <w:p w:rsidR="00EF09F4" w:rsidRPr="00635A00" w:rsidRDefault="00635A00" w:rsidP="00EF09F4">
      <w:pPr>
        <w:autoSpaceDE w:val="0"/>
        <w:autoSpaceDN w:val="0"/>
        <w:adjustRightInd w:val="0"/>
        <w:spacing w:before="1"/>
        <w:ind w:right="103"/>
        <w:contextualSpacing/>
        <w:jc w:val="both"/>
        <w:rPr>
          <w:rFonts w:ascii="Times New Roman" w:hAnsi="Times New Roman" w:cs="Times New Roman"/>
          <w:bCs/>
          <w:sz w:val="28"/>
          <w:szCs w:val="28"/>
          <w:lang w:val="es-ES"/>
        </w:rPr>
      </w:pPr>
    </w:p>
    <w:p w:rsidR="00EF09F4" w:rsidRPr="00635A00" w:rsidRDefault="00635A00" w:rsidP="00EF09F4">
      <w:pPr>
        <w:autoSpaceDE w:val="0"/>
        <w:autoSpaceDN w:val="0"/>
        <w:adjustRightInd w:val="0"/>
        <w:spacing w:before="1"/>
        <w:ind w:right="103"/>
        <w:contextualSpacing/>
        <w:jc w:val="both"/>
        <w:rPr>
          <w:rFonts w:ascii="Times New Roman" w:hAnsi="Times New Roman" w:cs="Times New Roman"/>
          <w:b/>
          <w:bCs/>
          <w:sz w:val="28"/>
          <w:szCs w:val="28"/>
        </w:rPr>
      </w:pPr>
      <w:r w:rsidRPr="00635A00">
        <w:rPr>
          <w:rFonts w:ascii="Times New Roman" w:hAnsi="Times New Roman" w:cs="Times New Roman"/>
          <w:b/>
          <w:bCs/>
          <w:sz w:val="28"/>
          <w:szCs w:val="28"/>
        </w:rPr>
        <w:t>Los parámetros constitucionales sobre la publicidad de las proposiciones. Reiteración de jurisprudencia</w:t>
      </w:r>
      <w:r w:rsidRPr="00635A00">
        <w:rPr>
          <w:rStyle w:val="Refdenotaalpie"/>
          <w:rFonts w:ascii="Times New Roman" w:hAnsi="Times New Roman" w:cs="Times New Roman"/>
          <w:b/>
          <w:bCs/>
          <w:sz w:val="28"/>
        </w:rPr>
        <w:footnoteReference w:id="70"/>
      </w:r>
    </w:p>
    <w:p w:rsidR="00EF09F4" w:rsidRPr="00635A00" w:rsidRDefault="00635A00" w:rsidP="00EF09F4">
      <w:pPr>
        <w:pStyle w:val="Sombreadovistoso-nfasis31"/>
        <w:ind w:left="0"/>
        <w:rPr>
          <w:rFonts w:ascii="Times New Roman" w:hAnsi="Times New Roman" w:cs="Times New Roman"/>
          <w:color w:val="auto"/>
        </w:rPr>
      </w:pPr>
    </w:p>
    <w:p w:rsidR="00EF09F4" w:rsidRPr="00635A00" w:rsidRDefault="00635A00" w:rsidP="00EF09F4">
      <w:pPr>
        <w:pStyle w:val="Sombreadovistoso-nfasis31"/>
        <w:numPr>
          <w:ilvl w:val="0"/>
          <w:numId w:val="3"/>
        </w:numPr>
        <w:rPr>
          <w:rFonts w:ascii="Times New Roman" w:hAnsi="Times New Roman" w:cs="Times New Roman"/>
          <w:color w:val="auto"/>
        </w:rPr>
      </w:pPr>
      <w:bookmarkStart w:id="16" w:name="_Ref173926933"/>
      <w:r w:rsidRPr="00635A00">
        <w:rPr>
          <w:rFonts w:ascii="Times New Roman" w:hAnsi="Times New Roman" w:cs="Times New Roman"/>
          <w:color w:val="auto"/>
        </w:rPr>
        <w:t xml:space="preserve">El principio de </w:t>
      </w:r>
      <w:r w:rsidRPr="00635A00">
        <w:rPr>
          <w:rFonts w:ascii="Times New Roman" w:hAnsi="Times New Roman" w:cs="Times New Roman"/>
          <w:color w:val="auto"/>
        </w:rPr>
        <w:t>publicidad que rige el trámite legislativo tiene importantes finalidades en el proceso de formación de la ley</w:t>
      </w:r>
      <w:r w:rsidRPr="00635A00">
        <w:rPr>
          <w:rStyle w:val="Refdenotaalpie"/>
          <w:rFonts w:ascii="Times New Roman" w:hAnsi="Times New Roman" w:cs="Times New Roman"/>
          <w:color w:val="auto"/>
        </w:rPr>
        <w:footnoteReference w:id="71"/>
      </w:r>
      <w:r w:rsidRPr="00635A00">
        <w:rPr>
          <w:rFonts w:ascii="Times New Roman" w:hAnsi="Times New Roman" w:cs="Times New Roman"/>
          <w:color w:val="auto"/>
        </w:rPr>
        <w:t>. Así, la jurisprudencia</w:t>
      </w:r>
      <w:r w:rsidRPr="00635A00">
        <w:rPr>
          <w:rStyle w:val="Refdenotaalpie"/>
          <w:rFonts w:ascii="Times New Roman" w:hAnsi="Times New Roman" w:cs="Times New Roman"/>
          <w:color w:val="auto"/>
        </w:rPr>
        <w:footnoteReference w:id="72"/>
      </w:r>
      <w:r w:rsidRPr="00635A00">
        <w:rPr>
          <w:rFonts w:ascii="Times New Roman" w:hAnsi="Times New Roman" w:cs="Times New Roman"/>
          <w:color w:val="auto"/>
        </w:rPr>
        <w:t xml:space="preserve"> ha señalado que: (i) e</w:t>
      </w:r>
      <w:r w:rsidRPr="00635A00">
        <w:rPr>
          <w:rFonts w:ascii="Times New Roman" w:hAnsi="Times New Roman" w:cs="Times New Roman"/>
          <w:color w:val="auto"/>
          <w:shd w:val="clear" w:color="auto" w:fill="FFFFFF"/>
        </w:rPr>
        <w:t>s una garantía de transparencia para el ejercicio deliberativo del Congreso</w:t>
      </w:r>
      <w:r w:rsidRPr="00635A00">
        <w:rPr>
          <w:rFonts w:ascii="Times New Roman" w:hAnsi="Times New Roman" w:cs="Times New Roman"/>
          <w:color w:val="auto"/>
        </w:rPr>
        <w:t>; (ii) posibilita el de</w:t>
      </w:r>
      <w:r w:rsidRPr="00635A00">
        <w:rPr>
          <w:rFonts w:ascii="Times New Roman" w:hAnsi="Times New Roman" w:cs="Times New Roman"/>
          <w:color w:val="auto"/>
        </w:rPr>
        <w:t>bate democrático; (iii) brinda las condiciones necesarias para que la ciudadanía pueda conocer el proceso de formación de las leyes; y (iv) contribuye con el ejercicio del control político de los ciudadanos sobre sus representantes. En otros términos, el p</w:t>
      </w:r>
      <w:r w:rsidRPr="00635A00">
        <w:rPr>
          <w:rFonts w:ascii="Times New Roman" w:hAnsi="Times New Roman" w:cs="Times New Roman"/>
          <w:color w:val="auto"/>
        </w:rPr>
        <w:t>rincipio de publicidad es central al procedimiento de formación de las leyes, pues el desconocimiento del objeto del debate, ya sea del proyecto de ley o de las proposiciones, imposibilita la deliberación y la decisión. Como esta Corte lo ha precisado: “no</w:t>
      </w:r>
      <w:r w:rsidRPr="00635A00">
        <w:rPr>
          <w:rFonts w:ascii="Times New Roman" w:hAnsi="Times New Roman" w:cs="Times New Roman"/>
          <w:color w:val="auto"/>
        </w:rPr>
        <w:t xml:space="preserve"> puede existir debate en los términos del Reglamento del Congreso si los congresistas no conocen de manera previa el contenido integral de los proyectos o proposiciones”</w:t>
      </w:r>
      <w:r w:rsidRPr="00635A00">
        <w:rPr>
          <w:rStyle w:val="Refdenotaalpie"/>
          <w:rFonts w:ascii="Times New Roman" w:hAnsi="Times New Roman" w:cs="Times New Roman"/>
          <w:color w:val="auto"/>
        </w:rPr>
        <w:footnoteReference w:id="73"/>
      </w:r>
      <w:r w:rsidRPr="00635A00">
        <w:rPr>
          <w:rFonts w:ascii="Times New Roman" w:hAnsi="Times New Roman" w:cs="Times New Roman"/>
          <w:color w:val="auto"/>
        </w:rPr>
        <w:t>.</w:t>
      </w:r>
      <w:bookmarkEnd w:id="16"/>
    </w:p>
    <w:p w:rsidR="00EF09F4" w:rsidRPr="00635A00" w:rsidRDefault="00635A00" w:rsidP="00EF09F4">
      <w:pPr>
        <w:autoSpaceDE w:val="0"/>
        <w:autoSpaceDN w:val="0"/>
        <w:adjustRightInd w:val="0"/>
        <w:spacing w:before="1"/>
        <w:ind w:right="103"/>
        <w:jc w:val="both"/>
        <w:rPr>
          <w:rFonts w:ascii="Times New Roman" w:hAnsi="Times New Roman" w:cs="Times New Roman"/>
          <w:sz w:val="28"/>
          <w:szCs w:val="28"/>
          <w:lang w:val="es-ES"/>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Al analizar la publicidad la Corte tiene en cuenta otros principios como el de la </w:t>
      </w:r>
      <w:r w:rsidRPr="00635A00">
        <w:rPr>
          <w:rFonts w:ascii="Times New Roman" w:hAnsi="Times New Roman" w:cs="Times New Roman"/>
          <w:color w:val="auto"/>
        </w:rPr>
        <w:t>instrumentalidad de las formas, la celeridad del procedimiento, la regla de las mayorías y la representación de las minorías. Así mismo, la jurisprudencia ha señalado que el rigor del control de este requisito varía de acuerdo con la materia examinada. Así</w:t>
      </w:r>
      <w:r w:rsidRPr="00635A00">
        <w:rPr>
          <w:rFonts w:ascii="Times New Roman" w:hAnsi="Times New Roman" w:cs="Times New Roman"/>
          <w:color w:val="auto"/>
        </w:rPr>
        <w:t>, por ejemplo, si se trata de disposiciones tributarias la verificación del cumplimiento del principio de publicidad es más estricta en atención al principio de legalidad en materia impositiva</w:t>
      </w:r>
      <w:r w:rsidRPr="00635A00">
        <w:rPr>
          <w:rStyle w:val="Refdenotaalpie"/>
          <w:rFonts w:ascii="Times New Roman" w:hAnsi="Times New Roman" w:cs="Times New Roman"/>
          <w:color w:val="auto"/>
        </w:rPr>
        <w:footnoteReference w:id="74"/>
      </w:r>
      <w:r w:rsidRPr="00635A00">
        <w:rPr>
          <w:rFonts w:ascii="Times New Roman" w:hAnsi="Times New Roman" w:cs="Times New Roman"/>
          <w:color w:val="auto"/>
        </w:rPr>
        <w:t xml:space="preserve">. Por su parte, en razón de las especificidades del trámite de </w:t>
      </w:r>
      <w:r w:rsidRPr="00635A00">
        <w:rPr>
          <w:rFonts w:ascii="Times New Roman" w:hAnsi="Times New Roman" w:cs="Times New Roman"/>
          <w:color w:val="auto"/>
        </w:rPr>
        <w:t xml:space="preserve">aprobación de la Ley del Plan Nacional de Desarrollo desarrolladas en los fundamentos jurídicos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_Ref173913107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49</w:t>
      </w:r>
      <w:r w:rsidRPr="00635A00">
        <w:rPr>
          <w:rFonts w:ascii="Times New Roman" w:hAnsi="Times New Roman" w:cs="Times New Roman"/>
          <w:color w:val="auto"/>
        </w:rPr>
        <w:fldChar w:fldCharType="end"/>
      </w:r>
      <w:r w:rsidRPr="00635A00">
        <w:rPr>
          <w:rFonts w:ascii="Times New Roman" w:hAnsi="Times New Roman" w:cs="Times New Roman"/>
          <w:color w:val="auto"/>
        </w:rPr>
        <w:t xml:space="preserve"> a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_Ref173913126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52</w:t>
      </w:r>
      <w:r w:rsidRPr="00635A00">
        <w:rPr>
          <w:rFonts w:ascii="Times New Roman" w:hAnsi="Times New Roman" w:cs="Times New Roman"/>
          <w:color w:val="auto"/>
        </w:rPr>
        <w:fldChar w:fldCharType="end"/>
      </w:r>
      <w:r w:rsidRPr="00635A00">
        <w:rPr>
          <w:rStyle w:val="Refdenotaalpie"/>
          <w:rFonts w:ascii="Times New Roman" w:hAnsi="Times New Roman" w:cs="Times New Roman"/>
          <w:color w:val="auto"/>
        </w:rPr>
        <w:footnoteReference w:id="75"/>
      </w:r>
      <w:r w:rsidRPr="00635A00">
        <w:rPr>
          <w:rFonts w:ascii="Times New Roman" w:hAnsi="Times New Roman" w:cs="Times New Roman"/>
          <w:color w:val="auto"/>
        </w:rPr>
        <w:t xml:space="preserve">, la Corte ha indicado que el principio de publicidad debe observarse con mayor cuidado, pero sin que ello implique que el juicio sobre su cumplimiento sea igual de estricto al de las normas </w:t>
      </w:r>
      <w:r w:rsidRPr="00635A00">
        <w:rPr>
          <w:rFonts w:ascii="Times New Roman" w:hAnsi="Times New Roman" w:cs="Times New Roman"/>
          <w:color w:val="auto"/>
        </w:rPr>
        <w:t>tributarias</w:t>
      </w:r>
      <w:r w:rsidRPr="00635A00">
        <w:rPr>
          <w:rStyle w:val="Refdenotaalpie"/>
          <w:rFonts w:ascii="Times New Roman" w:hAnsi="Times New Roman" w:cs="Times New Roman"/>
          <w:color w:val="auto"/>
        </w:rPr>
        <w:footnoteReference w:id="76"/>
      </w:r>
      <w:r w:rsidRPr="00635A00">
        <w:rPr>
          <w:rFonts w:ascii="Times New Roman" w:hAnsi="Times New Roman" w:cs="Times New Roman"/>
          <w:color w:val="auto"/>
        </w:rPr>
        <w:t>.</w:t>
      </w:r>
    </w:p>
    <w:p w:rsidR="00EF09F4" w:rsidRPr="00635A00" w:rsidRDefault="00635A00" w:rsidP="00EF09F4">
      <w:pPr>
        <w:autoSpaceDE w:val="0"/>
        <w:autoSpaceDN w:val="0"/>
        <w:adjustRightInd w:val="0"/>
        <w:spacing w:before="1"/>
        <w:ind w:right="103"/>
        <w:jc w:val="both"/>
        <w:rPr>
          <w:rFonts w:ascii="Times New Roman" w:hAnsi="Times New Roman" w:cs="Times New Roman"/>
          <w:sz w:val="28"/>
          <w:szCs w:val="28"/>
          <w:lang w:val="es-ES"/>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Como esta Corporación también lo ha indicado, el principio de publicidad se concreta en una serie de reglas definidas a lo largo del proceso de formación de las leyes. Así, en lo que respecta a la publicidad de las proposiciones, la Ley 5 de</w:t>
      </w:r>
      <w:r w:rsidRPr="00635A00">
        <w:rPr>
          <w:rFonts w:ascii="Times New Roman" w:hAnsi="Times New Roman" w:cs="Times New Roman"/>
          <w:color w:val="auto"/>
        </w:rPr>
        <w:t xml:space="preserve"> 1992 establece que estas </w:t>
      </w:r>
      <w:r w:rsidRPr="00635A00">
        <w:rPr>
          <w:rFonts w:ascii="Times New Roman" w:hAnsi="Times New Roman" w:cs="Times New Roman"/>
          <w:color w:val="auto"/>
          <w:shd w:val="clear" w:color="auto" w:fill="FFFFFF"/>
        </w:rPr>
        <w:t>deben: (i) constar en las actas de las sesiones</w:t>
      </w:r>
      <w:r w:rsidRPr="00635A00">
        <w:rPr>
          <w:rStyle w:val="Refdenotaalpie"/>
          <w:rFonts w:ascii="Times New Roman" w:hAnsi="Times New Roman" w:cs="Times New Roman"/>
          <w:color w:val="auto"/>
          <w:shd w:val="clear" w:color="auto" w:fill="FFFFFF"/>
        </w:rPr>
        <w:footnoteReference w:id="77"/>
      </w:r>
      <w:r w:rsidRPr="00635A00">
        <w:rPr>
          <w:rFonts w:ascii="Times New Roman" w:hAnsi="Times New Roman" w:cs="Times New Roman"/>
          <w:color w:val="auto"/>
          <w:shd w:val="clear" w:color="auto" w:fill="FFFFFF"/>
        </w:rPr>
        <w:t xml:space="preserve">, y </w:t>
      </w:r>
      <w:r w:rsidRPr="00635A00">
        <w:rPr>
          <w:rFonts w:ascii="Times New Roman" w:hAnsi="Times New Roman" w:cs="Times New Roman"/>
          <w:color w:val="auto"/>
        </w:rPr>
        <w:t>(ii) ser leídas antes de abrirse el debate sobre ellas</w:t>
      </w:r>
      <w:r w:rsidRPr="00635A00">
        <w:rPr>
          <w:rStyle w:val="Refdenotaalpie"/>
          <w:rFonts w:ascii="Times New Roman" w:hAnsi="Times New Roman" w:cs="Times New Roman"/>
          <w:color w:val="auto"/>
        </w:rPr>
        <w:footnoteReference w:id="78"/>
      </w:r>
      <w:r w:rsidRPr="00635A00">
        <w:rPr>
          <w:rFonts w:ascii="Times New Roman" w:hAnsi="Times New Roman" w:cs="Times New Roman"/>
          <w:color w:val="auto"/>
        </w:rPr>
        <w:t>. Adicionalmente, al momento de votarse deben leerse nuevamente</w:t>
      </w:r>
      <w:r w:rsidRPr="00635A00">
        <w:rPr>
          <w:rStyle w:val="Refdenotaalpie"/>
          <w:rFonts w:ascii="Times New Roman" w:hAnsi="Times New Roman" w:cs="Times New Roman"/>
          <w:color w:val="auto"/>
        </w:rPr>
        <w:footnoteReference w:id="79"/>
      </w:r>
      <w:r w:rsidRPr="00635A00">
        <w:rPr>
          <w:rFonts w:ascii="Times New Roman" w:hAnsi="Times New Roman" w:cs="Times New Roman"/>
          <w:color w:val="auto"/>
        </w:rPr>
        <w:t xml:space="preserve">. Sumado a lo anterior, La Ley 5 de 1992 indica que es un </w:t>
      </w:r>
      <w:r w:rsidRPr="00635A00">
        <w:rPr>
          <w:rFonts w:ascii="Times New Roman" w:hAnsi="Times New Roman" w:cs="Times New Roman"/>
          <w:color w:val="auto"/>
        </w:rPr>
        <w:t>deber del Secretario General de cada cámara “[d]ar lectura a los proyectos, proposiciones y demás documentos y mensajes que deban ser leídos en sesión plenaria”</w:t>
      </w:r>
      <w:r w:rsidRPr="00635A00">
        <w:rPr>
          <w:rStyle w:val="Refdenotaalpie"/>
          <w:rFonts w:ascii="Times New Roman" w:hAnsi="Times New Roman" w:cs="Times New Roman"/>
          <w:color w:val="auto"/>
        </w:rPr>
        <w:footnoteReference w:id="80"/>
      </w:r>
      <w:r w:rsidRPr="00635A00">
        <w:rPr>
          <w:rFonts w:ascii="Times New Roman" w:hAnsi="Times New Roman" w:cs="Times New Roman"/>
          <w:color w:val="auto"/>
        </w:rPr>
        <w:t>. Por tratarse de reglas para la formación de las leyes, su desconocimiento constituye irregula</w:t>
      </w:r>
      <w:r w:rsidRPr="00635A00">
        <w:rPr>
          <w:rFonts w:ascii="Times New Roman" w:hAnsi="Times New Roman" w:cs="Times New Roman"/>
          <w:color w:val="auto"/>
        </w:rPr>
        <w:t>ridades en el procedimiento</w:t>
      </w:r>
      <w:r w:rsidRPr="00635A00">
        <w:rPr>
          <w:rStyle w:val="Refdenotaalpie"/>
          <w:rFonts w:ascii="Times New Roman" w:hAnsi="Times New Roman" w:cs="Times New Roman"/>
          <w:color w:val="auto"/>
        </w:rPr>
        <w:footnoteReference w:id="81"/>
      </w:r>
      <w:r w:rsidRPr="00635A00">
        <w:rPr>
          <w:rFonts w:ascii="Times New Roman" w:hAnsi="Times New Roman" w:cs="Times New Roman"/>
          <w:color w:val="auto"/>
        </w:rPr>
        <w:t xml:space="preserve">. </w:t>
      </w:r>
    </w:p>
    <w:p w:rsidR="00EF09F4" w:rsidRPr="00635A00" w:rsidRDefault="00635A00" w:rsidP="00EF09F4">
      <w:pPr>
        <w:autoSpaceDE w:val="0"/>
        <w:autoSpaceDN w:val="0"/>
        <w:adjustRightInd w:val="0"/>
        <w:spacing w:before="1"/>
        <w:ind w:right="103"/>
        <w:jc w:val="both"/>
        <w:rPr>
          <w:rFonts w:ascii="Times New Roman" w:hAnsi="Times New Roman" w:cs="Times New Roman"/>
          <w:sz w:val="28"/>
          <w:szCs w:val="28"/>
          <w:lang w:val="es-ES_tradnl"/>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Sin embargo, la jurisprudencia constitucional ha sostenido que </w:t>
      </w:r>
      <w:r w:rsidRPr="00635A00">
        <w:rPr>
          <w:rFonts w:ascii="Times New Roman" w:hAnsi="Times New Roman" w:cs="Times New Roman"/>
          <w:color w:val="auto"/>
          <w:shd w:val="clear" w:color="auto" w:fill="FFFFFF"/>
        </w:rPr>
        <w:t>“no toda vulneración de una regla sobre la formación de las leyes, contenida en la Constitución o en el respectivo Reglamento del Congreso, acarrea ineluctableme</w:t>
      </w:r>
      <w:r w:rsidRPr="00635A00">
        <w:rPr>
          <w:rFonts w:ascii="Times New Roman" w:hAnsi="Times New Roman" w:cs="Times New Roman"/>
          <w:color w:val="auto"/>
          <w:shd w:val="clear" w:color="auto" w:fill="FFFFFF"/>
        </w:rPr>
        <w:t>nte la invalidez de la ley”</w:t>
      </w:r>
      <w:r w:rsidRPr="00635A00">
        <w:rPr>
          <w:rFonts w:ascii="Times New Roman" w:hAnsi="Times New Roman" w:cs="Times New Roman"/>
          <w:color w:val="auto"/>
          <w:shd w:val="clear" w:color="auto" w:fill="FFFFFF"/>
          <w:vertAlign w:val="superscript"/>
        </w:rPr>
        <w:footnoteReference w:id="82"/>
      </w:r>
      <w:r w:rsidRPr="00635A00">
        <w:rPr>
          <w:rFonts w:ascii="Times New Roman" w:hAnsi="Times New Roman" w:cs="Times New Roman"/>
          <w:color w:val="auto"/>
          <w:shd w:val="clear" w:color="auto" w:fill="FFFFFF"/>
        </w:rPr>
        <w:t>. Esto es así porque las</w:t>
      </w:r>
      <w:r w:rsidRPr="00635A00">
        <w:rPr>
          <w:rFonts w:ascii="Times New Roman" w:hAnsi="Times New Roman" w:cs="Times New Roman"/>
          <w:color w:val="auto"/>
        </w:rPr>
        <w:t xml:space="preserve"> reglas procedimentales sobre la formación de las leyes son instrumentos para la realización de ciertos principios constitucionales. De manera que, la sola verificación del incumplimiento de la parte inst</w:t>
      </w:r>
      <w:r w:rsidRPr="00635A00">
        <w:rPr>
          <w:rFonts w:ascii="Times New Roman" w:hAnsi="Times New Roman" w:cs="Times New Roman"/>
          <w:color w:val="auto"/>
        </w:rPr>
        <w:t>rumental de las normas sobre procedimiento no configura un vicio que afecte la validez de la norma, sino que debe constatarse la transgresión de los fines constitucionales que estas persiguen</w:t>
      </w:r>
      <w:r w:rsidRPr="00635A00">
        <w:rPr>
          <w:rFonts w:ascii="Times New Roman" w:hAnsi="Times New Roman" w:cs="Times New Roman"/>
          <w:color w:val="auto"/>
          <w:shd w:val="clear" w:color="auto" w:fill="FFFFFF"/>
          <w:vertAlign w:val="superscript"/>
        </w:rPr>
        <w:footnoteReference w:id="83"/>
      </w:r>
      <w:r w:rsidRPr="00635A00">
        <w:rPr>
          <w:rFonts w:ascii="Times New Roman" w:hAnsi="Times New Roman" w:cs="Times New Roman"/>
          <w:color w:val="auto"/>
        </w:rPr>
        <w:t>.</w:t>
      </w:r>
      <w:r w:rsidRPr="00635A00">
        <w:rPr>
          <w:rFonts w:ascii="Times New Roman" w:hAnsi="Times New Roman" w:cs="Times New Roman"/>
          <w:color w:val="auto"/>
          <w:shd w:val="clear" w:color="auto" w:fill="FFFFFF"/>
        </w:rPr>
        <w:t xml:space="preserve"> </w:t>
      </w:r>
    </w:p>
    <w:p w:rsidR="00EF09F4" w:rsidRPr="00635A00" w:rsidRDefault="00635A00" w:rsidP="00EF09F4">
      <w:pPr>
        <w:pStyle w:val="Prrafodelista"/>
        <w:rPr>
          <w:rFonts w:ascii="Times New Roman" w:hAnsi="Times New Roman" w:cs="Times New Roman"/>
          <w:color w:val="auto"/>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consecuencia, para</w:t>
      </w:r>
      <w:r w:rsidRPr="00635A00">
        <w:rPr>
          <w:rFonts w:ascii="Times New Roman" w:hAnsi="Times New Roman" w:cs="Times New Roman"/>
          <w:color w:val="auto"/>
          <w:shd w:val="clear" w:color="auto" w:fill="FFFFFF"/>
        </w:rPr>
        <w:t xml:space="preserve"> concluir que una infracción de estas n</w:t>
      </w:r>
      <w:r w:rsidRPr="00635A00">
        <w:rPr>
          <w:rFonts w:ascii="Times New Roman" w:hAnsi="Times New Roman" w:cs="Times New Roman"/>
          <w:color w:val="auto"/>
          <w:shd w:val="clear" w:color="auto" w:fill="FFFFFF"/>
        </w:rPr>
        <w:t>ormas de procedimiento legislativo genera un vicio de inconstitucionalidad, es necesario determinar: (i) si se vulneraron principios constitucionales relevantes para la formación de las leyes, en especial los principios de mayorías, de respeto al pluralism</w:t>
      </w:r>
      <w:r w:rsidRPr="00635A00">
        <w:rPr>
          <w:rFonts w:ascii="Times New Roman" w:hAnsi="Times New Roman" w:cs="Times New Roman"/>
          <w:color w:val="auto"/>
          <w:shd w:val="clear" w:color="auto" w:fill="FFFFFF"/>
        </w:rPr>
        <w:t>o (derecho a la participación de las mayorías y las minorías) o de publicidad;</w:t>
      </w:r>
      <w:r w:rsidRPr="00635A00">
        <w:rPr>
          <w:rFonts w:ascii="Times New Roman" w:hAnsi="Times New Roman" w:cs="Times New Roman"/>
          <w:color w:val="auto"/>
          <w:shd w:val="clear" w:color="auto" w:fill="FFFFFF"/>
          <w:vertAlign w:val="superscript"/>
        </w:rPr>
        <w:footnoteReference w:id="84"/>
      </w:r>
      <w:r w:rsidRPr="00635A00">
        <w:rPr>
          <w:rFonts w:ascii="Times New Roman" w:hAnsi="Times New Roman" w:cs="Times New Roman"/>
          <w:color w:val="auto"/>
          <w:shd w:val="clear" w:color="auto" w:fill="FFFFFF"/>
        </w:rPr>
        <w:t xml:space="preserve"> (ii) si se afectó el proceso de formación de la voluntad democrática; o (iii) si se desconoció el contenido básico del diseño constitucional (por ejemplo, la soberanía popular,</w:t>
      </w:r>
      <w:r w:rsidRPr="00635A00">
        <w:rPr>
          <w:rFonts w:ascii="Times New Roman" w:hAnsi="Times New Roman" w:cs="Times New Roman"/>
          <w:color w:val="auto"/>
          <w:shd w:val="clear" w:color="auto" w:fill="FFFFFF"/>
        </w:rPr>
        <w:t xml:space="preserve"> la separación de poderes, el sistema presidencial, el bicameralismo, la supremacía constitucional, entre otros)</w:t>
      </w:r>
      <w:r w:rsidRPr="00635A00">
        <w:rPr>
          <w:rFonts w:ascii="Times New Roman" w:hAnsi="Times New Roman" w:cs="Times New Roman"/>
          <w:color w:val="auto"/>
          <w:shd w:val="clear" w:color="auto" w:fill="FFFFFF"/>
          <w:vertAlign w:val="superscript"/>
        </w:rPr>
        <w:footnoteReference w:id="85"/>
      </w:r>
      <w:r w:rsidRPr="00635A00">
        <w:rPr>
          <w:rFonts w:ascii="Times New Roman" w:hAnsi="Times New Roman" w:cs="Times New Roman"/>
          <w:color w:val="auto"/>
          <w:shd w:val="clear" w:color="auto" w:fill="FFFFFF"/>
        </w:rPr>
        <w:t>.</w:t>
      </w:r>
      <w:r w:rsidRPr="00635A00">
        <w:rPr>
          <w:rFonts w:ascii="Times New Roman" w:hAnsi="Times New Roman" w:cs="Times New Roman"/>
          <w:color w:val="auto"/>
        </w:rPr>
        <w:t xml:space="preserve"> </w:t>
      </w:r>
    </w:p>
    <w:p w:rsidR="00EF09F4" w:rsidRPr="00635A00" w:rsidRDefault="00635A00" w:rsidP="00EF09F4">
      <w:pPr>
        <w:pStyle w:val="Sinespaciado"/>
        <w:rPr>
          <w:rFonts w:ascii="Times New Roman" w:hAnsi="Times New Roman" w:cs="Times New Roman"/>
          <w:sz w:val="28"/>
          <w:lang w:val="es-ES"/>
        </w:rPr>
      </w:pPr>
    </w:p>
    <w:p w:rsidR="00EF09F4" w:rsidRPr="00635A00" w:rsidRDefault="00635A00" w:rsidP="00EF09F4">
      <w:pPr>
        <w:pStyle w:val="Sombreadovistoso-nfasis31"/>
        <w:numPr>
          <w:ilvl w:val="0"/>
          <w:numId w:val="3"/>
        </w:numPr>
        <w:rPr>
          <w:rFonts w:ascii="Times New Roman" w:hAnsi="Times New Roman" w:cs="Times New Roman"/>
          <w:color w:val="auto"/>
          <w:lang w:val="es-ES_tradnl"/>
        </w:rPr>
      </w:pPr>
      <w:r w:rsidRPr="00635A00">
        <w:rPr>
          <w:rFonts w:ascii="Times New Roman" w:hAnsi="Times New Roman" w:cs="Times New Roman"/>
          <w:color w:val="auto"/>
        </w:rPr>
        <w:t xml:space="preserve">La perspectiva descrita aplicada a las reglas de publicidad de las proposiciones ha llevado a esta corporación a establecer que </w:t>
      </w:r>
      <w:r w:rsidRPr="00635A00">
        <w:rPr>
          <w:rFonts w:ascii="Times New Roman" w:hAnsi="Times New Roman" w:cs="Times New Roman"/>
          <w:color w:val="auto"/>
          <w:shd w:val="clear" w:color="auto" w:fill="FFFFFF"/>
        </w:rPr>
        <w:t>s</w:t>
      </w:r>
      <w:r w:rsidRPr="00635A00">
        <w:rPr>
          <w:rFonts w:ascii="Times New Roman" w:hAnsi="Times New Roman" w:cs="Times New Roman"/>
          <w:color w:val="auto"/>
        </w:rPr>
        <w:t>i se incum</w:t>
      </w:r>
      <w:r w:rsidRPr="00635A00">
        <w:rPr>
          <w:rFonts w:ascii="Times New Roman" w:hAnsi="Times New Roman" w:cs="Times New Roman"/>
          <w:color w:val="auto"/>
        </w:rPr>
        <w:t>plen las reglas sobre lectura de las proposiciones se incurre en una irregularidad, pero esta no necesariamente vicia el procedimiento</w:t>
      </w:r>
      <w:r w:rsidRPr="00635A00">
        <w:rPr>
          <w:rFonts w:ascii="Times New Roman" w:hAnsi="Times New Roman" w:cs="Times New Roman"/>
          <w:color w:val="auto"/>
          <w:shd w:val="clear" w:color="auto" w:fill="FFFFFF"/>
        </w:rPr>
        <w:t xml:space="preserve">. </w:t>
      </w:r>
      <w:r w:rsidRPr="00635A00">
        <w:rPr>
          <w:rFonts w:ascii="Times New Roman" w:hAnsi="Times New Roman" w:cs="Times New Roman"/>
          <w:color w:val="auto"/>
          <w:shd w:val="clear" w:color="auto" w:fill="FFFFFF"/>
          <w:lang w:val="es-ES_tradnl"/>
        </w:rPr>
        <w:t>Así, en línea con lo anterior, la jurisprudencia constitucional ha descartado vicios del procedimiento cuando se omite l</w:t>
      </w:r>
      <w:r w:rsidRPr="00635A00">
        <w:rPr>
          <w:rFonts w:ascii="Times New Roman" w:hAnsi="Times New Roman" w:cs="Times New Roman"/>
          <w:color w:val="auto"/>
          <w:shd w:val="clear" w:color="auto" w:fill="FFFFFF"/>
          <w:lang w:val="es-ES_tradnl"/>
        </w:rPr>
        <w:t>a lectura de proposiciones, pero se asegura que los congresistas las conozcan con antelación por otros medios. En la sentencia C-415 de 2020, la Corte Constitucional declaró la exequibilidad de la Ley 1955 de 2019 acusada de haber sido aprobada con violaci</w:t>
      </w:r>
      <w:r w:rsidRPr="00635A00">
        <w:rPr>
          <w:rFonts w:ascii="Times New Roman" w:hAnsi="Times New Roman" w:cs="Times New Roman"/>
          <w:color w:val="auto"/>
          <w:shd w:val="clear" w:color="auto" w:fill="FFFFFF"/>
          <w:lang w:val="es-ES_tradnl"/>
        </w:rPr>
        <w:t xml:space="preserve">ón del principio de publicidad porque, según el demandante, la plenaria del Senado acogió el texto adoptado por la plenaria de la Cámara pese a que no había sido publicado en la Gaceta del Congreso, y a que la publicación del proyecto en la página web del </w:t>
      </w:r>
      <w:r w:rsidRPr="00635A00">
        <w:rPr>
          <w:rFonts w:ascii="Times New Roman" w:hAnsi="Times New Roman" w:cs="Times New Roman"/>
          <w:color w:val="auto"/>
          <w:shd w:val="clear" w:color="auto" w:fill="FFFFFF"/>
          <w:lang w:val="es-ES_tradnl"/>
        </w:rPr>
        <w:t>Senado tuvo lugar en el transcurso de su aprobación. La Corte desestimó el cargo tras constatar que el mecanismo de publicación alternativa a través de la página web de la entidad sí había permitido que los senadores pudieran tener conocimiento sobre el te</w:t>
      </w:r>
      <w:r w:rsidRPr="00635A00">
        <w:rPr>
          <w:rFonts w:ascii="Times New Roman" w:hAnsi="Times New Roman" w:cs="Times New Roman"/>
          <w:color w:val="auto"/>
          <w:shd w:val="clear" w:color="auto" w:fill="FFFFFF"/>
          <w:lang w:val="es-ES_tradnl"/>
        </w:rPr>
        <w:t xml:space="preserve">xto aprobado por la Cámara, antes de votar la proposición de acoger dicho articulado. En ese contexto, esta Corporación reiteró su jurisprudencia acerca de la validez de los mecanismos alternativos de publicidad en el trámite legislativo. Expresamente, la </w:t>
      </w:r>
      <w:r w:rsidRPr="00635A00">
        <w:rPr>
          <w:rFonts w:ascii="Times New Roman" w:hAnsi="Times New Roman" w:cs="Times New Roman"/>
          <w:color w:val="auto"/>
          <w:shd w:val="clear" w:color="auto" w:fill="FFFFFF"/>
          <w:lang w:val="es-ES_tradnl"/>
        </w:rPr>
        <w:t xml:space="preserve">Sala Plena señaló: </w:t>
      </w:r>
    </w:p>
    <w:p w:rsidR="00EF09F4" w:rsidRPr="00635A00" w:rsidRDefault="00635A00" w:rsidP="00EF09F4">
      <w:pPr>
        <w:autoSpaceDE w:val="0"/>
        <w:autoSpaceDN w:val="0"/>
        <w:adjustRightInd w:val="0"/>
        <w:spacing w:before="1"/>
        <w:ind w:right="103"/>
        <w:jc w:val="both"/>
        <w:rPr>
          <w:rFonts w:ascii="Times New Roman" w:hAnsi="Times New Roman" w:cs="Times New Roman"/>
          <w:sz w:val="28"/>
          <w:szCs w:val="28"/>
          <w:lang w:val="es-ES"/>
        </w:rPr>
      </w:pPr>
    </w:p>
    <w:p w:rsidR="00EF09F4" w:rsidRPr="00635A00" w:rsidRDefault="00635A00" w:rsidP="00EF09F4">
      <w:pPr>
        <w:shd w:val="clear" w:color="auto" w:fill="FFFFFF"/>
        <w:ind w:left="567" w:right="49"/>
        <w:jc w:val="both"/>
        <w:rPr>
          <w:rFonts w:ascii="Times New Roman" w:hAnsi="Times New Roman" w:cs="Times New Roman"/>
          <w:bCs/>
          <w:sz w:val="28"/>
        </w:rPr>
      </w:pPr>
      <w:r w:rsidRPr="00635A00">
        <w:rPr>
          <w:rFonts w:ascii="Times New Roman" w:hAnsi="Times New Roman" w:cs="Times New Roman"/>
          <w:sz w:val="28"/>
        </w:rPr>
        <w:t xml:space="preserve">“Ahora bien, como se observó en la sentencia inicialmente reseñada (C-481 de 2019), ‘el recurso a los medios legales ordinarios de publicidad permite suponer el cumplimiento del deber de informarse para emitir el voto de manera </w:t>
      </w:r>
      <w:r w:rsidRPr="00635A00">
        <w:rPr>
          <w:rFonts w:ascii="Times New Roman" w:hAnsi="Times New Roman" w:cs="Times New Roman"/>
          <w:sz w:val="28"/>
        </w:rPr>
        <w:t>informada y consciente, pero la publicación en medios alternativos de publicidad solo indicaría conocimiento si, lógicamente, se demuestra que existe claridad respecto de cuál es la fuente de la información y en qué condiciones se podría acceder a la misma</w:t>
      </w:r>
      <w:r w:rsidRPr="00635A00">
        <w:rPr>
          <w:rFonts w:ascii="Times New Roman" w:hAnsi="Times New Roman" w:cs="Times New Roman"/>
          <w:b/>
          <w:sz w:val="28"/>
        </w:rPr>
        <w:t>.</w:t>
      </w:r>
      <w:r w:rsidRPr="00635A00">
        <w:rPr>
          <w:rFonts w:ascii="Times New Roman" w:hAnsi="Times New Roman" w:cs="Times New Roman"/>
          <w:sz w:val="28"/>
        </w:rPr>
        <w:t xml:space="preserve"> Aceptar lo contrario, no obstante el principio de instrumentalidad de las formas, conllevaría a vaciar de contenido el principio de publicidad como presupuesto del debate y del voto informado por parte de los congresistas; así como con el hecho de permit</w:t>
      </w:r>
      <w:r w:rsidRPr="00635A00">
        <w:rPr>
          <w:rFonts w:ascii="Times New Roman" w:hAnsi="Times New Roman" w:cs="Times New Roman"/>
          <w:sz w:val="28"/>
        </w:rPr>
        <w:t>ir que la ciudadanía pueda ejercer una adecuada vigilancia y control sobre sus representantes’.</w:t>
      </w:r>
    </w:p>
    <w:p w:rsidR="00EF09F4" w:rsidRPr="00635A00" w:rsidRDefault="00635A00" w:rsidP="00EF09F4">
      <w:pPr>
        <w:pStyle w:val="Prrafodelista"/>
        <w:rPr>
          <w:rFonts w:ascii="Times New Roman" w:hAnsi="Times New Roman" w:cs="Times New Roman"/>
          <w:bCs/>
          <w:color w:val="auto"/>
        </w:rPr>
      </w:pPr>
    </w:p>
    <w:p w:rsidR="00EF09F4" w:rsidRPr="00635A00" w:rsidRDefault="00635A00" w:rsidP="00EF09F4">
      <w:pPr>
        <w:shd w:val="clear" w:color="auto" w:fill="FFFFFF"/>
        <w:ind w:left="567" w:right="49"/>
        <w:jc w:val="both"/>
        <w:rPr>
          <w:rFonts w:ascii="Times New Roman" w:hAnsi="Times New Roman" w:cs="Times New Roman"/>
          <w:bCs/>
          <w:sz w:val="28"/>
        </w:rPr>
      </w:pPr>
      <w:r w:rsidRPr="00635A00">
        <w:rPr>
          <w:rFonts w:ascii="Times New Roman" w:hAnsi="Times New Roman" w:cs="Times New Roman"/>
          <w:bCs/>
          <w:sz w:val="28"/>
          <w:lang w:val="es-ES"/>
        </w:rPr>
        <w:t>“Tratándose de las proposiciones</w:t>
      </w:r>
      <w:r w:rsidRPr="00635A00">
        <w:rPr>
          <w:rFonts w:ascii="Times New Roman" w:hAnsi="Times New Roman" w:cs="Times New Roman"/>
          <w:sz w:val="28"/>
        </w:rPr>
        <w:t xml:space="preserve"> (particularmente, el art. 125</w:t>
      </w:r>
      <w:r w:rsidRPr="00635A00">
        <w:rPr>
          <w:rStyle w:val="Refdenotaalpie"/>
          <w:rFonts w:ascii="Times New Roman" w:hAnsi="Times New Roman" w:cs="Times New Roman"/>
          <w:sz w:val="28"/>
        </w:rPr>
        <w:footnoteReference w:id="86"/>
      </w:r>
      <w:r w:rsidRPr="00635A00">
        <w:rPr>
          <w:rFonts w:ascii="Times New Roman" w:hAnsi="Times New Roman" w:cs="Times New Roman"/>
          <w:sz w:val="28"/>
        </w:rPr>
        <w:t>, Ley 5ª de 1992), agregó esta decisión que su comunicación resulta válida a la luz del principi</w:t>
      </w:r>
      <w:r w:rsidRPr="00635A00">
        <w:rPr>
          <w:rFonts w:ascii="Times New Roman" w:hAnsi="Times New Roman" w:cs="Times New Roman"/>
          <w:sz w:val="28"/>
        </w:rPr>
        <w:t>o de instrumentalidad de las formas, siempre que se garantice ‘la adecuada formación de la voluntad democrática, es decir, que vaya dirigida a que ´los congresistas puedan conocer, con la debida antelación y de manera suficiente, el contenido de las modifi</w:t>
      </w:r>
      <w:r w:rsidRPr="00635A00">
        <w:rPr>
          <w:rFonts w:ascii="Times New Roman" w:hAnsi="Times New Roman" w:cs="Times New Roman"/>
          <w:sz w:val="28"/>
        </w:rPr>
        <w:t>caciones propuestas´. De acuerdo con lo anterior, se admiten varias modalidades de comunicación de las proposiciones, bajo un criterio de flexibilidad sobre el debate parlamentario’. De esta manera, en la C-481 de 2019 se identificaron algunos mecanismos d</w:t>
      </w:r>
      <w:r w:rsidRPr="00635A00">
        <w:rPr>
          <w:rFonts w:ascii="Times New Roman" w:hAnsi="Times New Roman" w:cs="Times New Roman"/>
          <w:sz w:val="28"/>
        </w:rPr>
        <w:t>e publicidad que la Corte ha encontrado válidos:</w:t>
      </w:r>
    </w:p>
    <w:p w:rsidR="00EF09F4" w:rsidRPr="00635A00" w:rsidRDefault="00635A00" w:rsidP="00EF09F4">
      <w:pPr>
        <w:pStyle w:val="Prrafodelista"/>
        <w:ind w:left="284" w:right="49"/>
        <w:rPr>
          <w:rFonts w:ascii="Times New Roman" w:hAnsi="Times New Roman" w:cs="Times New Roman"/>
          <w:color w:val="auto"/>
        </w:rPr>
      </w:pPr>
    </w:p>
    <w:p w:rsidR="00EF09F4" w:rsidRPr="00635A00" w:rsidRDefault="00635A00" w:rsidP="00EF09F4">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 xml:space="preserve">“‘(i) </w:t>
      </w:r>
      <w:r w:rsidRPr="00635A00">
        <w:rPr>
          <w:rFonts w:ascii="Times New Roman" w:hAnsi="Times New Roman" w:cs="Times New Roman"/>
          <w:b/>
          <w:sz w:val="28"/>
        </w:rPr>
        <w:t>publicación en la Gaceta del Congreso</w:t>
      </w:r>
      <w:r w:rsidRPr="00635A00">
        <w:rPr>
          <w:rFonts w:ascii="Times New Roman" w:hAnsi="Times New Roman" w:cs="Times New Roman"/>
          <w:sz w:val="28"/>
        </w:rPr>
        <w:t xml:space="preserve"> (aunque ello no sea exigido por la Constitución o la ley). Con todo, la manera cómo funciona el Congreso y la forma como se surten los debates vinculados al ejerc</w:t>
      </w:r>
      <w:r w:rsidRPr="00635A00">
        <w:rPr>
          <w:rFonts w:ascii="Times New Roman" w:hAnsi="Times New Roman" w:cs="Times New Roman"/>
          <w:sz w:val="28"/>
        </w:rPr>
        <w:t>icio de la actividad legislativa, suponen la imposibilidad práctica que toda información relacionada con el proceso de adopción de una ley, sea objeto de publicación en el medio oficial dispuesto para el efecto, este es el caso de las proposiciones. En est</w:t>
      </w:r>
      <w:r w:rsidRPr="00635A00">
        <w:rPr>
          <w:rFonts w:ascii="Times New Roman" w:hAnsi="Times New Roman" w:cs="Times New Roman"/>
          <w:sz w:val="28"/>
        </w:rPr>
        <w:t xml:space="preserve">e sentido, una proposición debe presentarse y ser puesta a consideración a la apertura de la discusión (art. 115 del Reglamento del Congreso). Por lo cual, la jurisprudencia ha admitido que (ii) se debe </w:t>
      </w:r>
      <w:r w:rsidRPr="00635A00">
        <w:rPr>
          <w:rFonts w:ascii="Times New Roman" w:hAnsi="Times New Roman" w:cs="Times New Roman"/>
          <w:b/>
          <w:sz w:val="28"/>
        </w:rPr>
        <w:t>dar lectura oral antes de su debate y votación</w:t>
      </w:r>
      <w:r w:rsidRPr="00635A00">
        <w:rPr>
          <w:rFonts w:ascii="Times New Roman" w:hAnsi="Times New Roman" w:cs="Times New Roman"/>
          <w:sz w:val="28"/>
        </w:rPr>
        <w:t xml:space="preserve"> (art. </w:t>
      </w:r>
      <w:r w:rsidRPr="00635A00">
        <w:rPr>
          <w:rFonts w:ascii="Times New Roman" w:hAnsi="Times New Roman" w:cs="Times New Roman"/>
          <w:sz w:val="28"/>
        </w:rPr>
        <w:t xml:space="preserve">125 del mencionado Reglamento). Sin embargo, nada impide que las proposiciones puedan ser objeto de: (iii) </w:t>
      </w:r>
      <w:r w:rsidRPr="00635A00">
        <w:rPr>
          <w:rFonts w:ascii="Times New Roman" w:hAnsi="Times New Roman" w:cs="Times New Roman"/>
          <w:b/>
          <w:sz w:val="28"/>
        </w:rPr>
        <w:t>distribución de copias</w:t>
      </w:r>
      <w:r w:rsidRPr="00635A00">
        <w:rPr>
          <w:rFonts w:ascii="Times New Roman" w:hAnsi="Times New Roman" w:cs="Times New Roman"/>
          <w:sz w:val="28"/>
        </w:rPr>
        <w:t xml:space="preserve"> a cada parlamentario con antelación a la discusión y votación, con el fin de que puedan ser leídas y conocidas por los congres</w:t>
      </w:r>
      <w:r w:rsidRPr="00635A00">
        <w:rPr>
          <w:rFonts w:ascii="Times New Roman" w:hAnsi="Times New Roman" w:cs="Times New Roman"/>
          <w:sz w:val="28"/>
        </w:rPr>
        <w:t xml:space="preserve">istas. Incluso, dando aplicación al principio de instrumentalidad de las formas, se ha permitido que se dé (iv) </w:t>
      </w:r>
      <w:r w:rsidRPr="00635A00">
        <w:rPr>
          <w:rFonts w:ascii="Times New Roman" w:hAnsi="Times New Roman" w:cs="Times New Roman"/>
          <w:b/>
          <w:sz w:val="28"/>
        </w:rPr>
        <w:t>explicación oral</w:t>
      </w:r>
      <w:r w:rsidRPr="00635A00">
        <w:rPr>
          <w:rFonts w:ascii="Times New Roman" w:hAnsi="Times New Roman" w:cs="Times New Roman"/>
          <w:sz w:val="28"/>
        </w:rPr>
        <w:t xml:space="preserve"> del contenido particular y concreto, con tal ´grado de especificidad que permita a los congresistas conocer adecuada, previa y </w:t>
      </w:r>
      <w:r w:rsidRPr="00635A00">
        <w:rPr>
          <w:rFonts w:ascii="Times New Roman" w:hAnsi="Times New Roman" w:cs="Times New Roman"/>
          <w:sz w:val="28"/>
        </w:rPr>
        <w:t>suficientemente la proposición normativa objeto de discusión y aprobación´</w:t>
      </w:r>
      <w:r w:rsidRPr="00635A00">
        <w:rPr>
          <w:rFonts w:ascii="Times New Roman" w:hAnsi="Times New Roman" w:cs="Times New Roman"/>
          <w:sz w:val="28"/>
          <w:vertAlign w:val="superscript"/>
        </w:rPr>
        <w:footnoteReference w:id="87"/>
      </w:r>
      <w:r w:rsidRPr="00635A00">
        <w:rPr>
          <w:rFonts w:ascii="Times New Roman" w:hAnsi="Times New Roman" w:cs="Times New Roman"/>
          <w:sz w:val="28"/>
        </w:rPr>
        <w:t xml:space="preserve">. Por otra parte, </w:t>
      </w:r>
      <w:r w:rsidRPr="00635A00">
        <w:rPr>
          <w:rFonts w:ascii="Times New Roman" w:hAnsi="Times New Roman" w:cs="Times New Roman"/>
          <w:b/>
          <w:sz w:val="28"/>
        </w:rPr>
        <w:t>la expresión de opiniones</w:t>
      </w:r>
      <w:r w:rsidRPr="00635A00">
        <w:rPr>
          <w:rFonts w:ascii="Times New Roman" w:hAnsi="Times New Roman" w:cs="Times New Roman"/>
          <w:sz w:val="28"/>
        </w:rPr>
        <w:t xml:space="preserve"> sobre las modificaciones propuestas puede derivar en la inferencia de que hubo información suficiente’.</w:t>
      </w:r>
    </w:p>
    <w:p w:rsidR="00EF09F4" w:rsidRPr="00635A00" w:rsidRDefault="00635A00" w:rsidP="00EF09F4">
      <w:pPr>
        <w:tabs>
          <w:tab w:val="left" w:pos="8647"/>
        </w:tabs>
        <w:overflowPunct w:val="0"/>
        <w:autoSpaceDE w:val="0"/>
        <w:autoSpaceDN w:val="0"/>
        <w:adjustRightInd w:val="0"/>
        <w:ind w:right="49"/>
        <w:jc w:val="both"/>
        <w:textAlignment w:val="baseline"/>
        <w:rPr>
          <w:rFonts w:ascii="Times New Roman" w:hAnsi="Times New Roman" w:cs="Times New Roman"/>
          <w:b/>
          <w:bCs/>
          <w:sz w:val="28"/>
          <w:szCs w:val="28"/>
          <w:lang w:val="es-ES" w:eastAsia="es-ES"/>
        </w:rPr>
      </w:pPr>
    </w:p>
    <w:p w:rsidR="00EF09F4" w:rsidRPr="00635A00" w:rsidRDefault="00635A00" w:rsidP="00EF09F4">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lang w:val="es-ES"/>
        </w:rPr>
        <w:t>“</w:t>
      </w:r>
      <w:r w:rsidRPr="00635A00">
        <w:rPr>
          <w:rFonts w:ascii="Times New Roman" w:hAnsi="Times New Roman" w:cs="Times New Roman"/>
          <w:sz w:val="28"/>
        </w:rPr>
        <w:t xml:space="preserve">Además, la providencia que se acopia trajo a colación la sentencia C-131 de 2009 sobre el alcance de las </w:t>
      </w:r>
      <w:r w:rsidRPr="00635A00">
        <w:rPr>
          <w:rFonts w:ascii="Times New Roman" w:hAnsi="Times New Roman" w:cs="Times New Roman"/>
          <w:b/>
          <w:sz w:val="28"/>
        </w:rPr>
        <w:t>explicaciones orales</w:t>
      </w:r>
      <w:r w:rsidRPr="00635A00">
        <w:rPr>
          <w:rFonts w:ascii="Times New Roman" w:hAnsi="Times New Roman" w:cs="Times New Roman"/>
          <w:sz w:val="28"/>
        </w:rPr>
        <w:t xml:space="preserve">, para señalar que las proposiciones pueden ser consideradas legítimamente publicitadas cuandoquiera que su contenido particular y </w:t>
      </w:r>
      <w:r w:rsidRPr="00635A00">
        <w:rPr>
          <w:rFonts w:ascii="Times New Roman" w:hAnsi="Times New Roman" w:cs="Times New Roman"/>
          <w:sz w:val="28"/>
        </w:rPr>
        <w:t>concreto es explicado, pero “</w:t>
      </w:r>
      <w:r w:rsidRPr="00635A00">
        <w:rPr>
          <w:rFonts w:ascii="Times New Roman" w:hAnsi="Times New Roman" w:cs="Times New Roman"/>
          <w:sz w:val="28"/>
          <w:lang w:val="es-ES_tradnl"/>
        </w:rPr>
        <w:t>a condición de que tenga un grado tal [de] especificidad que permita a los congresistas conocer adecuada, previa y suficientemente la proposición normativa objeto de discusión y aprobación”</w:t>
      </w:r>
      <w:r w:rsidRPr="00635A00">
        <w:rPr>
          <w:rStyle w:val="Refdenotaalpie"/>
          <w:rFonts w:ascii="Times New Roman" w:hAnsi="Times New Roman" w:cs="Times New Roman"/>
          <w:sz w:val="28"/>
          <w:lang w:val="es-ES_tradnl"/>
        </w:rPr>
        <w:footnoteReference w:id="88"/>
      </w:r>
      <w:r w:rsidRPr="00635A00">
        <w:rPr>
          <w:rFonts w:ascii="Times New Roman" w:hAnsi="Times New Roman" w:cs="Times New Roman"/>
          <w:sz w:val="28"/>
          <w:lang w:val="es-ES_tradnl"/>
        </w:rPr>
        <w:t>. Este Tribunal consideró que, en tod</w:t>
      </w:r>
      <w:r w:rsidRPr="00635A00">
        <w:rPr>
          <w:rFonts w:ascii="Times New Roman" w:hAnsi="Times New Roman" w:cs="Times New Roman"/>
          <w:sz w:val="28"/>
          <w:lang w:val="es-ES_tradnl"/>
        </w:rPr>
        <w:t>o caso, “</w:t>
      </w:r>
      <w:r w:rsidRPr="00635A00">
        <w:rPr>
          <w:rFonts w:ascii="Times New Roman" w:hAnsi="Times New Roman" w:cs="Times New Roman"/>
          <w:b/>
          <w:sz w:val="28"/>
        </w:rPr>
        <w:t>dicha especificidad y suficiencia deben ser analizadas en cada caso concreto, en función de la naturaleza de la norma de que se trate y de los elementos centrales que la componen</w:t>
      </w:r>
      <w:r w:rsidRPr="00635A00">
        <w:rPr>
          <w:rFonts w:ascii="Times New Roman" w:hAnsi="Times New Roman" w:cs="Times New Roman"/>
          <w:sz w:val="28"/>
        </w:rPr>
        <w:t>, para efectos de determinar si las explicaciones carecerían o no del</w:t>
      </w:r>
      <w:r w:rsidRPr="00635A00">
        <w:rPr>
          <w:rFonts w:ascii="Times New Roman" w:hAnsi="Times New Roman" w:cs="Times New Roman"/>
          <w:sz w:val="28"/>
        </w:rPr>
        <w:t xml:space="preserve"> detalle necesario para ilustrar a los congresistas al momento de su discusión y votación”</w:t>
      </w:r>
      <w:r w:rsidRPr="00635A00">
        <w:rPr>
          <w:rStyle w:val="Refdenotaalpie"/>
          <w:rFonts w:ascii="Times New Roman" w:hAnsi="Times New Roman" w:cs="Times New Roman"/>
          <w:sz w:val="28"/>
        </w:rPr>
        <w:footnoteReference w:id="89"/>
      </w:r>
      <w:r w:rsidRPr="00635A00">
        <w:rPr>
          <w:rFonts w:ascii="Times New Roman" w:hAnsi="Times New Roman" w:cs="Times New Roman"/>
          <w:sz w:val="28"/>
        </w:rPr>
        <w:t>.</w:t>
      </w:r>
    </w:p>
    <w:p w:rsidR="00EF09F4" w:rsidRPr="00635A00" w:rsidRDefault="00635A00" w:rsidP="00EF09F4">
      <w:pPr>
        <w:pStyle w:val="Prrafodelista"/>
        <w:shd w:val="clear" w:color="auto" w:fill="FFFFFF"/>
        <w:ind w:left="0" w:right="49"/>
        <w:contextualSpacing/>
        <w:textAlignment w:val="baseline"/>
        <w:rPr>
          <w:rFonts w:ascii="Times New Roman" w:hAnsi="Times New Roman" w:cs="Times New Roman"/>
          <w:color w:val="auto"/>
        </w:rPr>
      </w:pPr>
    </w:p>
    <w:p w:rsidR="00EF09F4" w:rsidRPr="00635A00" w:rsidRDefault="00635A00" w:rsidP="00EF09F4">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“A partir de lo anterior, se concluyó por este Tribunal (C-481 de 2019) que: “(i) la lectura prescrita por el reglamento puede ser individual o pública y colectiv</w:t>
      </w:r>
      <w:r w:rsidRPr="00635A00">
        <w:rPr>
          <w:rFonts w:ascii="Times New Roman" w:hAnsi="Times New Roman" w:cs="Times New Roman"/>
          <w:sz w:val="28"/>
        </w:rPr>
        <w:t>a</w:t>
      </w:r>
      <w:r w:rsidRPr="00635A00">
        <w:rPr>
          <w:rFonts w:ascii="Times New Roman" w:hAnsi="Times New Roman" w:cs="Times New Roman"/>
          <w:sz w:val="28"/>
          <w:vertAlign w:val="superscript"/>
        </w:rPr>
        <w:footnoteReference w:id="90"/>
      </w:r>
      <w:r w:rsidRPr="00635A00">
        <w:rPr>
          <w:rFonts w:ascii="Times New Roman" w:hAnsi="Times New Roman" w:cs="Times New Roman"/>
          <w:sz w:val="28"/>
        </w:rPr>
        <w:t>; (ii) esas reglas permiten deducir un grado aceptable de conocimiento de la proposición, aun dentro de la flexibilidad e informalidad, ´el cual no se da con otro tipo de información, referencia o comentario´</w:t>
      </w:r>
      <w:r w:rsidRPr="00635A00">
        <w:rPr>
          <w:rFonts w:ascii="Times New Roman" w:hAnsi="Times New Roman" w:cs="Times New Roman"/>
          <w:sz w:val="28"/>
          <w:vertAlign w:val="superscript"/>
        </w:rPr>
        <w:footnoteReference w:id="91"/>
      </w:r>
      <w:r w:rsidRPr="00635A00">
        <w:rPr>
          <w:rFonts w:ascii="Times New Roman" w:hAnsi="Times New Roman" w:cs="Times New Roman"/>
          <w:sz w:val="28"/>
        </w:rPr>
        <w:t>; y (iii) ´no basta que se informe que existe</w:t>
      </w:r>
      <w:r w:rsidRPr="00635A00">
        <w:rPr>
          <w:rFonts w:ascii="Times New Roman" w:hAnsi="Times New Roman" w:cs="Times New Roman"/>
          <w:sz w:val="28"/>
        </w:rPr>
        <w:t>n unas propuestas de enmienda, sino que el conocimiento sobre las mismas debe además recaer sobre las particularidades que ellas presentan, es decir, sobre su diferencia específica, la cual está dada por las variaciones del texto que se contemplan, y por l</w:t>
      </w:r>
      <w:r w:rsidRPr="00635A00">
        <w:rPr>
          <w:rFonts w:ascii="Times New Roman" w:hAnsi="Times New Roman" w:cs="Times New Roman"/>
          <w:sz w:val="28"/>
        </w:rPr>
        <w:t>a explicación del alcance de tales variaciones´”.</w:t>
      </w:r>
    </w:p>
    <w:p w:rsidR="00EF09F4" w:rsidRPr="00635A00" w:rsidRDefault="00635A00" w:rsidP="00EF09F4">
      <w:pPr>
        <w:jc w:val="both"/>
        <w:rPr>
          <w:rFonts w:ascii="Times New Roman" w:hAnsi="Times New Roman" w:cs="Times New Roman"/>
          <w:sz w:val="28"/>
          <w:szCs w:val="28"/>
          <w:shd w:val="clear" w:color="auto" w:fill="FFFFFF"/>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shd w:val="clear" w:color="auto" w:fill="FFFFFF"/>
        </w:rPr>
        <w:t>A estos medios de publicidad puede adicionarse, circunstancialmente, la publicación de las proposiciones en otros medios o plataformas aptas para ese fin, como, por ejemplo, la página web de la cámara respectiva. No obstante, para que cumpla el fin de publ</w:t>
      </w:r>
      <w:r w:rsidRPr="00635A00">
        <w:rPr>
          <w:rFonts w:ascii="Times New Roman" w:hAnsi="Times New Roman" w:cs="Times New Roman"/>
          <w:color w:val="auto"/>
          <w:shd w:val="clear" w:color="auto" w:fill="FFFFFF"/>
        </w:rPr>
        <w:t xml:space="preserve">icidad no basta con que la información relativa a las proposiciones </w:t>
      </w:r>
      <w:r w:rsidRPr="00635A00">
        <w:rPr>
          <w:rFonts w:ascii="Times New Roman" w:hAnsi="Times New Roman" w:cs="Times New Roman"/>
          <w:color w:val="auto"/>
        </w:rPr>
        <w:t>esté simplemente “disponible” para consulta en dicho portal, sino que se requiere que los congresistas conozcan esa información. En la sentencia C-481 de 2019, el contenido de las proposic</w:t>
      </w:r>
      <w:r w:rsidRPr="00635A00">
        <w:rPr>
          <w:rFonts w:ascii="Times New Roman" w:hAnsi="Times New Roman" w:cs="Times New Roman"/>
          <w:color w:val="auto"/>
        </w:rPr>
        <w:t>iones aprobadas se encontraba publicado en una página web del Congreso de la República, pero la Corte indicó que este no era un instrumento suficiente de publicidad, pues no se había anunciado o referenciado con claridad que esa iba ser la forma de publici</w:t>
      </w:r>
      <w:r w:rsidRPr="00635A00">
        <w:rPr>
          <w:rFonts w:ascii="Times New Roman" w:hAnsi="Times New Roman" w:cs="Times New Roman"/>
          <w:color w:val="auto"/>
        </w:rPr>
        <w:t>dad en ese proceso. En consecuencia, para utilizar medios de publicidad alternativos debe asegurarse que se trate de mecanismos “distribuidos, anunciados o referenciados” debidamente; vale decir, se debe demostrar que existía “</w:t>
      </w:r>
      <w:r w:rsidRPr="00635A00">
        <w:rPr>
          <w:rFonts w:ascii="Times New Roman" w:hAnsi="Times New Roman" w:cs="Times New Roman"/>
          <w:color w:val="auto"/>
          <w:shd w:val="clear" w:color="auto" w:fill="FFFFFF"/>
        </w:rPr>
        <w:t xml:space="preserve">claridad respecto de cuál es </w:t>
      </w:r>
      <w:r w:rsidRPr="00635A00">
        <w:rPr>
          <w:rFonts w:ascii="Times New Roman" w:hAnsi="Times New Roman" w:cs="Times New Roman"/>
          <w:color w:val="auto"/>
          <w:shd w:val="clear" w:color="auto" w:fill="FFFFFF"/>
        </w:rPr>
        <w:t>la fuente de la información y en qué condiciones se podría acceder a la misma</w:t>
      </w:r>
      <w:r w:rsidRPr="00635A00">
        <w:rPr>
          <w:rFonts w:ascii="Times New Roman" w:hAnsi="Times New Roman" w:cs="Times New Roman"/>
          <w:color w:val="auto"/>
        </w:rPr>
        <w:t>”, lo cual no ocurría en el caso examinado en la sentencia C-481 de 2019.</w:t>
      </w:r>
      <w:r w:rsidRPr="00635A00">
        <w:rPr>
          <w:rFonts w:ascii="Times New Roman" w:hAnsi="Times New Roman" w:cs="Times New Roman"/>
          <w:color w:val="auto"/>
          <w:vertAlign w:val="superscript"/>
        </w:rPr>
        <w:footnoteReference w:id="92"/>
      </w:r>
    </w:p>
    <w:p w:rsidR="00EF09F4" w:rsidRPr="00635A00" w:rsidRDefault="00635A00" w:rsidP="00EF09F4">
      <w:pPr>
        <w:autoSpaceDE w:val="0"/>
        <w:autoSpaceDN w:val="0"/>
        <w:adjustRightInd w:val="0"/>
        <w:spacing w:before="1"/>
        <w:ind w:right="103"/>
        <w:jc w:val="both"/>
        <w:rPr>
          <w:rFonts w:ascii="Times New Roman" w:hAnsi="Times New Roman" w:cs="Times New Roman"/>
          <w:sz w:val="28"/>
          <w:szCs w:val="28"/>
          <w:lang w:val="es-ES_tradnl"/>
        </w:rPr>
      </w:pPr>
    </w:p>
    <w:p w:rsidR="00EF09F4" w:rsidRPr="00635A00" w:rsidRDefault="00635A00" w:rsidP="00EF09F4">
      <w:pPr>
        <w:pStyle w:val="Sombreadovistoso-nfasis31"/>
        <w:numPr>
          <w:ilvl w:val="0"/>
          <w:numId w:val="3"/>
        </w:numPr>
        <w:rPr>
          <w:rFonts w:ascii="Times New Roman" w:hAnsi="Times New Roman" w:cs="Times New Roman"/>
          <w:color w:val="auto"/>
          <w:lang w:val="es-ES_tradnl"/>
        </w:rPr>
      </w:pPr>
      <w:r w:rsidRPr="00635A00">
        <w:rPr>
          <w:rFonts w:ascii="Times New Roman" w:hAnsi="Times New Roman" w:cs="Times New Roman"/>
          <w:color w:val="auto"/>
          <w:lang w:val="es-ES_tradnl"/>
        </w:rPr>
        <w:t>Así, en relación con la publicidad de las proposiciones se pueden derivar las siguientes subreglas:</w:t>
      </w:r>
    </w:p>
    <w:p w:rsidR="00EF09F4" w:rsidRPr="00635A00" w:rsidRDefault="00635A00" w:rsidP="00EF09F4">
      <w:pPr>
        <w:autoSpaceDE w:val="0"/>
        <w:autoSpaceDN w:val="0"/>
        <w:adjustRightInd w:val="0"/>
        <w:spacing w:before="1"/>
        <w:ind w:right="103"/>
        <w:jc w:val="both"/>
        <w:rPr>
          <w:rFonts w:ascii="Times New Roman" w:hAnsi="Times New Roman" w:cs="Times New Roman"/>
          <w:sz w:val="28"/>
          <w:szCs w:val="28"/>
          <w:lang w:val="es-ES_tradnl"/>
        </w:rPr>
      </w:pPr>
    </w:p>
    <w:p w:rsidR="00EF09F4" w:rsidRPr="00635A00" w:rsidRDefault="00635A00" w:rsidP="00EF09F4">
      <w:pPr>
        <w:pStyle w:val="Prrafodelista"/>
        <w:widowControl/>
        <w:numPr>
          <w:ilvl w:val="0"/>
          <w:numId w:val="22"/>
        </w:numPr>
        <w:autoSpaceDE w:val="0"/>
        <w:autoSpaceDN w:val="0"/>
        <w:adjustRightInd w:val="0"/>
        <w:spacing w:before="1"/>
        <w:ind w:right="103"/>
        <w:contextualSpacing/>
        <w:rPr>
          <w:rFonts w:ascii="Times New Roman" w:hAnsi="Times New Roman" w:cs="Times New Roman"/>
          <w:color w:val="auto"/>
          <w:lang w:val="es-ES_tradnl"/>
        </w:rPr>
      </w:pPr>
      <w:r w:rsidRPr="00635A00">
        <w:rPr>
          <w:rFonts w:ascii="Times New Roman" w:hAnsi="Times New Roman" w:cs="Times New Roman"/>
          <w:color w:val="auto"/>
          <w:lang w:val="es-ES_tradnl"/>
        </w:rPr>
        <w:t>La</w:t>
      </w:r>
      <w:r w:rsidRPr="00635A00">
        <w:rPr>
          <w:rFonts w:ascii="Times New Roman" w:hAnsi="Times New Roman" w:cs="Times New Roman"/>
          <w:color w:val="auto"/>
          <w:lang w:val="es-ES_tradnl"/>
        </w:rPr>
        <w:t xml:space="preserve"> lectura de las proposiciones constituye el mecanismo de publicidad definido en la Ley 5 de 1992, el cual, considera el legislador, es la mejor vía para conocer el objeto del debate y la decisión, en la medida en que permite conocer el objeto sobre el que </w:t>
      </w:r>
      <w:r w:rsidRPr="00635A00">
        <w:rPr>
          <w:rFonts w:ascii="Times New Roman" w:hAnsi="Times New Roman" w:cs="Times New Roman"/>
          <w:color w:val="auto"/>
          <w:lang w:val="es-ES_tradnl"/>
        </w:rPr>
        <w:t>recaerá la discusión y decisión correspondiente.</w:t>
      </w:r>
    </w:p>
    <w:p w:rsidR="00EF09F4" w:rsidRPr="00635A00" w:rsidRDefault="00635A00" w:rsidP="00EF09F4">
      <w:pPr>
        <w:pStyle w:val="Prrafodelista"/>
        <w:widowControl/>
        <w:numPr>
          <w:ilvl w:val="0"/>
          <w:numId w:val="22"/>
        </w:numPr>
        <w:autoSpaceDE w:val="0"/>
        <w:autoSpaceDN w:val="0"/>
        <w:adjustRightInd w:val="0"/>
        <w:spacing w:before="1"/>
        <w:ind w:right="103"/>
        <w:contextualSpacing/>
        <w:rPr>
          <w:rFonts w:ascii="Times New Roman" w:hAnsi="Times New Roman" w:cs="Times New Roman"/>
          <w:color w:val="auto"/>
          <w:lang w:val="es-ES_tradnl"/>
        </w:rPr>
      </w:pPr>
      <w:r w:rsidRPr="00635A00">
        <w:rPr>
          <w:rFonts w:ascii="Times New Roman" w:hAnsi="Times New Roman" w:cs="Times New Roman"/>
          <w:color w:val="auto"/>
          <w:shd w:val="clear" w:color="auto" w:fill="FFFFFF"/>
          <w:lang w:val="es-ES_tradnl"/>
        </w:rPr>
        <w:t xml:space="preserve">Cuando se omite la lectura de proposiciones, la publicidad se puede lograr por otros medios, esto es, a través de mecanismos alternativos que aseguren el conocimiento del alcance de las proposiciones. Estos </w:t>
      </w:r>
      <w:r w:rsidRPr="00635A00">
        <w:rPr>
          <w:rFonts w:ascii="Times New Roman" w:hAnsi="Times New Roman" w:cs="Times New Roman"/>
          <w:color w:val="auto"/>
          <w:shd w:val="clear" w:color="auto" w:fill="FFFFFF"/>
          <w:lang w:val="es-ES_tradnl"/>
        </w:rPr>
        <w:t xml:space="preserve">mecanismos pueden incluir aquéllos también previstos en la ley para cumplir con el principio de publicidad frente a otros actos, como la publicación en la gaceta del Congreso, la distribución de copias o la explicación oral, </w:t>
      </w:r>
      <w:r w:rsidRPr="00635A00">
        <w:rPr>
          <w:rFonts w:ascii="Times New Roman" w:hAnsi="Times New Roman" w:cs="Times New Roman"/>
          <w:color w:val="auto"/>
        </w:rPr>
        <w:t>“con tal grado de especificidad</w:t>
      </w:r>
      <w:r w:rsidRPr="00635A00">
        <w:rPr>
          <w:rFonts w:ascii="Times New Roman" w:hAnsi="Times New Roman" w:cs="Times New Roman"/>
          <w:color w:val="auto"/>
        </w:rPr>
        <w:t xml:space="preserve"> que permita a los congresistas conocer adecuada, previa y suficientemente la proposición normativa objeto de discusión y aprobación”</w:t>
      </w:r>
      <w:r w:rsidRPr="00635A00">
        <w:rPr>
          <w:rStyle w:val="Refdenotaalpie"/>
          <w:rFonts w:ascii="Times New Roman" w:hAnsi="Times New Roman" w:cs="Times New Roman"/>
          <w:color w:val="auto"/>
        </w:rPr>
        <w:footnoteReference w:id="93"/>
      </w:r>
      <w:r w:rsidRPr="00635A00">
        <w:rPr>
          <w:rFonts w:ascii="Times New Roman" w:hAnsi="Times New Roman" w:cs="Times New Roman"/>
          <w:color w:val="auto"/>
          <w:shd w:val="clear" w:color="auto" w:fill="FFFFFF"/>
          <w:lang w:val="es-ES_tradnl"/>
        </w:rPr>
        <w:t>.</w:t>
      </w:r>
    </w:p>
    <w:p w:rsidR="00EF09F4" w:rsidRPr="00635A00" w:rsidRDefault="00635A00" w:rsidP="00EF09F4">
      <w:pPr>
        <w:pStyle w:val="Prrafodelista"/>
        <w:widowControl/>
        <w:numPr>
          <w:ilvl w:val="0"/>
          <w:numId w:val="22"/>
        </w:numPr>
        <w:autoSpaceDE w:val="0"/>
        <w:autoSpaceDN w:val="0"/>
        <w:adjustRightInd w:val="0"/>
        <w:spacing w:before="1"/>
        <w:ind w:right="103"/>
        <w:contextualSpacing/>
        <w:rPr>
          <w:rFonts w:ascii="Times New Roman" w:hAnsi="Times New Roman" w:cs="Times New Roman"/>
          <w:color w:val="auto"/>
          <w:lang w:val="es-ES_tradnl"/>
        </w:rPr>
      </w:pPr>
      <w:r w:rsidRPr="00635A00">
        <w:rPr>
          <w:rFonts w:ascii="Times New Roman" w:hAnsi="Times New Roman" w:cs="Times New Roman"/>
          <w:color w:val="auto"/>
          <w:shd w:val="clear" w:color="auto" w:fill="FFFFFF"/>
          <w:lang w:val="es-ES_tradnl"/>
        </w:rPr>
        <w:t>Cuando se omite la lectura de proposiciones, la publicidad también se puede lograr a través de los denominados “</w:t>
      </w:r>
      <w:r w:rsidRPr="00635A00">
        <w:rPr>
          <w:rFonts w:ascii="Times New Roman" w:hAnsi="Times New Roman" w:cs="Times New Roman"/>
          <w:color w:val="auto"/>
          <w:lang w:val="es-ES_tradnl"/>
        </w:rPr>
        <w:t>medios a</w:t>
      </w:r>
      <w:r w:rsidRPr="00635A00">
        <w:rPr>
          <w:rFonts w:ascii="Times New Roman" w:hAnsi="Times New Roman" w:cs="Times New Roman"/>
          <w:color w:val="auto"/>
          <w:lang w:val="es-ES_tradnl"/>
        </w:rPr>
        <w:t>lternativos”, entre los que se ha reconocido en materia de proposiciones la publicación en la página web y la consulta en la secretaría de la célula legislativa correspondiente.</w:t>
      </w:r>
    </w:p>
    <w:p w:rsidR="00EF09F4" w:rsidRPr="00635A00" w:rsidRDefault="00635A00" w:rsidP="00EF09F4">
      <w:pPr>
        <w:pStyle w:val="Prrafodelista"/>
        <w:widowControl/>
        <w:numPr>
          <w:ilvl w:val="0"/>
          <w:numId w:val="22"/>
        </w:numPr>
        <w:autoSpaceDE w:val="0"/>
        <w:autoSpaceDN w:val="0"/>
        <w:adjustRightInd w:val="0"/>
        <w:spacing w:before="1"/>
        <w:ind w:right="103"/>
        <w:contextualSpacing/>
        <w:rPr>
          <w:rFonts w:ascii="Times New Roman" w:hAnsi="Times New Roman" w:cs="Times New Roman"/>
          <w:color w:val="auto"/>
          <w:lang w:val="es-ES_tradnl"/>
        </w:rPr>
      </w:pPr>
      <w:r w:rsidRPr="00635A00">
        <w:rPr>
          <w:rFonts w:ascii="Times New Roman" w:hAnsi="Times New Roman" w:cs="Times New Roman"/>
          <w:color w:val="auto"/>
          <w:lang w:val="es-ES_tradnl"/>
        </w:rPr>
        <w:t>Cuando se acude a mecanismos diferentes al previsto por la Ley 5 de 1992, esto</w:t>
      </w:r>
      <w:r w:rsidRPr="00635A00">
        <w:rPr>
          <w:rFonts w:ascii="Times New Roman" w:hAnsi="Times New Roman" w:cs="Times New Roman"/>
          <w:color w:val="auto"/>
          <w:lang w:val="es-ES_tradnl"/>
        </w:rPr>
        <w:t xml:space="preserve"> es, diferentes a la lectura de las proposiciones, es indispensable establecer, de un lado, que </w:t>
      </w:r>
      <w:r w:rsidRPr="00635A00">
        <w:rPr>
          <w:rFonts w:ascii="Times New Roman" w:hAnsi="Times New Roman" w:cs="Times New Roman"/>
          <w:color w:val="auto"/>
        </w:rPr>
        <w:t>el medio de publicidad y las condiciones de acceso fueron claras para los congresistas y, de otro, que el medio aseguró el conocimiento completo, suficiente, ve</w:t>
      </w:r>
      <w:r w:rsidRPr="00635A00">
        <w:rPr>
          <w:rFonts w:ascii="Times New Roman" w:hAnsi="Times New Roman" w:cs="Times New Roman"/>
          <w:color w:val="auto"/>
        </w:rPr>
        <w:t>raz y preciso del contenido de la proposición</w:t>
      </w:r>
      <w:r w:rsidRPr="00635A00">
        <w:rPr>
          <w:rFonts w:ascii="Times New Roman" w:hAnsi="Times New Roman" w:cs="Times New Roman"/>
          <w:color w:val="auto"/>
          <w:lang w:val="es-ES_tradnl"/>
        </w:rPr>
        <w:t>.</w:t>
      </w:r>
    </w:p>
    <w:p w:rsidR="00EF09F4" w:rsidRPr="00635A00" w:rsidRDefault="00635A00" w:rsidP="00EF09F4">
      <w:pPr>
        <w:pStyle w:val="Prrafodelista"/>
        <w:widowControl/>
        <w:numPr>
          <w:ilvl w:val="0"/>
          <w:numId w:val="22"/>
        </w:numPr>
        <w:autoSpaceDE w:val="0"/>
        <w:autoSpaceDN w:val="0"/>
        <w:adjustRightInd w:val="0"/>
        <w:spacing w:before="1"/>
        <w:ind w:right="103"/>
        <w:contextualSpacing/>
        <w:rPr>
          <w:rFonts w:ascii="Times New Roman" w:hAnsi="Times New Roman" w:cs="Times New Roman"/>
          <w:color w:val="auto"/>
          <w:lang w:val="es-ES_tradnl"/>
        </w:rPr>
      </w:pPr>
      <w:r w:rsidRPr="00635A00">
        <w:rPr>
          <w:rFonts w:ascii="Times New Roman" w:hAnsi="Times New Roman" w:cs="Times New Roman"/>
          <w:color w:val="auto"/>
          <w:lang w:val="es-ES_tradnl"/>
        </w:rPr>
        <w:t>En casos en los que no se acredite la publicidad de las proposiciones a través de su lectura en los momentos definidos en el reglamento del Congreso ni mediante otros medios con las condiciones definidas en la</w:t>
      </w:r>
      <w:r w:rsidRPr="00635A00">
        <w:rPr>
          <w:rFonts w:ascii="Times New Roman" w:hAnsi="Times New Roman" w:cs="Times New Roman"/>
          <w:color w:val="auto"/>
          <w:lang w:val="es-ES_tradnl"/>
        </w:rPr>
        <w:t xml:space="preserve"> regla anterior, la expresión de opiniones sobre las modificaciones en el debate puede evidenciar el conocimiento de las proposiciones. En consecuencia, también se puede tener por descartado el vicio del trámite si del debate es posible inferir que los par</w:t>
      </w:r>
      <w:r w:rsidRPr="00635A00">
        <w:rPr>
          <w:rFonts w:ascii="Times New Roman" w:hAnsi="Times New Roman" w:cs="Times New Roman"/>
          <w:color w:val="auto"/>
          <w:lang w:val="es-ES_tradnl"/>
        </w:rPr>
        <w:t>lamentarios conocían el texto</w:t>
      </w:r>
      <w:r w:rsidRPr="00635A00">
        <w:rPr>
          <w:rStyle w:val="Refdenotaalpie"/>
          <w:rFonts w:ascii="Times New Roman" w:hAnsi="Times New Roman" w:cs="Times New Roman"/>
          <w:color w:val="auto"/>
          <w:lang w:val="es-ES_tradnl"/>
        </w:rPr>
        <w:footnoteReference w:id="94"/>
      </w:r>
      <w:r w:rsidRPr="00635A00">
        <w:rPr>
          <w:rFonts w:ascii="Times New Roman" w:hAnsi="Times New Roman" w:cs="Times New Roman"/>
          <w:color w:val="auto"/>
          <w:lang w:val="es-ES_tradnl"/>
        </w:rPr>
        <w:t>, claro está, dependiendo de las circunstancias específicas del caso concreto.</w:t>
      </w:r>
    </w:p>
    <w:p w:rsidR="00EF09F4" w:rsidRPr="00635A00" w:rsidRDefault="00635A00" w:rsidP="00EF09F4">
      <w:pPr>
        <w:autoSpaceDE w:val="0"/>
        <w:autoSpaceDN w:val="0"/>
        <w:adjustRightInd w:val="0"/>
        <w:spacing w:before="1"/>
        <w:ind w:right="103"/>
        <w:contextualSpacing/>
        <w:jc w:val="both"/>
        <w:rPr>
          <w:rFonts w:ascii="Times New Roman" w:hAnsi="Times New Roman" w:cs="Times New Roman"/>
          <w:sz w:val="28"/>
          <w:szCs w:val="28"/>
          <w:lang w:val="es-ES_tradnl"/>
        </w:rPr>
      </w:pPr>
    </w:p>
    <w:p w:rsidR="00EF09F4" w:rsidRPr="00635A00" w:rsidRDefault="00635A00" w:rsidP="00EF09F4">
      <w:pPr>
        <w:pStyle w:val="Sombreadovistoso-nfasis31"/>
        <w:numPr>
          <w:ilvl w:val="0"/>
          <w:numId w:val="3"/>
        </w:numPr>
        <w:rPr>
          <w:rFonts w:ascii="Times New Roman" w:hAnsi="Times New Roman" w:cs="Times New Roman"/>
          <w:color w:val="auto"/>
        </w:rPr>
      </w:pPr>
      <w:bookmarkStart w:id="17" w:name="_Ref173926945"/>
      <w:r w:rsidRPr="00635A00">
        <w:rPr>
          <w:rFonts w:ascii="Times New Roman" w:hAnsi="Times New Roman" w:cs="Times New Roman"/>
          <w:color w:val="auto"/>
          <w:lang w:val="es-ES_tradnl"/>
        </w:rPr>
        <w:t xml:space="preserve">Así las cosas, en relación con las proposiciones, existe un mecanismo principal y ordinario de publicidad definido en el reglamento del Congreso </w:t>
      </w:r>
      <w:r w:rsidRPr="00635A00">
        <w:rPr>
          <w:rFonts w:ascii="Times New Roman" w:hAnsi="Times New Roman" w:cs="Times New Roman"/>
          <w:color w:val="auto"/>
          <w:lang w:val="es-ES_tradnl"/>
        </w:rPr>
        <w:t>que corresponde a la lectura de las proposiciones. Sin embargo, en atención a la dinámica del trabajo legislativo, al carácter instrumental de las reglas de formación de las leyes y los principios que rigen el proceso de formación de la ley, la jurispruden</w:t>
      </w:r>
      <w:r w:rsidRPr="00635A00">
        <w:rPr>
          <w:rFonts w:ascii="Times New Roman" w:hAnsi="Times New Roman" w:cs="Times New Roman"/>
          <w:color w:val="auto"/>
          <w:lang w:val="es-ES_tradnl"/>
        </w:rPr>
        <w:t>cia ha determinado que el aspecto central sobre el cumplimiento del principio publicidad de las proposiciones es establecer la posibilidad efectiva que tuvieron los congresistas de conocer de manera</w:t>
      </w:r>
      <w:r w:rsidRPr="00635A00">
        <w:rPr>
          <w:rFonts w:ascii="Times New Roman" w:hAnsi="Times New Roman" w:cs="Times New Roman"/>
          <w:color w:val="auto"/>
        </w:rPr>
        <w:t xml:space="preserve"> suficiente, veraz y precisa el contenido de las proposici</w:t>
      </w:r>
      <w:r w:rsidRPr="00635A00">
        <w:rPr>
          <w:rFonts w:ascii="Times New Roman" w:hAnsi="Times New Roman" w:cs="Times New Roman"/>
          <w:color w:val="auto"/>
        </w:rPr>
        <w:t>ones, que no es otra cosa que el objeto del debate. De ahí que, se hayan descartado los vicios del trámite cuando a pesar de que no se dio lectura a las proposiciones se acreditó su publicidad a través de medios alternativos o es posible inferir del debate</w:t>
      </w:r>
      <w:r w:rsidRPr="00635A00">
        <w:rPr>
          <w:rFonts w:ascii="Times New Roman" w:hAnsi="Times New Roman" w:cs="Times New Roman"/>
          <w:color w:val="auto"/>
        </w:rPr>
        <w:t xml:space="preserve"> el conocimiento efectivo de las mismas.</w:t>
      </w:r>
      <w:bookmarkEnd w:id="17"/>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Con base en esos criterios y parámetros de análisis de la publicidad de las proposiciones, pasa la Sala a examinar el trámite adelantado en la plenaria del Senado en relación con el que se plantea el incumplimiento</w:t>
      </w:r>
      <w:r w:rsidRPr="00635A00">
        <w:rPr>
          <w:rFonts w:ascii="Times New Roman" w:hAnsi="Times New Roman" w:cs="Times New Roman"/>
          <w:color w:val="auto"/>
        </w:rPr>
        <w:t xml:space="preserve"> del principio de publicidad.</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contextualSpacing/>
        <w:jc w:val="both"/>
        <w:rPr>
          <w:rFonts w:ascii="Times New Roman" w:hAnsi="Times New Roman" w:cs="Times New Roman"/>
          <w:b/>
          <w:bCs/>
          <w:sz w:val="28"/>
          <w:szCs w:val="28"/>
        </w:rPr>
      </w:pPr>
      <w:r w:rsidRPr="00635A00">
        <w:rPr>
          <w:rFonts w:ascii="Times New Roman" w:hAnsi="Times New Roman" w:cs="Times New Roman"/>
          <w:b/>
          <w:bCs/>
          <w:sz w:val="28"/>
          <w:szCs w:val="28"/>
        </w:rPr>
        <w:t>Caso concreto: el trámite del numeral 6° y del parágrafo 3° del artículo 61 de la Ley 2294 en la plenaria del Senado vulneró el principio de publicidad</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contextualSpacing/>
        <w:jc w:val="both"/>
        <w:rPr>
          <w:rFonts w:ascii="Times New Roman" w:hAnsi="Times New Roman" w:cs="Times New Roman"/>
          <w:b/>
          <w:sz w:val="28"/>
          <w:szCs w:val="28"/>
        </w:rPr>
      </w:pPr>
      <w:r w:rsidRPr="00635A00">
        <w:rPr>
          <w:rFonts w:ascii="Times New Roman" w:hAnsi="Times New Roman" w:cs="Times New Roman"/>
          <w:b/>
          <w:sz w:val="28"/>
          <w:szCs w:val="28"/>
        </w:rPr>
        <w:t>El trámite en la plenaria del Senado del artículo 61 del Plan Nacional d</w:t>
      </w:r>
      <w:r w:rsidRPr="00635A00">
        <w:rPr>
          <w:rFonts w:ascii="Times New Roman" w:hAnsi="Times New Roman" w:cs="Times New Roman"/>
          <w:b/>
          <w:sz w:val="28"/>
          <w:szCs w:val="28"/>
        </w:rPr>
        <w:t>e Desarrollo</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la Gaceta del Congreso 386 de 2023 consta la publicación de la ponencia para segundo debate en la plenaria del Senado de la República junto con el texto aprobado en primer debate por las comisiones económicas conjuntas del Senado de la Rep</w:t>
      </w:r>
      <w:r w:rsidRPr="00635A00">
        <w:rPr>
          <w:rFonts w:ascii="Times New Roman" w:hAnsi="Times New Roman" w:cs="Times New Roman"/>
          <w:color w:val="auto"/>
        </w:rPr>
        <w:t>ública y la Cámara de Representantes. En el texto sometido a debate está incluido el artículo 55 del proyecto, que regula lo concerniente a los mecanismos para facilitar y dinamizar los procesos de compra de tierras por oferta voluntaria. Asimismo, en el a</w:t>
      </w:r>
      <w:r w:rsidRPr="00635A00">
        <w:rPr>
          <w:rFonts w:ascii="Times New Roman" w:hAnsi="Times New Roman" w:cs="Times New Roman"/>
          <w:color w:val="auto"/>
        </w:rPr>
        <w:t>nexo de este informe, constan las proposiciones presentadas entre el 16 de febrero de 2023 y el 25 de abril de 2023 con respecto a todas las disposiciones del proyecto de ley correspondiente al Plan Nacional de Desarrollo 2022-2026</w:t>
      </w:r>
      <w:r w:rsidRPr="00635A00">
        <w:rPr>
          <w:rStyle w:val="Refdenotaalpie"/>
          <w:rFonts w:ascii="Times New Roman" w:hAnsi="Times New Roman" w:cs="Times New Roman"/>
          <w:color w:val="auto"/>
        </w:rPr>
        <w:footnoteReference w:id="95"/>
      </w:r>
      <w:r w:rsidRPr="00635A00">
        <w:rPr>
          <w:rFonts w:ascii="Times New Roman" w:hAnsi="Times New Roman" w:cs="Times New Roman"/>
          <w:color w:val="auto"/>
        </w:rPr>
        <w:t>.</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el texto sometido </w:t>
      </w:r>
      <w:r w:rsidRPr="00635A00">
        <w:rPr>
          <w:rFonts w:ascii="Times New Roman" w:hAnsi="Times New Roman" w:cs="Times New Roman"/>
          <w:color w:val="auto"/>
        </w:rPr>
        <w:t>a discusión de la plenaria, las principales medidas previstas en el entonces artículo 55 correspondían a: (i) reglas sobre el saneamiento de predios adquiridos por la Agencia Nacional de Tierras a través de negociación directa. Se definía el alcance de las</w:t>
      </w:r>
      <w:r w:rsidRPr="00635A00">
        <w:rPr>
          <w:rFonts w:ascii="Times New Roman" w:hAnsi="Times New Roman" w:cs="Times New Roman"/>
          <w:color w:val="auto"/>
        </w:rPr>
        <w:t xml:space="preserve"> medidas de saneamiento y el requisito de acreditación de la propiedad privada (numeral 1 compuesto por tres incisos); (ii) reglas sobre la compra directa de tierras por la Agencia Nacional de Tierras al Fondo para la Rehabilitación, Inversión Social y Luc</w:t>
      </w:r>
      <w:r w:rsidRPr="00635A00">
        <w:rPr>
          <w:rFonts w:ascii="Times New Roman" w:hAnsi="Times New Roman" w:cs="Times New Roman"/>
          <w:color w:val="auto"/>
        </w:rPr>
        <w:t xml:space="preserve">ha contra el Crimen Organizado (numeral 2 compuesto por 3 literales); (iii) reglas sobre la compra directa de tierras por la Agencia Nacional de Tierras al Fondo de Reparación de Víctimas (numeral 3); (iv) la transferencia directa de inmuebles rurales por </w:t>
      </w:r>
      <w:r w:rsidRPr="00635A00">
        <w:rPr>
          <w:rFonts w:ascii="Times New Roman" w:hAnsi="Times New Roman" w:cs="Times New Roman"/>
          <w:color w:val="auto"/>
        </w:rPr>
        <w:t>parte de otras entidades públicas a la Agencia Nacional de Tierras (numeral 4). Finalmente, el parágrafo 1º hacía unas precisiones sobre las reglas aplicables en materia de enajenación temprana y el parágrafo 2 precisaba que las medidas del artículo se suj</w:t>
      </w:r>
      <w:r w:rsidRPr="00635A00">
        <w:rPr>
          <w:rFonts w:ascii="Times New Roman" w:hAnsi="Times New Roman" w:cs="Times New Roman"/>
          <w:color w:val="auto"/>
        </w:rPr>
        <w:t>etarían al Marco Fiscal de Mediano Plazo y a las reglas presupuestales.</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Por su parte, en la Gaceta del Congreso 1011 de 2023 consta el acta de la sesión de 26 de abril de 2023 en la que se hizo el anuncio previo para el debate de la ley aprobatoria del Pl</w:t>
      </w:r>
      <w:r w:rsidRPr="00635A00">
        <w:rPr>
          <w:rFonts w:ascii="Times New Roman" w:hAnsi="Times New Roman" w:cs="Times New Roman"/>
          <w:color w:val="auto"/>
        </w:rPr>
        <w:t>an Nacional de Desarrollo en la sesión del “próximo martes”, esto es, el 2 de mayo de 2023.</w:t>
      </w:r>
    </w:p>
    <w:p w:rsidR="00EF09F4" w:rsidRPr="00635A00" w:rsidRDefault="00635A00" w:rsidP="00EF09F4">
      <w:pPr>
        <w:pStyle w:val="Prrafodelista"/>
        <w:rPr>
          <w:rFonts w:ascii="Times New Roman" w:hAnsi="Times New Roman" w:cs="Times New Roman"/>
          <w:color w:val="auto"/>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El 26 de abril de 2023, los congresistas Clara López, Angélica Lozano, Aída Avella, David Racero, Wilmer Castellanos, Liliana Rodríguez, Alirio Uribe, Luz Marina M</w:t>
      </w:r>
      <w:r w:rsidRPr="00635A00">
        <w:rPr>
          <w:rFonts w:ascii="Times New Roman" w:hAnsi="Times New Roman" w:cs="Times New Roman"/>
          <w:color w:val="auto"/>
        </w:rPr>
        <w:t>únera, Gloria Arizabaleta, Gabriel Becerra, Olga Lucía Velásquez entre otros radicaron en la secretaría general por medio físico una proposición en relación con el artículo 55 previamente descrito. En esta proposición se agregó al artículo 55 del proyecto:</w:t>
      </w:r>
      <w:r w:rsidRPr="00635A00">
        <w:rPr>
          <w:rFonts w:ascii="Times New Roman" w:hAnsi="Times New Roman" w:cs="Times New Roman"/>
          <w:color w:val="auto"/>
        </w:rPr>
        <w:t xml:space="preserve"> (i) el numeral 6 que modificó algunos de los procedimientos en materia de tierras, precisó cuáles procesos serían llevados solo por la autoridad administrativa y fijó las reglas para el desarrollo del trámite; (ii) el parágrafo 3 que derogó parcialmente d</w:t>
      </w:r>
      <w:r w:rsidRPr="00635A00">
        <w:rPr>
          <w:rFonts w:ascii="Times New Roman" w:hAnsi="Times New Roman" w:cs="Times New Roman"/>
          <w:color w:val="auto"/>
        </w:rPr>
        <w:t>isposiciones del Decreto Ley 902 de 2017.</w:t>
      </w:r>
    </w:p>
    <w:p w:rsidR="00EF09F4" w:rsidRPr="00635A00" w:rsidRDefault="00635A00" w:rsidP="00EF09F4">
      <w:pPr>
        <w:pStyle w:val="Prrafodelista"/>
        <w:rPr>
          <w:rFonts w:ascii="Times New Roman" w:hAnsi="Times New Roman" w:cs="Times New Roman"/>
          <w:color w:val="auto"/>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la Gaceta del Congreso 889 de 2023 consta la sesión de 2 de mayo, en la que se votaron los impedimentos, se presentó el proyecto por parte de los coordinadores ponentes, se presentaron proposiciones y se efectu</w:t>
      </w:r>
      <w:r w:rsidRPr="00635A00">
        <w:rPr>
          <w:rFonts w:ascii="Times New Roman" w:hAnsi="Times New Roman" w:cs="Times New Roman"/>
          <w:color w:val="auto"/>
        </w:rPr>
        <w:t>aron votaciones sobre parte del articulado del PND. Por tratarse del aspecto discutido en el cargo, la Sala pasa a examinar con detalle lo relativo a las proposiciones.</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bookmarkStart w:id="18" w:name="_Ref171325868"/>
      <w:r w:rsidRPr="00635A00">
        <w:rPr>
          <w:rFonts w:ascii="Times New Roman" w:hAnsi="Times New Roman" w:cs="Times New Roman"/>
          <w:color w:val="auto"/>
        </w:rPr>
        <w:t>En la sesión de 2 de mayo de 2023, luego de la explicación del proyecto de ley por par</w:t>
      </w:r>
      <w:r w:rsidRPr="00635A00">
        <w:rPr>
          <w:rFonts w:ascii="Times New Roman" w:hAnsi="Times New Roman" w:cs="Times New Roman"/>
          <w:color w:val="auto"/>
        </w:rPr>
        <w:t>te de los coordinadores ponentes, consta que: “[L]a Presidencia declara receso de tiempo en la sesión plenaria para que sean radicadas nuevas proposiciones al articulado del Plan Nacional de Desarrollo 2022-2026, Colombia Potencia Mundial de la Vida”</w:t>
      </w:r>
      <w:r w:rsidRPr="00635A00">
        <w:rPr>
          <w:rStyle w:val="Refdenotaalpie"/>
          <w:rFonts w:ascii="Times New Roman" w:hAnsi="Times New Roman" w:cs="Times New Roman"/>
          <w:color w:val="auto"/>
        </w:rPr>
        <w:footnoteReference w:id="96"/>
      </w:r>
      <w:r w:rsidRPr="00635A00">
        <w:rPr>
          <w:rFonts w:ascii="Times New Roman" w:hAnsi="Times New Roman" w:cs="Times New Roman"/>
          <w:color w:val="auto"/>
        </w:rPr>
        <w:t>. Sob</w:t>
      </w:r>
      <w:r w:rsidRPr="00635A00">
        <w:rPr>
          <w:rFonts w:ascii="Times New Roman" w:hAnsi="Times New Roman" w:cs="Times New Roman"/>
          <w:color w:val="auto"/>
        </w:rPr>
        <w:t>re esta actuación se indicó que:</w:t>
      </w:r>
      <w:bookmarkEnd w:id="18"/>
      <w:r w:rsidRPr="00635A00">
        <w:rPr>
          <w:rFonts w:ascii="Times New Roman" w:hAnsi="Times New Roman" w:cs="Times New Roman"/>
          <w:color w:val="auto"/>
        </w:rPr>
        <w:t xml:space="preserve"> </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 aprovechando que estamos en la hora del almuerzo, abro un espacio de 20 </w:t>
      </w:r>
      <w:bookmarkStart w:id="19" w:name="_Hlk173742122"/>
      <w:r w:rsidRPr="00635A00">
        <w:rPr>
          <w:rFonts w:ascii="Times New Roman" w:hAnsi="Times New Roman" w:cs="Times New Roman"/>
          <w:sz w:val="28"/>
        </w:rPr>
        <w:t>minutos para que por favor los miembros de los partidos, en este espacio, acudan al equipo de gobierno que está aquí el señor Viceministro Gener</w:t>
      </w:r>
      <w:r w:rsidRPr="00635A00">
        <w:rPr>
          <w:rFonts w:ascii="Times New Roman" w:hAnsi="Times New Roman" w:cs="Times New Roman"/>
          <w:sz w:val="28"/>
        </w:rPr>
        <w:t>al de Hacienda, que es quien tiene el chulo final para incluir las proposiciones avaladas</w:t>
      </w:r>
      <w:bookmarkEnd w:id="19"/>
      <w:r w:rsidRPr="00635A00">
        <w:rPr>
          <w:rFonts w:ascii="Times New Roman" w:hAnsi="Times New Roman" w:cs="Times New Roman"/>
          <w:sz w:val="28"/>
        </w:rPr>
        <w:t>, aquí está el Ministro de las TIC, el Ministerio del Interior, Planeación Nacional. En este momento abrimos ese espacio de 20 minutos para que los Senadores y Senador</w:t>
      </w:r>
      <w:r w:rsidRPr="00635A00">
        <w:rPr>
          <w:rFonts w:ascii="Times New Roman" w:hAnsi="Times New Roman" w:cs="Times New Roman"/>
          <w:sz w:val="28"/>
        </w:rPr>
        <w:t xml:space="preserve">as que tengan inquietudes sobre proposiciones para ser incluidas en el bloque de proposiciones avaladas se acerquen a presentárselas al gobierno que está aquí atendiendo esas proposiciones. </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Repito, los Senadores y Senadoras, los partidos </w:t>
      </w:r>
      <w:r w:rsidRPr="00635A00">
        <w:rPr>
          <w:rFonts w:ascii="Times New Roman" w:hAnsi="Times New Roman" w:cs="Times New Roman"/>
          <w:sz w:val="28"/>
          <w:u w:val="single"/>
        </w:rPr>
        <w:t xml:space="preserve">que tengan </w:t>
      </w:r>
      <w:r w:rsidRPr="00635A00">
        <w:rPr>
          <w:rFonts w:ascii="Times New Roman" w:hAnsi="Times New Roman" w:cs="Times New Roman"/>
          <w:sz w:val="28"/>
          <w:u w:val="single"/>
        </w:rPr>
        <w:t>proposiciones que no estén en la ponencia</w:t>
      </w:r>
      <w:r w:rsidRPr="00635A00">
        <w:rPr>
          <w:rFonts w:ascii="Times New Roman" w:hAnsi="Times New Roman" w:cs="Times New Roman"/>
          <w:sz w:val="28"/>
        </w:rPr>
        <w:t>, este es el momento de hacérselas conocer al gobierno que está aquí recibiendo proposiciones para incluirlas o no en el bloque de proposiciones avaladas, aquí está el señor Ministro de Hacienda atento a recibir est</w:t>
      </w:r>
      <w:r w:rsidRPr="00635A00">
        <w:rPr>
          <w:rFonts w:ascii="Times New Roman" w:hAnsi="Times New Roman" w:cs="Times New Roman"/>
          <w:sz w:val="28"/>
        </w:rPr>
        <w:t>as proposiciones.” (subrayado por fuera de texto)</w:t>
      </w:r>
      <w:r w:rsidRPr="00635A00">
        <w:rPr>
          <w:rStyle w:val="Refdenotaalpie"/>
          <w:rFonts w:ascii="Times New Roman" w:hAnsi="Times New Roman" w:cs="Times New Roman"/>
          <w:sz w:val="28"/>
        </w:rPr>
        <w:footnoteReference w:id="97"/>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bookmarkStart w:id="20" w:name="_Ref171325884"/>
      <w:r w:rsidRPr="00635A00">
        <w:rPr>
          <w:rFonts w:ascii="Times New Roman" w:hAnsi="Times New Roman" w:cs="Times New Roman"/>
          <w:color w:val="auto"/>
        </w:rPr>
        <w:t>Tras este trámite, se efectuó una intervención de los voceros de los partidos y otros congresistas sobre el proyecto de ley aprobatoria del Plan Nacional de Desarrollo y se pasó a la votación de los artíc</w:t>
      </w:r>
      <w:r w:rsidRPr="00635A00">
        <w:rPr>
          <w:rFonts w:ascii="Times New Roman" w:hAnsi="Times New Roman" w:cs="Times New Roman"/>
          <w:color w:val="auto"/>
        </w:rPr>
        <w:t>ulos sin proposiciones, los cuales se dividieron entre aquellos que requerían mayoría absoluta y los que no</w:t>
      </w:r>
      <w:r w:rsidRPr="00635A00">
        <w:rPr>
          <w:rStyle w:val="Refdenotaalpie"/>
          <w:rFonts w:ascii="Times New Roman" w:hAnsi="Times New Roman" w:cs="Times New Roman"/>
          <w:color w:val="auto"/>
        </w:rPr>
        <w:footnoteReference w:id="98"/>
      </w:r>
      <w:r w:rsidRPr="00635A00">
        <w:rPr>
          <w:rFonts w:ascii="Times New Roman" w:hAnsi="Times New Roman" w:cs="Times New Roman"/>
          <w:color w:val="auto"/>
        </w:rPr>
        <w:t>.</w:t>
      </w:r>
      <w:bookmarkEnd w:id="20"/>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Efectuada la votación de los artículos sin proposiciones, se emprendió el debate y la votación de los artículos con proposiciones. Así, se inició</w:t>
      </w:r>
      <w:r w:rsidRPr="00635A00">
        <w:rPr>
          <w:rFonts w:ascii="Times New Roman" w:hAnsi="Times New Roman" w:cs="Times New Roman"/>
          <w:color w:val="auto"/>
        </w:rPr>
        <w:t xml:space="preserve"> una amplia discusión sobre las proposiciones no avaladas por el Gobierno. Luego, el senador Carlos Abraham Jiménez López propuso una moción de orden y sugirió empezar la votación de los artículos que tenían proposiciones avaladas por el Gobierno, entre lo</w:t>
      </w:r>
      <w:r w:rsidRPr="00635A00">
        <w:rPr>
          <w:rFonts w:ascii="Times New Roman" w:hAnsi="Times New Roman" w:cs="Times New Roman"/>
          <w:color w:val="auto"/>
        </w:rPr>
        <w:t xml:space="preserve">s que se encontraba el entonces artículo 55 -hoy artículo 61 de la Ley 2294 de 2023-. Esta propuesta fue acogida por el presidente del Senado así: </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“Entonces, Senador Roldán, vamos a invitar a la Plenaria a votar este pequeño bloque de artículos que tiene</w:t>
      </w:r>
      <w:r w:rsidRPr="00635A00">
        <w:rPr>
          <w:rFonts w:ascii="Times New Roman" w:hAnsi="Times New Roman" w:cs="Times New Roman"/>
          <w:sz w:val="28"/>
        </w:rPr>
        <w:t>n consenso, porque fueron avalados ya, y así cada Senador satisfizo su deseo en estas proposiciones, no hay debate, no hay contradicción. Esos artículos son: el artículo 3°, el artículo 5°, el artículo 12, articulo 24, el artículo 25, artículo 46, los aval</w:t>
      </w:r>
      <w:r w:rsidRPr="00635A00">
        <w:rPr>
          <w:rFonts w:ascii="Times New Roman" w:hAnsi="Times New Roman" w:cs="Times New Roman"/>
          <w:sz w:val="28"/>
        </w:rPr>
        <w:t xml:space="preserve">ados, </w:t>
      </w:r>
      <w:r w:rsidRPr="00635A00">
        <w:rPr>
          <w:rFonts w:ascii="Times New Roman" w:hAnsi="Times New Roman" w:cs="Times New Roman"/>
          <w:sz w:val="28"/>
          <w:u w:val="single"/>
        </w:rPr>
        <w:t>el artículo 55</w:t>
      </w:r>
      <w:r w:rsidRPr="00635A00">
        <w:rPr>
          <w:rFonts w:ascii="Times New Roman" w:hAnsi="Times New Roman" w:cs="Times New Roman"/>
          <w:sz w:val="28"/>
        </w:rPr>
        <w:t>, el artículo 130. Vuelvo a leer, son artículos cuyas proposiciones fueron avaladas, voy a volver a leerlas, las que son no, no, no, repito por tercera vez, proposiciones que fueron avaladas son las siguientes, artículo 3°, artículo 5°,</w:t>
      </w:r>
      <w:r w:rsidRPr="00635A00">
        <w:rPr>
          <w:rFonts w:ascii="Times New Roman" w:hAnsi="Times New Roman" w:cs="Times New Roman"/>
          <w:sz w:val="28"/>
        </w:rPr>
        <w:t xml:space="preserve"> artículo 12, artículo 24, artículo 25, artículo 46</w:t>
      </w:r>
      <w:r w:rsidRPr="00635A00">
        <w:rPr>
          <w:rFonts w:ascii="Times New Roman" w:hAnsi="Times New Roman" w:cs="Times New Roman"/>
          <w:sz w:val="28"/>
          <w:u w:val="single"/>
        </w:rPr>
        <w:t>, artículo 55</w:t>
      </w:r>
      <w:r w:rsidRPr="00635A00">
        <w:rPr>
          <w:rFonts w:ascii="Times New Roman" w:hAnsi="Times New Roman" w:cs="Times New Roman"/>
          <w:sz w:val="28"/>
        </w:rPr>
        <w:t xml:space="preserve">, artículo 126, artículos 304, artículos 316, artículo 324, artículo 331, artículo 338, artículo 315, artículo 361, 315, artículo 361 que modifica dos palabras y, el artículo 373. </w:t>
      </w:r>
      <w:r w:rsidRPr="00635A00">
        <w:rPr>
          <w:rFonts w:ascii="Times New Roman" w:hAnsi="Times New Roman" w:cs="Times New Roman"/>
          <w:sz w:val="28"/>
        </w:rPr>
        <w:t>Proposiciones avaladas de distintos Senadores, que espero no susciten discusión porque estamos aceptando las proposiciones de los compañeros.” (subrayado por fuera de texto).</w:t>
      </w:r>
      <w:r w:rsidRPr="00635A00">
        <w:rPr>
          <w:rStyle w:val="Refdenotaalpie"/>
          <w:rFonts w:ascii="Times New Roman" w:hAnsi="Times New Roman" w:cs="Times New Roman"/>
          <w:sz w:val="28"/>
        </w:rPr>
        <w:footnoteReference w:id="99"/>
      </w:r>
      <w:r w:rsidRPr="00635A00">
        <w:rPr>
          <w:rFonts w:ascii="Times New Roman" w:hAnsi="Times New Roman" w:cs="Times New Roman"/>
          <w:sz w:val="28"/>
        </w:rPr>
        <w:t xml:space="preserve"> </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Previo a la votación de los artículos con proposiciones avaladas por el Gobier</w:t>
      </w:r>
      <w:r w:rsidRPr="00635A00">
        <w:rPr>
          <w:rFonts w:ascii="Times New Roman" w:hAnsi="Times New Roman" w:cs="Times New Roman"/>
          <w:color w:val="auto"/>
        </w:rPr>
        <w:t>no, el senador Edwing Fabián Díaz Plata señaló:</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“Claro, Presidente, moción de orden en el sentido de que, usted nos está nombrando las diferentes proposiciones que fueron avaladas, pero necesitamos nosotros conocer qué fue lo que avalaron de las proposici</w:t>
      </w:r>
      <w:r w:rsidRPr="00635A00">
        <w:rPr>
          <w:rFonts w:ascii="Times New Roman" w:hAnsi="Times New Roman" w:cs="Times New Roman"/>
          <w:sz w:val="28"/>
        </w:rPr>
        <w:t xml:space="preserve">ones que radicaron, nosotros no podemos votar a ciegas, no sabemos qué terminaron avalando de un compañero a otro, por supuesto, necesitamos nosotros tener en conocimiento saber cuáles fueron las proposiciones que se avalaron, que las lean y, de esa forma </w:t>
      </w:r>
      <w:r w:rsidRPr="00635A00">
        <w:rPr>
          <w:rFonts w:ascii="Times New Roman" w:hAnsi="Times New Roman" w:cs="Times New Roman"/>
          <w:sz w:val="28"/>
        </w:rPr>
        <w:t>poder acompañar, gracias, Presidente.”</w:t>
      </w:r>
      <w:r w:rsidRPr="00635A00">
        <w:rPr>
          <w:rStyle w:val="Refdenotaalpie"/>
          <w:rFonts w:ascii="Times New Roman" w:hAnsi="Times New Roman" w:cs="Times New Roman"/>
          <w:sz w:val="28"/>
        </w:rPr>
        <w:footnoteReference w:id="100"/>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atención a la moción de orden presentadas por el senador Díaz Plata, el entonces presidente del Senado procede a hacer las siguientes precisiones sobre las proposiciones presentadas al articulado del proyecto: </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“Le pido al equipo de Gobierno, son: una dos, tres, cuatro, cinco, seis, siete, ocho, nueve, diez, once, doce, trece, catorce, quince, dieciséis, dieciocho proposiciones, dónde están para leerlas, facilíteme las dieciocho proposiciones, dónde está el equip</w:t>
      </w:r>
      <w:r w:rsidRPr="00635A00">
        <w:rPr>
          <w:rFonts w:ascii="Times New Roman" w:hAnsi="Times New Roman" w:cs="Times New Roman"/>
          <w:sz w:val="28"/>
        </w:rPr>
        <w:t>o de Gobierno, las proposiciones avaladas me las permiten, por favor, para satisfacer la moción de orden. (…)”</w:t>
      </w:r>
      <w:r w:rsidRPr="00635A00">
        <w:rPr>
          <w:rStyle w:val="Refdenotaalpie"/>
          <w:rFonts w:ascii="Times New Roman" w:hAnsi="Times New Roman" w:cs="Times New Roman"/>
          <w:sz w:val="28"/>
        </w:rPr>
        <w:footnoteReference w:id="101"/>
      </w:r>
      <w:r w:rsidRPr="00635A00">
        <w:rPr>
          <w:rFonts w:ascii="Times New Roman" w:hAnsi="Times New Roman" w:cs="Times New Roman"/>
          <w:sz w:val="28"/>
        </w:rPr>
        <w:t>.</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lo que respecta a la proposición avalada sobre el artículo 55, el presidente del Senado señaló:</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 está avalada y la proposición que se </w:t>
      </w:r>
      <w:r w:rsidRPr="00635A00">
        <w:rPr>
          <w:rFonts w:ascii="Times New Roman" w:hAnsi="Times New Roman" w:cs="Times New Roman"/>
          <w:sz w:val="28"/>
        </w:rPr>
        <w:t>refiere al artículo 55 avalada, también, y con múltiples firmas, tengo N firmas, la de la Senadora Liliana, la de la Senadora Clara López, Angélica Lozano, en fin, Aída Avella, artículo 55 y esa proposición agrega, entre otros, en el numeral dos, inmuebles</w:t>
      </w:r>
      <w:r w:rsidRPr="00635A00">
        <w:rPr>
          <w:rFonts w:ascii="Times New Roman" w:hAnsi="Times New Roman" w:cs="Times New Roman"/>
          <w:sz w:val="28"/>
        </w:rPr>
        <w:t xml:space="preserve"> rurales no sociales con medidas cautelares dentro del proceso de extinción de dominio, bajo de la figura generación temprano de cualquier otro mecanismo que establezca la ley, en los eventos en los que se hubiera constituido reserva técnica, o si hubiera </w:t>
      </w:r>
      <w:r w:rsidRPr="00635A00">
        <w:rPr>
          <w:rFonts w:ascii="Times New Roman" w:hAnsi="Times New Roman" w:cs="Times New Roman"/>
          <w:sz w:val="28"/>
        </w:rPr>
        <w:t>pagado el valor de venta y siempre que sea declara la extinción de dominio, serán reintegrados al Fondo de Tierras, esa una proposición avalada por el Gobierno y con la firma de 30 Senadores.”</w:t>
      </w:r>
      <w:r w:rsidRPr="00635A00">
        <w:rPr>
          <w:rStyle w:val="Refdenotaalpie"/>
          <w:rFonts w:ascii="Times New Roman" w:hAnsi="Times New Roman" w:cs="Times New Roman"/>
          <w:sz w:val="28"/>
        </w:rPr>
        <w:footnoteReference w:id="102"/>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Tras la referencia a las proposiciones avaladas, se adelantó </w:t>
      </w:r>
      <w:r w:rsidRPr="00635A00">
        <w:rPr>
          <w:rFonts w:ascii="Times New Roman" w:hAnsi="Times New Roman" w:cs="Times New Roman"/>
          <w:color w:val="auto"/>
        </w:rPr>
        <w:t>la votación en bloque, la cual se efectuó en los siguientes términos:</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al fin vamos con las consensuadas de los compañeros y compañeras que lograron el aval, proposiciones que ya han sido leídas, sobre ellas se ha abierto la discusión, se han interven</w:t>
      </w:r>
      <w:r w:rsidRPr="00635A00">
        <w:rPr>
          <w:rFonts w:ascii="Times New Roman" w:hAnsi="Times New Roman" w:cs="Times New Roman"/>
          <w:sz w:val="28"/>
        </w:rPr>
        <w:t>ido ya en varias ocasiones, anuncio que va a cerrarse, queda cerrada, abra el registro, señor Secretario, vamos a votar las proposiciones avaladas, con los artículos que las contienen, lo que no tiene aval no, no me distraiga al Secretario, ¡por favor¡</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El</w:t>
      </w:r>
      <w:r w:rsidRPr="00635A00">
        <w:rPr>
          <w:rFonts w:ascii="Times New Roman" w:hAnsi="Times New Roman" w:cs="Times New Roman"/>
          <w:sz w:val="28"/>
        </w:rPr>
        <w:t xml:space="preserve"> Presidente de la Corporación honorable Senador Roy Leonardo Barreras Montealegre, manifiesta: Reitero, para que sepamos qué van a votar, el artículo 3º, 5º, 12, 24, 25, 46, </w:t>
      </w:r>
      <w:r w:rsidRPr="00635A00">
        <w:rPr>
          <w:rFonts w:ascii="Times New Roman" w:hAnsi="Times New Roman" w:cs="Times New Roman"/>
          <w:b/>
          <w:sz w:val="28"/>
          <w:u w:val="single"/>
        </w:rPr>
        <w:t>55</w:t>
      </w:r>
      <w:r w:rsidRPr="00635A00">
        <w:rPr>
          <w:rFonts w:ascii="Times New Roman" w:hAnsi="Times New Roman" w:cs="Times New Roman"/>
          <w:sz w:val="28"/>
        </w:rPr>
        <w:t>, 130, 126, 304, 159, 316, 324, 330, 331, 338, 315 y 361. Me piden que reconozca</w:t>
      </w:r>
      <w:r w:rsidRPr="00635A00">
        <w:rPr>
          <w:rFonts w:ascii="Times New Roman" w:hAnsi="Times New Roman" w:cs="Times New Roman"/>
          <w:sz w:val="28"/>
        </w:rPr>
        <w:t xml:space="preserve"> la autoridad de la proposición avalada del 159 de la Senadora Angélica Lozano con mucho gusto. El 159 del que hemos hablado varias veces, abierto el registro abra el registro, por favor. La Presidencia somete a consideración de la plenaria los artículos: </w:t>
      </w:r>
      <w:r w:rsidRPr="00635A00">
        <w:rPr>
          <w:rFonts w:ascii="Times New Roman" w:hAnsi="Times New Roman" w:cs="Times New Roman"/>
          <w:sz w:val="28"/>
        </w:rPr>
        <w:t>3°, 5°, 6°, 12, 14, 24, 25, 46</w:t>
      </w:r>
      <w:r w:rsidRPr="00635A00">
        <w:rPr>
          <w:rFonts w:ascii="Times New Roman" w:hAnsi="Times New Roman" w:cs="Times New Roman"/>
          <w:b/>
          <w:sz w:val="28"/>
          <w:u w:val="single"/>
        </w:rPr>
        <w:t>, 55</w:t>
      </w:r>
      <w:r w:rsidRPr="00635A00">
        <w:rPr>
          <w:rFonts w:ascii="Times New Roman" w:hAnsi="Times New Roman" w:cs="Times New Roman"/>
          <w:sz w:val="28"/>
        </w:rPr>
        <w:t>, 126, 130, 133, 152, 159, 267, 304, 315, 316, 324, 330, 331, 336 y 338 con las proposiciones avaladas al Proyecto de Ley Orgánica número 274 de 2023 Senado, 338 de 2023 Cámara y, cerrada su discusión, pregunta: ¿Adopta la</w:t>
      </w:r>
      <w:r w:rsidRPr="00635A00">
        <w:rPr>
          <w:rFonts w:ascii="Times New Roman" w:hAnsi="Times New Roman" w:cs="Times New Roman"/>
          <w:sz w:val="28"/>
        </w:rPr>
        <w:t xml:space="preserve"> plenaria los artículos con las modificaciones propuestas? Abre la votación e indica a la Secretaría abrir el registro electrónico para proceder en forma nominal. La Presidencia cierra la votación e indica a la Secretaría cerrar el registro electrónico e i</w:t>
      </w:r>
      <w:r w:rsidRPr="00635A00">
        <w:rPr>
          <w:rFonts w:ascii="Times New Roman" w:hAnsi="Times New Roman" w:cs="Times New Roman"/>
          <w:sz w:val="28"/>
        </w:rPr>
        <w:t>nformar el resultado. Por Secretaría se informa el siguiente resultado: Por el SÍ: 60 Por el NO: 14 TOTAL: 73 votos” (negrillas y subrayado por fuera de texto).</w:t>
      </w:r>
      <w:r w:rsidRPr="00635A00">
        <w:rPr>
          <w:rStyle w:val="Refdenotaalpie"/>
          <w:rFonts w:ascii="Times New Roman" w:hAnsi="Times New Roman" w:cs="Times New Roman"/>
          <w:sz w:val="28"/>
        </w:rPr>
        <w:footnoteReference w:id="103"/>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Así, sobre la proposición avalada que modificó el artículo 55, la cual obra en la página 107 </w:t>
      </w:r>
      <w:r w:rsidRPr="00635A00">
        <w:rPr>
          <w:rFonts w:ascii="Times New Roman" w:hAnsi="Times New Roman" w:cs="Times New Roman"/>
          <w:color w:val="auto"/>
        </w:rPr>
        <w:t>de la Gaceta del Congreso 889 de 2023, se advierte que: (i) tiene sello de radicación en la subsecretaría general del 26 de abril de 2023; (ii) contó con el aval de Gobierno; (iii) su existencia fue mencionada por el presidente del Senado; y (iv) se votó e</w:t>
      </w:r>
      <w:r w:rsidRPr="00635A00">
        <w:rPr>
          <w:rFonts w:ascii="Times New Roman" w:hAnsi="Times New Roman" w:cs="Times New Roman"/>
          <w:color w:val="auto"/>
        </w:rPr>
        <w:t>n bloque junto con los demás artículos que contenían proposiciones avaladas.</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Ahora bien, descrito el trámite de la proposición presentada en relación con el artículo 55 del proyecto de ley, avalada por el Gobierno nacional y aprobada en sesión de 2 de may</w:t>
      </w:r>
      <w:r w:rsidRPr="00635A00">
        <w:rPr>
          <w:rFonts w:ascii="Times New Roman" w:hAnsi="Times New Roman" w:cs="Times New Roman"/>
          <w:color w:val="auto"/>
        </w:rPr>
        <w:t>o de 2023, se examinará si en el trámite descrito se infringió o no el principio de publicidad. Para ese propósito, resulta determinante establecer el contenido de la proposición, el cual se puede establecer a través de la siguiente comparación en la que s</w:t>
      </w:r>
      <w:r w:rsidRPr="00635A00">
        <w:rPr>
          <w:rFonts w:ascii="Times New Roman" w:hAnsi="Times New Roman" w:cs="Times New Roman"/>
          <w:color w:val="auto"/>
        </w:rPr>
        <w:t>e subrayarán los contenidos de los apartes demandados en esta oportunidad:</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Descripcin"/>
        <w:keepNext/>
        <w:rPr>
          <w:rFonts w:ascii="Times New Roman" w:hAnsi="Times New Roman" w:cs="Times New Roman"/>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9</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Comparación entre la ponencia para segundo debate y la proposición aprobada por la plenaria del Senado</w:t>
      </w:r>
    </w:p>
    <w:tbl>
      <w:tblPr>
        <w:tblStyle w:val="Tablaconcuadrcula"/>
        <w:tblW w:w="0" w:type="auto"/>
        <w:tblLook w:val="04A0" w:firstRow="1" w:lastRow="0" w:firstColumn="1" w:lastColumn="0" w:noHBand="0" w:noVBand="1"/>
      </w:tblPr>
      <w:tblGrid>
        <w:gridCol w:w="4390"/>
        <w:gridCol w:w="4438"/>
      </w:tblGrid>
      <w:tr w:rsidR="00301B43" w:rsidRPr="00635A00">
        <w:trPr>
          <w:tblHeader/>
        </w:trPr>
        <w:tc>
          <w:tcPr>
            <w:tcW w:w="4390" w:type="dxa"/>
            <w:shd w:val="clear" w:color="auto" w:fill="E2EFD9" w:themeFill="accent6" w:themeFillTint="33"/>
          </w:tcPr>
          <w:p w:rsidR="00EF09F4" w:rsidRPr="00635A00" w:rsidRDefault="00635A00">
            <w:pPr>
              <w:contextualSpacing/>
              <w:jc w:val="center"/>
              <w:rPr>
                <w:rFonts w:ascii="Times New Roman" w:hAnsi="Times New Roman"/>
                <w:b/>
                <w:sz w:val="28"/>
              </w:rPr>
            </w:pPr>
            <w:r w:rsidRPr="00635A00">
              <w:rPr>
                <w:rFonts w:ascii="Times New Roman" w:hAnsi="Times New Roman"/>
                <w:b/>
                <w:sz w:val="28"/>
              </w:rPr>
              <w:t>Ponencia para segundo debate. Gaceta 386 de</w:t>
            </w:r>
            <w:r w:rsidRPr="00635A00">
              <w:rPr>
                <w:rFonts w:ascii="Times New Roman" w:hAnsi="Times New Roman"/>
                <w:b/>
                <w:sz w:val="28"/>
              </w:rPr>
              <w:t xml:space="preserve"> 2023</w:t>
            </w:r>
          </w:p>
        </w:tc>
        <w:tc>
          <w:tcPr>
            <w:tcW w:w="4438" w:type="dxa"/>
            <w:shd w:val="clear" w:color="auto" w:fill="E2EFD9" w:themeFill="accent6" w:themeFillTint="33"/>
          </w:tcPr>
          <w:p w:rsidR="00EF09F4" w:rsidRPr="00635A00" w:rsidRDefault="00635A00">
            <w:pPr>
              <w:contextualSpacing/>
              <w:jc w:val="center"/>
              <w:rPr>
                <w:rFonts w:ascii="Times New Roman" w:hAnsi="Times New Roman"/>
                <w:b/>
                <w:sz w:val="28"/>
              </w:rPr>
            </w:pPr>
            <w:r w:rsidRPr="00635A00">
              <w:rPr>
                <w:rFonts w:ascii="Times New Roman" w:hAnsi="Times New Roman"/>
                <w:b/>
                <w:sz w:val="28"/>
              </w:rPr>
              <w:t>Proposición aprobada en plenaria de Senado. Gaceta 889 de 2023</w:t>
            </w:r>
          </w:p>
        </w:tc>
      </w:tr>
      <w:tr w:rsidR="00EF09F4" w:rsidRPr="00635A00">
        <w:tc>
          <w:tcPr>
            <w:tcW w:w="4390" w:type="dxa"/>
          </w:tcPr>
          <w:p w:rsidR="00EF09F4" w:rsidRPr="00635A00" w:rsidRDefault="00635A00">
            <w:pPr>
              <w:pStyle w:val="Sinespaciado"/>
              <w:jc w:val="both"/>
              <w:rPr>
                <w:rFonts w:ascii="Times New Roman" w:hAnsi="Times New Roman"/>
                <w:sz w:val="28"/>
                <w:szCs w:val="24"/>
              </w:rPr>
            </w:pPr>
            <w:r w:rsidRPr="00635A00">
              <w:rPr>
                <w:rFonts w:ascii="Times New Roman" w:hAnsi="Times New Roman"/>
                <w:b/>
                <w:sz w:val="28"/>
                <w:szCs w:val="24"/>
              </w:rPr>
              <w:t>ARTÍCULO 55°. MECANISMOS PARA FACILITAR Y DINAMIZAR LOS PROCESOS DE COMPRA DE TIERRAS POR OFERTA VOLUNTARIA</w:t>
            </w:r>
            <w:r w:rsidRPr="00635A00">
              <w:rPr>
                <w:rFonts w:ascii="Times New Roman" w:hAnsi="Times New Roman"/>
                <w:sz w:val="28"/>
                <w:szCs w:val="24"/>
              </w:rPr>
              <w:t xml:space="preserve">. En el marco del procedimiento de compra por oferta voluntaria de tierras, que se destinarán al fondo de tierras a cargo de la Agencia Nacional de Tierras (ANT), podrán adelantarse las siguientes medidas: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b/>
                <w:sz w:val="28"/>
                <w:szCs w:val="24"/>
              </w:rPr>
              <w:t xml:space="preserve"> 1. Saneamiento para la compra de tierras</w:t>
            </w:r>
            <w:r w:rsidRPr="00635A00">
              <w:rPr>
                <w:rFonts w:ascii="Times New Roman" w:hAnsi="Times New Roman"/>
                <w:sz w:val="28"/>
                <w:szCs w:val="24"/>
              </w:rPr>
              <w:t>. En lo</w:t>
            </w:r>
            <w:r w:rsidRPr="00635A00">
              <w:rPr>
                <w:rFonts w:ascii="Times New Roman" w:hAnsi="Times New Roman"/>
                <w:sz w:val="28"/>
                <w:szCs w:val="24"/>
              </w:rPr>
              <w:t>s eventos en que la ANT, en el marco de sus funciones, adquiera inmuebles por negociación directa, operará a su favor el saneamiento sobre la existencia de limitaciones, gravámenes, afectaciones o medidas cautelares que impidan el uso, goce y disposición p</w:t>
            </w:r>
            <w:r w:rsidRPr="00635A00">
              <w:rPr>
                <w:rFonts w:ascii="Times New Roman" w:hAnsi="Times New Roman"/>
                <w:sz w:val="28"/>
                <w:szCs w:val="24"/>
              </w:rPr>
              <w:t>lena del predio, incluso las que surjan con posterioridad al proceso de adquisición. Lo anterior, sin perjuicio de las acciones indemnizatorias que procedan según la ley. En caso de ser necesario, con cargo al precio de compra del inmueble, se asumirán las</w:t>
            </w:r>
            <w:r w:rsidRPr="00635A00">
              <w:rPr>
                <w:rFonts w:ascii="Times New Roman" w:hAnsi="Times New Roman"/>
                <w:sz w:val="28"/>
                <w:szCs w:val="24"/>
              </w:rPr>
              <w:t xml:space="preserve"> obligaciones causadas, tales como servicios públicos, obligaciones tributarias del orden nacional y territorial, valorización y otras que recaigan sobre los inmuebles objeto de compra.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El saneamiento previsto en el inciso anterior no operará en perjui</w:t>
            </w:r>
            <w:r w:rsidRPr="00635A00">
              <w:rPr>
                <w:rFonts w:ascii="Times New Roman" w:hAnsi="Times New Roman"/>
                <w:sz w:val="28"/>
                <w:szCs w:val="24"/>
              </w:rPr>
              <w:t>cio de la presunción de bien baldío prevista en la Ley 160 de 1994. Así́ mismo, no operará cuando i) se presente despojo por el conflicto armado, en términos de la Ley 1448 de 2011 y los Decretos ley 4633, 4634 y 4635 de 2011; ii) existan medidas o limitac</w:t>
            </w:r>
            <w:r w:rsidRPr="00635A00">
              <w:rPr>
                <w:rFonts w:ascii="Times New Roman" w:hAnsi="Times New Roman"/>
                <w:sz w:val="28"/>
                <w:szCs w:val="24"/>
              </w:rPr>
              <w:t>iones asociadas a procesos de restitución de tierras, conforme lo prescrito por la Ley 1448 de 2011; iii) existan medidas de protección de conformidad con lo previsto en la Ley 387 de 1997; y iv) se estén adelantando procesos de clarificación de la propied</w:t>
            </w:r>
            <w:r w:rsidRPr="00635A00">
              <w:rPr>
                <w:rFonts w:ascii="Times New Roman" w:hAnsi="Times New Roman"/>
                <w:sz w:val="28"/>
                <w:szCs w:val="24"/>
              </w:rPr>
              <w:t xml:space="preserve">ad, extinción del dominio por incumplimiento de la función social y ecológica de la propiedad, deslinde y recuperación de baldíos de que trata la Ley 160 de 1994.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Sobre las tierras que pretenda adquirir la ANT se debe acreditar propiedad privada de conf</w:t>
            </w:r>
            <w:r w:rsidRPr="00635A00">
              <w:rPr>
                <w:rFonts w:ascii="Times New Roman" w:hAnsi="Times New Roman"/>
                <w:sz w:val="28"/>
                <w:szCs w:val="24"/>
              </w:rPr>
              <w:t xml:space="preserve">ormidad con lo previsto en el artículo 48 de la Ley 160 de 1994, se debe cumplir con las normas ambientales y agrarias, y deben estar en posesión de sus propietarios o del administrador del Frisco.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b/>
                <w:sz w:val="28"/>
                <w:szCs w:val="24"/>
              </w:rPr>
              <w:t xml:space="preserve"> 2. Compra directa de tierras al FRISCO</w:t>
            </w:r>
            <w:r w:rsidRPr="00635A00">
              <w:rPr>
                <w:rFonts w:ascii="Times New Roman" w:hAnsi="Times New Roman"/>
                <w:sz w:val="28"/>
                <w:szCs w:val="24"/>
              </w:rPr>
              <w:t xml:space="preserve">. La ANT podrá́ </w:t>
            </w:r>
            <w:r w:rsidRPr="00635A00">
              <w:rPr>
                <w:rFonts w:ascii="Times New Roman" w:hAnsi="Times New Roman"/>
                <w:sz w:val="28"/>
                <w:szCs w:val="24"/>
              </w:rPr>
              <w:t xml:space="preserve">adquirir de manera directa: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a. Inmuebles rurales no sociales con medidas cautelares dentro del proceso de extinción de dominio, bajo el mecanismo de enajenación temprana, de conformidad con lo establecido en el artículo 93 de la Ley 1708 de 2014. Los predios deberán ser adquiridos po</w:t>
            </w:r>
            <w:r w:rsidRPr="00635A00">
              <w:rPr>
                <w:rFonts w:ascii="Times New Roman" w:hAnsi="Times New Roman"/>
                <w:sz w:val="28"/>
                <w:szCs w:val="24"/>
              </w:rPr>
              <w:t xml:space="preserve">r el precio base de venta definido en el avalúo comercial vigente al momento de la venta. Con los dineros producto de la enajenación temprana, el administrador del FRISCO constituirá́ una reserva técnica del cien por ciento (100%), destinada a cumplir las </w:t>
            </w:r>
            <w:r w:rsidRPr="00635A00">
              <w:rPr>
                <w:rFonts w:ascii="Times New Roman" w:hAnsi="Times New Roman"/>
                <w:sz w:val="28"/>
                <w:szCs w:val="24"/>
              </w:rPr>
              <w:t xml:space="preserve">órdenes judiciales de devolución que recaigan sobre los bienes objeto de venta. En los eventos en los que sea declarada la extinción de dominio, la reserva técnica referida será reintegrada en su totalidad al Fondo de Tierras.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 xml:space="preserve"> b. Inmuebles rurales propi</w:t>
            </w:r>
            <w:r w:rsidRPr="00635A00">
              <w:rPr>
                <w:rFonts w:ascii="Times New Roman" w:hAnsi="Times New Roman"/>
                <w:sz w:val="28"/>
                <w:szCs w:val="24"/>
              </w:rPr>
              <w:t>edad de personas jurídicas incursas en procesos de liquidación y con medidas cautelares dentro del proceso de extinción de dominio, bajo el mecanismo de enajenación temprana, de conformidad con lo establecido en el artículo 93 de la Ley 1708 de 2014. Los p</w:t>
            </w:r>
            <w:r w:rsidRPr="00635A00">
              <w:rPr>
                <w:rFonts w:ascii="Times New Roman" w:hAnsi="Times New Roman"/>
                <w:sz w:val="28"/>
                <w:szCs w:val="24"/>
              </w:rPr>
              <w:t>redios deberán ser adquiridos por el precio base de venta definido en el avalúo comercial vigente al momento de la venta. El producto de la venta de estos bienes estará́ destinado a cancelar las deudas a cargo de la sociedad, respetando el proceso de liqui</w:t>
            </w:r>
            <w:r w:rsidRPr="00635A00">
              <w:rPr>
                <w:rFonts w:ascii="Times New Roman" w:hAnsi="Times New Roman"/>
                <w:sz w:val="28"/>
                <w:szCs w:val="24"/>
              </w:rPr>
              <w:t xml:space="preserve">dación, sus etapas y las prelaciones legales.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c. Inmuebles rurales propiedad de personas jurídicas incursas en procesos de liquidación y sobre las que se declare la extinción de dominio, conforme lo establecido en el inciso segundo del artículo 105 de la</w:t>
            </w:r>
            <w:r w:rsidRPr="00635A00">
              <w:rPr>
                <w:rFonts w:ascii="Times New Roman" w:hAnsi="Times New Roman"/>
                <w:sz w:val="28"/>
                <w:szCs w:val="24"/>
              </w:rPr>
              <w:t xml:space="preserve"> Ley 1708 de 2014. Los predios deberán ser adquiridos por el precio base de venta definido en el avalúo comercial vigente al momento de la venta. El producto de la venta de estos bienes estará́ destinado a cancelar las deudas a cargo de la sociedad, respet</w:t>
            </w:r>
            <w:r w:rsidRPr="00635A00">
              <w:rPr>
                <w:rFonts w:ascii="Times New Roman" w:hAnsi="Times New Roman"/>
                <w:sz w:val="28"/>
                <w:szCs w:val="24"/>
              </w:rPr>
              <w:t xml:space="preserve">ando el proceso de liquidación, sus etapas y las prelaciones legales.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b/>
                <w:sz w:val="28"/>
                <w:szCs w:val="24"/>
              </w:rPr>
              <w:t>3. Compra directa de tierras al Fondo de Reparación de Víctimas</w:t>
            </w:r>
            <w:r w:rsidRPr="00635A00">
              <w:rPr>
                <w:rFonts w:ascii="Times New Roman" w:hAnsi="Times New Roman"/>
                <w:sz w:val="28"/>
                <w:szCs w:val="24"/>
              </w:rPr>
              <w:t>. La ANT podrá adquirir de manera directa los inmuebles rurales del Fondo para la Reparación de las Víctimas, que sean su</w:t>
            </w:r>
            <w:r w:rsidRPr="00635A00">
              <w:rPr>
                <w:rFonts w:ascii="Times New Roman" w:hAnsi="Times New Roman"/>
                <w:sz w:val="28"/>
                <w:szCs w:val="24"/>
              </w:rPr>
              <w:t xml:space="preserve">sceptibles de comercialización, los cuales serán adquiridos por el monto fijado mediante avalúo comercial vigente. </w:t>
            </w: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 xml:space="preserve"> </w:t>
            </w: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4</w:t>
            </w:r>
            <w:r w:rsidRPr="00635A00">
              <w:rPr>
                <w:rFonts w:ascii="Times New Roman" w:hAnsi="Times New Roman"/>
                <w:b/>
                <w:sz w:val="28"/>
                <w:szCs w:val="24"/>
              </w:rPr>
              <w:t>. Transferencia directa por parte de otras entidades públicas</w:t>
            </w:r>
            <w:r w:rsidRPr="00635A00">
              <w:rPr>
                <w:rFonts w:ascii="Times New Roman" w:hAnsi="Times New Roman"/>
                <w:sz w:val="28"/>
                <w:szCs w:val="24"/>
              </w:rPr>
              <w:t>. La ANT podrá́ adquirir de manera directa bienes inmuebles rurales de propi</w:t>
            </w:r>
            <w:r w:rsidRPr="00635A00">
              <w:rPr>
                <w:rFonts w:ascii="Times New Roman" w:hAnsi="Times New Roman"/>
                <w:sz w:val="28"/>
                <w:szCs w:val="24"/>
              </w:rPr>
              <w:t>edad de las entidades públicas que cumplan con las condiciones para la implementación de programas de dotación de tierras. Las entidades de derecho público podrán realizar la transferencia a título gratuito. En estos casos, la transferencia puede condicion</w:t>
            </w:r>
            <w:r w:rsidRPr="00635A00">
              <w:rPr>
                <w:rFonts w:ascii="Times New Roman" w:hAnsi="Times New Roman"/>
                <w:sz w:val="28"/>
                <w:szCs w:val="24"/>
              </w:rPr>
              <w:t xml:space="preserve">ar que la ANT comprometa la inversión de recursos. Estos recursos se destinarán a la compra de inmuebles para nuevas adjudicaciones, la adecuación de los bienes transferidos o su saneamiento.  </w:t>
            </w:r>
          </w:p>
          <w:p w:rsidR="00EF09F4" w:rsidRPr="00635A00" w:rsidRDefault="00635A00">
            <w:pPr>
              <w:pStyle w:val="Sinespaciado"/>
              <w:jc w:val="both"/>
              <w:rPr>
                <w:rFonts w:ascii="Times New Roman" w:hAnsi="Times New Roman"/>
                <w:sz w:val="28"/>
                <w:szCs w:val="24"/>
              </w:rPr>
            </w:pPr>
          </w:p>
          <w:p w:rsidR="00EF09F4" w:rsidRPr="00635A00" w:rsidRDefault="00635A00">
            <w:pPr>
              <w:pStyle w:val="Sinespaciado"/>
              <w:jc w:val="both"/>
              <w:rPr>
                <w:rFonts w:ascii="Times New Roman" w:hAnsi="Times New Roman"/>
                <w:sz w:val="28"/>
                <w:szCs w:val="24"/>
              </w:rPr>
            </w:pPr>
            <w:r w:rsidRPr="00635A00">
              <w:rPr>
                <w:rFonts w:ascii="Times New Roman" w:hAnsi="Times New Roman"/>
                <w:b/>
                <w:sz w:val="28"/>
                <w:szCs w:val="24"/>
              </w:rPr>
              <w:t>PARÁGRAFO PRIMERO.</w:t>
            </w:r>
            <w:r w:rsidRPr="00635A00">
              <w:rPr>
                <w:rFonts w:ascii="Times New Roman" w:hAnsi="Times New Roman"/>
                <w:sz w:val="28"/>
                <w:szCs w:val="24"/>
              </w:rPr>
              <w:t xml:space="preserve"> Los literales a y b del numeral 2 del pres</w:t>
            </w:r>
            <w:r w:rsidRPr="00635A00">
              <w:rPr>
                <w:rFonts w:ascii="Times New Roman" w:hAnsi="Times New Roman"/>
                <w:sz w:val="28"/>
                <w:szCs w:val="24"/>
              </w:rPr>
              <w:t xml:space="preserve">ente artículo constituyen supuestos adicionales a las reglas aplicables para la enajenación temprana, previstos en la legislación vigente.  </w:t>
            </w:r>
          </w:p>
          <w:p w:rsidR="00EF09F4" w:rsidRPr="00635A00" w:rsidRDefault="00635A00">
            <w:pPr>
              <w:pStyle w:val="Sinespaciado"/>
              <w:jc w:val="both"/>
              <w:rPr>
                <w:rFonts w:ascii="Times New Roman" w:hAnsi="Times New Roman"/>
                <w:sz w:val="28"/>
                <w:szCs w:val="24"/>
              </w:rPr>
            </w:pPr>
            <w:r w:rsidRPr="00635A00">
              <w:rPr>
                <w:rFonts w:ascii="Times New Roman" w:hAnsi="Times New Roman"/>
                <w:sz w:val="28"/>
                <w:szCs w:val="24"/>
              </w:rPr>
              <w:t xml:space="preserve"> </w:t>
            </w:r>
          </w:p>
          <w:p w:rsidR="00EF09F4" w:rsidRPr="00635A00" w:rsidRDefault="00635A00">
            <w:pPr>
              <w:pStyle w:val="Sinespaciado"/>
              <w:jc w:val="both"/>
              <w:rPr>
                <w:rFonts w:ascii="Times New Roman" w:hAnsi="Times New Roman"/>
                <w:sz w:val="28"/>
                <w:szCs w:val="24"/>
              </w:rPr>
            </w:pPr>
            <w:r w:rsidRPr="00635A00">
              <w:rPr>
                <w:rFonts w:ascii="Times New Roman" w:hAnsi="Times New Roman"/>
                <w:b/>
                <w:sz w:val="28"/>
                <w:szCs w:val="24"/>
              </w:rPr>
              <w:t>PARÁGRAFO SEGUNDO.</w:t>
            </w:r>
            <w:r w:rsidRPr="00635A00">
              <w:rPr>
                <w:rFonts w:ascii="Times New Roman" w:hAnsi="Times New Roman"/>
                <w:sz w:val="28"/>
                <w:szCs w:val="24"/>
              </w:rPr>
              <w:t xml:space="preserve"> El cumplimiento de lo dispuesto en este artículo estará́ sujeto al Marco Fiscal de Mediano Pla</w:t>
            </w:r>
            <w:r w:rsidRPr="00635A00">
              <w:rPr>
                <w:rFonts w:ascii="Times New Roman" w:hAnsi="Times New Roman"/>
                <w:sz w:val="28"/>
                <w:szCs w:val="24"/>
              </w:rPr>
              <w:t>zo, el Marco de Gasto de Mediano Plazo del correspondiente sector y a las disponibilidades presupuestales.</w:t>
            </w:r>
          </w:p>
        </w:tc>
        <w:tc>
          <w:tcPr>
            <w:tcW w:w="4438" w:type="dxa"/>
          </w:tcPr>
          <w:p w:rsidR="00EF09F4" w:rsidRPr="00635A00" w:rsidRDefault="00635A00">
            <w:pPr>
              <w:pStyle w:val="Sinespaciado"/>
              <w:jc w:val="both"/>
              <w:rPr>
                <w:rFonts w:ascii="Times New Roman" w:hAnsi="Times New Roman"/>
                <w:sz w:val="28"/>
                <w:szCs w:val="24"/>
                <w:lang w:eastAsia="es-CO"/>
              </w:rPr>
            </w:pPr>
            <w:bookmarkStart w:id="21" w:name="61"/>
            <w:r w:rsidRPr="00635A00">
              <w:rPr>
                <w:rFonts w:ascii="Times New Roman" w:hAnsi="Times New Roman"/>
                <w:b/>
                <w:bCs/>
                <w:sz w:val="28"/>
                <w:szCs w:val="24"/>
                <w:lang w:eastAsia="es-CO"/>
              </w:rPr>
              <w:t>ARTÍCULO 61. MECANISMOS PARA FACILITAR Y DINAMIZAR LOS PROCESOS DE COMPRA DE TIERRAS POR OFERTA VOLUNTARIA.</w:t>
            </w:r>
            <w:bookmarkEnd w:id="21"/>
            <w:r w:rsidRPr="00635A00">
              <w:rPr>
                <w:rFonts w:ascii="Times New Roman" w:hAnsi="Times New Roman"/>
                <w:sz w:val="28"/>
                <w:szCs w:val="24"/>
                <w:lang w:eastAsia="es-CO"/>
              </w:rPr>
              <w:t> En el marco del procedimiento de compra p</w:t>
            </w:r>
            <w:r w:rsidRPr="00635A00">
              <w:rPr>
                <w:rFonts w:ascii="Times New Roman" w:hAnsi="Times New Roman"/>
                <w:sz w:val="28"/>
                <w:szCs w:val="24"/>
                <w:lang w:eastAsia="es-CO"/>
              </w:rPr>
              <w:t>or oferta voluntaria de tierras, que se destinarán al fondo de tierras a cargo de la Agencia Nacional de Tierras (ANT), podrán adelantarse las siguientes medidas:</w:t>
            </w:r>
          </w:p>
          <w:p w:rsidR="00EF09F4" w:rsidRPr="00635A00" w:rsidRDefault="00635A00">
            <w:pPr>
              <w:pStyle w:val="Sinespaciado"/>
              <w:jc w:val="both"/>
              <w:rPr>
                <w:rFonts w:ascii="Times New Roman" w:hAnsi="Times New Roman"/>
                <w:sz w:val="28"/>
                <w:szCs w:val="24"/>
                <w:lang w:eastAsia="es-CO"/>
              </w:rPr>
            </w:pPr>
          </w:p>
          <w:p w:rsidR="00EF09F4" w:rsidRPr="00635A00" w:rsidRDefault="00635A00">
            <w:pPr>
              <w:pStyle w:val="Sinespaciado"/>
              <w:jc w:val="both"/>
              <w:rPr>
                <w:rFonts w:ascii="Times New Roman" w:hAnsi="Times New Roman"/>
                <w:sz w:val="28"/>
                <w:szCs w:val="24"/>
                <w:lang w:eastAsia="es-CO"/>
              </w:rPr>
            </w:pPr>
            <w:bookmarkStart w:id="22" w:name="TÍTULO_I"/>
            <w:r w:rsidRPr="00635A00">
              <w:rPr>
                <w:rFonts w:ascii="Times New Roman" w:hAnsi="Times New Roman"/>
                <w:sz w:val="28"/>
                <w:szCs w:val="24"/>
                <w:lang w:eastAsia="es-CO"/>
              </w:rPr>
              <w:t>1. </w:t>
            </w:r>
            <w:r w:rsidRPr="00635A00">
              <w:rPr>
                <w:rFonts w:ascii="Times New Roman" w:hAnsi="Times New Roman"/>
                <w:b/>
                <w:bCs/>
                <w:sz w:val="28"/>
                <w:szCs w:val="24"/>
                <w:lang w:eastAsia="es-CO"/>
              </w:rPr>
              <w:t>Saneamiento para la compra de tierras</w:t>
            </w:r>
            <w:r w:rsidRPr="00635A00">
              <w:rPr>
                <w:rFonts w:ascii="Times New Roman" w:hAnsi="Times New Roman"/>
                <w:sz w:val="28"/>
                <w:szCs w:val="24"/>
                <w:lang w:eastAsia="es-CO"/>
              </w:rPr>
              <w:t>. En los eventos en que la ANT, en el marco de sus f</w:t>
            </w:r>
            <w:r w:rsidRPr="00635A00">
              <w:rPr>
                <w:rFonts w:ascii="Times New Roman" w:hAnsi="Times New Roman"/>
                <w:sz w:val="28"/>
                <w:szCs w:val="24"/>
                <w:lang w:eastAsia="es-CO"/>
              </w:rPr>
              <w:t xml:space="preserve">unciones, adquiera inmuebles por negociación directa, operará a su favor el saneamiento sobre la existencia de limitaciones, gravámenes, afectaciones o medidas cautelares que impidan el uso, goce y disposición plena del predio, incluso, las que surjan con </w:t>
            </w:r>
            <w:r w:rsidRPr="00635A00">
              <w:rPr>
                <w:rFonts w:ascii="Times New Roman" w:hAnsi="Times New Roman"/>
                <w:sz w:val="28"/>
                <w:szCs w:val="24"/>
                <w:lang w:eastAsia="es-CO"/>
              </w:rPr>
              <w:t>posterioridad al proceso de adquisición. Lo anterior, sin perjuicio de las acciones indemnizatorias que procedan según la ley. En caso de ser necesario, con cargo al precio de compra del inmueble, se asumirán las obligaciones causadas, tales como servicios</w:t>
            </w:r>
            <w:r w:rsidRPr="00635A00">
              <w:rPr>
                <w:rFonts w:ascii="Times New Roman" w:hAnsi="Times New Roman"/>
                <w:sz w:val="28"/>
                <w:szCs w:val="24"/>
                <w:lang w:eastAsia="es-CO"/>
              </w:rPr>
              <w:t xml:space="preserve"> públicos, obligaciones tributarias del orden nacional y territorial, valorización y otras que recaigan sobre los inmuebles objeto de compra.</w:t>
            </w:r>
          </w:p>
          <w:p w:rsidR="00EF09F4" w:rsidRPr="00635A00" w:rsidRDefault="00635A00">
            <w:pPr>
              <w:pStyle w:val="Sinespaciado"/>
              <w:jc w:val="both"/>
              <w:rPr>
                <w:rFonts w:ascii="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El saneamiento previsto en el inciso anterior no operará en perjuicio de la presunción de bien baldío prevista e</w:t>
            </w:r>
            <w:r w:rsidRPr="00635A00">
              <w:rPr>
                <w:rFonts w:ascii="Times New Roman" w:eastAsia="Times New Roman" w:hAnsi="Times New Roman"/>
                <w:sz w:val="28"/>
                <w:szCs w:val="24"/>
                <w:lang w:eastAsia="es-CO"/>
              </w:rPr>
              <w:t>n la Ley </w:t>
            </w:r>
            <w:hyperlink r:id="rId8" w:anchor="0" w:history="1">
              <w:r w:rsidRPr="00635A00">
                <w:rPr>
                  <w:rFonts w:ascii="Times New Roman" w:eastAsia="Times New Roman" w:hAnsi="Times New Roman"/>
                  <w:sz w:val="28"/>
                  <w:szCs w:val="24"/>
                  <w:lang w:eastAsia="es-CO"/>
                </w:rPr>
                <w:t>160</w:t>
              </w:r>
            </w:hyperlink>
            <w:r w:rsidRPr="00635A00">
              <w:rPr>
                <w:rFonts w:ascii="Times New Roman" w:eastAsia="Times New Roman" w:hAnsi="Times New Roman"/>
                <w:sz w:val="28"/>
                <w:szCs w:val="24"/>
                <w:lang w:eastAsia="es-CO"/>
              </w:rPr>
              <w:t> de 1994. Así mismo, no operará cuando: i) se presente despojo por el conflicto armado, en términos de la ley </w:t>
            </w:r>
            <w:hyperlink r:id="rId9" w:anchor="0" w:history="1">
              <w:r w:rsidRPr="00635A00">
                <w:rPr>
                  <w:rFonts w:ascii="Times New Roman" w:eastAsia="Times New Roman" w:hAnsi="Times New Roman"/>
                  <w:sz w:val="28"/>
                  <w:szCs w:val="24"/>
                  <w:lang w:eastAsia="es-CO"/>
                </w:rPr>
                <w:t>1448</w:t>
              </w:r>
            </w:hyperlink>
            <w:r w:rsidRPr="00635A00">
              <w:rPr>
                <w:rFonts w:ascii="Times New Roman" w:eastAsia="Times New Roman" w:hAnsi="Times New Roman"/>
                <w:sz w:val="28"/>
                <w:szCs w:val="24"/>
                <w:lang w:eastAsia="es-CO"/>
              </w:rPr>
              <w:t> de 2011 y los Decretos Ley </w:t>
            </w:r>
            <w:hyperlink r:id="rId10" w:anchor="0" w:history="1">
              <w:r w:rsidRPr="00635A00">
                <w:rPr>
                  <w:rFonts w:ascii="Times New Roman" w:eastAsia="Times New Roman" w:hAnsi="Times New Roman"/>
                  <w:sz w:val="28"/>
                  <w:szCs w:val="24"/>
                  <w:lang w:eastAsia="es-CO"/>
                </w:rPr>
                <w:t>4633</w:t>
              </w:r>
            </w:hyperlink>
            <w:r w:rsidRPr="00635A00">
              <w:rPr>
                <w:rFonts w:ascii="Times New Roman" w:eastAsia="Times New Roman" w:hAnsi="Times New Roman"/>
                <w:sz w:val="28"/>
                <w:szCs w:val="24"/>
                <w:lang w:eastAsia="es-CO"/>
              </w:rPr>
              <w:t>, </w:t>
            </w:r>
            <w:hyperlink r:id="rId11" w:anchor="0" w:history="1">
              <w:r w:rsidRPr="00635A00">
                <w:rPr>
                  <w:rFonts w:ascii="Times New Roman" w:eastAsia="Times New Roman" w:hAnsi="Times New Roman"/>
                  <w:sz w:val="28"/>
                  <w:szCs w:val="24"/>
                  <w:lang w:eastAsia="es-CO"/>
                </w:rPr>
                <w:t>4634</w:t>
              </w:r>
            </w:hyperlink>
            <w:r w:rsidRPr="00635A00">
              <w:rPr>
                <w:rFonts w:ascii="Times New Roman" w:eastAsia="Times New Roman" w:hAnsi="Times New Roman"/>
                <w:sz w:val="28"/>
                <w:szCs w:val="24"/>
                <w:lang w:eastAsia="es-CO"/>
              </w:rPr>
              <w:t> y </w:t>
            </w:r>
            <w:hyperlink r:id="rId12" w:anchor="0" w:history="1">
              <w:r w:rsidRPr="00635A00">
                <w:rPr>
                  <w:rFonts w:ascii="Times New Roman" w:eastAsia="Times New Roman" w:hAnsi="Times New Roman"/>
                  <w:sz w:val="28"/>
                  <w:szCs w:val="24"/>
                  <w:lang w:eastAsia="es-CO"/>
                </w:rPr>
                <w:t>4635</w:t>
              </w:r>
            </w:hyperlink>
            <w:r w:rsidRPr="00635A00">
              <w:rPr>
                <w:rFonts w:ascii="Times New Roman" w:eastAsia="Times New Roman" w:hAnsi="Times New Roman"/>
                <w:sz w:val="28"/>
                <w:szCs w:val="24"/>
                <w:lang w:eastAsia="es-CO"/>
              </w:rPr>
              <w:t> de 2011; ii) existan medidas o limitaciones asociadas a procesos de restitución de tierras, conforme lo prescrito por la Ley</w:t>
            </w:r>
            <w:r w:rsidRPr="00635A00">
              <w:rPr>
                <w:rFonts w:ascii="Times New Roman" w:eastAsia="Times New Roman" w:hAnsi="Times New Roman"/>
                <w:sz w:val="28"/>
                <w:szCs w:val="24"/>
                <w:lang w:eastAsia="es-CO"/>
              </w:rPr>
              <w:t> </w:t>
            </w:r>
            <w:hyperlink r:id="rId13" w:anchor="0" w:history="1">
              <w:r w:rsidRPr="00635A00">
                <w:rPr>
                  <w:rFonts w:ascii="Times New Roman" w:eastAsia="Times New Roman" w:hAnsi="Times New Roman"/>
                  <w:sz w:val="28"/>
                  <w:szCs w:val="24"/>
                  <w:lang w:eastAsia="es-CO"/>
                </w:rPr>
                <w:t>1448</w:t>
              </w:r>
            </w:hyperlink>
            <w:r w:rsidRPr="00635A00">
              <w:rPr>
                <w:rFonts w:ascii="Times New Roman" w:eastAsia="Times New Roman" w:hAnsi="Times New Roman"/>
                <w:sz w:val="28"/>
                <w:szCs w:val="24"/>
                <w:lang w:eastAsia="es-CO"/>
              </w:rPr>
              <w:t> de 2011; iii) existan medidas de protección de conformidad con lo previsto en la Ley </w:t>
            </w:r>
            <w:hyperlink r:id="rId14" w:anchor="0" w:history="1">
              <w:r w:rsidRPr="00635A00">
                <w:rPr>
                  <w:rFonts w:ascii="Times New Roman" w:eastAsia="Times New Roman" w:hAnsi="Times New Roman"/>
                  <w:sz w:val="28"/>
                  <w:szCs w:val="24"/>
                  <w:lang w:eastAsia="es-CO"/>
                </w:rPr>
                <w:t>387</w:t>
              </w:r>
            </w:hyperlink>
            <w:r w:rsidRPr="00635A00">
              <w:rPr>
                <w:rFonts w:ascii="Times New Roman" w:eastAsia="Times New Roman" w:hAnsi="Times New Roman"/>
                <w:sz w:val="28"/>
                <w:szCs w:val="24"/>
                <w:lang w:eastAsia="es-CO"/>
              </w:rPr>
              <w:t> de 1997; y iv) se estén adelantando procesos de clarificación de la propiedad, extinción del dominio por incumplimiento de la función social y ecológica de la pro</w:t>
            </w:r>
            <w:r w:rsidRPr="00635A00">
              <w:rPr>
                <w:rFonts w:ascii="Times New Roman" w:eastAsia="Times New Roman" w:hAnsi="Times New Roman"/>
                <w:sz w:val="28"/>
                <w:szCs w:val="24"/>
                <w:lang w:eastAsia="es-CO"/>
              </w:rPr>
              <w:t>piedad, deslinde y recuperación de baldíos de que trata la Ley </w:t>
            </w:r>
            <w:hyperlink r:id="rId15" w:anchor="0" w:history="1">
              <w:r w:rsidRPr="00635A00">
                <w:rPr>
                  <w:rFonts w:ascii="Times New Roman" w:eastAsia="Times New Roman" w:hAnsi="Times New Roman"/>
                  <w:sz w:val="28"/>
                  <w:szCs w:val="24"/>
                  <w:lang w:eastAsia="es-CO"/>
                </w:rPr>
                <w:t>160</w:t>
              </w:r>
            </w:hyperlink>
            <w:r w:rsidRPr="00635A00">
              <w:rPr>
                <w:rFonts w:ascii="Times New Roman" w:eastAsia="Times New Roman" w:hAnsi="Times New Roman"/>
                <w:sz w:val="28"/>
                <w:szCs w:val="24"/>
                <w:lang w:eastAsia="es-CO"/>
              </w:rPr>
              <w:t> de 1994.</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Sobre las tierras que pretenda adquirir la ANT se debe acreditar propiedad privada de c</w:t>
            </w:r>
            <w:r w:rsidRPr="00635A00">
              <w:rPr>
                <w:rFonts w:ascii="Times New Roman" w:eastAsia="Times New Roman" w:hAnsi="Times New Roman"/>
                <w:sz w:val="28"/>
                <w:szCs w:val="24"/>
                <w:lang w:eastAsia="es-CO"/>
              </w:rPr>
              <w:t>onformidad con lo previsto en el artículo </w:t>
            </w:r>
            <w:hyperlink r:id="rId16" w:anchor="48" w:history="1">
              <w:r w:rsidRPr="00635A00">
                <w:rPr>
                  <w:rFonts w:ascii="Times New Roman" w:eastAsia="Times New Roman" w:hAnsi="Times New Roman"/>
                  <w:sz w:val="28"/>
                  <w:szCs w:val="24"/>
                  <w:lang w:eastAsia="es-CO"/>
                </w:rPr>
                <w:t>48</w:t>
              </w:r>
            </w:hyperlink>
            <w:r w:rsidRPr="00635A00">
              <w:rPr>
                <w:rFonts w:ascii="Times New Roman" w:eastAsia="Times New Roman" w:hAnsi="Times New Roman"/>
                <w:sz w:val="28"/>
                <w:szCs w:val="24"/>
                <w:lang w:eastAsia="es-CO"/>
              </w:rPr>
              <w:t> de la Ley 160 de 1994, se debe cumplir con las normas ambientales y agrarias, y deben estar en posesión de sus p</w:t>
            </w:r>
            <w:r w:rsidRPr="00635A00">
              <w:rPr>
                <w:rFonts w:ascii="Times New Roman" w:eastAsia="Times New Roman" w:hAnsi="Times New Roman"/>
                <w:sz w:val="28"/>
                <w:szCs w:val="24"/>
                <w:lang w:eastAsia="es-CO"/>
              </w:rPr>
              <w:t>ropietarios o del administrador del Frisco.</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b/>
                <w:bCs/>
                <w:sz w:val="28"/>
                <w:szCs w:val="24"/>
                <w:lang w:eastAsia="es-CO"/>
              </w:rPr>
              <w:t>2.</w:t>
            </w:r>
            <w:r w:rsidRPr="00635A00">
              <w:rPr>
                <w:rFonts w:ascii="Times New Roman" w:eastAsia="Times New Roman" w:hAnsi="Times New Roman"/>
                <w:sz w:val="28"/>
                <w:szCs w:val="24"/>
                <w:lang w:eastAsia="es-CO"/>
              </w:rPr>
              <w:t> </w:t>
            </w:r>
            <w:r w:rsidRPr="00635A00">
              <w:rPr>
                <w:rFonts w:ascii="Times New Roman" w:eastAsia="Times New Roman" w:hAnsi="Times New Roman"/>
                <w:b/>
                <w:bCs/>
                <w:sz w:val="28"/>
                <w:szCs w:val="24"/>
                <w:lang w:eastAsia="es-CO"/>
              </w:rPr>
              <w:t>Compra directa de tierras al Frisco</w:t>
            </w:r>
            <w:r w:rsidRPr="00635A00">
              <w:rPr>
                <w:rFonts w:ascii="Times New Roman" w:eastAsia="Times New Roman" w:hAnsi="Times New Roman"/>
                <w:sz w:val="28"/>
                <w:szCs w:val="24"/>
                <w:lang w:eastAsia="es-CO"/>
              </w:rPr>
              <w:t>. La ANT podrá adquirir de manera directa:</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a) Inmuebles rurales no sociales con medidas cautelares dentro del proceso de extinción de dominio, bajo la figura de enajenación</w:t>
            </w:r>
            <w:r w:rsidRPr="00635A00">
              <w:rPr>
                <w:rFonts w:ascii="Times New Roman" w:eastAsia="Times New Roman" w:hAnsi="Times New Roman"/>
                <w:sz w:val="28"/>
                <w:szCs w:val="24"/>
                <w:lang w:eastAsia="es-CO"/>
              </w:rPr>
              <w:t xml:space="preserve"> temprana, o cualquier otro mecanismo que establezca la ley. En los eventos en los que se hubiera constituido reserva técnica, o se hubiere pagado el valor de venta y siempre que sea declarada la extinción de dominio, estos serán reintegrados en su totalid</w:t>
            </w:r>
            <w:r w:rsidRPr="00635A00">
              <w:rPr>
                <w:rFonts w:ascii="Times New Roman" w:eastAsia="Times New Roman" w:hAnsi="Times New Roman"/>
                <w:sz w:val="28"/>
                <w:szCs w:val="24"/>
                <w:lang w:eastAsia="es-CO"/>
              </w:rPr>
              <w:t>ad al Fondo de Tierras.</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b) Inmuebles rurales propiedad de personas jurídicas incursas en procesos de liquidación y con medidas cautelares dentro del proceso de extinción de dominio, bajo el mecanismo de enajenación temprana, de conformidad con lo establec</w:t>
            </w:r>
            <w:r w:rsidRPr="00635A00">
              <w:rPr>
                <w:rFonts w:ascii="Times New Roman" w:eastAsia="Times New Roman" w:hAnsi="Times New Roman"/>
                <w:sz w:val="28"/>
                <w:szCs w:val="24"/>
                <w:lang w:eastAsia="es-CO"/>
              </w:rPr>
              <w:t>ido en el artículo </w:t>
            </w:r>
            <w:hyperlink r:id="rId17" w:anchor="93" w:history="1">
              <w:r w:rsidRPr="00635A00">
                <w:rPr>
                  <w:rFonts w:ascii="Times New Roman" w:eastAsia="Times New Roman" w:hAnsi="Times New Roman"/>
                  <w:sz w:val="28"/>
                  <w:szCs w:val="24"/>
                  <w:lang w:eastAsia="es-CO"/>
                </w:rPr>
                <w:t>93</w:t>
              </w:r>
            </w:hyperlink>
            <w:r w:rsidRPr="00635A00">
              <w:rPr>
                <w:rFonts w:ascii="Times New Roman" w:eastAsia="Times New Roman" w:hAnsi="Times New Roman"/>
                <w:sz w:val="28"/>
                <w:szCs w:val="24"/>
                <w:lang w:eastAsia="es-CO"/>
              </w:rPr>
              <w:t> de la Ley 1708 de 2014.</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 xml:space="preserve">Los predios deberán ser adquiridos por el precio base de venta definido en el avalúo comercial vigente al </w:t>
            </w:r>
            <w:r w:rsidRPr="00635A00">
              <w:rPr>
                <w:rFonts w:ascii="Times New Roman" w:eastAsia="Times New Roman" w:hAnsi="Times New Roman"/>
                <w:sz w:val="28"/>
                <w:szCs w:val="24"/>
                <w:lang w:eastAsia="es-CO"/>
              </w:rPr>
              <w:t>momento de la venta. El producto de la venta de estos bienes estará destinado a cancelar las deudas a cargo de la sociedad, respetando el proceso de liquidación, sus etapas y las prelaciones legales.</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c) Inmuebles rurales propiedad de personas jurídicas in</w:t>
            </w:r>
            <w:r w:rsidRPr="00635A00">
              <w:rPr>
                <w:rFonts w:ascii="Times New Roman" w:eastAsia="Times New Roman" w:hAnsi="Times New Roman"/>
                <w:sz w:val="28"/>
                <w:szCs w:val="24"/>
                <w:lang w:eastAsia="es-CO"/>
              </w:rPr>
              <w:t>cursas en procesos de liquidación y sobre las que se declare la extinción de dominio, conforme lo establecido en el inciso segundo del artículo </w:t>
            </w:r>
            <w:hyperlink r:id="rId18" w:anchor="105" w:history="1">
              <w:r w:rsidRPr="00635A00">
                <w:rPr>
                  <w:rFonts w:ascii="Times New Roman" w:eastAsia="Times New Roman" w:hAnsi="Times New Roman"/>
                  <w:sz w:val="28"/>
                  <w:szCs w:val="24"/>
                  <w:lang w:eastAsia="es-CO"/>
                </w:rPr>
                <w:t>105</w:t>
              </w:r>
            </w:hyperlink>
            <w:r w:rsidRPr="00635A00">
              <w:rPr>
                <w:rFonts w:ascii="Times New Roman" w:eastAsia="Times New Roman" w:hAnsi="Times New Roman"/>
                <w:sz w:val="28"/>
                <w:szCs w:val="24"/>
                <w:lang w:eastAsia="es-CO"/>
              </w:rPr>
              <w:t> de la Le</w:t>
            </w:r>
            <w:r w:rsidRPr="00635A00">
              <w:rPr>
                <w:rFonts w:ascii="Times New Roman" w:eastAsia="Times New Roman" w:hAnsi="Times New Roman"/>
                <w:sz w:val="28"/>
                <w:szCs w:val="24"/>
                <w:lang w:eastAsia="es-CO"/>
              </w:rPr>
              <w:t>y 1708 de 2014.</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Los predios deberán ser adquiridos por el precio base de venta definido en el avalúo comercial vigente al momento de la venta. El producto de la venta de estos bienes estará destinado a cancelar las deudas a cargo de la sociedad, respetand</w:t>
            </w:r>
            <w:r w:rsidRPr="00635A00">
              <w:rPr>
                <w:rFonts w:ascii="Times New Roman" w:eastAsia="Times New Roman" w:hAnsi="Times New Roman"/>
                <w:sz w:val="28"/>
                <w:szCs w:val="24"/>
                <w:lang w:eastAsia="es-CO"/>
              </w:rPr>
              <w:t>o el proceso de liquidación, sus etapas y las prelaciones legales.</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b/>
                <w:bCs/>
                <w:sz w:val="28"/>
                <w:szCs w:val="24"/>
                <w:lang w:eastAsia="es-CO"/>
              </w:rPr>
              <w:t>3.</w:t>
            </w:r>
            <w:r w:rsidRPr="00635A00">
              <w:rPr>
                <w:rFonts w:ascii="Times New Roman" w:eastAsia="Times New Roman" w:hAnsi="Times New Roman"/>
                <w:sz w:val="28"/>
                <w:szCs w:val="24"/>
                <w:lang w:eastAsia="es-CO"/>
              </w:rPr>
              <w:t> </w:t>
            </w:r>
            <w:r w:rsidRPr="00635A00">
              <w:rPr>
                <w:rFonts w:ascii="Times New Roman" w:eastAsia="Times New Roman" w:hAnsi="Times New Roman"/>
                <w:b/>
                <w:bCs/>
                <w:sz w:val="28"/>
                <w:szCs w:val="24"/>
                <w:lang w:eastAsia="es-CO"/>
              </w:rPr>
              <w:t>Compra directa de tierras al Fondo de Reparación de Víctimas</w:t>
            </w:r>
            <w:r w:rsidRPr="00635A00">
              <w:rPr>
                <w:rFonts w:ascii="Times New Roman" w:eastAsia="Times New Roman" w:hAnsi="Times New Roman"/>
                <w:sz w:val="28"/>
                <w:szCs w:val="24"/>
                <w:lang w:eastAsia="es-CO"/>
              </w:rPr>
              <w:t xml:space="preserve">. La ANT podrá adquirir de manera directa los inmuebles rurales del Fondo para la Reparación de las Víctimas susceptibles de </w:t>
            </w:r>
            <w:r w:rsidRPr="00635A00">
              <w:rPr>
                <w:rFonts w:ascii="Times New Roman" w:eastAsia="Times New Roman" w:hAnsi="Times New Roman"/>
                <w:sz w:val="28"/>
                <w:szCs w:val="24"/>
                <w:lang w:eastAsia="es-CO"/>
              </w:rPr>
              <w:t>comercialización, de que trata el artículo </w:t>
            </w:r>
            <w:hyperlink r:id="rId19" w:anchor="54" w:history="1">
              <w:r w:rsidRPr="00635A00">
                <w:rPr>
                  <w:rFonts w:ascii="Times New Roman" w:eastAsia="Times New Roman" w:hAnsi="Times New Roman"/>
                  <w:sz w:val="28"/>
                  <w:szCs w:val="24"/>
                  <w:lang w:eastAsia="es-CO"/>
                </w:rPr>
                <w:t>54</w:t>
              </w:r>
            </w:hyperlink>
            <w:r w:rsidRPr="00635A00">
              <w:rPr>
                <w:rFonts w:ascii="Times New Roman" w:eastAsia="Times New Roman" w:hAnsi="Times New Roman"/>
                <w:sz w:val="28"/>
                <w:szCs w:val="24"/>
                <w:lang w:eastAsia="es-CO"/>
              </w:rPr>
              <w:t> de la Ley 975 de 2005, los cuales serán adquiridos por el monto fijado mediante avalúo comercial vigente.</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Cuan</w:t>
            </w:r>
            <w:r w:rsidRPr="00635A00">
              <w:rPr>
                <w:rFonts w:ascii="Times New Roman" w:eastAsia="Times New Roman" w:hAnsi="Times New Roman"/>
                <w:sz w:val="28"/>
                <w:szCs w:val="24"/>
                <w:lang w:eastAsia="es-CO"/>
              </w:rPr>
              <w:t>do se trate de inmuebles rurales vinculados a acciones de extinción del derecho de dominio en curso, la ANT los podrá adquirir tempranamente por el precio base de venta definido en el avalúo comercial vigente al momento de la venta. Para ello se aplicará e</w:t>
            </w:r>
            <w:r w:rsidRPr="00635A00">
              <w:rPr>
                <w:rFonts w:ascii="Times New Roman" w:eastAsia="Times New Roman" w:hAnsi="Times New Roman"/>
                <w:sz w:val="28"/>
                <w:szCs w:val="24"/>
                <w:lang w:eastAsia="es-CO"/>
              </w:rPr>
              <w:t>l mecanismo de adquisición temprana establecido a continuación:</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a) La Unidad Administrativa para la Reparación Integral de las Víctimas, en su condición de administradora del Fondo para la reparación de las Víctimas, podrá aplicar su reglamento interno pa</w:t>
            </w:r>
            <w:r w:rsidRPr="00635A00">
              <w:rPr>
                <w:rFonts w:ascii="Times New Roman" w:eastAsia="Times New Roman" w:hAnsi="Times New Roman"/>
                <w:sz w:val="28"/>
                <w:szCs w:val="24"/>
                <w:lang w:eastAsia="es-CO"/>
              </w:rPr>
              <w:t>ra la enajenación de inmuebles rurales vinculados a acciones de extinción de dominio, siempre y cuando el comprador sea la ANT.</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b) Una vez el inmueble sea vendido a la ANT, el administrador del Fondo para la Reparación de las Víctimas deberá informar a la</w:t>
            </w:r>
            <w:r w:rsidRPr="00635A00">
              <w:rPr>
                <w:rFonts w:ascii="Times New Roman" w:eastAsia="Times New Roman" w:hAnsi="Times New Roman"/>
                <w:sz w:val="28"/>
                <w:szCs w:val="24"/>
                <w:lang w:eastAsia="es-CO"/>
              </w:rPr>
              <w:t xml:space="preserve"> autoridad judicial que conoce del proceso de extinción de dominio.</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c) Con los dineros producto de la venta, el administrador del Fondo para la Reparación de las Víctimas constituirá una reserva técnica del treinta por ciento (30%), destinada a cumplir la</w:t>
            </w:r>
            <w:r w:rsidRPr="00635A00">
              <w:rPr>
                <w:rFonts w:ascii="Times New Roman" w:eastAsia="Times New Roman" w:hAnsi="Times New Roman"/>
                <w:sz w:val="28"/>
                <w:szCs w:val="24"/>
                <w:lang w:eastAsia="es-CO"/>
              </w:rPr>
              <w:t>s órdenes judiciales de devolución que recaigan sobre los inmuebles objeto de venta.</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4. </w:t>
            </w:r>
            <w:r w:rsidRPr="00635A00">
              <w:rPr>
                <w:rFonts w:ascii="Times New Roman" w:eastAsia="Times New Roman" w:hAnsi="Times New Roman"/>
                <w:b/>
                <w:bCs/>
                <w:sz w:val="28"/>
                <w:szCs w:val="24"/>
                <w:lang w:eastAsia="es-CO"/>
              </w:rPr>
              <w:t>Transferencia directa por parte de otras entidades públicas</w:t>
            </w:r>
            <w:r w:rsidRPr="00635A00">
              <w:rPr>
                <w:rFonts w:ascii="Times New Roman" w:eastAsia="Times New Roman" w:hAnsi="Times New Roman"/>
                <w:sz w:val="28"/>
                <w:szCs w:val="24"/>
                <w:lang w:eastAsia="es-CO"/>
              </w:rPr>
              <w:t xml:space="preserve">. La ANT podrá adquirir, de manera directa, bienes inmuebles rurales de propiedad de las entidades públicas </w:t>
            </w:r>
            <w:r w:rsidRPr="00635A00">
              <w:rPr>
                <w:rFonts w:ascii="Times New Roman" w:eastAsia="Times New Roman" w:hAnsi="Times New Roman"/>
                <w:sz w:val="28"/>
                <w:szCs w:val="24"/>
                <w:lang w:eastAsia="es-CO"/>
              </w:rPr>
              <w:t>que cumplan con las condiciones para la implementación de programas de dotación de tierras.</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Las entidades de derecho público podrán realizar la transferencia a título gratuito. En estos casos, la transferencia puede condicionar que la ANT comprometa la in</w:t>
            </w:r>
            <w:r w:rsidRPr="00635A00">
              <w:rPr>
                <w:rFonts w:ascii="Times New Roman" w:eastAsia="Times New Roman" w:hAnsi="Times New Roman"/>
                <w:sz w:val="28"/>
                <w:szCs w:val="24"/>
                <w:lang w:eastAsia="es-CO"/>
              </w:rPr>
              <w:t>versión de recursos. Estos recursos se destinarán a la compra de inmuebles para nuevas adjudicaciones, la adecuación de los bienes transferidos o su saneamiento.</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5. </w:t>
            </w:r>
            <w:r w:rsidRPr="00635A00">
              <w:rPr>
                <w:rFonts w:ascii="Times New Roman" w:eastAsia="Times New Roman" w:hAnsi="Times New Roman"/>
                <w:b/>
                <w:bCs/>
                <w:sz w:val="28"/>
                <w:szCs w:val="24"/>
                <w:lang w:eastAsia="es-CO"/>
              </w:rPr>
              <w:t>Identificación, priorización y compra de predios para la Reforma Rural Integral. </w:t>
            </w:r>
            <w:r w:rsidRPr="00635A00">
              <w:rPr>
                <w:rFonts w:ascii="Times New Roman" w:eastAsia="Times New Roman" w:hAnsi="Times New Roman"/>
                <w:sz w:val="28"/>
                <w:szCs w:val="24"/>
                <w:lang w:eastAsia="es-CO"/>
              </w:rPr>
              <w:t>Con el pr</w:t>
            </w:r>
            <w:r w:rsidRPr="00635A00">
              <w:rPr>
                <w:rFonts w:ascii="Times New Roman" w:eastAsia="Times New Roman" w:hAnsi="Times New Roman"/>
                <w:sz w:val="28"/>
                <w:szCs w:val="24"/>
                <w:lang w:eastAsia="es-CO"/>
              </w:rPr>
              <w:t>opósito de identificar predios idóneos para la reforma rural integral, el Ministerio de Agricultura y Desarrollo Rural (MADR), con el apoyo de la Unidad de Planificación Rural Agropecuaria (UPRA), adelantará análisis prediales a través de la consulta de in</w:t>
            </w:r>
            <w:r w:rsidRPr="00635A00">
              <w:rPr>
                <w:rFonts w:ascii="Times New Roman" w:eastAsia="Times New Roman" w:hAnsi="Times New Roman"/>
                <w:sz w:val="28"/>
                <w:szCs w:val="24"/>
                <w:lang w:eastAsia="es-CO"/>
              </w:rPr>
              <w:t xml:space="preserve">formación pública, plataformas institucionales, capas geográficas, uso de las tecnologías de la información y demás métodos indirectos. El análisis identificará los predios con áreas superiores a dos (2) Unidades Agrícolas Familiares (UAF), calculadas por </w:t>
            </w:r>
            <w:r w:rsidRPr="00635A00">
              <w:rPr>
                <w:rFonts w:ascii="Times New Roman" w:eastAsia="Times New Roman" w:hAnsi="Times New Roman"/>
                <w:sz w:val="28"/>
                <w:szCs w:val="24"/>
                <w:lang w:eastAsia="es-CO"/>
              </w:rPr>
              <w:t>la metodología de Zonas Relativamente Homogéneas. Los predios que cumplan con las condiciones anteriormente referidas constituirán la base para definir núcleos territoriales para su intervención prioritaria.</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 xml:space="preserve">El MADR remitirá la información de los núcleos </w:t>
            </w:r>
            <w:r w:rsidRPr="00635A00">
              <w:rPr>
                <w:rFonts w:ascii="Times New Roman" w:eastAsia="Times New Roman" w:hAnsi="Times New Roman"/>
                <w:sz w:val="28"/>
                <w:szCs w:val="24"/>
                <w:lang w:eastAsia="es-CO"/>
              </w:rPr>
              <w:t>territoriales priorizados a la Agencia Nacional de Tierras (ANT), con el propósito de que esta entidad proceda a la identificación de predios idóneos para la Reforma Rural Integral, y posterior aplicación del procedimiento de compra por oferta voluntaria.</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En aquellos casos en los que los propietarios no procedan a la venta, la ANT adelantará el análisis de la explotación económica del predio, requiriendo a su propietario por una única vez, para que proceda a la enajenación de aquellas áreas que no se encue</w:t>
            </w:r>
            <w:r w:rsidRPr="00635A00">
              <w:rPr>
                <w:rFonts w:ascii="Times New Roman" w:eastAsia="Times New Roman" w:hAnsi="Times New Roman"/>
                <w:sz w:val="28"/>
                <w:szCs w:val="24"/>
                <w:lang w:eastAsia="es-CO"/>
              </w:rPr>
              <w:t>ntren bajo aprovechamiento económico y que excedan la extensión de la UAF.</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sz w:val="28"/>
                <w:szCs w:val="24"/>
                <w:lang w:eastAsia="es-CO"/>
              </w:rPr>
              <w:t>Cuando el propietario no acceda a la enajenación, la ANT aplicará los procedimientos agrarios a los que haya lugar.</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sz w:val="28"/>
                <w:szCs w:val="24"/>
                <w:lang w:eastAsia="es-CO"/>
              </w:rPr>
              <w:t xml:space="preserve">De manera simultánea, el Instituto Geográfico Agustín Codazzi </w:t>
            </w:r>
            <w:r w:rsidRPr="00635A00">
              <w:rPr>
                <w:rFonts w:ascii="Times New Roman" w:eastAsia="Times New Roman" w:hAnsi="Times New Roman"/>
                <w:sz w:val="28"/>
                <w:szCs w:val="24"/>
                <w:lang w:eastAsia="es-CO"/>
              </w:rPr>
              <w:t xml:space="preserve">(IGAC) priorizará la actualización catastral en las zonas definidas por el MADR, a partir de la metodología que el Instituto defina para tal fin. En las áreas restantes de los municipios, el IGAC adelantará la actualización catastral de manera progresiva. </w:t>
            </w:r>
            <w:r w:rsidRPr="00635A00">
              <w:rPr>
                <w:rFonts w:ascii="Times New Roman" w:eastAsia="Times New Roman" w:hAnsi="Times New Roman"/>
                <w:sz w:val="28"/>
                <w:szCs w:val="24"/>
                <w:lang w:eastAsia="es-CO"/>
              </w:rPr>
              <w:t>Los gestores catastrales deberán aplicar e incorporar dicha modificación en sus respectivas bases catastrales.</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sz w:val="28"/>
                <w:szCs w:val="24"/>
                <w:lang w:eastAsia="es-CO"/>
              </w:rPr>
              <w:t>6</w:t>
            </w:r>
            <w:r w:rsidRPr="00635A00">
              <w:rPr>
                <w:rFonts w:ascii="Times New Roman" w:eastAsia="Times New Roman" w:hAnsi="Times New Roman"/>
                <w:sz w:val="28"/>
                <w:szCs w:val="24"/>
                <w:u w:val="single"/>
                <w:lang w:eastAsia="es-CO"/>
              </w:rPr>
              <w:t>. </w:t>
            </w:r>
            <w:r w:rsidRPr="00635A00">
              <w:rPr>
                <w:rFonts w:ascii="Times New Roman" w:eastAsia="Times New Roman" w:hAnsi="Times New Roman"/>
                <w:b/>
                <w:bCs/>
                <w:sz w:val="28"/>
                <w:szCs w:val="24"/>
                <w:u w:val="single"/>
                <w:lang w:eastAsia="es-CO"/>
              </w:rPr>
              <w:t>Procedimientos de la autoridad de tierras que deberán ser resueltos en fase administrativa</w:t>
            </w:r>
            <w:r w:rsidRPr="00635A00">
              <w:rPr>
                <w:rFonts w:ascii="Times New Roman" w:eastAsia="Times New Roman" w:hAnsi="Times New Roman"/>
                <w:sz w:val="28"/>
                <w:szCs w:val="24"/>
                <w:u w:val="single"/>
                <w:lang w:eastAsia="es-CO"/>
              </w:rPr>
              <w:t>. Para los asuntos de que trata los</w:t>
            </w:r>
            <w:r w:rsidRPr="00635A00">
              <w:rPr>
                <w:rFonts w:ascii="Times New Roman" w:eastAsia="Times New Roman" w:hAnsi="Times New Roman"/>
                <w:sz w:val="28"/>
                <w:szCs w:val="24"/>
                <w:lang w:eastAsia="es-CO"/>
              </w:rPr>
              <w:t xml:space="preserve"> </w:t>
            </w:r>
            <w:r w:rsidRPr="00635A00">
              <w:rPr>
                <w:rFonts w:ascii="Times New Roman" w:eastAsia="Times New Roman" w:hAnsi="Times New Roman"/>
                <w:sz w:val="28"/>
                <w:szCs w:val="24"/>
                <w:u w:val="single"/>
                <w:lang w:eastAsia="es-CO"/>
              </w:rPr>
              <w:t xml:space="preserve">numerales 4, 5 </w:t>
            </w:r>
            <w:r w:rsidRPr="00635A00">
              <w:rPr>
                <w:rFonts w:ascii="Times New Roman" w:eastAsia="Times New Roman" w:hAnsi="Times New Roman"/>
                <w:sz w:val="28"/>
                <w:szCs w:val="24"/>
                <w:u w:val="single"/>
                <w:lang w:eastAsia="es-CO"/>
              </w:rPr>
              <w:t>y 7 del artículo </w:t>
            </w:r>
            <w:hyperlink r:id="rId20" w:anchor="58" w:history="1">
              <w:r w:rsidRPr="00635A00">
                <w:rPr>
                  <w:rFonts w:ascii="Times New Roman" w:eastAsia="Times New Roman" w:hAnsi="Times New Roman"/>
                  <w:sz w:val="28"/>
                  <w:szCs w:val="24"/>
                  <w:u w:val="single"/>
                  <w:lang w:eastAsia="es-CO"/>
                </w:rPr>
                <w:t>58</w:t>
              </w:r>
            </w:hyperlink>
            <w:r w:rsidRPr="00635A00">
              <w:rPr>
                <w:rFonts w:ascii="Times New Roman" w:eastAsia="Times New Roman" w:hAnsi="Times New Roman"/>
                <w:sz w:val="28"/>
                <w:szCs w:val="24"/>
                <w:u w:val="single"/>
                <w:lang w:eastAsia="es-CO"/>
              </w:rPr>
              <w:t> del Decreto Ley 902 de 2017, la Agencia Nacional de Tierras (ANT), mediante acto administrativo fundamentado en el informe técnico-ju</w:t>
            </w:r>
            <w:r w:rsidRPr="00635A00">
              <w:rPr>
                <w:rFonts w:ascii="Times New Roman" w:eastAsia="Times New Roman" w:hAnsi="Times New Roman"/>
                <w:sz w:val="28"/>
                <w:szCs w:val="24"/>
                <w:u w:val="single"/>
                <w:lang w:eastAsia="es-CO"/>
              </w:rPr>
              <w:t>rídico definitivo y demás pruebas recaudadas, tomará la decisión de fondo que corresponda.</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sz w:val="28"/>
                <w:szCs w:val="24"/>
                <w:u w:val="single"/>
                <w:lang w:eastAsia="es-CO"/>
              </w:rPr>
              <w:t>En firme dicho acto administrativo, la ANT procederá a su radicación en la Oficina de Registro de Instrumentos Públicos del círculo donde se encuentra el predio, co</w:t>
            </w:r>
            <w:r w:rsidRPr="00635A00">
              <w:rPr>
                <w:rFonts w:ascii="Times New Roman" w:eastAsia="Times New Roman" w:hAnsi="Times New Roman"/>
                <w:sz w:val="28"/>
                <w:szCs w:val="24"/>
                <w:u w:val="single"/>
                <w:lang w:eastAsia="es-CO"/>
              </w:rPr>
              <w:t>n el fin de que se realice el respectivo registro en el folio de matrícula inmobiliaria.</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sz w:val="28"/>
                <w:szCs w:val="24"/>
                <w:u w:val="single"/>
                <w:lang w:eastAsia="es-CO"/>
              </w:rPr>
              <w:t xml:space="preserve">Los particulares que aduzcan tener derechos reales sobre los predios sometidos a los asuntos indicados, podrán ejercer únicamente la acción de nulidad agraria de que </w:t>
            </w:r>
            <w:r w:rsidRPr="00635A00">
              <w:rPr>
                <w:rFonts w:ascii="Times New Roman" w:eastAsia="Times New Roman" w:hAnsi="Times New Roman"/>
                <w:sz w:val="28"/>
                <w:szCs w:val="24"/>
                <w:u w:val="single"/>
                <w:lang w:eastAsia="es-CO"/>
              </w:rPr>
              <w:t>trata el artículo </w:t>
            </w:r>
            <w:hyperlink r:id="rId21" w:anchor="39" w:history="1">
              <w:r w:rsidRPr="00635A00">
                <w:rPr>
                  <w:rFonts w:ascii="Times New Roman" w:eastAsia="Times New Roman" w:hAnsi="Times New Roman"/>
                  <w:sz w:val="28"/>
                  <w:szCs w:val="24"/>
                  <w:u w:val="single"/>
                  <w:lang w:eastAsia="es-CO"/>
                </w:rPr>
                <w:t>39</w:t>
              </w:r>
            </w:hyperlink>
            <w:r w:rsidRPr="00635A00">
              <w:rPr>
                <w:rFonts w:ascii="Times New Roman" w:eastAsia="Times New Roman" w:hAnsi="Times New Roman"/>
                <w:sz w:val="28"/>
                <w:szCs w:val="24"/>
                <w:u w:val="single"/>
                <w:lang w:eastAsia="es-CO"/>
              </w:rPr>
              <w:t> de dicho decreto.</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sz w:val="28"/>
                <w:szCs w:val="24"/>
                <w:u w:val="single"/>
                <w:lang w:eastAsia="es-CO"/>
              </w:rPr>
              <w:t>Dicha acción operará como control judicial frente al acto administrativo en el que se toma la decisión de fondo. Para s</w:t>
            </w:r>
            <w:r w:rsidRPr="00635A00">
              <w:rPr>
                <w:rFonts w:ascii="Times New Roman" w:eastAsia="Times New Roman" w:hAnsi="Times New Roman"/>
                <w:sz w:val="28"/>
                <w:szCs w:val="24"/>
                <w:u w:val="single"/>
                <w:lang w:eastAsia="es-CO"/>
              </w:rPr>
              <w:t xml:space="preserve">u interposición, el accionante contará con un término de tres (3) años, contados a partir de la fecha de inscripción del acto administrativo en el folio de matrícula inmobiliaria. Esta acción podrá interponerse directamente, sin necesidad de haber agotado </w:t>
            </w:r>
            <w:r w:rsidRPr="00635A00">
              <w:rPr>
                <w:rFonts w:ascii="Times New Roman" w:eastAsia="Times New Roman" w:hAnsi="Times New Roman"/>
                <w:sz w:val="28"/>
                <w:szCs w:val="24"/>
                <w:u w:val="single"/>
                <w:lang w:eastAsia="es-CO"/>
              </w:rPr>
              <w:t>los recursos contra el acto administrativo.</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sz w:val="28"/>
                <w:szCs w:val="24"/>
                <w:u w:val="single"/>
                <w:lang w:eastAsia="es-CO"/>
              </w:rPr>
              <w:t>En los eventos en los que el juez disponga la suspensión provisional del acto administrativo en el marco de la acción de nulidad agraria, la ANT podrá disponer del inmueble conforme a sus competencias legales, s</w:t>
            </w:r>
            <w:r w:rsidRPr="00635A00">
              <w:rPr>
                <w:rFonts w:ascii="Times New Roman" w:eastAsia="Times New Roman" w:hAnsi="Times New Roman"/>
                <w:sz w:val="28"/>
                <w:szCs w:val="24"/>
                <w:u w:val="single"/>
                <w:lang w:eastAsia="es-CO"/>
              </w:rPr>
              <w:t>iempre y cuando constituya una reserva destinada a cumplir las órdenes judiciales que se puedan dar en favor de los accionantes. Dicha reserva podrá ser constituida con recursos de su presupuesto, vehículos financieros públicos y/o cuentas especiales de la</w:t>
            </w:r>
            <w:r w:rsidRPr="00635A00">
              <w:rPr>
                <w:rFonts w:ascii="Times New Roman" w:eastAsia="Times New Roman" w:hAnsi="Times New Roman"/>
                <w:sz w:val="28"/>
                <w:szCs w:val="24"/>
                <w:u w:val="single"/>
                <w:lang w:eastAsia="es-CO"/>
              </w:rPr>
              <w:t xml:space="preserve"> Nación.</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sz w:val="28"/>
                <w:szCs w:val="24"/>
                <w:u w:val="single"/>
                <w:lang w:eastAsia="es-CO"/>
              </w:rPr>
              <w:t>Los procedimientos especiales agrarios que hubiesen pasado a etapa judicial, empero no hayan surtido la fase probatoria en dicha instancia, podrán ser reasumidos, mediante acto administrativo, por la Agencia Nacional de Tierras y tramitarse atend</w:t>
            </w:r>
            <w:r w:rsidRPr="00635A00">
              <w:rPr>
                <w:rFonts w:ascii="Times New Roman" w:eastAsia="Times New Roman" w:hAnsi="Times New Roman"/>
                <w:sz w:val="28"/>
                <w:szCs w:val="24"/>
                <w:u w:val="single"/>
                <w:lang w:eastAsia="es-CO"/>
              </w:rPr>
              <w:t>iendo las disposiciones acá contenidas.</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b/>
                <w:bCs/>
                <w:sz w:val="28"/>
                <w:szCs w:val="24"/>
                <w:lang w:eastAsia="es-CO"/>
              </w:rPr>
              <w:t>PARÁGRAFO 1o.</w:t>
            </w:r>
            <w:r w:rsidRPr="00635A00">
              <w:rPr>
                <w:rFonts w:ascii="Times New Roman" w:eastAsia="Times New Roman" w:hAnsi="Times New Roman"/>
                <w:sz w:val="28"/>
                <w:szCs w:val="24"/>
                <w:lang w:eastAsia="es-CO"/>
              </w:rPr>
              <w:t> En los mecanismos de compra previstos en los numerales 2, 3 y 4 del presente artículo, la ANT tendrá la primera opción de compra.</w:t>
            </w:r>
          </w:p>
          <w:p w:rsidR="00EF09F4" w:rsidRPr="00635A00" w:rsidRDefault="00635A00">
            <w:pPr>
              <w:pStyle w:val="Sinespaciado"/>
              <w:jc w:val="both"/>
              <w:rPr>
                <w:rFonts w:ascii="Times New Roman" w:eastAsia="Times New Roman" w:hAnsi="Times New Roman"/>
                <w:sz w:val="28"/>
                <w:szCs w:val="24"/>
                <w:u w:val="single"/>
                <w:lang w:eastAsia="es-CO"/>
              </w:rPr>
            </w:pPr>
          </w:p>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b/>
                <w:bCs/>
                <w:sz w:val="28"/>
                <w:szCs w:val="24"/>
                <w:lang w:eastAsia="es-CO"/>
              </w:rPr>
              <w:t>PARÁGRAFO 2o.</w:t>
            </w:r>
            <w:r w:rsidRPr="00635A00">
              <w:rPr>
                <w:rFonts w:ascii="Times New Roman" w:eastAsia="Times New Roman" w:hAnsi="Times New Roman"/>
                <w:sz w:val="28"/>
                <w:szCs w:val="24"/>
                <w:lang w:eastAsia="es-CO"/>
              </w:rPr>
              <w:t xml:space="preserve"> Los literales a y b del numeral 2 del presente artículo </w:t>
            </w:r>
            <w:r w:rsidRPr="00635A00">
              <w:rPr>
                <w:rFonts w:ascii="Times New Roman" w:eastAsia="Times New Roman" w:hAnsi="Times New Roman"/>
                <w:sz w:val="28"/>
                <w:szCs w:val="24"/>
                <w:lang w:eastAsia="es-CO"/>
              </w:rPr>
              <w:t>constituyen supuestos adicionales a las reglas aplicables para la enajenación temprana, previstos en la legislación vigente.</w:t>
            </w:r>
          </w:p>
          <w:p w:rsidR="00EF09F4" w:rsidRPr="00635A00" w:rsidRDefault="00635A00">
            <w:pPr>
              <w:pStyle w:val="Sinespaciado"/>
              <w:jc w:val="both"/>
              <w:rPr>
                <w:rFonts w:ascii="Times New Roman" w:eastAsia="Times New Roman" w:hAnsi="Times New Roman"/>
                <w:sz w:val="28"/>
                <w:szCs w:val="24"/>
                <w:lang w:eastAsia="es-CO"/>
              </w:rPr>
            </w:pPr>
          </w:p>
          <w:p w:rsidR="00EF09F4" w:rsidRPr="00635A00" w:rsidRDefault="00635A00">
            <w:pPr>
              <w:pStyle w:val="Sinespaciado"/>
              <w:jc w:val="both"/>
              <w:rPr>
                <w:rFonts w:ascii="Times New Roman" w:eastAsia="Times New Roman" w:hAnsi="Times New Roman"/>
                <w:sz w:val="28"/>
                <w:szCs w:val="24"/>
                <w:u w:val="single"/>
                <w:lang w:eastAsia="es-CO"/>
              </w:rPr>
            </w:pPr>
            <w:r w:rsidRPr="00635A00">
              <w:rPr>
                <w:rFonts w:ascii="Times New Roman" w:eastAsia="Times New Roman" w:hAnsi="Times New Roman"/>
                <w:b/>
                <w:bCs/>
                <w:sz w:val="28"/>
                <w:szCs w:val="24"/>
                <w:u w:val="single"/>
                <w:lang w:eastAsia="es-CO"/>
              </w:rPr>
              <w:t>PARÁGRAFO 3o.</w:t>
            </w:r>
            <w:r w:rsidRPr="00635A00">
              <w:rPr>
                <w:rFonts w:ascii="Times New Roman" w:eastAsia="Times New Roman" w:hAnsi="Times New Roman"/>
                <w:sz w:val="28"/>
                <w:szCs w:val="24"/>
                <w:u w:val="single"/>
                <w:lang w:eastAsia="es-CO"/>
              </w:rPr>
              <w:t> El numeral 6 del presente artículo deroga el inciso segundo del artículo </w:t>
            </w:r>
            <w:hyperlink r:id="rId22" w:anchor="39" w:history="1">
              <w:r w:rsidRPr="00635A00">
                <w:rPr>
                  <w:rFonts w:ascii="Times New Roman" w:eastAsia="Times New Roman" w:hAnsi="Times New Roman"/>
                  <w:sz w:val="28"/>
                  <w:szCs w:val="24"/>
                  <w:u w:val="single"/>
                  <w:lang w:eastAsia="es-CO"/>
                </w:rPr>
                <w:t>39</w:t>
              </w:r>
            </w:hyperlink>
            <w:r w:rsidRPr="00635A00">
              <w:rPr>
                <w:rFonts w:ascii="Times New Roman" w:eastAsia="Times New Roman" w:hAnsi="Times New Roman"/>
                <w:sz w:val="28"/>
                <w:szCs w:val="24"/>
                <w:u w:val="single"/>
                <w:lang w:eastAsia="es-CO"/>
              </w:rPr>
              <w:t>, el numeral 2 del artículo </w:t>
            </w:r>
            <w:hyperlink r:id="rId23" w:anchor="60" w:history="1">
              <w:r w:rsidRPr="00635A00">
                <w:rPr>
                  <w:rFonts w:ascii="Times New Roman" w:eastAsia="Times New Roman" w:hAnsi="Times New Roman"/>
                  <w:sz w:val="28"/>
                  <w:szCs w:val="24"/>
                  <w:u w:val="single"/>
                  <w:lang w:eastAsia="es-CO"/>
                </w:rPr>
                <w:t>60</w:t>
              </w:r>
            </w:hyperlink>
            <w:r w:rsidRPr="00635A00">
              <w:rPr>
                <w:rFonts w:ascii="Times New Roman" w:eastAsia="Times New Roman" w:hAnsi="Times New Roman"/>
                <w:sz w:val="28"/>
                <w:szCs w:val="24"/>
                <w:u w:val="single"/>
                <w:lang w:eastAsia="es-CO"/>
              </w:rPr>
              <w:t>, el inciso segundo del ar</w:t>
            </w:r>
            <w:r w:rsidRPr="00635A00">
              <w:rPr>
                <w:rFonts w:ascii="Times New Roman" w:eastAsia="Times New Roman" w:hAnsi="Times New Roman"/>
                <w:sz w:val="28"/>
                <w:szCs w:val="24"/>
                <w:u w:val="single"/>
                <w:lang w:eastAsia="es-CO"/>
              </w:rPr>
              <w:t>tículo </w:t>
            </w:r>
            <w:hyperlink r:id="rId24" w:anchor="61" w:history="1">
              <w:r w:rsidRPr="00635A00">
                <w:rPr>
                  <w:rFonts w:ascii="Times New Roman" w:eastAsia="Times New Roman" w:hAnsi="Times New Roman"/>
                  <w:sz w:val="28"/>
                  <w:szCs w:val="24"/>
                  <w:u w:val="single"/>
                  <w:lang w:eastAsia="es-CO"/>
                </w:rPr>
                <w:t>61</w:t>
              </w:r>
            </w:hyperlink>
            <w:r w:rsidRPr="00635A00">
              <w:rPr>
                <w:rFonts w:ascii="Times New Roman" w:eastAsia="Times New Roman" w:hAnsi="Times New Roman"/>
                <w:sz w:val="28"/>
                <w:szCs w:val="24"/>
                <w:u w:val="single"/>
                <w:lang w:eastAsia="es-CO"/>
              </w:rPr>
              <w:t>, el artículo </w:t>
            </w:r>
            <w:hyperlink r:id="rId25" w:anchor="75" w:history="1">
              <w:r w:rsidRPr="00635A00">
                <w:rPr>
                  <w:rFonts w:ascii="Times New Roman" w:eastAsia="Times New Roman" w:hAnsi="Times New Roman"/>
                  <w:sz w:val="28"/>
                  <w:szCs w:val="24"/>
                  <w:u w:val="single"/>
                  <w:lang w:eastAsia="es-CO"/>
                </w:rPr>
                <w:t>75</w:t>
              </w:r>
            </w:hyperlink>
            <w:r w:rsidRPr="00635A00">
              <w:rPr>
                <w:rFonts w:ascii="Times New Roman" w:eastAsia="Times New Roman" w:hAnsi="Times New Roman"/>
                <w:sz w:val="28"/>
                <w:szCs w:val="24"/>
                <w:u w:val="single"/>
                <w:lang w:eastAsia="es-CO"/>
              </w:rPr>
              <w:t xml:space="preserve"> y el inciso tercero del </w:t>
            </w:r>
            <w:r w:rsidRPr="00635A00">
              <w:rPr>
                <w:rFonts w:ascii="Times New Roman" w:eastAsia="Times New Roman" w:hAnsi="Times New Roman"/>
                <w:sz w:val="28"/>
                <w:szCs w:val="24"/>
                <w:u w:val="single"/>
                <w:lang w:eastAsia="es-CO"/>
              </w:rPr>
              <w:t>artículo </w:t>
            </w:r>
            <w:hyperlink r:id="rId26" w:anchor="76" w:history="1">
              <w:r w:rsidRPr="00635A00">
                <w:rPr>
                  <w:rFonts w:ascii="Times New Roman" w:eastAsia="Times New Roman" w:hAnsi="Times New Roman"/>
                  <w:sz w:val="28"/>
                  <w:szCs w:val="24"/>
                  <w:u w:val="single"/>
                  <w:lang w:eastAsia="es-CO"/>
                </w:rPr>
                <w:t>76</w:t>
              </w:r>
            </w:hyperlink>
            <w:r w:rsidRPr="00635A00">
              <w:rPr>
                <w:rFonts w:ascii="Times New Roman" w:eastAsia="Times New Roman" w:hAnsi="Times New Roman"/>
                <w:sz w:val="28"/>
                <w:szCs w:val="24"/>
                <w:u w:val="single"/>
                <w:lang w:eastAsia="es-CO"/>
              </w:rPr>
              <w:t>, solo en lo que respecta a los asuntos de que trata los numerales 4, 5 y 7 del artículo </w:t>
            </w:r>
            <w:hyperlink r:id="rId27" w:anchor="58" w:history="1">
              <w:r w:rsidRPr="00635A00">
                <w:rPr>
                  <w:rFonts w:ascii="Times New Roman" w:eastAsia="Times New Roman" w:hAnsi="Times New Roman"/>
                  <w:sz w:val="28"/>
                  <w:szCs w:val="24"/>
                  <w:u w:val="single"/>
                  <w:lang w:eastAsia="es-CO"/>
                </w:rPr>
                <w:t>58</w:t>
              </w:r>
            </w:hyperlink>
            <w:r w:rsidRPr="00635A00">
              <w:rPr>
                <w:rFonts w:ascii="Times New Roman" w:eastAsia="Times New Roman" w:hAnsi="Times New Roman"/>
                <w:sz w:val="28"/>
                <w:szCs w:val="24"/>
                <w:u w:val="single"/>
                <w:lang w:eastAsia="es-CO"/>
              </w:rPr>
              <w:t> del Decreto Ley 902 de 2017; y las demás normas procedimentales que contradigan su contenido.</w:t>
            </w:r>
          </w:p>
          <w:p w:rsidR="00EF09F4" w:rsidRPr="00635A00" w:rsidRDefault="00635A00">
            <w:pPr>
              <w:pStyle w:val="Sinespaciado"/>
              <w:jc w:val="both"/>
              <w:rPr>
                <w:rFonts w:ascii="Times New Roman" w:eastAsia="Times New Roman" w:hAnsi="Times New Roman"/>
                <w:sz w:val="28"/>
                <w:szCs w:val="24"/>
                <w:lang w:eastAsia="es-CO"/>
              </w:rPr>
            </w:pPr>
          </w:p>
          <w:bookmarkEnd w:id="22"/>
          <w:p w:rsidR="00EF09F4" w:rsidRPr="00635A00" w:rsidRDefault="00635A00">
            <w:pPr>
              <w:pStyle w:val="Sinespaciado"/>
              <w:jc w:val="both"/>
              <w:rPr>
                <w:rFonts w:ascii="Times New Roman" w:eastAsia="Times New Roman" w:hAnsi="Times New Roman"/>
                <w:sz w:val="28"/>
                <w:szCs w:val="24"/>
                <w:lang w:eastAsia="es-CO"/>
              </w:rPr>
            </w:pPr>
            <w:r w:rsidRPr="00635A00">
              <w:rPr>
                <w:rFonts w:ascii="Times New Roman" w:eastAsia="Times New Roman" w:hAnsi="Times New Roman"/>
                <w:b/>
                <w:bCs/>
                <w:sz w:val="28"/>
                <w:szCs w:val="24"/>
                <w:lang w:eastAsia="es-CO"/>
              </w:rPr>
              <w:t>PARÁGRAFO 4o.</w:t>
            </w:r>
            <w:r w:rsidRPr="00635A00">
              <w:rPr>
                <w:rFonts w:ascii="Times New Roman" w:eastAsia="Times New Roman" w:hAnsi="Times New Roman"/>
                <w:sz w:val="28"/>
                <w:szCs w:val="24"/>
                <w:lang w:eastAsia="es-CO"/>
              </w:rPr>
              <w:t> El cumplimiento de lo dispuesto en este artículo estará sujeto al Marco Fiscal de Mediano Plaz</w:t>
            </w:r>
            <w:r w:rsidRPr="00635A00">
              <w:rPr>
                <w:rFonts w:ascii="Times New Roman" w:eastAsia="Times New Roman" w:hAnsi="Times New Roman"/>
                <w:sz w:val="28"/>
                <w:szCs w:val="24"/>
                <w:lang w:eastAsia="es-CO"/>
              </w:rPr>
              <w:t>o, el Marco de Gasto de Mediano Plazo del correspondiente sector y a las disponibilidades presupuestales.</w:t>
            </w:r>
          </w:p>
          <w:p w:rsidR="00EF09F4" w:rsidRPr="00635A00" w:rsidRDefault="00635A00">
            <w:pPr>
              <w:pStyle w:val="Sinespaciado"/>
              <w:jc w:val="both"/>
              <w:rPr>
                <w:rFonts w:ascii="Times New Roman" w:hAnsi="Times New Roman"/>
                <w:sz w:val="28"/>
                <w:szCs w:val="24"/>
              </w:rPr>
            </w:pPr>
          </w:p>
        </w:tc>
      </w:tr>
    </w:tbl>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 partir de la comparación entre el texto del artículo 55 sometido a debate en la plenaria del Senado de la República y la proposición que modificó</w:t>
      </w:r>
      <w:r w:rsidRPr="00635A00">
        <w:rPr>
          <w:rFonts w:ascii="Times New Roman" w:hAnsi="Times New Roman" w:cs="Times New Roman"/>
          <w:color w:val="auto"/>
        </w:rPr>
        <w:t xml:space="preserve"> el artículo y que fue aprobada en la sesión de esa célula legislativa el 2 de mayo de 2023, se advierten las siguientes modificaciones sustanciales en relación con las disposiciones acusadas en la demanda que examina la Sala:</w:t>
      </w:r>
    </w:p>
    <w:p w:rsidR="00EF09F4" w:rsidRPr="00635A00" w:rsidRDefault="00635A00" w:rsidP="00EF09F4">
      <w:pPr>
        <w:pStyle w:val="Sinespaciado"/>
        <w:rPr>
          <w:rFonts w:ascii="Times New Roman" w:hAnsi="Times New Roman" w:cs="Times New Roman"/>
          <w:sz w:val="28"/>
        </w:rPr>
      </w:pPr>
    </w:p>
    <w:p w:rsidR="00EF09F4" w:rsidRPr="00635A00" w:rsidRDefault="00635A00" w:rsidP="00EF09F4">
      <w:pPr>
        <w:pStyle w:val="Prrafodelista"/>
        <w:widowControl/>
        <w:numPr>
          <w:ilvl w:val="0"/>
          <w:numId w:val="23"/>
        </w:numPr>
        <w:contextualSpacing/>
        <w:rPr>
          <w:rFonts w:ascii="Times New Roman" w:hAnsi="Times New Roman" w:cs="Times New Roman"/>
          <w:color w:val="auto"/>
        </w:rPr>
      </w:pPr>
      <w:r w:rsidRPr="00635A00">
        <w:rPr>
          <w:rFonts w:ascii="Times New Roman" w:hAnsi="Times New Roman" w:cs="Times New Roman"/>
          <w:color w:val="auto"/>
        </w:rPr>
        <w:t>La incorporación del numeral</w:t>
      </w:r>
      <w:r w:rsidRPr="00635A00">
        <w:rPr>
          <w:rFonts w:ascii="Times New Roman" w:hAnsi="Times New Roman" w:cs="Times New Roman"/>
          <w:color w:val="auto"/>
        </w:rPr>
        <w:t xml:space="preserve"> 6, en el que se modifica el procedimiento de clarificación de la propiedad, deslinde y recuperación de baldíos, extinción judicial del dominio sobre tierras incultas, expropiación judicial de predios rurales, caducidad administrativa, condición resolutori</w:t>
      </w:r>
      <w:r w:rsidRPr="00635A00">
        <w:rPr>
          <w:rFonts w:ascii="Times New Roman" w:hAnsi="Times New Roman" w:cs="Times New Roman"/>
          <w:color w:val="auto"/>
        </w:rPr>
        <w:t>a del subsidio, reversión y revocatoria de titulación de baldíos. En concreto, se define la actuación de la Agencia Nacional de Tierras, se le otorgan efectos directos sobre esas materias a la actuación administrativa y se establece el mecanismo judicial y</w:t>
      </w:r>
      <w:r w:rsidRPr="00635A00">
        <w:rPr>
          <w:rFonts w:ascii="Times New Roman" w:hAnsi="Times New Roman" w:cs="Times New Roman"/>
          <w:color w:val="auto"/>
        </w:rPr>
        <w:t xml:space="preserve"> las condiciones para controvertir la decisión administrativa.</w:t>
      </w:r>
    </w:p>
    <w:p w:rsidR="00EF09F4" w:rsidRPr="00635A00" w:rsidRDefault="00635A00" w:rsidP="00EF09F4">
      <w:pPr>
        <w:pStyle w:val="Prrafodelista"/>
        <w:widowControl/>
        <w:numPr>
          <w:ilvl w:val="0"/>
          <w:numId w:val="23"/>
        </w:numPr>
        <w:contextualSpacing/>
        <w:rPr>
          <w:rFonts w:ascii="Times New Roman" w:hAnsi="Times New Roman" w:cs="Times New Roman"/>
          <w:color w:val="auto"/>
        </w:rPr>
      </w:pPr>
      <w:r w:rsidRPr="00635A00">
        <w:rPr>
          <w:rFonts w:ascii="Times New Roman" w:hAnsi="Times New Roman" w:cs="Times New Roman"/>
          <w:color w:val="auto"/>
        </w:rPr>
        <w:t>Se adiciona el parágrafo 3, que deroga disposiciones del Decreto Ley 902 de 2017 con respecto a los asuntos adelantados por la Agencia Nacional de Tierras y regulados en el numeral 6. En concre</w:t>
      </w:r>
      <w:r w:rsidRPr="00635A00">
        <w:rPr>
          <w:rFonts w:ascii="Times New Roman" w:hAnsi="Times New Roman" w:cs="Times New Roman"/>
          <w:color w:val="auto"/>
        </w:rPr>
        <w:t xml:space="preserve">to, deroga </w:t>
      </w:r>
      <w:r w:rsidRPr="00635A00">
        <w:rPr>
          <w:rFonts w:ascii="Times New Roman" w:hAnsi="Times New Roman" w:cs="Times New Roman"/>
          <w:color w:val="auto"/>
          <w:lang w:eastAsia="es-CO"/>
        </w:rPr>
        <w:t xml:space="preserve">el inciso segundo del artículo </w:t>
      </w:r>
      <w:hyperlink r:id="rId28" w:anchor="39" w:history="1">
        <w:r w:rsidRPr="00635A00">
          <w:rPr>
            <w:rFonts w:ascii="Times New Roman" w:hAnsi="Times New Roman" w:cs="Times New Roman"/>
            <w:color w:val="auto"/>
            <w:lang w:eastAsia="es-CO"/>
          </w:rPr>
          <w:t>39</w:t>
        </w:r>
      </w:hyperlink>
      <w:r w:rsidRPr="00635A00">
        <w:rPr>
          <w:rFonts w:ascii="Times New Roman" w:hAnsi="Times New Roman" w:cs="Times New Roman"/>
          <w:color w:val="auto"/>
          <w:lang w:eastAsia="es-CO"/>
        </w:rPr>
        <w:t xml:space="preserve">, el numeral 2 del artículo </w:t>
      </w:r>
      <w:hyperlink r:id="rId29" w:anchor="60" w:history="1">
        <w:r w:rsidRPr="00635A00">
          <w:rPr>
            <w:rFonts w:ascii="Times New Roman" w:hAnsi="Times New Roman" w:cs="Times New Roman"/>
            <w:color w:val="auto"/>
            <w:lang w:eastAsia="es-CO"/>
          </w:rPr>
          <w:t>60</w:t>
        </w:r>
      </w:hyperlink>
      <w:r w:rsidRPr="00635A00">
        <w:rPr>
          <w:rFonts w:ascii="Times New Roman" w:hAnsi="Times New Roman" w:cs="Times New Roman"/>
          <w:color w:val="auto"/>
          <w:lang w:eastAsia="es-CO"/>
        </w:rPr>
        <w:t xml:space="preserve">, el inciso segundo del artículo </w:t>
      </w:r>
      <w:hyperlink r:id="rId30" w:anchor="61" w:history="1">
        <w:r w:rsidRPr="00635A00">
          <w:rPr>
            <w:rFonts w:ascii="Times New Roman" w:hAnsi="Times New Roman" w:cs="Times New Roman"/>
            <w:color w:val="auto"/>
            <w:lang w:eastAsia="es-CO"/>
          </w:rPr>
          <w:t>61</w:t>
        </w:r>
      </w:hyperlink>
      <w:r w:rsidRPr="00635A00">
        <w:rPr>
          <w:rFonts w:ascii="Times New Roman" w:hAnsi="Times New Roman" w:cs="Times New Roman"/>
          <w:color w:val="auto"/>
          <w:lang w:eastAsia="es-CO"/>
        </w:rPr>
        <w:t xml:space="preserve">, el artículo </w:t>
      </w:r>
      <w:hyperlink r:id="rId31" w:anchor="75" w:history="1">
        <w:r w:rsidRPr="00635A00">
          <w:rPr>
            <w:rFonts w:ascii="Times New Roman" w:hAnsi="Times New Roman" w:cs="Times New Roman"/>
            <w:color w:val="auto"/>
            <w:lang w:eastAsia="es-CO"/>
          </w:rPr>
          <w:t>75</w:t>
        </w:r>
      </w:hyperlink>
      <w:r w:rsidRPr="00635A00">
        <w:rPr>
          <w:rFonts w:ascii="Times New Roman" w:hAnsi="Times New Roman" w:cs="Times New Roman"/>
          <w:color w:val="auto"/>
          <w:lang w:eastAsia="es-CO"/>
        </w:rPr>
        <w:t xml:space="preserve"> y el inciso tercero del artículo </w:t>
      </w:r>
      <w:hyperlink r:id="rId32" w:anchor="76" w:history="1">
        <w:r w:rsidRPr="00635A00">
          <w:rPr>
            <w:rFonts w:ascii="Times New Roman" w:hAnsi="Times New Roman" w:cs="Times New Roman"/>
            <w:color w:val="auto"/>
            <w:lang w:eastAsia="es-CO"/>
          </w:rPr>
          <w:t>76</w:t>
        </w:r>
      </w:hyperlink>
      <w:r w:rsidRPr="00635A00">
        <w:rPr>
          <w:rFonts w:ascii="Times New Roman" w:hAnsi="Times New Roman" w:cs="Times New Roman"/>
          <w:color w:val="auto"/>
          <w:lang w:eastAsia="es-CO"/>
        </w:rPr>
        <w:t>, solo en lo q</w:t>
      </w:r>
      <w:r w:rsidRPr="00635A00">
        <w:rPr>
          <w:rFonts w:ascii="Times New Roman" w:hAnsi="Times New Roman" w:cs="Times New Roman"/>
          <w:color w:val="auto"/>
          <w:lang w:eastAsia="es-CO"/>
        </w:rPr>
        <w:t>ue respecta a los asuntos de que trata</w:t>
      </w:r>
      <w:r w:rsidRPr="00635A00">
        <w:rPr>
          <w:rFonts w:ascii="Times New Roman" w:hAnsi="Times New Roman" w:cs="Times New Roman"/>
          <w:color w:val="auto"/>
        </w:rPr>
        <w:t xml:space="preserve">n </w:t>
      </w:r>
      <w:r w:rsidRPr="00635A00">
        <w:rPr>
          <w:rFonts w:ascii="Times New Roman" w:hAnsi="Times New Roman" w:cs="Times New Roman"/>
          <w:color w:val="auto"/>
          <w:lang w:eastAsia="es-CO"/>
        </w:rPr>
        <w:t>los numerales 4, 5 y 7 del artículo 58 del Decreto Ley 902 de 2017.</w:t>
      </w:r>
    </w:p>
    <w:p w:rsidR="00EF09F4" w:rsidRPr="00635A00" w:rsidRDefault="00635A00" w:rsidP="00EF09F4">
      <w:pPr>
        <w:pStyle w:val="Sinespaciado"/>
        <w:rPr>
          <w:rFonts w:ascii="Times New Roman" w:hAnsi="Times New Roman" w:cs="Times New Roman"/>
          <w:b/>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Como se puede apreciar, las modificaciones que la proposición sugería no eran asuntos menores, sino que en realidad constituían cambios sustanciale</w:t>
      </w:r>
      <w:r w:rsidRPr="00635A00">
        <w:rPr>
          <w:rFonts w:ascii="Times New Roman" w:hAnsi="Times New Roman" w:cs="Times New Roman"/>
          <w:color w:val="auto"/>
        </w:rPr>
        <w:t>s al texto del artículo aprobado en primer debate, que en las disposiciones acusadas incluso desbordaron la materia de compra de tierras por oferta voluntaria, e implicaron reformas al procedimiento único regulado por el Decreto Ley 902 de 2017 para la res</w:t>
      </w:r>
      <w:r w:rsidRPr="00635A00">
        <w:rPr>
          <w:rFonts w:ascii="Times New Roman" w:hAnsi="Times New Roman" w:cs="Times New Roman"/>
          <w:color w:val="auto"/>
        </w:rPr>
        <w:t>olución de ciertas materias agrarias</w:t>
      </w:r>
      <w:r w:rsidRPr="00635A00">
        <w:rPr>
          <w:rFonts w:ascii="Times New Roman" w:hAnsi="Times New Roman" w:cs="Times New Roman"/>
          <w:color w:val="auto"/>
        </w:rPr>
        <w:t>, así como la derogatoria de algunas de sus disposiciones sobre la fase judicial de dicho procedimiento en algunos trámites</w:t>
      </w:r>
      <w:r w:rsidRPr="00635A00">
        <w:rPr>
          <w:rFonts w:ascii="Times New Roman" w:hAnsi="Times New Roman" w:cs="Times New Roman"/>
          <w:color w:val="auto"/>
        </w:rPr>
        <w:t>.</w:t>
      </w:r>
    </w:p>
    <w:p w:rsidR="00EF09F4" w:rsidRPr="00635A00" w:rsidRDefault="00635A00" w:rsidP="00EF09F4">
      <w:pPr>
        <w:pStyle w:val="Sinespaciado"/>
        <w:rPr>
          <w:rFonts w:ascii="Times New Roman" w:hAnsi="Times New Roman" w:cs="Times New Roman"/>
          <w:b/>
          <w:sz w:val="28"/>
        </w:rPr>
      </w:pPr>
    </w:p>
    <w:p w:rsidR="00EF09F4" w:rsidRPr="00635A00" w:rsidRDefault="00635A00" w:rsidP="00EF09F4">
      <w:pPr>
        <w:contextualSpacing/>
        <w:jc w:val="both"/>
        <w:rPr>
          <w:rFonts w:ascii="Times New Roman" w:hAnsi="Times New Roman" w:cs="Times New Roman"/>
          <w:b/>
          <w:sz w:val="28"/>
          <w:szCs w:val="28"/>
        </w:rPr>
      </w:pPr>
      <w:r w:rsidRPr="00635A00">
        <w:rPr>
          <w:rFonts w:ascii="Times New Roman" w:hAnsi="Times New Roman" w:cs="Times New Roman"/>
          <w:b/>
          <w:sz w:val="28"/>
          <w:szCs w:val="28"/>
        </w:rPr>
        <w:t>El mecanismo ordinario de publicidad: la lectura de las proposiciones</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consideración al alc</w:t>
      </w:r>
      <w:r w:rsidRPr="00635A00">
        <w:rPr>
          <w:rFonts w:ascii="Times New Roman" w:hAnsi="Times New Roman" w:cs="Times New Roman"/>
          <w:color w:val="auto"/>
        </w:rPr>
        <w:t>ance de la proposición descrita que, como se explicó, se radicó el 26 de abril de 2023 en la subsecretaría general, lo primero que debe corroborar la Sala es si se acudió al mecanismo definido por la Ley 5ª de 1992 para garantizar el principio de publicida</w:t>
      </w:r>
      <w:r w:rsidRPr="00635A00">
        <w:rPr>
          <w:rFonts w:ascii="Times New Roman" w:hAnsi="Times New Roman" w:cs="Times New Roman"/>
          <w:color w:val="auto"/>
        </w:rPr>
        <w:t xml:space="preserve">d en relación con las proposiciones, esto es, si se efectuó la lectura de la proposición. </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 partir del recuento del trámite adelantado en la plenaria del Senado se observa que el entonces presidente del Senado indicó que efectuaría la lectura de las prop</w:t>
      </w:r>
      <w:r w:rsidRPr="00635A00">
        <w:rPr>
          <w:rFonts w:ascii="Times New Roman" w:hAnsi="Times New Roman" w:cs="Times New Roman"/>
          <w:color w:val="auto"/>
        </w:rPr>
        <w:t>osiciones avaladas, pero con respecto a la proposición que modificó el artículo 55 se limitó a mencionar su existencia sin dar a conocer su contenido. En consecuencia, la primera conclusión a la que se llega es que, sobre la proposición que modificó el art</w:t>
      </w:r>
      <w:r w:rsidRPr="00635A00">
        <w:rPr>
          <w:rFonts w:ascii="Times New Roman" w:hAnsi="Times New Roman" w:cs="Times New Roman"/>
          <w:color w:val="auto"/>
        </w:rPr>
        <w:t xml:space="preserve">ículo 55, no se cumplió con lo establecido en el reglamento del Congreso para asegurar la publicidad de las proposiciones, es decir, no se efectuó la lectura de la proposición.  </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Ahora bien, como se indicó en las consideraciones generales, el incumplimien</w:t>
      </w:r>
      <w:r w:rsidRPr="00635A00">
        <w:rPr>
          <w:rFonts w:ascii="Times New Roman" w:hAnsi="Times New Roman" w:cs="Times New Roman"/>
          <w:color w:val="auto"/>
        </w:rPr>
        <w:t>to de las reglas de publicidad constituye una irregularidad, pero no necesariamente configura un vicio que afecte la validez del procedimiento de formación de la ley cuando la publicidad pudo garantizarse por otros mecanismos que permitieran el conocimient</w:t>
      </w:r>
      <w:r w:rsidRPr="00635A00">
        <w:rPr>
          <w:rFonts w:ascii="Times New Roman" w:hAnsi="Times New Roman" w:cs="Times New Roman"/>
          <w:color w:val="auto"/>
        </w:rPr>
        <w:t>o real y efectivo sobre el objeto del debate. Por lo tanto, pasa a la Sala a verificar si, como lo plantean algunos intervinientes, la publicidad se logró por otros medios. En efecto, la Secretaría Jurídica de la Presidencia de la República y el Ministerio</w:t>
      </w:r>
      <w:r w:rsidRPr="00635A00">
        <w:rPr>
          <w:rFonts w:ascii="Times New Roman" w:hAnsi="Times New Roman" w:cs="Times New Roman"/>
          <w:color w:val="auto"/>
        </w:rPr>
        <w:t xml:space="preserve"> de Agricultura señalaron que la publicidad de la proposición que modificó el artículo 55 del proyecto de ley aprobatorio del Plan Nacional de Desarrollo 2022-2026 se logró mediante: (i) la explicación de la proposición; (ii) la intervención de la ministra</w:t>
      </w:r>
      <w:r w:rsidRPr="00635A00">
        <w:rPr>
          <w:rFonts w:ascii="Times New Roman" w:hAnsi="Times New Roman" w:cs="Times New Roman"/>
          <w:color w:val="auto"/>
        </w:rPr>
        <w:t xml:space="preserve"> de Agricultura en la sesión del 3 de mayo de 2023; (iii) la publicación de la proposición en la página web de la Secretaría del Senado. Asimismo, los intervinientes señalaron que, del contenido del debate efectuado en la sesión del 3 mayo de 2023, se infi</w:t>
      </w:r>
      <w:r w:rsidRPr="00635A00">
        <w:rPr>
          <w:rFonts w:ascii="Times New Roman" w:hAnsi="Times New Roman" w:cs="Times New Roman"/>
          <w:color w:val="auto"/>
        </w:rPr>
        <w:t>ere el conocimiento sobre el contenido de la proposición.</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contextualSpacing/>
        <w:jc w:val="both"/>
        <w:rPr>
          <w:rFonts w:ascii="Times New Roman" w:hAnsi="Times New Roman" w:cs="Times New Roman"/>
          <w:b/>
          <w:sz w:val="28"/>
          <w:szCs w:val="28"/>
        </w:rPr>
      </w:pPr>
      <w:r w:rsidRPr="00635A00">
        <w:rPr>
          <w:rFonts w:ascii="Times New Roman" w:hAnsi="Times New Roman" w:cs="Times New Roman"/>
          <w:b/>
          <w:sz w:val="28"/>
          <w:szCs w:val="28"/>
        </w:rPr>
        <w:t>El mecanismo de publicidad: la explicación de la proposición</w:t>
      </w:r>
    </w:p>
    <w:p w:rsidR="00EF09F4" w:rsidRPr="00635A00" w:rsidRDefault="00635A00" w:rsidP="00EF09F4">
      <w:pPr>
        <w:contextualSpacing/>
        <w:jc w:val="both"/>
        <w:rPr>
          <w:rFonts w:ascii="Times New Roman" w:hAnsi="Times New Roman" w:cs="Times New Roman"/>
          <w:b/>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primer lugar, es preciso reiterar que la jurisprudencia ha avalado la explicación de las proposiciones como mecanismo de publicidad </w:t>
      </w:r>
      <w:r w:rsidRPr="00635A00">
        <w:rPr>
          <w:rFonts w:ascii="Times New Roman" w:hAnsi="Times New Roman" w:cs="Times New Roman"/>
          <w:color w:val="auto"/>
        </w:rPr>
        <w:t>siempre que esa declaración evidencie el contenido particular y concreto de las mismas, de tal forma que se verifique un “grado de especificidad que permita a los congresistas conocer adecuada, previa y suficientemente la proposición normativa objeto de di</w:t>
      </w:r>
      <w:r w:rsidRPr="00635A00">
        <w:rPr>
          <w:rFonts w:ascii="Times New Roman" w:hAnsi="Times New Roman" w:cs="Times New Roman"/>
          <w:color w:val="auto"/>
        </w:rPr>
        <w:t>scusión y aprobación”</w:t>
      </w:r>
      <w:r w:rsidRPr="00635A00">
        <w:rPr>
          <w:rStyle w:val="Refdenotaalpie"/>
          <w:rFonts w:ascii="Times New Roman" w:hAnsi="Times New Roman" w:cs="Times New Roman"/>
          <w:color w:val="auto"/>
        </w:rPr>
        <w:footnoteReference w:id="104"/>
      </w:r>
      <w:r w:rsidRPr="00635A00">
        <w:rPr>
          <w:rFonts w:ascii="Times New Roman" w:hAnsi="Times New Roman" w:cs="Times New Roman"/>
          <w:color w:val="auto"/>
        </w:rPr>
        <w:t>.</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el presente asunto, a partir de la explicación de la proposición que adelantó el presidente del Senado de la República en la sesión de 2 de mayo de 2023, no se puede tener por cumplido el principio de publicidad, pues la </w:t>
      </w:r>
      <w:r w:rsidRPr="00635A00">
        <w:rPr>
          <w:rFonts w:ascii="Times New Roman" w:hAnsi="Times New Roman" w:cs="Times New Roman"/>
          <w:color w:val="auto"/>
        </w:rPr>
        <w:t>exposición oral efectuada durante el trámite no dio cuenta con un grado suficiente de especificidad  que permitiera establecer cuál era el alcance de la proposición que fue objeto de votación. En efecto, al referirse a la proposición del artículo 55, la ex</w:t>
      </w:r>
      <w:r w:rsidRPr="00635A00">
        <w:rPr>
          <w:rFonts w:ascii="Times New Roman" w:hAnsi="Times New Roman" w:cs="Times New Roman"/>
          <w:color w:val="auto"/>
        </w:rPr>
        <w:t>plicación se limitó a señalar que:</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jc w:val="both"/>
        <w:rPr>
          <w:rFonts w:ascii="Times New Roman" w:hAnsi="Times New Roman" w:cs="Times New Roman"/>
          <w:sz w:val="28"/>
        </w:rPr>
      </w:pPr>
      <w:r w:rsidRPr="00635A00">
        <w:rPr>
          <w:rFonts w:ascii="Times New Roman" w:hAnsi="Times New Roman" w:cs="Times New Roman"/>
          <w:sz w:val="28"/>
        </w:rPr>
        <w:t>“(…) esa proposición agrega, entre otros, en el numeral dos, inmuebles rurales no sociales con medidas cautelares dentro del proceso de extinción de dominio, bajo de la figura [de enajenación temprana o] de cualquier otr</w:t>
      </w:r>
      <w:r w:rsidRPr="00635A00">
        <w:rPr>
          <w:rFonts w:ascii="Times New Roman" w:hAnsi="Times New Roman" w:cs="Times New Roman"/>
          <w:sz w:val="28"/>
        </w:rPr>
        <w:t>o mecanismo que establezca la ley, en los eventos en los que se hubiera constituido reserva técnica, o si hubiera pagado el valor de venta y siempre que sea declara la extinción de dominio, serán reintegrados al Fondo de Tierras, esa una proposición avalad</w:t>
      </w:r>
      <w:r w:rsidRPr="00635A00">
        <w:rPr>
          <w:rFonts w:ascii="Times New Roman" w:hAnsi="Times New Roman" w:cs="Times New Roman"/>
          <w:sz w:val="28"/>
        </w:rPr>
        <w:t>a por el Gobierno y con la firma de 30 Senadores.”</w:t>
      </w:r>
      <w:r w:rsidRPr="00635A00">
        <w:rPr>
          <w:rStyle w:val="Refdenotaalpie"/>
          <w:rFonts w:ascii="Times New Roman" w:hAnsi="Times New Roman" w:cs="Times New Roman"/>
          <w:sz w:val="28"/>
        </w:rPr>
        <w:footnoteReference w:id="105"/>
      </w:r>
    </w:p>
    <w:p w:rsidR="00EF09F4" w:rsidRPr="00635A00" w:rsidRDefault="00635A00" w:rsidP="00EF09F4">
      <w:pPr>
        <w:pStyle w:val="Sinespaciado"/>
        <w:rPr>
          <w:rFonts w:ascii="Times New Roman" w:hAnsi="Times New Roman" w:cs="Times New Roman"/>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Tal y como lo planteó el demandante y se advierte fácilmente en la revisión de la sesión correspondiente, la explicación del presidente del Senado se limitó a identificar tan solo uno de los seis aspecto</w:t>
      </w:r>
      <w:r w:rsidRPr="00635A00">
        <w:rPr>
          <w:rFonts w:ascii="Times New Roman" w:hAnsi="Times New Roman" w:cs="Times New Roman"/>
          <w:color w:val="auto"/>
        </w:rPr>
        <w:t xml:space="preserve">s sustanciales que incluyó la proposición avalada por el Gobierno y sometida a votación de la plenaria de esa cámara en relación con los mecanismos para facilitar y dinamizar los procesos de compra de tierras por oferta voluntaria definidos en el artículo </w:t>
      </w:r>
      <w:r w:rsidRPr="00635A00">
        <w:rPr>
          <w:rFonts w:ascii="Times New Roman" w:hAnsi="Times New Roman" w:cs="Times New Roman"/>
          <w:color w:val="auto"/>
        </w:rPr>
        <w:t>55. En efecto, la explicación únicamente hizo referencia a la modificación relacionada con la compra de bienes al Frisco, al mencionar que procedía a través del mecanismo de enajenación temprana o cualquier otro mecanismo, y precisar que procedía la reinte</w:t>
      </w:r>
      <w:r w:rsidRPr="00635A00">
        <w:rPr>
          <w:rFonts w:ascii="Times New Roman" w:hAnsi="Times New Roman" w:cs="Times New Roman"/>
          <w:color w:val="auto"/>
        </w:rPr>
        <w:t>gración a la ANT de la reserva constituida en casos de extinción de dominio. De manera que, en la explicación suministrada por el presidente del Senado no se hizo alusión a las reglas adicionales que se cuestionan en el cargo que examina la Corte, esto es,</w:t>
      </w:r>
      <w:r w:rsidRPr="00635A00">
        <w:rPr>
          <w:rFonts w:ascii="Times New Roman" w:hAnsi="Times New Roman" w:cs="Times New Roman"/>
          <w:color w:val="auto"/>
        </w:rPr>
        <w:t xml:space="preserve"> aquellas normas relacionadas con: (i) la modificación del procedimiento vigente en relación con diferentes procesos agrarios (los regulados en los </w:t>
      </w:r>
      <w:r w:rsidRPr="00635A00">
        <w:rPr>
          <w:rFonts w:ascii="Times New Roman" w:hAnsi="Times New Roman" w:cs="Times New Roman"/>
          <w:color w:val="auto"/>
          <w:lang w:eastAsia="es-CO"/>
        </w:rPr>
        <w:t xml:space="preserve">numerales 4, 5 y 7 del artículo </w:t>
      </w:r>
      <w:hyperlink r:id="rId33" w:anchor="58" w:history="1">
        <w:r w:rsidRPr="00635A00">
          <w:rPr>
            <w:rFonts w:ascii="Times New Roman" w:hAnsi="Times New Roman" w:cs="Times New Roman"/>
            <w:color w:val="auto"/>
            <w:lang w:eastAsia="es-CO"/>
          </w:rPr>
          <w:t>58</w:t>
        </w:r>
      </w:hyperlink>
      <w:r w:rsidRPr="00635A00">
        <w:rPr>
          <w:rFonts w:ascii="Times New Roman" w:hAnsi="Times New Roman" w:cs="Times New Roman"/>
          <w:color w:val="auto"/>
          <w:lang w:eastAsia="es-CO"/>
        </w:rPr>
        <w:t xml:space="preserve"> del Decreto Ley 902 de 2017)</w:t>
      </w:r>
      <w:r w:rsidRPr="00635A00">
        <w:rPr>
          <w:rFonts w:ascii="Times New Roman" w:hAnsi="Times New Roman" w:cs="Times New Roman"/>
          <w:color w:val="auto"/>
        </w:rPr>
        <w:t>, y (ii) la derogatoria parcial del Decreto Ley 902 de 2017.</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Así, la explicación oral durante la sesión ante la Plenaria del Senado de la República de la proposición que modificó el artículo 55 y q</w:t>
      </w:r>
      <w:r w:rsidRPr="00635A00">
        <w:rPr>
          <w:rFonts w:ascii="Times New Roman" w:hAnsi="Times New Roman" w:cs="Times New Roman"/>
          <w:color w:val="auto"/>
        </w:rPr>
        <w:t>ue fue objeto de aprobación en la sesión del 2 de mayo de 2023 no contó con el grado de especificidad requerido que permitiera a los congresistas determinar con claridad y precisión el alcance de la proposición correspondiente y, por lo tanto, el objeto de</w:t>
      </w:r>
      <w:r w:rsidRPr="00635A00">
        <w:rPr>
          <w:rFonts w:ascii="Times New Roman" w:hAnsi="Times New Roman" w:cs="Times New Roman"/>
          <w:color w:val="auto"/>
        </w:rPr>
        <w:t xml:space="preserve"> la decisión. Ello, a pesar de que, en esa misma sesión y previo a la votación de las proposiciones avaladas por el Gobierno, uno de los congresistas exigió la lectura de las proposiciones, el presidente del Senado efectuó una explicación parcial de la pro</w:t>
      </w:r>
      <w:r w:rsidRPr="00635A00">
        <w:rPr>
          <w:rFonts w:ascii="Times New Roman" w:hAnsi="Times New Roman" w:cs="Times New Roman"/>
          <w:color w:val="auto"/>
        </w:rPr>
        <w:t xml:space="preserve">posición correspondiente al artículo 55 y su votación se efectuó en bloque. </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Sobre esta explicación parcial, la Corte reitera que según la jurisprudencia de esta corporación el conocimiento de las proposiciones, es decir, del objeto del debate y de la dec</w:t>
      </w:r>
      <w:r w:rsidRPr="00635A00">
        <w:rPr>
          <w:rFonts w:ascii="Times New Roman" w:hAnsi="Times New Roman" w:cs="Times New Roman"/>
          <w:color w:val="auto"/>
        </w:rPr>
        <w:t xml:space="preserve">isión legislativa: </w:t>
      </w:r>
      <w:r w:rsidRPr="00635A00">
        <w:rPr>
          <w:rFonts w:ascii="Times New Roman" w:hAnsi="Times New Roman" w:cs="Times New Roman"/>
          <w:color w:val="auto"/>
          <w:lang w:val="es-ES_tradnl" w:eastAsia="es-CO"/>
        </w:rPr>
        <w:t>“</w:t>
      </w:r>
      <w:r w:rsidRPr="00635A00">
        <w:rPr>
          <w:rFonts w:ascii="Times New Roman" w:hAnsi="Times New Roman" w:cs="Times New Roman"/>
          <w:iCs/>
          <w:color w:val="auto"/>
          <w:lang w:val="es-ES_tradnl" w:eastAsia="es-CO"/>
        </w:rPr>
        <w:t xml:space="preserve">debe ser completo y no parcial, pues es claro que a los congresistas les está vedado discutir y votar un texto indeterminado o desconocido parcialmente, lo que supone haber tenido acceso al tenor literal de las disposiciones que se </w:t>
      </w:r>
      <w:r w:rsidRPr="00635A00">
        <w:rPr>
          <w:rFonts w:ascii="Times New Roman" w:hAnsi="Times New Roman" w:cs="Times New Roman"/>
          <w:iCs/>
          <w:color w:val="auto"/>
          <w:lang w:val="es-ES_tradnl" w:eastAsia="es-CO"/>
        </w:rPr>
        <w:t>someten a su consideración y aprobación</w:t>
      </w:r>
      <w:r w:rsidRPr="00635A00">
        <w:rPr>
          <w:rFonts w:ascii="Times New Roman" w:hAnsi="Times New Roman" w:cs="Times New Roman"/>
          <w:color w:val="auto"/>
          <w:lang w:val="es-ES_tradnl" w:eastAsia="es-CO"/>
        </w:rPr>
        <w:t>”</w:t>
      </w:r>
      <w:r w:rsidRPr="00635A00">
        <w:rPr>
          <w:rStyle w:val="Refdenotaalpie"/>
          <w:rFonts w:ascii="Times New Roman" w:hAnsi="Times New Roman" w:cs="Times New Roman"/>
          <w:color w:val="auto"/>
          <w:lang w:val="es-ES_tradnl" w:eastAsia="es-CO"/>
        </w:rPr>
        <w:footnoteReference w:id="106"/>
      </w:r>
      <w:r w:rsidRPr="00635A00">
        <w:rPr>
          <w:rFonts w:ascii="Times New Roman" w:hAnsi="Times New Roman" w:cs="Times New Roman"/>
          <w:color w:val="auto"/>
          <w:lang w:val="es-ES_tradnl" w:eastAsia="es-CO"/>
        </w:rPr>
        <w:t xml:space="preserve">. </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Así, a partir de lo expuesto, la Sala descarta que la publicidad de la proposición que modificó el artículo 55 se hubiera logrado mediante la explicación oral.</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contextualSpacing/>
        <w:jc w:val="both"/>
        <w:rPr>
          <w:rFonts w:ascii="Times New Roman" w:hAnsi="Times New Roman" w:cs="Times New Roman"/>
          <w:b/>
          <w:sz w:val="28"/>
          <w:szCs w:val="28"/>
        </w:rPr>
      </w:pPr>
      <w:r w:rsidRPr="00635A00">
        <w:rPr>
          <w:rFonts w:ascii="Times New Roman" w:hAnsi="Times New Roman" w:cs="Times New Roman"/>
          <w:b/>
          <w:sz w:val="28"/>
          <w:szCs w:val="28"/>
        </w:rPr>
        <w:t xml:space="preserve">El mecanismo de publicidad: la intervención de la </w:t>
      </w:r>
      <w:r w:rsidRPr="00635A00">
        <w:rPr>
          <w:rFonts w:ascii="Times New Roman" w:hAnsi="Times New Roman" w:cs="Times New Roman"/>
          <w:b/>
          <w:sz w:val="28"/>
          <w:szCs w:val="28"/>
        </w:rPr>
        <w:t>ministra de Agricultura</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segundo lugar, los intervinientes señalaron que, en su intervención en la sesión de 3 de mayo de 2023 ante la plenaria del Senado, la ministra de Agricultura explicó el alcance de la proposición introducida en relación con el ar</w:t>
      </w:r>
      <w:r w:rsidRPr="00635A00">
        <w:rPr>
          <w:rFonts w:ascii="Times New Roman" w:hAnsi="Times New Roman" w:cs="Times New Roman"/>
          <w:color w:val="auto"/>
        </w:rPr>
        <w:t xml:space="preserve">tículo 55, la necesidad de fortalecer los mecanismos relacionados con la compra de tierras y la modificación del Decreto 902 de 2017. </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Sobre este mecanismo de publicidad, se observa, primero, que la votación del artículo 55 con la proposición avalada por </w:t>
      </w:r>
      <w:r w:rsidRPr="00635A00">
        <w:rPr>
          <w:rFonts w:ascii="Times New Roman" w:hAnsi="Times New Roman" w:cs="Times New Roman"/>
          <w:color w:val="auto"/>
        </w:rPr>
        <w:t>el Gobierno se efectuó en la sesión del 2 de mayo de 2023, tras la explicación oral efectuada por el entonces presidente del Senado de la República. De manera que, aún si se acreditara la explicación de la proposición por parte de la ministra de Agricultur</w:t>
      </w:r>
      <w:r w:rsidRPr="00635A00">
        <w:rPr>
          <w:rFonts w:ascii="Times New Roman" w:hAnsi="Times New Roman" w:cs="Times New Roman"/>
          <w:color w:val="auto"/>
        </w:rPr>
        <w:t>a en la sesión de 3 de mayo de 2023, esta no tendría, por si sola, la capacidad de acreditar el requisito de publicidad. Esto, debido a que la finalidad del principio de publicidad es que los congresistas conozcan el objeto de la proposición para poder vot</w:t>
      </w:r>
      <w:r w:rsidRPr="00635A00">
        <w:rPr>
          <w:rFonts w:ascii="Times New Roman" w:hAnsi="Times New Roman" w:cs="Times New Roman"/>
          <w:color w:val="auto"/>
        </w:rPr>
        <w:t xml:space="preserve">arla de manera informada. </w:t>
      </w:r>
      <w:r w:rsidRPr="00635A00">
        <w:rPr>
          <w:rStyle w:val="Refdecomentario"/>
          <w:rFonts w:ascii="Times New Roman" w:hAnsi="Times New Roman" w:cs="Times New Roman"/>
          <w:color w:val="auto"/>
          <w:sz w:val="28"/>
          <w:szCs w:val="28"/>
        </w:rPr>
        <w:t>En el presente caso,</w:t>
      </w:r>
      <w:r w:rsidRPr="00635A00">
        <w:rPr>
          <w:rFonts w:ascii="Times New Roman" w:hAnsi="Times New Roman" w:cs="Times New Roman"/>
          <w:color w:val="auto"/>
        </w:rPr>
        <w:t xml:space="preserve"> el asunto examinado ya había sido aprobado en la sesión del día anterior a la intervención de la ministra.</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Segundo, en línea con lo anterior, es claro que, en relación con las proposiciones avaladas por el Go</w:t>
      </w:r>
      <w:r w:rsidRPr="00635A00">
        <w:rPr>
          <w:rFonts w:ascii="Times New Roman" w:hAnsi="Times New Roman" w:cs="Times New Roman"/>
          <w:color w:val="auto"/>
        </w:rPr>
        <w:t>bierno nacional, el trámite en la plenaria del Senado se agotó en la sesión del 2 de mayo de 2023, en la que se radicaron, fueron explicadas por el presidente del Congreso y votadas en bloque. Luego, se procedió a votar una a una las proposiciones de elimi</w:t>
      </w:r>
      <w:r w:rsidRPr="00635A00">
        <w:rPr>
          <w:rFonts w:ascii="Times New Roman" w:hAnsi="Times New Roman" w:cs="Times New Roman"/>
          <w:color w:val="auto"/>
        </w:rPr>
        <w:t>nación de artículos y, faltando la votación de tres de ellas, se cerró la sesión y se citó para el día siguiente, es decir, el 3 de mayo de 2023. Adicionalmente, en la sesión del 3 de mayo de 2023 no se presentó una reapertura del debate o de la votación s</w:t>
      </w:r>
      <w:r w:rsidRPr="00635A00">
        <w:rPr>
          <w:rFonts w:ascii="Times New Roman" w:hAnsi="Times New Roman" w:cs="Times New Roman"/>
          <w:color w:val="auto"/>
        </w:rPr>
        <w:t>obre el entonces artículo 55.</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Tercero, aún si se admitiera como mecanismo de publicidad la explicación oral de la proposición por parte de la ministra de Agricultura el día siguiente y tras la aprobación del artículo, lo cierto es que la intervención de e</w:t>
      </w:r>
      <w:r w:rsidRPr="00635A00">
        <w:rPr>
          <w:rFonts w:ascii="Times New Roman" w:hAnsi="Times New Roman" w:cs="Times New Roman"/>
          <w:color w:val="auto"/>
        </w:rPr>
        <w:t>sa funcionaria en la sesión del 3 de mayo de 2023 se dio en relación con otra disposición que no corresponde al artículo examinado por la Corte. En efecto, en la sesión de 3 de mayo de 2023 la ministra explicó una proposición que radicó ese día frente al a</w:t>
      </w:r>
      <w:r w:rsidRPr="00635A00">
        <w:rPr>
          <w:rFonts w:ascii="Times New Roman" w:hAnsi="Times New Roman" w:cs="Times New Roman"/>
          <w:color w:val="auto"/>
        </w:rPr>
        <w:t>rtículo 373 del proyecto de ley, que correspondía a las derogatorias y no al artículo 55, que regula los mecanismos para facilitar y dinamizar los procesos de compra de tierras por oferta voluntaria. Así, previo a la intervención de la ministra, el preside</w:t>
      </w:r>
      <w:r w:rsidRPr="00635A00">
        <w:rPr>
          <w:rFonts w:ascii="Times New Roman" w:hAnsi="Times New Roman" w:cs="Times New Roman"/>
          <w:color w:val="auto"/>
        </w:rPr>
        <w:t>nte del Senado precisó:</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“Vamos a pedirle a Planeación para, estoy pidiendo la Planeación Nacional señor subdirector que está aquí, el listado del plan plurianual de inversiones, y las bases que son los anexos que hay que votar, entre tanto el último artíc</w:t>
      </w:r>
      <w:r w:rsidRPr="00635A00">
        <w:rPr>
          <w:rFonts w:ascii="Times New Roman" w:hAnsi="Times New Roman" w:cs="Times New Roman"/>
          <w:sz w:val="28"/>
        </w:rPr>
        <w:t>ulo es el artículo de la vigencia y las derogatorias, ese artículo tiene unas proposiciones, explíquenos señor coordinador y lo vamos a votar junto con, no, pero es para reabrirlo. Vamos a escuchar las proposiciones de vigencia y derogatorias, sobre este a</w:t>
      </w:r>
      <w:r w:rsidRPr="00635A00">
        <w:rPr>
          <w:rFonts w:ascii="Times New Roman" w:hAnsi="Times New Roman" w:cs="Times New Roman"/>
          <w:sz w:val="28"/>
        </w:rPr>
        <w:t>rtículo oímos al Senador Roldán y luego la Senadora Clara López, sobre ese artículo ¡Ah! no es sobre ese artículo. No, eso todavía no estamos en ahí, eso es el último artículo que son vigencias y derogatorias y vamos a artículos nuevos, o reaperturas, empe</w:t>
      </w:r>
      <w:r w:rsidRPr="00635A00">
        <w:rPr>
          <w:rFonts w:ascii="Times New Roman" w:hAnsi="Times New Roman" w:cs="Times New Roman"/>
          <w:sz w:val="28"/>
        </w:rPr>
        <w:t>zando por el artículo nuevo propuesto por el Senador Iván Name. Vámonos con el artículo 373, último artículo de vigencias y derogatorias.</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“Sobre este mismo artículo hay una proposición, ya le digo la del Senador Luna, del Ministerio de Agricultura </w:t>
      </w:r>
      <w:r w:rsidRPr="00635A00">
        <w:rPr>
          <w:rFonts w:ascii="Times New Roman" w:hAnsi="Times New Roman" w:cs="Times New Roman"/>
          <w:sz w:val="28"/>
        </w:rPr>
        <w:t>¿la Ministra de Agricultura está presente todavía? Ministra este es el artículo que usted recomendó, sírvase explicarnos por favor. No estamos en reaperturas todavía, estamos en derogatorias. Ya le voy a dar la palabra al Senador David Luna después de la M</w:t>
      </w:r>
      <w:r w:rsidRPr="00635A00">
        <w:rPr>
          <w:rFonts w:ascii="Times New Roman" w:hAnsi="Times New Roman" w:cs="Times New Roman"/>
          <w:sz w:val="28"/>
        </w:rPr>
        <w:t>inistra de Agricultura. Termine Senador Roldán de explicarnos qué proposiciones tiene el artículo de derogatorias, habla la Ministra de Agricultura.”</w:t>
      </w:r>
      <w:r w:rsidRPr="00635A00">
        <w:rPr>
          <w:rStyle w:val="Refdenotaalpie"/>
          <w:rFonts w:ascii="Times New Roman" w:hAnsi="Times New Roman" w:cs="Times New Roman"/>
          <w:sz w:val="28"/>
        </w:rPr>
        <w:footnoteReference w:id="107"/>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Por su parte, el senador Roldán aclaró que:</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“La vigencia, Presidente. El artículo 373 el artículo de la</w:t>
      </w:r>
      <w:r w:rsidRPr="00635A00">
        <w:rPr>
          <w:rFonts w:ascii="Times New Roman" w:hAnsi="Times New Roman" w:cs="Times New Roman"/>
          <w:sz w:val="28"/>
        </w:rPr>
        <w:t xml:space="preserve"> vigencia tiene dos proposiciones, una proposición de Sandra Jaime Senadora, que trae algo que ya se había discutido en las comisiones económicas conjuntas, que dice, que los bienes inmuebles actualmente administrados por Fontur, al Fontur pasar al fondo, </w:t>
      </w:r>
      <w:r w:rsidRPr="00635A00">
        <w:rPr>
          <w:rFonts w:ascii="Times New Roman" w:hAnsi="Times New Roman" w:cs="Times New Roman"/>
          <w:sz w:val="28"/>
        </w:rPr>
        <w:t>al fondo aprobado en el plan de desarrollo, la administración de los bienes que estaban en Fontur pasan a transferidos para la administración a las SAE, esa es una proposición que tiene aval. Y la otra proposición, señor Presidente, es la proposición que t</w:t>
      </w:r>
      <w:r w:rsidRPr="00635A00">
        <w:rPr>
          <w:rFonts w:ascii="Times New Roman" w:hAnsi="Times New Roman" w:cs="Times New Roman"/>
          <w:sz w:val="28"/>
        </w:rPr>
        <w:t>iene que ver con la Ley 902 de 2017 a excepción de los artículos 4, 5, 6, 7, 8, 21, 36, 37, 38, 39, 56, 63, 69 y 82, es decir, someter a consideración las vigencias con la discusión de estas dos proposiciones.”</w:t>
      </w:r>
    </w:p>
    <w:p w:rsidR="00EF09F4" w:rsidRPr="00635A00" w:rsidRDefault="00635A00" w:rsidP="00EF09F4">
      <w:pPr>
        <w:contextualSpacing/>
        <w:jc w:val="both"/>
        <w:rPr>
          <w:rFonts w:ascii="Times New Roman" w:hAnsi="Times New Roman" w:cs="Times New Roman"/>
          <w:sz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La intervención de la ministra de Agricultur</w:t>
      </w:r>
      <w:r w:rsidRPr="00635A00">
        <w:rPr>
          <w:rFonts w:ascii="Times New Roman" w:hAnsi="Times New Roman" w:cs="Times New Roman"/>
          <w:color w:val="auto"/>
        </w:rPr>
        <w:t xml:space="preserve">a hizo referencia a la proposición que presentó esa funcionaria sobre el artículo de derogatorias, en la que propuso </w:t>
      </w:r>
      <w:r w:rsidRPr="00635A00">
        <w:rPr>
          <w:rFonts w:ascii="Times New Roman" w:hAnsi="Times New Roman" w:cs="Times New Roman"/>
          <w:color w:val="auto"/>
        </w:rPr>
        <w:t>derogar</w:t>
      </w:r>
      <w:r w:rsidRPr="00635A00">
        <w:rPr>
          <w:rFonts w:ascii="Times New Roman" w:hAnsi="Times New Roman" w:cs="Times New Roman"/>
          <w:color w:val="auto"/>
        </w:rPr>
        <w:t xml:space="preserve"> la mayor parte del articulado del Decreto Ley 902 de 2017</w:t>
      </w:r>
      <w:r w:rsidRPr="00635A00">
        <w:rPr>
          <w:rStyle w:val="Refdenotaalpie"/>
          <w:rFonts w:ascii="Times New Roman" w:hAnsi="Times New Roman" w:cs="Times New Roman"/>
          <w:color w:val="auto"/>
        </w:rPr>
        <w:footnoteReference w:id="108"/>
      </w:r>
      <w:r w:rsidRPr="00635A00">
        <w:rPr>
          <w:rFonts w:ascii="Times New Roman" w:hAnsi="Times New Roman" w:cs="Times New Roman"/>
          <w:color w:val="auto"/>
        </w:rPr>
        <w:t>. Sobre esta proposición de modificación del artículo 373 del proyecto de</w:t>
      </w:r>
      <w:r w:rsidRPr="00635A00">
        <w:rPr>
          <w:rFonts w:ascii="Times New Roman" w:hAnsi="Times New Roman" w:cs="Times New Roman"/>
          <w:color w:val="auto"/>
        </w:rPr>
        <w:t xml:space="preserve"> ley, la ministra señaló:</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“Muy buenas tardes, muchas gracias Presidente. Bueno muy buenas tardes a todos y a todas, es un gusto para mí estrenarme en estas lides del Congreso en este momento tan crucial. ¿Ahora sí me escuchan?, ¡ah!, bueno, buenas tardes,</w:t>
      </w:r>
      <w:r w:rsidRPr="00635A00">
        <w:rPr>
          <w:rFonts w:ascii="Times New Roman" w:hAnsi="Times New Roman" w:cs="Times New Roman"/>
          <w:sz w:val="28"/>
        </w:rPr>
        <w:t xml:space="preserve"> bueno para mí es mi primera vez en el Congreso como Ministro de Agricultura y me siento muy feliz de estar aquí para defender este plan de Gobierno de la gente y del cambio, por el cual votamos y por el cual creemos estamos acá. </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Bueno, me han pedido que</w:t>
      </w:r>
      <w:r w:rsidRPr="00635A00">
        <w:rPr>
          <w:rFonts w:ascii="Times New Roman" w:hAnsi="Times New Roman" w:cs="Times New Roman"/>
          <w:sz w:val="28"/>
        </w:rPr>
        <w:t xml:space="preserve"> explique cuál es la razón y la necesidad que tenemos en esta proposición que vamos a discutir sobre las vigencias, del Plan Nacional de Desarrollo, dentro de esta vigencia del Plan Nacional de desarrollo, hemos identificado una necesidad imperiosa para cu</w:t>
      </w:r>
      <w:r w:rsidRPr="00635A00">
        <w:rPr>
          <w:rFonts w:ascii="Times New Roman" w:hAnsi="Times New Roman" w:cs="Times New Roman"/>
          <w:sz w:val="28"/>
        </w:rPr>
        <w:t xml:space="preserve">mplir con el acuerdo agrario de paz, como todos saben, este acuerdo de paz carácter constitucional, que fue suscrito y ratificado, e incluso en instancias internacionales y por ende tiene este peso tan importante para nuestra institucionalidad, pues tiene </w:t>
      </w:r>
      <w:r w:rsidRPr="00635A00">
        <w:rPr>
          <w:rFonts w:ascii="Times New Roman" w:hAnsi="Times New Roman" w:cs="Times New Roman"/>
          <w:sz w:val="28"/>
        </w:rPr>
        <w:t xml:space="preserve">la finalidad de lograr cumplir con una reforma rural integral. </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Aquí junto con nuestra bancada, junto con los distintos actores, con los que hemos ayudado a hacer este acuerdo, a lograr su implementación, hemos identificado que hay cuellos de botella que </w:t>
      </w:r>
      <w:r w:rsidRPr="00635A00">
        <w:rPr>
          <w:rFonts w:ascii="Times New Roman" w:hAnsi="Times New Roman" w:cs="Times New Roman"/>
          <w:sz w:val="28"/>
        </w:rPr>
        <w:t xml:space="preserve">han impedido avanzar en los fines del cumplimiento de la reforma. Dentro de la reforma se establecieron dos metas muy importantes, necesarias para poder lograr la construcción de paz en el campo colombiano, de un lado, se estableció una meta de 3 millones </w:t>
      </w:r>
      <w:r w:rsidRPr="00635A00">
        <w:rPr>
          <w:rFonts w:ascii="Times New Roman" w:hAnsi="Times New Roman" w:cs="Times New Roman"/>
          <w:sz w:val="28"/>
        </w:rPr>
        <w:t>de hectáreas, que son parte de un fondo de tierras para la paz, que son los 3 millones que van a ser redistribuidas, a favor de población campesina, principalmente población productora de alimentos, excombatientes de procesos de paz, víctimas del conflicto</w:t>
      </w:r>
      <w:r w:rsidRPr="00635A00">
        <w:rPr>
          <w:rFonts w:ascii="Times New Roman" w:hAnsi="Times New Roman" w:cs="Times New Roman"/>
          <w:sz w:val="28"/>
        </w:rPr>
        <w:t xml:space="preserve"> armado, pueblos indígenas y negros que vienen reclamando tierras, como parte de esa deuda histórica que tenemos en el campo colombiano; siendo hoy el segundo país en el mundo, con una mayor inequidad en el acceso a la tierra. </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Esos 3 millones de hectárea</w:t>
      </w:r>
      <w:r w:rsidRPr="00635A00">
        <w:rPr>
          <w:rFonts w:ascii="Times New Roman" w:hAnsi="Times New Roman" w:cs="Times New Roman"/>
          <w:sz w:val="28"/>
        </w:rPr>
        <w:t>s son conformados por distintas fuentes, que están en el acuerdo de paz y que están en el fondo de tierras para la paz de Decreto Ley 902. Dentro de esas fuentes están las compras de tierras, pero también están los baldíos de la Nación, están también los b</w:t>
      </w:r>
      <w:r w:rsidRPr="00635A00">
        <w:rPr>
          <w:rFonts w:ascii="Times New Roman" w:hAnsi="Times New Roman" w:cs="Times New Roman"/>
          <w:sz w:val="28"/>
        </w:rPr>
        <w:t>ienes que están en otros procesos, por ejemplo, los de la SAE y los del FRISCO, que tienen que ser trasladados a este acuerdo. Están también las compras que se pueden hacer con entrega de subsidios, o con entrega de créditos para la compra.</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 Están también</w:t>
      </w:r>
      <w:r w:rsidRPr="00635A00">
        <w:rPr>
          <w:rFonts w:ascii="Times New Roman" w:hAnsi="Times New Roman" w:cs="Times New Roman"/>
          <w:sz w:val="28"/>
        </w:rPr>
        <w:t xml:space="preserve"> algunos bienes que tienen que ver con reservas forestales, que pueden ser sometidos a distintos tipos de condicionamientos para que se logre superar conflictos de uso y hacer usos adecuados, con la función ecológica y ambiental para la cual están, con arr</w:t>
      </w:r>
      <w:r w:rsidRPr="00635A00">
        <w:rPr>
          <w:rFonts w:ascii="Times New Roman" w:hAnsi="Times New Roman" w:cs="Times New Roman"/>
          <w:sz w:val="28"/>
        </w:rPr>
        <w:t xml:space="preserve">eglos que de la agricultura ya se vienen implementando, por ejemplo, con la política de ganadería sostenible, con arreglo silvopastoriles y agroforestales, en que las comunidades campesinas se han dedicado. </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Entonces, esa es una meta muy grande que tenemo</w:t>
      </w:r>
      <w:r w:rsidRPr="00635A00">
        <w:rPr>
          <w:rFonts w:ascii="Times New Roman" w:hAnsi="Times New Roman" w:cs="Times New Roman"/>
          <w:sz w:val="28"/>
        </w:rPr>
        <w:t xml:space="preserve">s, cumplir 3 millones de hectáreas de fondo de tierras para la paz, y de otro lado tenemos la meta de 7 millones de hectáreas de tierras de formalización de propiedad; la formalización significa, que a las comunidades que teniendo tierras sean campesinos, </w:t>
      </w:r>
      <w:r w:rsidRPr="00635A00">
        <w:rPr>
          <w:rFonts w:ascii="Times New Roman" w:hAnsi="Times New Roman" w:cs="Times New Roman"/>
          <w:sz w:val="28"/>
        </w:rPr>
        <w:t>sean indígenas, o sea negros, teniendo tierras, pero no tengan título de propiedad, se les legaliza esa propiedad. Esa formalización es importante, porque es la puerta de entrada para que el sector agricultura y el resto de entidad del Estado, puedan hacer</w:t>
      </w:r>
      <w:r w:rsidRPr="00635A00">
        <w:rPr>
          <w:rFonts w:ascii="Times New Roman" w:hAnsi="Times New Roman" w:cs="Times New Roman"/>
          <w:sz w:val="28"/>
        </w:rPr>
        <w:t xml:space="preserve"> inversiones en esos territorios. En caso de pueblos indígenas y negros, es importante para evitar que se siga dando deterioro a estos territorios, que tienen entre otras cosas, una gran importancia ecológica.</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 Quiero terminar, porque entiendo que esto ya</w:t>
      </w:r>
      <w:r w:rsidRPr="00635A00">
        <w:rPr>
          <w:rFonts w:ascii="Times New Roman" w:hAnsi="Times New Roman" w:cs="Times New Roman"/>
          <w:sz w:val="28"/>
        </w:rPr>
        <w:t xml:space="preserve"> ha empezado a generar discusión y la quiero dar, qué hemos identificado, hemos identificado que el instrumento que se creó para implementar, tanto el fondo de tierras como la formalización ha sido ineficiente. En 6 años del acuerdo, desde el 2017 que se e</w:t>
      </w:r>
      <w:r w:rsidRPr="00635A00">
        <w:rPr>
          <w:rFonts w:ascii="Times New Roman" w:hAnsi="Times New Roman" w:cs="Times New Roman"/>
          <w:sz w:val="28"/>
        </w:rPr>
        <w:t>xpidió este Decreto Ley 902, solamente se han logrado recuperar 12 predios, 12 predios del fondo de tierras, 300 hectáreas o sea que, a ese paso, nos gastaríamos 9 mil años en cumplir el acuerdo de paz. También se han invertido más de 50 mil millones, haci</w:t>
      </w:r>
      <w:r w:rsidRPr="00635A00">
        <w:rPr>
          <w:rFonts w:ascii="Times New Roman" w:hAnsi="Times New Roman" w:cs="Times New Roman"/>
          <w:sz w:val="28"/>
        </w:rPr>
        <w:t>endo unos estudios que llamaron planes de ordenamiento social de la propiedad rural, que son muy lindos y fue una idea muy interesante en el escritorio, pero que en la práctica no ha dado un centímetro de tierra, ni una solución para la paz para nadie en e</w:t>
      </w:r>
      <w:r w:rsidRPr="00635A00">
        <w:rPr>
          <w:rFonts w:ascii="Times New Roman" w:hAnsi="Times New Roman" w:cs="Times New Roman"/>
          <w:sz w:val="28"/>
        </w:rPr>
        <w:t xml:space="preserve">ste país. </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 xml:space="preserve">Solamente se han formalizado 22 mil hectáreas a 20 mil familias, a un costo muy alto en tiempo y dinero. Se creó una frase judicial, quitándole competencias que la entidad de tierras tiene desde 1936; esto ha sido reiterado siempre el Incoder, </w:t>
      </w:r>
      <w:r w:rsidRPr="00635A00">
        <w:rPr>
          <w:rFonts w:ascii="Times New Roman" w:hAnsi="Times New Roman" w:cs="Times New Roman"/>
          <w:sz w:val="28"/>
        </w:rPr>
        <w:t>el Incora, eclesialmente el Ministerio de Agricultura, siempre la entidad tuvo la posibilidad de hacer procesos agrarios y este proyecto con la idea de hacer lo mejor, hizo una fase judicial que nunca se inventó, tenemos cero jueces agrarios para fallar es</w:t>
      </w:r>
      <w:r w:rsidRPr="00635A00">
        <w:rPr>
          <w:rFonts w:ascii="Times New Roman" w:hAnsi="Times New Roman" w:cs="Times New Roman"/>
          <w:sz w:val="28"/>
        </w:rPr>
        <w:t>to, y hasta este momento solamente se han radicado 5 demandas. Para superar esos problemas es que hemos venido aquí en aras a lograr esos 3 millones de hectáreas del fondo de tierras, y ese proceso de formalización, tratar de superar estos obstáculos, hace</w:t>
      </w:r>
      <w:r w:rsidRPr="00635A00">
        <w:rPr>
          <w:rFonts w:ascii="Times New Roman" w:hAnsi="Times New Roman" w:cs="Times New Roman"/>
          <w:sz w:val="28"/>
        </w:rPr>
        <w:t>r que la gestión sea más eficiente, rescatando los instrumentos importantes que hay allí.</w:t>
      </w:r>
    </w:p>
    <w:p w:rsidR="00EF09F4" w:rsidRPr="00635A00" w:rsidRDefault="00635A00" w:rsidP="00EF09F4">
      <w:pPr>
        <w:ind w:left="708"/>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Con el presidente Roy Barreras estamos de acuerdo, en que es un momento para corregir los instrumentos que de pronto con una buena intención, terminaron teniendo una</w:t>
      </w:r>
      <w:r w:rsidRPr="00635A00">
        <w:rPr>
          <w:rFonts w:ascii="Times New Roman" w:hAnsi="Times New Roman" w:cs="Times New Roman"/>
          <w:sz w:val="28"/>
        </w:rPr>
        <w:t xml:space="preserve"> deficiente gestión en cumplimiento del acuerdo de paz; aquí me van a decir, que eso tiene que ver con culpa de la administración anterior. Si ustedes quieren decir que el Gobierno de Duque fue inepto, es palabra de ustedes, lo que yo vengo a decir es que </w:t>
      </w:r>
      <w:r w:rsidRPr="00635A00">
        <w:rPr>
          <w:rFonts w:ascii="Times New Roman" w:hAnsi="Times New Roman" w:cs="Times New Roman"/>
          <w:sz w:val="28"/>
        </w:rPr>
        <w:t>para cumplir con la paz es necesario mejorar los tiempos y nuestros procedimientos.”</w:t>
      </w:r>
      <w:r w:rsidRPr="00635A00">
        <w:rPr>
          <w:rStyle w:val="Refdenotaalpie"/>
          <w:rFonts w:ascii="Times New Roman" w:hAnsi="Times New Roman" w:cs="Times New Roman"/>
          <w:sz w:val="28"/>
        </w:rPr>
        <w:footnoteReference w:id="109"/>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Tras la presentación de la ministra, los senadores Juan Felipe Lemos Uribe, David Andrés Luna Sánchez, Paloma Susana Valencia Laserna y Efraín José Cepeda Sarabia </w:t>
      </w:r>
      <w:r w:rsidRPr="00635A00">
        <w:rPr>
          <w:rFonts w:ascii="Times New Roman" w:hAnsi="Times New Roman" w:cs="Times New Roman"/>
          <w:color w:val="auto"/>
        </w:rPr>
        <w:t>intervinieron para oponerse a la proposición de derogatoria planteada por la ministra de Agricultura. Luego, el presidente del Senado señaló que la ministra retiró la proposición en los siguientes términos:</w:t>
      </w:r>
    </w:p>
    <w:p w:rsidR="00EF09F4" w:rsidRPr="00635A00" w:rsidRDefault="00635A00" w:rsidP="00EF09F4">
      <w:pPr>
        <w:ind w:left="708"/>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“Bueno, les doy una noticia para bajar los ánimo</w:t>
      </w:r>
      <w:r w:rsidRPr="00635A00">
        <w:rPr>
          <w:rFonts w:ascii="Times New Roman" w:hAnsi="Times New Roman" w:cs="Times New Roman"/>
          <w:sz w:val="28"/>
        </w:rPr>
        <w:t>s y el debate no se necesitará, la señora Ministra de Agricultura me dice que tramitará estos asuntos en la Comisión Agraria y en las otras comisiones respectivas retirando la proposición; lo que nos evita el debate, ¿verdad Ministra? La Ministra quiere in</w:t>
      </w:r>
      <w:r w:rsidRPr="00635A00">
        <w:rPr>
          <w:rFonts w:ascii="Times New Roman" w:hAnsi="Times New Roman" w:cs="Times New Roman"/>
          <w:sz w:val="28"/>
        </w:rPr>
        <w:t xml:space="preserve">tervenir, le doy la palabra a la Ministra a ver si le entendí bien, la Ministra quiere intervenir. Escuchamos a la señora Ministra, mientras más se demoren en escuchar a la Ministra más se demoran en hablar ustedes, escuchemos a la ministra para saber las </w:t>
      </w:r>
      <w:r w:rsidRPr="00635A00">
        <w:rPr>
          <w:rFonts w:ascii="Times New Roman" w:hAnsi="Times New Roman" w:cs="Times New Roman"/>
          <w:sz w:val="28"/>
        </w:rPr>
        <w:t>intervenciones sobre qué nuevo escenario son.”</w:t>
      </w:r>
      <w:r w:rsidRPr="00635A00">
        <w:rPr>
          <w:rStyle w:val="Refdenotaalpie"/>
          <w:rFonts w:ascii="Times New Roman" w:hAnsi="Times New Roman" w:cs="Times New Roman"/>
          <w:sz w:val="28"/>
        </w:rPr>
        <w:footnoteReference w:id="110"/>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Por su parte, la ministra de Agricultura confirmó que retiraba la proposición en los siguientes términos:</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“Bueno, yo les invito a que revisen conmigo la manera de hacer más ágil y expedito esto. Me dicen, s</w:t>
      </w:r>
      <w:r w:rsidRPr="00635A00">
        <w:rPr>
          <w:rFonts w:ascii="Times New Roman" w:hAnsi="Times New Roman" w:cs="Times New Roman"/>
          <w:sz w:val="28"/>
        </w:rPr>
        <w:t>alve el artículo uno, se salva, miremos de qué otra manera lo podemos arreglar, entonces, nosotros queríamos hacer titulaciones de tierras, formalizaciones de manera más expedita, lograr avanzar más rápidamente en la intervención de tierras que todo el mun</w:t>
      </w:r>
      <w:r w:rsidRPr="00635A00">
        <w:rPr>
          <w:rFonts w:ascii="Times New Roman" w:hAnsi="Times New Roman" w:cs="Times New Roman"/>
          <w:sz w:val="28"/>
        </w:rPr>
        <w:t xml:space="preserve">do demanda, todo el mundo quiere hacer reforma agraria, todos quieren que los campesinos tengan títulos de propiedad, que cumplamos con la entrega de proyectos productivos. Queríamos hacerlo al doble de tiempo, si nos toca hacerlo lento, pues lo hacemos. </w:t>
      </w:r>
    </w:p>
    <w:p w:rsidR="00EF09F4" w:rsidRPr="00635A00" w:rsidRDefault="00635A00" w:rsidP="00EF09F4">
      <w:pPr>
        <w:ind w:left="708"/>
        <w:contextualSpacing/>
        <w:jc w:val="both"/>
        <w:rPr>
          <w:rFonts w:ascii="Times New Roman" w:hAnsi="Times New Roman" w:cs="Times New Roman"/>
          <w:sz w:val="28"/>
        </w:rPr>
      </w:pPr>
    </w:p>
    <w:p w:rsidR="00EF09F4" w:rsidRPr="00635A00" w:rsidRDefault="00635A00" w:rsidP="00EF09F4">
      <w:pPr>
        <w:ind w:left="708"/>
        <w:contextualSpacing/>
        <w:jc w:val="both"/>
        <w:rPr>
          <w:rFonts w:ascii="Times New Roman" w:hAnsi="Times New Roman" w:cs="Times New Roman"/>
          <w:sz w:val="28"/>
          <w:szCs w:val="28"/>
        </w:rPr>
      </w:pPr>
      <w:r w:rsidRPr="00635A00">
        <w:rPr>
          <w:rFonts w:ascii="Times New Roman" w:hAnsi="Times New Roman" w:cs="Times New Roman"/>
          <w:sz w:val="28"/>
        </w:rPr>
        <w:t xml:space="preserve">Ahora, Jurisdicción Agraria se necesita. No puede ser posible que sin jueces nos pidan hacer un proceso judicial. Ustedes sepultarían el proceso de Paz, ustedes nos condenarían a gastarnos nueve mil años si seguimos a este ritmo, entonces, quieren que lo </w:t>
      </w:r>
      <w:r w:rsidRPr="00635A00">
        <w:rPr>
          <w:rFonts w:ascii="Times New Roman" w:hAnsi="Times New Roman" w:cs="Times New Roman"/>
          <w:sz w:val="28"/>
        </w:rPr>
        <w:t>hagamos, lo hacemos por proceso judicial, quieren que lo discutamos para eso están las comisiones Quintas. Esa es la idea que tenemos y en ese escenario lo podemos hacer.”</w:t>
      </w:r>
      <w:r w:rsidRPr="00635A00">
        <w:rPr>
          <w:rStyle w:val="Refdenotaalpie"/>
          <w:rFonts w:ascii="Times New Roman" w:hAnsi="Times New Roman" w:cs="Times New Roman"/>
          <w:sz w:val="28"/>
        </w:rPr>
        <w:footnoteReference w:id="111"/>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Tras la segunda intervención de la ministra, el senador Juan Diego Echavarría Sánc</w:t>
      </w:r>
      <w:r w:rsidRPr="00635A00">
        <w:rPr>
          <w:rFonts w:ascii="Times New Roman" w:hAnsi="Times New Roman" w:cs="Times New Roman"/>
          <w:color w:val="auto"/>
        </w:rPr>
        <w:t>hez propuso una moción de orden en la que indicó que no procedía más debate, debido a que la proposición de derogatoria había sido retirada. Esta moción de orden fue aceptada por el Presidente del Senado. Sin embargo, se dio la palabra a los senadores en t</w:t>
      </w:r>
      <w:r w:rsidRPr="00635A00">
        <w:rPr>
          <w:rFonts w:ascii="Times New Roman" w:hAnsi="Times New Roman" w:cs="Times New Roman"/>
          <w:color w:val="auto"/>
        </w:rPr>
        <w:t>urno quienes señalaron que, si bien se retiró la proposición, dejaban constancia sobre su postura en relación con la derogatoria del Decreto 902 de 2017 y la reforma agraria.</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Frente a esas intervenciones es necesario precisar que: (i) no se presentaron en</w:t>
      </w:r>
      <w:r w:rsidRPr="00635A00">
        <w:rPr>
          <w:rFonts w:ascii="Times New Roman" w:hAnsi="Times New Roman" w:cs="Times New Roman"/>
          <w:color w:val="auto"/>
        </w:rPr>
        <w:t xml:space="preserve"> el marco de una reapertura a lo decidido en relación con el artículo 55; (ii) no hicieron referencia a las particularidades de la proposición avalada sobre el artículo 55 y aprobada en la sesión de 2 de mayo de 2023; (iii) se concentraron en la proposició</w:t>
      </w:r>
      <w:r w:rsidRPr="00635A00">
        <w:rPr>
          <w:rFonts w:ascii="Times New Roman" w:hAnsi="Times New Roman" w:cs="Times New Roman"/>
          <w:color w:val="auto"/>
        </w:rPr>
        <w:t>n presentada por la ministra de Agricultura sobre el artículo 373 que regula la vigencia y las derogatorias en el Plan Nacional de Desarrollo en la que propuso la derogatoria de la mayor parte del Decreto 902 de 2017, incluido el artículo 1. En efecto, las</w:t>
      </w:r>
      <w:r w:rsidRPr="00635A00">
        <w:rPr>
          <w:rFonts w:ascii="Times New Roman" w:hAnsi="Times New Roman" w:cs="Times New Roman"/>
          <w:color w:val="auto"/>
        </w:rPr>
        <w:t xml:space="preserve"> intervenciones de los senadores se centraron en plantear su postura sobre el Decreto 902 de 2017, la protección de la propiedad privada y la eficacia de los procesos de tierras. De dónde no se deriva que la intervención de la ministra y el debate subsecue</w:t>
      </w:r>
      <w:r w:rsidRPr="00635A00">
        <w:rPr>
          <w:rFonts w:ascii="Times New Roman" w:hAnsi="Times New Roman" w:cs="Times New Roman"/>
          <w:color w:val="auto"/>
        </w:rPr>
        <w:t>nte, que terminó con el retiro de la proposición, hayan girado en torno al contenido del artículo 55, pues esta disposición no se mencionó ni se aludió a su contenido particular.</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lang w:eastAsia="es-CO"/>
        </w:rPr>
      </w:pPr>
      <w:r w:rsidRPr="00635A00">
        <w:rPr>
          <w:rFonts w:ascii="Times New Roman" w:hAnsi="Times New Roman" w:cs="Times New Roman"/>
          <w:color w:val="auto"/>
        </w:rPr>
        <w:t>Adicionalmente, aunque el parágrafo del artículo 55 incluyó algunas derogato</w:t>
      </w:r>
      <w:r w:rsidRPr="00635A00">
        <w:rPr>
          <w:rFonts w:ascii="Times New Roman" w:hAnsi="Times New Roman" w:cs="Times New Roman"/>
          <w:color w:val="auto"/>
        </w:rPr>
        <w:t xml:space="preserve">rias sobre disposiciones del Decreto Ley 902 de 2017, se trata de una derogatoria sobre artículos específicos y en ciertas materias, particularmente el parágrafo en mención derogó “el </w:t>
      </w:r>
      <w:r w:rsidRPr="00635A00">
        <w:rPr>
          <w:rFonts w:ascii="Times New Roman" w:hAnsi="Times New Roman" w:cs="Times New Roman"/>
          <w:color w:val="auto"/>
          <w:lang w:eastAsia="es-CO"/>
        </w:rPr>
        <w:t xml:space="preserve">inciso segundo del artículo </w:t>
      </w:r>
      <w:hyperlink r:id="rId34" w:anchor="39" w:history="1">
        <w:r w:rsidRPr="00635A00">
          <w:rPr>
            <w:rFonts w:ascii="Times New Roman" w:hAnsi="Times New Roman" w:cs="Times New Roman"/>
            <w:color w:val="auto"/>
            <w:lang w:eastAsia="es-CO"/>
          </w:rPr>
          <w:t>39</w:t>
        </w:r>
      </w:hyperlink>
      <w:r w:rsidRPr="00635A00">
        <w:rPr>
          <w:rFonts w:ascii="Times New Roman" w:hAnsi="Times New Roman" w:cs="Times New Roman"/>
          <w:color w:val="auto"/>
          <w:lang w:eastAsia="es-CO"/>
        </w:rPr>
        <w:t xml:space="preserve">, el numeral 2 del artículo </w:t>
      </w:r>
      <w:hyperlink r:id="rId35" w:anchor="60" w:history="1">
        <w:r w:rsidRPr="00635A00">
          <w:rPr>
            <w:rFonts w:ascii="Times New Roman" w:hAnsi="Times New Roman" w:cs="Times New Roman"/>
            <w:color w:val="auto"/>
            <w:lang w:eastAsia="es-CO"/>
          </w:rPr>
          <w:t>60</w:t>
        </w:r>
      </w:hyperlink>
      <w:r w:rsidRPr="00635A00">
        <w:rPr>
          <w:rFonts w:ascii="Times New Roman" w:hAnsi="Times New Roman" w:cs="Times New Roman"/>
          <w:color w:val="auto"/>
          <w:lang w:eastAsia="es-CO"/>
        </w:rPr>
        <w:t xml:space="preserve">, el inciso segundo del artículo </w:t>
      </w:r>
      <w:hyperlink r:id="rId36" w:anchor="61" w:history="1">
        <w:r w:rsidRPr="00635A00">
          <w:rPr>
            <w:rFonts w:ascii="Times New Roman" w:hAnsi="Times New Roman" w:cs="Times New Roman"/>
            <w:color w:val="auto"/>
            <w:lang w:eastAsia="es-CO"/>
          </w:rPr>
          <w:t>61</w:t>
        </w:r>
      </w:hyperlink>
      <w:r w:rsidRPr="00635A00">
        <w:rPr>
          <w:rFonts w:ascii="Times New Roman" w:hAnsi="Times New Roman" w:cs="Times New Roman"/>
          <w:color w:val="auto"/>
          <w:lang w:eastAsia="es-CO"/>
        </w:rPr>
        <w:t xml:space="preserve">, el artículo </w:t>
      </w:r>
      <w:hyperlink r:id="rId37" w:anchor="75" w:history="1">
        <w:r w:rsidRPr="00635A00">
          <w:rPr>
            <w:rFonts w:ascii="Times New Roman" w:hAnsi="Times New Roman" w:cs="Times New Roman"/>
            <w:color w:val="auto"/>
            <w:lang w:eastAsia="es-CO"/>
          </w:rPr>
          <w:t>75</w:t>
        </w:r>
      </w:hyperlink>
      <w:r w:rsidRPr="00635A00">
        <w:rPr>
          <w:rFonts w:ascii="Times New Roman" w:hAnsi="Times New Roman" w:cs="Times New Roman"/>
          <w:color w:val="auto"/>
          <w:lang w:eastAsia="es-CO"/>
        </w:rPr>
        <w:t xml:space="preserve"> y el inciso tercero del artículo </w:t>
      </w:r>
      <w:hyperlink r:id="rId38" w:anchor="76" w:history="1">
        <w:r w:rsidRPr="00635A00">
          <w:rPr>
            <w:rFonts w:ascii="Times New Roman" w:hAnsi="Times New Roman" w:cs="Times New Roman"/>
            <w:color w:val="auto"/>
            <w:lang w:eastAsia="es-CO"/>
          </w:rPr>
          <w:t>76</w:t>
        </w:r>
      </w:hyperlink>
      <w:r w:rsidRPr="00635A00">
        <w:rPr>
          <w:rFonts w:ascii="Times New Roman" w:hAnsi="Times New Roman" w:cs="Times New Roman"/>
          <w:color w:val="auto"/>
          <w:lang w:eastAsia="es-CO"/>
        </w:rPr>
        <w:t xml:space="preserve">, solo en lo que respecta a los asuntos de que trata los numerales 4, 5 y 7 del artículo </w:t>
      </w:r>
      <w:hyperlink r:id="rId39" w:anchor="58" w:history="1">
        <w:r w:rsidRPr="00635A00">
          <w:rPr>
            <w:rFonts w:ascii="Times New Roman" w:hAnsi="Times New Roman" w:cs="Times New Roman"/>
            <w:color w:val="auto"/>
            <w:lang w:eastAsia="es-CO"/>
          </w:rPr>
          <w:t>58</w:t>
        </w:r>
      </w:hyperlink>
      <w:r w:rsidRPr="00635A00">
        <w:rPr>
          <w:rFonts w:ascii="Times New Roman" w:hAnsi="Times New Roman" w:cs="Times New Roman"/>
          <w:color w:val="auto"/>
          <w:lang w:eastAsia="es-CO"/>
        </w:rPr>
        <w:t xml:space="preserve"> del Decreto Ley 902 de 2017” </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lang w:eastAsia="es-CO"/>
        </w:rPr>
        <w:t xml:space="preserve">La derogatoria descrita </w:t>
      </w:r>
      <w:r w:rsidRPr="00635A00">
        <w:rPr>
          <w:rFonts w:ascii="Times New Roman" w:hAnsi="Times New Roman" w:cs="Times New Roman"/>
          <w:color w:val="auto"/>
        </w:rPr>
        <w:t>no es equivalente al alcance de la proposición debatida en la sesión del 3 de mayo de 2023 en relación con el artículo de vigencias y derogatorias, en la que se propuso derogar la mayor part</w:t>
      </w:r>
      <w:r w:rsidRPr="00635A00">
        <w:rPr>
          <w:rFonts w:ascii="Times New Roman" w:hAnsi="Times New Roman" w:cs="Times New Roman"/>
          <w:color w:val="auto"/>
        </w:rPr>
        <w:t xml:space="preserve">e del articulado del Decreto 902 de 2017. En consecuencia, a pesar de la relación temática -derogatoria de disposiciones del Decreto 902 de 2017- no es posible equiparar, como lo plantean algunos intervinientes, la explicación y el debate de la sesión del </w:t>
      </w:r>
      <w:r w:rsidRPr="00635A00">
        <w:rPr>
          <w:rFonts w:ascii="Times New Roman" w:hAnsi="Times New Roman" w:cs="Times New Roman"/>
          <w:color w:val="auto"/>
        </w:rPr>
        <w:t>3 de mayo de 2023 con el contenido de la proposición aprobada el 2 de mayo de 2023 sobre el artículo 55. Por el contrario, como se explicará más adelante, el debate surgido el 3 de mayo en relación con el artículo de derogatorias lejos de demostrar que los</w:t>
      </w:r>
      <w:r w:rsidRPr="00635A00">
        <w:rPr>
          <w:rFonts w:ascii="Times New Roman" w:hAnsi="Times New Roman" w:cs="Times New Roman"/>
          <w:color w:val="auto"/>
        </w:rPr>
        <w:t xml:space="preserve"> congresistas conocían la proposición aprobada en la sesión de 2 de mayo de 2023, descarta dicho conocimiento, Esto, si se tiene en cuenta que la derogatoria de disposiciones del Decreto Ley 902 de 2017 y la eventual eliminación de garantías judiciales sob</w:t>
      </w:r>
      <w:r w:rsidRPr="00635A00">
        <w:rPr>
          <w:rFonts w:ascii="Times New Roman" w:hAnsi="Times New Roman" w:cs="Times New Roman"/>
          <w:color w:val="auto"/>
        </w:rPr>
        <w:t>re procesos agrarios motivó un amplio debate y discusión que no se presentaron en la sesión anterior, cuando se aprobó la derogatoria parcial de ese decreto.</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Así las cosas, la Sala no encuentra que la explicación que presentó la ministra de Agricultura en</w:t>
      </w:r>
      <w:r w:rsidRPr="00635A00">
        <w:rPr>
          <w:rFonts w:ascii="Times New Roman" w:hAnsi="Times New Roman" w:cs="Times New Roman"/>
          <w:color w:val="auto"/>
        </w:rPr>
        <w:t xml:space="preserve"> la sesión de 3 de mayo de 2023 en relación con una proposición sobre el artículo 373 del proyecto de ley que regulaba las derogatorias haya constituido un medio alternativo de publicidad que permitiera a los congresistas conocer el alcance de la proposici</w:t>
      </w:r>
      <w:r w:rsidRPr="00635A00">
        <w:rPr>
          <w:rFonts w:ascii="Times New Roman" w:hAnsi="Times New Roman" w:cs="Times New Roman"/>
          <w:color w:val="auto"/>
        </w:rPr>
        <w:t>ón que modificó el artículo 55 del proyecto de ley y que fue aprobada en sesión del día anterior.</w:t>
      </w:r>
    </w:p>
    <w:p w:rsidR="00EF09F4" w:rsidRPr="00635A00" w:rsidRDefault="00635A00" w:rsidP="00EF09F4">
      <w:pPr>
        <w:contextualSpacing/>
        <w:jc w:val="both"/>
        <w:rPr>
          <w:rFonts w:ascii="Times New Roman" w:hAnsi="Times New Roman" w:cs="Times New Roman"/>
          <w:b/>
          <w:sz w:val="28"/>
          <w:szCs w:val="28"/>
        </w:rPr>
      </w:pPr>
    </w:p>
    <w:p w:rsidR="00EF09F4" w:rsidRPr="00635A00" w:rsidRDefault="00635A00" w:rsidP="00EF09F4">
      <w:pPr>
        <w:contextualSpacing/>
        <w:jc w:val="both"/>
        <w:rPr>
          <w:rFonts w:ascii="Times New Roman" w:hAnsi="Times New Roman" w:cs="Times New Roman"/>
          <w:b/>
          <w:sz w:val="28"/>
          <w:szCs w:val="28"/>
        </w:rPr>
      </w:pPr>
      <w:r w:rsidRPr="00635A00">
        <w:rPr>
          <w:rFonts w:ascii="Times New Roman" w:hAnsi="Times New Roman" w:cs="Times New Roman"/>
          <w:b/>
          <w:sz w:val="28"/>
          <w:szCs w:val="28"/>
        </w:rPr>
        <w:t>El mecanismo alternativo de publicidad: la publicación en la página web del Senado de la República</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Finalmente, la Secretaría Jurídica de la Presidencia de l</w:t>
      </w:r>
      <w:r w:rsidRPr="00635A00">
        <w:rPr>
          <w:rFonts w:ascii="Times New Roman" w:hAnsi="Times New Roman" w:cs="Times New Roman"/>
          <w:color w:val="auto"/>
        </w:rPr>
        <w:t>a República y el Ministerio de Agricultura señalaron que las proposiciones para el segundo debate se publicaron en la página web del Congreso. Sobre esta herramienta de publicidad, es importante reiterar que, de acuerdo con la jurisprudencia constitucional</w:t>
      </w:r>
      <w:r w:rsidRPr="00635A00">
        <w:rPr>
          <w:rFonts w:ascii="Times New Roman" w:hAnsi="Times New Roman" w:cs="Times New Roman"/>
          <w:color w:val="auto"/>
        </w:rPr>
        <w:t>, el uso de medios alternativos exige que los congresistas puedan conocer que ese medio estaba disponible para la consulta de las proposiciones correspondientes. Así, en la sentencia C-481 de 2019, se evaluó si sobre la publicación en la página web se habí</w:t>
      </w:r>
      <w:r w:rsidRPr="00635A00">
        <w:rPr>
          <w:rFonts w:ascii="Times New Roman" w:hAnsi="Times New Roman" w:cs="Times New Roman"/>
          <w:color w:val="auto"/>
        </w:rPr>
        <w:t>a anunciado o referenciado con claridad que esa iba a ser la forma de publicidad en ese proceso. Asimismo, en la sentencia C-134 de 2023, se tuvo por acreditada la publicidad debido al conocimiento que tuvieron los congresistas sobre la radicación de las p</w:t>
      </w:r>
      <w:r w:rsidRPr="00635A00">
        <w:rPr>
          <w:rFonts w:ascii="Times New Roman" w:hAnsi="Times New Roman" w:cs="Times New Roman"/>
          <w:color w:val="auto"/>
        </w:rPr>
        <w:t>roposiciones en la secretaría de la plenaria del Senado, la posibilidad de leerlas y el tiempo transcurrido para la consulta.</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La radicación de la proposición que modificó el artículo 55 se produjo en la subsecretaría general del Senado el 26 de abril de </w:t>
      </w:r>
      <w:r w:rsidRPr="00635A00">
        <w:rPr>
          <w:rFonts w:ascii="Times New Roman" w:hAnsi="Times New Roman" w:cs="Times New Roman"/>
          <w:color w:val="auto"/>
        </w:rPr>
        <w:t xml:space="preserve">2023 a las 6:21p.m, y no quedó consignada en el informe de ponencia publicado en la Gaceta del Congreso 386 del 26 de abril de 2023. En efecto, la ponencia para segundo debate en plenaria presentó como anexo un resumen de las proposiciones radicadas entre </w:t>
      </w:r>
      <w:r w:rsidRPr="00635A00">
        <w:rPr>
          <w:rFonts w:ascii="Times New Roman" w:hAnsi="Times New Roman" w:cs="Times New Roman"/>
          <w:color w:val="auto"/>
        </w:rPr>
        <w:t>el 16 de febrero de 2023 y el 25 de abril de 2023 con respecto a todas las disposiciones del proyecto de ley aprobatorio del Plan Nacional de Desarrollo 2022-2026</w:t>
      </w:r>
      <w:r w:rsidRPr="00635A00">
        <w:rPr>
          <w:rStyle w:val="Refdenotaalpie"/>
          <w:rFonts w:ascii="Times New Roman" w:hAnsi="Times New Roman" w:cs="Times New Roman"/>
          <w:color w:val="auto"/>
        </w:rPr>
        <w:footnoteReference w:id="112"/>
      </w:r>
      <w:r w:rsidRPr="00635A00">
        <w:rPr>
          <w:rFonts w:ascii="Times New Roman" w:hAnsi="Times New Roman" w:cs="Times New Roman"/>
          <w:color w:val="auto"/>
        </w:rPr>
        <w:t>. Así, de acuerdo con esa gaceta:</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szCs w:val="28"/>
        </w:rPr>
      </w:pPr>
      <w:r w:rsidRPr="00635A00">
        <w:rPr>
          <w:rFonts w:ascii="Times New Roman" w:hAnsi="Times New Roman" w:cs="Times New Roman"/>
          <w:sz w:val="28"/>
        </w:rPr>
        <w:t>“</w:t>
      </w:r>
      <w:r w:rsidRPr="00635A00">
        <w:rPr>
          <w:rFonts w:ascii="Times New Roman" w:hAnsi="Times New Roman" w:cs="Times New Roman"/>
          <w:sz w:val="28"/>
          <w:lang w:val="es-ES"/>
        </w:rPr>
        <w:t>[d</w:t>
      </w:r>
      <w:r w:rsidRPr="00635A00">
        <w:rPr>
          <w:rFonts w:ascii="Times New Roman" w:hAnsi="Times New Roman" w:cs="Times New Roman"/>
          <w:sz w:val="28"/>
        </w:rPr>
        <w:t xml:space="preserve">]urante el período comprendido entre el 16 de febrero </w:t>
      </w:r>
      <w:r w:rsidRPr="00635A00">
        <w:rPr>
          <w:rFonts w:ascii="Times New Roman" w:hAnsi="Times New Roman" w:cs="Times New Roman"/>
          <w:sz w:val="28"/>
        </w:rPr>
        <w:t>de 2023 y el 25 de abril de 2023, se recibieron 5.647 proposiciones a través de la Secretaría de la Comisión Tercera de la Cámara de Representantes. En documento anexo, el cual hace parte integral de la presente ponencia, se presenta un resumen de las prop</w:t>
      </w:r>
      <w:r w:rsidRPr="00635A00">
        <w:rPr>
          <w:rFonts w:ascii="Times New Roman" w:hAnsi="Times New Roman" w:cs="Times New Roman"/>
          <w:sz w:val="28"/>
        </w:rPr>
        <w:t>osiciones radicadas, las cuales fueron debidamente publicadas en la página web oficial de la Cámara de Representantes, en cumplimiento al principio de publicidad.”</w:t>
      </w:r>
      <w:r w:rsidRPr="00635A00">
        <w:rPr>
          <w:rStyle w:val="Refdenotaalpie"/>
          <w:rFonts w:ascii="Times New Roman" w:hAnsi="Times New Roman" w:cs="Times New Roman"/>
          <w:sz w:val="28"/>
        </w:rPr>
        <w:footnoteReference w:id="113"/>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consecuencia, la proposición que modificó el artículo 55 no contó con el mecanismo de p</w:t>
      </w:r>
      <w:r w:rsidRPr="00635A00">
        <w:rPr>
          <w:rFonts w:ascii="Times New Roman" w:hAnsi="Times New Roman" w:cs="Times New Roman"/>
          <w:color w:val="auto"/>
        </w:rPr>
        <w:t>ublicidad derivado del resumen en el informe de ponencia y la publicación en la página web que se anunció en la ponencia de 26 de abril de 2023.</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Ahora bien, revisada la página web de la secretaría del Senado de la República se advierte que, en efecto, la </w:t>
      </w:r>
      <w:r w:rsidRPr="00635A00">
        <w:rPr>
          <w:rFonts w:ascii="Times New Roman" w:hAnsi="Times New Roman" w:cs="Times New Roman"/>
          <w:color w:val="auto"/>
        </w:rPr>
        <w:t>proposición analizada en esta ocasión está publicada por ese medio. Sin embargo, la única publicación de esa proposición en el expediente “PL274 de 2023 Senado-PL 338 de 2023 Cámara: Por el cual se expide el Plan Nacional de Desarrollo 2022-2026 Colombia P</w:t>
      </w:r>
      <w:r w:rsidRPr="00635A00">
        <w:rPr>
          <w:rFonts w:ascii="Times New Roman" w:hAnsi="Times New Roman" w:cs="Times New Roman"/>
          <w:color w:val="auto"/>
        </w:rPr>
        <w:t>otencia Mundial de la Vida” obra en la sección de proposiciones, carpeta de 2 de mayo de 2023, en los folios 15 y 16 del paquete “303 avaladas aprobadas varios arts”</w:t>
      </w:r>
      <w:r w:rsidRPr="00635A00">
        <w:rPr>
          <w:rStyle w:val="Refdenotaalpie"/>
          <w:rFonts w:ascii="Times New Roman" w:hAnsi="Times New Roman" w:cs="Times New Roman"/>
          <w:color w:val="auto"/>
        </w:rPr>
        <w:footnoteReference w:id="114"/>
      </w:r>
      <w:r w:rsidRPr="00635A00">
        <w:rPr>
          <w:rFonts w:ascii="Times New Roman" w:hAnsi="Times New Roman" w:cs="Times New Roman"/>
          <w:color w:val="auto"/>
        </w:rPr>
        <w:t>. A continuación, se reproduce la proposición publicada en la página web en la ubicación m</w:t>
      </w:r>
      <w:r w:rsidRPr="00635A00">
        <w:rPr>
          <w:rFonts w:ascii="Times New Roman" w:hAnsi="Times New Roman" w:cs="Times New Roman"/>
          <w:color w:val="auto"/>
        </w:rPr>
        <w:t>encionada:</w:t>
      </w:r>
    </w:p>
    <w:p w:rsidR="00EF09F4" w:rsidRPr="00635A00" w:rsidRDefault="00635A00" w:rsidP="00EF09F4">
      <w:pPr>
        <w:pStyle w:val="Sombreadovistoso-nfasis31"/>
        <w:ind w:left="0"/>
        <w:rPr>
          <w:rFonts w:ascii="Times New Roman" w:hAnsi="Times New Roman" w:cs="Times New Roman"/>
          <w:color w:val="auto"/>
        </w:rPr>
      </w:pPr>
    </w:p>
    <w:p w:rsidR="00EF09F4" w:rsidRPr="00635A00" w:rsidRDefault="00635A00" w:rsidP="00EF09F4">
      <w:pPr>
        <w:contextualSpacing/>
        <w:jc w:val="both"/>
        <w:rPr>
          <w:rFonts w:ascii="Times New Roman" w:hAnsi="Times New Roman" w:cs="Times New Roman"/>
          <w:sz w:val="28"/>
          <w:szCs w:val="28"/>
        </w:rPr>
      </w:pPr>
      <w:r w:rsidRPr="00635A00">
        <w:rPr>
          <w:rFonts w:ascii="Times New Roman" w:hAnsi="Times New Roman" w:cs="Times New Roman"/>
          <w:noProof/>
          <w:sz w:val="28"/>
          <w:szCs w:val="28"/>
        </w:rPr>
        <w:drawing>
          <wp:inline distT="0" distB="0" distL="0" distR="0" wp14:anchorId="1DDBFE4C" wp14:editId="1BB76C73">
            <wp:extent cx="2644775" cy="4380931"/>
            <wp:effectExtent l="0" t="0" r="3175" b="635"/>
            <wp:docPr id="2"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Carta&#10;&#10;Descripción generada automáticamente"/>
                    <pic:cNvPicPr/>
                  </pic:nvPicPr>
                  <pic:blipFill>
                    <a:blip r:embed="rId40"/>
                    <a:stretch>
                      <a:fillRect/>
                    </a:stretch>
                  </pic:blipFill>
                  <pic:spPr>
                    <a:xfrm>
                      <a:off x="0" y="0"/>
                      <a:ext cx="2683416" cy="4444937"/>
                    </a:xfrm>
                    <a:prstGeom prst="rect">
                      <a:avLst/>
                    </a:prstGeom>
                  </pic:spPr>
                </pic:pic>
              </a:graphicData>
            </a:graphic>
          </wp:inline>
        </w:drawing>
      </w:r>
      <w:r w:rsidRPr="00635A00">
        <w:rPr>
          <w:rFonts w:ascii="Times New Roman" w:hAnsi="Times New Roman" w:cs="Times New Roman"/>
          <w:noProof/>
          <w:sz w:val="28"/>
        </w:rPr>
        <w:t xml:space="preserve"> </w:t>
      </w:r>
      <w:r w:rsidRPr="00635A00">
        <w:rPr>
          <w:rFonts w:ascii="Times New Roman" w:hAnsi="Times New Roman" w:cs="Times New Roman"/>
          <w:noProof/>
          <w:sz w:val="28"/>
          <w:szCs w:val="28"/>
        </w:rPr>
        <w:drawing>
          <wp:inline distT="0" distB="0" distL="0" distR="0" wp14:anchorId="66C82C26" wp14:editId="2852ACBC">
            <wp:extent cx="2919730" cy="4357185"/>
            <wp:effectExtent l="0" t="0" r="0" b="5715"/>
            <wp:docPr id="3" name="Imagen 2"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Carta&#10;&#10;Descripción generada automáticamente"/>
                    <pic:cNvPicPr/>
                  </pic:nvPicPr>
                  <pic:blipFill>
                    <a:blip r:embed="rId41"/>
                    <a:stretch>
                      <a:fillRect/>
                    </a:stretch>
                  </pic:blipFill>
                  <pic:spPr>
                    <a:xfrm>
                      <a:off x="0" y="0"/>
                      <a:ext cx="3033442" cy="4526881"/>
                    </a:xfrm>
                    <a:prstGeom prst="rect">
                      <a:avLst/>
                    </a:prstGeom>
                  </pic:spPr>
                </pic:pic>
              </a:graphicData>
            </a:graphic>
          </wp:inline>
        </w:drawing>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contextualSpacing/>
        <w:jc w:val="both"/>
        <w:rPr>
          <w:rFonts w:ascii="Times New Roman" w:hAnsi="Times New Roman" w:cs="Times New Roman"/>
          <w:sz w:val="28"/>
          <w:szCs w:val="28"/>
        </w:rPr>
      </w:pPr>
      <w:r w:rsidRPr="00635A00">
        <w:rPr>
          <w:rFonts w:ascii="Times New Roman" w:hAnsi="Times New Roman" w:cs="Times New Roman"/>
          <w:noProof/>
          <w:sz w:val="28"/>
          <w:szCs w:val="28"/>
        </w:rPr>
        <w:drawing>
          <wp:inline distT="0" distB="0" distL="0" distR="0" wp14:anchorId="06B9769A" wp14:editId="14079E4E">
            <wp:extent cx="2797847" cy="4067033"/>
            <wp:effectExtent l="0" t="0" r="2540" b="0"/>
            <wp:docPr id="4" name="Imagen 3"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 Carta&#10;&#10;Descripción generada automáticamente"/>
                    <pic:cNvPicPr/>
                  </pic:nvPicPr>
                  <pic:blipFill>
                    <a:blip r:embed="rId42"/>
                    <a:stretch>
                      <a:fillRect/>
                    </a:stretch>
                  </pic:blipFill>
                  <pic:spPr>
                    <a:xfrm>
                      <a:off x="0" y="0"/>
                      <a:ext cx="2823547" cy="4104392"/>
                    </a:xfrm>
                    <a:prstGeom prst="rect">
                      <a:avLst/>
                    </a:prstGeom>
                  </pic:spPr>
                </pic:pic>
              </a:graphicData>
            </a:graphic>
          </wp:inline>
        </w:drawing>
      </w:r>
      <w:r w:rsidRPr="00635A00">
        <w:rPr>
          <w:rFonts w:ascii="Times New Roman" w:hAnsi="Times New Roman" w:cs="Times New Roman"/>
          <w:noProof/>
          <w:sz w:val="28"/>
        </w:rPr>
        <w:t xml:space="preserve"> </w:t>
      </w:r>
      <w:r w:rsidRPr="00635A00">
        <w:rPr>
          <w:rFonts w:ascii="Times New Roman" w:hAnsi="Times New Roman" w:cs="Times New Roman"/>
          <w:noProof/>
          <w:sz w:val="28"/>
        </w:rPr>
        <w:drawing>
          <wp:inline distT="0" distB="0" distL="0" distR="0" wp14:anchorId="0350DE32" wp14:editId="5068DF0F">
            <wp:extent cx="2634615" cy="4052330"/>
            <wp:effectExtent l="0" t="0" r="0" b="5715"/>
            <wp:docPr id="5" name="Imagen 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 Carta&#10;&#10;Descripción generada automáticamente"/>
                    <pic:cNvPicPr/>
                  </pic:nvPicPr>
                  <pic:blipFill>
                    <a:blip r:embed="rId43"/>
                    <a:stretch>
                      <a:fillRect/>
                    </a:stretch>
                  </pic:blipFill>
                  <pic:spPr>
                    <a:xfrm>
                      <a:off x="0" y="0"/>
                      <a:ext cx="2652468" cy="4079790"/>
                    </a:xfrm>
                    <a:prstGeom prst="rect">
                      <a:avLst/>
                    </a:prstGeom>
                  </pic:spPr>
                </pic:pic>
              </a:graphicData>
            </a:graphic>
          </wp:inline>
        </w:drawing>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 partir de esa publicación en la página web no es posible establecer que por esa vía se satisfizo el mecanismo de publicidad de la proposición. En el documento se aprecia un sello de “APROBADO” seguido de la fecha “2 de mayo de 2023”</w:t>
      </w:r>
      <w:r w:rsidRPr="00635A00">
        <w:rPr>
          <w:rFonts w:ascii="Times New Roman" w:hAnsi="Times New Roman" w:cs="Times New Roman"/>
          <w:color w:val="auto"/>
        </w:rPr>
        <w:t>. Esto lleva a concluir que esta versión del documento no pudo haberse cargado en la página web antes de ese día, pues de lo contrario no habría justificación válida que explicara por qué en la proposición se aprecia el mencionado sello con esa fecha. De m</w:t>
      </w:r>
      <w:r w:rsidRPr="00635A00">
        <w:rPr>
          <w:rFonts w:ascii="Times New Roman" w:hAnsi="Times New Roman" w:cs="Times New Roman"/>
          <w:color w:val="auto"/>
        </w:rPr>
        <w:t>anera que esta copia de la proposición publicada en la página web es posterior a su aprobación en la plenaria del Senado de la República y, por lo tanto, en el presente asunto no permite dar por acreditada la garantía del principio de publicidad a través d</w:t>
      </w:r>
      <w:r w:rsidRPr="00635A00">
        <w:rPr>
          <w:rFonts w:ascii="Times New Roman" w:hAnsi="Times New Roman" w:cs="Times New Roman"/>
          <w:color w:val="auto"/>
        </w:rPr>
        <w:t>e la publicación en la página web previa al debate y votación en la plenaria del Senado.</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Ahora bien, si en gracia de discusión se admitiera que la proposición se publicó en la página web del Senado antes de la discusión y aprobación en la sesión de 2 de m</w:t>
      </w:r>
      <w:r w:rsidRPr="00635A00">
        <w:rPr>
          <w:rFonts w:ascii="Times New Roman" w:hAnsi="Times New Roman" w:cs="Times New Roman"/>
          <w:color w:val="auto"/>
        </w:rPr>
        <w:t>ayo de 2023, lo cierto es que ese mecanismo no constituyó un instrumento efectivo de publicidad, ya que en el trámite adelantado en la plenaria de esa cámara no se anunció ni referenció con claridad que esa publicación sería la forma de publicidad en esa i</w:t>
      </w:r>
      <w:r w:rsidRPr="00635A00">
        <w:rPr>
          <w:rFonts w:ascii="Times New Roman" w:hAnsi="Times New Roman" w:cs="Times New Roman"/>
          <w:color w:val="auto"/>
        </w:rPr>
        <w:t>nstancia. En efecto, en la sesión del 2 de mayo, el presidente del Senado hizo referencia a la metodología del debate (folio 30 de la Gaceta del Congreso 889 de 2023) en la que describió los momentos de votación. Sobre las proposiciones indicó que:</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ind w:left="708"/>
        <w:contextualSpacing/>
        <w:jc w:val="both"/>
        <w:rPr>
          <w:rFonts w:ascii="Times New Roman" w:hAnsi="Times New Roman" w:cs="Times New Roman"/>
          <w:sz w:val="28"/>
        </w:rPr>
      </w:pPr>
      <w:r w:rsidRPr="00635A00">
        <w:rPr>
          <w:rFonts w:ascii="Times New Roman" w:hAnsi="Times New Roman" w:cs="Times New Roman"/>
          <w:sz w:val="28"/>
        </w:rPr>
        <w:t>“Hemos</w:t>
      </w:r>
      <w:r w:rsidRPr="00635A00">
        <w:rPr>
          <w:rFonts w:ascii="Times New Roman" w:hAnsi="Times New Roman" w:cs="Times New Roman"/>
          <w:sz w:val="28"/>
        </w:rPr>
        <w:t xml:space="preserve"> concertado con el Gobierno nacional un equipo, con el Ministerio de Hacienda, saludo al señor Ministro de Hacienda, saludo al señor Ministro del Interior, que se estrena [sic] en sus cargos, bienvenidos a esta casa de la democracia, están sus Viceministro</w:t>
      </w:r>
      <w:r w:rsidRPr="00635A00">
        <w:rPr>
          <w:rFonts w:ascii="Times New Roman" w:hAnsi="Times New Roman" w:cs="Times New Roman"/>
          <w:sz w:val="28"/>
        </w:rPr>
        <w:t xml:space="preserve">s, el director de planeación, el subdirector de planeación, Viceministro general de Hacienda, para que ellos reciban las proposiciones que los señores Senadores y Senadoras, quisieran que se incluyeran en el bloque de proposiciones avaladas, habrá un solo </w:t>
      </w:r>
      <w:r w:rsidRPr="00635A00">
        <w:rPr>
          <w:rFonts w:ascii="Times New Roman" w:hAnsi="Times New Roman" w:cs="Times New Roman"/>
          <w:sz w:val="28"/>
        </w:rPr>
        <w:t>cierre de esa autorización de aval, que me informarán ahora en el Gobierno, pero en principio habíamos dicho que esa tarea le corresponde al señor Viceministro general de Hacienda, en el caso del Senado y al subdirector de planeación en el caso de la Cámar</w:t>
      </w:r>
      <w:r w:rsidRPr="00635A00">
        <w:rPr>
          <w:rFonts w:ascii="Times New Roman" w:hAnsi="Times New Roman" w:cs="Times New Roman"/>
          <w:sz w:val="28"/>
        </w:rPr>
        <w:t>a.”</w:t>
      </w:r>
      <w:r w:rsidRPr="00635A00">
        <w:rPr>
          <w:rStyle w:val="Refdenotaalpie"/>
          <w:rFonts w:ascii="Times New Roman" w:hAnsi="Times New Roman" w:cs="Times New Roman"/>
          <w:sz w:val="28"/>
        </w:rPr>
        <w:footnoteReference w:id="115"/>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Luego, como se explicó en los FJ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_Ref171325868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84</w:t>
      </w:r>
      <w:r w:rsidRPr="00635A00">
        <w:rPr>
          <w:rFonts w:ascii="Times New Roman" w:hAnsi="Times New Roman" w:cs="Times New Roman"/>
          <w:color w:val="auto"/>
        </w:rPr>
        <w:fldChar w:fldCharType="end"/>
      </w:r>
      <w:r w:rsidRPr="00635A00">
        <w:rPr>
          <w:rFonts w:ascii="Times New Roman" w:hAnsi="Times New Roman" w:cs="Times New Roman"/>
          <w:color w:val="auto"/>
        </w:rPr>
        <w:t xml:space="preserve"> y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_Ref171325884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85</w:t>
      </w:r>
      <w:r w:rsidRPr="00635A00">
        <w:rPr>
          <w:rFonts w:ascii="Times New Roman" w:hAnsi="Times New Roman" w:cs="Times New Roman"/>
          <w:color w:val="auto"/>
        </w:rPr>
        <w:fldChar w:fldCharType="end"/>
      </w:r>
      <w:r w:rsidRPr="00635A00">
        <w:rPr>
          <w:rFonts w:ascii="Times New Roman" w:hAnsi="Times New Roman" w:cs="Times New Roman"/>
          <w:color w:val="auto"/>
        </w:rPr>
        <w:t>, se abrió un espacio a la hora del almuerzo para que los senadores se acercaran a los representantes del Gobierno a presentar inquietudes o solicitudes sobre proposiciones avaladas. Cerrado e</w:t>
      </w:r>
      <w:r w:rsidRPr="00635A00">
        <w:rPr>
          <w:rFonts w:ascii="Times New Roman" w:hAnsi="Times New Roman" w:cs="Times New Roman"/>
          <w:color w:val="auto"/>
        </w:rPr>
        <w:t>se período y tras una larga discusión en relación con los artículos con proposiciones no avaladas, se decidió votar las proposiciones avaladas. En este grupo se encontraba la proposición sobre el artículo 55, la cual fue explicada por el presidente del Sen</w:t>
      </w:r>
      <w:r w:rsidRPr="00635A00">
        <w:rPr>
          <w:rFonts w:ascii="Times New Roman" w:hAnsi="Times New Roman" w:cs="Times New Roman"/>
          <w:color w:val="auto"/>
        </w:rPr>
        <w:t>ado en los términos citados previamente. De manera que, en el trámite no se señaló que el mecanismo de publicidad de las proposiciones radicadas tras el informe de ponencia sería la publicación en la página web.</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lang w:val="es-ES_tradnl"/>
        </w:rPr>
      </w:pPr>
      <w:r w:rsidRPr="00635A00">
        <w:rPr>
          <w:rFonts w:ascii="Times New Roman" w:hAnsi="Times New Roman" w:cs="Times New Roman"/>
          <w:color w:val="auto"/>
        </w:rPr>
        <w:t>Así las cosas, la alegada publicación de la</w:t>
      </w:r>
      <w:r w:rsidRPr="00635A00">
        <w:rPr>
          <w:rFonts w:ascii="Times New Roman" w:hAnsi="Times New Roman" w:cs="Times New Roman"/>
          <w:color w:val="auto"/>
        </w:rPr>
        <w:t xml:space="preserve"> proposición modificatoria del artículo 55 en la página web del Senado de la República </w:t>
      </w:r>
      <w:r w:rsidRPr="00635A00">
        <w:rPr>
          <w:rFonts w:ascii="Times New Roman" w:hAnsi="Times New Roman" w:cs="Times New Roman"/>
          <w:color w:val="auto"/>
          <w:lang w:val="es-ES_tradnl"/>
        </w:rPr>
        <w:t>no constituyó un instrumento de publicidad, pues no se había anunciado o referenciado con claridad que esa iba ser la forma de publicidad en ese proceso.</w:t>
      </w:r>
    </w:p>
    <w:p w:rsidR="00EF09F4" w:rsidRPr="00635A00" w:rsidRDefault="00635A00" w:rsidP="00EF09F4">
      <w:pPr>
        <w:contextualSpacing/>
        <w:jc w:val="both"/>
        <w:rPr>
          <w:rFonts w:ascii="Times New Roman" w:hAnsi="Times New Roman" w:cs="Times New Roman"/>
          <w:sz w:val="28"/>
          <w:szCs w:val="28"/>
          <w:lang w:val="es-ES_tradnl"/>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lang w:val="es-ES_tradnl"/>
        </w:rPr>
        <w:t xml:space="preserve">Finalmente, </w:t>
      </w:r>
      <w:r w:rsidRPr="00635A00">
        <w:rPr>
          <w:rFonts w:ascii="Times New Roman" w:hAnsi="Times New Roman" w:cs="Times New Roman"/>
          <w:color w:val="auto"/>
        </w:rPr>
        <w:t>la</w:t>
      </w:r>
      <w:r w:rsidRPr="00635A00">
        <w:rPr>
          <w:rFonts w:ascii="Times New Roman" w:hAnsi="Times New Roman" w:cs="Times New Roman"/>
          <w:color w:val="auto"/>
        </w:rPr>
        <w:t xml:space="preserve"> jurisprudencia ha considerado que la forma en la que se </w:t>
      </w:r>
      <w:r w:rsidRPr="00635A00">
        <w:rPr>
          <w:rFonts w:ascii="Times New Roman" w:hAnsi="Times New Roman" w:cs="Times New Roman"/>
          <w:b/>
          <w:color w:val="auto"/>
        </w:rPr>
        <w:t>desarrolla el debate</w:t>
      </w:r>
      <w:r w:rsidRPr="00635A00">
        <w:rPr>
          <w:rFonts w:ascii="Times New Roman" w:hAnsi="Times New Roman" w:cs="Times New Roman"/>
          <w:color w:val="auto"/>
        </w:rPr>
        <w:t xml:space="preserve"> puede dar cumplimiento al principio de publicidad o evidenciar el conocimiento de los congresistas sobre el objeto de lo debatido y lo decidido. En esa línea, intervino el Minist</w:t>
      </w:r>
      <w:r w:rsidRPr="00635A00">
        <w:rPr>
          <w:rFonts w:ascii="Times New Roman" w:hAnsi="Times New Roman" w:cs="Times New Roman"/>
          <w:color w:val="auto"/>
        </w:rPr>
        <w:t xml:space="preserve">erio de Agricultura, entidad que adujo que el debate adelantado en la sesión del 3 de mayo de 2023 evidencia el conocimiento de los senadores sobre la proposición aprobada en relación con el artículo 55. </w:t>
      </w:r>
    </w:p>
    <w:p w:rsidR="00EF09F4" w:rsidRPr="00635A00" w:rsidRDefault="00635A00" w:rsidP="00EF09F4">
      <w:pPr>
        <w:contextualSpacing/>
        <w:jc w:val="both"/>
        <w:rPr>
          <w:rFonts w:ascii="Times New Roman" w:hAnsi="Times New Roman" w:cs="Times New Roman"/>
          <w:sz w:val="28"/>
          <w:szCs w:val="28"/>
          <w:lang w:val="es-ES"/>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Sobre este planteamiento la Corte encuentra que, p</w:t>
      </w:r>
      <w:r w:rsidRPr="00635A00">
        <w:rPr>
          <w:rFonts w:ascii="Times New Roman" w:hAnsi="Times New Roman" w:cs="Times New Roman"/>
          <w:color w:val="auto"/>
        </w:rPr>
        <w:t>rimero, revisado el trámite adelantado en la plenaria del Senado de la República, la única referencia específica en relación con el artículo 55 y la proposición modificatoria se hizo en la sesión del 2 de mayo de 2023. En concreto, cuando el presidente del</w:t>
      </w:r>
      <w:r w:rsidRPr="00635A00">
        <w:rPr>
          <w:rFonts w:ascii="Times New Roman" w:hAnsi="Times New Roman" w:cs="Times New Roman"/>
          <w:color w:val="auto"/>
        </w:rPr>
        <w:t xml:space="preserve"> Congreso se refirió al grupo de proposiciones avaladas que serían votadas en bloque antes de la votación y describió la proposición en los términos descritos en el punto 1 del examen de este cargo. Tras esa referencia, se pasó a la votación del grupo de a</w:t>
      </w:r>
      <w:r w:rsidRPr="00635A00">
        <w:rPr>
          <w:rFonts w:ascii="Times New Roman" w:hAnsi="Times New Roman" w:cs="Times New Roman"/>
          <w:color w:val="auto"/>
        </w:rPr>
        <w:t>rtículos y se logró su aprobación sin que se efectuara alguna manifestación específica de los congresistas en relación con la proposición analizada en esta sentencia.</w:t>
      </w:r>
    </w:p>
    <w:p w:rsidR="00EF09F4" w:rsidRPr="00635A00" w:rsidRDefault="00635A00" w:rsidP="00EF09F4">
      <w:pPr>
        <w:contextualSpacing/>
        <w:jc w:val="both"/>
        <w:rPr>
          <w:rFonts w:ascii="Times New Roman" w:hAnsi="Times New Roman" w:cs="Times New Roman"/>
          <w:sz w:val="28"/>
          <w:szCs w:val="28"/>
          <w:lang w:val="es-ES"/>
        </w:rPr>
      </w:pPr>
    </w:p>
    <w:p w:rsidR="00EF09F4" w:rsidRPr="00635A00" w:rsidRDefault="00635A00" w:rsidP="00EF09F4">
      <w:pPr>
        <w:pStyle w:val="Prrafodelista"/>
        <w:numPr>
          <w:ilvl w:val="0"/>
          <w:numId w:val="3"/>
        </w:numPr>
        <w:rPr>
          <w:rFonts w:ascii="Times New Roman" w:hAnsi="Times New Roman" w:cs="Times New Roman"/>
          <w:color w:val="auto"/>
        </w:rPr>
      </w:pPr>
      <w:r w:rsidRPr="00635A00">
        <w:rPr>
          <w:rFonts w:ascii="Times New Roman" w:hAnsi="Times New Roman" w:cs="Times New Roman"/>
          <w:color w:val="auto"/>
        </w:rPr>
        <w:t xml:space="preserve">Segundo, el receso para almorzar del 2 de mayo no reemplaza de ninguna manera las </w:t>
      </w:r>
      <w:r w:rsidRPr="00635A00">
        <w:rPr>
          <w:rFonts w:ascii="Times New Roman" w:hAnsi="Times New Roman" w:cs="Times New Roman"/>
          <w:color w:val="auto"/>
        </w:rPr>
        <w:t xml:space="preserve">condiciones para cumplir el requisito de publicidad, ya que se trató de una suspensión para almorzar y solicitar el aval del Gobierno, y no para el conocimiento de las proposiciones. En la descripción del trámite en las gacetas el receso de almuerzo de 20 </w:t>
      </w:r>
      <w:r w:rsidRPr="00635A00">
        <w:rPr>
          <w:rFonts w:ascii="Times New Roman" w:hAnsi="Times New Roman" w:cs="Times New Roman"/>
          <w:color w:val="auto"/>
        </w:rPr>
        <w:t>minutos se presentó por el presidente del Senado como un espacio para que los congresistas acudieran al equipo de gobierno para lograr el aval de las proposiciones y no para que el Senado conociera las proposiciones. En el trámite no se indicó que las prop</w:t>
      </w:r>
      <w:r w:rsidRPr="00635A00">
        <w:rPr>
          <w:rFonts w:ascii="Times New Roman" w:hAnsi="Times New Roman" w:cs="Times New Roman"/>
          <w:color w:val="auto"/>
        </w:rPr>
        <w:t>osiciones avaladas estuvieran disponibles para el conocimiento de los congresistas durante el receso en mención.</w:t>
      </w:r>
    </w:p>
    <w:p w:rsidR="00EF09F4" w:rsidRPr="00635A00" w:rsidRDefault="00635A00" w:rsidP="00EF09F4">
      <w:pPr>
        <w:pStyle w:val="Prrafodelista"/>
        <w:rPr>
          <w:rFonts w:ascii="Times New Roman" w:hAnsi="Times New Roman" w:cs="Times New Roman"/>
          <w:color w:val="auto"/>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Tercero, la descripción que hizo el presidente del Senado sobre la proposición del artículo 55, como arriba se indicó, fue motivada por una mo</w:t>
      </w:r>
      <w:r w:rsidRPr="00635A00">
        <w:rPr>
          <w:rFonts w:ascii="Times New Roman" w:hAnsi="Times New Roman" w:cs="Times New Roman"/>
          <w:color w:val="auto"/>
        </w:rPr>
        <w:t>ción de orden presentada por el senador Edwing Fabián Díaz Plata, en la que solicitó, de forma expresa, la lectura de las proposiciones en los siguientes términos: “nosotros no podemos votar a ciegas, no sabemos qué terminaron avalando de un compañero a ot</w:t>
      </w:r>
      <w:r w:rsidRPr="00635A00">
        <w:rPr>
          <w:rFonts w:ascii="Times New Roman" w:hAnsi="Times New Roman" w:cs="Times New Roman"/>
          <w:color w:val="auto"/>
        </w:rPr>
        <w:t>ro, por supuesto, necesitamos nosotros tener en conocimiento saber cuáles fueron las proposiciones que se avalaron, que las lean y, de esa forma poder acompañar”. Esta intervención descarta que, para ese momento previo a la votación, los congresistas conoc</w:t>
      </w:r>
      <w:r w:rsidRPr="00635A00">
        <w:rPr>
          <w:rFonts w:ascii="Times New Roman" w:hAnsi="Times New Roman" w:cs="Times New Roman"/>
          <w:color w:val="auto"/>
        </w:rPr>
        <w:t>ieran el alcance de la proposición.</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Cuarto, la intervención de la ministra de Agricultura se efectuó en la sesión de 3 de mayo de 2023, es decir, al día siguiente de la aprobación del artículo 55 con la proposición modificatoria. Adicionalmente, la interv</w:t>
      </w:r>
      <w:r w:rsidRPr="00635A00">
        <w:rPr>
          <w:rFonts w:ascii="Times New Roman" w:hAnsi="Times New Roman" w:cs="Times New Roman"/>
          <w:color w:val="auto"/>
        </w:rPr>
        <w:t>ención de esa funcionaria estuvo relacionada con una proposición relativa al artículo 373 del proyecto de ley que corresponde a la cláusula general de derogatorias y que pretendía la derogatoria de la mayoría de artículos del Decreto Ley 902 de 2017. En ef</w:t>
      </w:r>
      <w:r w:rsidRPr="00635A00">
        <w:rPr>
          <w:rFonts w:ascii="Times New Roman" w:hAnsi="Times New Roman" w:cs="Times New Roman"/>
          <w:color w:val="auto"/>
        </w:rPr>
        <w:t>ecto, la ministra precisó que: “me han pedido que explique cuál es la razón y la necesidad que tenemos en esta proposición que vamos a discutir sobre las vigencias, del Plan Nacional de Desarrollo, dentro de esta vigencia del Plan Nacional de desarrollo (…</w:t>
      </w:r>
      <w:r w:rsidRPr="00635A00">
        <w:rPr>
          <w:rFonts w:ascii="Times New Roman" w:hAnsi="Times New Roman" w:cs="Times New Roman"/>
          <w:color w:val="auto"/>
        </w:rPr>
        <w:t>)”.  De manera que, la intervención de la ministra no versó ni hizo referencia a la proposición del artículo 55.</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Adicionalmente, en su intervención la ministra expresó: (i) la necesidad de cumplir el Acuerdo de Paz, particularmente la Reforma Rural Integr</w:t>
      </w:r>
      <w:r w:rsidRPr="00635A00">
        <w:rPr>
          <w:rFonts w:ascii="Times New Roman" w:hAnsi="Times New Roman" w:cs="Times New Roman"/>
          <w:color w:val="auto"/>
        </w:rPr>
        <w:t>al y la meta de redistribución de 3 millones de hectáreas; (ii) las fuentes de esas hectáreas, esto es, las compras de tierras, los baldíos de la Nación, los bienes que están en otros procesos, por ejemplo, los de la SAE y los del FRISCO, algunos bienes re</w:t>
      </w:r>
      <w:r w:rsidRPr="00635A00">
        <w:rPr>
          <w:rFonts w:ascii="Times New Roman" w:hAnsi="Times New Roman" w:cs="Times New Roman"/>
          <w:color w:val="auto"/>
        </w:rPr>
        <w:t>lacionados con reservas forestales; (iii) la meta de formalización de 7 millones de hectáreas; (iv) la ineficiencia del Decreto Ley 902 de 2017 para implementar tanto el fondo de tierras como para adelantar la formalización, debido a que creó una fase judi</w:t>
      </w:r>
      <w:r w:rsidRPr="00635A00">
        <w:rPr>
          <w:rFonts w:ascii="Times New Roman" w:hAnsi="Times New Roman" w:cs="Times New Roman"/>
          <w:color w:val="auto"/>
        </w:rPr>
        <w:t>cial sin jueces agrarios que puedan fallar estos asunto. Finalmente, planteó la necesidad de mejorar tiempos y procedimientos.</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Tras esa intervención, varios senadores expusieron su desacuerdo sobre la proposición. Así, el senador Juan Felipe Lemos Uribe s</w:t>
      </w:r>
      <w:r w:rsidRPr="00635A00">
        <w:rPr>
          <w:rFonts w:ascii="Times New Roman" w:hAnsi="Times New Roman" w:cs="Times New Roman"/>
          <w:color w:val="auto"/>
        </w:rPr>
        <w:t>e mostró en desacuerdo con que, según dijo, el Ministerio pretendiera a último momento derogar la mayor parte del Decreto Ley 902 de 2017. En similar sentido, el senador David Andrés Luna Sánchez calificó de desatinado que el Gobierno repentinamente intent</w:t>
      </w:r>
      <w:r w:rsidRPr="00635A00">
        <w:rPr>
          <w:rFonts w:ascii="Times New Roman" w:hAnsi="Times New Roman" w:cs="Times New Roman"/>
          <w:color w:val="auto"/>
        </w:rPr>
        <w:t>ara introducir un artículo que “</w:t>
      </w:r>
      <w:r w:rsidRPr="00635A00">
        <w:rPr>
          <w:rFonts w:ascii="Times New Roman" w:hAnsi="Times New Roman" w:cs="Times New Roman"/>
          <w:color w:val="auto"/>
          <w:u w:val="single"/>
        </w:rPr>
        <w:t>tiene una carga de profundidad enorme, donde se pone en tela de juicio no solamente el estado de derecho, sino los procedimientos que están consagrados en la vía judicial y en la vía administrativ</w:t>
      </w:r>
      <w:r w:rsidRPr="00635A00">
        <w:rPr>
          <w:rFonts w:ascii="Times New Roman" w:hAnsi="Times New Roman" w:cs="Times New Roman"/>
          <w:color w:val="auto"/>
        </w:rPr>
        <w:t>a”</w:t>
      </w:r>
      <w:r w:rsidRPr="00635A00">
        <w:rPr>
          <w:rStyle w:val="Refdenotaalpie"/>
          <w:rFonts w:ascii="Times New Roman" w:hAnsi="Times New Roman" w:cs="Times New Roman"/>
          <w:color w:val="auto"/>
        </w:rPr>
        <w:t xml:space="preserve"> </w:t>
      </w:r>
      <w:r w:rsidRPr="00635A00">
        <w:rPr>
          <w:rStyle w:val="Refdenotaalpie"/>
          <w:rFonts w:ascii="Times New Roman" w:hAnsi="Times New Roman" w:cs="Times New Roman"/>
          <w:color w:val="auto"/>
        </w:rPr>
        <w:footnoteReference w:id="116"/>
      </w:r>
      <w:r w:rsidRPr="00635A00">
        <w:rPr>
          <w:rFonts w:ascii="Times New Roman" w:hAnsi="Times New Roman" w:cs="Times New Roman"/>
          <w:color w:val="auto"/>
        </w:rPr>
        <w:t xml:space="preserve">. Luego, intervino </w:t>
      </w:r>
      <w:r w:rsidRPr="00635A00">
        <w:rPr>
          <w:rFonts w:ascii="Times New Roman" w:hAnsi="Times New Roman" w:cs="Times New Roman"/>
          <w:color w:val="auto"/>
        </w:rPr>
        <w:t>Paloma Valencia, senadora que también expresó su desacuerdo y, por último, habló el senador Efraín Cepeda, quien manifestó su preocupación por la intención de derogar el mencionado Decreto Ley</w:t>
      </w:r>
      <w:r w:rsidRPr="00635A00">
        <w:rPr>
          <w:rStyle w:val="Refdenotaalpie"/>
          <w:rFonts w:ascii="Times New Roman" w:hAnsi="Times New Roman" w:cs="Times New Roman"/>
          <w:color w:val="auto"/>
          <w:szCs w:val="24"/>
        </w:rPr>
        <w:footnoteReference w:id="117"/>
      </w:r>
      <w:r w:rsidRPr="00635A00">
        <w:rPr>
          <w:rFonts w:ascii="Times New Roman" w:hAnsi="Times New Roman" w:cs="Times New Roman"/>
          <w:color w:val="auto"/>
        </w:rPr>
        <w:t>.</w:t>
      </w:r>
    </w:p>
    <w:p w:rsidR="00EF09F4" w:rsidRPr="00635A00" w:rsidRDefault="00635A00" w:rsidP="00EF09F4">
      <w:pPr>
        <w:contextualSpacing/>
        <w:jc w:val="both"/>
        <w:rPr>
          <w:rFonts w:ascii="Times New Roman" w:hAnsi="Times New Roman" w:cs="Times New Roman"/>
          <w:sz w:val="28"/>
          <w:lang w:val="es-ES"/>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Tras esa intervención, el presidente del Senado anunció que </w:t>
      </w:r>
      <w:r w:rsidRPr="00635A00">
        <w:rPr>
          <w:rFonts w:ascii="Times New Roman" w:hAnsi="Times New Roman" w:cs="Times New Roman"/>
          <w:color w:val="auto"/>
        </w:rPr>
        <w:t>la ministra de Agricultura retiraba la proposición. Luego, dicha funcionaria intervino para confirmar esa decisión. Finalmente, tras esa precisión, se permitieron más intervenciones bajo la aclaración de que la proposición había sido retirada. En las inter</w:t>
      </w:r>
      <w:r w:rsidRPr="00635A00">
        <w:rPr>
          <w:rFonts w:ascii="Times New Roman" w:hAnsi="Times New Roman" w:cs="Times New Roman"/>
          <w:color w:val="auto"/>
        </w:rPr>
        <w:t>venciones siguientes realizadas por Wilson Neber Arias Castillo, Carlos Manuel Meisel Vergara, Iván Leonidas Name Vásquez, Inti Asprilla Reyes, Alejandro Carlos Chacón Camargo, Aída Marina Quilcué Vivas, Aída Yolanda Avella Esquivel, María Fernanda Cabal M</w:t>
      </w:r>
      <w:r w:rsidRPr="00635A00">
        <w:rPr>
          <w:rFonts w:ascii="Times New Roman" w:hAnsi="Times New Roman" w:cs="Times New Roman"/>
          <w:color w:val="auto"/>
        </w:rPr>
        <w:t>olina, Robert Daza Guevara, Julián Gallo Cubillos, Polivio Leandro Rosales Cadena se expresaron distintas posiciones, a favor y en contra, sobre los temas planteados por la ministra de Agricultura en su exposición.</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De la descripción del debate adelantado </w:t>
      </w:r>
      <w:r w:rsidRPr="00635A00">
        <w:rPr>
          <w:rFonts w:ascii="Times New Roman" w:hAnsi="Times New Roman" w:cs="Times New Roman"/>
          <w:color w:val="auto"/>
        </w:rPr>
        <w:t>en la sesión del 3 de mayo de 2023 no se deriva, como lo plantean algunas de las intervenciones en el trámite de constitucionalidad, que los senadores conocieran el contenido de la proposición aprobada en relación con el artículo 55 en la sesión del día an</w:t>
      </w:r>
      <w:r w:rsidRPr="00635A00">
        <w:rPr>
          <w:rFonts w:ascii="Times New Roman" w:hAnsi="Times New Roman" w:cs="Times New Roman"/>
          <w:color w:val="auto"/>
        </w:rPr>
        <w:t>terior. Esto, debido a que: (i) el debate giró en torno a una proposición presentada por la ministra de Agricultura en relación con el artículo de vigencias y derogatorias, y que proponía una derogatoria de la mayoría de las disposiciones del Decreto Ley 9</w:t>
      </w:r>
      <w:r w:rsidRPr="00635A00">
        <w:rPr>
          <w:rFonts w:ascii="Times New Roman" w:hAnsi="Times New Roman" w:cs="Times New Roman"/>
          <w:color w:val="auto"/>
        </w:rPr>
        <w:t xml:space="preserve">02 de 2017; (ii) ni la intervención de la ministra ni en el debate se hizo referencia al artículo 55 aprobado el día anterior; (iii) aunque el debate tiene una evidente relación temática, pues la discusión adelantada el 3 de mayo estuvo relacionada con la </w:t>
      </w:r>
      <w:r w:rsidRPr="00635A00">
        <w:rPr>
          <w:rFonts w:ascii="Times New Roman" w:hAnsi="Times New Roman" w:cs="Times New Roman"/>
          <w:color w:val="auto"/>
        </w:rPr>
        <w:t>alegada ineficacia de los mecanismos dispuestos en el Decreto 902 de 2017 para la formalización de tierras, la recuperación y redistribución, y el artículo 55 regula mecanismos relacionados con la adquisición de tierras y la eliminación de la fase judicial</w:t>
      </w:r>
      <w:r w:rsidRPr="00635A00">
        <w:rPr>
          <w:rFonts w:ascii="Times New Roman" w:hAnsi="Times New Roman" w:cs="Times New Roman"/>
          <w:color w:val="auto"/>
        </w:rPr>
        <w:t xml:space="preserve"> con respecto a algunos procesos agrarios, ese vínculo no puede ser entendido como una prueba de que los senadores conocían el alcance de la proposición del artículo 55. Por el contrario, lo que revela el debate es que en el Senado existía un gran interés </w:t>
      </w:r>
      <w:r w:rsidRPr="00635A00">
        <w:rPr>
          <w:rFonts w:ascii="Times New Roman" w:hAnsi="Times New Roman" w:cs="Times New Roman"/>
          <w:color w:val="auto"/>
        </w:rPr>
        <w:t xml:space="preserve">sobre la materia y sobre la necesidad de adelantar una discusión en torno a las modificaciones al Decreto Ley 902 de 2017. Este interés se contrasta con la ausencia de cualquier mención sobre la proposición relativa al artículo 55 avalada y aprobada en la </w:t>
      </w:r>
      <w:r w:rsidRPr="00635A00">
        <w:rPr>
          <w:rFonts w:ascii="Times New Roman" w:hAnsi="Times New Roman" w:cs="Times New Roman"/>
          <w:color w:val="auto"/>
        </w:rPr>
        <w:t>sesión del 2 de mayo de 2023.</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Así, a partir de lo expuesto, la Corte concluye que en relación con la proposición presentada frente al artículo 55 del proyecto de ley aprobatorio del Plan Nacional de Desarrollo en el trámite ante la Plenaria del Senado de </w:t>
      </w:r>
      <w:r w:rsidRPr="00635A00">
        <w:rPr>
          <w:rFonts w:ascii="Times New Roman" w:hAnsi="Times New Roman" w:cs="Times New Roman"/>
          <w:color w:val="auto"/>
        </w:rPr>
        <w:t xml:space="preserve">la República no se cumplió el mecanismo de publicidad definido en la Ley 5 de 1992, esto es, la lectura de la proposición previo al debate y su aprobación. Adicionalmente, al examinar si la publicidad se garantizó por otros mecanismos, esta corporación no </w:t>
      </w:r>
      <w:r w:rsidRPr="00635A00">
        <w:rPr>
          <w:rFonts w:ascii="Times New Roman" w:hAnsi="Times New Roman" w:cs="Times New Roman"/>
          <w:color w:val="auto"/>
        </w:rPr>
        <w:t xml:space="preserve">encontró que la explicación realizada por el presidente del Senado sobre la proposición aquí analizada se presentara con un grado de claridad y detalle que les permitiera a los senadores conocer el alcance de la proposición presentada, avalada y aprobada. </w:t>
      </w:r>
      <w:r w:rsidRPr="00635A00">
        <w:rPr>
          <w:rFonts w:ascii="Times New Roman" w:hAnsi="Times New Roman" w:cs="Times New Roman"/>
          <w:color w:val="auto"/>
        </w:rPr>
        <w:t>Finalmente, los otros mecanismos alegados, tales como la intervención de la ministra de Agricultura, la publicación en la página web o la inferencia por el contenido del debate, no revelan que en el trámite ante la plenaria del Senado se haya asegurado alg</w:t>
      </w:r>
      <w:r w:rsidRPr="00635A00">
        <w:rPr>
          <w:rFonts w:ascii="Times New Roman" w:hAnsi="Times New Roman" w:cs="Times New Roman"/>
          <w:color w:val="auto"/>
        </w:rPr>
        <w:t>ún mecanismo o medida que les permitiera a los congresistas conocer el alcance de la proposición aprobada con respecto al artículo 55.</w:t>
      </w:r>
    </w:p>
    <w:p w:rsidR="00EF09F4" w:rsidRPr="00635A00" w:rsidRDefault="00635A00" w:rsidP="00EF09F4">
      <w:pPr>
        <w:contextualSpacing/>
        <w:jc w:val="both"/>
        <w:rPr>
          <w:rFonts w:ascii="Times New Roman" w:hAnsi="Times New Roman" w:cs="Times New Roman"/>
          <w:sz w:val="28"/>
          <w:szCs w:val="28"/>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La ausencia de un mecanismo que garantizara el conocimiento de los congresistas sobre la proposición, que constató la Co</w:t>
      </w:r>
      <w:r w:rsidRPr="00635A00">
        <w:rPr>
          <w:rFonts w:ascii="Times New Roman" w:hAnsi="Times New Roman" w:cs="Times New Roman"/>
          <w:color w:val="auto"/>
        </w:rPr>
        <w:t>rte, afectó el principio de publicidad como presupuesto para el debate y la adopción de una decisión democrática, pues los senados no pudieron conocer el objeto sobre el que recayó su decisión. Esta omisión sacrificó la posibilidad de un debate y de una de</w:t>
      </w:r>
      <w:r w:rsidRPr="00635A00">
        <w:rPr>
          <w:rFonts w:ascii="Times New Roman" w:hAnsi="Times New Roman" w:cs="Times New Roman"/>
          <w:color w:val="auto"/>
        </w:rPr>
        <w:t xml:space="preserve">cisión democrática, lo que además resulta más grave para los principios constitucionales que protege el principio de publicidad si se consideran las particularidades del trámite legislativo </w:t>
      </w:r>
      <w:r w:rsidRPr="00635A00">
        <w:rPr>
          <w:rFonts w:ascii="Times New Roman" w:hAnsi="Times New Roman" w:cs="Times New Roman"/>
          <w:color w:val="auto"/>
        </w:rPr>
        <w:t>de aprobación de la Ley del Plan Nacional de Desarrollo, en el que</w:t>
      </w:r>
      <w:r w:rsidRPr="00635A00">
        <w:rPr>
          <w:rFonts w:ascii="Times New Roman" w:hAnsi="Times New Roman" w:cs="Times New Roman"/>
          <w:color w:val="auto"/>
        </w:rPr>
        <w:t xml:space="preserve"> el principio de publicidad se cualifica en </w:t>
      </w:r>
      <w:bookmarkStart w:id="23" w:name="_Hlk176198593"/>
      <w:r w:rsidRPr="00635A00">
        <w:rPr>
          <w:rFonts w:ascii="Times New Roman" w:hAnsi="Times New Roman" w:cs="Times New Roman"/>
          <w:color w:val="auto"/>
        </w:rPr>
        <w:t>atención a</w:t>
      </w:r>
      <w:r w:rsidRPr="00635A00">
        <w:rPr>
          <w:rFonts w:ascii="Times New Roman" w:hAnsi="Times New Roman" w:cs="Times New Roman"/>
          <w:color w:val="auto"/>
        </w:rPr>
        <w:t xml:space="preserve">: (i) la iniciativa gubernamental exclusiva; (ii) el término restringido para la aprobación de la ley; (iii) los límites a las posibilidades de modificación de sus disposiciones por los congresistas; y </w:t>
      </w:r>
      <w:r w:rsidRPr="00635A00">
        <w:rPr>
          <w:rFonts w:ascii="Times New Roman" w:hAnsi="Times New Roman" w:cs="Times New Roman"/>
          <w:color w:val="auto"/>
        </w:rPr>
        <w:t>(iv) la prelación del plan nacional de inversiones.</w:t>
      </w:r>
    </w:p>
    <w:bookmarkEnd w:id="23"/>
    <w:p w:rsidR="00EF09F4" w:rsidRPr="00635A00" w:rsidRDefault="00635A00" w:rsidP="00EF09F4">
      <w:pPr>
        <w:pStyle w:val="Prrafodelista"/>
        <w:rPr>
          <w:rFonts w:ascii="Times New Roman" w:hAnsi="Times New Roman" w:cs="Times New Roman"/>
          <w:color w:val="auto"/>
        </w:rPr>
      </w:pPr>
    </w:p>
    <w:p w:rsidR="00EF09F4" w:rsidRPr="00635A00" w:rsidRDefault="00635A00" w:rsidP="00EF09F4">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Sobre la configuración del vicio en materia de publicidad, la Sala reconoce que el carácter masivo de las proposiciones comporta un reto para el trámite legislativo, pero ello no puede ser una razón para</w:t>
      </w:r>
      <w:r w:rsidRPr="00635A00">
        <w:rPr>
          <w:rFonts w:ascii="Times New Roman" w:hAnsi="Times New Roman" w:cs="Times New Roman"/>
          <w:color w:val="auto"/>
        </w:rPr>
        <w:t xml:space="preserve"> </w:t>
      </w:r>
      <w:r w:rsidRPr="00635A00">
        <w:rPr>
          <w:rFonts w:ascii="Times New Roman" w:hAnsi="Times New Roman" w:cs="Times New Roman"/>
          <w:color w:val="auto"/>
        </w:rPr>
        <w:t>desconocer</w:t>
      </w:r>
      <w:r w:rsidRPr="00635A00">
        <w:rPr>
          <w:rFonts w:ascii="Times New Roman" w:hAnsi="Times New Roman" w:cs="Times New Roman"/>
          <w:color w:val="auto"/>
        </w:rPr>
        <w:t xml:space="preserve"> los elementos esenciales de procedimientos que comprometen la transparencia y legitimidad</w:t>
      </w:r>
      <w:r w:rsidRPr="00635A00">
        <w:rPr>
          <w:rFonts w:ascii="Times New Roman" w:hAnsi="Times New Roman" w:cs="Times New Roman"/>
          <w:color w:val="auto"/>
        </w:rPr>
        <w:t xml:space="preserve"> predicable de todo </w:t>
      </w:r>
      <w:r w:rsidRPr="00635A00">
        <w:rPr>
          <w:rFonts w:ascii="Times New Roman" w:hAnsi="Times New Roman" w:cs="Times New Roman"/>
          <w:color w:val="auto"/>
        </w:rPr>
        <w:t xml:space="preserve">proceso legislativo. </w:t>
      </w:r>
      <w:r w:rsidRPr="00635A00">
        <w:rPr>
          <w:rFonts w:ascii="Times New Roman" w:hAnsi="Times New Roman" w:cs="Times New Roman"/>
          <w:color w:val="auto"/>
        </w:rPr>
        <w:t>En ese sentido</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la Corte recuerda que </w:t>
      </w:r>
      <w:r w:rsidRPr="00635A00">
        <w:rPr>
          <w:rFonts w:ascii="Times New Roman" w:hAnsi="Times New Roman" w:cs="Times New Roman"/>
          <w:color w:val="auto"/>
        </w:rPr>
        <w:t xml:space="preserve">la garantía de publicidad que permite el conocimiento de lo que será objeto </w:t>
      </w:r>
      <w:r w:rsidRPr="00635A00">
        <w:rPr>
          <w:rFonts w:ascii="Times New Roman" w:hAnsi="Times New Roman" w:cs="Times New Roman"/>
          <w:color w:val="auto"/>
        </w:rPr>
        <w:t>de discusión y decisión debe ser observada con especial cuidado, de forma que se asegure un debate y una decisión democrática.</w:t>
      </w:r>
    </w:p>
    <w:p w:rsidR="00EF09F4" w:rsidRPr="00635A00" w:rsidRDefault="00635A00" w:rsidP="00EF09F4">
      <w:pPr>
        <w:pStyle w:val="Prrafodelista"/>
        <w:rPr>
          <w:rFonts w:ascii="Times New Roman" w:hAnsi="Times New Roman" w:cs="Times New Roman"/>
          <w:color w:val="auto"/>
        </w:rPr>
      </w:pPr>
    </w:p>
    <w:p w:rsidR="00EF09F4" w:rsidRPr="00635A00" w:rsidRDefault="00635A00" w:rsidP="00EF09F4">
      <w:pPr>
        <w:pStyle w:val="Sombreadovistoso-nfasis31"/>
        <w:numPr>
          <w:ilvl w:val="0"/>
          <w:numId w:val="3"/>
        </w:numPr>
        <w:rPr>
          <w:rFonts w:ascii="Times New Roman" w:hAnsi="Times New Roman" w:cs="Times New Roman"/>
          <w:color w:val="auto"/>
          <w:lang w:val="es-CO"/>
        </w:rPr>
      </w:pPr>
      <w:r w:rsidRPr="00635A00">
        <w:rPr>
          <w:rFonts w:ascii="Times New Roman" w:hAnsi="Times New Roman" w:cs="Times New Roman"/>
          <w:color w:val="auto"/>
        </w:rPr>
        <w:t>Adicionalmente, es necesario precisar que las circunstancias examinadas en esta oportunidad difieren de las analizadas en la sen</w:t>
      </w:r>
      <w:r w:rsidRPr="00635A00">
        <w:rPr>
          <w:rFonts w:ascii="Times New Roman" w:hAnsi="Times New Roman" w:cs="Times New Roman"/>
          <w:color w:val="auto"/>
        </w:rPr>
        <w:t>tencia C-134 de 2023. Esto, debido a que, como se explicó ampliamente, la Sala valoró si en relación con el numeral 6 y el parágrafo 3 del artículo 61, los cuales fueron introducidos a través de una proposición en el trámite ante la plenaria del Senado, lo</w:t>
      </w:r>
      <w:r w:rsidRPr="00635A00">
        <w:rPr>
          <w:rFonts w:ascii="Times New Roman" w:hAnsi="Times New Roman" w:cs="Times New Roman"/>
          <w:color w:val="auto"/>
        </w:rPr>
        <w:t>s congresistas conocieron o</w:t>
      </w:r>
      <w:r w:rsidRPr="00635A00">
        <w:rPr>
          <w:rFonts w:ascii="Times New Roman" w:hAnsi="Times New Roman" w:cs="Times New Roman"/>
          <w:color w:val="auto"/>
          <w:lang w:eastAsia="es-CO"/>
        </w:rPr>
        <w:t xml:space="preserve"> </w:t>
      </w:r>
      <w:r w:rsidRPr="00635A00">
        <w:rPr>
          <w:rFonts w:ascii="Times New Roman" w:hAnsi="Times New Roman" w:cs="Times New Roman"/>
          <w:color w:val="auto"/>
          <w:lang w:val="es-CO"/>
        </w:rPr>
        <w:t xml:space="preserve">podían conocer la proposición votada. En este examen la Corte encontró que en el trámite de la proposición radicada el 26 de abril de 2023 no obró un mecanismo de publicidad que permitiera su conocimiento efectivo, pues no hubo </w:t>
      </w:r>
      <w:r w:rsidRPr="00635A00">
        <w:rPr>
          <w:rFonts w:ascii="Times New Roman" w:hAnsi="Times New Roman" w:cs="Times New Roman"/>
          <w:color w:val="auto"/>
          <w:lang w:val="es-CO"/>
        </w:rPr>
        <w:t>una lectura de la proposición, la explicación fue una mención parcial y otros medios como la publicación en la página web no fue identificada como el mecanismo de publicidad como lo exige la jurisprudencia.</w:t>
      </w:r>
    </w:p>
    <w:p w:rsidR="00EF09F4" w:rsidRPr="00635A00" w:rsidRDefault="00635A00" w:rsidP="00EF09F4">
      <w:pPr>
        <w:pStyle w:val="Sombreadovistoso-nfasis31"/>
        <w:ind w:left="0"/>
        <w:rPr>
          <w:rFonts w:ascii="Times New Roman" w:hAnsi="Times New Roman" w:cs="Times New Roman"/>
          <w:color w:val="auto"/>
          <w:lang w:val="es-CO"/>
        </w:rPr>
      </w:pPr>
    </w:p>
    <w:p w:rsidR="00EF09F4" w:rsidRPr="00635A00" w:rsidRDefault="00635A00" w:rsidP="00EF09F4">
      <w:pPr>
        <w:pStyle w:val="Sombreadovistoso-nfasis31"/>
        <w:numPr>
          <w:ilvl w:val="0"/>
          <w:numId w:val="3"/>
        </w:numPr>
        <w:rPr>
          <w:rFonts w:ascii="Times New Roman" w:hAnsi="Times New Roman" w:cs="Times New Roman"/>
          <w:color w:val="auto"/>
          <w:lang w:val="es-CO"/>
        </w:rPr>
      </w:pPr>
      <w:r w:rsidRPr="00635A00">
        <w:rPr>
          <w:rFonts w:ascii="Times New Roman" w:hAnsi="Times New Roman" w:cs="Times New Roman"/>
          <w:color w:val="auto"/>
          <w:lang w:val="es-CO"/>
        </w:rPr>
        <w:t>Además, la radicación en la secretaría no obró c</w:t>
      </w:r>
      <w:r w:rsidRPr="00635A00">
        <w:rPr>
          <w:rFonts w:ascii="Times New Roman" w:hAnsi="Times New Roman" w:cs="Times New Roman"/>
          <w:color w:val="auto"/>
          <w:lang w:val="es-CO"/>
        </w:rPr>
        <w:t xml:space="preserve">omo un mecanismo de publicidad en el presente asunto, pues contrario a lo que sucedió en el trámite legislativo examinado en la sentencia C-134 de 2023, </w:t>
      </w:r>
      <w:r w:rsidRPr="00635A00">
        <w:rPr>
          <w:rFonts w:ascii="Times New Roman" w:hAnsi="Times New Roman" w:cs="Times New Roman"/>
          <w:bCs/>
          <w:color w:val="auto"/>
          <w:lang w:val="es-CO"/>
        </w:rPr>
        <w:t>esa disponibilidad no se enunció durante el trámite y no se indicó que esa proposición obraba en la sec</w:t>
      </w:r>
      <w:r w:rsidRPr="00635A00">
        <w:rPr>
          <w:rFonts w:ascii="Times New Roman" w:hAnsi="Times New Roman" w:cs="Times New Roman"/>
          <w:bCs/>
          <w:color w:val="auto"/>
          <w:lang w:val="es-CO"/>
        </w:rPr>
        <w:t>retaría</w:t>
      </w:r>
      <w:r w:rsidRPr="00635A00">
        <w:rPr>
          <w:rFonts w:ascii="Times New Roman" w:hAnsi="Times New Roman" w:cs="Times New Roman"/>
          <w:color w:val="auto"/>
          <w:lang w:val="es-CO"/>
        </w:rPr>
        <w:t xml:space="preserve">. En efecto, en la sentencia C-134 de 2023 se tuvo en cuenta: </w:t>
      </w:r>
      <w:r w:rsidRPr="00635A00">
        <w:rPr>
          <w:rFonts w:ascii="Times New Roman" w:hAnsi="Times New Roman" w:cs="Times New Roman"/>
          <w:bCs/>
          <w:color w:val="auto"/>
          <w:lang w:val="es-CO"/>
        </w:rPr>
        <w:t>la certeza de la radicación de una o más proposiciones en la secretaría de la plenaria del Senado, la indicación pública e inequívoca de que la secretaría tenía las proposiciones en su po</w:t>
      </w:r>
      <w:r w:rsidRPr="00635A00">
        <w:rPr>
          <w:rFonts w:ascii="Times New Roman" w:hAnsi="Times New Roman" w:cs="Times New Roman"/>
          <w:bCs/>
          <w:color w:val="auto"/>
          <w:lang w:val="es-CO"/>
        </w:rPr>
        <w:t>der (a partir de su identificación y la mención de los proponentes),</w:t>
      </w:r>
      <w:r w:rsidRPr="00635A00">
        <w:rPr>
          <w:rFonts w:ascii="Times New Roman" w:hAnsi="Times New Roman" w:cs="Times New Roman"/>
          <w:color w:val="auto"/>
          <w:lang w:val="es-CO"/>
        </w:rPr>
        <w:t xml:space="preserve"> y la existencia de un plazo para consultar las proposiciones antes del debate. En contraste, en el presente asunto no hubo una mención en el trámite sobre la radicación y disponibilidad d</w:t>
      </w:r>
      <w:r w:rsidRPr="00635A00">
        <w:rPr>
          <w:rFonts w:ascii="Times New Roman" w:hAnsi="Times New Roman" w:cs="Times New Roman"/>
          <w:color w:val="auto"/>
          <w:lang w:val="es-CO"/>
        </w:rPr>
        <w:t>e la proposición en la secretaría, no se hizo una mención pública e inequívoca sobre el particular y, por el contrario, examinada la reacción de los congresistas en el debate del día 3 de mayo de 2023 sobre una posible modificación al Decreto Ley 902 de 20</w:t>
      </w:r>
      <w:r w:rsidRPr="00635A00">
        <w:rPr>
          <w:rFonts w:ascii="Times New Roman" w:hAnsi="Times New Roman" w:cs="Times New Roman"/>
          <w:color w:val="auto"/>
          <w:lang w:val="es-CO"/>
        </w:rPr>
        <w:t>17 propuesta por la ministra de Agricultura, día siguiente a la votación de la proposición, se descartó ese conocimiento. </w:t>
      </w:r>
    </w:p>
    <w:p w:rsidR="00EF09F4" w:rsidRPr="00635A00" w:rsidRDefault="00635A00" w:rsidP="00EF09F4">
      <w:pPr>
        <w:pStyle w:val="Sombreadovistoso-nfasis31"/>
        <w:ind w:left="0"/>
        <w:rPr>
          <w:rFonts w:ascii="Times New Roman" w:hAnsi="Times New Roman" w:cs="Times New Roman"/>
          <w:color w:val="auto"/>
          <w:lang w:val="es-CO"/>
        </w:rPr>
      </w:pPr>
      <w:r w:rsidRPr="00635A00">
        <w:rPr>
          <w:rFonts w:ascii="Times New Roman" w:hAnsi="Times New Roman" w:cs="Times New Roman"/>
          <w:color w:val="auto"/>
          <w:lang w:val="es-CO"/>
        </w:rPr>
        <w:t> </w:t>
      </w:r>
    </w:p>
    <w:p w:rsidR="00EF09F4" w:rsidRPr="00635A00" w:rsidRDefault="00635A00" w:rsidP="00EF09F4">
      <w:pPr>
        <w:pStyle w:val="Sombreadovistoso-nfasis31"/>
        <w:numPr>
          <w:ilvl w:val="0"/>
          <w:numId w:val="3"/>
        </w:numPr>
        <w:rPr>
          <w:rFonts w:ascii="Times New Roman" w:hAnsi="Times New Roman" w:cs="Times New Roman"/>
          <w:color w:val="auto"/>
          <w:lang w:val="es-CO"/>
        </w:rPr>
      </w:pPr>
      <w:r w:rsidRPr="00635A00">
        <w:rPr>
          <w:rFonts w:ascii="Times New Roman" w:hAnsi="Times New Roman" w:cs="Times New Roman"/>
          <w:color w:val="auto"/>
          <w:lang w:val="es-CO"/>
        </w:rPr>
        <w:t>En concreto, al intervenir sobre la propuesta de derogatoria del Decreto Ley 902 de 2017 que se pretendió incluir en el artículo de</w:t>
      </w:r>
      <w:r w:rsidRPr="00635A00">
        <w:rPr>
          <w:rFonts w:ascii="Times New Roman" w:hAnsi="Times New Roman" w:cs="Times New Roman"/>
          <w:color w:val="auto"/>
          <w:lang w:val="es-CO"/>
        </w:rPr>
        <w:t xml:space="preserve"> derogatorias los congresistas se opusieron con ahínco a una medida de esas características, al punto que la proposición del 3 de mayo tuvo que retirarse. Sin embargo, ninguno de los senadores que intervino ese 3 de mayo citaron o hicieron referencia al ar</w:t>
      </w:r>
      <w:r w:rsidRPr="00635A00">
        <w:rPr>
          <w:rFonts w:ascii="Times New Roman" w:hAnsi="Times New Roman" w:cs="Times New Roman"/>
          <w:color w:val="auto"/>
          <w:lang w:val="es-CO"/>
        </w:rPr>
        <w:t>tículo 55. Es decir, no parecían notar que el día anterior habían aprobado una proposición que derogaba parcialmente el Decreto Ley 902 de 2017. Esta circunstancia refuerza la tesis de que contextualmente tampoco es dable derivar que conocieran debidamente</w:t>
      </w:r>
      <w:r w:rsidRPr="00635A00">
        <w:rPr>
          <w:rFonts w:ascii="Times New Roman" w:hAnsi="Times New Roman" w:cs="Times New Roman"/>
          <w:color w:val="auto"/>
          <w:lang w:val="es-CO"/>
        </w:rPr>
        <w:t xml:space="preserve"> la proposición al artículo 55.</w:t>
      </w:r>
    </w:p>
    <w:p w:rsidR="00EF09F4" w:rsidRPr="00635A00" w:rsidRDefault="00635A00" w:rsidP="00EF09F4">
      <w:pPr>
        <w:pStyle w:val="Prrafodelista"/>
        <w:rPr>
          <w:rFonts w:ascii="Times New Roman" w:hAnsi="Times New Roman" w:cs="Times New Roman"/>
          <w:color w:val="auto"/>
          <w:lang w:val="es-CO"/>
        </w:rPr>
      </w:pPr>
    </w:p>
    <w:p w:rsidR="00EF09F4" w:rsidRPr="00635A00" w:rsidRDefault="00635A00" w:rsidP="00EF09F4">
      <w:pPr>
        <w:pStyle w:val="Prrafodelista"/>
        <w:numPr>
          <w:ilvl w:val="0"/>
          <w:numId w:val="3"/>
        </w:numPr>
        <w:rPr>
          <w:rFonts w:ascii="Times New Roman" w:hAnsi="Times New Roman" w:cs="Times New Roman"/>
          <w:color w:val="auto"/>
          <w:lang w:val="es-CO"/>
        </w:rPr>
      </w:pPr>
      <w:r w:rsidRPr="00635A00">
        <w:rPr>
          <w:rFonts w:ascii="Times New Roman" w:hAnsi="Times New Roman" w:cs="Times New Roman"/>
          <w:color w:val="auto"/>
        </w:rPr>
        <w:t>Finalmente, es necesario precisar que la duda sobre la publicación de la proposición en la página web y, en general, sobre su publicidad no se resuelve en favor de la decisión mayoritaria que tomó el cuerpo legislativo, deb</w:t>
      </w:r>
      <w:r w:rsidRPr="00635A00">
        <w:rPr>
          <w:rFonts w:ascii="Times New Roman" w:hAnsi="Times New Roman" w:cs="Times New Roman"/>
          <w:color w:val="auto"/>
        </w:rPr>
        <w:t xml:space="preserve">ido a que la falta de publicidad adecuada de las proposiciones afecta directamente los principios democráticos y la participación efectiva de los legisladores. En efecto, como lo ha desarrollado ampliamente la jurisprudencia de esta </w:t>
      </w:r>
      <w:r w:rsidRPr="00635A00">
        <w:rPr>
          <w:rFonts w:ascii="Times New Roman" w:hAnsi="Times New Roman" w:cs="Times New Roman"/>
          <w:color w:val="auto"/>
        </w:rPr>
        <w:t>C</w:t>
      </w:r>
      <w:r w:rsidRPr="00635A00">
        <w:rPr>
          <w:rFonts w:ascii="Times New Roman" w:hAnsi="Times New Roman" w:cs="Times New Roman"/>
          <w:color w:val="auto"/>
        </w:rPr>
        <w:t>orporación</w:t>
      </w:r>
      <w:r w:rsidRPr="00635A00">
        <w:rPr>
          <w:rFonts w:ascii="Times New Roman" w:hAnsi="Times New Roman" w:cs="Times New Roman"/>
          <w:color w:val="auto"/>
        </w:rPr>
        <w:t>,</w:t>
      </w:r>
      <w:r w:rsidRPr="00635A00">
        <w:rPr>
          <w:rFonts w:ascii="Times New Roman" w:hAnsi="Times New Roman" w:cs="Times New Roman"/>
          <w:color w:val="auto"/>
        </w:rPr>
        <w:t xml:space="preserve"> l</w:t>
      </w:r>
      <w:r w:rsidRPr="00635A00">
        <w:rPr>
          <w:rFonts w:ascii="Times New Roman" w:hAnsi="Times New Roman" w:cs="Times New Roman"/>
          <w:color w:val="auto"/>
          <w:lang w:val="es-CO"/>
        </w:rPr>
        <w:t>a publici</w:t>
      </w:r>
      <w:r w:rsidRPr="00635A00">
        <w:rPr>
          <w:rFonts w:ascii="Times New Roman" w:hAnsi="Times New Roman" w:cs="Times New Roman"/>
          <w:color w:val="auto"/>
          <w:lang w:val="es-CO"/>
        </w:rPr>
        <w:t>dad de las proposiciones en el proceso legislativo es fundamental para asegurar que los congresistas tengan acceso a toda la información necesaria, de manera razonable y suficiente, y asegura un conocimiento sobre el objeto de lo que se discute, el cual po</w:t>
      </w:r>
      <w:r w:rsidRPr="00635A00">
        <w:rPr>
          <w:rFonts w:ascii="Times New Roman" w:hAnsi="Times New Roman" w:cs="Times New Roman"/>
          <w:color w:val="auto"/>
          <w:lang w:val="es-CO"/>
        </w:rPr>
        <w:t xml:space="preserve">sibilita el debate y la decisión democrática. De manera que, ante la falta de publicidad de una proposición que modificó sustancialmente el texto de la disposición aprobada no puede tenerse por acreditado un debate y una decisión democrática. </w:t>
      </w:r>
    </w:p>
    <w:p w:rsidR="00EF09F4" w:rsidRPr="00635A00" w:rsidRDefault="00635A00" w:rsidP="001A700F">
      <w:pPr>
        <w:pStyle w:val="Sombreadovistoso-nfasis31"/>
        <w:ind w:left="0"/>
        <w:rPr>
          <w:rFonts w:ascii="Times New Roman" w:hAnsi="Times New Roman" w:cs="Times New Roman"/>
          <w:color w:val="auto"/>
          <w:lang w:val="es-CO"/>
        </w:rPr>
      </w:pPr>
    </w:p>
    <w:p w:rsidR="003F12F4" w:rsidRPr="00635A00" w:rsidRDefault="00635A00" w:rsidP="003F12F4">
      <w:pPr>
        <w:pStyle w:val="Prrafodelista"/>
        <w:widowControl/>
        <w:numPr>
          <w:ilvl w:val="0"/>
          <w:numId w:val="17"/>
        </w:numPr>
        <w:tabs>
          <w:tab w:val="left" w:pos="1134"/>
        </w:tabs>
        <w:ind w:left="1134" w:hanging="567"/>
        <w:contextualSpacing/>
        <w:rPr>
          <w:rFonts w:ascii="Times New Roman" w:hAnsi="Times New Roman" w:cs="Times New Roman"/>
          <w:b/>
          <w:bCs/>
          <w:color w:val="auto"/>
        </w:rPr>
      </w:pPr>
      <w:r w:rsidRPr="00635A00">
        <w:rPr>
          <w:rFonts w:ascii="Times New Roman" w:hAnsi="Times New Roman" w:cs="Times New Roman"/>
          <w:b/>
          <w:bCs/>
          <w:color w:val="auto"/>
        </w:rPr>
        <w:t xml:space="preserve">Examen del </w:t>
      </w:r>
      <w:r w:rsidRPr="00635A00">
        <w:rPr>
          <w:rFonts w:ascii="Times New Roman" w:hAnsi="Times New Roman" w:cs="Times New Roman"/>
          <w:b/>
          <w:bCs/>
          <w:color w:val="auto"/>
        </w:rPr>
        <w:t>cargo por violación de los principios de consecutividad</w:t>
      </w:r>
      <w:r w:rsidRPr="00635A00">
        <w:rPr>
          <w:rFonts w:ascii="Times New Roman" w:hAnsi="Times New Roman" w:cs="Times New Roman"/>
          <w:b/>
          <w:bCs/>
          <w:color w:val="auto"/>
        </w:rPr>
        <w:t xml:space="preserve"> e</w:t>
      </w:r>
      <w:r w:rsidRPr="00635A00">
        <w:rPr>
          <w:rFonts w:ascii="Times New Roman" w:hAnsi="Times New Roman" w:cs="Times New Roman"/>
          <w:b/>
          <w:bCs/>
          <w:color w:val="auto"/>
        </w:rPr>
        <w:t xml:space="preserve"> identidad flexible</w:t>
      </w:r>
    </w:p>
    <w:p w:rsidR="003F12F4" w:rsidRPr="00635A00" w:rsidRDefault="00635A00" w:rsidP="00CB26DE">
      <w:pPr>
        <w:rPr>
          <w:rFonts w:ascii="Times New Roman" w:hAnsi="Times New Roman" w:cs="Times New Roman"/>
          <w:b/>
          <w:bCs/>
          <w:sz w:val="28"/>
          <w:lang w:val="es-ES"/>
        </w:rPr>
      </w:pPr>
    </w:p>
    <w:p w:rsidR="00CB26DE" w:rsidRPr="00635A00" w:rsidRDefault="00635A00" w:rsidP="00F07A94">
      <w:pPr>
        <w:jc w:val="both"/>
        <w:rPr>
          <w:rFonts w:ascii="Times New Roman" w:hAnsi="Times New Roman" w:cs="Times New Roman"/>
          <w:b/>
          <w:bCs/>
          <w:sz w:val="28"/>
          <w:szCs w:val="28"/>
          <w:lang w:val="es-ES"/>
        </w:rPr>
      </w:pPr>
      <w:r w:rsidRPr="00635A00">
        <w:rPr>
          <w:rFonts w:ascii="Times New Roman" w:hAnsi="Times New Roman" w:cs="Times New Roman"/>
          <w:b/>
          <w:bCs/>
          <w:sz w:val="28"/>
          <w:szCs w:val="28"/>
          <w:lang w:val="es-ES"/>
        </w:rPr>
        <w:t xml:space="preserve">Los </w:t>
      </w:r>
      <w:r w:rsidRPr="00635A00">
        <w:rPr>
          <w:rFonts w:ascii="Times New Roman" w:hAnsi="Times New Roman" w:cs="Times New Roman"/>
          <w:b/>
          <w:bCs/>
          <w:sz w:val="28"/>
          <w:szCs w:val="28"/>
          <w:lang w:val="es-ES"/>
        </w:rPr>
        <w:t>p</w:t>
      </w:r>
      <w:r w:rsidRPr="00635A00">
        <w:rPr>
          <w:rFonts w:ascii="Times New Roman" w:hAnsi="Times New Roman" w:cs="Times New Roman"/>
          <w:b/>
          <w:bCs/>
          <w:sz w:val="28"/>
          <w:szCs w:val="28"/>
          <w:lang w:val="es-ES"/>
        </w:rPr>
        <w:t>rincipios de consecutividad e identidad flexible</w:t>
      </w:r>
      <w:r w:rsidRPr="00635A00">
        <w:rPr>
          <w:rFonts w:ascii="Times New Roman" w:hAnsi="Times New Roman" w:cs="Times New Roman"/>
          <w:b/>
          <w:bCs/>
          <w:sz w:val="28"/>
          <w:szCs w:val="28"/>
          <w:lang w:val="es-ES"/>
        </w:rPr>
        <w:t xml:space="preserve"> en la ley aprobatoria del Plan Nacional de Desarrollo</w:t>
      </w:r>
      <w:r w:rsidRPr="00635A00">
        <w:rPr>
          <w:rFonts w:ascii="Times New Roman" w:hAnsi="Times New Roman" w:cs="Times New Roman"/>
          <w:b/>
          <w:bCs/>
          <w:sz w:val="28"/>
          <w:szCs w:val="28"/>
          <w:lang w:val="es-ES"/>
        </w:rPr>
        <w:t>. Reiteración de jurisprudencia</w:t>
      </w:r>
    </w:p>
    <w:p w:rsidR="000B1A05" w:rsidRPr="00635A00" w:rsidRDefault="00635A00" w:rsidP="00CB26DE">
      <w:pPr>
        <w:rPr>
          <w:rFonts w:ascii="Times New Roman" w:hAnsi="Times New Roman" w:cs="Times New Roman"/>
          <w:b/>
          <w:bCs/>
          <w:sz w:val="28"/>
          <w:szCs w:val="28"/>
          <w:lang w:val="es-ES"/>
        </w:rPr>
      </w:pPr>
    </w:p>
    <w:p w:rsidR="00CA4BE3" w:rsidRPr="00635A00" w:rsidRDefault="00635A00" w:rsidP="00CA4BE3">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La Constitución</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le impone al Congreso de la República </w:t>
      </w:r>
      <w:r w:rsidRPr="00635A00">
        <w:rPr>
          <w:rFonts w:ascii="Times New Roman" w:hAnsi="Times New Roman" w:cs="Times New Roman"/>
          <w:color w:val="auto"/>
        </w:rPr>
        <w:t>unos requisitos</w:t>
      </w:r>
      <w:r w:rsidRPr="00635A00">
        <w:rPr>
          <w:rFonts w:ascii="Times New Roman" w:hAnsi="Times New Roman" w:cs="Times New Roman"/>
          <w:color w:val="auto"/>
        </w:rPr>
        <w:t xml:space="preserve"> procedimentales para el ejercicio de su función de hacer leyes</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El cumplimiento de tales exigencias cobra importancia en una democracia porque con ellas se busca garantizar que la voluntad del Legislado</w:t>
      </w:r>
      <w:r w:rsidRPr="00635A00">
        <w:rPr>
          <w:rFonts w:ascii="Times New Roman" w:hAnsi="Times New Roman" w:cs="Times New Roman"/>
          <w:color w:val="auto"/>
        </w:rPr>
        <w:t>r surja de un proceso reflexivo y ponderado que permita la participación de todas las fuerzas políticas</w:t>
      </w:r>
      <w:r w:rsidRPr="00635A00">
        <w:rPr>
          <w:rFonts w:ascii="Times New Roman" w:hAnsi="Times New Roman" w:cs="Times New Roman"/>
          <w:color w:val="auto"/>
        </w:rPr>
        <w:t xml:space="preserve"> elegidas para representar al pueblo</w:t>
      </w:r>
      <w:r w:rsidRPr="00635A00">
        <w:rPr>
          <w:rStyle w:val="Refdenotaalpie"/>
          <w:rFonts w:ascii="Times New Roman" w:hAnsi="Times New Roman" w:cs="Times New Roman"/>
          <w:color w:val="auto"/>
        </w:rPr>
        <w:footnoteReference w:id="118"/>
      </w:r>
      <w:r w:rsidRPr="00635A00">
        <w:rPr>
          <w:rFonts w:ascii="Times New Roman" w:hAnsi="Times New Roman" w:cs="Times New Roman"/>
          <w:color w:val="auto"/>
        </w:rPr>
        <w:t xml:space="preserve">.  </w:t>
      </w:r>
    </w:p>
    <w:p w:rsidR="00CA4BE3" w:rsidRPr="00635A00" w:rsidRDefault="00635A00" w:rsidP="00CA4BE3">
      <w:pPr>
        <w:pStyle w:val="Sombreadovistoso-nfasis31"/>
        <w:ind w:left="0"/>
        <w:rPr>
          <w:rFonts w:ascii="Times New Roman" w:hAnsi="Times New Roman" w:cs="Times New Roman"/>
          <w:color w:val="auto"/>
        </w:rPr>
      </w:pPr>
    </w:p>
    <w:p w:rsidR="00FC35F5"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Uno de los mencionados requisitos es el </w:t>
      </w:r>
      <w:r w:rsidRPr="00635A00">
        <w:rPr>
          <w:rFonts w:ascii="Times New Roman" w:hAnsi="Times New Roman" w:cs="Times New Roman"/>
          <w:color w:val="auto"/>
        </w:rPr>
        <w:t>principio de consecutividad</w:t>
      </w:r>
      <w:r w:rsidRPr="00635A00">
        <w:rPr>
          <w:rFonts w:ascii="Times New Roman" w:hAnsi="Times New Roman" w:cs="Times New Roman"/>
          <w:color w:val="auto"/>
        </w:rPr>
        <w:t xml:space="preserve">, que se fundamenta </w:t>
      </w:r>
      <w:r w:rsidRPr="00635A00">
        <w:rPr>
          <w:rFonts w:ascii="Times New Roman" w:hAnsi="Times New Roman" w:cs="Times New Roman"/>
          <w:color w:val="auto"/>
        </w:rPr>
        <w:t xml:space="preserve">en el artículo 157 </w:t>
      </w:r>
      <w:r w:rsidRPr="00635A00">
        <w:rPr>
          <w:rFonts w:ascii="Times New Roman" w:hAnsi="Times New Roman" w:cs="Times New Roman"/>
          <w:color w:val="auto"/>
        </w:rPr>
        <w:t>de la</w:t>
      </w:r>
      <w:r w:rsidRPr="00635A00">
        <w:rPr>
          <w:rFonts w:ascii="Times New Roman" w:hAnsi="Times New Roman" w:cs="Times New Roman"/>
          <w:color w:val="auto"/>
        </w:rPr>
        <w:t xml:space="preserve"> Constitución</w:t>
      </w:r>
      <w:r w:rsidRPr="00635A00">
        <w:rPr>
          <w:rFonts w:ascii="Times New Roman" w:hAnsi="Times New Roman" w:cs="Times New Roman"/>
          <w:color w:val="auto"/>
        </w:rPr>
        <w:t xml:space="preserve">. Según esta norma, </w:t>
      </w:r>
      <w:r w:rsidRPr="00635A00">
        <w:rPr>
          <w:rFonts w:ascii="Times New Roman" w:hAnsi="Times New Roman" w:cs="Times New Roman"/>
          <w:color w:val="auto"/>
        </w:rPr>
        <w:t xml:space="preserve">para que </w:t>
      </w:r>
      <w:r w:rsidRPr="00635A00">
        <w:rPr>
          <w:rFonts w:ascii="Times New Roman" w:hAnsi="Times New Roman" w:cs="Times New Roman"/>
          <w:color w:val="auto"/>
        </w:rPr>
        <w:t>un proyecto se convierta en ley</w:t>
      </w:r>
      <w:r w:rsidRPr="00635A00">
        <w:rPr>
          <w:rFonts w:ascii="Times New Roman" w:hAnsi="Times New Roman" w:cs="Times New Roman"/>
          <w:color w:val="auto"/>
        </w:rPr>
        <w:t xml:space="preserve">, este debe haber sido (i) publicado oficialmente por el Congreso antes de iniciar su trámite; (ii) aprobado en primer debate por parte de las comisiones respectivas del Senado de la </w:t>
      </w:r>
      <w:r w:rsidRPr="00635A00">
        <w:rPr>
          <w:rFonts w:ascii="Times New Roman" w:hAnsi="Times New Roman" w:cs="Times New Roman"/>
          <w:color w:val="auto"/>
        </w:rPr>
        <w:t>República y la Cámara de Representantes; (iii) aprobado en segundo debate por las plenarias de dichos órganos legislativos; y (iv) sancionado por el Gobierno nacional.</w:t>
      </w:r>
    </w:p>
    <w:p w:rsidR="00FC35F5" w:rsidRPr="00635A00" w:rsidRDefault="00635A00" w:rsidP="00FC35F5">
      <w:pPr>
        <w:pStyle w:val="Prrafodelista"/>
        <w:rPr>
          <w:rFonts w:ascii="Times New Roman" w:hAnsi="Times New Roman" w:cs="Times New Roman"/>
          <w:color w:val="auto"/>
        </w:rPr>
      </w:pPr>
    </w:p>
    <w:p w:rsidR="00BB248D"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 partir de lo dispuesto en el citado artículo, esta </w:t>
      </w:r>
      <w:r w:rsidRPr="00635A00">
        <w:rPr>
          <w:rFonts w:ascii="Times New Roman" w:hAnsi="Times New Roman" w:cs="Times New Roman"/>
          <w:color w:val="auto"/>
        </w:rPr>
        <w:t xml:space="preserve">Corte ha entendido que, en virtud </w:t>
      </w:r>
      <w:r w:rsidRPr="00635A00">
        <w:rPr>
          <w:rFonts w:ascii="Times New Roman" w:hAnsi="Times New Roman" w:cs="Times New Roman"/>
          <w:color w:val="auto"/>
        </w:rPr>
        <w:t>del principio</w:t>
      </w:r>
      <w:r w:rsidRPr="00635A00">
        <w:rPr>
          <w:rFonts w:ascii="Times New Roman" w:hAnsi="Times New Roman" w:cs="Times New Roman"/>
          <w:color w:val="auto"/>
        </w:rPr>
        <w:t xml:space="preserve"> de consecutividad,</w:t>
      </w:r>
      <w:r w:rsidRPr="00635A00">
        <w:rPr>
          <w:rFonts w:ascii="Times New Roman" w:hAnsi="Times New Roman" w:cs="Times New Roman"/>
          <w:color w:val="auto"/>
        </w:rPr>
        <w:t xml:space="preserve"> la</w:t>
      </w:r>
      <w:r w:rsidRPr="00635A00">
        <w:rPr>
          <w:rFonts w:ascii="Times New Roman" w:hAnsi="Times New Roman" w:cs="Times New Roman"/>
          <w:color w:val="auto"/>
        </w:rPr>
        <w:t>s</w:t>
      </w:r>
      <w:r w:rsidRPr="00635A00">
        <w:rPr>
          <w:rFonts w:ascii="Times New Roman" w:hAnsi="Times New Roman" w:cs="Times New Roman"/>
          <w:color w:val="auto"/>
        </w:rPr>
        <w:t xml:space="preserve"> comisiones y las plenarias de ambas cámaras tienen el deber de estudiar y debatir todos los asuntos puestos a su consideración</w:t>
      </w:r>
      <w:r w:rsidRPr="00635A00">
        <w:rPr>
          <w:rStyle w:val="Refdenotaalpie"/>
          <w:rFonts w:ascii="Times New Roman" w:hAnsi="Times New Roman" w:cs="Times New Roman"/>
          <w:color w:val="auto"/>
        </w:rPr>
        <w:footnoteReference w:id="119"/>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Con este principio se busca</w:t>
      </w:r>
      <w:r w:rsidRPr="00635A00">
        <w:rPr>
          <w:rFonts w:ascii="Times New Roman" w:hAnsi="Times New Roman" w:cs="Times New Roman"/>
          <w:color w:val="auto"/>
        </w:rPr>
        <w:t xml:space="preserve"> garantizar </w:t>
      </w:r>
      <w:r w:rsidRPr="00635A00">
        <w:rPr>
          <w:rFonts w:ascii="Times New Roman" w:hAnsi="Times New Roman" w:cs="Times New Roman"/>
          <w:color w:val="auto"/>
        </w:rPr>
        <w:t xml:space="preserve">que las iniciativas sean sometidas a deliberación, </w:t>
      </w:r>
      <w:r w:rsidRPr="00635A00">
        <w:rPr>
          <w:rFonts w:ascii="Times New Roman" w:hAnsi="Times New Roman" w:cs="Times New Roman"/>
          <w:color w:val="auto"/>
        </w:rPr>
        <w:t>ya que esta es “el fundamento de la legitimidad del procedimiento legislativo”</w:t>
      </w:r>
      <w:r w:rsidRPr="00635A00">
        <w:rPr>
          <w:rStyle w:val="Refdenotaalpie"/>
          <w:rFonts w:ascii="Times New Roman" w:hAnsi="Times New Roman" w:cs="Times New Roman"/>
          <w:color w:val="auto"/>
        </w:rPr>
        <w:footnoteReference w:id="120"/>
      </w:r>
      <w:r w:rsidRPr="00635A00">
        <w:rPr>
          <w:rFonts w:ascii="Times New Roman" w:hAnsi="Times New Roman" w:cs="Times New Roman"/>
          <w:color w:val="auto"/>
        </w:rPr>
        <w:t>.</w:t>
      </w:r>
    </w:p>
    <w:p w:rsidR="00D206CF" w:rsidRPr="00635A00" w:rsidRDefault="00635A00" w:rsidP="00D206CF">
      <w:pPr>
        <w:pStyle w:val="Prrafodelista"/>
        <w:rPr>
          <w:rFonts w:ascii="Times New Roman" w:hAnsi="Times New Roman" w:cs="Times New Roman"/>
          <w:color w:val="auto"/>
        </w:rPr>
      </w:pPr>
    </w:p>
    <w:p w:rsidR="00D206CF"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El respeto por el principio de consecutividad no implica que los proyectos de ley no puedan</w:t>
      </w:r>
      <w:r w:rsidRPr="00635A00">
        <w:rPr>
          <w:rFonts w:ascii="Times New Roman" w:hAnsi="Times New Roman" w:cs="Times New Roman"/>
          <w:color w:val="auto"/>
        </w:rPr>
        <w:t xml:space="preserve"> ser modificados a lo largo de su trámite. De hecho, la propia Constitución, en su </w:t>
      </w:r>
      <w:r w:rsidRPr="00635A00">
        <w:rPr>
          <w:rFonts w:ascii="Times New Roman" w:hAnsi="Times New Roman" w:cs="Times New Roman"/>
          <w:color w:val="auto"/>
        </w:rPr>
        <w:t xml:space="preserve">artículo 160, permite que durante el segundo debate se introduzcan modificaciones, adiciones y supresiones al articulado en discusión. </w:t>
      </w:r>
      <w:r w:rsidRPr="00635A00">
        <w:rPr>
          <w:rFonts w:ascii="Times New Roman" w:hAnsi="Times New Roman" w:cs="Times New Roman"/>
          <w:color w:val="auto"/>
        </w:rPr>
        <w:t>En desarrollo de este precepto, el Reglamento del Congreso</w:t>
      </w:r>
      <w:r w:rsidRPr="00635A00">
        <w:rPr>
          <w:rStyle w:val="Refdenotaalpie"/>
          <w:rFonts w:ascii="Times New Roman" w:hAnsi="Times New Roman" w:cs="Times New Roman"/>
          <w:color w:val="auto"/>
        </w:rPr>
        <w:footnoteReference w:id="121"/>
      </w:r>
      <w:r w:rsidRPr="00635A00">
        <w:rPr>
          <w:rFonts w:ascii="Times New Roman" w:hAnsi="Times New Roman" w:cs="Times New Roman"/>
          <w:color w:val="auto"/>
        </w:rPr>
        <w:t xml:space="preserve"> </w:t>
      </w:r>
      <w:r w:rsidRPr="00635A00">
        <w:rPr>
          <w:rFonts w:ascii="Times New Roman" w:hAnsi="Times New Roman" w:cs="Times New Roman"/>
          <w:color w:val="auto"/>
        </w:rPr>
        <w:t>establece que, en segundo debate, las plenarias de cada cámar</w:t>
      </w:r>
      <w:r w:rsidRPr="00635A00">
        <w:rPr>
          <w:rFonts w:ascii="Times New Roman" w:hAnsi="Times New Roman" w:cs="Times New Roman"/>
          <w:color w:val="auto"/>
        </w:rPr>
        <w:t>a pueden reformar los proyectos sin que por esto deban regresar a la respectiva comisión permanente en donde se surtió el primer debate, a menos que se adviertan serias discrepancias con lo que allí se aprobó.</w:t>
      </w:r>
      <w:r w:rsidRPr="00635A00">
        <w:rPr>
          <w:rFonts w:ascii="Times New Roman" w:hAnsi="Times New Roman" w:cs="Times New Roman"/>
          <w:color w:val="auto"/>
        </w:rPr>
        <w:t xml:space="preserve"> Por su parte, a Ley Orgánica del Plan de Desar</w:t>
      </w:r>
      <w:r w:rsidRPr="00635A00">
        <w:rPr>
          <w:rFonts w:ascii="Times New Roman" w:hAnsi="Times New Roman" w:cs="Times New Roman"/>
          <w:color w:val="auto"/>
        </w:rPr>
        <w:t>rollo</w:t>
      </w:r>
      <w:r w:rsidRPr="00635A00">
        <w:rPr>
          <w:rStyle w:val="Refdenotaalpie"/>
          <w:rFonts w:ascii="Times New Roman" w:hAnsi="Times New Roman" w:cs="Times New Roman"/>
          <w:color w:val="auto"/>
        </w:rPr>
        <w:footnoteReference w:id="122"/>
      </w:r>
      <w:r w:rsidRPr="00635A00">
        <w:rPr>
          <w:rFonts w:ascii="Times New Roman" w:hAnsi="Times New Roman" w:cs="Times New Roman"/>
          <w:color w:val="auto"/>
        </w:rPr>
        <w:t xml:space="preserve"> prevé que</w:t>
      </w:r>
      <w:r w:rsidRPr="00635A00">
        <w:rPr>
          <w:rFonts w:ascii="Times New Roman" w:hAnsi="Times New Roman" w:cs="Times New Roman"/>
          <w:color w:val="auto"/>
        </w:rPr>
        <w:t xml:space="preserve"> en cualquier momento del trámite legislativo el Congreso puede introducir modificaciones al Plan de Inversiones del PND</w:t>
      </w:r>
      <w:r w:rsidRPr="00635A00">
        <w:rPr>
          <w:rStyle w:val="Refdenotaalpie"/>
          <w:rFonts w:ascii="Times New Roman" w:hAnsi="Times New Roman" w:cs="Times New Roman"/>
          <w:color w:val="auto"/>
        </w:rPr>
        <w:footnoteReference w:id="123"/>
      </w:r>
      <w:r w:rsidRPr="00635A00">
        <w:rPr>
          <w:rFonts w:ascii="Times New Roman" w:hAnsi="Times New Roman" w:cs="Times New Roman"/>
          <w:color w:val="auto"/>
        </w:rPr>
        <w:t>, y que cuando estas se producen en desarrollo de las plenarias, no se requiere que el proyecto retorne a las comisione</w:t>
      </w:r>
      <w:r w:rsidRPr="00635A00">
        <w:rPr>
          <w:rFonts w:ascii="Times New Roman" w:hAnsi="Times New Roman" w:cs="Times New Roman"/>
          <w:color w:val="auto"/>
        </w:rPr>
        <w:t>s donde se aprobaron en primer debate, pero siempre se requerirá la aprobación por parte de la plenaria de la otra cámara.</w:t>
      </w:r>
    </w:p>
    <w:p w:rsidR="004B68C0" w:rsidRPr="00635A00" w:rsidRDefault="00635A00" w:rsidP="004B68C0">
      <w:pPr>
        <w:pStyle w:val="Prrafodelista"/>
        <w:rPr>
          <w:rFonts w:ascii="Times New Roman" w:hAnsi="Times New Roman" w:cs="Times New Roman"/>
          <w:color w:val="auto"/>
        </w:rPr>
      </w:pPr>
    </w:p>
    <w:p w:rsidR="004B68C0"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No obstante, la posibilidad de las plenarias de reformar en segundo debate los proyectos aprobados por las comisiones en primer deba</w:t>
      </w:r>
      <w:r w:rsidRPr="00635A00">
        <w:rPr>
          <w:rFonts w:ascii="Times New Roman" w:hAnsi="Times New Roman" w:cs="Times New Roman"/>
          <w:color w:val="auto"/>
        </w:rPr>
        <w:t>te no es omnímoda</w:t>
      </w:r>
      <w:r w:rsidRPr="00635A00">
        <w:rPr>
          <w:rFonts w:ascii="Times New Roman" w:hAnsi="Times New Roman" w:cs="Times New Roman"/>
          <w:color w:val="auto"/>
        </w:rPr>
        <w:t xml:space="preserve">, ya que, en todo caso, el principio de consecutividad exige garantizar que la materia sea debatida en todas las instancias del trámite legislativo. </w:t>
      </w:r>
      <w:r w:rsidRPr="00635A00">
        <w:rPr>
          <w:rFonts w:ascii="Times New Roman" w:hAnsi="Times New Roman" w:cs="Times New Roman"/>
          <w:color w:val="auto"/>
        </w:rPr>
        <w:t>Para armonizar dicha potestad con esta exigencia procedimental, la Corte ha señalado que l</w:t>
      </w:r>
      <w:r w:rsidRPr="00635A00">
        <w:rPr>
          <w:rFonts w:ascii="Times New Roman" w:hAnsi="Times New Roman" w:cs="Times New Roman"/>
          <w:color w:val="auto"/>
        </w:rPr>
        <w:t>a modificación de los textos en segundo debate se rige por el principio de identidad flexible</w:t>
      </w:r>
      <w:r w:rsidRPr="00635A00">
        <w:rPr>
          <w:rFonts w:ascii="Times New Roman" w:hAnsi="Times New Roman" w:cs="Times New Roman"/>
          <w:color w:val="auto"/>
        </w:rPr>
        <w:t>, el cual exige que</w:t>
      </w:r>
    </w:p>
    <w:p w:rsidR="00307FA1" w:rsidRPr="00635A00" w:rsidRDefault="00635A00" w:rsidP="00307FA1">
      <w:pPr>
        <w:pStyle w:val="Prrafodelista"/>
        <w:rPr>
          <w:rFonts w:ascii="Times New Roman" w:hAnsi="Times New Roman" w:cs="Times New Roman"/>
          <w:color w:val="auto"/>
        </w:rPr>
      </w:pPr>
    </w:p>
    <w:p w:rsidR="00307FA1" w:rsidRPr="00635A00" w:rsidRDefault="00635A00" w:rsidP="00307FA1">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lang w:val="es-ES_tradnl"/>
        </w:rPr>
        <w:t>“el proyecto de ley se conserve siempre el mismo a lo largo del trámite</w:t>
      </w:r>
      <w:r w:rsidRPr="00635A00">
        <w:rPr>
          <w:rFonts w:ascii="Times New Roman" w:hAnsi="Times New Roman" w:cs="Times New Roman"/>
          <w:sz w:val="28"/>
          <w:shd w:val="clear" w:color="auto" w:fill="FFFFFF"/>
        </w:rPr>
        <w:t xml:space="preserve"> legislativo, en cuanto a su materia o núcleo temático, razón por la cual las modificaciones o adiciones introducidas como artículos nuevos deben tener un </w:t>
      </w:r>
      <w:r w:rsidRPr="00635A00">
        <w:rPr>
          <w:rFonts w:ascii="Times New Roman" w:hAnsi="Times New Roman" w:cs="Times New Roman"/>
          <w:sz w:val="28"/>
          <w:u w:val="single"/>
          <w:shd w:val="clear" w:color="auto" w:fill="FFFFFF"/>
        </w:rPr>
        <w:t>vínculo razonable</w:t>
      </w:r>
      <w:r w:rsidRPr="00635A00">
        <w:rPr>
          <w:rFonts w:ascii="Times New Roman" w:hAnsi="Times New Roman" w:cs="Times New Roman"/>
          <w:sz w:val="28"/>
          <w:shd w:val="clear" w:color="auto" w:fill="FFFFFF"/>
        </w:rPr>
        <w:t xml:space="preserve"> con el tema general del proyecto en curso, </w:t>
      </w:r>
      <w:r w:rsidRPr="00635A00">
        <w:rPr>
          <w:rFonts w:ascii="Times New Roman" w:hAnsi="Times New Roman" w:cs="Times New Roman"/>
          <w:sz w:val="28"/>
          <w:u w:val="single"/>
          <w:shd w:val="clear" w:color="auto" w:fill="FFFFFF"/>
        </w:rPr>
        <w:t>lo cual implica que (i) dichos cambios s</w:t>
      </w:r>
      <w:r w:rsidRPr="00635A00">
        <w:rPr>
          <w:rFonts w:ascii="Times New Roman" w:hAnsi="Times New Roman" w:cs="Times New Roman"/>
          <w:sz w:val="28"/>
          <w:u w:val="single"/>
          <w:shd w:val="clear" w:color="auto" w:fill="FFFFFF"/>
        </w:rPr>
        <w:t>e refieran a temas tratados y aprobados en el primer debate, y (ii) que [e]stos temas guarden estrecha relación con el contenido del proyecto</w:t>
      </w:r>
      <w:r w:rsidRPr="00635A00">
        <w:rPr>
          <w:rFonts w:ascii="Times New Roman" w:hAnsi="Times New Roman" w:cs="Times New Roman"/>
          <w:sz w:val="28"/>
          <w:shd w:val="clear" w:color="auto" w:fill="FFFFFF"/>
        </w:rPr>
        <w:t>”</w:t>
      </w:r>
      <w:r w:rsidRPr="00635A00">
        <w:rPr>
          <w:rStyle w:val="Refdenotaalpie"/>
          <w:rFonts w:ascii="Times New Roman" w:hAnsi="Times New Roman" w:cs="Times New Roman"/>
          <w:sz w:val="28"/>
          <w:shd w:val="clear" w:color="auto" w:fill="FFFFFF"/>
        </w:rPr>
        <w:footnoteReference w:id="124"/>
      </w:r>
      <w:r w:rsidRPr="00635A00">
        <w:rPr>
          <w:rFonts w:ascii="Times New Roman" w:hAnsi="Times New Roman" w:cs="Times New Roman"/>
          <w:sz w:val="28"/>
          <w:shd w:val="clear" w:color="auto" w:fill="FFFFFF"/>
        </w:rPr>
        <w:t xml:space="preserve"> (énfasis añadido)</w:t>
      </w:r>
      <w:r w:rsidRPr="00635A00">
        <w:rPr>
          <w:rFonts w:ascii="Times New Roman" w:hAnsi="Times New Roman" w:cs="Times New Roman"/>
          <w:sz w:val="28"/>
          <w:shd w:val="clear" w:color="auto" w:fill="FFFFFF"/>
        </w:rPr>
        <w:t>.</w:t>
      </w:r>
    </w:p>
    <w:p w:rsidR="00307FA1" w:rsidRPr="00635A00" w:rsidRDefault="00635A00" w:rsidP="00307FA1">
      <w:pPr>
        <w:pStyle w:val="Sombreadovistoso-nfasis31"/>
        <w:rPr>
          <w:rFonts w:ascii="Times New Roman" w:hAnsi="Times New Roman" w:cs="Times New Roman"/>
          <w:color w:val="auto"/>
          <w:lang w:val="es-CO"/>
        </w:rPr>
      </w:pPr>
    </w:p>
    <w:p w:rsidR="00ED41BF"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esta misma línea, y a propósito de la satisfacción de los principios de consecutividad e </w:t>
      </w:r>
      <w:r w:rsidRPr="00635A00">
        <w:rPr>
          <w:rFonts w:ascii="Times New Roman" w:hAnsi="Times New Roman" w:cs="Times New Roman"/>
          <w:color w:val="auto"/>
        </w:rPr>
        <w:t>identidad flexible en leyes aprobatorias del PND, la Corte recientemente ha sostenido que</w:t>
      </w:r>
    </w:p>
    <w:p w:rsidR="001017D4" w:rsidRPr="00635A00" w:rsidRDefault="00635A00" w:rsidP="001017D4">
      <w:pPr>
        <w:shd w:val="clear" w:color="auto" w:fill="FFFFFF"/>
        <w:ind w:left="567" w:right="49"/>
        <w:jc w:val="both"/>
        <w:rPr>
          <w:rFonts w:ascii="Times New Roman" w:hAnsi="Times New Roman" w:cs="Times New Roman"/>
          <w:sz w:val="28"/>
          <w:lang w:val="es-ES"/>
        </w:rPr>
      </w:pPr>
    </w:p>
    <w:p w:rsidR="00D254FA" w:rsidRPr="00635A00" w:rsidRDefault="00635A00" w:rsidP="001017D4">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lang w:val="es-ES_tradnl"/>
        </w:rPr>
        <w:t xml:space="preserve">“todo proyecto de ley, a pesar de las modificaciones, adiciones o supresiones introducidas en el trámite legislativo, debe mantener un eje temático común durante la </w:t>
      </w:r>
      <w:r w:rsidRPr="00635A00">
        <w:rPr>
          <w:rFonts w:ascii="Times New Roman" w:hAnsi="Times New Roman" w:cs="Times New Roman"/>
          <w:sz w:val="28"/>
          <w:lang w:val="es-ES_tradnl"/>
        </w:rPr>
        <w:t xml:space="preserve">totalidad de los debates parlamentarios. Por tal razón, </w:t>
      </w:r>
      <w:r w:rsidRPr="00635A00">
        <w:rPr>
          <w:rFonts w:ascii="Times New Roman" w:hAnsi="Times New Roman" w:cs="Times New Roman"/>
          <w:sz w:val="28"/>
          <w:u w:val="single"/>
          <w:lang w:val="es-ES_tradnl"/>
        </w:rPr>
        <w:t xml:space="preserve">está prohibida ‘la introducción de temas nuevos, que no guarden relación con las materias debatidas en </w:t>
      </w:r>
      <w:r w:rsidRPr="00635A00">
        <w:rPr>
          <w:rFonts w:ascii="Times New Roman" w:hAnsi="Times New Roman" w:cs="Times New Roman"/>
          <w:sz w:val="28"/>
          <w:lang w:val="es-ES_tradnl"/>
        </w:rPr>
        <w:t>instancias anteriores del trámite o, en general, conexidad material con el proyecto</w:t>
      </w:r>
      <w:r w:rsidRPr="00635A00">
        <w:rPr>
          <w:rFonts w:ascii="Times New Roman" w:hAnsi="Times New Roman" w:cs="Times New Roman"/>
          <w:sz w:val="28"/>
          <w:u w:val="single"/>
          <w:lang w:val="es-ES_tradnl"/>
        </w:rPr>
        <w:t>, con lo debat</w:t>
      </w:r>
      <w:r w:rsidRPr="00635A00">
        <w:rPr>
          <w:rFonts w:ascii="Times New Roman" w:hAnsi="Times New Roman" w:cs="Times New Roman"/>
          <w:sz w:val="28"/>
          <w:u w:val="single"/>
          <w:lang w:val="es-ES_tradnl"/>
        </w:rPr>
        <w:t>ido y aprobado en las comisiones’</w:t>
      </w:r>
      <w:r w:rsidRPr="00635A00">
        <w:rPr>
          <w:rFonts w:ascii="Times New Roman" w:hAnsi="Times New Roman" w:cs="Times New Roman"/>
          <w:sz w:val="28"/>
          <w:lang w:val="es-ES_tradnl"/>
        </w:rPr>
        <w:t>”</w:t>
      </w:r>
      <w:r w:rsidRPr="00635A00">
        <w:rPr>
          <w:rFonts w:ascii="Times New Roman" w:hAnsi="Times New Roman" w:cs="Times New Roman"/>
          <w:sz w:val="28"/>
          <w:vertAlign w:val="superscript"/>
          <w:lang w:val="es-ES_tradnl"/>
        </w:rPr>
        <w:t xml:space="preserve"> </w:t>
      </w:r>
      <w:r w:rsidRPr="00635A00">
        <w:rPr>
          <w:rFonts w:ascii="Times New Roman" w:hAnsi="Times New Roman" w:cs="Times New Roman"/>
          <w:sz w:val="28"/>
          <w:vertAlign w:val="superscript"/>
          <w:lang w:val="es-ES_tradnl"/>
        </w:rPr>
        <w:footnoteReference w:id="125"/>
      </w:r>
      <w:r w:rsidRPr="00635A00">
        <w:rPr>
          <w:rFonts w:ascii="Times New Roman" w:hAnsi="Times New Roman" w:cs="Times New Roman"/>
          <w:sz w:val="28"/>
          <w:lang w:val="es-ES_tradnl"/>
        </w:rPr>
        <w:t>(énfasis añadido).</w:t>
      </w:r>
    </w:p>
    <w:p w:rsidR="00D254FA" w:rsidRPr="00635A00" w:rsidRDefault="00635A00" w:rsidP="00D254FA">
      <w:pPr>
        <w:pStyle w:val="Sombreadovistoso-nfasis31"/>
        <w:ind w:left="0"/>
        <w:rPr>
          <w:rFonts w:ascii="Times New Roman" w:hAnsi="Times New Roman" w:cs="Times New Roman"/>
          <w:color w:val="auto"/>
          <w:lang w:val="es-CO"/>
        </w:rPr>
      </w:pPr>
    </w:p>
    <w:p w:rsidR="000B1A05" w:rsidRPr="00635A00" w:rsidRDefault="00635A00" w:rsidP="00A376FB">
      <w:pPr>
        <w:pStyle w:val="Sombreadovistoso-nfasis31"/>
        <w:numPr>
          <w:ilvl w:val="0"/>
          <w:numId w:val="3"/>
        </w:numPr>
        <w:rPr>
          <w:rFonts w:ascii="Times New Roman" w:hAnsi="Times New Roman" w:cs="Times New Roman"/>
          <w:b/>
          <w:bCs/>
          <w:color w:val="auto"/>
        </w:rPr>
      </w:pPr>
      <w:bookmarkStart w:id="24" w:name="_Ref171240988"/>
      <w:r w:rsidRPr="00635A00">
        <w:rPr>
          <w:rFonts w:ascii="Times New Roman" w:hAnsi="Times New Roman" w:cs="Times New Roman"/>
          <w:color w:val="auto"/>
        </w:rPr>
        <w:t xml:space="preserve">Esta Corporación se ha referido en </w:t>
      </w:r>
      <w:r w:rsidRPr="00635A00">
        <w:rPr>
          <w:rFonts w:ascii="Times New Roman" w:hAnsi="Times New Roman" w:cs="Times New Roman"/>
          <w:color w:val="auto"/>
        </w:rPr>
        <w:t>numerosas</w:t>
      </w:r>
      <w:r w:rsidRPr="00635A00">
        <w:rPr>
          <w:rFonts w:ascii="Times New Roman" w:hAnsi="Times New Roman" w:cs="Times New Roman"/>
          <w:color w:val="auto"/>
        </w:rPr>
        <w:t xml:space="preserve"> </w:t>
      </w:r>
      <w:r w:rsidRPr="00635A00">
        <w:rPr>
          <w:rFonts w:ascii="Times New Roman" w:hAnsi="Times New Roman" w:cs="Times New Roman"/>
          <w:color w:val="auto"/>
        </w:rPr>
        <w:t>ocasiones</w:t>
      </w:r>
      <w:r w:rsidRPr="00635A00">
        <w:rPr>
          <w:rFonts w:ascii="Times New Roman" w:hAnsi="Times New Roman" w:cs="Times New Roman"/>
          <w:color w:val="auto"/>
        </w:rPr>
        <w:t xml:space="preserve"> a la manera en que se relacionan los principios de consecutividad e identidad flexible</w:t>
      </w:r>
      <w:r w:rsidRPr="00635A00">
        <w:rPr>
          <w:rFonts w:ascii="Times New Roman" w:hAnsi="Times New Roman" w:cs="Times New Roman"/>
          <w:color w:val="auto"/>
        </w:rPr>
        <w:t xml:space="preserve"> durante el proceso legislativo. </w:t>
      </w:r>
      <w:r w:rsidRPr="00635A00">
        <w:rPr>
          <w:rFonts w:ascii="Times New Roman" w:hAnsi="Times New Roman" w:cs="Times New Roman"/>
          <w:color w:val="auto"/>
        </w:rPr>
        <w:t xml:space="preserve">En sus pronunciamientos, </w:t>
      </w:r>
      <w:r w:rsidRPr="00635A00">
        <w:rPr>
          <w:rFonts w:ascii="Times New Roman" w:hAnsi="Times New Roman" w:cs="Times New Roman"/>
          <w:color w:val="auto"/>
        </w:rPr>
        <w:t>la Corte ha sentado las múltiples reglas para la materialización de tales principios en la práctica, de las cuales es preciso traer a colación las siguientes por ser relevantes para la resolución del asunto bajo examen:</w:t>
      </w:r>
      <w:bookmarkEnd w:id="24"/>
      <w:r w:rsidRPr="00635A00">
        <w:rPr>
          <w:rFonts w:ascii="Times New Roman" w:hAnsi="Times New Roman" w:cs="Times New Roman"/>
          <w:color w:val="auto"/>
        </w:rPr>
        <w:t xml:space="preserve"> </w:t>
      </w:r>
    </w:p>
    <w:p w:rsidR="00400419" w:rsidRPr="00635A00" w:rsidRDefault="00635A00" w:rsidP="00CB26DE">
      <w:pPr>
        <w:rPr>
          <w:rFonts w:ascii="Times New Roman" w:hAnsi="Times New Roman" w:cs="Times New Roman"/>
          <w:b/>
          <w:bCs/>
          <w:sz w:val="28"/>
          <w:szCs w:val="28"/>
          <w:lang w:val="es-ES"/>
        </w:rPr>
      </w:pPr>
    </w:p>
    <w:p w:rsidR="00400419" w:rsidRPr="00635A00" w:rsidRDefault="00635A00" w:rsidP="001F3848">
      <w:pPr>
        <w:pStyle w:val="Prrafodelista"/>
        <w:numPr>
          <w:ilvl w:val="0"/>
          <w:numId w:val="24"/>
        </w:numPr>
        <w:tabs>
          <w:tab w:val="left" w:pos="1418"/>
        </w:tabs>
        <w:ind w:left="1418" w:hanging="567"/>
        <w:rPr>
          <w:rFonts w:ascii="Times New Roman" w:hAnsi="Times New Roman" w:cs="Times New Roman"/>
          <w:color w:val="auto"/>
        </w:rPr>
      </w:pPr>
      <w:r w:rsidRPr="00635A00">
        <w:rPr>
          <w:rFonts w:ascii="Times New Roman" w:hAnsi="Times New Roman" w:cs="Times New Roman"/>
          <w:color w:val="auto"/>
        </w:rPr>
        <w:t xml:space="preserve">La satisfacción de los principios </w:t>
      </w:r>
      <w:r w:rsidRPr="00635A00">
        <w:rPr>
          <w:rFonts w:ascii="Times New Roman" w:hAnsi="Times New Roman" w:cs="Times New Roman"/>
          <w:color w:val="auto"/>
        </w:rPr>
        <w:t>de consecutividad e identidad flexible se predica del proyecto de ley en su conjunto, no de sus artículos analizados de manera aislada</w:t>
      </w:r>
      <w:r w:rsidRPr="00635A00">
        <w:rPr>
          <w:rStyle w:val="Refdenotaalpie"/>
          <w:rFonts w:ascii="Times New Roman" w:hAnsi="Times New Roman" w:cs="Times New Roman"/>
          <w:color w:val="auto"/>
        </w:rPr>
        <w:footnoteReference w:id="126"/>
      </w:r>
      <w:r w:rsidRPr="00635A00">
        <w:rPr>
          <w:rFonts w:ascii="Times New Roman" w:hAnsi="Times New Roman" w:cs="Times New Roman"/>
          <w:color w:val="auto"/>
        </w:rPr>
        <w:t>.</w:t>
      </w:r>
    </w:p>
    <w:p w:rsidR="00400419" w:rsidRPr="00635A00" w:rsidRDefault="00635A00" w:rsidP="00400419">
      <w:pPr>
        <w:pStyle w:val="Prrafodelista"/>
        <w:tabs>
          <w:tab w:val="left" w:pos="426"/>
        </w:tabs>
        <w:ind w:left="426"/>
        <w:rPr>
          <w:rFonts w:ascii="Times New Roman" w:hAnsi="Times New Roman" w:cs="Times New Roman"/>
          <w:color w:val="auto"/>
        </w:rPr>
      </w:pPr>
    </w:p>
    <w:p w:rsidR="00400419" w:rsidRPr="00635A00" w:rsidRDefault="00635A00" w:rsidP="001F3848">
      <w:pPr>
        <w:pStyle w:val="Prrafodelista"/>
        <w:numPr>
          <w:ilvl w:val="0"/>
          <w:numId w:val="24"/>
        </w:numPr>
        <w:tabs>
          <w:tab w:val="left" w:pos="1418"/>
        </w:tabs>
        <w:ind w:left="1418" w:hanging="567"/>
        <w:rPr>
          <w:rFonts w:ascii="Times New Roman" w:hAnsi="Times New Roman" w:cs="Times New Roman"/>
          <w:color w:val="auto"/>
        </w:rPr>
      </w:pPr>
      <w:bookmarkStart w:id="25" w:name="_Ref173934254"/>
      <w:r w:rsidRPr="00635A00">
        <w:rPr>
          <w:rFonts w:ascii="Times New Roman" w:hAnsi="Times New Roman" w:cs="Times New Roman"/>
          <w:color w:val="auto"/>
        </w:rPr>
        <w:t xml:space="preserve">Es posible introducir disposiciones nuevas en el segundo debate, siempre y cuando estas (a) </w:t>
      </w:r>
      <w:r w:rsidRPr="00635A00">
        <w:rPr>
          <w:rFonts w:ascii="Times New Roman" w:hAnsi="Times New Roman" w:cs="Times New Roman"/>
          <w:color w:val="auto"/>
        </w:rPr>
        <w:t>tengan un vínculo razonabl</w:t>
      </w:r>
      <w:r w:rsidRPr="00635A00">
        <w:rPr>
          <w:rFonts w:ascii="Times New Roman" w:hAnsi="Times New Roman" w:cs="Times New Roman"/>
          <w:color w:val="auto"/>
        </w:rPr>
        <w:t>e</w:t>
      </w:r>
      <w:r w:rsidRPr="00635A00">
        <w:rPr>
          <w:rFonts w:ascii="Times New Roman" w:hAnsi="Times New Roman" w:cs="Times New Roman"/>
          <w:color w:val="auto"/>
        </w:rPr>
        <w:t xml:space="preserve"> con las temáticas generales del PND; y (b) hayan sido objeto de discusión en cada uno de los debates</w:t>
      </w:r>
      <w:r w:rsidRPr="00635A00">
        <w:rPr>
          <w:rStyle w:val="Refdenotaalpie"/>
          <w:rFonts w:ascii="Times New Roman" w:hAnsi="Times New Roman" w:cs="Times New Roman"/>
          <w:color w:val="auto"/>
        </w:rPr>
        <w:footnoteReference w:id="127"/>
      </w:r>
      <w:r w:rsidRPr="00635A00">
        <w:rPr>
          <w:rFonts w:ascii="Times New Roman" w:hAnsi="Times New Roman" w:cs="Times New Roman"/>
          <w:color w:val="auto"/>
        </w:rPr>
        <w:t xml:space="preserve">. Estas dos condiciones son </w:t>
      </w:r>
      <w:r w:rsidRPr="00635A00">
        <w:rPr>
          <w:rFonts w:ascii="Times New Roman" w:hAnsi="Times New Roman" w:cs="Times New Roman"/>
          <w:color w:val="auto"/>
        </w:rPr>
        <w:t>a</w:t>
      </w:r>
      <w:r w:rsidRPr="00635A00">
        <w:rPr>
          <w:rFonts w:ascii="Times New Roman" w:hAnsi="Times New Roman" w:cs="Times New Roman"/>
          <w:color w:val="auto"/>
        </w:rPr>
        <w:t>cumulativas, es decir, ambas deben concurrir para poder afirmar que el asunto nuevo incorporado en segundo debate respeta lo</w:t>
      </w:r>
      <w:r w:rsidRPr="00635A00">
        <w:rPr>
          <w:rFonts w:ascii="Times New Roman" w:hAnsi="Times New Roman" w:cs="Times New Roman"/>
          <w:color w:val="auto"/>
        </w:rPr>
        <w:t>s principios de consecutividad e identidad flexible.</w:t>
      </w:r>
      <w:bookmarkEnd w:id="25"/>
    </w:p>
    <w:p w:rsidR="00400419" w:rsidRPr="00635A00" w:rsidRDefault="00635A00" w:rsidP="00400419">
      <w:pPr>
        <w:rPr>
          <w:rFonts w:ascii="Times New Roman" w:hAnsi="Times New Roman" w:cs="Times New Roman"/>
          <w:sz w:val="28"/>
          <w:szCs w:val="28"/>
          <w:lang w:val="es-ES"/>
        </w:rPr>
      </w:pPr>
    </w:p>
    <w:p w:rsidR="00400419" w:rsidRPr="00635A00" w:rsidRDefault="00635A00" w:rsidP="001F3848">
      <w:pPr>
        <w:pStyle w:val="Prrafodelista"/>
        <w:numPr>
          <w:ilvl w:val="0"/>
          <w:numId w:val="24"/>
        </w:numPr>
        <w:tabs>
          <w:tab w:val="left" w:pos="1418"/>
        </w:tabs>
        <w:ind w:left="1418" w:hanging="567"/>
        <w:rPr>
          <w:rFonts w:ascii="Times New Roman" w:hAnsi="Times New Roman" w:cs="Times New Roman"/>
          <w:color w:val="auto"/>
        </w:rPr>
      </w:pPr>
      <w:r w:rsidRPr="00635A00">
        <w:rPr>
          <w:rFonts w:ascii="Times New Roman" w:hAnsi="Times New Roman" w:cs="Times New Roman"/>
          <w:color w:val="auto"/>
        </w:rPr>
        <w:t>Se violan los principios de consecutividad e identidad flexible cuando la disposición nueva introducida en segundo debate no guarda cercanía temática con lo discutido en primer debate, sino que constitu</w:t>
      </w:r>
      <w:r w:rsidRPr="00635A00">
        <w:rPr>
          <w:rFonts w:ascii="Times New Roman" w:hAnsi="Times New Roman" w:cs="Times New Roman"/>
          <w:color w:val="auto"/>
        </w:rPr>
        <w:t>ye más bien una materia autónoma e independiente</w:t>
      </w:r>
      <w:r w:rsidRPr="00635A00">
        <w:rPr>
          <w:rStyle w:val="Refdenotaalpie"/>
          <w:rFonts w:ascii="Times New Roman" w:hAnsi="Times New Roman" w:cs="Times New Roman"/>
          <w:color w:val="auto"/>
        </w:rPr>
        <w:footnoteReference w:id="128"/>
      </w:r>
      <w:r w:rsidRPr="00635A00">
        <w:rPr>
          <w:rFonts w:ascii="Times New Roman" w:hAnsi="Times New Roman" w:cs="Times New Roman"/>
          <w:color w:val="auto"/>
        </w:rPr>
        <w:t>.</w:t>
      </w:r>
    </w:p>
    <w:p w:rsidR="00400419" w:rsidRPr="00635A00" w:rsidRDefault="00635A00" w:rsidP="00400419">
      <w:pPr>
        <w:pStyle w:val="Prrafodelista"/>
        <w:tabs>
          <w:tab w:val="left" w:pos="426"/>
        </w:tabs>
        <w:ind w:left="426"/>
        <w:rPr>
          <w:rFonts w:ascii="Times New Roman" w:hAnsi="Times New Roman" w:cs="Times New Roman"/>
          <w:color w:val="auto"/>
        </w:rPr>
      </w:pPr>
    </w:p>
    <w:p w:rsidR="00400419" w:rsidRPr="00635A00" w:rsidRDefault="00635A00" w:rsidP="001F3848">
      <w:pPr>
        <w:pStyle w:val="Prrafodelista"/>
        <w:numPr>
          <w:ilvl w:val="0"/>
          <w:numId w:val="24"/>
        </w:numPr>
        <w:tabs>
          <w:tab w:val="left" w:pos="1418"/>
        </w:tabs>
        <w:ind w:left="1418" w:hanging="567"/>
        <w:rPr>
          <w:rFonts w:ascii="Times New Roman" w:hAnsi="Times New Roman" w:cs="Times New Roman"/>
          <w:color w:val="auto"/>
        </w:rPr>
      </w:pPr>
      <w:r w:rsidRPr="00635A00">
        <w:rPr>
          <w:rFonts w:ascii="Times New Roman" w:hAnsi="Times New Roman" w:cs="Times New Roman"/>
          <w:color w:val="auto"/>
        </w:rPr>
        <w:t>Dicha cercanía temática implica que entre el proyecto estudiado en primer debate y la disposición introducida en segundo debate debe existir una conexidad clara, estrecha, necesaria y evidente</w:t>
      </w:r>
      <w:r w:rsidRPr="00635A00">
        <w:rPr>
          <w:rStyle w:val="Refdenotaalpie"/>
          <w:rFonts w:ascii="Times New Roman" w:hAnsi="Times New Roman" w:cs="Times New Roman"/>
          <w:color w:val="auto"/>
        </w:rPr>
        <w:footnoteReference w:id="129"/>
      </w:r>
      <w:r w:rsidRPr="00635A00">
        <w:rPr>
          <w:rFonts w:ascii="Times New Roman" w:hAnsi="Times New Roman" w:cs="Times New Roman"/>
          <w:color w:val="auto"/>
        </w:rPr>
        <w:t>.</w:t>
      </w:r>
    </w:p>
    <w:p w:rsidR="00400419" w:rsidRPr="00635A00" w:rsidRDefault="00635A00" w:rsidP="00400419">
      <w:pPr>
        <w:pStyle w:val="Prrafodelista"/>
        <w:tabs>
          <w:tab w:val="left" w:pos="426"/>
        </w:tabs>
        <w:ind w:left="426"/>
        <w:rPr>
          <w:rFonts w:ascii="Times New Roman" w:hAnsi="Times New Roman" w:cs="Times New Roman"/>
          <w:color w:val="auto"/>
        </w:rPr>
      </w:pPr>
    </w:p>
    <w:p w:rsidR="00400419" w:rsidRPr="00635A00" w:rsidRDefault="00635A00" w:rsidP="001F3848">
      <w:pPr>
        <w:pStyle w:val="Prrafodelista"/>
        <w:numPr>
          <w:ilvl w:val="0"/>
          <w:numId w:val="24"/>
        </w:numPr>
        <w:tabs>
          <w:tab w:val="left" w:pos="1418"/>
        </w:tabs>
        <w:ind w:left="1418" w:hanging="567"/>
        <w:rPr>
          <w:rFonts w:ascii="Times New Roman" w:hAnsi="Times New Roman" w:cs="Times New Roman"/>
          <w:color w:val="auto"/>
        </w:rPr>
      </w:pPr>
      <w:r w:rsidRPr="00635A00">
        <w:rPr>
          <w:rFonts w:ascii="Times New Roman" w:hAnsi="Times New Roman" w:cs="Times New Roman"/>
          <w:color w:val="auto"/>
        </w:rPr>
        <w:t xml:space="preserve">No </w:t>
      </w:r>
      <w:r w:rsidRPr="00635A00">
        <w:rPr>
          <w:rFonts w:ascii="Times New Roman" w:hAnsi="Times New Roman" w:cs="Times New Roman"/>
          <w:color w:val="auto"/>
        </w:rPr>
        <w:t>constituyen temas nuevos</w:t>
      </w:r>
      <w:r w:rsidRPr="00635A00">
        <w:rPr>
          <w:rStyle w:val="Refdenotaalpie"/>
          <w:rFonts w:ascii="Times New Roman" w:hAnsi="Times New Roman" w:cs="Times New Roman"/>
          <w:color w:val="auto"/>
        </w:rPr>
        <w:footnoteReference w:id="130"/>
      </w:r>
      <w:r w:rsidRPr="00635A00">
        <w:rPr>
          <w:rFonts w:ascii="Times New Roman" w:hAnsi="Times New Roman" w:cs="Times New Roman"/>
          <w:color w:val="auto"/>
        </w:rPr>
        <w:t xml:space="preserve"> (a) artículos que contienen asuntos tratados previamente en las comisiones; (b) adiciones que desarrollan aspectos de un tema central del proyecto de ley siempre y cuando tales adiciones estén comprendidas dentro de lo previamente</w:t>
      </w:r>
      <w:r w:rsidRPr="00635A00">
        <w:rPr>
          <w:rFonts w:ascii="Times New Roman" w:hAnsi="Times New Roman" w:cs="Times New Roman"/>
          <w:color w:val="auto"/>
        </w:rPr>
        <w:t xml:space="preserve"> debatido; (c) artículos que reafirman una decisión adoptada por las comisiones; (d) las modificaciones o adiciones que se introducen con el fin de precisar o delimitar el alcance de las decisiones adoptadas en primer debate; </w:t>
      </w:r>
      <w:r w:rsidRPr="00635A00">
        <w:rPr>
          <w:rFonts w:ascii="Times New Roman" w:hAnsi="Times New Roman" w:cs="Times New Roman"/>
          <w:color w:val="auto"/>
        </w:rPr>
        <w:t xml:space="preserve">y </w:t>
      </w:r>
      <w:r w:rsidRPr="00635A00">
        <w:rPr>
          <w:rFonts w:ascii="Times New Roman" w:hAnsi="Times New Roman" w:cs="Times New Roman"/>
          <w:color w:val="auto"/>
        </w:rPr>
        <w:t>(e) las que fijan pautas con</w:t>
      </w:r>
      <w:r w:rsidRPr="00635A00">
        <w:rPr>
          <w:rFonts w:ascii="Times New Roman" w:hAnsi="Times New Roman" w:cs="Times New Roman"/>
          <w:color w:val="auto"/>
        </w:rPr>
        <w:t>cretas derivadas de un tema tratado en primer debate.</w:t>
      </w:r>
    </w:p>
    <w:p w:rsidR="00400419" w:rsidRPr="00635A00" w:rsidRDefault="00635A00" w:rsidP="00CB26DE">
      <w:pPr>
        <w:rPr>
          <w:rFonts w:ascii="Times New Roman" w:hAnsi="Times New Roman" w:cs="Times New Roman"/>
          <w:b/>
          <w:bCs/>
          <w:sz w:val="28"/>
          <w:szCs w:val="28"/>
          <w:lang w:val="es-ES"/>
        </w:rPr>
      </w:pPr>
    </w:p>
    <w:p w:rsidR="00ED79A7" w:rsidRPr="00635A00" w:rsidRDefault="00635A00" w:rsidP="00ED79A7">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Sobre la base de estas consideraciones, a continuación la Sala analizará si durante el trámite legislativo de las normas demandadas se quebrantaron o no los principios de consecutividad e identidad fle</w:t>
      </w:r>
      <w:r w:rsidRPr="00635A00">
        <w:rPr>
          <w:rFonts w:ascii="Times New Roman" w:hAnsi="Times New Roman" w:cs="Times New Roman"/>
          <w:color w:val="auto"/>
        </w:rPr>
        <w:t xml:space="preserve">xible. </w:t>
      </w:r>
    </w:p>
    <w:p w:rsidR="00ED79A7" w:rsidRPr="00635A00" w:rsidRDefault="00635A00" w:rsidP="00CB26DE">
      <w:pPr>
        <w:rPr>
          <w:rFonts w:ascii="Times New Roman" w:hAnsi="Times New Roman" w:cs="Times New Roman"/>
          <w:b/>
          <w:bCs/>
          <w:sz w:val="28"/>
          <w:szCs w:val="28"/>
          <w:lang w:val="es-ES"/>
        </w:rPr>
      </w:pPr>
    </w:p>
    <w:p w:rsidR="000B1A05" w:rsidRPr="00635A00" w:rsidRDefault="00635A00" w:rsidP="00677CC5">
      <w:pPr>
        <w:jc w:val="both"/>
        <w:rPr>
          <w:rFonts w:ascii="Times New Roman" w:hAnsi="Times New Roman" w:cs="Times New Roman"/>
          <w:b/>
          <w:bCs/>
          <w:sz w:val="28"/>
          <w:szCs w:val="28"/>
          <w:lang w:val="es-ES"/>
        </w:rPr>
      </w:pPr>
      <w:r w:rsidRPr="00635A00">
        <w:rPr>
          <w:rFonts w:ascii="Times New Roman" w:hAnsi="Times New Roman" w:cs="Times New Roman"/>
          <w:b/>
          <w:bCs/>
          <w:sz w:val="28"/>
          <w:szCs w:val="28"/>
          <w:lang w:val="es-ES"/>
        </w:rPr>
        <w:t xml:space="preserve">Caso concreto: el numeral 6° y el parágrafo 3° del artículo 61 de la Ley 2294 de 2023 se expidieron con violación </w:t>
      </w:r>
      <w:r w:rsidRPr="00635A00">
        <w:rPr>
          <w:rFonts w:ascii="Times New Roman" w:hAnsi="Times New Roman" w:cs="Times New Roman"/>
          <w:b/>
          <w:bCs/>
          <w:sz w:val="28"/>
          <w:szCs w:val="28"/>
          <w:lang w:val="es-ES"/>
        </w:rPr>
        <w:t>de los principios de consecutividad e identidad flexible</w:t>
      </w:r>
      <w:r w:rsidRPr="00635A00">
        <w:rPr>
          <w:rFonts w:ascii="Times New Roman" w:hAnsi="Times New Roman" w:cs="Times New Roman"/>
          <w:b/>
          <w:bCs/>
          <w:sz w:val="28"/>
          <w:szCs w:val="28"/>
          <w:lang w:val="es-ES"/>
        </w:rPr>
        <w:t>.</w:t>
      </w:r>
    </w:p>
    <w:p w:rsidR="00CB26DE" w:rsidRPr="00635A00" w:rsidRDefault="00635A00" w:rsidP="00CB26DE">
      <w:pPr>
        <w:rPr>
          <w:rFonts w:ascii="Times New Roman" w:hAnsi="Times New Roman" w:cs="Times New Roman"/>
          <w:sz w:val="28"/>
          <w:lang w:val="es-ES"/>
        </w:rPr>
      </w:pPr>
    </w:p>
    <w:p w:rsidR="00B15E36" w:rsidRPr="00635A00" w:rsidRDefault="00635A00" w:rsidP="00B15E36">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 continuación se hará un breve recuento de los antecedentes de la Ley </w:t>
      </w:r>
      <w:r w:rsidRPr="00635A00">
        <w:rPr>
          <w:rFonts w:ascii="Times New Roman" w:hAnsi="Times New Roman" w:cs="Times New Roman"/>
          <w:color w:val="auto"/>
        </w:rPr>
        <w:t>2294 con énfasis en el trámite que se le dio al numeral 6° y al parágrafo 3° del artículo 61</w:t>
      </w:r>
      <w:r w:rsidRPr="00635A00">
        <w:rPr>
          <w:rFonts w:ascii="Times New Roman" w:hAnsi="Times New Roman" w:cs="Times New Roman"/>
          <w:color w:val="auto"/>
        </w:rPr>
        <w:t>. L</w:t>
      </w:r>
      <w:r w:rsidRPr="00635A00">
        <w:rPr>
          <w:rFonts w:ascii="Times New Roman" w:hAnsi="Times New Roman" w:cs="Times New Roman"/>
          <w:color w:val="auto"/>
        </w:rPr>
        <w:t xml:space="preserve">a Sala </w:t>
      </w:r>
      <w:r w:rsidRPr="00635A00">
        <w:rPr>
          <w:rFonts w:ascii="Times New Roman" w:hAnsi="Times New Roman" w:cs="Times New Roman"/>
          <w:color w:val="auto"/>
        </w:rPr>
        <w:t>constatará</w:t>
      </w:r>
      <w:r w:rsidRPr="00635A00">
        <w:rPr>
          <w:rFonts w:ascii="Times New Roman" w:hAnsi="Times New Roman" w:cs="Times New Roman"/>
          <w:color w:val="auto"/>
        </w:rPr>
        <w:t xml:space="preserve"> que, tal como lo </w:t>
      </w:r>
      <w:r w:rsidRPr="00635A00">
        <w:rPr>
          <w:rFonts w:ascii="Times New Roman" w:hAnsi="Times New Roman" w:cs="Times New Roman"/>
          <w:color w:val="auto"/>
        </w:rPr>
        <w:t>señaló el demandante dentro del Expediente D-15461,</w:t>
      </w:r>
      <w:r w:rsidRPr="00635A00">
        <w:rPr>
          <w:rFonts w:ascii="Times New Roman" w:hAnsi="Times New Roman" w:cs="Times New Roman"/>
          <w:color w:val="auto"/>
        </w:rPr>
        <w:t xml:space="preserve"> estas normas </w:t>
      </w:r>
      <w:r w:rsidRPr="00635A00">
        <w:rPr>
          <w:rFonts w:ascii="Times New Roman" w:hAnsi="Times New Roman" w:cs="Times New Roman"/>
          <w:color w:val="auto"/>
        </w:rPr>
        <w:t>no hacían parte del proyecto de ley original ni del que fue a</w:t>
      </w:r>
      <w:r w:rsidRPr="00635A00">
        <w:rPr>
          <w:rFonts w:ascii="Times New Roman" w:hAnsi="Times New Roman" w:cs="Times New Roman"/>
          <w:color w:val="auto"/>
        </w:rPr>
        <w:t xml:space="preserve">probado en primer debate por las Comisiones Terceras y Cuartas de ambas cámaras, sino que </w:t>
      </w:r>
      <w:r w:rsidRPr="00635A00">
        <w:rPr>
          <w:rFonts w:ascii="Times New Roman" w:hAnsi="Times New Roman" w:cs="Times New Roman"/>
          <w:color w:val="auto"/>
        </w:rPr>
        <w:t xml:space="preserve">se incorporaron al articulado a través de proposiciones aprobadas </w:t>
      </w:r>
      <w:r w:rsidRPr="00635A00">
        <w:rPr>
          <w:rFonts w:ascii="Times New Roman" w:hAnsi="Times New Roman" w:cs="Times New Roman"/>
          <w:color w:val="auto"/>
        </w:rPr>
        <w:t>por</w:t>
      </w:r>
      <w:r w:rsidRPr="00635A00">
        <w:rPr>
          <w:rFonts w:ascii="Times New Roman" w:hAnsi="Times New Roman" w:cs="Times New Roman"/>
          <w:color w:val="auto"/>
        </w:rPr>
        <w:t xml:space="preserve"> las plenarias del Senado y de la Cámara de Representantes. </w:t>
      </w:r>
      <w:r w:rsidRPr="00635A00">
        <w:rPr>
          <w:rFonts w:ascii="Times New Roman" w:hAnsi="Times New Roman" w:cs="Times New Roman"/>
          <w:color w:val="auto"/>
        </w:rPr>
        <w:t>Por consiguiente, se deberá</w:t>
      </w:r>
      <w:r w:rsidRPr="00635A00">
        <w:rPr>
          <w:rFonts w:ascii="Times New Roman" w:hAnsi="Times New Roman" w:cs="Times New Roman"/>
          <w:color w:val="auto"/>
        </w:rPr>
        <w:t xml:space="preserve"> verificar</w:t>
      </w:r>
      <w:r w:rsidRPr="00635A00">
        <w:rPr>
          <w:rFonts w:ascii="Times New Roman" w:hAnsi="Times New Roman" w:cs="Times New Roman"/>
          <w:color w:val="auto"/>
        </w:rPr>
        <w:t xml:space="preserve"> si dicha modificación introducida en segundo debate </w:t>
      </w:r>
      <w:r w:rsidRPr="00635A00">
        <w:rPr>
          <w:rFonts w:ascii="Times New Roman" w:hAnsi="Times New Roman" w:cs="Times New Roman"/>
          <w:color w:val="auto"/>
        </w:rPr>
        <w:t>respetó los principios de consecutividad e identidad flexible, a la luz de los parámetros expuestos en el anterior acápite. Como resultado de este análisis, la Sala concluirá que las normas acusadas queb</w:t>
      </w:r>
      <w:r w:rsidRPr="00635A00">
        <w:rPr>
          <w:rFonts w:ascii="Times New Roman" w:hAnsi="Times New Roman" w:cs="Times New Roman"/>
          <w:color w:val="auto"/>
        </w:rPr>
        <w:t>rantaron tales principios</w:t>
      </w:r>
      <w:r w:rsidRPr="00635A00">
        <w:rPr>
          <w:rFonts w:ascii="Times New Roman" w:hAnsi="Times New Roman" w:cs="Times New Roman"/>
          <w:color w:val="auto"/>
        </w:rPr>
        <w:t xml:space="preserve">, por una parte, como consecuencia de la vulneración del principio de publicidad durante el segundo debate ante la plenaria del Senado, y, por otra, </w:t>
      </w:r>
      <w:r w:rsidRPr="00635A00">
        <w:rPr>
          <w:rFonts w:ascii="Times New Roman" w:hAnsi="Times New Roman" w:cs="Times New Roman"/>
          <w:color w:val="auto"/>
        </w:rPr>
        <w:t xml:space="preserve">porque </w:t>
      </w:r>
      <w:r w:rsidRPr="00635A00">
        <w:rPr>
          <w:rFonts w:ascii="Times New Roman" w:hAnsi="Times New Roman" w:cs="Times New Roman"/>
          <w:color w:val="auto"/>
        </w:rPr>
        <w:t>el</w:t>
      </w:r>
      <w:r w:rsidRPr="00635A00">
        <w:rPr>
          <w:rFonts w:ascii="Times New Roman" w:hAnsi="Times New Roman" w:cs="Times New Roman"/>
          <w:color w:val="auto"/>
        </w:rPr>
        <w:t xml:space="preserve"> contenido</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de los preceptos demandados, aunque </w:t>
      </w:r>
      <w:r w:rsidRPr="00635A00">
        <w:rPr>
          <w:rFonts w:ascii="Times New Roman" w:hAnsi="Times New Roman" w:cs="Times New Roman"/>
          <w:color w:val="auto"/>
        </w:rPr>
        <w:t xml:space="preserve">tiene </w:t>
      </w:r>
      <w:r w:rsidRPr="00635A00">
        <w:rPr>
          <w:rFonts w:ascii="Times New Roman" w:hAnsi="Times New Roman" w:cs="Times New Roman"/>
          <w:color w:val="auto"/>
        </w:rPr>
        <w:t>relación</w:t>
      </w:r>
      <w:r w:rsidRPr="00635A00">
        <w:rPr>
          <w:rFonts w:ascii="Times New Roman" w:hAnsi="Times New Roman" w:cs="Times New Roman"/>
          <w:color w:val="auto"/>
        </w:rPr>
        <w:t xml:space="preserve"> con la </w:t>
      </w:r>
      <w:r w:rsidRPr="00635A00">
        <w:rPr>
          <w:rFonts w:ascii="Times New Roman" w:hAnsi="Times New Roman" w:cs="Times New Roman"/>
          <w:color w:val="auto"/>
        </w:rPr>
        <w:t>mate</w:t>
      </w:r>
      <w:r w:rsidRPr="00635A00">
        <w:rPr>
          <w:rFonts w:ascii="Times New Roman" w:hAnsi="Times New Roman" w:cs="Times New Roman"/>
          <w:color w:val="auto"/>
        </w:rPr>
        <w:t>ria</w:t>
      </w:r>
      <w:r w:rsidRPr="00635A00">
        <w:rPr>
          <w:rFonts w:ascii="Times New Roman" w:hAnsi="Times New Roman" w:cs="Times New Roman"/>
          <w:color w:val="auto"/>
        </w:rPr>
        <w:t xml:space="preserve"> general del PND, no</w:t>
      </w:r>
      <w:r w:rsidRPr="00635A00">
        <w:rPr>
          <w:rFonts w:ascii="Times New Roman" w:hAnsi="Times New Roman" w:cs="Times New Roman"/>
          <w:color w:val="auto"/>
        </w:rPr>
        <w:t xml:space="preserve"> corresponde a un asunto que haya sido</w:t>
      </w:r>
      <w:r w:rsidRPr="00635A00">
        <w:rPr>
          <w:rFonts w:ascii="Times New Roman" w:hAnsi="Times New Roman" w:cs="Times New Roman"/>
          <w:color w:val="auto"/>
        </w:rPr>
        <w:t xml:space="preserve"> discutido ni aprobado en primer debate.</w:t>
      </w:r>
    </w:p>
    <w:p w:rsidR="008903A1" w:rsidRPr="00635A00" w:rsidRDefault="00635A00" w:rsidP="00CB26DE">
      <w:pPr>
        <w:rPr>
          <w:rFonts w:ascii="Times New Roman" w:hAnsi="Times New Roman" w:cs="Times New Roman"/>
          <w:b/>
          <w:bCs/>
          <w:sz w:val="28"/>
          <w:szCs w:val="28"/>
          <w:lang w:val="es-ES"/>
        </w:rPr>
      </w:pPr>
    </w:p>
    <w:p w:rsidR="009A43DB" w:rsidRPr="00635A00" w:rsidRDefault="00635A00" w:rsidP="009A43DB">
      <w:pPr>
        <w:jc w:val="both"/>
        <w:rPr>
          <w:rFonts w:ascii="Times New Roman" w:hAnsi="Times New Roman" w:cs="Times New Roman"/>
          <w:b/>
          <w:bCs/>
          <w:sz w:val="28"/>
          <w:szCs w:val="28"/>
          <w:lang w:val="es-ES"/>
        </w:rPr>
      </w:pPr>
      <w:r w:rsidRPr="00635A00">
        <w:rPr>
          <w:rFonts w:ascii="Times New Roman" w:hAnsi="Times New Roman" w:cs="Times New Roman"/>
          <w:b/>
          <w:bCs/>
          <w:sz w:val="28"/>
          <w:szCs w:val="28"/>
          <w:lang w:val="es-ES"/>
        </w:rPr>
        <w:t xml:space="preserve">Las normas demandadas fueron incorporadas </w:t>
      </w:r>
      <w:r w:rsidRPr="00635A00">
        <w:rPr>
          <w:rFonts w:ascii="Times New Roman" w:hAnsi="Times New Roman" w:cs="Times New Roman"/>
          <w:b/>
          <w:bCs/>
          <w:sz w:val="28"/>
          <w:szCs w:val="28"/>
          <w:lang w:val="es-ES"/>
        </w:rPr>
        <w:t>en</w:t>
      </w:r>
      <w:r w:rsidRPr="00635A00">
        <w:rPr>
          <w:rFonts w:ascii="Times New Roman" w:hAnsi="Times New Roman" w:cs="Times New Roman"/>
          <w:b/>
          <w:bCs/>
          <w:sz w:val="28"/>
          <w:szCs w:val="28"/>
          <w:lang w:val="es-ES"/>
        </w:rPr>
        <w:t xml:space="preserve"> segundo debate</w:t>
      </w:r>
      <w:r w:rsidRPr="00635A00">
        <w:rPr>
          <w:rFonts w:ascii="Times New Roman" w:hAnsi="Times New Roman" w:cs="Times New Roman"/>
          <w:b/>
          <w:bCs/>
          <w:sz w:val="28"/>
          <w:szCs w:val="28"/>
          <w:lang w:val="es-ES"/>
        </w:rPr>
        <w:t>.</w:t>
      </w:r>
      <w:r w:rsidRPr="00635A00">
        <w:rPr>
          <w:rFonts w:ascii="Times New Roman" w:hAnsi="Times New Roman" w:cs="Times New Roman"/>
          <w:b/>
          <w:bCs/>
          <w:sz w:val="28"/>
          <w:szCs w:val="28"/>
          <w:lang w:val="es-ES"/>
        </w:rPr>
        <w:t xml:space="preserve"> </w:t>
      </w:r>
    </w:p>
    <w:p w:rsidR="009A43DB" w:rsidRPr="00635A00" w:rsidRDefault="00635A00" w:rsidP="009A43DB">
      <w:pPr>
        <w:jc w:val="both"/>
        <w:rPr>
          <w:rFonts w:ascii="Times New Roman" w:hAnsi="Times New Roman" w:cs="Times New Roman"/>
          <w:sz w:val="28"/>
          <w:szCs w:val="28"/>
          <w:lang w:val="es-ES"/>
        </w:rPr>
      </w:pPr>
    </w:p>
    <w:p w:rsidR="002801CD" w:rsidRPr="00635A00" w:rsidRDefault="00635A00" w:rsidP="002801CD">
      <w:pPr>
        <w:pStyle w:val="Sombreadovistoso-nfasis31"/>
        <w:numPr>
          <w:ilvl w:val="0"/>
          <w:numId w:val="3"/>
        </w:numPr>
        <w:rPr>
          <w:rFonts w:ascii="Times New Roman" w:hAnsi="Times New Roman" w:cs="Times New Roman"/>
          <w:color w:val="auto"/>
        </w:rPr>
      </w:pPr>
      <w:bookmarkStart w:id="26" w:name="_Ref171241306"/>
      <w:r w:rsidRPr="00635A00">
        <w:rPr>
          <w:rFonts w:ascii="Times New Roman" w:hAnsi="Times New Roman" w:cs="Times New Roman"/>
          <w:color w:val="auto"/>
        </w:rPr>
        <w:t xml:space="preserve">El proyecto de ley presentado por el Gobierno nacional se publicó en la Gaceta del Congreso No. 18 del 18 de febrero de 2023. </w:t>
      </w:r>
      <w:r w:rsidRPr="00635A00">
        <w:rPr>
          <w:rFonts w:ascii="Times New Roman" w:hAnsi="Times New Roman" w:cs="Times New Roman"/>
          <w:color w:val="auto"/>
        </w:rPr>
        <w:t>E</w:t>
      </w:r>
      <w:r w:rsidRPr="00635A00">
        <w:rPr>
          <w:rFonts w:ascii="Times New Roman" w:hAnsi="Times New Roman" w:cs="Times New Roman"/>
          <w:color w:val="auto"/>
        </w:rPr>
        <w:t xml:space="preserve">l Título III sobre mecanismos de ejecución del PND </w:t>
      </w:r>
      <w:r w:rsidRPr="00635A00">
        <w:rPr>
          <w:rFonts w:ascii="Times New Roman" w:hAnsi="Times New Roman" w:cs="Times New Roman"/>
          <w:color w:val="auto"/>
        </w:rPr>
        <w:t xml:space="preserve">mantenía </w:t>
      </w:r>
      <w:r w:rsidRPr="00635A00">
        <w:rPr>
          <w:rFonts w:ascii="Times New Roman" w:hAnsi="Times New Roman" w:cs="Times New Roman"/>
          <w:color w:val="auto"/>
        </w:rPr>
        <w:t>un Capítulo II sobre el eje de transformación “Ordenamiento del terri</w:t>
      </w:r>
      <w:r w:rsidRPr="00635A00">
        <w:rPr>
          <w:rFonts w:ascii="Times New Roman" w:hAnsi="Times New Roman" w:cs="Times New Roman"/>
          <w:color w:val="auto"/>
        </w:rPr>
        <w:t>torio alrededor del agua y justicia ambiental”, que, a su vez, tenía una Sección VI con medidas relacionadas con la “tenencia en las zonas rural, urbana y suburbana formalizada, adjudicada y regularizada”.</w:t>
      </w:r>
      <w:bookmarkEnd w:id="26"/>
      <w:r w:rsidRPr="00635A00">
        <w:rPr>
          <w:rFonts w:ascii="Times New Roman" w:hAnsi="Times New Roman" w:cs="Times New Roman"/>
          <w:color w:val="auto"/>
        </w:rPr>
        <w:t xml:space="preserve"> </w:t>
      </w:r>
    </w:p>
    <w:p w:rsidR="00733C3E" w:rsidRPr="00635A00" w:rsidRDefault="00635A00" w:rsidP="00733C3E">
      <w:pPr>
        <w:pStyle w:val="Sombreadovistoso-nfasis31"/>
        <w:ind w:left="0"/>
        <w:rPr>
          <w:rFonts w:ascii="Times New Roman" w:hAnsi="Times New Roman" w:cs="Times New Roman"/>
          <w:color w:val="auto"/>
        </w:rPr>
      </w:pPr>
    </w:p>
    <w:p w:rsidR="00733C3E" w:rsidRPr="00635A00" w:rsidRDefault="00635A00" w:rsidP="002801CD">
      <w:pPr>
        <w:pStyle w:val="Sombreadovistoso-nfasis31"/>
        <w:numPr>
          <w:ilvl w:val="0"/>
          <w:numId w:val="3"/>
        </w:numPr>
        <w:rPr>
          <w:rFonts w:ascii="Times New Roman" w:hAnsi="Times New Roman" w:cs="Times New Roman"/>
          <w:color w:val="auto"/>
        </w:rPr>
      </w:pPr>
      <w:bookmarkStart w:id="27" w:name="_Ref171241320"/>
      <w:r w:rsidRPr="00635A00">
        <w:rPr>
          <w:rFonts w:ascii="Times New Roman" w:hAnsi="Times New Roman" w:cs="Times New Roman"/>
          <w:color w:val="auto"/>
        </w:rPr>
        <w:t xml:space="preserve">La referida Sección VI contenía un artículo 48, </w:t>
      </w:r>
      <w:r w:rsidRPr="00635A00">
        <w:rPr>
          <w:rFonts w:ascii="Times New Roman" w:hAnsi="Times New Roman" w:cs="Times New Roman"/>
          <w:color w:val="auto"/>
        </w:rPr>
        <w:t xml:space="preserve">que ahora corresponde al artículo 61 de la Ley 2294, referido a los “mecanismos para facilitar y dinamizar los procesos de compra de tierras por oferta voluntaria”. En su versión original, esta norma regulaba cuatro medidas concretas: (i) el saneamiento a </w:t>
      </w:r>
      <w:r w:rsidRPr="00635A00">
        <w:rPr>
          <w:rFonts w:ascii="Times New Roman" w:hAnsi="Times New Roman" w:cs="Times New Roman"/>
          <w:color w:val="auto"/>
        </w:rPr>
        <w:t>favor de la ANT de bienes adquiridos por negociación directa; (ii) la compra de tierras al FRISCO; (iii) la compra de tierras al Fondo de Reparación de Víctimas; y (iv) la transferencia directa de bienes inmuebles rurales por parte de otras entidades públi</w:t>
      </w:r>
      <w:r w:rsidRPr="00635A00">
        <w:rPr>
          <w:rFonts w:ascii="Times New Roman" w:hAnsi="Times New Roman" w:cs="Times New Roman"/>
          <w:color w:val="auto"/>
        </w:rPr>
        <w:t>cas.</w:t>
      </w:r>
      <w:r w:rsidRPr="00635A00">
        <w:rPr>
          <w:rFonts w:ascii="Times New Roman" w:hAnsi="Times New Roman" w:cs="Times New Roman"/>
          <w:color w:val="auto"/>
        </w:rPr>
        <w:t xml:space="preserve"> Esta propuesta de artículo no contemplaba la medida de procedimientos que la ANT podía agotar en fase administrativa</w:t>
      </w:r>
      <w:r w:rsidRPr="00635A00">
        <w:rPr>
          <w:rFonts w:ascii="Times New Roman" w:hAnsi="Times New Roman" w:cs="Times New Roman"/>
          <w:color w:val="auto"/>
        </w:rPr>
        <w:t xml:space="preserve"> (numeral 6 del artículo 61 actual)</w:t>
      </w:r>
      <w:r w:rsidRPr="00635A00">
        <w:rPr>
          <w:rFonts w:ascii="Times New Roman" w:hAnsi="Times New Roman" w:cs="Times New Roman"/>
          <w:color w:val="auto"/>
        </w:rPr>
        <w:t>, ni la consecuente derogatoria de algunas disposiciones del Decreto Ley 902</w:t>
      </w:r>
      <w:r w:rsidRPr="00635A00">
        <w:rPr>
          <w:rFonts w:ascii="Times New Roman" w:hAnsi="Times New Roman" w:cs="Times New Roman"/>
          <w:color w:val="auto"/>
        </w:rPr>
        <w:t xml:space="preserve"> (parágrafo 3° del artíc</w:t>
      </w:r>
      <w:r w:rsidRPr="00635A00">
        <w:rPr>
          <w:rFonts w:ascii="Times New Roman" w:hAnsi="Times New Roman" w:cs="Times New Roman"/>
          <w:color w:val="auto"/>
        </w:rPr>
        <w:t>ulo 61 actual)</w:t>
      </w:r>
      <w:r w:rsidRPr="00635A00">
        <w:rPr>
          <w:rFonts w:ascii="Times New Roman" w:hAnsi="Times New Roman" w:cs="Times New Roman"/>
          <w:color w:val="auto"/>
        </w:rPr>
        <w:t>.</w:t>
      </w:r>
      <w:bookmarkEnd w:id="27"/>
    </w:p>
    <w:p w:rsidR="00733C3E" w:rsidRPr="00635A00" w:rsidRDefault="00635A00" w:rsidP="00733C3E">
      <w:pPr>
        <w:pStyle w:val="Prrafodelista"/>
        <w:rPr>
          <w:rFonts w:ascii="Times New Roman" w:hAnsi="Times New Roman" w:cs="Times New Roman"/>
          <w:color w:val="auto"/>
        </w:rPr>
      </w:pPr>
    </w:p>
    <w:p w:rsidR="00B938DC"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El 19 de marzo de 2023 se publicó el informe de ponencia positiva en el que se proponía dar curso al debate del proyecto de ley</w:t>
      </w:r>
      <w:r w:rsidRPr="00635A00">
        <w:rPr>
          <w:rStyle w:val="Refdenotaalpie"/>
          <w:rFonts w:ascii="Times New Roman" w:hAnsi="Times New Roman" w:cs="Times New Roman"/>
          <w:color w:val="auto"/>
        </w:rPr>
        <w:footnoteReference w:id="131"/>
      </w:r>
      <w:r w:rsidRPr="00635A00">
        <w:rPr>
          <w:rFonts w:ascii="Times New Roman" w:hAnsi="Times New Roman" w:cs="Times New Roman"/>
          <w:color w:val="auto"/>
        </w:rPr>
        <w:t xml:space="preserve">. Allí se precisa que, </w:t>
      </w:r>
      <w:r w:rsidRPr="00635A00">
        <w:rPr>
          <w:rFonts w:ascii="Times New Roman" w:hAnsi="Times New Roman" w:cs="Times New Roman"/>
          <w:color w:val="auto"/>
        </w:rPr>
        <w:t xml:space="preserve">a partir de las discusiones y reuniones de trabajo llevadas a cabo con el Gobierno </w:t>
      </w:r>
      <w:r w:rsidRPr="00635A00">
        <w:rPr>
          <w:rFonts w:ascii="Times New Roman" w:hAnsi="Times New Roman" w:cs="Times New Roman"/>
          <w:color w:val="auto"/>
        </w:rPr>
        <w:t>nacional y representantes de distintos sectores, organizaciones y comunidades, se incluyeron modificaciones al articulado del proyecto de ley. Al artículo 48 se le introdujo un cambio consistente en que “[s]e especifica que los predios adquiridos por ofert</w:t>
      </w:r>
      <w:r w:rsidRPr="00635A00">
        <w:rPr>
          <w:rFonts w:ascii="Times New Roman" w:hAnsi="Times New Roman" w:cs="Times New Roman"/>
          <w:color w:val="auto"/>
        </w:rPr>
        <w:t>a voluntaria deberán destinarse al Fondo de Tierras a cargo de la ANT”</w:t>
      </w:r>
      <w:r w:rsidRPr="00635A00">
        <w:rPr>
          <w:rStyle w:val="Refdenotaalpie"/>
          <w:rFonts w:ascii="Times New Roman" w:hAnsi="Times New Roman" w:cs="Times New Roman"/>
          <w:color w:val="auto"/>
        </w:rPr>
        <w:footnoteReference w:id="132"/>
      </w:r>
      <w:r w:rsidRPr="00635A00">
        <w:rPr>
          <w:rFonts w:ascii="Times New Roman" w:hAnsi="Times New Roman" w:cs="Times New Roman"/>
          <w:color w:val="auto"/>
        </w:rPr>
        <w:t>. Por otra parte, el 20 de marzo siguiente se publicó un informe de ponencia de archivo del proyecto de ley</w:t>
      </w:r>
      <w:r w:rsidRPr="00635A00">
        <w:rPr>
          <w:rStyle w:val="Refdenotaalpie"/>
          <w:rFonts w:ascii="Times New Roman" w:hAnsi="Times New Roman" w:cs="Times New Roman"/>
          <w:color w:val="auto"/>
        </w:rPr>
        <w:footnoteReference w:id="133"/>
      </w:r>
      <w:r w:rsidRPr="00635A00">
        <w:rPr>
          <w:rFonts w:ascii="Times New Roman" w:hAnsi="Times New Roman" w:cs="Times New Roman"/>
          <w:color w:val="auto"/>
        </w:rPr>
        <w:t>.</w:t>
      </w:r>
    </w:p>
    <w:p w:rsidR="00B938DC" w:rsidRPr="00635A00" w:rsidRDefault="00635A00" w:rsidP="00B938DC">
      <w:pPr>
        <w:pStyle w:val="Prrafodelista"/>
        <w:rPr>
          <w:rFonts w:ascii="Times New Roman" w:hAnsi="Times New Roman" w:cs="Times New Roman"/>
          <w:color w:val="auto"/>
        </w:rPr>
      </w:pPr>
    </w:p>
    <w:p w:rsidR="00733C3E" w:rsidRPr="00635A00" w:rsidRDefault="00635A00" w:rsidP="002801C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Las Comisiones Terceras y Cuartas del Senado y de la Cámara llevaron a </w:t>
      </w:r>
      <w:r w:rsidRPr="00635A00">
        <w:rPr>
          <w:rFonts w:ascii="Times New Roman" w:hAnsi="Times New Roman" w:cs="Times New Roman"/>
          <w:color w:val="auto"/>
        </w:rPr>
        <w:t>cabo el primer debate de manera conjunta, en sesiones del 21, 22 y 23 de marzo de 2023</w:t>
      </w:r>
      <w:r w:rsidRPr="00635A00">
        <w:rPr>
          <w:rStyle w:val="Refdenotaalpie"/>
          <w:rFonts w:ascii="Times New Roman" w:hAnsi="Times New Roman" w:cs="Times New Roman"/>
          <w:color w:val="auto"/>
        </w:rPr>
        <w:footnoteReference w:id="134"/>
      </w:r>
      <w:r w:rsidRPr="00635A00">
        <w:rPr>
          <w:rFonts w:ascii="Times New Roman" w:hAnsi="Times New Roman" w:cs="Times New Roman"/>
          <w:color w:val="auto"/>
        </w:rPr>
        <w:t xml:space="preserve">. </w:t>
      </w:r>
      <w:r w:rsidRPr="00635A00">
        <w:rPr>
          <w:rFonts w:ascii="Times New Roman" w:hAnsi="Times New Roman" w:cs="Times New Roman"/>
          <w:color w:val="auto"/>
        </w:rPr>
        <w:t>De conformidad con lo aprobado en esa instancia, e</w:t>
      </w:r>
      <w:r w:rsidRPr="00635A00">
        <w:rPr>
          <w:rFonts w:ascii="Times New Roman" w:hAnsi="Times New Roman" w:cs="Times New Roman"/>
          <w:color w:val="auto"/>
        </w:rPr>
        <w:t>l artículo 48</w:t>
      </w:r>
      <w:r w:rsidRPr="00635A00">
        <w:rPr>
          <w:rFonts w:ascii="Times New Roman" w:hAnsi="Times New Roman" w:cs="Times New Roman"/>
          <w:color w:val="auto"/>
        </w:rPr>
        <w:t xml:space="preserve"> pasó a ser el 55</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y su contenido</w:t>
      </w:r>
      <w:r w:rsidRPr="00635A00">
        <w:rPr>
          <w:rFonts w:ascii="Times New Roman" w:hAnsi="Times New Roman" w:cs="Times New Roman"/>
          <w:color w:val="auto"/>
        </w:rPr>
        <w:t xml:space="preserve"> tampoco incluía la medida en comento, ni la derogatoria de algunos pre</w:t>
      </w:r>
      <w:r w:rsidRPr="00635A00">
        <w:rPr>
          <w:rFonts w:ascii="Times New Roman" w:hAnsi="Times New Roman" w:cs="Times New Roman"/>
          <w:color w:val="auto"/>
        </w:rPr>
        <w:t>ceptos del Decreto Ley 902</w:t>
      </w:r>
      <w:r w:rsidRPr="00635A00">
        <w:rPr>
          <w:rStyle w:val="Refdenotaalpie"/>
          <w:rFonts w:ascii="Times New Roman" w:hAnsi="Times New Roman" w:cs="Times New Roman"/>
          <w:color w:val="auto"/>
        </w:rPr>
        <w:footnoteReference w:id="135"/>
      </w:r>
      <w:r w:rsidRPr="00635A00">
        <w:rPr>
          <w:rFonts w:ascii="Times New Roman" w:hAnsi="Times New Roman" w:cs="Times New Roman"/>
          <w:color w:val="auto"/>
        </w:rPr>
        <w:t>.</w:t>
      </w:r>
    </w:p>
    <w:p w:rsidR="00AD3A3C" w:rsidRPr="00635A00" w:rsidRDefault="00635A00" w:rsidP="00AD3A3C">
      <w:pPr>
        <w:pStyle w:val="Sombreadovistoso-nfasis31"/>
        <w:ind w:left="0"/>
        <w:rPr>
          <w:rFonts w:ascii="Times New Roman" w:hAnsi="Times New Roman" w:cs="Times New Roman"/>
          <w:color w:val="auto"/>
        </w:rPr>
      </w:pPr>
    </w:p>
    <w:p w:rsidR="00AD3A3C" w:rsidRPr="00635A00" w:rsidRDefault="00635A00" w:rsidP="002801C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El 26 de abril de 2023 se publicaron los informes de ponencia para segundo debate ante las plenarias de la Cámara de Representantes y el Senado de la República. En ambos informes se señala que</w:t>
      </w:r>
      <w:r w:rsidRPr="00635A00">
        <w:rPr>
          <w:rFonts w:ascii="Times New Roman" w:hAnsi="Times New Roman" w:cs="Times New Roman"/>
          <w:color w:val="auto"/>
        </w:rPr>
        <w:t xml:space="preserve">, respecto del </w:t>
      </w:r>
      <w:r w:rsidRPr="00635A00">
        <w:rPr>
          <w:rFonts w:ascii="Times New Roman" w:hAnsi="Times New Roman" w:cs="Times New Roman"/>
          <w:color w:val="auto"/>
        </w:rPr>
        <w:t xml:space="preserve">artículo </w:t>
      </w:r>
      <w:r w:rsidRPr="00635A00">
        <w:rPr>
          <w:rFonts w:ascii="Times New Roman" w:hAnsi="Times New Roman" w:cs="Times New Roman"/>
          <w:color w:val="auto"/>
        </w:rPr>
        <w:t>55</w:t>
      </w:r>
      <w:r w:rsidRPr="00635A00">
        <w:rPr>
          <w:rFonts w:ascii="Times New Roman" w:hAnsi="Times New Roman" w:cs="Times New Roman"/>
          <w:color w:val="auto"/>
        </w:rPr>
        <w:t xml:space="preserve"> “se </w:t>
      </w:r>
      <w:r w:rsidRPr="00635A00">
        <w:rPr>
          <w:rFonts w:ascii="Times New Roman" w:hAnsi="Times New Roman" w:cs="Times New Roman"/>
          <w:color w:val="auto"/>
        </w:rPr>
        <w:t>rea</w:t>
      </w:r>
      <w:r w:rsidRPr="00635A00">
        <w:rPr>
          <w:rFonts w:ascii="Times New Roman" w:hAnsi="Times New Roman" w:cs="Times New Roman"/>
          <w:color w:val="auto"/>
        </w:rPr>
        <w:t>lizan modificaciones de forma que no alteran el contenido del artículo</w:t>
      </w:r>
      <w:r w:rsidRPr="00635A00">
        <w:rPr>
          <w:rFonts w:ascii="Times New Roman" w:hAnsi="Times New Roman" w:cs="Times New Roman"/>
          <w:color w:val="auto"/>
        </w:rPr>
        <w:t>”</w:t>
      </w:r>
      <w:r w:rsidRPr="00635A00">
        <w:rPr>
          <w:rStyle w:val="Refdenotaalpie"/>
          <w:rFonts w:ascii="Times New Roman" w:hAnsi="Times New Roman" w:cs="Times New Roman"/>
          <w:color w:val="auto"/>
        </w:rPr>
        <w:t xml:space="preserve"> </w:t>
      </w:r>
      <w:r w:rsidRPr="00635A00">
        <w:rPr>
          <w:rStyle w:val="Refdenotaalpie"/>
          <w:rFonts w:ascii="Times New Roman" w:hAnsi="Times New Roman" w:cs="Times New Roman"/>
          <w:color w:val="auto"/>
        </w:rPr>
        <w:footnoteReference w:id="136"/>
      </w:r>
      <w:r w:rsidRPr="00635A00">
        <w:rPr>
          <w:rFonts w:ascii="Times New Roman" w:hAnsi="Times New Roman" w:cs="Times New Roman"/>
          <w:color w:val="auto"/>
        </w:rPr>
        <w:t>.</w:t>
      </w:r>
    </w:p>
    <w:p w:rsidR="00AD3A3C" w:rsidRPr="00635A00" w:rsidRDefault="00635A00" w:rsidP="00AD3A3C">
      <w:pPr>
        <w:pStyle w:val="Sombreadovistoso-nfasis31"/>
        <w:ind w:left="0"/>
        <w:rPr>
          <w:rFonts w:ascii="Times New Roman" w:hAnsi="Times New Roman" w:cs="Times New Roman"/>
          <w:color w:val="auto"/>
        </w:rPr>
      </w:pPr>
    </w:p>
    <w:p w:rsidR="00374B99" w:rsidRPr="00635A00" w:rsidRDefault="00635A00" w:rsidP="00374B99">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sesión del 2 de mayo de 2023, durante el transcurso del segundo debate del proyecto de ley, la plenaria del Senado de la República aprobó una proposición que buscaba modificar e</w:t>
      </w:r>
      <w:r w:rsidRPr="00635A00">
        <w:rPr>
          <w:rFonts w:ascii="Times New Roman" w:hAnsi="Times New Roman" w:cs="Times New Roman"/>
          <w:color w:val="auto"/>
        </w:rPr>
        <w:t>l artículo 55, en el sentido de adicionar, entre otros asuntos, los procedimientos que la ANT podía agotar en fase administrativa (numeral 6 del artículo 61 actual) y la derogatoria de algunas disposiciones del Decreto Ley 902 (parágrafo 3° del artículo 61</w:t>
      </w:r>
      <w:r w:rsidRPr="00635A00">
        <w:rPr>
          <w:rFonts w:ascii="Times New Roman" w:hAnsi="Times New Roman" w:cs="Times New Roman"/>
          <w:color w:val="auto"/>
        </w:rPr>
        <w:t xml:space="preserve"> actual)</w:t>
      </w:r>
      <w:r w:rsidRPr="00635A00">
        <w:rPr>
          <w:rStyle w:val="Refdenotaalpie"/>
          <w:rFonts w:ascii="Times New Roman" w:hAnsi="Times New Roman" w:cs="Times New Roman"/>
          <w:color w:val="auto"/>
        </w:rPr>
        <w:footnoteReference w:id="137"/>
      </w:r>
      <w:r w:rsidRPr="00635A00">
        <w:rPr>
          <w:rFonts w:ascii="Times New Roman" w:hAnsi="Times New Roman" w:cs="Times New Roman"/>
          <w:color w:val="auto"/>
        </w:rPr>
        <w:t>.</w:t>
      </w:r>
    </w:p>
    <w:p w:rsidR="00374B99" w:rsidRPr="00635A00" w:rsidRDefault="00635A00" w:rsidP="00374B99">
      <w:pPr>
        <w:pStyle w:val="Sombreadovistoso-nfasis31"/>
        <w:ind w:left="0"/>
        <w:rPr>
          <w:rFonts w:ascii="Times New Roman" w:hAnsi="Times New Roman" w:cs="Times New Roman"/>
          <w:color w:val="auto"/>
        </w:rPr>
      </w:pPr>
    </w:p>
    <w:p w:rsidR="00AD3A3C" w:rsidRPr="00635A00" w:rsidRDefault="00635A00" w:rsidP="002801C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Por su parte, en sesión del 4 de mayo de 2023, </w:t>
      </w:r>
      <w:r w:rsidRPr="00635A00">
        <w:rPr>
          <w:rFonts w:ascii="Times New Roman" w:hAnsi="Times New Roman" w:cs="Times New Roman"/>
          <w:color w:val="auto"/>
        </w:rPr>
        <w:t xml:space="preserve">la plenaria de la Cámara de Representantes </w:t>
      </w:r>
      <w:r w:rsidRPr="00635A00">
        <w:rPr>
          <w:rFonts w:ascii="Times New Roman" w:hAnsi="Times New Roman" w:cs="Times New Roman"/>
          <w:color w:val="auto"/>
        </w:rPr>
        <w:t>también</w:t>
      </w:r>
      <w:r w:rsidRPr="00635A00">
        <w:rPr>
          <w:rFonts w:ascii="Times New Roman" w:hAnsi="Times New Roman" w:cs="Times New Roman"/>
          <w:color w:val="auto"/>
        </w:rPr>
        <w:t xml:space="preserve"> aprobó </w:t>
      </w:r>
      <w:r w:rsidRPr="00635A00">
        <w:rPr>
          <w:rFonts w:ascii="Times New Roman" w:hAnsi="Times New Roman" w:cs="Times New Roman"/>
          <w:color w:val="auto"/>
        </w:rPr>
        <w:t xml:space="preserve">la misma </w:t>
      </w:r>
      <w:r w:rsidRPr="00635A00">
        <w:rPr>
          <w:rFonts w:ascii="Times New Roman" w:hAnsi="Times New Roman" w:cs="Times New Roman"/>
          <w:color w:val="auto"/>
        </w:rPr>
        <w:t xml:space="preserve">proposición </w:t>
      </w:r>
      <w:r w:rsidRPr="00635A00">
        <w:rPr>
          <w:rFonts w:ascii="Times New Roman" w:hAnsi="Times New Roman" w:cs="Times New Roman"/>
          <w:color w:val="auto"/>
        </w:rPr>
        <w:t xml:space="preserve">respecto </w:t>
      </w:r>
      <w:r w:rsidRPr="00635A00">
        <w:rPr>
          <w:rFonts w:ascii="Times New Roman" w:hAnsi="Times New Roman" w:cs="Times New Roman"/>
          <w:color w:val="auto"/>
        </w:rPr>
        <w:t>del artículo 55, que incluía</w:t>
      </w:r>
      <w:r w:rsidRPr="00635A00">
        <w:rPr>
          <w:rFonts w:ascii="Times New Roman" w:hAnsi="Times New Roman" w:cs="Times New Roman"/>
          <w:color w:val="auto"/>
        </w:rPr>
        <w:t xml:space="preserve"> los numerales 6° y parágrafo 3° del actual artículo 61.</w:t>
      </w:r>
      <w:r w:rsidRPr="00635A00">
        <w:rPr>
          <w:rStyle w:val="Refdenotaalpie"/>
          <w:rFonts w:ascii="Times New Roman" w:hAnsi="Times New Roman" w:cs="Times New Roman"/>
          <w:color w:val="auto"/>
        </w:rPr>
        <w:footnoteReference w:id="138"/>
      </w:r>
    </w:p>
    <w:p w:rsidR="00C605B9" w:rsidRPr="00635A00" w:rsidRDefault="00635A00" w:rsidP="00C605B9">
      <w:pPr>
        <w:pStyle w:val="Sombreadovistoso-nfasis31"/>
        <w:ind w:left="0"/>
        <w:rPr>
          <w:rFonts w:ascii="Times New Roman" w:hAnsi="Times New Roman" w:cs="Times New Roman"/>
          <w:color w:val="auto"/>
        </w:rPr>
      </w:pPr>
    </w:p>
    <w:p w:rsidR="00C605B9" w:rsidRPr="00635A00" w:rsidRDefault="00635A00" w:rsidP="002801C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Como se puede advertir, está demostrado que el numeral 6° y el parágrafo 3° del artículo 61 aquí demandados se incorporaron al proyecto de ley a través de proposiciones aprobadas en segundo debate por las plenarias de la Cámara de Representantes y del Sena</w:t>
      </w:r>
      <w:r w:rsidRPr="00635A00">
        <w:rPr>
          <w:rFonts w:ascii="Times New Roman" w:hAnsi="Times New Roman" w:cs="Times New Roman"/>
          <w:color w:val="auto"/>
        </w:rPr>
        <w:t xml:space="preserve">do de la República, como se ilustra a continuación: </w:t>
      </w:r>
    </w:p>
    <w:p w:rsidR="004B02F0" w:rsidRPr="00635A00" w:rsidRDefault="00635A00" w:rsidP="009A43DB">
      <w:pPr>
        <w:jc w:val="both"/>
        <w:rPr>
          <w:rFonts w:ascii="Times New Roman" w:hAnsi="Times New Roman" w:cs="Times New Roman"/>
          <w:sz w:val="28"/>
          <w:szCs w:val="28"/>
          <w:lang w:val="es-ES"/>
        </w:rPr>
      </w:pPr>
    </w:p>
    <w:p w:rsidR="009F4FA8" w:rsidRPr="00635A00" w:rsidRDefault="00635A00" w:rsidP="009F4FA8">
      <w:pPr>
        <w:pStyle w:val="Descripcin"/>
        <w:keepNext/>
        <w:rPr>
          <w:rFonts w:ascii="Times New Roman" w:hAnsi="Times New Roman" w:cs="Times New Roman"/>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10</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w:t>
      </w:r>
      <w:r w:rsidRPr="00635A00">
        <w:rPr>
          <w:rFonts w:ascii="Times New Roman" w:hAnsi="Times New Roman" w:cs="Times New Roman"/>
          <w:caps w:val="0"/>
          <w:szCs w:val="24"/>
        </w:rPr>
        <w:t>E</w:t>
      </w:r>
      <w:r w:rsidRPr="00635A00">
        <w:rPr>
          <w:rFonts w:ascii="Times New Roman" w:hAnsi="Times New Roman" w:cs="Times New Roman"/>
          <w:caps w:val="0"/>
          <w:szCs w:val="24"/>
        </w:rPr>
        <w:t>volución temática del artículo 61 de la ley 2293</w:t>
      </w:r>
    </w:p>
    <w:tbl>
      <w:tblPr>
        <w:tblStyle w:val="Tablaconcuadrcula"/>
        <w:tblW w:w="0" w:type="auto"/>
        <w:tblLook w:val="04A0" w:firstRow="1" w:lastRow="0" w:firstColumn="1" w:lastColumn="0" w:noHBand="0" w:noVBand="1"/>
      </w:tblPr>
      <w:tblGrid>
        <w:gridCol w:w="2203"/>
        <w:gridCol w:w="2204"/>
        <w:gridCol w:w="2210"/>
        <w:gridCol w:w="2211"/>
      </w:tblGrid>
      <w:tr w:rsidR="00301B43" w:rsidRPr="00635A00" w:rsidTr="007244FC">
        <w:trPr>
          <w:tblHeader/>
        </w:trPr>
        <w:tc>
          <w:tcPr>
            <w:tcW w:w="2244" w:type="dxa"/>
            <w:tcBorders>
              <w:bottom w:val="single" w:sz="4" w:space="0" w:color="auto"/>
            </w:tcBorders>
            <w:shd w:val="clear" w:color="auto" w:fill="E2EFD9" w:themeFill="accent6" w:themeFillTint="33"/>
          </w:tcPr>
          <w:p w:rsidR="00733C3E" w:rsidRPr="00635A00" w:rsidRDefault="00635A00" w:rsidP="00776ADF">
            <w:pPr>
              <w:jc w:val="center"/>
              <w:rPr>
                <w:rFonts w:ascii="Times New Roman" w:hAnsi="Times New Roman"/>
                <w:b/>
                <w:bCs/>
                <w:sz w:val="28"/>
                <w:lang w:val="es-ES"/>
              </w:rPr>
            </w:pPr>
            <w:r w:rsidRPr="00635A00">
              <w:rPr>
                <w:rFonts w:ascii="Times New Roman" w:hAnsi="Times New Roman"/>
                <w:b/>
                <w:bCs/>
                <w:sz w:val="28"/>
                <w:lang w:val="es-ES"/>
              </w:rPr>
              <w:t>Síntesis del texto del p</w:t>
            </w:r>
            <w:r w:rsidRPr="00635A00">
              <w:rPr>
                <w:rFonts w:ascii="Times New Roman" w:hAnsi="Times New Roman"/>
                <w:b/>
                <w:bCs/>
                <w:sz w:val="28"/>
                <w:lang w:val="es-ES"/>
              </w:rPr>
              <w:t>royecto de ley</w:t>
            </w:r>
            <w:r w:rsidRPr="00635A00">
              <w:rPr>
                <w:rStyle w:val="Refdenotaalpie"/>
                <w:rFonts w:ascii="Times New Roman" w:hAnsi="Times New Roman"/>
                <w:b/>
                <w:bCs/>
                <w:sz w:val="28"/>
                <w:lang w:val="es-ES"/>
              </w:rPr>
              <w:footnoteReference w:id="139"/>
            </w:r>
          </w:p>
        </w:tc>
        <w:tc>
          <w:tcPr>
            <w:tcW w:w="2245" w:type="dxa"/>
            <w:tcBorders>
              <w:bottom w:val="single" w:sz="4" w:space="0" w:color="auto"/>
            </w:tcBorders>
            <w:shd w:val="clear" w:color="auto" w:fill="E2EFD9" w:themeFill="accent6" w:themeFillTint="33"/>
          </w:tcPr>
          <w:p w:rsidR="00733C3E" w:rsidRPr="00635A00" w:rsidRDefault="00635A00" w:rsidP="00776ADF">
            <w:pPr>
              <w:jc w:val="center"/>
              <w:rPr>
                <w:rFonts w:ascii="Times New Roman" w:hAnsi="Times New Roman"/>
                <w:b/>
                <w:bCs/>
                <w:sz w:val="28"/>
                <w:lang w:val="es-ES"/>
              </w:rPr>
            </w:pPr>
            <w:r w:rsidRPr="00635A00">
              <w:rPr>
                <w:rFonts w:ascii="Times New Roman" w:hAnsi="Times New Roman"/>
                <w:b/>
                <w:bCs/>
                <w:sz w:val="28"/>
                <w:lang w:val="es-ES"/>
              </w:rPr>
              <w:t>Síntesis del t</w:t>
            </w:r>
            <w:r w:rsidRPr="00635A00">
              <w:rPr>
                <w:rFonts w:ascii="Times New Roman" w:hAnsi="Times New Roman"/>
                <w:b/>
                <w:bCs/>
                <w:sz w:val="28"/>
                <w:lang w:val="es-ES"/>
              </w:rPr>
              <w:t>exto aprobado en primer debate</w:t>
            </w:r>
            <w:r w:rsidRPr="00635A00">
              <w:rPr>
                <w:rStyle w:val="Refdenotaalpie"/>
                <w:rFonts w:ascii="Times New Roman" w:hAnsi="Times New Roman"/>
                <w:b/>
                <w:bCs/>
                <w:sz w:val="28"/>
                <w:lang w:val="es-ES"/>
              </w:rPr>
              <w:footnoteReference w:id="140"/>
            </w:r>
          </w:p>
        </w:tc>
        <w:tc>
          <w:tcPr>
            <w:tcW w:w="2244" w:type="dxa"/>
            <w:tcBorders>
              <w:bottom w:val="single" w:sz="4" w:space="0" w:color="auto"/>
            </w:tcBorders>
            <w:shd w:val="clear" w:color="auto" w:fill="E2EFD9" w:themeFill="accent6" w:themeFillTint="33"/>
          </w:tcPr>
          <w:p w:rsidR="00733C3E" w:rsidRPr="00635A00" w:rsidRDefault="00635A00" w:rsidP="00776ADF">
            <w:pPr>
              <w:jc w:val="center"/>
              <w:rPr>
                <w:rFonts w:ascii="Times New Roman" w:hAnsi="Times New Roman"/>
                <w:b/>
                <w:bCs/>
                <w:sz w:val="28"/>
                <w:lang w:val="es-ES"/>
              </w:rPr>
            </w:pPr>
            <w:r w:rsidRPr="00635A00">
              <w:rPr>
                <w:rFonts w:ascii="Times New Roman" w:hAnsi="Times New Roman"/>
                <w:b/>
                <w:bCs/>
                <w:sz w:val="28"/>
                <w:lang w:val="es-ES"/>
              </w:rPr>
              <w:t>Síntesis del t</w:t>
            </w:r>
            <w:r w:rsidRPr="00635A00">
              <w:rPr>
                <w:rFonts w:ascii="Times New Roman" w:hAnsi="Times New Roman"/>
                <w:b/>
                <w:bCs/>
                <w:sz w:val="28"/>
                <w:lang w:val="es-ES"/>
              </w:rPr>
              <w:t xml:space="preserve">exto aprobado en </w:t>
            </w:r>
            <w:r w:rsidRPr="00635A00">
              <w:rPr>
                <w:rFonts w:ascii="Times New Roman" w:hAnsi="Times New Roman"/>
                <w:b/>
                <w:bCs/>
                <w:sz w:val="28"/>
                <w:lang w:val="es-ES"/>
              </w:rPr>
              <w:t>segundo debate</w:t>
            </w:r>
            <w:r w:rsidRPr="00635A00">
              <w:rPr>
                <w:rFonts w:ascii="Times New Roman" w:hAnsi="Times New Roman"/>
                <w:b/>
                <w:bCs/>
                <w:sz w:val="28"/>
                <w:lang w:val="es-ES"/>
              </w:rPr>
              <w:t xml:space="preserve"> Cámara</w:t>
            </w:r>
            <w:r w:rsidRPr="00635A00">
              <w:rPr>
                <w:rStyle w:val="Refdenotaalpie"/>
                <w:rFonts w:ascii="Times New Roman" w:hAnsi="Times New Roman"/>
                <w:b/>
                <w:bCs/>
                <w:sz w:val="28"/>
                <w:lang w:val="es-ES"/>
              </w:rPr>
              <w:footnoteReference w:id="141"/>
            </w:r>
          </w:p>
        </w:tc>
        <w:tc>
          <w:tcPr>
            <w:tcW w:w="2245" w:type="dxa"/>
            <w:tcBorders>
              <w:bottom w:val="single" w:sz="4" w:space="0" w:color="auto"/>
            </w:tcBorders>
            <w:shd w:val="clear" w:color="auto" w:fill="E2EFD9" w:themeFill="accent6" w:themeFillTint="33"/>
          </w:tcPr>
          <w:p w:rsidR="00733C3E" w:rsidRPr="00635A00" w:rsidRDefault="00635A00" w:rsidP="00776ADF">
            <w:pPr>
              <w:jc w:val="center"/>
              <w:rPr>
                <w:rFonts w:ascii="Times New Roman" w:hAnsi="Times New Roman"/>
                <w:b/>
                <w:bCs/>
                <w:sz w:val="28"/>
                <w:lang w:val="es-ES"/>
              </w:rPr>
            </w:pPr>
            <w:r w:rsidRPr="00635A00">
              <w:rPr>
                <w:rFonts w:ascii="Times New Roman" w:hAnsi="Times New Roman"/>
                <w:b/>
                <w:bCs/>
                <w:sz w:val="28"/>
                <w:lang w:val="es-ES"/>
              </w:rPr>
              <w:t>Síntesis del t</w:t>
            </w:r>
            <w:r w:rsidRPr="00635A00">
              <w:rPr>
                <w:rFonts w:ascii="Times New Roman" w:hAnsi="Times New Roman"/>
                <w:b/>
                <w:bCs/>
                <w:sz w:val="28"/>
                <w:lang w:val="es-ES"/>
              </w:rPr>
              <w:t>exto aprobado en segundo debate Senado</w:t>
            </w:r>
            <w:r w:rsidRPr="00635A00">
              <w:rPr>
                <w:rStyle w:val="Refdenotaalpie"/>
                <w:rFonts w:ascii="Times New Roman" w:hAnsi="Times New Roman"/>
                <w:b/>
                <w:bCs/>
                <w:sz w:val="28"/>
                <w:lang w:val="es-ES"/>
              </w:rPr>
              <w:footnoteReference w:id="142"/>
            </w:r>
          </w:p>
        </w:tc>
      </w:tr>
      <w:tr w:rsidR="00301B43" w:rsidRPr="00635A00" w:rsidTr="007244FC">
        <w:tc>
          <w:tcPr>
            <w:tcW w:w="2244" w:type="dxa"/>
            <w:tcBorders>
              <w:top w:val="single" w:sz="4" w:space="0" w:color="auto"/>
              <w:left w:val="single" w:sz="4" w:space="0" w:color="auto"/>
              <w:bottom w:val="nil"/>
              <w:right w:val="single" w:sz="4" w:space="0" w:color="auto"/>
            </w:tcBorders>
          </w:tcPr>
          <w:p w:rsidR="00A70EFE" w:rsidRPr="00635A00" w:rsidRDefault="00635A00" w:rsidP="007244FC">
            <w:pPr>
              <w:jc w:val="center"/>
              <w:rPr>
                <w:rFonts w:ascii="Times New Roman" w:hAnsi="Times New Roman"/>
                <w:sz w:val="28"/>
                <w:lang w:val="es-ES"/>
              </w:rPr>
            </w:pPr>
            <w:r w:rsidRPr="00635A00">
              <w:rPr>
                <w:rFonts w:ascii="Times New Roman" w:hAnsi="Times New Roman"/>
                <w:sz w:val="28"/>
                <w:lang w:val="es-ES"/>
              </w:rPr>
              <w:t>Artículo 48</w:t>
            </w:r>
          </w:p>
        </w:tc>
        <w:tc>
          <w:tcPr>
            <w:tcW w:w="2245" w:type="dxa"/>
            <w:tcBorders>
              <w:top w:val="single" w:sz="4" w:space="0" w:color="auto"/>
              <w:left w:val="single" w:sz="4" w:space="0" w:color="auto"/>
              <w:bottom w:val="nil"/>
              <w:right w:val="single" w:sz="4" w:space="0" w:color="auto"/>
            </w:tcBorders>
          </w:tcPr>
          <w:p w:rsidR="00A70EFE" w:rsidRPr="00635A00" w:rsidRDefault="00635A00" w:rsidP="007244FC">
            <w:pPr>
              <w:jc w:val="center"/>
              <w:rPr>
                <w:rFonts w:ascii="Times New Roman" w:hAnsi="Times New Roman"/>
                <w:sz w:val="28"/>
                <w:lang w:val="es-ES"/>
              </w:rPr>
            </w:pPr>
            <w:r w:rsidRPr="00635A00">
              <w:rPr>
                <w:rFonts w:ascii="Times New Roman" w:hAnsi="Times New Roman"/>
                <w:sz w:val="28"/>
                <w:lang w:val="es-ES"/>
              </w:rPr>
              <w:t>Artículo 55</w:t>
            </w:r>
          </w:p>
        </w:tc>
        <w:tc>
          <w:tcPr>
            <w:tcW w:w="2244" w:type="dxa"/>
            <w:tcBorders>
              <w:top w:val="single" w:sz="4" w:space="0" w:color="auto"/>
              <w:left w:val="single" w:sz="4" w:space="0" w:color="auto"/>
              <w:bottom w:val="nil"/>
              <w:right w:val="single" w:sz="4" w:space="0" w:color="auto"/>
            </w:tcBorders>
          </w:tcPr>
          <w:p w:rsidR="00A70EFE" w:rsidRPr="00635A00" w:rsidRDefault="00635A00" w:rsidP="007244FC">
            <w:pPr>
              <w:jc w:val="center"/>
              <w:rPr>
                <w:rFonts w:ascii="Times New Roman" w:hAnsi="Times New Roman"/>
                <w:sz w:val="28"/>
                <w:lang w:val="es-ES"/>
              </w:rPr>
            </w:pPr>
            <w:r w:rsidRPr="00635A00">
              <w:rPr>
                <w:rFonts w:ascii="Times New Roman" w:hAnsi="Times New Roman"/>
                <w:sz w:val="28"/>
                <w:lang w:val="es-ES"/>
              </w:rPr>
              <w:t>Artículo 55</w:t>
            </w:r>
          </w:p>
        </w:tc>
        <w:tc>
          <w:tcPr>
            <w:tcW w:w="2245" w:type="dxa"/>
            <w:tcBorders>
              <w:top w:val="single" w:sz="4" w:space="0" w:color="auto"/>
              <w:left w:val="single" w:sz="4" w:space="0" w:color="auto"/>
              <w:bottom w:val="nil"/>
              <w:right w:val="single" w:sz="4" w:space="0" w:color="auto"/>
            </w:tcBorders>
          </w:tcPr>
          <w:p w:rsidR="00A70EFE" w:rsidRPr="00635A00" w:rsidRDefault="00635A00" w:rsidP="007244FC">
            <w:pPr>
              <w:jc w:val="center"/>
              <w:rPr>
                <w:rFonts w:ascii="Times New Roman" w:hAnsi="Times New Roman"/>
                <w:sz w:val="28"/>
                <w:lang w:val="es-ES"/>
              </w:rPr>
            </w:pPr>
            <w:r w:rsidRPr="00635A00">
              <w:rPr>
                <w:rFonts w:ascii="Times New Roman" w:hAnsi="Times New Roman"/>
                <w:sz w:val="28"/>
                <w:lang w:val="es-ES"/>
              </w:rPr>
              <w:t>Artículo 61</w:t>
            </w:r>
          </w:p>
        </w:tc>
      </w:tr>
      <w:tr w:rsidR="00301B43" w:rsidRPr="00635A00" w:rsidTr="007244FC">
        <w:tc>
          <w:tcPr>
            <w:tcW w:w="2244" w:type="dxa"/>
            <w:tcBorders>
              <w:top w:val="nil"/>
              <w:left w:val="single" w:sz="4" w:space="0" w:color="auto"/>
              <w:bottom w:val="nil"/>
              <w:right w:val="single" w:sz="4" w:space="0" w:color="auto"/>
            </w:tcBorders>
          </w:tcPr>
          <w:p w:rsidR="00733C3E" w:rsidRPr="00635A00" w:rsidRDefault="00635A00" w:rsidP="009A43DB">
            <w:pPr>
              <w:jc w:val="both"/>
              <w:rPr>
                <w:rFonts w:ascii="Times New Roman" w:hAnsi="Times New Roman"/>
                <w:sz w:val="28"/>
                <w:lang w:val="es-ES"/>
              </w:rPr>
            </w:pPr>
            <w:r w:rsidRPr="00635A00">
              <w:rPr>
                <w:rFonts w:ascii="Times New Roman" w:hAnsi="Times New Roman"/>
                <w:sz w:val="28"/>
                <w:lang w:val="es-ES"/>
              </w:rPr>
              <w:t xml:space="preserve">Medidas que </w:t>
            </w:r>
            <w:r w:rsidRPr="00635A00">
              <w:rPr>
                <w:rFonts w:ascii="Times New Roman" w:hAnsi="Times New Roman"/>
                <w:sz w:val="28"/>
                <w:lang w:val="es-ES"/>
              </w:rPr>
              <w:t>se pueden</w:t>
            </w:r>
            <w:r w:rsidRPr="00635A00">
              <w:rPr>
                <w:rFonts w:ascii="Times New Roman" w:hAnsi="Times New Roman"/>
                <w:sz w:val="28"/>
                <w:lang w:val="es-ES"/>
              </w:rPr>
              <w:t xml:space="preserve"> adelantar en el marco del procedimiento de compra por oferta voluntaria</w:t>
            </w:r>
            <w:r w:rsidRPr="00635A00">
              <w:rPr>
                <w:rFonts w:ascii="Times New Roman" w:hAnsi="Times New Roman"/>
                <w:sz w:val="28"/>
                <w:lang w:val="es-ES"/>
              </w:rPr>
              <w:t xml:space="preserve"> por la ANT</w:t>
            </w:r>
            <w:r w:rsidRPr="00635A00">
              <w:rPr>
                <w:rFonts w:ascii="Times New Roman" w:hAnsi="Times New Roman"/>
                <w:sz w:val="28"/>
                <w:lang w:val="es-ES"/>
              </w:rPr>
              <w:t>:</w:t>
            </w:r>
          </w:p>
          <w:p w:rsidR="007244FC" w:rsidRPr="00635A00" w:rsidRDefault="00635A00" w:rsidP="009A43DB">
            <w:pPr>
              <w:jc w:val="both"/>
              <w:rPr>
                <w:rFonts w:ascii="Times New Roman" w:hAnsi="Times New Roman"/>
                <w:sz w:val="28"/>
                <w:lang w:val="es-ES"/>
              </w:rPr>
            </w:pPr>
          </w:p>
          <w:p w:rsidR="007244FC" w:rsidRPr="00635A00" w:rsidRDefault="00635A00" w:rsidP="009A43DB">
            <w:pPr>
              <w:jc w:val="both"/>
              <w:rPr>
                <w:rFonts w:ascii="Times New Roman" w:hAnsi="Times New Roman"/>
                <w:sz w:val="28"/>
                <w:lang w:val="es-ES"/>
              </w:rPr>
            </w:pPr>
          </w:p>
          <w:p w:rsidR="007244FC" w:rsidRPr="00635A00" w:rsidRDefault="00635A00" w:rsidP="009A43DB">
            <w:pPr>
              <w:jc w:val="both"/>
              <w:rPr>
                <w:rFonts w:ascii="Times New Roman" w:hAnsi="Times New Roman"/>
                <w:sz w:val="28"/>
                <w:lang w:val="es-ES"/>
              </w:rPr>
            </w:pPr>
          </w:p>
          <w:p w:rsidR="007244FC" w:rsidRPr="00635A00" w:rsidRDefault="00635A00" w:rsidP="009A43DB">
            <w:pPr>
              <w:jc w:val="both"/>
              <w:rPr>
                <w:rFonts w:ascii="Times New Roman" w:hAnsi="Times New Roman"/>
                <w:sz w:val="28"/>
                <w:lang w:val="es-ES"/>
              </w:rPr>
            </w:pPr>
          </w:p>
        </w:tc>
        <w:tc>
          <w:tcPr>
            <w:tcW w:w="2245" w:type="dxa"/>
            <w:tcBorders>
              <w:top w:val="nil"/>
              <w:left w:val="single" w:sz="4" w:space="0" w:color="auto"/>
              <w:bottom w:val="nil"/>
              <w:right w:val="single" w:sz="4" w:space="0" w:color="auto"/>
            </w:tcBorders>
          </w:tcPr>
          <w:p w:rsidR="00733C3E" w:rsidRPr="00635A00" w:rsidRDefault="00635A00" w:rsidP="009A43DB">
            <w:pPr>
              <w:jc w:val="both"/>
              <w:rPr>
                <w:rFonts w:ascii="Times New Roman" w:hAnsi="Times New Roman"/>
                <w:sz w:val="28"/>
                <w:lang w:val="es-ES"/>
              </w:rPr>
            </w:pPr>
            <w:r w:rsidRPr="00635A00">
              <w:rPr>
                <w:rFonts w:ascii="Times New Roman" w:hAnsi="Times New Roman"/>
                <w:sz w:val="28"/>
                <w:lang w:val="es-ES"/>
              </w:rPr>
              <w:t>Medidas qu</w:t>
            </w:r>
            <w:r w:rsidRPr="00635A00">
              <w:rPr>
                <w:rFonts w:ascii="Times New Roman" w:hAnsi="Times New Roman"/>
                <w:sz w:val="28"/>
                <w:lang w:val="es-ES"/>
              </w:rPr>
              <w:t>e</w:t>
            </w:r>
            <w:r w:rsidRPr="00635A00">
              <w:rPr>
                <w:rFonts w:ascii="Times New Roman" w:hAnsi="Times New Roman"/>
                <w:sz w:val="28"/>
                <w:lang w:val="es-ES"/>
              </w:rPr>
              <w:t xml:space="preserve"> </w:t>
            </w:r>
            <w:r w:rsidRPr="00635A00">
              <w:rPr>
                <w:rFonts w:ascii="Times New Roman" w:hAnsi="Times New Roman"/>
                <w:sz w:val="28"/>
                <w:lang w:val="es-ES"/>
              </w:rPr>
              <w:t xml:space="preserve">se </w:t>
            </w:r>
            <w:r w:rsidRPr="00635A00">
              <w:rPr>
                <w:rFonts w:ascii="Times New Roman" w:hAnsi="Times New Roman"/>
                <w:sz w:val="28"/>
                <w:lang w:val="es-ES"/>
              </w:rPr>
              <w:t>pueden</w:t>
            </w:r>
            <w:r w:rsidRPr="00635A00">
              <w:rPr>
                <w:rFonts w:ascii="Times New Roman" w:hAnsi="Times New Roman"/>
                <w:sz w:val="28"/>
                <w:lang w:val="es-ES"/>
              </w:rPr>
              <w:t xml:space="preserve"> adelantar en el marco del procedimiento de compra por oferta voluntaria</w:t>
            </w:r>
            <w:r w:rsidRPr="00635A00">
              <w:rPr>
                <w:rFonts w:ascii="Times New Roman" w:hAnsi="Times New Roman"/>
                <w:sz w:val="28"/>
                <w:lang w:val="es-ES"/>
              </w:rPr>
              <w:t xml:space="preserve"> </w:t>
            </w:r>
            <w:r w:rsidRPr="00635A00">
              <w:rPr>
                <w:rFonts w:ascii="Times New Roman" w:hAnsi="Times New Roman"/>
                <w:sz w:val="28"/>
                <w:lang w:val="es-ES"/>
              </w:rPr>
              <w:t>de tierras</w:t>
            </w:r>
            <w:r w:rsidRPr="00635A00">
              <w:rPr>
                <w:rFonts w:ascii="Times New Roman" w:hAnsi="Times New Roman"/>
                <w:sz w:val="28"/>
                <w:lang w:val="es-ES"/>
              </w:rPr>
              <w:t xml:space="preserve"> por la ANT</w:t>
            </w:r>
            <w:r w:rsidRPr="00635A00">
              <w:rPr>
                <w:rFonts w:ascii="Times New Roman" w:hAnsi="Times New Roman"/>
                <w:sz w:val="28"/>
                <w:lang w:val="es-ES"/>
              </w:rPr>
              <w:t xml:space="preserve"> que se destinarán al fondo de tierras a cargo de dicha entidad:</w:t>
            </w:r>
          </w:p>
        </w:tc>
        <w:tc>
          <w:tcPr>
            <w:tcW w:w="2244" w:type="dxa"/>
            <w:tcBorders>
              <w:top w:val="nil"/>
              <w:left w:val="single" w:sz="4" w:space="0" w:color="auto"/>
              <w:bottom w:val="nil"/>
              <w:right w:val="single" w:sz="4" w:space="0" w:color="auto"/>
            </w:tcBorders>
          </w:tcPr>
          <w:p w:rsidR="00733C3E" w:rsidRPr="00635A00" w:rsidRDefault="00635A00" w:rsidP="009A43DB">
            <w:pPr>
              <w:jc w:val="both"/>
              <w:rPr>
                <w:rFonts w:ascii="Times New Roman" w:hAnsi="Times New Roman"/>
                <w:sz w:val="28"/>
                <w:lang w:val="es-ES"/>
              </w:rPr>
            </w:pPr>
            <w:r w:rsidRPr="00635A00">
              <w:rPr>
                <w:rFonts w:ascii="Times New Roman" w:hAnsi="Times New Roman"/>
                <w:sz w:val="28"/>
                <w:lang w:val="es-ES"/>
              </w:rPr>
              <w:t xml:space="preserve">Medidas que </w:t>
            </w:r>
            <w:r w:rsidRPr="00635A00">
              <w:rPr>
                <w:rFonts w:ascii="Times New Roman" w:hAnsi="Times New Roman"/>
                <w:sz w:val="28"/>
                <w:lang w:val="es-ES"/>
              </w:rPr>
              <w:t>se</w:t>
            </w:r>
            <w:r w:rsidRPr="00635A00">
              <w:rPr>
                <w:rFonts w:ascii="Times New Roman" w:hAnsi="Times New Roman"/>
                <w:sz w:val="28"/>
                <w:lang w:val="es-ES"/>
              </w:rPr>
              <w:t xml:space="preserve"> puede</w:t>
            </w:r>
            <w:r w:rsidRPr="00635A00">
              <w:rPr>
                <w:rFonts w:ascii="Times New Roman" w:hAnsi="Times New Roman"/>
                <w:sz w:val="28"/>
                <w:lang w:val="es-ES"/>
              </w:rPr>
              <w:t>n</w:t>
            </w:r>
            <w:r w:rsidRPr="00635A00">
              <w:rPr>
                <w:rFonts w:ascii="Times New Roman" w:hAnsi="Times New Roman"/>
                <w:sz w:val="28"/>
                <w:lang w:val="es-ES"/>
              </w:rPr>
              <w:t xml:space="preserve"> adelantar en el marco del procedimiento de compra por oferta voluntar</w:t>
            </w:r>
            <w:r w:rsidRPr="00635A00">
              <w:rPr>
                <w:rFonts w:ascii="Times New Roman" w:hAnsi="Times New Roman"/>
                <w:sz w:val="28"/>
                <w:lang w:val="es-ES"/>
              </w:rPr>
              <w:t>ia de tierras</w:t>
            </w:r>
            <w:r w:rsidRPr="00635A00">
              <w:rPr>
                <w:rFonts w:ascii="Times New Roman" w:hAnsi="Times New Roman"/>
                <w:sz w:val="28"/>
                <w:lang w:val="es-ES"/>
              </w:rPr>
              <w:t xml:space="preserve"> por la ANT:</w:t>
            </w:r>
            <w:r w:rsidRPr="00635A00">
              <w:rPr>
                <w:rFonts w:ascii="Times New Roman" w:hAnsi="Times New Roman"/>
                <w:sz w:val="28"/>
                <w:lang w:val="es-ES"/>
              </w:rPr>
              <w:t xml:space="preserve"> </w:t>
            </w:r>
          </w:p>
        </w:tc>
        <w:tc>
          <w:tcPr>
            <w:tcW w:w="2245" w:type="dxa"/>
            <w:tcBorders>
              <w:top w:val="nil"/>
              <w:left w:val="single" w:sz="4" w:space="0" w:color="auto"/>
              <w:bottom w:val="nil"/>
              <w:right w:val="single" w:sz="4" w:space="0" w:color="auto"/>
            </w:tcBorders>
          </w:tcPr>
          <w:p w:rsidR="00733C3E" w:rsidRPr="00635A00" w:rsidRDefault="00635A00" w:rsidP="009A43DB">
            <w:pPr>
              <w:jc w:val="both"/>
              <w:rPr>
                <w:rFonts w:ascii="Times New Roman" w:hAnsi="Times New Roman"/>
                <w:sz w:val="28"/>
                <w:lang w:val="es-ES"/>
              </w:rPr>
            </w:pPr>
            <w:r w:rsidRPr="00635A00">
              <w:rPr>
                <w:rFonts w:ascii="Times New Roman" w:hAnsi="Times New Roman"/>
                <w:sz w:val="28"/>
                <w:lang w:val="es-ES"/>
              </w:rPr>
              <w:t>Medidas que se pueden adelantar en el marco del procedimiento de compra por oferta voluntaria de tierras por la ANT que se destinarán al fondo de tierras a cargo de dicha entidad:</w:t>
            </w:r>
          </w:p>
        </w:tc>
      </w:tr>
      <w:tr w:rsidR="00301B43" w:rsidRPr="00635A00" w:rsidTr="007244FC">
        <w:tc>
          <w:tcPr>
            <w:tcW w:w="2244" w:type="dxa"/>
            <w:tcBorders>
              <w:top w:val="nil"/>
              <w:left w:val="single" w:sz="4" w:space="0" w:color="auto"/>
              <w:bottom w:val="nil"/>
              <w:right w:val="single" w:sz="4" w:space="0" w:color="auto"/>
            </w:tcBorders>
          </w:tcPr>
          <w:p w:rsidR="00736839" w:rsidRPr="00635A00" w:rsidRDefault="00635A00" w:rsidP="009D6AC8">
            <w:pPr>
              <w:tabs>
                <w:tab w:val="left" w:pos="323"/>
              </w:tabs>
              <w:rPr>
                <w:rFonts w:ascii="Times New Roman" w:hAnsi="Times New Roman"/>
                <w:sz w:val="28"/>
              </w:rPr>
            </w:pPr>
            <w:r w:rsidRPr="00635A00">
              <w:rPr>
                <w:rFonts w:ascii="Times New Roman" w:hAnsi="Times New Roman"/>
                <w:sz w:val="28"/>
              </w:rPr>
              <w:t xml:space="preserve">1. </w:t>
            </w:r>
            <w:r w:rsidRPr="00635A00">
              <w:rPr>
                <w:rFonts w:ascii="Times New Roman" w:hAnsi="Times New Roman"/>
                <w:sz w:val="28"/>
              </w:rPr>
              <w:t>Saneamiento para la compra de tierras</w:t>
            </w:r>
          </w:p>
          <w:p w:rsidR="007244FC" w:rsidRPr="00635A00" w:rsidRDefault="00635A00" w:rsidP="009D6AC8">
            <w:pPr>
              <w:tabs>
                <w:tab w:val="left" w:pos="323"/>
              </w:tabs>
              <w:rPr>
                <w:rFonts w:ascii="Times New Roman" w:hAnsi="Times New Roman"/>
                <w:sz w:val="28"/>
              </w:rPr>
            </w:pPr>
          </w:p>
        </w:tc>
        <w:tc>
          <w:tcPr>
            <w:tcW w:w="2245" w:type="dxa"/>
            <w:tcBorders>
              <w:top w:val="nil"/>
              <w:left w:val="single" w:sz="4" w:space="0" w:color="auto"/>
              <w:bottom w:val="nil"/>
              <w:right w:val="single" w:sz="4" w:space="0" w:color="auto"/>
            </w:tcBorders>
          </w:tcPr>
          <w:p w:rsidR="00736839" w:rsidRPr="00635A00" w:rsidRDefault="00635A00" w:rsidP="009D6AC8">
            <w:pPr>
              <w:tabs>
                <w:tab w:val="left" w:pos="321"/>
              </w:tabs>
              <w:rPr>
                <w:rFonts w:ascii="Times New Roman" w:hAnsi="Times New Roman"/>
                <w:sz w:val="28"/>
              </w:rPr>
            </w:pPr>
            <w:r w:rsidRPr="00635A00">
              <w:rPr>
                <w:rFonts w:ascii="Times New Roman" w:hAnsi="Times New Roman"/>
                <w:sz w:val="28"/>
              </w:rPr>
              <w:t xml:space="preserve">1. </w:t>
            </w:r>
            <w:r w:rsidRPr="00635A00">
              <w:rPr>
                <w:rFonts w:ascii="Times New Roman" w:hAnsi="Times New Roman"/>
                <w:sz w:val="28"/>
              </w:rPr>
              <w:t>Saneamiento para la compra de tierras</w:t>
            </w:r>
          </w:p>
        </w:tc>
        <w:tc>
          <w:tcPr>
            <w:tcW w:w="2244" w:type="dxa"/>
            <w:tcBorders>
              <w:top w:val="nil"/>
              <w:left w:val="single" w:sz="4" w:space="0" w:color="auto"/>
              <w:bottom w:val="nil"/>
              <w:right w:val="single" w:sz="4" w:space="0" w:color="auto"/>
            </w:tcBorders>
          </w:tcPr>
          <w:p w:rsidR="00736839" w:rsidRPr="00635A00" w:rsidRDefault="00635A00" w:rsidP="009D6AC8">
            <w:pPr>
              <w:tabs>
                <w:tab w:val="left" w:pos="333"/>
              </w:tabs>
              <w:rPr>
                <w:rFonts w:ascii="Times New Roman" w:hAnsi="Times New Roman"/>
                <w:sz w:val="28"/>
                <w:lang w:val="es-ES"/>
              </w:rPr>
            </w:pPr>
            <w:r w:rsidRPr="00635A00">
              <w:rPr>
                <w:rFonts w:ascii="Times New Roman" w:hAnsi="Times New Roman"/>
                <w:sz w:val="28"/>
              </w:rPr>
              <w:t xml:space="preserve">1. </w:t>
            </w:r>
            <w:r w:rsidRPr="00635A00">
              <w:rPr>
                <w:rFonts w:ascii="Times New Roman" w:hAnsi="Times New Roman"/>
                <w:sz w:val="28"/>
              </w:rPr>
              <w:t>Saneamiento para la compra de tierras</w:t>
            </w:r>
          </w:p>
        </w:tc>
        <w:tc>
          <w:tcPr>
            <w:tcW w:w="2245" w:type="dxa"/>
            <w:tcBorders>
              <w:top w:val="nil"/>
              <w:left w:val="single" w:sz="4" w:space="0" w:color="auto"/>
              <w:bottom w:val="nil"/>
              <w:right w:val="single" w:sz="4" w:space="0" w:color="auto"/>
            </w:tcBorders>
          </w:tcPr>
          <w:p w:rsidR="00736839" w:rsidRPr="00635A00" w:rsidRDefault="00635A00" w:rsidP="009D6AC8">
            <w:pPr>
              <w:tabs>
                <w:tab w:val="left" w:pos="500"/>
              </w:tabs>
              <w:rPr>
                <w:rFonts w:ascii="Times New Roman" w:hAnsi="Times New Roman"/>
                <w:sz w:val="28"/>
              </w:rPr>
            </w:pPr>
            <w:r w:rsidRPr="00635A00">
              <w:rPr>
                <w:rFonts w:ascii="Times New Roman" w:hAnsi="Times New Roman"/>
                <w:sz w:val="28"/>
              </w:rPr>
              <w:t>1. Saneamiento para la compra de tierras</w:t>
            </w:r>
          </w:p>
        </w:tc>
      </w:tr>
      <w:tr w:rsidR="00301B43" w:rsidRPr="00635A00" w:rsidTr="007244FC">
        <w:tc>
          <w:tcPr>
            <w:tcW w:w="2244" w:type="dxa"/>
            <w:tcBorders>
              <w:top w:val="nil"/>
              <w:left w:val="single" w:sz="4" w:space="0" w:color="auto"/>
              <w:bottom w:val="nil"/>
              <w:right w:val="single" w:sz="4" w:space="0" w:color="auto"/>
            </w:tcBorders>
          </w:tcPr>
          <w:p w:rsidR="00736839" w:rsidRPr="00635A00" w:rsidRDefault="00635A00" w:rsidP="009D6AC8">
            <w:pPr>
              <w:tabs>
                <w:tab w:val="left" w:pos="323"/>
              </w:tabs>
              <w:rPr>
                <w:rFonts w:ascii="Times New Roman" w:hAnsi="Times New Roman"/>
                <w:sz w:val="28"/>
              </w:rPr>
            </w:pPr>
            <w:r w:rsidRPr="00635A00">
              <w:rPr>
                <w:rFonts w:ascii="Times New Roman" w:hAnsi="Times New Roman"/>
                <w:sz w:val="28"/>
              </w:rPr>
              <w:t xml:space="preserve">2. </w:t>
            </w:r>
            <w:r w:rsidRPr="00635A00">
              <w:rPr>
                <w:rFonts w:ascii="Times New Roman" w:hAnsi="Times New Roman"/>
                <w:sz w:val="28"/>
              </w:rPr>
              <w:t>Compra directa de tierras al FRISCO</w:t>
            </w:r>
          </w:p>
          <w:p w:rsidR="007244FC" w:rsidRPr="00635A00" w:rsidRDefault="00635A00" w:rsidP="009D6AC8">
            <w:pPr>
              <w:tabs>
                <w:tab w:val="left" w:pos="323"/>
              </w:tabs>
              <w:rPr>
                <w:rFonts w:ascii="Times New Roman" w:hAnsi="Times New Roman"/>
                <w:sz w:val="28"/>
              </w:rPr>
            </w:pPr>
          </w:p>
        </w:tc>
        <w:tc>
          <w:tcPr>
            <w:tcW w:w="2245" w:type="dxa"/>
            <w:tcBorders>
              <w:top w:val="nil"/>
              <w:left w:val="single" w:sz="4" w:space="0" w:color="auto"/>
              <w:bottom w:val="nil"/>
              <w:right w:val="single" w:sz="4" w:space="0" w:color="auto"/>
            </w:tcBorders>
          </w:tcPr>
          <w:p w:rsidR="00736839" w:rsidRPr="00635A00" w:rsidRDefault="00635A00" w:rsidP="009D6AC8">
            <w:pPr>
              <w:tabs>
                <w:tab w:val="left" w:pos="321"/>
              </w:tabs>
              <w:rPr>
                <w:rFonts w:ascii="Times New Roman" w:hAnsi="Times New Roman"/>
                <w:sz w:val="28"/>
                <w:lang w:val="es-ES"/>
              </w:rPr>
            </w:pPr>
            <w:r w:rsidRPr="00635A00">
              <w:rPr>
                <w:rFonts w:ascii="Times New Roman" w:hAnsi="Times New Roman"/>
                <w:sz w:val="28"/>
              </w:rPr>
              <w:t xml:space="preserve">2. </w:t>
            </w:r>
            <w:r w:rsidRPr="00635A00">
              <w:rPr>
                <w:rFonts w:ascii="Times New Roman" w:hAnsi="Times New Roman"/>
                <w:sz w:val="28"/>
              </w:rPr>
              <w:t>Compra directa de tierras al FRISCO</w:t>
            </w:r>
          </w:p>
        </w:tc>
        <w:tc>
          <w:tcPr>
            <w:tcW w:w="2244" w:type="dxa"/>
            <w:tcBorders>
              <w:top w:val="nil"/>
              <w:left w:val="single" w:sz="4" w:space="0" w:color="auto"/>
              <w:bottom w:val="nil"/>
              <w:right w:val="single" w:sz="4" w:space="0" w:color="auto"/>
            </w:tcBorders>
          </w:tcPr>
          <w:p w:rsidR="00736839" w:rsidRPr="00635A00" w:rsidRDefault="00635A00" w:rsidP="009D6AC8">
            <w:pPr>
              <w:tabs>
                <w:tab w:val="left" w:pos="333"/>
              </w:tabs>
              <w:rPr>
                <w:rFonts w:ascii="Times New Roman" w:hAnsi="Times New Roman"/>
                <w:sz w:val="28"/>
                <w:lang w:val="es-ES"/>
              </w:rPr>
            </w:pPr>
            <w:r w:rsidRPr="00635A00">
              <w:rPr>
                <w:rFonts w:ascii="Times New Roman" w:hAnsi="Times New Roman"/>
                <w:sz w:val="28"/>
              </w:rPr>
              <w:t xml:space="preserve">2. </w:t>
            </w:r>
            <w:r w:rsidRPr="00635A00">
              <w:rPr>
                <w:rFonts w:ascii="Times New Roman" w:hAnsi="Times New Roman"/>
                <w:sz w:val="28"/>
              </w:rPr>
              <w:t>Compra directa de tierras al FRISCO</w:t>
            </w:r>
          </w:p>
        </w:tc>
        <w:tc>
          <w:tcPr>
            <w:tcW w:w="2245" w:type="dxa"/>
            <w:tcBorders>
              <w:top w:val="nil"/>
              <w:left w:val="single" w:sz="4" w:space="0" w:color="auto"/>
              <w:bottom w:val="nil"/>
              <w:right w:val="single" w:sz="4" w:space="0" w:color="auto"/>
            </w:tcBorders>
          </w:tcPr>
          <w:p w:rsidR="00736839" w:rsidRPr="00635A00" w:rsidRDefault="00635A00" w:rsidP="009D6AC8">
            <w:pPr>
              <w:rPr>
                <w:rFonts w:ascii="Times New Roman" w:hAnsi="Times New Roman"/>
                <w:sz w:val="28"/>
                <w:lang w:val="es-ES"/>
              </w:rPr>
            </w:pPr>
            <w:r w:rsidRPr="00635A00">
              <w:rPr>
                <w:rFonts w:ascii="Times New Roman" w:hAnsi="Times New Roman"/>
                <w:sz w:val="28"/>
                <w:lang w:val="es-ES"/>
              </w:rPr>
              <w:t>2. Compra directa</w:t>
            </w:r>
            <w:r w:rsidRPr="00635A00">
              <w:rPr>
                <w:rFonts w:ascii="Times New Roman" w:hAnsi="Times New Roman"/>
                <w:sz w:val="28"/>
                <w:lang w:val="es-ES"/>
              </w:rPr>
              <w:t xml:space="preserve"> de tierras al FRISCO</w:t>
            </w:r>
          </w:p>
        </w:tc>
      </w:tr>
      <w:tr w:rsidR="00301B43" w:rsidRPr="00635A00" w:rsidTr="007244FC">
        <w:tc>
          <w:tcPr>
            <w:tcW w:w="2244" w:type="dxa"/>
            <w:tcBorders>
              <w:top w:val="nil"/>
              <w:left w:val="single" w:sz="4" w:space="0" w:color="auto"/>
              <w:bottom w:val="nil"/>
              <w:right w:val="single" w:sz="4" w:space="0" w:color="auto"/>
            </w:tcBorders>
          </w:tcPr>
          <w:p w:rsidR="00736839" w:rsidRPr="00635A00" w:rsidRDefault="00635A00" w:rsidP="009D6AC8">
            <w:pPr>
              <w:tabs>
                <w:tab w:val="left" w:pos="323"/>
              </w:tabs>
              <w:rPr>
                <w:rFonts w:ascii="Times New Roman" w:hAnsi="Times New Roman"/>
                <w:sz w:val="28"/>
              </w:rPr>
            </w:pPr>
            <w:r w:rsidRPr="00635A00">
              <w:rPr>
                <w:rFonts w:ascii="Times New Roman" w:hAnsi="Times New Roman"/>
                <w:sz w:val="28"/>
              </w:rPr>
              <w:t xml:space="preserve">3. </w:t>
            </w:r>
            <w:r w:rsidRPr="00635A00">
              <w:rPr>
                <w:rFonts w:ascii="Times New Roman" w:hAnsi="Times New Roman"/>
                <w:sz w:val="28"/>
              </w:rPr>
              <w:t>Compra directa de tierras al Fondo de Reparación de Víctimas</w:t>
            </w:r>
          </w:p>
          <w:p w:rsidR="007244FC" w:rsidRPr="00635A00" w:rsidRDefault="00635A00" w:rsidP="009D6AC8">
            <w:pPr>
              <w:tabs>
                <w:tab w:val="left" w:pos="323"/>
              </w:tabs>
              <w:rPr>
                <w:rFonts w:ascii="Times New Roman" w:hAnsi="Times New Roman"/>
                <w:sz w:val="28"/>
              </w:rPr>
            </w:pPr>
          </w:p>
        </w:tc>
        <w:tc>
          <w:tcPr>
            <w:tcW w:w="2245" w:type="dxa"/>
            <w:tcBorders>
              <w:top w:val="nil"/>
              <w:left w:val="single" w:sz="4" w:space="0" w:color="auto"/>
              <w:bottom w:val="nil"/>
              <w:right w:val="single" w:sz="4" w:space="0" w:color="auto"/>
            </w:tcBorders>
          </w:tcPr>
          <w:p w:rsidR="00736839" w:rsidRPr="00635A00" w:rsidRDefault="00635A00" w:rsidP="009D6AC8">
            <w:pPr>
              <w:tabs>
                <w:tab w:val="left" w:pos="321"/>
              </w:tabs>
              <w:rPr>
                <w:rFonts w:ascii="Times New Roman" w:hAnsi="Times New Roman"/>
                <w:sz w:val="28"/>
                <w:lang w:val="es-ES"/>
              </w:rPr>
            </w:pPr>
            <w:r w:rsidRPr="00635A00">
              <w:rPr>
                <w:rFonts w:ascii="Times New Roman" w:hAnsi="Times New Roman"/>
                <w:sz w:val="28"/>
              </w:rPr>
              <w:t xml:space="preserve">3. </w:t>
            </w:r>
            <w:r w:rsidRPr="00635A00">
              <w:rPr>
                <w:rFonts w:ascii="Times New Roman" w:hAnsi="Times New Roman"/>
                <w:sz w:val="28"/>
              </w:rPr>
              <w:t>Compra directa de tierras al Fondo de Reparación de Víctimas</w:t>
            </w:r>
          </w:p>
        </w:tc>
        <w:tc>
          <w:tcPr>
            <w:tcW w:w="2244" w:type="dxa"/>
            <w:tcBorders>
              <w:top w:val="nil"/>
              <w:left w:val="single" w:sz="4" w:space="0" w:color="auto"/>
              <w:bottom w:val="nil"/>
              <w:right w:val="single" w:sz="4" w:space="0" w:color="auto"/>
            </w:tcBorders>
          </w:tcPr>
          <w:p w:rsidR="00736839" w:rsidRPr="00635A00" w:rsidRDefault="00635A00" w:rsidP="009D6AC8">
            <w:pPr>
              <w:tabs>
                <w:tab w:val="left" w:pos="333"/>
              </w:tabs>
              <w:rPr>
                <w:rFonts w:ascii="Times New Roman" w:hAnsi="Times New Roman"/>
                <w:sz w:val="28"/>
                <w:lang w:val="es-ES"/>
              </w:rPr>
            </w:pPr>
            <w:r w:rsidRPr="00635A00">
              <w:rPr>
                <w:rFonts w:ascii="Times New Roman" w:hAnsi="Times New Roman"/>
                <w:sz w:val="28"/>
              </w:rPr>
              <w:t xml:space="preserve">3. </w:t>
            </w:r>
            <w:r w:rsidRPr="00635A00">
              <w:rPr>
                <w:rFonts w:ascii="Times New Roman" w:hAnsi="Times New Roman"/>
                <w:sz w:val="28"/>
              </w:rPr>
              <w:t>Compra directa de tierras al Fondo de Reparación de Víctimas</w:t>
            </w:r>
          </w:p>
        </w:tc>
        <w:tc>
          <w:tcPr>
            <w:tcW w:w="2245" w:type="dxa"/>
            <w:tcBorders>
              <w:top w:val="nil"/>
              <w:left w:val="single" w:sz="4" w:space="0" w:color="auto"/>
              <w:bottom w:val="nil"/>
              <w:right w:val="single" w:sz="4" w:space="0" w:color="auto"/>
            </w:tcBorders>
          </w:tcPr>
          <w:p w:rsidR="00A70EFE" w:rsidRPr="00635A00" w:rsidRDefault="00635A00" w:rsidP="009D6AC8">
            <w:pPr>
              <w:rPr>
                <w:rFonts w:ascii="Times New Roman" w:hAnsi="Times New Roman"/>
                <w:sz w:val="28"/>
                <w:lang w:val="es-ES"/>
              </w:rPr>
            </w:pPr>
            <w:r w:rsidRPr="00635A00">
              <w:rPr>
                <w:rFonts w:ascii="Times New Roman" w:hAnsi="Times New Roman"/>
                <w:sz w:val="28"/>
                <w:lang w:val="es-ES"/>
              </w:rPr>
              <w:t>3. Compra directa de tierra</w:t>
            </w:r>
            <w:r w:rsidRPr="00635A00">
              <w:rPr>
                <w:rFonts w:ascii="Times New Roman" w:hAnsi="Times New Roman"/>
                <w:sz w:val="28"/>
                <w:lang w:val="es-ES"/>
              </w:rPr>
              <w:t>s</w:t>
            </w:r>
            <w:r w:rsidRPr="00635A00">
              <w:rPr>
                <w:rFonts w:ascii="Times New Roman" w:hAnsi="Times New Roman"/>
                <w:sz w:val="28"/>
                <w:lang w:val="es-ES"/>
              </w:rPr>
              <w:t xml:space="preserve"> al Fondo de Reparación de Víctimas</w:t>
            </w:r>
          </w:p>
        </w:tc>
      </w:tr>
      <w:tr w:rsidR="00301B43" w:rsidRPr="00635A00" w:rsidTr="007244FC">
        <w:tc>
          <w:tcPr>
            <w:tcW w:w="2244" w:type="dxa"/>
            <w:tcBorders>
              <w:top w:val="nil"/>
              <w:left w:val="single" w:sz="4" w:space="0" w:color="auto"/>
              <w:bottom w:val="nil"/>
              <w:right w:val="single" w:sz="4" w:space="0" w:color="auto"/>
            </w:tcBorders>
          </w:tcPr>
          <w:p w:rsidR="009D6AC8" w:rsidRPr="00635A00" w:rsidRDefault="00635A00" w:rsidP="009D6AC8">
            <w:pPr>
              <w:tabs>
                <w:tab w:val="left" w:pos="323"/>
              </w:tabs>
              <w:rPr>
                <w:rFonts w:ascii="Times New Roman" w:hAnsi="Times New Roman"/>
                <w:sz w:val="28"/>
              </w:rPr>
            </w:pPr>
            <w:r w:rsidRPr="00635A00">
              <w:rPr>
                <w:rFonts w:ascii="Times New Roman" w:hAnsi="Times New Roman"/>
                <w:sz w:val="28"/>
              </w:rPr>
              <w:t>4. Transferencia directa por parte de otras entidades públicas</w:t>
            </w:r>
          </w:p>
        </w:tc>
        <w:tc>
          <w:tcPr>
            <w:tcW w:w="2245" w:type="dxa"/>
            <w:tcBorders>
              <w:top w:val="nil"/>
              <w:left w:val="single" w:sz="4" w:space="0" w:color="auto"/>
              <w:bottom w:val="nil"/>
              <w:right w:val="single" w:sz="4" w:space="0" w:color="auto"/>
            </w:tcBorders>
          </w:tcPr>
          <w:p w:rsidR="009D6AC8" w:rsidRPr="00635A00" w:rsidRDefault="00635A00" w:rsidP="009D6AC8">
            <w:pPr>
              <w:tabs>
                <w:tab w:val="left" w:pos="321"/>
              </w:tabs>
              <w:rPr>
                <w:rFonts w:ascii="Times New Roman" w:hAnsi="Times New Roman"/>
                <w:sz w:val="28"/>
                <w:lang w:val="es-ES"/>
              </w:rPr>
            </w:pPr>
            <w:r w:rsidRPr="00635A00">
              <w:rPr>
                <w:rFonts w:ascii="Times New Roman" w:hAnsi="Times New Roman"/>
                <w:sz w:val="28"/>
              </w:rPr>
              <w:t>4. Transferencia directa por parte de otras entidades públicas</w:t>
            </w:r>
          </w:p>
        </w:tc>
        <w:tc>
          <w:tcPr>
            <w:tcW w:w="2244" w:type="dxa"/>
            <w:tcBorders>
              <w:top w:val="nil"/>
              <w:left w:val="single" w:sz="4" w:space="0" w:color="auto"/>
              <w:bottom w:val="nil"/>
              <w:right w:val="single" w:sz="4" w:space="0" w:color="auto"/>
            </w:tcBorders>
          </w:tcPr>
          <w:p w:rsidR="009D6AC8" w:rsidRPr="00635A00" w:rsidRDefault="00635A00" w:rsidP="009D6AC8">
            <w:pPr>
              <w:tabs>
                <w:tab w:val="left" w:pos="321"/>
              </w:tabs>
              <w:rPr>
                <w:rFonts w:ascii="Times New Roman" w:hAnsi="Times New Roman"/>
                <w:sz w:val="28"/>
              </w:rPr>
            </w:pPr>
            <w:r w:rsidRPr="00635A00">
              <w:rPr>
                <w:rFonts w:ascii="Times New Roman" w:hAnsi="Times New Roman"/>
                <w:sz w:val="28"/>
              </w:rPr>
              <w:t>4. Transferencia directa por parte de otras entidades públicas</w:t>
            </w:r>
          </w:p>
          <w:p w:rsidR="007244FC" w:rsidRPr="00635A00" w:rsidRDefault="00635A00" w:rsidP="009D6AC8">
            <w:pPr>
              <w:tabs>
                <w:tab w:val="left" w:pos="321"/>
              </w:tabs>
              <w:rPr>
                <w:rFonts w:ascii="Times New Roman" w:hAnsi="Times New Roman"/>
                <w:sz w:val="28"/>
                <w:lang w:val="es-ES"/>
              </w:rPr>
            </w:pPr>
          </w:p>
        </w:tc>
        <w:tc>
          <w:tcPr>
            <w:tcW w:w="2245" w:type="dxa"/>
            <w:tcBorders>
              <w:top w:val="nil"/>
              <w:left w:val="single" w:sz="4" w:space="0" w:color="auto"/>
              <w:bottom w:val="nil"/>
              <w:right w:val="single" w:sz="4" w:space="0" w:color="auto"/>
            </w:tcBorders>
          </w:tcPr>
          <w:p w:rsidR="009D6AC8" w:rsidRPr="00635A00" w:rsidRDefault="00635A00" w:rsidP="009D6AC8">
            <w:pPr>
              <w:tabs>
                <w:tab w:val="left" w:pos="246"/>
              </w:tabs>
              <w:rPr>
                <w:rFonts w:ascii="Times New Roman" w:hAnsi="Times New Roman"/>
                <w:sz w:val="28"/>
                <w:lang w:val="es-ES"/>
              </w:rPr>
            </w:pPr>
            <w:r w:rsidRPr="00635A00">
              <w:rPr>
                <w:rFonts w:ascii="Times New Roman" w:hAnsi="Times New Roman"/>
                <w:sz w:val="28"/>
              </w:rPr>
              <w:t xml:space="preserve">4. Transferencia directa por </w:t>
            </w:r>
            <w:r w:rsidRPr="00635A00">
              <w:rPr>
                <w:rFonts w:ascii="Times New Roman" w:hAnsi="Times New Roman"/>
                <w:sz w:val="28"/>
              </w:rPr>
              <w:t>parte de otras entidades públicas</w:t>
            </w:r>
          </w:p>
        </w:tc>
      </w:tr>
      <w:tr w:rsidR="00301B43" w:rsidRPr="00635A00" w:rsidTr="007244FC">
        <w:tc>
          <w:tcPr>
            <w:tcW w:w="2244" w:type="dxa"/>
            <w:tcBorders>
              <w:top w:val="nil"/>
              <w:left w:val="single" w:sz="4" w:space="0" w:color="auto"/>
              <w:bottom w:val="nil"/>
              <w:right w:val="single" w:sz="4" w:space="0" w:color="auto"/>
            </w:tcBorders>
          </w:tcPr>
          <w:p w:rsidR="00736839" w:rsidRPr="00635A00" w:rsidRDefault="00635A00" w:rsidP="00736839">
            <w:pPr>
              <w:jc w:val="both"/>
              <w:rPr>
                <w:rFonts w:ascii="Times New Roman" w:hAnsi="Times New Roman"/>
                <w:sz w:val="28"/>
                <w:lang w:val="es-ES"/>
              </w:rPr>
            </w:pPr>
          </w:p>
        </w:tc>
        <w:tc>
          <w:tcPr>
            <w:tcW w:w="2245" w:type="dxa"/>
            <w:tcBorders>
              <w:top w:val="nil"/>
              <w:left w:val="single" w:sz="4" w:space="0" w:color="auto"/>
              <w:bottom w:val="nil"/>
              <w:right w:val="single" w:sz="4" w:space="0" w:color="auto"/>
            </w:tcBorders>
          </w:tcPr>
          <w:p w:rsidR="00736839" w:rsidRPr="00635A00" w:rsidRDefault="00635A00" w:rsidP="00736839">
            <w:pPr>
              <w:jc w:val="both"/>
              <w:rPr>
                <w:rFonts w:ascii="Times New Roman" w:hAnsi="Times New Roman"/>
                <w:sz w:val="28"/>
                <w:lang w:val="es-ES"/>
              </w:rPr>
            </w:pPr>
          </w:p>
        </w:tc>
        <w:tc>
          <w:tcPr>
            <w:tcW w:w="2244" w:type="dxa"/>
            <w:tcBorders>
              <w:top w:val="nil"/>
              <w:left w:val="single" w:sz="4" w:space="0" w:color="auto"/>
              <w:bottom w:val="nil"/>
              <w:right w:val="single" w:sz="4" w:space="0" w:color="auto"/>
            </w:tcBorders>
          </w:tcPr>
          <w:p w:rsidR="00736839" w:rsidRPr="00635A00" w:rsidRDefault="00635A00" w:rsidP="005F0803">
            <w:pPr>
              <w:rPr>
                <w:rFonts w:ascii="Times New Roman" w:hAnsi="Times New Roman"/>
                <w:sz w:val="28"/>
                <w:lang w:val="es-ES"/>
              </w:rPr>
            </w:pPr>
            <w:r w:rsidRPr="00635A00">
              <w:rPr>
                <w:rFonts w:ascii="Times New Roman" w:hAnsi="Times New Roman"/>
                <w:sz w:val="28"/>
                <w:lang w:val="es-ES"/>
              </w:rPr>
              <w:t xml:space="preserve">5. </w:t>
            </w:r>
            <w:r w:rsidRPr="00635A00">
              <w:rPr>
                <w:rFonts w:ascii="Times New Roman" w:hAnsi="Times New Roman"/>
                <w:sz w:val="28"/>
                <w:lang w:val="es-ES"/>
              </w:rPr>
              <w:t>Identificación, priorización y compra de predios para la Reforma Rural Integral</w:t>
            </w:r>
          </w:p>
          <w:p w:rsidR="007244FC" w:rsidRPr="00635A00" w:rsidRDefault="00635A00" w:rsidP="005F0803">
            <w:pPr>
              <w:rPr>
                <w:rFonts w:ascii="Times New Roman" w:hAnsi="Times New Roman"/>
                <w:sz w:val="28"/>
                <w:lang w:val="es-ES"/>
              </w:rPr>
            </w:pPr>
          </w:p>
        </w:tc>
        <w:tc>
          <w:tcPr>
            <w:tcW w:w="2245" w:type="dxa"/>
            <w:tcBorders>
              <w:top w:val="nil"/>
              <w:left w:val="single" w:sz="4" w:space="0" w:color="auto"/>
              <w:bottom w:val="nil"/>
              <w:right w:val="single" w:sz="4" w:space="0" w:color="auto"/>
            </w:tcBorders>
          </w:tcPr>
          <w:p w:rsidR="00736839" w:rsidRPr="00635A00" w:rsidRDefault="00635A00" w:rsidP="005F0803">
            <w:pPr>
              <w:rPr>
                <w:rFonts w:ascii="Times New Roman" w:hAnsi="Times New Roman"/>
                <w:sz w:val="28"/>
                <w:lang w:val="es-ES"/>
              </w:rPr>
            </w:pPr>
            <w:r w:rsidRPr="00635A00">
              <w:rPr>
                <w:rFonts w:ascii="Times New Roman" w:hAnsi="Times New Roman"/>
                <w:sz w:val="28"/>
                <w:lang w:val="es-ES"/>
              </w:rPr>
              <w:t>5. Identificación, priorización y compra de predios para la Reforma Rural Integral</w:t>
            </w:r>
          </w:p>
        </w:tc>
      </w:tr>
      <w:tr w:rsidR="005F0803" w:rsidRPr="00635A00" w:rsidTr="007244FC">
        <w:tc>
          <w:tcPr>
            <w:tcW w:w="2244" w:type="dxa"/>
            <w:tcBorders>
              <w:top w:val="nil"/>
              <w:left w:val="single" w:sz="4" w:space="0" w:color="auto"/>
              <w:bottom w:val="single" w:sz="4" w:space="0" w:color="auto"/>
              <w:right w:val="single" w:sz="4" w:space="0" w:color="auto"/>
            </w:tcBorders>
          </w:tcPr>
          <w:p w:rsidR="005F0803" w:rsidRPr="00635A00" w:rsidRDefault="00635A00" w:rsidP="005F0803">
            <w:pPr>
              <w:jc w:val="both"/>
              <w:rPr>
                <w:rFonts w:ascii="Times New Roman" w:hAnsi="Times New Roman"/>
                <w:sz w:val="28"/>
                <w:lang w:val="es-ES"/>
              </w:rPr>
            </w:pPr>
          </w:p>
        </w:tc>
        <w:tc>
          <w:tcPr>
            <w:tcW w:w="2245" w:type="dxa"/>
            <w:tcBorders>
              <w:top w:val="nil"/>
              <w:left w:val="single" w:sz="4" w:space="0" w:color="auto"/>
              <w:bottom w:val="single" w:sz="4" w:space="0" w:color="auto"/>
              <w:right w:val="single" w:sz="4" w:space="0" w:color="auto"/>
            </w:tcBorders>
          </w:tcPr>
          <w:p w:rsidR="005F0803" w:rsidRPr="00635A00" w:rsidRDefault="00635A00" w:rsidP="005F0803">
            <w:pPr>
              <w:jc w:val="both"/>
              <w:rPr>
                <w:rFonts w:ascii="Times New Roman" w:hAnsi="Times New Roman"/>
                <w:sz w:val="28"/>
                <w:lang w:val="es-ES"/>
              </w:rPr>
            </w:pPr>
          </w:p>
        </w:tc>
        <w:tc>
          <w:tcPr>
            <w:tcW w:w="2244" w:type="dxa"/>
            <w:tcBorders>
              <w:top w:val="nil"/>
              <w:left w:val="single" w:sz="4" w:space="0" w:color="auto"/>
              <w:bottom w:val="single" w:sz="4" w:space="0" w:color="auto"/>
              <w:right w:val="single" w:sz="4" w:space="0" w:color="auto"/>
            </w:tcBorders>
          </w:tcPr>
          <w:p w:rsidR="005F0803" w:rsidRPr="00635A00" w:rsidRDefault="00635A00" w:rsidP="005F0803">
            <w:pPr>
              <w:rPr>
                <w:rFonts w:ascii="Times New Roman" w:hAnsi="Times New Roman"/>
                <w:sz w:val="28"/>
                <w:u w:val="single"/>
                <w:lang w:val="es-ES"/>
              </w:rPr>
            </w:pPr>
            <w:r w:rsidRPr="00635A00">
              <w:rPr>
                <w:rFonts w:ascii="Times New Roman" w:hAnsi="Times New Roman"/>
                <w:sz w:val="28"/>
                <w:u w:val="single"/>
                <w:lang w:val="es-ES"/>
              </w:rPr>
              <w:t xml:space="preserve">6. Procedimientos de la autoridad de tierras que </w:t>
            </w:r>
            <w:r w:rsidRPr="00635A00">
              <w:rPr>
                <w:rFonts w:ascii="Times New Roman" w:hAnsi="Times New Roman"/>
                <w:sz w:val="28"/>
                <w:u w:val="single"/>
                <w:lang w:val="es-ES"/>
              </w:rPr>
              <w:t>deberán ser resueltos en fase administrativa</w:t>
            </w:r>
          </w:p>
          <w:p w:rsidR="00C605B9" w:rsidRPr="00635A00" w:rsidRDefault="00635A00" w:rsidP="005F0803">
            <w:pPr>
              <w:rPr>
                <w:rFonts w:ascii="Times New Roman" w:hAnsi="Times New Roman"/>
                <w:sz w:val="28"/>
                <w:u w:val="single"/>
                <w:lang w:val="es-ES"/>
              </w:rPr>
            </w:pPr>
          </w:p>
          <w:p w:rsidR="00C605B9" w:rsidRPr="00635A00" w:rsidRDefault="00635A00" w:rsidP="005F0803">
            <w:pPr>
              <w:rPr>
                <w:rFonts w:ascii="Times New Roman" w:hAnsi="Times New Roman"/>
                <w:sz w:val="28"/>
                <w:u w:val="single"/>
                <w:lang w:val="es-ES"/>
              </w:rPr>
            </w:pPr>
            <w:r w:rsidRPr="00635A00">
              <w:rPr>
                <w:rFonts w:ascii="Times New Roman" w:hAnsi="Times New Roman"/>
                <w:sz w:val="28"/>
                <w:u w:val="single"/>
                <w:lang w:val="es-ES"/>
              </w:rPr>
              <w:t>(se agrega un parágrafo 3° que deroga algunas disposiciones del Decreto Ley 902)</w:t>
            </w:r>
          </w:p>
          <w:p w:rsidR="00C605B9" w:rsidRPr="00635A00" w:rsidRDefault="00635A00" w:rsidP="005F0803">
            <w:pPr>
              <w:rPr>
                <w:rFonts w:ascii="Times New Roman" w:hAnsi="Times New Roman"/>
                <w:sz w:val="28"/>
                <w:u w:val="single"/>
                <w:lang w:val="es-ES"/>
              </w:rPr>
            </w:pPr>
          </w:p>
        </w:tc>
        <w:tc>
          <w:tcPr>
            <w:tcW w:w="2245" w:type="dxa"/>
            <w:tcBorders>
              <w:top w:val="nil"/>
              <w:left w:val="single" w:sz="4" w:space="0" w:color="auto"/>
              <w:bottom w:val="single" w:sz="4" w:space="0" w:color="auto"/>
              <w:right w:val="single" w:sz="4" w:space="0" w:color="auto"/>
            </w:tcBorders>
          </w:tcPr>
          <w:p w:rsidR="005F0803" w:rsidRPr="00635A00" w:rsidRDefault="00635A00" w:rsidP="005F0803">
            <w:pPr>
              <w:rPr>
                <w:rFonts w:ascii="Times New Roman" w:hAnsi="Times New Roman"/>
                <w:sz w:val="28"/>
                <w:u w:val="single"/>
                <w:lang w:val="es-ES"/>
              </w:rPr>
            </w:pPr>
            <w:r w:rsidRPr="00635A00">
              <w:rPr>
                <w:rFonts w:ascii="Times New Roman" w:hAnsi="Times New Roman"/>
                <w:sz w:val="28"/>
                <w:u w:val="single"/>
                <w:lang w:val="es-ES"/>
              </w:rPr>
              <w:t>6. Procedimientos de la autoridad de tierras que deberán ser resueltos en fase administrativa</w:t>
            </w:r>
          </w:p>
          <w:p w:rsidR="00C605B9" w:rsidRPr="00635A00" w:rsidRDefault="00635A00" w:rsidP="005F0803">
            <w:pPr>
              <w:rPr>
                <w:rFonts w:ascii="Times New Roman" w:hAnsi="Times New Roman"/>
                <w:sz w:val="28"/>
                <w:u w:val="single"/>
                <w:lang w:val="es-ES"/>
              </w:rPr>
            </w:pPr>
          </w:p>
          <w:p w:rsidR="00C605B9" w:rsidRPr="00635A00" w:rsidRDefault="00635A00" w:rsidP="00C605B9">
            <w:pPr>
              <w:rPr>
                <w:rFonts w:ascii="Times New Roman" w:hAnsi="Times New Roman"/>
                <w:sz w:val="28"/>
                <w:u w:val="single"/>
                <w:lang w:val="es-ES"/>
              </w:rPr>
            </w:pPr>
            <w:r w:rsidRPr="00635A00">
              <w:rPr>
                <w:rFonts w:ascii="Times New Roman" w:hAnsi="Times New Roman"/>
                <w:sz w:val="28"/>
                <w:u w:val="single"/>
                <w:lang w:val="es-ES"/>
              </w:rPr>
              <w:t xml:space="preserve">(se agrega un parágrafo 3° que </w:t>
            </w:r>
            <w:r w:rsidRPr="00635A00">
              <w:rPr>
                <w:rFonts w:ascii="Times New Roman" w:hAnsi="Times New Roman"/>
                <w:sz w:val="28"/>
                <w:u w:val="single"/>
                <w:lang w:val="es-ES"/>
              </w:rPr>
              <w:t>deroga algunas disposiciones del Decreto Ley 902)</w:t>
            </w:r>
          </w:p>
          <w:p w:rsidR="00C605B9" w:rsidRPr="00635A00" w:rsidRDefault="00635A00" w:rsidP="005F0803">
            <w:pPr>
              <w:rPr>
                <w:rFonts w:ascii="Times New Roman" w:hAnsi="Times New Roman"/>
                <w:sz w:val="28"/>
                <w:u w:val="single"/>
                <w:lang w:val="es-ES"/>
              </w:rPr>
            </w:pPr>
          </w:p>
        </w:tc>
      </w:tr>
    </w:tbl>
    <w:p w:rsidR="00733C3E" w:rsidRPr="00635A00" w:rsidRDefault="00635A00" w:rsidP="009A43DB">
      <w:pPr>
        <w:jc w:val="both"/>
        <w:rPr>
          <w:rFonts w:ascii="Times New Roman" w:hAnsi="Times New Roman" w:cs="Times New Roman"/>
          <w:sz w:val="28"/>
          <w:szCs w:val="28"/>
          <w:lang w:val="es-ES"/>
        </w:rPr>
      </w:pPr>
    </w:p>
    <w:p w:rsidR="008B73F0" w:rsidRPr="00635A00" w:rsidRDefault="00635A00" w:rsidP="0049266D">
      <w:pPr>
        <w:pStyle w:val="Sombreadovistoso-nfasis31"/>
        <w:ind w:left="0"/>
        <w:rPr>
          <w:rFonts w:ascii="Times New Roman" w:hAnsi="Times New Roman" w:cs="Times New Roman"/>
          <w:b/>
          <w:bCs/>
          <w:color w:val="auto"/>
        </w:rPr>
      </w:pPr>
      <w:r w:rsidRPr="00635A00">
        <w:rPr>
          <w:rFonts w:ascii="Times New Roman" w:hAnsi="Times New Roman" w:cs="Times New Roman"/>
          <w:b/>
          <w:bCs/>
          <w:color w:val="auto"/>
        </w:rPr>
        <w:t xml:space="preserve">La violación del principio de publicidad </w:t>
      </w:r>
      <w:r w:rsidRPr="00635A00">
        <w:rPr>
          <w:rFonts w:ascii="Times New Roman" w:hAnsi="Times New Roman" w:cs="Times New Roman"/>
          <w:b/>
          <w:bCs/>
          <w:color w:val="auto"/>
        </w:rPr>
        <w:t>trajo, como consecuencia,</w:t>
      </w:r>
      <w:r w:rsidRPr="00635A00">
        <w:rPr>
          <w:rFonts w:ascii="Times New Roman" w:hAnsi="Times New Roman" w:cs="Times New Roman"/>
          <w:b/>
          <w:bCs/>
          <w:color w:val="auto"/>
        </w:rPr>
        <w:t xml:space="preserve"> la vulneración del</w:t>
      </w:r>
      <w:r w:rsidRPr="00635A00">
        <w:rPr>
          <w:rFonts w:ascii="Times New Roman" w:hAnsi="Times New Roman" w:cs="Times New Roman"/>
          <w:b/>
          <w:bCs/>
          <w:color w:val="auto"/>
        </w:rPr>
        <w:t xml:space="preserve"> </w:t>
      </w:r>
      <w:r w:rsidRPr="00635A00">
        <w:rPr>
          <w:rFonts w:ascii="Times New Roman" w:hAnsi="Times New Roman" w:cs="Times New Roman"/>
          <w:b/>
          <w:bCs/>
          <w:color w:val="auto"/>
        </w:rPr>
        <w:t>principio de consecutividad.</w:t>
      </w:r>
    </w:p>
    <w:p w:rsidR="008B73F0" w:rsidRPr="00635A00" w:rsidRDefault="00635A00" w:rsidP="0049266D">
      <w:pPr>
        <w:pStyle w:val="Sombreadovistoso-nfasis31"/>
        <w:ind w:left="0"/>
        <w:rPr>
          <w:rFonts w:ascii="Times New Roman" w:hAnsi="Times New Roman" w:cs="Times New Roman"/>
          <w:color w:val="auto"/>
        </w:rPr>
      </w:pPr>
    </w:p>
    <w:p w:rsidR="00CC539C" w:rsidRPr="00635A00" w:rsidRDefault="00635A00" w:rsidP="0049266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La jurisprudencia de esta corporación ha considerado que </w:t>
      </w:r>
      <w:r w:rsidRPr="00635A00">
        <w:rPr>
          <w:rFonts w:ascii="Times New Roman" w:hAnsi="Times New Roman" w:cs="Times New Roman"/>
          <w:color w:val="auto"/>
        </w:rPr>
        <w:t>la satisfacción d</w:t>
      </w:r>
      <w:r w:rsidRPr="00635A00">
        <w:rPr>
          <w:rFonts w:ascii="Times New Roman" w:hAnsi="Times New Roman" w:cs="Times New Roman"/>
          <w:color w:val="auto"/>
        </w:rPr>
        <w:t xml:space="preserve">el principio </w:t>
      </w:r>
      <w:r w:rsidRPr="00635A00">
        <w:rPr>
          <w:rFonts w:ascii="Times New Roman" w:hAnsi="Times New Roman" w:cs="Times New Roman"/>
          <w:color w:val="auto"/>
        </w:rPr>
        <w:t>de publicidad</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es </w:t>
      </w:r>
      <w:r w:rsidRPr="00635A00">
        <w:rPr>
          <w:rFonts w:ascii="Times New Roman" w:hAnsi="Times New Roman" w:cs="Times New Roman"/>
          <w:color w:val="auto"/>
        </w:rPr>
        <w:t xml:space="preserve">una </w:t>
      </w:r>
      <w:r w:rsidRPr="00635A00">
        <w:rPr>
          <w:rFonts w:ascii="Times New Roman" w:hAnsi="Times New Roman" w:cs="Times New Roman"/>
          <w:color w:val="auto"/>
        </w:rPr>
        <w:t>condición determinante para</w:t>
      </w:r>
      <w:r w:rsidRPr="00635A00">
        <w:rPr>
          <w:rFonts w:ascii="Times New Roman" w:hAnsi="Times New Roman" w:cs="Times New Roman"/>
          <w:color w:val="auto"/>
        </w:rPr>
        <w:t xml:space="preserve"> el adecuado desarrollo de las instancias de discusión dentro del trámite legislativo, ya que “no puede existir debate en los términos del Reglamento del Congreso si los congresistas no conocen de manera previa el contenido integral de los proyectos o prop</w:t>
      </w:r>
      <w:r w:rsidRPr="00635A00">
        <w:rPr>
          <w:rFonts w:ascii="Times New Roman" w:hAnsi="Times New Roman" w:cs="Times New Roman"/>
          <w:color w:val="auto"/>
        </w:rPr>
        <w:t>osiciones”</w:t>
      </w:r>
      <w:r w:rsidRPr="00635A00">
        <w:rPr>
          <w:rStyle w:val="Refdenotaalpie"/>
          <w:rFonts w:ascii="Times New Roman" w:hAnsi="Times New Roman" w:cs="Times New Roman"/>
          <w:color w:val="auto"/>
        </w:rPr>
        <w:footnoteReference w:id="143"/>
      </w:r>
      <w:r w:rsidRPr="00635A00">
        <w:rPr>
          <w:rFonts w:ascii="Times New Roman" w:hAnsi="Times New Roman" w:cs="Times New Roman"/>
          <w:color w:val="auto"/>
        </w:rPr>
        <w:t xml:space="preserve">. De aquí que la Corte, en sentencia C-074 de 2021, </w:t>
      </w:r>
      <w:r w:rsidRPr="00635A00">
        <w:rPr>
          <w:rFonts w:ascii="Times New Roman" w:hAnsi="Times New Roman" w:cs="Times New Roman"/>
          <w:color w:val="auto"/>
        </w:rPr>
        <w:t xml:space="preserve">haya considerado que el principio de publicidad puede ser analizado en conexidad con el de consecutividad, </w:t>
      </w:r>
      <w:r w:rsidRPr="00635A00">
        <w:rPr>
          <w:rFonts w:ascii="Times New Roman" w:hAnsi="Times New Roman" w:cs="Times New Roman"/>
          <w:color w:val="auto"/>
        </w:rPr>
        <w:t>en la medida en que este último exige que</w:t>
      </w:r>
      <w:r w:rsidRPr="00635A00">
        <w:rPr>
          <w:rFonts w:ascii="Times New Roman" w:hAnsi="Times New Roman" w:cs="Times New Roman"/>
          <w:color w:val="auto"/>
        </w:rPr>
        <w:t xml:space="preserve"> para que un proyecto se convierta en ley deb</w:t>
      </w:r>
      <w:r w:rsidRPr="00635A00">
        <w:rPr>
          <w:rFonts w:ascii="Times New Roman" w:hAnsi="Times New Roman" w:cs="Times New Roman"/>
          <w:color w:val="auto"/>
        </w:rPr>
        <w:t>e ser debatido y aprobado por las comisiones y plenarias de ambas células legislativas</w:t>
      </w:r>
      <w:r w:rsidRPr="00635A00">
        <w:rPr>
          <w:rStyle w:val="Refdenotaalpie"/>
          <w:rFonts w:ascii="Times New Roman" w:hAnsi="Times New Roman" w:cs="Times New Roman"/>
          <w:color w:val="auto"/>
        </w:rPr>
        <w:footnoteReference w:id="144"/>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Al respecto, recientemente la Corte indicó que </w:t>
      </w:r>
    </w:p>
    <w:p w:rsidR="004A1000" w:rsidRPr="00635A00" w:rsidRDefault="00635A00" w:rsidP="00CC539C">
      <w:pPr>
        <w:pStyle w:val="Sombreadovistoso-nfasis31"/>
        <w:ind w:left="0"/>
        <w:rPr>
          <w:rFonts w:ascii="Times New Roman" w:hAnsi="Times New Roman" w:cs="Times New Roman"/>
          <w:color w:val="auto"/>
        </w:rPr>
      </w:pPr>
    </w:p>
    <w:p w:rsidR="00CC539C" w:rsidRPr="00635A00" w:rsidRDefault="00635A00" w:rsidP="00FF3A96">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lang w:val="es-ES_tradnl"/>
        </w:rPr>
        <w:t xml:space="preserve">“el cumplimiento del principio de publicidad guarda relación con el </w:t>
      </w:r>
      <w:r w:rsidRPr="00635A00">
        <w:rPr>
          <w:rFonts w:ascii="Times New Roman" w:hAnsi="Times New Roman" w:cs="Times New Roman"/>
          <w:i/>
          <w:iCs/>
          <w:sz w:val="28"/>
          <w:lang w:val="es-ES_tradnl"/>
        </w:rPr>
        <w:t>principio de consecutividad</w:t>
      </w:r>
      <w:r w:rsidRPr="00635A00">
        <w:rPr>
          <w:rFonts w:ascii="Times New Roman" w:hAnsi="Times New Roman" w:cs="Times New Roman"/>
          <w:sz w:val="28"/>
          <w:lang w:val="es-ES_tradnl"/>
        </w:rPr>
        <w:t xml:space="preserve">, pues </w:t>
      </w:r>
      <w:r w:rsidRPr="00635A00">
        <w:rPr>
          <w:rFonts w:ascii="Times New Roman" w:hAnsi="Times New Roman" w:cs="Times New Roman"/>
          <w:sz w:val="28"/>
          <w:u w:val="single"/>
          <w:lang w:val="es-ES_tradnl"/>
        </w:rPr>
        <w:t>el quebrantamien</w:t>
      </w:r>
      <w:r w:rsidRPr="00635A00">
        <w:rPr>
          <w:rFonts w:ascii="Times New Roman" w:hAnsi="Times New Roman" w:cs="Times New Roman"/>
          <w:sz w:val="28"/>
          <w:u w:val="single"/>
          <w:lang w:val="es-ES_tradnl"/>
        </w:rPr>
        <w:t>to de las reglas de procedimiento relativas al principio de publicidad, a tal punto que no sea posible concluir que los congresistas tenían un conocimiento real del objeto de la discusión, descarta la existencia de un debate propiamente dicho</w:t>
      </w:r>
      <w:r w:rsidRPr="00635A00">
        <w:rPr>
          <w:rFonts w:ascii="Times New Roman" w:hAnsi="Times New Roman" w:cs="Times New Roman"/>
          <w:sz w:val="28"/>
          <w:lang w:val="es-ES_tradnl"/>
        </w:rPr>
        <w:t>”</w:t>
      </w:r>
      <w:r w:rsidRPr="00635A00">
        <w:rPr>
          <w:rStyle w:val="Refdenotaalpie"/>
          <w:rFonts w:ascii="Times New Roman" w:hAnsi="Times New Roman" w:cs="Times New Roman"/>
          <w:sz w:val="28"/>
          <w:lang w:val="es-ES_tradnl"/>
        </w:rPr>
        <w:footnoteReference w:id="145"/>
      </w:r>
      <w:r w:rsidRPr="00635A00">
        <w:rPr>
          <w:rFonts w:ascii="Times New Roman" w:hAnsi="Times New Roman" w:cs="Times New Roman"/>
          <w:sz w:val="28"/>
          <w:lang w:val="es-ES_tradnl"/>
        </w:rPr>
        <w:t>.</w:t>
      </w:r>
    </w:p>
    <w:p w:rsidR="00CC539C" w:rsidRPr="00635A00" w:rsidRDefault="00635A00" w:rsidP="00CC539C">
      <w:pPr>
        <w:pStyle w:val="Sombreadovistoso-nfasis31"/>
        <w:ind w:left="0"/>
        <w:rPr>
          <w:rFonts w:ascii="Times New Roman" w:hAnsi="Times New Roman" w:cs="Times New Roman"/>
          <w:color w:val="auto"/>
        </w:rPr>
      </w:pPr>
    </w:p>
    <w:p w:rsidR="00FF3A96" w:rsidRPr="00635A00" w:rsidRDefault="00635A00" w:rsidP="00FF3A96">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Bajo </w:t>
      </w:r>
      <w:r w:rsidRPr="00635A00">
        <w:rPr>
          <w:rFonts w:ascii="Times New Roman" w:hAnsi="Times New Roman" w:cs="Times New Roman"/>
          <w:color w:val="auto"/>
        </w:rPr>
        <w:t>tales lineamientos, para la Corte es claro que en el presente caso la violación del principio de publicidad en relación con el numeral 6 y el parágrafo tercero del artículo 61 de la Ley 2294</w:t>
      </w:r>
      <w:r w:rsidRPr="00635A00">
        <w:rPr>
          <w:rFonts w:ascii="Times New Roman" w:hAnsi="Times New Roman" w:cs="Times New Roman"/>
          <w:color w:val="auto"/>
        </w:rPr>
        <w:t>, ya expuesta,</w:t>
      </w:r>
      <w:r w:rsidRPr="00635A00">
        <w:rPr>
          <w:rFonts w:ascii="Times New Roman" w:hAnsi="Times New Roman" w:cs="Times New Roman"/>
          <w:color w:val="auto"/>
        </w:rPr>
        <w:t xml:space="preserve"> necesariamente implica que la aprobación de dichos preceptos durante la plenaria del Senado también desconoce el principio de consecutividad</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A</w:t>
      </w:r>
      <w:r w:rsidRPr="00635A00">
        <w:rPr>
          <w:rFonts w:ascii="Times New Roman" w:hAnsi="Times New Roman" w:cs="Times New Roman"/>
          <w:color w:val="auto"/>
        </w:rPr>
        <w:t xml:space="preserve">l no estar los senadores informados </w:t>
      </w:r>
      <w:r w:rsidRPr="00635A00">
        <w:rPr>
          <w:rFonts w:ascii="Times New Roman" w:hAnsi="Times New Roman" w:cs="Times New Roman"/>
          <w:color w:val="auto"/>
        </w:rPr>
        <w:t xml:space="preserve">sobre la proposición </w:t>
      </w:r>
      <w:r w:rsidRPr="00635A00">
        <w:rPr>
          <w:rFonts w:ascii="Times New Roman" w:hAnsi="Times New Roman" w:cs="Times New Roman"/>
          <w:color w:val="auto"/>
        </w:rPr>
        <w:t>que incorporó tales disposiciones al proyecto, es claro</w:t>
      </w:r>
      <w:r w:rsidRPr="00635A00">
        <w:rPr>
          <w:rFonts w:ascii="Times New Roman" w:hAnsi="Times New Roman" w:cs="Times New Roman"/>
          <w:color w:val="auto"/>
        </w:rPr>
        <w:t xml:space="preserve"> que </w:t>
      </w:r>
      <w:r w:rsidRPr="00635A00">
        <w:rPr>
          <w:rFonts w:ascii="Times New Roman" w:hAnsi="Times New Roman" w:cs="Times New Roman"/>
          <w:color w:val="auto"/>
        </w:rPr>
        <w:t>no</w:t>
      </w:r>
      <w:r w:rsidRPr="00635A00">
        <w:rPr>
          <w:rFonts w:ascii="Times New Roman" w:hAnsi="Times New Roman" w:cs="Times New Roman"/>
          <w:color w:val="auto"/>
        </w:rPr>
        <w:t xml:space="preserve"> estaban dadas las condiciones mínimas </w:t>
      </w:r>
      <w:r w:rsidRPr="00635A00">
        <w:rPr>
          <w:rFonts w:ascii="Times New Roman" w:hAnsi="Times New Roman" w:cs="Times New Roman"/>
          <w:color w:val="auto"/>
        </w:rPr>
        <w:t xml:space="preserve">para </w:t>
      </w:r>
      <w:r w:rsidRPr="00635A00">
        <w:rPr>
          <w:rFonts w:ascii="Times New Roman" w:hAnsi="Times New Roman" w:cs="Times New Roman"/>
          <w:color w:val="auto"/>
        </w:rPr>
        <w:t>discutir</w:t>
      </w:r>
      <w:r w:rsidRPr="00635A00">
        <w:rPr>
          <w:rFonts w:ascii="Times New Roman" w:hAnsi="Times New Roman" w:cs="Times New Roman"/>
          <w:color w:val="auto"/>
        </w:rPr>
        <w:t xml:space="preserve"> sobre su contenido. </w:t>
      </w:r>
      <w:r w:rsidRPr="00635A00">
        <w:rPr>
          <w:rFonts w:ascii="Times New Roman" w:hAnsi="Times New Roman" w:cs="Times New Roman"/>
          <w:color w:val="auto"/>
        </w:rPr>
        <w:t>E</w:t>
      </w:r>
      <w:r w:rsidRPr="00635A00">
        <w:rPr>
          <w:rFonts w:ascii="Times New Roman" w:hAnsi="Times New Roman" w:cs="Times New Roman"/>
          <w:color w:val="auto"/>
        </w:rPr>
        <w:t>st</w:t>
      </w:r>
      <w:r w:rsidRPr="00635A00">
        <w:rPr>
          <w:rFonts w:ascii="Times New Roman" w:hAnsi="Times New Roman" w:cs="Times New Roman"/>
          <w:color w:val="auto"/>
        </w:rPr>
        <w:t>a falencia</w:t>
      </w:r>
      <w:r w:rsidRPr="00635A00">
        <w:rPr>
          <w:rFonts w:ascii="Times New Roman" w:hAnsi="Times New Roman" w:cs="Times New Roman"/>
          <w:color w:val="auto"/>
        </w:rPr>
        <w:t xml:space="preserve">, a la luz de </w:t>
      </w:r>
      <w:r w:rsidRPr="00635A00">
        <w:rPr>
          <w:rFonts w:ascii="Times New Roman" w:hAnsi="Times New Roman" w:cs="Times New Roman"/>
          <w:color w:val="auto"/>
        </w:rPr>
        <w:t>la jurisprudencia de</w:t>
      </w:r>
      <w:r w:rsidRPr="00635A00">
        <w:rPr>
          <w:rFonts w:ascii="Times New Roman" w:hAnsi="Times New Roman" w:cs="Times New Roman"/>
          <w:color w:val="auto"/>
        </w:rPr>
        <w:t xml:space="preserve"> la Corte, descarta la existencia real de un debate</w:t>
      </w:r>
      <w:r w:rsidRPr="00635A00">
        <w:rPr>
          <w:rFonts w:ascii="Times New Roman" w:hAnsi="Times New Roman" w:cs="Times New Roman"/>
          <w:color w:val="auto"/>
        </w:rPr>
        <w:t>,</w:t>
      </w:r>
      <w:r w:rsidRPr="00635A00">
        <w:rPr>
          <w:rFonts w:ascii="Times New Roman" w:hAnsi="Times New Roman" w:cs="Times New Roman"/>
          <w:color w:val="auto"/>
        </w:rPr>
        <w:t xml:space="preserve"> y afecta el principio de consecutividad</w:t>
      </w:r>
      <w:r w:rsidRPr="00635A00">
        <w:rPr>
          <w:rFonts w:ascii="Times New Roman" w:hAnsi="Times New Roman" w:cs="Times New Roman"/>
          <w:color w:val="auto"/>
        </w:rPr>
        <w:t>, en cuanto implica que no se surtier</w:t>
      </w:r>
      <w:r w:rsidRPr="00635A00">
        <w:rPr>
          <w:rFonts w:ascii="Times New Roman" w:hAnsi="Times New Roman" w:cs="Times New Roman"/>
          <w:color w:val="auto"/>
        </w:rPr>
        <w:t xml:space="preserve">on en debida forma todos los debates exigidos por </w:t>
      </w:r>
      <w:r w:rsidRPr="00635A00">
        <w:rPr>
          <w:rFonts w:ascii="Times New Roman" w:hAnsi="Times New Roman" w:cs="Times New Roman"/>
          <w:color w:val="auto"/>
        </w:rPr>
        <w:t xml:space="preserve">el artículo 157 de la </w:t>
      </w:r>
      <w:r w:rsidRPr="00635A00">
        <w:rPr>
          <w:rFonts w:ascii="Times New Roman" w:hAnsi="Times New Roman" w:cs="Times New Roman"/>
          <w:color w:val="auto"/>
        </w:rPr>
        <w:t>Carta para que el proyecto se convirtiera en ley.</w:t>
      </w:r>
    </w:p>
    <w:p w:rsidR="00CC539C" w:rsidRPr="00635A00" w:rsidRDefault="00635A00" w:rsidP="00CC539C">
      <w:pPr>
        <w:pStyle w:val="Sombreadovistoso-nfasis31"/>
        <w:ind w:left="0"/>
        <w:rPr>
          <w:rFonts w:ascii="Times New Roman" w:hAnsi="Times New Roman" w:cs="Times New Roman"/>
          <w:color w:val="auto"/>
        </w:rPr>
      </w:pPr>
    </w:p>
    <w:p w:rsidR="009A43DB" w:rsidRPr="00635A00" w:rsidRDefault="00635A00" w:rsidP="009A43DB">
      <w:pPr>
        <w:jc w:val="both"/>
        <w:rPr>
          <w:rFonts w:ascii="Times New Roman" w:hAnsi="Times New Roman" w:cs="Times New Roman"/>
          <w:b/>
          <w:bCs/>
          <w:sz w:val="28"/>
          <w:szCs w:val="28"/>
          <w:lang w:val="es-ES"/>
        </w:rPr>
      </w:pPr>
      <w:r w:rsidRPr="00635A00">
        <w:rPr>
          <w:rFonts w:ascii="Times New Roman" w:hAnsi="Times New Roman" w:cs="Times New Roman"/>
          <w:b/>
          <w:bCs/>
          <w:sz w:val="28"/>
          <w:szCs w:val="28"/>
          <w:lang w:val="es-ES"/>
        </w:rPr>
        <w:t xml:space="preserve">Los contenidos de las normas demandadas </w:t>
      </w:r>
      <w:r w:rsidRPr="00635A00">
        <w:rPr>
          <w:rFonts w:ascii="Times New Roman" w:hAnsi="Times New Roman" w:cs="Times New Roman"/>
          <w:b/>
          <w:bCs/>
          <w:sz w:val="28"/>
          <w:szCs w:val="28"/>
          <w:lang w:val="es-ES"/>
        </w:rPr>
        <w:t xml:space="preserve">tienen </w:t>
      </w:r>
      <w:r w:rsidRPr="00635A00">
        <w:rPr>
          <w:rFonts w:ascii="Times New Roman" w:hAnsi="Times New Roman" w:cs="Times New Roman"/>
          <w:b/>
          <w:bCs/>
          <w:sz w:val="28"/>
          <w:szCs w:val="28"/>
          <w:lang w:val="es-ES"/>
        </w:rPr>
        <w:t>relación</w:t>
      </w:r>
      <w:r w:rsidRPr="00635A00">
        <w:rPr>
          <w:rFonts w:ascii="Times New Roman" w:hAnsi="Times New Roman" w:cs="Times New Roman"/>
          <w:b/>
          <w:bCs/>
          <w:sz w:val="28"/>
          <w:szCs w:val="28"/>
          <w:lang w:val="es-ES"/>
        </w:rPr>
        <w:t xml:space="preserve"> con la temática general del Plan Nacional de Desarrollo</w:t>
      </w:r>
      <w:r w:rsidRPr="00635A00">
        <w:rPr>
          <w:rFonts w:ascii="Times New Roman" w:hAnsi="Times New Roman" w:cs="Times New Roman"/>
          <w:b/>
          <w:bCs/>
          <w:sz w:val="28"/>
          <w:szCs w:val="28"/>
          <w:lang w:val="es-ES"/>
        </w:rPr>
        <w:t xml:space="preserve"> 2022-2026</w:t>
      </w:r>
      <w:r w:rsidRPr="00635A00">
        <w:rPr>
          <w:rFonts w:ascii="Times New Roman" w:hAnsi="Times New Roman" w:cs="Times New Roman"/>
          <w:b/>
          <w:bCs/>
          <w:sz w:val="28"/>
          <w:szCs w:val="28"/>
          <w:lang w:val="es-ES"/>
        </w:rPr>
        <w:t xml:space="preserve">, pero </w:t>
      </w:r>
      <w:r w:rsidRPr="00635A00">
        <w:rPr>
          <w:rFonts w:ascii="Times New Roman" w:hAnsi="Times New Roman" w:cs="Times New Roman"/>
          <w:b/>
          <w:bCs/>
          <w:sz w:val="28"/>
          <w:szCs w:val="28"/>
          <w:lang w:val="es-ES"/>
        </w:rPr>
        <w:t xml:space="preserve">no fueron tratados </w:t>
      </w:r>
      <w:r w:rsidRPr="00635A00">
        <w:rPr>
          <w:rFonts w:ascii="Times New Roman" w:hAnsi="Times New Roman" w:cs="Times New Roman"/>
          <w:b/>
          <w:bCs/>
          <w:sz w:val="28"/>
          <w:szCs w:val="28"/>
          <w:lang w:val="es-ES"/>
        </w:rPr>
        <w:t>en</w:t>
      </w:r>
      <w:r w:rsidRPr="00635A00">
        <w:rPr>
          <w:rFonts w:ascii="Times New Roman" w:hAnsi="Times New Roman" w:cs="Times New Roman"/>
          <w:b/>
          <w:bCs/>
          <w:sz w:val="28"/>
          <w:szCs w:val="28"/>
          <w:lang w:val="es-ES"/>
        </w:rPr>
        <w:t xml:space="preserve"> el primer debate.</w:t>
      </w:r>
    </w:p>
    <w:p w:rsidR="009A43DB" w:rsidRPr="00635A00" w:rsidRDefault="00635A00" w:rsidP="00CB26DE">
      <w:pPr>
        <w:rPr>
          <w:rFonts w:ascii="Times New Roman" w:hAnsi="Times New Roman" w:cs="Times New Roman"/>
          <w:sz w:val="28"/>
          <w:szCs w:val="28"/>
          <w:lang w:val="es-ES"/>
        </w:rPr>
      </w:pPr>
    </w:p>
    <w:p w:rsidR="00392566" w:rsidRPr="00635A00" w:rsidRDefault="00635A00" w:rsidP="00537CA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este punto del análisis la Sala verificará</w:t>
      </w:r>
      <w:r w:rsidRPr="00635A00">
        <w:rPr>
          <w:rFonts w:ascii="Times New Roman" w:hAnsi="Times New Roman" w:cs="Times New Roman"/>
          <w:color w:val="auto"/>
        </w:rPr>
        <w:t xml:space="preserve"> en primer lugar</w:t>
      </w:r>
      <w:r w:rsidRPr="00635A00">
        <w:rPr>
          <w:rFonts w:ascii="Times New Roman" w:hAnsi="Times New Roman" w:cs="Times New Roman"/>
          <w:color w:val="auto"/>
        </w:rPr>
        <w:t xml:space="preserve"> si la medida de suprimir la fase judicial del procedimiento único del Decreto Ley 902 para el trámite de ciertos asuntos agrarios, y la consecuente facul</w:t>
      </w:r>
      <w:r w:rsidRPr="00635A00">
        <w:rPr>
          <w:rFonts w:ascii="Times New Roman" w:hAnsi="Times New Roman" w:cs="Times New Roman"/>
          <w:color w:val="auto"/>
        </w:rPr>
        <w:t>tad de la ANT para decidir de fondo sobre tales materias dentro de una actuación administrativa, tiene o no un</w:t>
      </w:r>
      <w:r w:rsidRPr="00635A00">
        <w:rPr>
          <w:rFonts w:ascii="Times New Roman" w:hAnsi="Times New Roman" w:cs="Times New Roman"/>
          <w:color w:val="auto"/>
        </w:rPr>
        <w:t>a relación</w:t>
      </w:r>
      <w:r w:rsidRPr="00635A00">
        <w:rPr>
          <w:rFonts w:ascii="Times New Roman" w:hAnsi="Times New Roman" w:cs="Times New Roman"/>
          <w:color w:val="auto"/>
        </w:rPr>
        <w:t xml:space="preserve"> con el tema general del PND.</w:t>
      </w:r>
    </w:p>
    <w:p w:rsidR="00392566" w:rsidRPr="00635A00" w:rsidRDefault="00635A00" w:rsidP="00392566">
      <w:pPr>
        <w:pStyle w:val="Sombreadovistoso-nfasis31"/>
        <w:ind w:left="0"/>
        <w:rPr>
          <w:rFonts w:ascii="Times New Roman" w:hAnsi="Times New Roman" w:cs="Times New Roman"/>
          <w:color w:val="auto"/>
        </w:rPr>
      </w:pPr>
    </w:p>
    <w:p w:rsidR="00392566" w:rsidRPr="00635A00" w:rsidRDefault="00635A00" w:rsidP="00537CA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Al efecto, </w:t>
      </w:r>
      <w:r w:rsidRPr="00635A00">
        <w:rPr>
          <w:rFonts w:ascii="Times New Roman" w:hAnsi="Times New Roman" w:cs="Times New Roman"/>
          <w:color w:val="auto"/>
        </w:rPr>
        <w:t xml:space="preserve">en primer lugar debe precisarse </w:t>
      </w:r>
      <w:r w:rsidRPr="00635A00">
        <w:rPr>
          <w:rFonts w:ascii="Times New Roman" w:hAnsi="Times New Roman" w:cs="Times New Roman"/>
          <w:color w:val="auto"/>
        </w:rPr>
        <w:t>que el hecho de que el numeral y el parágrafo demandados hayan</w:t>
      </w:r>
      <w:r w:rsidRPr="00635A00">
        <w:rPr>
          <w:rFonts w:ascii="Times New Roman" w:hAnsi="Times New Roman" w:cs="Times New Roman"/>
          <w:color w:val="auto"/>
        </w:rPr>
        <w:t xml:space="preserve"> quedado insertos en un artículo referido a los mecanismos para dinamizar la compra de tierras por oferta voluntaria no necesariamente implica un desconocimiento de los principios de consecutividad e identidad flexible</w:t>
      </w:r>
      <w:r w:rsidRPr="00635A00">
        <w:rPr>
          <w:rFonts w:ascii="Times New Roman" w:hAnsi="Times New Roman" w:cs="Times New Roman"/>
          <w:color w:val="auto"/>
        </w:rPr>
        <w:t xml:space="preserve">, como lo señaló el demandante dentro </w:t>
      </w:r>
      <w:r w:rsidRPr="00635A00">
        <w:rPr>
          <w:rFonts w:ascii="Times New Roman" w:hAnsi="Times New Roman" w:cs="Times New Roman"/>
          <w:color w:val="auto"/>
        </w:rPr>
        <w:t>del expediente D-15461</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Atrás se explicó (fundamento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_Ref171240988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147</w:t>
      </w:r>
      <w:r w:rsidRPr="00635A00">
        <w:rPr>
          <w:rFonts w:ascii="Times New Roman" w:hAnsi="Times New Roman" w:cs="Times New Roman"/>
          <w:color w:val="auto"/>
        </w:rPr>
        <w:fldChar w:fldCharType="end"/>
      </w:r>
      <w:r w:rsidRPr="00635A00">
        <w:rPr>
          <w:rFonts w:ascii="Times New Roman" w:hAnsi="Times New Roman" w:cs="Times New Roman"/>
          <w:color w:val="auto"/>
        </w:rPr>
        <w:t xml:space="preserve"> de esta providencia) que l</w:t>
      </w:r>
      <w:r w:rsidRPr="00635A00">
        <w:rPr>
          <w:rFonts w:ascii="Times New Roman" w:hAnsi="Times New Roman" w:cs="Times New Roman"/>
          <w:color w:val="auto"/>
        </w:rPr>
        <w:t xml:space="preserve">a satisfacción de tales principios no se evalúa </w:t>
      </w:r>
      <w:r w:rsidRPr="00635A00">
        <w:rPr>
          <w:rFonts w:ascii="Times New Roman" w:hAnsi="Times New Roman" w:cs="Times New Roman"/>
          <w:color w:val="auto"/>
        </w:rPr>
        <w:t xml:space="preserve">respecto de </w:t>
      </w:r>
      <w:r w:rsidRPr="00635A00">
        <w:rPr>
          <w:rFonts w:ascii="Times New Roman" w:hAnsi="Times New Roman" w:cs="Times New Roman"/>
          <w:color w:val="auto"/>
        </w:rPr>
        <w:t>artículos aislados, sino que debe constatarse frente al articulado en general.</w:t>
      </w:r>
    </w:p>
    <w:p w:rsidR="00392566" w:rsidRPr="00635A00" w:rsidRDefault="00635A00" w:rsidP="00392566">
      <w:pPr>
        <w:pStyle w:val="Sombreadovistoso-nfasis31"/>
        <w:ind w:left="0"/>
        <w:rPr>
          <w:rFonts w:ascii="Times New Roman" w:hAnsi="Times New Roman" w:cs="Times New Roman"/>
          <w:color w:val="auto"/>
        </w:rPr>
      </w:pPr>
    </w:p>
    <w:p w:rsidR="00F21457" w:rsidRPr="00635A00" w:rsidRDefault="00635A00" w:rsidP="00537CA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Ahora bien, ya quedó establecido que el articulado original del proyecto de ley no contemplaba </w:t>
      </w:r>
      <w:r w:rsidRPr="00635A00">
        <w:rPr>
          <w:rFonts w:ascii="Times New Roman" w:hAnsi="Times New Roman" w:cs="Times New Roman"/>
          <w:color w:val="auto"/>
        </w:rPr>
        <w:t>la supresión</w:t>
      </w:r>
      <w:r w:rsidRPr="00635A00">
        <w:rPr>
          <w:rFonts w:ascii="Times New Roman" w:hAnsi="Times New Roman" w:cs="Times New Roman"/>
          <w:color w:val="auto"/>
        </w:rPr>
        <w:t xml:space="preserve"> la fase judicial del Decreto Ley 902 (fundamentos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_Ref171241306</w:instrText>
      </w:r>
      <w:r w:rsidRPr="00635A00">
        <w:rPr>
          <w:rFonts w:ascii="Times New Roman" w:hAnsi="Times New Roman" w:cs="Times New Roman"/>
          <w:color w:val="auto"/>
        </w:rPr>
        <w:instrText xml:space="preserve">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150</w:t>
      </w:r>
      <w:r w:rsidRPr="00635A00">
        <w:rPr>
          <w:rFonts w:ascii="Times New Roman" w:hAnsi="Times New Roman" w:cs="Times New Roman"/>
          <w:color w:val="auto"/>
        </w:rPr>
        <w:fldChar w:fldCharType="end"/>
      </w:r>
      <w:r w:rsidRPr="00635A00">
        <w:rPr>
          <w:rFonts w:ascii="Times New Roman" w:hAnsi="Times New Roman" w:cs="Times New Roman"/>
          <w:color w:val="auto"/>
        </w:rPr>
        <w:t xml:space="preserve"> a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_Ref171241320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151</w:t>
      </w:r>
      <w:r w:rsidRPr="00635A00">
        <w:rPr>
          <w:rFonts w:ascii="Times New Roman" w:hAnsi="Times New Roman" w:cs="Times New Roman"/>
          <w:color w:val="auto"/>
        </w:rPr>
        <w:fldChar w:fldCharType="end"/>
      </w:r>
      <w:r w:rsidRPr="00635A00">
        <w:rPr>
          <w:rFonts w:ascii="Times New Roman" w:hAnsi="Times New Roman" w:cs="Times New Roman"/>
          <w:color w:val="auto"/>
        </w:rPr>
        <w:t xml:space="preserve"> de esta providencia). </w:t>
      </w:r>
      <w:r w:rsidRPr="00635A00">
        <w:rPr>
          <w:rFonts w:ascii="Times New Roman" w:hAnsi="Times New Roman" w:cs="Times New Roman"/>
          <w:color w:val="auto"/>
        </w:rPr>
        <w:t>Corresponde ahora examina</w:t>
      </w:r>
      <w:r w:rsidRPr="00635A00">
        <w:rPr>
          <w:rFonts w:ascii="Times New Roman" w:hAnsi="Times New Roman" w:cs="Times New Roman"/>
          <w:color w:val="auto"/>
        </w:rPr>
        <w:t xml:space="preserve">r si </w:t>
      </w:r>
      <w:r w:rsidRPr="00635A00">
        <w:rPr>
          <w:rFonts w:ascii="Times New Roman" w:hAnsi="Times New Roman" w:cs="Times New Roman"/>
          <w:color w:val="auto"/>
        </w:rPr>
        <w:t xml:space="preserve">esta medida guarda una relación razonable con lo previsto </w:t>
      </w:r>
      <w:r w:rsidRPr="00635A00">
        <w:rPr>
          <w:rFonts w:ascii="Times New Roman" w:hAnsi="Times New Roman" w:cs="Times New Roman"/>
          <w:color w:val="auto"/>
        </w:rPr>
        <w:t xml:space="preserve">la exposición de motivos </w:t>
      </w:r>
      <w:r w:rsidRPr="00635A00">
        <w:rPr>
          <w:rFonts w:ascii="Times New Roman" w:hAnsi="Times New Roman" w:cs="Times New Roman"/>
          <w:color w:val="auto"/>
        </w:rPr>
        <w:t>de la iniciativa, o</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con </w:t>
      </w:r>
      <w:r w:rsidRPr="00635A00">
        <w:rPr>
          <w:rFonts w:ascii="Times New Roman" w:hAnsi="Times New Roman" w:cs="Times New Roman"/>
          <w:color w:val="auto"/>
        </w:rPr>
        <w:t xml:space="preserve">las </w:t>
      </w:r>
      <w:r w:rsidRPr="00635A00">
        <w:rPr>
          <w:rFonts w:ascii="Times New Roman" w:hAnsi="Times New Roman" w:cs="Times New Roman"/>
          <w:color w:val="auto"/>
        </w:rPr>
        <w:t>bases del PND 2022-2026, que el Gobierno presentó con el proyecto de ley</w:t>
      </w:r>
      <w:r w:rsidRPr="00635A00">
        <w:rPr>
          <w:rStyle w:val="Refdenotaalpie"/>
          <w:rFonts w:ascii="Times New Roman" w:hAnsi="Times New Roman" w:cs="Times New Roman"/>
          <w:color w:val="auto"/>
        </w:rPr>
        <w:footnoteReference w:id="146"/>
      </w:r>
      <w:r w:rsidRPr="00635A00">
        <w:rPr>
          <w:rFonts w:ascii="Times New Roman" w:hAnsi="Times New Roman" w:cs="Times New Roman"/>
          <w:color w:val="auto"/>
        </w:rPr>
        <w:t>,</w:t>
      </w:r>
      <w:r w:rsidRPr="00635A00">
        <w:rPr>
          <w:rFonts w:ascii="Times New Roman" w:hAnsi="Times New Roman" w:cs="Times New Roman"/>
          <w:color w:val="auto"/>
        </w:rPr>
        <w:t xml:space="preserve"> y</w:t>
      </w:r>
      <w:r w:rsidRPr="00635A00">
        <w:rPr>
          <w:rFonts w:ascii="Times New Roman" w:hAnsi="Times New Roman" w:cs="Times New Roman"/>
          <w:color w:val="auto"/>
        </w:rPr>
        <w:t xml:space="preserve"> que </w:t>
      </w:r>
      <w:r w:rsidRPr="00635A00">
        <w:rPr>
          <w:rFonts w:ascii="Times New Roman" w:hAnsi="Times New Roman" w:cs="Times New Roman"/>
          <w:color w:val="auto"/>
        </w:rPr>
        <w:t>hace</w:t>
      </w:r>
      <w:r w:rsidRPr="00635A00">
        <w:rPr>
          <w:rFonts w:ascii="Times New Roman" w:hAnsi="Times New Roman" w:cs="Times New Roman"/>
          <w:color w:val="auto"/>
        </w:rPr>
        <w:t>n</w:t>
      </w:r>
      <w:r w:rsidRPr="00635A00">
        <w:rPr>
          <w:rFonts w:ascii="Times New Roman" w:hAnsi="Times New Roman" w:cs="Times New Roman"/>
          <w:color w:val="auto"/>
        </w:rPr>
        <w:t xml:space="preserve"> parte integral de la Ley 2294</w:t>
      </w:r>
      <w:r w:rsidRPr="00635A00">
        <w:rPr>
          <w:rStyle w:val="Refdenotaalpie"/>
          <w:rFonts w:ascii="Times New Roman" w:hAnsi="Times New Roman" w:cs="Times New Roman"/>
          <w:color w:val="auto"/>
        </w:rPr>
        <w:footnoteReference w:id="147"/>
      </w:r>
      <w:r w:rsidRPr="00635A00">
        <w:rPr>
          <w:rFonts w:ascii="Times New Roman" w:hAnsi="Times New Roman" w:cs="Times New Roman"/>
          <w:color w:val="auto"/>
        </w:rPr>
        <w:t>.</w:t>
      </w:r>
    </w:p>
    <w:p w:rsidR="00F21457" w:rsidRPr="00635A00" w:rsidRDefault="00635A00" w:rsidP="00F21457">
      <w:pPr>
        <w:pStyle w:val="Prrafodelista"/>
        <w:rPr>
          <w:rFonts w:ascii="Times New Roman" w:hAnsi="Times New Roman" w:cs="Times New Roman"/>
          <w:color w:val="auto"/>
        </w:rPr>
      </w:pPr>
    </w:p>
    <w:p w:rsidR="00226233"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la exposición de </w:t>
      </w:r>
      <w:r w:rsidRPr="00635A00">
        <w:rPr>
          <w:rFonts w:ascii="Times New Roman" w:hAnsi="Times New Roman" w:cs="Times New Roman"/>
          <w:color w:val="auto"/>
        </w:rPr>
        <w:t>motivos del proyecto que resultó en la Ley 2294</w:t>
      </w:r>
      <w:r w:rsidRPr="00635A00">
        <w:rPr>
          <w:rFonts w:ascii="Times New Roman" w:hAnsi="Times New Roman" w:cs="Times New Roman"/>
          <w:color w:val="auto"/>
        </w:rPr>
        <w:t>, se formuló una justificación sobre el eje de transformación dedicado al ordenamiento territorial alrededor del agua y la justicia ambiental. Allí se indicó que se buscaba cambiar el relacionamiento de la pob</w:t>
      </w:r>
      <w:r w:rsidRPr="00635A00">
        <w:rPr>
          <w:rFonts w:ascii="Times New Roman" w:hAnsi="Times New Roman" w:cs="Times New Roman"/>
          <w:color w:val="auto"/>
        </w:rPr>
        <w:t>lación con el territorio con el fin de garantizar la vida digna de todas las personas</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Para tal objeto, se señaló que:</w:t>
      </w:r>
    </w:p>
    <w:p w:rsidR="00F074B1" w:rsidRPr="00635A00" w:rsidRDefault="00635A00" w:rsidP="00F074B1">
      <w:pPr>
        <w:rPr>
          <w:rFonts w:ascii="Times New Roman" w:hAnsi="Times New Roman" w:cs="Times New Roman"/>
          <w:sz w:val="28"/>
        </w:rPr>
      </w:pPr>
    </w:p>
    <w:p w:rsidR="00F074B1" w:rsidRPr="00635A00" w:rsidRDefault="00635A00" w:rsidP="00F074B1">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shd w:val="clear" w:color="auto" w:fill="FFFFFF"/>
        </w:rPr>
        <w:t>“</w:t>
      </w:r>
      <w:r w:rsidRPr="00635A00">
        <w:rPr>
          <w:rFonts w:ascii="Times New Roman" w:hAnsi="Times New Roman" w:cs="Times New Roman"/>
          <w:sz w:val="28"/>
        </w:rPr>
        <w:t>en la vigencia del Plan Nacional de Desarrollo se avanzará de manera participativa en la formalización y puesta en funcionamiento del S</w:t>
      </w:r>
      <w:r w:rsidRPr="00635A00">
        <w:rPr>
          <w:rFonts w:ascii="Times New Roman" w:hAnsi="Times New Roman" w:cs="Times New Roman"/>
          <w:sz w:val="28"/>
        </w:rPr>
        <w:t>istema de Administración del Territorio (SAT), como la infraestructura pública que permitirá la coordinación y armonización de las decisiones sobre el territorio. Esto es posible por medio del fortalecimiento de las instancias para una gobernanza participa</w:t>
      </w:r>
      <w:r w:rsidRPr="00635A00">
        <w:rPr>
          <w:rFonts w:ascii="Times New Roman" w:hAnsi="Times New Roman" w:cs="Times New Roman"/>
          <w:sz w:val="28"/>
        </w:rPr>
        <w:t xml:space="preserve">tiva con enfoque de justicia ambiental y de las capacidades de la ciudadanía, los gobiernos nacional y locales en los procesos de planificación; la </w:t>
      </w:r>
      <w:r w:rsidRPr="00635A00">
        <w:rPr>
          <w:rFonts w:ascii="Times New Roman" w:hAnsi="Times New Roman" w:cs="Times New Roman"/>
          <w:sz w:val="28"/>
          <w:u w:val="single"/>
        </w:rPr>
        <w:t>implementación de mecanismos de gestión y resolución de conflictos socioambientales y territ</w:t>
      </w:r>
      <w:r w:rsidRPr="00635A00">
        <w:rPr>
          <w:rFonts w:ascii="Times New Roman" w:hAnsi="Times New Roman" w:cs="Times New Roman"/>
          <w:sz w:val="28"/>
        </w:rPr>
        <w:t xml:space="preserve">oriales; el uso </w:t>
      </w:r>
      <w:r w:rsidRPr="00635A00">
        <w:rPr>
          <w:rFonts w:ascii="Times New Roman" w:hAnsi="Times New Roman" w:cs="Times New Roman"/>
          <w:sz w:val="28"/>
        </w:rPr>
        <w:t xml:space="preserve">de la información catastral y ambiental actualizada e interoperada para los procesos de ordenamiento, planificación territorial y la implementación de instrumentos de captura de valor de las rentas urbanas y rurales; y </w:t>
      </w:r>
      <w:r w:rsidRPr="00635A00">
        <w:rPr>
          <w:rFonts w:ascii="Times New Roman" w:hAnsi="Times New Roman" w:cs="Times New Roman"/>
          <w:sz w:val="28"/>
          <w:u w:val="single"/>
        </w:rPr>
        <w:t>el impulso a los procesos de formaliz</w:t>
      </w:r>
      <w:r w:rsidRPr="00635A00">
        <w:rPr>
          <w:rFonts w:ascii="Times New Roman" w:hAnsi="Times New Roman" w:cs="Times New Roman"/>
          <w:sz w:val="28"/>
          <w:u w:val="single"/>
        </w:rPr>
        <w:t>ación, democratización y restitución de la tierra</w:t>
      </w:r>
      <w:r w:rsidRPr="00635A00">
        <w:rPr>
          <w:rFonts w:ascii="Times New Roman" w:hAnsi="Times New Roman" w:cs="Times New Roman"/>
          <w:sz w:val="28"/>
        </w:rPr>
        <w:t xml:space="preserve"> en el marco de la reforma rural integral y el cumplimiento de los compromisos del Gobierno Nacional en el Acuerdo de Paz y en la ley de víctimas”</w:t>
      </w:r>
      <w:r w:rsidRPr="00635A00">
        <w:rPr>
          <w:rStyle w:val="Refdenotaalpie"/>
          <w:rFonts w:ascii="Times New Roman" w:hAnsi="Times New Roman" w:cs="Times New Roman"/>
          <w:sz w:val="28"/>
        </w:rPr>
        <w:footnoteReference w:id="148"/>
      </w:r>
      <w:r w:rsidRPr="00635A00">
        <w:rPr>
          <w:rFonts w:ascii="Times New Roman" w:hAnsi="Times New Roman" w:cs="Times New Roman"/>
          <w:sz w:val="28"/>
        </w:rPr>
        <w:t xml:space="preserve"> (énfasis añadido)</w:t>
      </w:r>
      <w:r w:rsidRPr="00635A00">
        <w:rPr>
          <w:rFonts w:ascii="Times New Roman" w:hAnsi="Times New Roman" w:cs="Times New Roman"/>
          <w:sz w:val="28"/>
        </w:rPr>
        <w:t xml:space="preserve">. </w:t>
      </w:r>
    </w:p>
    <w:p w:rsidR="00F074B1" w:rsidRPr="00635A00" w:rsidRDefault="00635A00" w:rsidP="000060C8">
      <w:pPr>
        <w:pStyle w:val="Sombreadovistoso-nfasis31"/>
        <w:ind w:left="0"/>
        <w:rPr>
          <w:rFonts w:ascii="Times New Roman" w:hAnsi="Times New Roman" w:cs="Times New Roman"/>
          <w:color w:val="auto"/>
          <w:lang w:val="es-CO"/>
        </w:rPr>
      </w:pPr>
    </w:p>
    <w:p w:rsidR="00107555" w:rsidRPr="00635A00" w:rsidRDefault="00635A00" w:rsidP="00537CA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Más adelante, al referirse a las norma</w:t>
      </w:r>
      <w:r w:rsidRPr="00635A00">
        <w:rPr>
          <w:rFonts w:ascii="Times New Roman" w:hAnsi="Times New Roman" w:cs="Times New Roman"/>
          <w:color w:val="auto"/>
        </w:rPr>
        <w:t>s instrumentales para la ejecución del referido eje de transformación, la exposición de motivos precisó lo siguiente:</w:t>
      </w:r>
    </w:p>
    <w:p w:rsidR="00107555" w:rsidRPr="00635A00" w:rsidRDefault="00635A00" w:rsidP="00107555">
      <w:pPr>
        <w:pStyle w:val="Sombreadovistoso-nfasis31"/>
        <w:ind w:left="0"/>
        <w:rPr>
          <w:rFonts w:ascii="Times New Roman" w:hAnsi="Times New Roman" w:cs="Times New Roman"/>
          <w:color w:val="auto"/>
        </w:rPr>
      </w:pPr>
    </w:p>
    <w:p w:rsidR="00107555" w:rsidRPr="00635A00" w:rsidRDefault="00635A00" w:rsidP="009743E5">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“[e]</w:t>
      </w:r>
      <w:r w:rsidRPr="00635A00">
        <w:rPr>
          <w:rFonts w:ascii="Times New Roman" w:hAnsi="Times New Roman" w:cs="Times New Roman"/>
          <w:sz w:val="28"/>
        </w:rPr>
        <w:t>n las normas instrumentales que harán posible la transformación “Ordenamiento del Territorio Alrededor del Agua y Justicia Ambiental”</w:t>
      </w:r>
      <w:r w:rsidRPr="00635A00">
        <w:rPr>
          <w:rFonts w:ascii="Times New Roman" w:hAnsi="Times New Roman" w:cs="Times New Roman"/>
          <w:sz w:val="28"/>
        </w:rPr>
        <w:t xml:space="preserve"> se encuentran artículos relativos a la Justicia Ambiental y Gobernanza Inclusiva dentro de los que se destacan atribución de funciones para el Ministerio de Ambiente y Desarrollo Sostenible frente a las Corporaciones Autónomas Regionales y de Desarrollo S</w:t>
      </w:r>
      <w:r w:rsidRPr="00635A00">
        <w:rPr>
          <w:rFonts w:ascii="Times New Roman" w:hAnsi="Times New Roman" w:cs="Times New Roman"/>
          <w:sz w:val="28"/>
        </w:rPr>
        <w:t>ostenible, control contra la deforestación y adecuación de infraestructura en Parques Nacionales Naturales. En el Plan Nacional de Desarrollo el agua será en centro del desarrollo del territorio para lo cual se previeron normas relativas a ordenamiento ter</w:t>
      </w:r>
      <w:r w:rsidRPr="00635A00">
        <w:rPr>
          <w:rFonts w:ascii="Times New Roman" w:hAnsi="Times New Roman" w:cs="Times New Roman"/>
          <w:sz w:val="28"/>
        </w:rPr>
        <w:t>ritorial que priorizan el cuidado del medio ambiente en su desarrollo.</w:t>
      </w:r>
    </w:p>
    <w:p w:rsidR="009743E5" w:rsidRPr="00635A00" w:rsidRDefault="00635A00" w:rsidP="00107555">
      <w:pPr>
        <w:pStyle w:val="Sombreadovistoso-nfasis31"/>
        <w:rPr>
          <w:rFonts w:ascii="Times New Roman" w:hAnsi="Times New Roman" w:cs="Times New Roman"/>
          <w:color w:val="auto"/>
        </w:rPr>
      </w:pPr>
    </w:p>
    <w:p w:rsidR="00107555" w:rsidRPr="00635A00" w:rsidRDefault="00635A00" w:rsidP="009743E5">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w:t>
      </w:r>
      <w:r w:rsidRPr="00635A00">
        <w:rPr>
          <w:rFonts w:ascii="Times New Roman" w:hAnsi="Times New Roman" w:cs="Times New Roman"/>
          <w:sz w:val="28"/>
          <w:u w:val="single"/>
        </w:rPr>
        <w:t>La coordinación de los instrumentos de planificación de territorios vitales, las</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capacidades de los gobiernos locales y las comunidades para la toma de decisiones</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 xml:space="preserve">de ordenamiento y </w:t>
      </w:r>
      <w:r w:rsidRPr="00635A00">
        <w:rPr>
          <w:rFonts w:ascii="Times New Roman" w:hAnsi="Times New Roman" w:cs="Times New Roman"/>
          <w:sz w:val="28"/>
          <w:u w:val="single"/>
        </w:rPr>
        <w:t>planificación territorial, la consolidación del catastro</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multipropósito y tránsito hacia el sistema de administración del territorio (SAT), la</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tenencia en las zonas rural, urbana y suburbana formalizada, adjudicada y</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regularizada y las normas sobre los pro</w:t>
      </w:r>
      <w:r w:rsidRPr="00635A00">
        <w:rPr>
          <w:rFonts w:ascii="Times New Roman" w:hAnsi="Times New Roman" w:cs="Times New Roman"/>
          <w:sz w:val="28"/>
          <w:u w:val="single"/>
        </w:rPr>
        <w:t>cesos de compra de tierras para el</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cumplimiento del punto 1 del acuerdo de paz para la terminación del conflicto y la</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construcción de una paz estable y duradera relacionado con la reforma rural integral,</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conforman los instrumentos propuestos para lograr la</w:t>
      </w:r>
      <w:r w:rsidRPr="00635A00">
        <w:rPr>
          <w:rFonts w:ascii="Times New Roman" w:hAnsi="Times New Roman" w:cs="Times New Roman"/>
          <w:sz w:val="28"/>
          <w:u w:val="single"/>
        </w:rPr>
        <w:t xml:space="preserve"> transformación del</w:t>
      </w:r>
      <w:r w:rsidRPr="00635A00">
        <w:rPr>
          <w:rFonts w:ascii="Times New Roman" w:hAnsi="Times New Roman" w:cs="Times New Roman"/>
          <w:sz w:val="28"/>
          <w:u w:val="single"/>
        </w:rPr>
        <w:t xml:space="preserve"> </w:t>
      </w:r>
      <w:r w:rsidRPr="00635A00">
        <w:rPr>
          <w:rFonts w:ascii="Times New Roman" w:hAnsi="Times New Roman" w:cs="Times New Roman"/>
          <w:sz w:val="28"/>
          <w:u w:val="single"/>
        </w:rPr>
        <w:t>ordenamiento del territorio alrededor del agua y la justicia ambiental</w:t>
      </w:r>
      <w:r w:rsidRPr="00635A00">
        <w:rPr>
          <w:rFonts w:ascii="Times New Roman" w:hAnsi="Times New Roman" w:cs="Times New Roman"/>
          <w:sz w:val="28"/>
        </w:rPr>
        <w:t>”</w:t>
      </w:r>
      <w:r w:rsidRPr="00635A00">
        <w:rPr>
          <w:rStyle w:val="Refdenotaalpie"/>
          <w:rFonts w:ascii="Times New Roman" w:hAnsi="Times New Roman" w:cs="Times New Roman"/>
          <w:sz w:val="28"/>
        </w:rPr>
        <w:footnoteReference w:id="149"/>
      </w:r>
      <w:r w:rsidRPr="00635A00">
        <w:rPr>
          <w:rFonts w:ascii="Times New Roman" w:hAnsi="Times New Roman" w:cs="Times New Roman"/>
          <w:sz w:val="28"/>
        </w:rPr>
        <w:t xml:space="preserve"> (énfasis añadido)</w:t>
      </w:r>
      <w:r w:rsidRPr="00635A00">
        <w:rPr>
          <w:rFonts w:ascii="Times New Roman" w:hAnsi="Times New Roman" w:cs="Times New Roman"/>
          <w:sz w:val="28"/>
        </w:rPr>
        <w:t>.</w:t>
      </w:r>
    </w:p>
    <w:p w:rsidR="00107555" w:rsidRPr="00635A00" w:rsidRDefault="00635A00" w:rsidP="00107555">
      <w:pPr>
        <w:pStyle w:val="Sombreadovistoso-nfasis31"/>
        <w:ind w:left="0"/>
        <w:rPr>
          <w:rFonts w:ascii="Times New Roman" w:hAnsi="Times New Roman" w:cs="Times New Roman"/>
          <w:color w:val="auto"/>
        </w:rPr>
      </w:pPr>
    </w:p>
    <w:p w:rsidR="009743E5" w:rsidRPr="00635A00" w:rsidRDefault="00635A00" w:rsidP="00537CA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Por otro lado, como lo señalaron el Departamento Nacional de Planeación, la Secretaría Jurídica de la Presidencia de la República, el Ministeri</w:t>
      </w:r>
      <w:r w:rsidRPr="00635A00">
        <w:rPr>
          <w:rFonts w:ascii="Times New Roman" w:hAnsi="Times New Roman" w:cs="Times New Roman"/>
          <w:color w:val="auto"/>
        </w:rPr>
        <w:t>o de Agricultura, la Comisión Colombiana de Juristas y la Universidad de Nariño, en e</w:t>
      </w:r>
      <w:r w:rsidRPr="00635A00">
        <w:rPr>
          <w:rFonts w:ascii="Times New Roman" w:hAnsi="Times New Roman" w:cs="Times New Roman"/>
          <w:color w:val="auto"/>
        </w:rPr>
        <w:t>l documento que contiene las bases del PND</w:t>
      </w:r>
      <w:r w:rsidRPr="00635A00">
        <w:rPr>
          <w:rFonts w:ascii="Times New Roman" w:hAnsi="Times New Roman" w:cs="Times New Roman"/>
          <w:color w:val="auto"/>
        </w:rPr>
        <w:t xml:space="preserve">, </w:t>
      </w:r>
      <w:r w:rsidRPr="00635A00">
        <w:rPr>
          <w:rFonts w:ascii="Times New Roman" w:hAnsi="Times New Roman" w:cs="Times New Roman"/>
          <w:color w:val="auto"/>
        </w:rPr>
        <w:t>se encuentra</w:t>
      </w:r>
      <w:r w:rsidRPr="00635A00">
        <w:rPr>
          <w:rFonts w:ascii="Times New Roman" w:hAnsi="Times New Roman" w:cs="Times New Roman"/>
          <w:color w:val="auto"/>
        </w:rPr>
        <w:t>n</w:t>
      </w:r>
      <w:r w:rsidRPr="00635A00">
        <w:rPr>
          <w:rFonts w:ascii="Times New Roman" w:hAnsi="Times New Roman" w:cs="Times New Roman"/>
          <w:color w:val="auto"/>
        </w:rPr>
        <w:t xml:space="preserve"> referencias a la importancia de mejorar el acceso y la formalización de la propiedad rural, no solo como objetivo</w:t>
      </w:r>
      <w:r w:rsidRPr="00635A00">
        <w:rPr>
          <w:rFonts w:ascii="Times New Roman" w:hAnsi="Times New Roman" w:cs="Times New Roman"/>
          <w:color w:val="auto"/>
        </w:rPr>
        <w:t xml:space="preserve"> en sí mismo sino como medio para alcanzar la paz. </w:t>
      </w:r>
      <w:r w:rsidRPr="00635A00">
        <w:rPr>
          <w:rFonts w:ascii="Times New Roman" w:hAnsi="Times New Roman" w:cs="Times New Roman"/>
          <w:color w:val="auto"/>
        </w:rPr>
        <w:t>Al respecto, el capítulo sobre el eje transformación de ordenamiento del territorio alrededor del agua y justicia ambiental de dicho documento contiene las siguientes afirmaciones:</w:t>
      </w:r>
    </w:p>
    <w:p w:rsidR="009743E5" w:rsidRPr="00635A00" w:rsidRDefault="00635A00" w:rsidP="009743E5">
      <w:pPr>
        <w:pStyle w:val="Sombreadovistoso-nfasis31"/>
        <w:ind w:left="0"/>
        <w:rPr>
          <w:rFonts w:ascii="Times New Roman" w:hAnsi="Times New Roman" w:cs="Times New Roman"/>
          <w:color w:val="auto"/>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“Los bajos niveles de f</w:t>
      </w:r>
      <w:r w:rsidRPr="00635A00">
        <w:rPr>
          <w:rFonts w:ascii="Times New Roman" w:hAnsi="Times New Roman" w:cs="Times New Roman"/>
          <w:sz w:val="28"/>
        </w:rPr>
        <w:t>ormalización de la tenencia y titulación de la tierra y el letargo en el proceso de restitución son una barrera para alcanzar la paz total y superar los conflictos sociales, ambientales y económicos alrededor del uso y acceso a la</w:t>
      </w:r>
      <w:r w:rsidRPr="00635A00">
        <w:rPr>
          <w:rFonts w:ascii="Times New Roman" w:hAnsi="Times New Roman" w:cs="Times New Roman"/>
          <w:sz w:val="28"/>
        </w:rPr>
        <w:t xml:space="preserve"> </w:t>
      </w:r>
      <w:r w:rsidRPr="00635A00">
        <w:rPr>
          <w:rFonts w:ascii="Times New Roman" w:hAnsi="Times New Roman" w:cs="Times New Roman"/>
          <w:sz w:val="28"/>
        </w:rPr>
        <w:t>tierra.</w:t>
      </w:r>
      <w:r w:rsidRPr="00635A00">
        <w:rPr>
          <w:rFonts w:ascii="Times New Roman" w:hAnsi="Times New Roman" w:cs="Times New Roman"/>
          <w:sz w:val="28"/>
        </w:rPr>
        <w:t xml:space="preserve"> </w:t>
      </w:r>
      <w:r w:rsidRPr="00635A00">
        <w:rPr>
          <w:rFonts w:ascii="Times New Roman" w:hAnsi="Times New Roman" w:cs="Times New Roman"/>
          <w:sz w:val="28"/>
        </w:rPr>
        <w:t>Mientras no se ge</w:t>
      </w:r>
      <w:r w:rsidRPr="00635A00">
        <w:rPr>
          <w:rFonts w:ascii="Times New Roman" w:hAnsi="Times New Roman" w:cs="Times New Roman"/>
          <w:sz w:val="28"/>
        </w:rPr>
        <w:t>neren las condiciones para un mercado formal de tierras y se mejore en su restitución efectiva, el ordenamiento territorial no podrá ser un instrumento para la paz.</w:t>
      </w:r>
    </w:p>
    <w:p w:rsidR="00394CBA"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w:t>
      </w:r>
    </w:p>
    <w:p w:rsidR="00394CBA"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 xml:space="preserve">La importancia de esta transformación fue notoria en las propuestas que hicieron los </w:t>
      </w:r>
      <w:r w:rsidRPr="00635A00">
        <w:rPr>
          <w:rFonts w:ascii="Times New Roman" w:hAnsi="Times New Roman" w:cs="Times New Roman"/>
          <w:sz w:val="28"/>
        </w:rPr>
        <w:t>ciudadanos en los diálogos regionales vinculantes. (…) [[os ciudadanos] [c]ritican (…) la desactualización de los planes de ordenamiento y del catastro, la multiplicidad de instrumentos relacionados con el manejo del suelo, la informalidad en la tenencia d</w:t>
      </w:r>
      <w:r w:rsidRPr="00635A00">
        <w:rPr>
          <w:rFonts w:ascii="Times New Roman" w:hAnsi="Times New Roman" w:cs="Times New Roman"/>
          <w:sz w:val="28"/>
        </w:rPr>
        <w:t>e la tierra…</w:t>
      </w:r>
    </w:p>
    <w:p w:rsidR="00600BAF"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w:t>
      </w:r>
    </w:p>
    <w:p w:rsidR="00600BAF"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“La inseguridad jurídica de la tenencia reduce los beneficios públicos del mercado de suelo, dificulta el acceso al crédito, la gestión ambiental y social de la propiedad y la consolidación de la reforma rural integral.</w:t>
      </w:r>
    </w:p>
    <w:p w:rsidR="00394CBA"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b/>
          <w:bCs/>
          <w:sz w:val="28"/>
        </w:rPr>
        <w:t>Catalizadores</w:t>
      </w:r>
      <w:r w:rsidRPr="00635A00">
        <w:rPr>
          <w:rFonts w:ascii="Times New Roman" w:hAnsi="Times New Roman" w:cs="Times New Roman"/>
          <w:sz w:val="28"/>
        </w:rPr>
        <w:t>:</w:t>
      </w:r>
    </w:p>
    <w:p w:rsidR="00394CBA"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w:t>
      </w:r>
      <w:r w:rsidRPr="00635A00">
        <w:rPr>
          <w:rFonts w:ascii="Times New Roman" w:hAnsi="Times New Roman" w:cs="Times New Roman"/>
          <w:sz w:val="28"/>
        </w:rPr>
        <w:t xml:space="preserve">En este proceso </w:t>
      </w:r>
      <w:r w:rsidRPr="00635A00">
        <w:rPr>
          <w:rFonts w:ascii="Times New Roman" w:hAnsi="Times New Roman" w:cs="Times New Roman"/>
          <w:sz w:val="28"/>
          <w:u w:val="single"/>
        </w:rPr>
        <w:t>se formalizará, regularizará y restituirá la propiedad de la tierra</w:t>
      </w:r>
      <w:r w:rsidRPr="00635A00">
        <w:rPr>
          <w:rFonts w:ascii="Times New Roman" w:hAnsi="Times New Roman" w:cs="Times New Roman"/>
          <w:sz w:val="28"/>
        </w:rPr>
        <w:t>, para promover el cierre de brechas y l</w:t>
      </w:r>
      <w:r w:rsidRPr="00635A00">
        <w:rPr>
          <w:rFonts w:ascii="Times New Roman" w:hAnsi="Times New Roman" w:cs="Times New Roman"/>
          <w:sz w:val="28"/>
        </w:rPr>
        <w:t>a</w:t>
      </w:r>
      <w:r w:rsidRPr="00635A00">
        <w:rPr>
          <w:rFonts w:ascii="Times New Roman" w:hAnsi="Times New Roman" w:cs="Times New Roman"/>
          <w:sz w:val="28"/>
        </w:rPr>
        <w:t xml:space="preserve"> democratización del territorio</w:t>
      </w:r>
      <w:r w:rsidRPr="00635A00">
        <w:rPr>
          <w:rFonts w:ascii="Times New Roman" w:hAnsi="Times New Roman" w:cs="Times New Roman"/>
          <w:sz w:val="28"/>
        </w:rPr>
        <w:t>…</w:t>
      </w:r>
    </w:p>
    <w:p w:rsidR="00394CBA" w:rsidRPr="00635A00" w:rsidRDefault="00635A00" w:rsidP="00394CBA">
      <w:pPr>
        <w:shd w:val="clear" w:color="auto" w:fill="FFFFFF"/>
        <w:ind w:left="567" w:right="49"/>
        <w:jc w:val="both"/>
        <w:rPr>
          <w:rFonts w:ascii="Times New Roman" w:hAnsi="Times New Roman" w:cs="Times New Roman"/>
          <w:sz w:val="28"/>
        </w:rPr>
      </w:pPr>
    </w:p>
    <w:p w:rsidR="00600BAF" w:rsidRPr="00635A00" w:rsidRDefault="00635A00" w:rsidP="00600BAF">
      <w:pPr>
        <w:shd w:val="clear" w:color="auto" w:fill="FFFFFF"/>
        <w:ind w:left="567" w:right="49"/>
        <w:jc w:val="both"/>
        <w:rPr>
          <w:rFonts w:ascii="Times New Roman" w:eastAsiaTheme="minorHAnsi" w:hAnsi="Times New Roman" w:cs="Times New Roman"/>
          <w:sz w:val="28"/>
          <w:lang w:eastAsia="en-US"/>
        </w:rPr>
      </w:pPr>
      <w:r w:rsidRPr="00635A00">
        <w:rPr>
          <w:rFonts w:ascii="Times New Roman" w:eastAsiaTheme="minorHAnsi" w:hAnsi="Times New Roman" w:cs="Times New Roman"/>
          <w:sz w:val="28"/>
          <w:lang w:eastAsia="en-US"/>
        </w:rPr>
        <w:t>“</w:t>
      </w:r>
      <w:r w:rsidRPr="00635A00">
        <w:rPr>
          <w:rFonts w:ascii="Times New Roman" w:eastAsiaTheme="minorHAnsi" w:hAnsi="Times New Roman" w:cs="Times New Roman"/>
          <w:sz w:val="28"/>
          <w:u w:val="single"/>
          <w:lang w:eastAsia="en-US"/>
        </w:rPr>
        <w:t xml:space="preserve">Para lograr las metas en ordenamiento territorial, materializar el enfoque y alcances de esta </w:t>
      </w:r>
      <w:r w:rsidRPr="00635A00">
        <w:rPr>
          <w:rFonts w:ascii="Times New Roman" w:eastAsiaTheme="minorHAnsi" w:hAnsi="Times New Roman" w:cs="Times New Roman"/>
          <w:sz w:val="28"/>
          <w:u w:val="single"/>
          <w:lang w:eastAsia="en-US"/>
        </w:rPr>
        <w:t>transformación, y hacer de Colombia una potencia mundial de vida, se establecerán 6 catalizadores: 1. Justicia ambiental y gobernanza inclusiva. 2. El agua y las personas en el centro del ordenamiento territorial. 3. Coordinación de los instrumentos de pla</w:t>
      </w:r>
      <w:r w:rsidRPr="00635A00">
        <w:rPr>
          <w:rFonts w:ascii="Times New Roman" w:eastAsiaTheme="minorHAnsi" w:hAnsi="Times New Roman" w:cs="Times New Roman"/>
          <w:sz w:val="28"/>
          <w:u w:val="single"/>
          <w:lang w:eastAsia="en-US"/>
        </w:rPr>
        <w:t xml:space="preserve">nificación de territorios vitales. 4. Capacidades de los gobiernos locales y las comunidades para la toma de decisiones de ordenamiento y planificación territorial. 5. Consolidación del catastro multipropósito y tránsito hacia el Sistema de Administración </w:t>
      </w:r>
      <w:r w:rsidRPr="00635A00">
        <w:rPr>
          <w:rFonts w:ascii="Times New Roman" w:eastAsiaTheme="minorHAnsi" w:hAnsi="Times New Roman" w:cs="Times New Roman"/>
          <w:sz w:val="28"/>
          <w:u w:val="single"/>
          <w:lang w:eastAsia="en-US"/>
        </w:rPr>
        <w:t>del Territorio (SAT). 6. Tenencia de la tierra en las zonas rural, urbana y suburbana formalizada, adjudicada y regularizada</w:t>
      </w:r>
      <w:r w:rsidRPr="00635A00">
        <w:rPr>
          <w:rFonts w:ascii="Times New Roman" w:eastAsiaTheme="minorHAnsi" w:hAnsi="Times New Roman" w:cs="Times New Roman"/>
          <w:sz w:val="28"/>
          <w:lang w:eastAsia="en-US"/>
        </w:rPr>
        <w:t xml:space="preserve">. </w:t>
      </w:r>
    </w:p>
    <w:p w:rsidR="00750705" w:rsidRPr="00635A00" w:rsidRDefault="00635A00" w:rsidP="00394CBA">
      <w:pPr>
        <w:shd w:val="clear" w:color="auto" w:fill="FFFFFF"/>
        <w:ind w:left="567" w:right="49"/>
        <w:jc w:val="both"/>
        <w:rPr>
          <w:rFonts w:ascii="Times New Roman" w:hAnsi="Times New Roman" w:cs="Times New Roman"/>
          <w:sz w:val="28"/>
        </w:rPr>
      </w:pPr>
    </w:p>
    <w:p w:rsidR="00600BAF"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w:t>
      </w:r>
    </w:p>
    <w:p w:rsidR="00750705" w:rsidRPr="00635A00" w:rsidRDefault="00635A00" w:rsidP="00394CBA">
      <w:pPr>
        <w:shd w:val="clear" w:color="auto" w:fill="FFFFFF"/>
        <w:ind w:left="567" w:right="49"/>
        <w:jc w:val="both"/>
        <w:rPr>
          <w:rFonts w:ascii="Times New Roman" w:hAnsi="Times New Roman" w:cs="Times New Roman"/>
          <w:b/>
          <w:bCs/>
          <w:sz w:val="28"/>
        </w:rPr>
      </w:pPr>
    </w:p>
    <w:p w:rsidR="00394CBA" w:rsidRPr="00635A00" w:rsidRDefault="00635A00" w:rsidP="00394CBA">
      <w:pPr>
        <w:shd w:val="clear" w:color="auto" w:fill="FFFFFF"/>
        <w:ind w:left="567" w:right="49"/>
        <w:jc w:val="both"/>
        <w:rPr>
          <w:rFonts w:ascii="Times New Roman" w:hAnsi="Times New Roman" w:cs="Times New Roman"/>
          <w:b/>
          <w:bCs/>
          <w:sz w:val="28"/>
        </w:rPr>
      </w:pPr>
      <w:r w:rsidRPr="00635A00">
        <w:rPr>
          <w:rFonts w:ascii="Times New Roman" w:hAnsi="Times New Roman" w:cs="Times New Roman"/>
          <w:b/>
          <w:bCs/>
          <w:sz w:val="28"/>
        </w:rPr>
        <w:t xml:space="preserve">"6. </w:t>
      </w:r>
      <w:r w:rsidRPr="00635A00">
        <w:rPr>
          <w:rFonts w:ascii="Times New Roman" w:hAnsi="Times New Roman" w:cs="Times New Roman"/>
          <w:b/>
          <w:bCs/>
          <w:sz w:val="28"/>
        </w:rPr>
        <w:t>Tenencia en las zonas rural, urbana y suburbana formalizada, adjudicada y regularizada:</w:t>
      </w:r>
    </w:p>
    <w:p w:rsidR="00394CBA"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“El gobierno nacional realizar</w:t>
      </w:r>
      <w:r w:rsidRPr="00635A00">
        <w:rPr>
          <w:rFonts w:ascii="Times New Roman" w:hAnsi="Times New Roman" w:cs="Times New Roman"/>
          <w:sz w:val="28"/>
        </w:rPr>
        <w:t xml:space="preserve">á acciones para </w:t>
      </w:r>
      <w:r w:rsidRPr="00635A00">
        <w:rPr>
          <w:rFonts w:ascii="Times New Roman" w:hAnsi="Times New Roman" w:cs="Times New Roman"/>
          <w:sz w:val="28"/>
        </w:rPr>
        <w:t>i</w:t>
      </w:r>
      <w:r w:rsidRPr="00635A00">
        <w:rPr>
          <w:rFonts w:ascii="Times New Roman" w:hAnsi="Times New Roman" w:cs="Times New Roman"/>
          <w:sz w:val="28"/>
        </w:rPr>
        <w:t>mpulsar la formalización, regularización y adjudicación de la propiedad, con prioridad en la titulación de áreas rurales</w:t>
      </w:r>
      <w:r w:rsidRPr="00635A00">
        <w:rPr>
          <w:rFonts w:ascii="Times New Roman" w:hAnsi="Times New Roman" w:cs="Times New Roman"/>
          <w:sz w:val="28"/>
        </w:rPr>
        <w:t>.</w:t>
      </w:r>
    </w:p>
    <w:p w:rsidR="00394CBA"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w:t>
      </w:r>
    </w:p>
    <w:p w:rsidR="00750705" w:rsidRPr="00635A00" w:rsidRDefault="00635A00" w:rsidP="00750705">
      <w:pPr>
        <w:pStyle w:val="Prrafodelista"/>
        <w:shd w:val="clear" w:color="auto" w:fill="FFFFFF"/>
        <w:ind w:left="927" w:right="49"/>
        <w:rPr>
          <w:rFonts w:ascii="Times New Roman" w:hAnsi="Times New Roman" w:cs="Times New Roman"/>
          <w:color w:val="auto"/>
        </w:rPr>
      </w:pPr>
    </w:p>
    <w:p w:rsidR="00750705" w:rsidRPr="00635A00" w:rsidRDefault="00635A00" w:rsidP="00394CBA">
      <w:pPr>
        <w:shd w:val="clear" w:color="auto" w:fill="FFFFFF"/>
        <w:ind w:left="567" w:right="49"/>
        <w:jc w:val="both"/>
        <w:rPr>
          <w:rFonts w:ascii="Times New Roman" w:hAnsi="Times New Roman" w:cs="Times New Roman"/>
          <w:b/>
          <w:bCs/>
          <w:sz w:val="28"/>
        </w:rPr>
      </w:pPr>
      <w:r w:rsidRPr="00635A00">
        <w:rPr>
          <w:rFonts w:ascii="Times New Roman" w:hAnsi="Times New Roman" w:cs="Times New Roman"/>
          <w:b/>
          <w:bCs/>
          <w:sz w:val="28"/>
        </w:rPr>
        <w:t>“Acceso y formalización de la propiedad</w:t>
      </w:r>
    </w:p>
    <w:p w:rsidR="00750705" w:rsidRPr="00635A00" w:rsidRDefault="00635A00" w:rsidP="00394CBA">
      <w:pPr>
        <w:shd w:val="clear" w:color="auto" w:fill="FFFFFF"/>
        <w:ind w:left="567" w:right="49"/>
        <w:jc w:val="both"/>
        <w:rPr>
          <w:rFonts w:ascii="Times New Roman" w:hAnsi="Times New Roman" w:cs="Times New Roman"/>
          <w:sz w:val="28"/>
        </w:rPr>
      </w:pPr>
    </w:p>
    <w:p w:rsidR="00750705"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“Se implementará una estrategia para garantizar la permanencia de comu</w:t>
      </w:r>
      <w:r w:rsidRPr="00635A00">
        <w:rPr>
          <w:rFonts w:ascii="Times New Roman" w:hAnsi="Times New Roman" w:cs="Times New Roman"/>
          <w:sz w:val="28"/>
        </w:rPr>
        <w:t>nidades campesinas en Reservas Forestales de la Ley Segunda de 1959, que incluya mecanismos alternativos de acceso y formalización de la tenencia de la tierra, armonizando y reconvirtiendo los usos para compatibilizarlos con los objetivos de conservación s</w:t>
      </w:r>
      <w:r w:rsidRPr="00635A00">
        <w:rPr>
          <w:rFonts w:ascii="Times New Roman" w:hAnsi="Times New Roman" w:cs="Times New Roman"/>
          <w:sz w:val="28"/>
        </w:rPr>
        <w:t>in que implique sustracciones. Igualmente se formalizará el uso de tierra en zonas de reserva ambiental con uso compatible de la tierra y la definición de los baldíos.</w:t>
      </w:r>
    </w:p>
    <w:p w:rsidR="00750705"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b/>
          <w:bCs/>
          <w:sz w:val="28"/>
        </w:rPr>
      </w:pPr>
      <w:r w:rsidRPr="00635A00">
        <w:rPr>
          <w:rFonts w:ascii="Times New Roman" w:hAnsi="Times New Roman" w:cs="Times New Roman"/>
          <w:b/>
          <w:bCs/>
          <w:sz w:val="28"/>
        </w:rPr>
        <w:t>“</w:t>
      </w:r>
      <w:r w:rsidRPr="00635A00">
        <w:rPr>
          <w:rFonts w:ascii="Times New Roman" w:hAnsi="Times New Roman" w:cs="Times New Roman"/>
          <w:b/>
          <w:bCs/>
          <w:sz w:val="28"/>
        </w:rPr>
        <w:t>Coordinación institucional para optim</w:t>
      </w:r>
      <w:r w:rsidRPr="00635A00">
        <w:rPr>
          <w:rFonts w:ascii="Times New Roman" w:hAnsi="Times New Roman" w:cs="Times New Roman"/>
          <w:b/>
          <w:bCs/>
          <w:sz w:val="28"/>
        </w:rPr>
        <w:t>iz</w:t>
      </w:r>
      <w:r w:rsidRPr="00635A00">
        <w:rPr>
          <w:rFonts w:ascii="Times New Roman" w:hAnsi="Times New Roman" w:cs="Times New Roman"/>
          <w:b/>
          <w:bCs/>
          <w:sz w:val="28"/>
        </w:rPr>
        <w:t>ar la formalización</w:t>
      </w:r>
    </w:p>
    <w:p w:rsidR="00750705"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394CBA">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rPr>
        <w:t>“Se agilizarán, simplifica</w:t>
      </w:r>
      <w:r w:rsidRPr="00635A00">
        <w:rPr>
          <w:rFonts w:ascii="Times New Roman" w:hAnsi="Times New Roman" w:cs="Times New Roman"/>
          <w:sz w:val="28"/>
        </w:rPr>
        <w:t>rán y optimizarán los procesos que le permiten al ciudadano contar con el título de propiedad registrado. Se estandarizarán los trámites relacionados con la formalización, adjudicación y regularización de la propiedad en las áreas urbanas, suburbanas y rur</w:t>
      </w:r>
      <w:r w:rsidRPr="00635A00">
        <w:rPr>
          <w:rFonts w:ascii="Times New Roman" w:hAnsi="Times New Roman" w:cs="Times New Roman"/>
          <w:sz w:val="28"/>
        </w:rPr>
        <w:t>ales. (…). Se adelantarán acciones para regularizar o sanear la propiedad en áreas protegidas por ser determinantes del ordenamiento. A su vez, se robustecerá el relacionamiento con los despachos especializados en restitución de tierras, y se mejorará la c</w:t>
      </w:r>
      <w:r w:rsidRPr="00635A00">
        <w:rPr>
          <w:rFonts w:ascii="Times New Roman" w:hAnsi="Times New Roman" w:cs="Times New Roman"/>
          <w:sz w:val="28"/>
        </w:rPr>
        <w:t>oordinación entre las instituciones del Gobierno nacional y la rama judicial. Se tendrá atención especial a los segundos ocupantes de acuerdo con su vulnerabilidad, teniendo en cuenta las disposiciones plasmadas en las sentencias de restitución de tierras”</w:t>
      </w:r>
      <w:r w:rsidRPr="00635A00">
        <w:rPr>
          <w:rStyle w:val="Refdenotaalpie"/>
          <w:rFonts w:ascii="Times New Roman" w:hAnsi="Times New Roman" w:cs="Times New Roman"/>
          <w:sz w:val="28"/>
        </w:rPr>
        <w:footnoteReference w:id="150"/>
      </w:r>
    </w:p>
    <w:p w:rsidR="00392566" w:rsidRPr="00635A00" w:rsidRDefault="00635A00" w:rsidP="00394CBA">
      <w:pPr>
        <w:shd w:val="clear" w:color="auto" w:fill="FFFFFF"/>
        <w:ind w:left="567" w:right="49"/>
        <w:jc w:val="both"/>
        <w:rPr>
          <w:rFonts w:ascii="Times New Roman" w:hAnsi="Times New Roman" w:cs="Times New Roman"/>
          <w:sz w:val="28"/>
        </w:rPr>
      </w:pPr>
    </w:p>
    <w:p w:rsidR="00394CBA" w:rsidRPr="00635A00" w:rsidRDefault="00635A00" w:rsidP="00537CAD">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Más adelante, en el capítulo sobre el campesinado como actor del cambio, se señala lo siguiente:</w:t>
      </w:r>
    </w:p>
    <w:p w:rsidR="00394CBA" w:rsidRPr="00635A00" w:rsidRDefault="00635A00" w:rsidP="00394CBA">
      <w:pPr>
        <w:pStyle w:val="Sombreadovistoso-nfasis31"/>
        <w:ind w:left="0"/>
        <w:rPr>
          <w:rFonts w:ascii="Times New Roman" w:hAnsi="Times New Roman" w:cs="Times New Roman"/>
          <w:color w:val="auto"/>
        </w:rPr>
      </w:pPr>
    </w:p>
    <w:p w:rsidR="00394CBA" w:rsidRPr="00635A00" w:rsidRDefault="00635A00" w:rsidP="00394CBA">
      <w:pPr>
        <w:shd w:val="clear" w:color="auto" w:fill="FFFFFF"/>
        <w:ind w:left="567" w:right="49"/>
        <w:jc w:val="both"/>
        <w:rPr>
          <w:rFonts w:ascii="Times New Roman" w:eastAsiaTheme="minorHAnsi" w:hAnsi="Times New Roman" w:cs="Times New Roman"/>
          <w:sz w:val="28"/>
        </w:rPr>
      </w:pPr>
      <w:r w:rsidRPr="00635A00">
        <w:rPr>
          <w:rFonts w:ascii="Times New Roman" w:eastAsiaTheme="minorHAnsi" w:hAnsi="Times New Roman" w:cs="Times New Roman"/>
          <w:sz w:val="28"/>
        </w:rPr>
        <w:t xml:space="preserve">“Se fortalecerán los procesos que contribuyan a la formalización, adjudicación y regularización de la propiedad en áreas rurales y se estimularán los </w:t>
      </w:r>
      <w:r w:rsidRPr="00635A00">
        <w:rPr>
          <w:rFonts w:ascii="Times New Roman" w:eastAsiaTheme="minorHAnsi" w:hAnsi="Times New Roman" w:cs="Times New Roman"/>
          <w:sz w:val="28"/>
        </w:rPr>
        <w:t>procesos de licenciamiento ambiental</w:t>
      </w:r>
      <w:r w:rsidRPr="00635A00">
        <w:rPr>
          <w:rFonts w:ascii="Times New Roman" w:eastAsiaTheme="minorHAnsi" w:hAnsi="Times New Roman" w:cs="Times New Roman"/>
          <w:sz w:val="28"/>
        </w:rPr>
        <w:t>”</w:t>
      </w:r>
      <w:r w:rsidRPr="00635A00">
        <w:rPr>
          <w:rStyle w:val="Refdenotaalpie"/>
          <w:rFonts w:ascii="Times New Roman" w:eastAsiaTheme="minorHAnsi" w:hAnsi="Times New Roman" w:cs="Times New Roman"/>
          <w:sz w:val="28"/>
        </w:rPr>
        <w:footnoteReference w:id="151"/>
      </w:r>
      <w:r w:rsidRPr="00635A00">
        <w:rPr>
          <w:rFonts w:ascii="Times New Roman" w:eastAsiaTheme="minorHAnsi" w:hAnsi="Times New Roman" w:cs="Times New Roman"/>
          <w:sz w:val="28"/>
        </w:rPr>
        <w:t>.</w:t>
      </w:r>
    </w:p>
    <w:p w:rsidR="00394CBA" w:rsidRPr="00635A00" w:rsidRDefault="00635A00" w:rsidP="00394CBA">
      <w:pPr>
        <w:pStyle w:val="Sombreadovistoso-nfasis31"/>
        <w:ind w:left="0"/>
        <w:rPr>
          <w:rFonts w:ascii="Times New Roman" w:hAnsi="Times New Roman" w:cs="Times New Roman"/>
          <w:color w:val="auto"/>
        </w:rPr>
      </w:pPr>
    </w:p>
    <w:p w:rsidR="00C203DA" w:rsidRPr="00635A00" w:rsidRDefault="00635A00">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A partir de expuesto, bien puede concluirse que el PND ciertamente se propuso mejorar el acceso y la formalización de la propiedad rural</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Esto permite afirmar que </w:t>
      </w:r>
      <w:r w:rsidRPr="00635A00">
        <w:rPr>
          <w:rFonts w:ascii="Times New Roman" w:hAnsi="Times New Roman" w:cs="Times New Roman"/>
          <w:color w:val="auto"/>
        </w:rPr>
        <w:t>las normas aquí demandadas</w:t>
      </w:r>
      <w:r w:rsidRPr="00635A00">
        <w:rPr>
          <w:rFonts w:ascii="Times New Roman" w:hAnsi="Times New Roman" w:cs="Times New Roman"/>
          <w:color w:val="auto"/>
        </w:rPr>
        <w:t xml:space="preserve">, en </w:t>
      </w:r>
      <w:r w:rsidRPr="00635A00">
        <w:rPr>
          <w:rFonts w:ascii="Times New Roman" w:hAnsi="Times New Roman" w:cs="Times New Roman"/>
          <w:color w:val="auto"/>
        </w:rPr>
        <w:t xml:space="preserve">tanto </w:t>
      </w:r>
      <w:r w:rsidRPr="00635A00">
        <w:rPr>
          <w:rFonts w:ascii="Times New Roman" w:hAnsi="Times New Roman" w:cs="Times New Roman"/>
          <w:color w:val="auto"/>
        </w:rPr>
        <w:t>buscan material</w:t>
      </w:r>
      <w:r w:rsidRPr="00635A00">
        <w:rPr>
          <w:rFonts w:ascii="Times New Roman" w:hAnsi="Times New Roman" w:cs="Times New Roman"/>
          <w:color w:val="auto"/>
        </w:rPr>
        <w:t xml:space="preserve">izar </w:t>
      </w:r>
      <w:r w:rsidRPr="00635A00">
        <w:rPr>
          <w:rFonts w:ascii="Times New Roman" w:hAnsi="Times New Roman" w:cs="Times New Roman"/>
          <w:color w:val="auto"/>
        </w:rPr>
        <w:t>ese objetivo</w:t>
      </w:r>
      <w:r w:rsidRPr="00635A00">
        <w:rPr>
          <w:rFonts w:ascii="Times New Roman" w:hAnsi="Times New Roman" w:cs="Times New Roman"/>
          <w:color w:val="auto"/>
        </w:rPr>
        <w:t xml:space="preserve"> mediante la agilización del trámite del procedimiento único para ciertas materias agrarias al suprimir su fase judicial</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guardan relación con al menos uno de los temas generales del </w:t>
      </w:r>
      <w:r w:rsidRPr="00635A00">
        <w:rPr>
          <w:rFonts w:ascii="Times New Roman" w:hAnsi="Times New Roman" w:cs="Times New Roman"/>
          <w:color w:val="auto"/>
        </w:rPr>
        <w:t xml:space="preserve">PND. </w:t>
      </w:r>
      <w:r w:rsidRPr="00635A00">
        <w:rPr>
          <w:rFonts w:ascii="Times New Roman" w:hAnsi="Times New Roman" w:cs="Times New Roman"/>
          <w:color w:val="auto"/>
        </w:rPr>
        <w:t>Sin embargo,</w:t>
      </w:r>
      <w:r w:rsidRPr="00635A00">
        <w:rPr>
          <w:rFonts w:ascii="Times New Roman" w:hAnsi="Times New Roman" w:cs="Times New Roman"/>
          <w:color w:val="auto"/>
        </w:rPr>
        <w:t xml:space="preserve"> este vínculo no es suficiente para con</w:t>
      </w:r>
      <w:r w:rsidRPr="00635A00">
        <w:rPr>
          <w:rFonts w:ascii="Times New Roman" w:hAnsi="Times New Roman" w:cs="Times New Roman"/>
          <w:color w:val="auto"/>
        </w:rPr>
        <w:t>siderar satisfecho</w:t>
      </w:r>
      <w:r w:rsidRPr="00635A00">
        <w:rPr>
          <w:rFonts w:ascii="Times New Roman" w:hAnsi="Times New Roman" w:cs="Times New Roman"/>
          <w:color w:val="auto"/>
        </w:rPr>
        <w:t>s</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los </w:t>
      </w:r>
      <w:r w:rsidRPr="00635A00">
        <w:rPr>
          <w:rFonts w:ascii="Times New Roman" w:hAnsi="Times New Roman" w:cs="Times New Roman"/>
          <w:color w:val="auto"/>
        </w:rPr>
        <w:t>principio</w:t>
      </w:r>
      <w:r w:rsidRPr="00635A00">
        <w:rPr>
          <w:rFonts w:ascii="Times New Roman" w:hAnsi="Times New Roman" w:cs="Times New Roman"/>
          <w:color w:val="auto"/>
        </w:rPr>
        <w:t>s</w:t>
      </w:r>
      <w:r w:rsidRPr="00635A00">
        <w:rPr>
          <w:rFonts w:ascii="Times New Roman" w:hAnsi="Times New Roman" w:cs="Times New Roman"/>
          <w:color w:val="auto"/>
        </w:rPr>
        <w:t xml:space="preserve"> de consecutividad</w:t>
      </w:r>
      <w:r w:rsidRPr="00635A00">
        <w:rPr>
          <w:rFonts w:ascii="Times New Roman" w:hAnsi="Times New Roman" w:cs="Times New Roman"/>
          <w:color w:val="auto"/>
        </w:rPr>
        <w:t xml:space="preserve"> e identidad flexible</w:t>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C</w:t>
      </w:r>
      <w:r w:rsidRPr="00635A00">
        <w:rPr>
          <w:rFonts w:ascii="Times New Roman" w:hAnsi="Times New Roman" w:cs="Times New Roman"/>
          <w:color w:val="auto"/>
        </w:rPr>
        <w:t xml:space="preserve">omo </w:t>
      </w:r>
      <w:r w:rsidRPr="00635A00">
        <w:rPr>
          <w:rFonts w:ascii="Times New Roman" w:hAnsi="Times New Roman" w:cs="Times New Roman"/>
          <w:color w:val="auto"/>
        </w:rPr>
        <w:t xml:space="preserve">se expuso en </w:t>
      </w:r>
      <w:r w:rsidRPr="00635A00">
        <w:rPr>
          <w:rFonts w:ascii="Times New Roman" w:hAnsi="Times New Roman" w:cs="Times New Roman"/>
          <w:color w:val="auto"/>
        </w:rPr>
        <w:t xml:space="preserve">el fundamento </w:t>
      </w:r>
      <w:r w:rsidRPr="00635A00">
        <w:rPr>
          <w:rFonts w:ascii="Times New Roman" w:hAnsi="Times New Roman" w:cs="Times New Roman"/>
          <w:color w:val="auto"/>
        </w:rPr>
        <w:fldChar w:fldCharType="begin"/>
      </w:r>
      <w:r w:rsidRPr="00635A00">
        <w:rPr>
          <w:rFonts w:ascii="Times New Roman" w:hAnsi="Times New Roman" w:cs="Times New Roman"/>
          <w:color w:val="auto"/>
        </w:rPr>
        <w:instrText xml:space="preserve"> REF _Ref171240988 \r \h </w:instrText>
      </w:r>
      <w:r w:rsidRPr="00635A00">
        <w:rPr>
          <w:rFonts w:ascii="Times New Roman" w:hAnsi="Times New Roman" w:cs="Times New Roman"/>
          <w:color w:val="auto"/>
        </w:rPr>
        <w:instrText xml:space="preserve"> \* MERGEFORMAT </w:instrText>
      </w:r>
      <w:r w:rsidRPr="00635A00">
        <w:rPr>
          <w:rFonts w:ascii="Times New Roman" w:hAnsi="Times New Roman" w:cs="Times New Roman"/>
          <w:color w:val="auto"/>
        </w:rPr>
      </w:r>
      <w:r w:rsidRPr="00635A00">
        <w:rPr>
          <w:rFonts w:ascii="Times New Roman" w:hAnsi="Times New Roman" w:cs="Times New Roman"/>
          <w:color w:val="auto"/>
        </w:rPr>
        <w:fldChar w:fldCharType="separate"/>
      </w:r>
      <w:r w:rsidRPr="00635A00">
        <w:rPr>
          <w:rFonts w:ascii="Times New Roman" w:hAnsi="Times New Roman" w:cs="Times New Roman"/>
          <w:color w:val="auto"/>
        </w:rPr>
        <w:t>147</w:t>
      </w:r>
      <w:r w:rsidRPr="00635A00">
        <w:rPr>
          <w:rFonts w:ascii="Times New Roman" w:hAnsi="Times New Roman" w:cs="Times New Roman"/>
          <w:color w:val="auto"/>
        </w:rPr>
        <w:fldChar w:fldCharType="end"/>
      </w:r>
      <w:r w:rsidRPr="00635A00">
        <w:rPr>
          <w:rFonts w:ascii="Times New Roman" w:hAnsi="Times New Roman" w:cs="Times New Roman"/>
          <w:color w:val="auto"/>
        </w:rPr>
        <w:t>, además de la conexidad con la temática general del PND, dicho</w:t>
      </w:r>
      <w:r w:rsidRPr="00635A00">
        <w:rPr>
          <w:rFonts w:ascii="Times New Roman" w:hAnsi="Times New Roman" w:cs="Times New Roman"/>
          <w:color w:val="auto"/>
        </w:rPr>
        <w:t>s</w:t>
      </w:r>
      <w:r w:rsidRPr="00635A00">
        <w:rPr>
          <w:rFonts w:ascii="Times New Roman" w:hAnsi="Times New Roman" w:cs="Times New Roman"/>
          <w:color w:val="auto"/>
        </w:rPr>
        <w:t xml:space="preserve"> principio</w:t>
      </w:r>
      <w:r w:rsidRPr="00635A00">
        <w:rPr>
          <w:rFonts w:ascii="Times New Roman" w:hAnsi="Times New Roman" w:cs="Times New Roman"/>
          <w:color w:val="auto"/>
        </w:rPr>
        <w:t>s</w:t>
      </w:r>
      <w:r w:rsidRPr="00635A00">
        <w:rPr>
          <w:rFonts w:ascii="Times New Roman" w:hAnsi="Times New Roman" w:cs="Times New Roman"/>
          <w:color w:val="auto"/>
        </w:rPr>
        <w:t xml:space="preserve"> también exige</w:t>
      </w:r>
      <w:r w:rsidRPr="00635A00">
        <w:rPr>
          <w:rFonts w:ascii="Times New Roman" w:hAnsi="Times New Roman" w:cs="Times New Roman"/>
          <w:color w:val="auto"/>
        </w:rPr>
        <w:t>n</w:t>
      </w:r>
      <w:r w:rsidRPr="00635A00">
        <w:rPr>
          <w:rFonts w:ascii="Times New Roman" w:hAnsi="Times New Roman" w:cs="Times New Roman"/>
          <w:color w:val="auto"/>
        </w:rPr>
        <w:t xml:space="preserve"> que las</w:t>
      </w:r>
      <w:r w:rsidRPr="00635A00">
        <w:rPr>
          <w:rFonts w:ascii="Times New Roman" w:hAnsi="Times New Roman" w:cs="Times New Roman"/>
          <w:color w:val="auto"/>
        </w:rPr>
        <w:t xml:space="preserve"> materias de las</w:t>
      </w:r>
      <w:r w:rsidRPr="00635A00">
        <w:rPr>
          <w:rFonts w:ascii="Times New Roman" w:hAnsi="Times New Roman" w:cs="Times New Roman"/>
          <w:color w:val="auto"/>
        </w:rPr>
        <w:t xml:space="preserve"> disposiciones introducidas en segundo debate </w:t>
      </w:r>
      <w:r w:rsidRPr="00635A00">
        <w:rPr>
          <w:rFonts w:ascii="Times New Roman" w:hAnsi="Times New Roman" w:cs="Times New Roman"/>
          <w:color w:val="auto"/>
        </w:rPr>
        <w:t xml:space="preserve">correspondan a asuntos tratados </w:t>
      </w:r>
      <w:r w:rsidRPr="00635A00">
        <w:rPr>
          <w:rFonts w:ascii="Times New Roman" w:hAnsi="Times New Roman" w:cs="Times New Roman"/>
          <w:color w:val="auto"/>
        </w:rPr>
        <w:t xml:space="preserve">y aprobados en primer debate. </w:t>
      </w:r>
      <w:r w:rsidRPr="00635A00">
        <w:rPr>
          <w:rFonts w:ascii="Times New Roman" w:hAnsi="Times New Roman" w:cs="Times New Roman"/>
          <w:color w:val="auto"/>
        </w:rPr>
        <w:t>Al respecto, la jurisp</w:t>
      </w:r>
      <w:r w:rsidRPr="00635A00">
        <w:rPr>
          <w:rFonts w:ascii="Times New Roman" w:hAnsi="Times New Roman" w:cs="Times New Roman"/>
          <w:color w:val="auto"/>
        </w:rPr>
        <w:t>r</w:t>
      </w:r>
      <w:r w:rsidRPr="00635A00">
        <w:rPr>
          <w:rFonts w:ascii="Times New Roman" w:hAnsi="Times New Roman" w:cs="Times New Roman"/>
          <w:color w:val="auto"/>
        </w:rPr>
        <w:t>udencia de esta Corporaci</w:t>
      </w:r>
      <w:r w:rsidRPr="00635A00">
        <w:rPr>
          <w:rFonts w:ascii="Times New Roman" w:hAnsi="Times New Roman" w:cs="Times New Roman"/>
          <w:color w:val="auto"/>
        </w:rPr>
        <w:t>ó</w:t>
      </w:r>
      <w:r w:rsidRPr="00635A00">
        <w:rPr>
          <w:rFonts w:ascii="Times New Roman" w:hAnsi="Times New Roman" w:cs="Times New Roman"/>
          <w:color w:val="auto"/>
        </w:rPr>
        <w:t>n</w:t>
      </w:r>
      <w:r w:rsidRPr="00635A00">
        <w:rPr>
          <w:rFonts w:ascii="Times New Roman" w:hAnsi="Times New Roman" w:cs="Times New Roman"/>
          <w:color w:val="auto"/>
        </w:rPr>
        <w:t xml:space="preserve"> ha precisado que</w:t>
      </w:r>
      <w:r w:rsidRPr="00635A00">
        <w:rPr>
          <w:rFonts w:ascii="Times New Roman" w:hAnsi="Times New Roman" w:cs="Times New Roman"/>
          <w:color w:val="auto"/>
        </w:rPr>
        <w:t>:</w:t>
      </w:r>
    </w:p>
    <w:p w:rsidR="009F77F9" w:rsidRPr="00635A00" w:rsidRDefault="00635A00" w:rsidP="00C203DA">
      <w:pPr>
        <w:pStyle w:val="Sombreadovistoso-nfasis31"/>
        <w:ind w:left="0"/>
        <w:rPr>
          <w:rFonts w:ascii="Times New Roman" w:hAnsi="Times New Roman" w:cs="Times New Roman"/>
          <w:color w:val="auto"/>
        </w:rPr>
      </w:pPr>
    </w:p>
    <w:p w:rsidR="00C203DA" w:rsidRPr="00635A00" w:rsidRDefault="00635A00" w:rsidP="00E12930">
      <w:pPr>
        <w:shd w:val="clear" w:color="auto" w:fill="FFFFFF"/>
        <w:ind w:left="567" w:right="49"/>
        <w:jc w:val="both"/>
        <w:rPr>
          <w:rFonts w:ascii="Times New Roman" w:hAnsi="Times New Roman" w:cs="Times New Roman"/>
          <w:sz w:val="28"/>
          <w:lang w:val="es-ES"/>
        </w:rPr>
      </w:pPr>
      <w:r w:rsidRPr="00635A00">
        <w:rPr>
          <w:rFonts w:ascii="Times New Roman" w:hAnsi="Times New Roman" w:cs="Times New Roman"/>
          <w:sz w:val="28"/>
          <w:lang w:val="es-ES_tradnl"/>
        </w:rPr>
        <w:t>“Es posible introducir disposiciones nuevas en el segundo debate, según las</w:t>
      </w:r>
      <w:r w:rsidRPr="00635A00">
        <w:rPr>
          <w:rFonts w:ascii="Times New Roman" w:hAnsi="Times New Roman" w:cs="Times New Roman"/>
          <w:sz w:val="28"/>
          <w:lang w:val="es-ES"/>
        </w:rPr>
        <w:t xml:space="preserve"> normas generales y especiales que regulan la aprobación de la ley del plan, </w:t>
      </w:r>
      <w:r w:rsidRPr="00635A00">
        <w:rPr>
          <w:rFonts w:ascii="Times New Roman" w:hAnsi="Times New Roman" w:cs="Times New Roman"/>
          <w:sz w:val="28"/>
          <w:u w:val="single"/>
          <w:lang w:val="es-ES"/>
        </w:rPr>
        <w:t>siempre que se trate de normas de carácter instrumental que cumplan dos condiciones, a saber</w:t>
      </w:r>
      <w:r w:rsidRPr="00635A00">
        <w:rPr>
          <w:rFonts w:ascii="Times New Roman" w:hAnsi="Times New Roman" w:cs="Times New Roman"/>
          <w:sz w:val="28"/>
          <w:lang w:val="es-ES"/>
        </w:rPr>
        <w:t xml:space="preserve">: i) </w:t>
      </w:r>
      <w:r w:rsidRPr="00635A00">
        <w:rPr>
          <w:rFonts w:ascii="Times New Roman" w:hAnsi="Times New Roman" w:cs="Times New Roman"/>
          <w:sz w:val="28"/>
          <w:u w:val="single"/>
          <w:lang w:val="es-ES"/>
        </w:rPr>
        <w:t>que los temas incluidos en el artículo nuevo hayan sido objeto de discusión y aprobación en cada uno de los debates -comprende el primer debate en comisiones-</w:t>
      </w:r>
      <w:r w:rsidRPr="00635A00">
        <w:rPr>
          <w:rFonts w:ascii="Times New Roman" w:hAnsi="Times New Roman" w:cs="Times New Roman"/>
          <w:sz w:val="28"/>
          <w:lang w:val="es-ES"/>
        </w:rPr>
        <w:t xml:space="preserve"> </w:t>
      </w:r>
      <w:r w:rsidRPr="00635A00">
        <w:rPr>
          <w:rFonts w:ascii="Times New Roman" w:hAnsi="Times New Roman" w:cs="Times New Roman"/>
          <w:sz w:val="28"/>
          <w:lang w:val="es-ES"/>
        </w:rPr>
        <w:t>y ii) que dichos temas se encuentren relacionados -vínculo razonable- con el tema general del Plan nacional de desarrollo”</w:t>
      </w:r>
      <w:r w:rsidRPr="00635A00">
        <w:rPr>
          <w:rStyle w:val="Refdenotaalpie"/>
          <w:rFonts w:ascii="Times New Roman" w:hAnsi="Times New Roman" w:cs="Times New Roman"/>
          <w:sz w:val="28"/>
          <w:lang w:val="es-ES"/>
        </w:rPr>
        <w:footnoteReference w:id="152"/>
      </w:r>
      <w:r w:rsidRPr="00635A00">
        <w:rPr>
          <w:rFonts w:ascii="Times New Roman" w:hAnsi="Times New Roman" w:cs="Times New Roman"/>
          <w:sz w:val="28"/>
          <w:lang w:val="es-ES"/>
        </w:rPr>
        <w:t>.</w:t>
      </w:r>
    </w:p>
    <w:p w:rsidR="00C203DA" w:rsidRPr="00635A00" w:rsidRDefault="00635A00" w:rsidP="00C203DA">
      <w:pPr>
        <w:pStyle w:val="Sombreadovistoso-nfasis31"/>
        <w:ind w:left="0"/>
        <w:rPr>
          <w:rFonts w:ascii="Times New Roman" w:hAnsi="Times New Roman" w:cs="Times New Roman"/>
          <w:color w:val="auto"/>
        </w:rPr>
      </w:pPr>
    </w:p>
    <w:p w:rsidR="00AF3627" w:rsidRPr="00635A00" w:rsidRDefault="00635A00">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Para la</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Corte, </w:t>
      </w:r>
      <w:r w:rsidRPr="00635A00">
        <w:rPr>
          <w:rFonts w:ascii="Times New Roman" w:hAnsi="Times New Roman" w:cs="Times New Roman"/>
          <w:color w:val="auto"/>
        </w:rPr>
        <w:t>los</w:t>
      </w:r>
      <w:r w:rsidRPr="00635A00">
        <w:rPr>
          <w:rFonts w:ascii="Times New Roman" w:hAnsi="Times New Roman" w:cs="Times New Roman"/>
          <w:color w:val="auto"/>
        </w:rPr>
        <w:t xml:space="preserve"> tema</w:t>
      </w:r>
      <w:r w:rsidRPr="00635A00">
        <w:rPr>
          <w:rFonts w:ascii="Times New Roman" w:hAnsi="Times New Roman" w:cs="Times New Roman"/>
          <w:color w:val="auto"/>
        </w:rPr>
        <w:t>s</w:t>
      </w:r>
      <w:r w:rsidRPr="00635A00">
        <w:rPr>
          <w:rFonts w:ascii="Times New Roman" w:hAnsi="Times New Roman" w:cs="Times New Roman"/>
          <w:color w:val="auto"/>
        </w:rPr>
        <w:t xml:space="preserve"> regulado</w:t>
      </w:r>
      <w:r w:rsidRPr="00635A00">
        <w:rPr>
          <w:rFonts w:ascii="Times New Roman" w:hAnsi="Times New Roman" w:cs="Times New Roman"/>
          <w:color w:val="auto"/>
        </w:rPr>
        <w:t>s</w:t>
      </w:r>
      <w:r w:rsidRPr="00635A00">
        <w:rPr>
          <w:rFonts w:ascii="Times New Roman" w:hAnsi="Times New Roman" w:cs="Times New Roman"/>
          <w:color w:val="auto"/>
        </w:rPr>
        <w:t xml:space="preserve"> por el numeral 6 y parágrafo tercero del artículo 61 de la Ley 2294</w:t>
      </w:r>
      <w:r w:rsidRPr="00635A00">
        <w:rPr>
          <w:rFonts w:ascii="Times New Roman" w:hAnsi="Times New Roman" w:cs="Times New Roman"/>
          <w:color w:val="auto"/>
        </w:rPr>
        <w:t>, sobre la supresión de la f</w:t>
      </w:r>
      <w:r w:rsidRPr="00635A00">
        <w:rPr>
          <w:rFonts w:ascii="Times New Roman" w:hAnsi="Times New Roman" w:cs="Times New Roman"/>
          <w:color w:val="auto"/>
        </w:rPr>
        <w:t xml:space="preserve">ase judicial </w:t>
      </w:r>
      <w:r w:rsidRPr="00635A00">
        <w:rPr>
          <w:rFonts w:ascii="Times New Roman" w:hAnsi="Times New Roman" w:cs="Times New Roman"/>
          <w:color w:val="auto"/>
        </w:rPr>
        <w:t xml:space="preserve">del procedimiento único para ciertos asuntos agrarios y la consecuente derogatoria de algunas disposiciones del Decreto Ley 902, </w:t>
      </w:r>
      <w:r w:rsidRPr="00635A00">
        <w:rPr>
          <w:rFonts w:ascii="Times New Roman" w:hAnsi="Times New Roman" w:cs="Times New Roman"/>
          <w:color w:val="auto"/>
        </w:rPr>
        <w:t xml:space="preserve">no fueron objeto de discusión durante el primer debate ante las </w:t>
      </w:r>
      <w:r w:rsidRPr="00635A00">
        <w:rPr>
          <w:rFonts w:ascii="Times New Roman" w:hAnsi="Times New Roman" w:cs="Times New Roman"/>
          <w:color w:val="auto"/>
        </w:rPr>
        <w:t>C</w:t>
      </w:r>
      <w:r w:rsidRPr="00635A00">
        <w:rPr>
          <w:rFonts w:ascii="Times New Roman" w:hAnsi="Times New Roman" w:cs="Times New Roman"/>
          <w:color w:val="auto"/>
        </w:rPr>
        <w:t xml:space="preserve">omisiones </w:t>
      </w:r>
      <w:r w:rsidRPr="00635A00">
        <w:rPr>
          <w:rFonts w:ascii="Times New Roman" w:hAnsi="Times New Roman" w:cs="Times New Roman"/>
          <w:color w:val="auto"/>
        </w:rPr>
        <w:t>T</w:t>
      </w:r>
      <w:r w:rsidRPr="00635A00">
        <w:rPr>
          <w:rFonts w:ascii="Times New Roman" w:hAnsi="Times New Roman" w:cs="Times New Roman"/>
          <w:color w:val="auto"/>
        </w:rPr>
        <w:t xml:space="preserve">erceras y </w:t>
      </w:r>
      <w:r w:rsidRPr="00635A00">
        <w:rPr>
          <w:rFonts w:ascii="Times New Roman" w:hAnsi="Times New Roman" w:cs="Times New Roman"/>
          <w:color w:val="auto"/>
        </w:rPr>
        <w:t>C</w:t>
      </w:r>
      <w:r w:rsidRPr="00635A00">
        <w:rPr>
          <w:rFonts w:ascii="Times New Roman" w:hAnsi="Times New Roman" w:cs="Times New Roman"/>
          <w:color w:val="auto"/>
        </w:rPr>
        <w:t xml:space="preserve">uartas </w:t>
      </w:r>
      <w:r w:rsidRPr="00635A00">
        <w:rPr>
          <w:rFonts w:ascii="Times New Roman" w:hAnsi="Times New Roman" w:cs="Times New Roman"/>
          <w:color w:val="auto"/>
        </w:rPr>
        <w:t>C</w:t>
      </w:r>
      <w:r w:rsidRPr="00635A00">
        <w:rPr>
          <w:rFonts w:ascii="Times New Roman" w:hAnsi="Times New Roman" w:cs="Times New Roman"/>
          <w:color w:val="auto"/>
        </w:rPr>
        <w:t xml:space="preserve">onjuntas. </w:t>
      </w:r>
      <w:r w:rsidRPr="00635A00">
        <w:rPr>
          <w:rFonts w:ascii="Times New Roman" w:hAnsi="Times New Roman" w:cs="Times New Roman"/>
          <w:color w:val="auto"/>
        </w:rPr>
        <w:t>A continu</w:t>
      </w:r>
      <w:r w:rsidRPr="00635A00">
        <w:rPr>
          <w:rFonts w:ascii="Times New Roman" w:hAnsi="Times New Roman" w:cs="Times New Roman"/>
          <w:color w:val="auto"/>
        </w:rPr>
        <w:t xml:space="preserve">ación la Sala Plena </w:t>
      </w:r>
      <w:r w:rsidRPr="00635A00">
        <w:rPr>
          <w:rFonts w:ascii="Times New Roman" w:hAnsi="Times New Roman" w:cs="Times New Roman"/>
          <w:color w:val="auto"/>
        </w:rPr>
        <w:t>expondrá</w:t>
      </w:r>
      <w:r w:rsidRPr="00635A00">
        <w:rPr>
          <w:rFonts w:ascii="Times New Roman" w:hAnsi="Times New Roman" w:cs="Times New Roman"/>
          <w:color w:val="auto"/>
        </w:rPr>
        <w:t xml:space="preserve"> las razones que la llevan a esta conclusión.</w:t>
      </w:r>
    </w:p>
    <w:p w:rsidR="00AF3627" w:rsidRPr="00635A00" w:rsidRDefault="00635A00" w:rsidP="00CB26DE">
      <w:pPr>
        <w:rPr>
          <w:rFonts w:ascii="Times New Roman" w:hAnsi="Times New Roman" w:cs="Times New Roman"/>
          <w:b/>
          <w:bCs/>
          <w:sz w:val="28"/>
          <w:szCs w:val="28"/>
          <w:lang w:val="es-ES"/>
        </w:rPr>
      </w:pPr>
    </w:p>
    <w:p w:rsidR="00E05939" w:rsidRPr="00635A00" w:rsidRDefault="00635A00" w:rsidP="00E05939">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Tras una revisión de las actas de las sesiones conjuntas de las Comisiones Terceras y Cuartas del 21, 22 y 23 de marzo de 2023</w:t>
      </w:r>
      <w:r w:rsidRPr="00635A00">
        <w:rPr>
          <w:rStyle w:val="Refdenotaalpie"/>
          <w:rFonts w:ascii="Times New Roman" w:hAnsi="Times New Roman" w:cs="Times New Roman"/>
          <w:color w:val="auto"/>
        </w:rPr>
        <w:footnoteReference w:id="153"/>
      </w:r>
      <w:r w:rsidRPr="00635A00">
        <w:rPr>
          <w:rFonts w:ascii="Times New Roman" w:hAnsi="Times New Roman" w:cs="Times New Roman"/>
          <w:color w:val="auto"/>
        </w:rPr>
        <w:t xml:space="preserve"> en las que se surtió el primer debate del proyecto de ley aprobatoria del PND 2022-2026, la Sala encuentra que </w:t>
      </w:r>
      <w:r w:rsidRPr="00635A00">
        <w:rPr>
          <w:rFonts w:ascii="Times New Roman" w:hAnsi="Times New Roman" w:cs="Times New Roman"/>
          <w:color w:val="auto"/>
        </w:rPr>
        <w:t>allí</w:t>
      </w:r>
      <w:r w:rsidRPr="00635A00">
        <w:rPr>
          <w:rFonts w:ascii="Times New Roman" w:hAnsi="Times New Roman" w:cs="Times New Roman"/>
          <w:color w:val="auto"/>
        </w:rPr>
        <w:t xml:space="preserve"> nunca se deliberó sobre la posibilidad de suprimir la fase judicial del procedimiento único previsto en el Decreto Ley 902 para el trámite </w:t>
      </w:r>
      <w:r w:rsidRPr="00635A00">
        <w:rPr>
          <w:rFonts w:ascii="Times New Roman" w:hAnsi="Times New Roman" w:cs="Times New Roman"/>
          <w:color w:val="auto"/>
        </w:rPr>
        <w:t>de los asuntos señalados en los numerales 4°, 5° y 7° de dicha norma.</w:t>
      </w:r>
      <w:r w:rsidRPr="00635A00">
        <w:rPr>
          <w:rFonts w:ascii="Times New Roman" w:hAnsi="Times New Roman" w:cs="Times New Roman"/>
          <w:color w:val="auto"/>
        </w:rPr>
        <w:t xml:space="preserve"> Así surge claro del siguiente recuento sobre lo acontecido en esa instancia legislativa</w:t>
      </w:r>
      <w:r w:rsidRPr="00635A00">
        <w:rPr>
          <w:rFonts w:ascii="Times New Roman" w:hAnsi="Times New Roman" w:cs="Times New Roman"/>
          <w:color w:val="auto"/>
        </w:rPr>
        <w:t>.</w:t>
      </w:r>
    </w:p>
    <w:p w:rsidR="00D062F6" w:rsidRPr="00635A00" w:rsidRDefault="00635A00" w:rsidP="00D062F6">
      <w:pPr>
        <w:pStyle w:val="Sombreadovistoso-nfasis31"/>
        <w:ind w:left="0"/>
        <w:rPr>
          <w:rFonts w:ascii="Times New Roman" w:hAnsi="Times New Roman" w:cs="Times New Roman"/>
          <w:color w:val="auto"/>
        </w:rPr>
      </w:pPr>
    </w:p>
    <w:p w:rsidR="00D3622B" w:rsidRPr="00635A00" w:rsidRDefault="00635A00" w:rsidP="00A376FB">
      <w:pPr>
        <w:pStyle w:val="Sombreadovistoso-nfasis31"/>
        <w:numPr>
          <w:ilvl w:val="0"/>
          <w:numId w:val="3"/>
        </w:numPr>
        <w:rPr>
          <w:rFonts w:ascii="Times New Roman" w:hAnsi="Times New Roman" w:cs="Times New Roman"/>
          <w:color w:val="auto"/>
          <w:lang w:val="es-CO"/>
        </w:rPr>
      </w:pPr>
      <w:r w:rsidRPr="00635A00">
        <w:rPr>
          <w:rFonts w:ascii="Times New Roman" w:hAnsi="Times New Roman" w:cs="Times New Roman"/>
          <w:b/>
          <w:color w:val="auto"/>
          <w:lang w:val="es-CO"/>
        </w:rPr>
        <w:t>Sesión del 21 de marzo de 2023</w:t>
      </w:r>
      <w:r w:rsidRPr="00635A00">
        <w:rPr>
          <w:rStyle w:val="Refdenotaalpie"/>
          <w:rFonts w:ascii="Times New Roman" w:hAnsi="Times New Roman" w:cs="Times New Roman"/>
          <w:bCs/>
          <w:color w:val="auto"/>
          <w:szCs w:val="24"/>
          <w:lang w:val="es-CO"/>
        </w:rPr>
        <w:footnoteReference w:id="154"/>
      </w:r>
      <w:r w:rsidRPr="00635A00">
        <w:rPr>
          <w:rFonts w:ascii="Times New Roman" w:hAnsi="Times New Roman" w:cs="Times New Roman"/>
          <w:bCs/>
          <w:color w:val="auto"/>
          <w:lang w:val="es-CO"/>
        </w:rPr>
        <w:t>. Esta</w:t>
      </w:r>
      <w:r w:rsidRPr="00635A00">
        <w:rPr>
          <w:rFonts w:ascii="Times New Roman" w:hAnsi="Times New Roman" w:cs="Times New Roman"/>
          <w:bCs/>
          <w:color w:val="auto"/>
          <w:lang w:val="es-CO"/>
        </w:rPr>
        <w:t xml:space="preserve"> sesión inició con la discusión y votación de los impedimen</w:t>
      </w:r>
      <w:r w:rsidRPr="00635A00">
        <w:rPr>
          <w:rFonts w:ascii="Times New Roman" w:hAnsi="Times New Roman" w:cs="Times New Roman"/>
          <w:bCs/>
          <w:color w:val="auto"/>
          <w:lang w:val="es-CO"/>
        </w:rPr>
        <w:t>tos manifestados por los congresistas. Posteriormente, se discutió la ponencia de archivo. Sobre los mecanismos de ejecución relacionados con el ordenamiento del territorio alrededor del agua y la justicia ambiental, únicamente intervino el representante C</w:t>
      </w:r>
      <w:r w:rsidRPr="00635A00">
        <w:rPr>
          <w:rFonts w:ascii="Times New Roman" w:hAnsi="Times New Roman" w:cs="Times New Roman"/>
          <w:bCs/>
          <w:color w:val="auto"/>
          <w:lang w:val="es-CO"/>
        </w:rPr>
        <w:t>ristian Garcés, quien se refirió al catastro multipropósito</w:t>
      </w:r>
      <w:r w:rsidRPr="00635A00">
        <w:rPr>
          <w:rStyle w:val="Refdenotaalpie"/>
          <w:rFonts w:ascii="Times New Roman" w:hAnsi="Times New Roman" w:cs="Times New Roman"/>
          <w:bCs/>
          <w:color w:val="auto"/>
          <w:lang w:val="es-CO"/>
        </w:rPr>
        <w:footnoteReference w:id="155"/>
      </w:r>
      <w:r w:rsidRPr="00635A00">
        <w:rPr>
          <w:rFonts w:ascii="Times New Roman" w:hAnsi="Times New Roman" w:cs="Times New Roman"/>
          <w:bCs/>
          <w:color w:val="auto"/>
          <w:lang w:val="es-CO"/>
        </w:rPr>
        <w:t>. Una vez negada la ponencia de archivo</w:t>
      </w:r>
      <w:r w:rsidRPr="00635A00">
        <w:rPr>
          <w:rStyle w:val="Refdenotaalpie"/>
          <w:rFonts w:ascii="Times New Roman" w:hAnsi="Times New Roman" w:cs="Times New Roman"/>
          <w:bCs/>
          <w:color w:val="auto"/>
          <w:lang w:val="es-CO"/>
        </w:rPr>
        <w:footnoteReference w:id="156"/>
      </w:r>
      <w:r w:rsidRPr="00635A00">
        <w:rPr>
          <w:rFonts w:ascii="Times New Roman" w:hAnsi="Times New Roman" w:cs="Times New Roman"/>
          <w:bCs/>
          <w:color w:val="auto"/>
          <w:lang w:val="es-CO"/>
        </w:rPr>
        <w:t>, se sometió a consideración la ponencia positiva que proponía dar debate al proyecto de ley, la cual fue aprobada por las Comisiones</w:t>
      </w:r>
      <w:r w:rsidRPr="00635A00">
        <w:rPr>
          <w:rStyle w:val="Refdenotaalpie"/>
          <w:rFonts w:ascii="Times New Roman" w:hAnsi="Times New Roman" w:cs="Times New Roman"/>
          <w:bCs/>
          <w:color w:val="auto"/>
          <w:lang w:val="es-CO"/>
        </w:rPr>
        <w:footnoteReference w:id="157"/>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w:t>
      </w:r>
      <w:r w:rsidRPr="00635A00">
        <w:rPr>
          <w:rFonts w:ascii="Times New Roman" w:hAnsi="Times New Roman" w:cs="Times New Roman"/>
          <w:color w:val="auto"/>
          <w:lang w:val="es-CO"/>
        </w:rPr>
        <w:t>Durante la discusión</w:t>
      </w:r>
      <w:r w:rsidRPr="00635A00">
        <w:rPr>
          <w:rFonts w:ascii="Times New Roman" w:hAnsi="Times New Roman" w:cs="Times New Roman"/>
          <w:color w:val="auto"/>
          <w:lang w:val="es-CO"/>
        </w:rPr>
        <w:t xml:space="preserve"> se registraron las siguientes intervenciones:</w:t>
      </w:r>
    </w:p>
    <w:p w:rsidR="00C605B9" w:rsidRPr="00635A00" w:rsidRDefault="00635A00" w:rsidP="00CB26DE">
      <w:pPr>
        <w:rPr>
          <w:rFonts w:ascii="Times New Roman" w:hAnsi="Times New Roman" w:cs="Times New Roman"/>
          <w:b/>
          <w:bCs/>
          <w:sz w:val="28"/>
          <w:szCs w:val="28"/>
          <w:lang w:val="es-ES"/>
        </w:rPr>
      </w:pPr>
    </w:p>
    <w:p w:rsidR="00650F34" w:rsidRPr="00635A00" w:rsidRDefault="00635A00" w:rsidP="00650F34">
      <w:pPr>
        <w:pStyle w:val="Descripcin"/>
        <w:keepNext/>
        <w:rPr>
          <w:rFonts w:ascii="Times New Roman" w:hAnsi="Times New Roman" w:cs="Times New Roman"/>
          <w:caps w:val="0"/>
          <w:szCs w:val="24"/>
        </w:rPr>
      </w:pPr>
      <w:r w:rsidRPr="00635A00">
        <w:rPr>
          <w:rFonts w:ascii="Times New Roman" w:hAnsi="Times New Roman" w:cs="Times New Roman"/>
          <w:caps w:val="0"/>
          <w:szCs w:val="24"/>
        </w:rPr>
        <w:t xml:space="preserve">Tabla </w:t>
      </w:r>
      <w:r w:rsidRPr="00635A00">
        <w:rPr>
          <w:rFonts w:ascii="Times New Roman" w:hAnsi="Times New Roman" w:cs="Times New Roman"/>
          <w:szCs w:val="24"/>
        </w:rPr>
        <w:fldChar w:fldCharType="begin"/>
      </w:r>
      <w:r w:rsidRPr="00635A00">
        <w:rPr>
          <w:rFonts w:ascii="Times New Roman" w:hAnsi="Times New Roman" w:cs="Times New Roman"/>
          <w:szCs w:val="24"/>
        </w:rPr>
        <w:instrText xml:space="preserve"> SEQ Tabla \* ARABIC </w:instrText>
      </w:r>
      <w:r w:rsidRPr="00635A00">
        <w:rPr>
          <w:rFonts w:ascii="Times New Roman" w:hAnsi="Times New Roman" w:cs="Times New Roman"/>
          <w:szCs w:val="24"/>
        </w:rPr>
        <w:fldChar w:fldCharType="separate"/>
      </w:r>
      <w:r w:rsidRPr="00635A00">
        <w:rPr>
          <w:rFonts w:ascii="Times New Roman" w:hAnsi="Times New Roman" w:cs="Times New Roman"/>
          <w:noProof/>
          <w:szCs w:val="24"/>
        </w:rPr>
        <w:t>11</w:t>
      </w:r>
      <w:r w:rsidRPr="00635A00">
        <w:rPr>
          <w:rFonts w:ascii="Times New Roman" w:hAnsi="Times New Roman" w:cs="Times New Roman"/>
          <w:szCs w:val="24"/>
        </w:rPr>
        <w:fldChar w:fldCharType="end"/>
      </w:r>
      <w:r w:rsidRPr="00635A00">
        <w:rPr>
          <w:rFonts w:ascii="Times New Roman" w:hAnsi="Times New Roman" w:cs="Times New Roman"/>
          <w:caps w:val="0"/>
          <w:szCs w:val="24"/>
        </w:rPr>
        <w:t xml:space="preserve"> – </w:t>
      </w:r>
      <w:r w:rsidRPr="00635A00">
        <w:rPr>
          <w:rFonts w:ascii="Times New Roman" w:hAnsi="Times New Roman" w:cs="Times New Roman"/>
          <w:caps w:val="0"/>
          <w:szCs w:val="24"/>
        </w:rPr>
        <w:t>P</w:t>
      </w:r>
      <w:r w:rsidRPr="00635A00">
        <w:rPr>
          <w:rFonts w:ascii="Times New Roman" w:hAnsi="Times New Roman" w:cs="Times New Roman"/>
          <w:caps w:val="0"/>
          <w:szCs w:val="24"/>
        </w:rPr>
        <w:t xml:space="preserve">rimer debate del </w:t>
      </w:r>
      <w:r w:rsidRPr="00635A00">
        <w:rPr>
          <w:rFonts w:ascii="Times New Roman" w:hAnsi="Times New Roman" w:cs="Times New Roman"/>
          <w:caps w:val="0"/>
          <w:szCs w:val="24"/>
        </w:rPr>
        <w:t>P</w:t>
      </w:r>
      <w:r w:rsidRPr="00635A00">
        <w:rPr>
          <w:rFonts w:ascii="Times New Roman" w:hAnsi="Times New Roman" w:cs="Times New Roman"/>
          <w:caps w:val="0"/>
          <w:szCs w:val="24"/>
        </w:rPr>
        <w:t xml:space="preserve">royecto de </w:t>
      </w:r>
      <w:r w:rsidRPr="00635A00">
        <w:rPr>
          <w:rFonts w:ascii="Times New Roman" w:hAnsi="Times New Roman" w:cs="Times New Roman"/>
          <w:caps w:val="0"/>
          <w:szCs w:val="24"/>
        </w:rPr>
        <w:t>L</w:t>
      </w:r>
      <w:r w:rsidRPr="00635A00">
        <w:rPr>
          <w:rFonts w:ascii="Times New Roman" w:hAnsi="Times New Roman" w:cs="Times New Roman"/>
          <w:caps w:val="0"/>
          <w:szCs w:val="24"/>
        </w:rPr>
        <w:t>ey 338/2023 Cámara y 274/2023 Senado</w:t>
      </w:r>
    </w:p>
    <w:p w:rsidR="00D3622B" w:rsidRPr="00635A00" w:rsidRDefault="00635A00" w:rsidP="00D3622B">
      <w:pPr>
        <w:jc w:val="center"/>
        <w:rPr>
          <w:rFonts w:ascii="Times New Roman" w:hAnsi="Times New Roman" w:cs="Times New Roman"/>
          <w:b/>
          <w:bCs/>
          <w:sz w:val="28"/>
          <w:lang w:val="es-ES" w:eastAsia="es-ES"/>
        </w:rPr>
      </w:pPr>
      <w:r w:rsidRPr="00635A00">
        <w:rPr>
          <w:rFonts w:ascii="Times New Roman" w:hAnsi="Times New Roman" w:cs="Times New Roman"/>
          <w:b/>
          <w:bCs/>
          <w:sz w:val="28"/>
          <w:lang w:val="es-ES" w:eastAsia="es-ES"/>
        </w:rPr>
        <w:t>Sesión del 21 de marzo de 2023</w:t>
      </w:r>
    </w:p>
    <w:tbl>
      <w:tblPr>
        <w:tblStyle w:val="Tablaconcuadrcula"/>
        <w:tblW w:w="8931" w:type="dxa"/>
        <w:tblInd w:w="108" w:type="dxa"/>
        <w:tblLook w:val="04A0" w:firstRow="1" w:lastRow="0" w:firstColumn="1" w:lastColumn="0" w:noHBand="0" w:noVBand="1"/>
      </w:tblPr>
      <w:tblGrid>
        <w:gridCol w:w="2552"/>
        <w:gridCol w:w="6379"/>
      </w:tblGrid>
      <w:tr w:rsidR="00301B43" w:rsidRPr="00635A00" w:rsidTr="00CC01B8">
        <w:trPr>
          <w:tblHeader/>
        </w:trPr>
        <w:tc>
          <w:tcPr>
            <w:tcW w:w="2552" w:type="dxa"/>
            <w:shd w:val="clear" w:color="auto" w:fill="E2EFD9" w:themeFill="accent6" w:themeFillTint="33"/>
          </w:tcPr>
          <w:p w:rsidR="00650F34" w:rsidRPr="00635A00" w:rsidRDefault="00635A00" w:rsidP="00A376FB">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Intervención</w:t>
            </w:r>
          </w:p>
        </w:tc>
        <w:tc>
          <w:tcPr>
            <w:tcW w:w="6379" w:type="dxa"/>
            <w:shd w:val="clear" w:color="auto" w:fill="E2EFD9" w:themeFill="accent6" w:themeFillTint="33"/>
          </w:tcPr>
          <w:p w:rsidR="00650F34" w:rsidRPr="00635A00" w:rsidRDefault="00635A00" w:rsidP="00A376FB">
            <w:pPr>
              <w:pStyle w:val="Sombreadovistoso-nfasis31"/>
              <w:ind w:left="0"/>
              <w:jc w:val="center"/>
              <w:rPr>
                <w:rFonts w:ascii="Times New Roman" w:hAnsi="Times New Roman"/>
                <w:b/>
                <w:color w:val="auto"/>
                <w:szCs w:val="24"/>
                <w:lang w:val="es-CO"/>
              </w:rPr>
            </w:pPr>
            <w:r w:rsidRPr="00635A00">
              <w:rPr>
                <w:rFonts w:ascii="Times New Roman" w:hAnsi="Times New Roman"/>
                <w:b/>
                <w:color w:val="auto"/>
                <w:szCs w:val="24"/>
                <w:lang w:val="es-CO"/>
              </w:rPr>
              <w:t>Asuntos tratados</w:t>
            </w:r>
          </w:p>
        </w:tc>
      </w:tr>
      <w:tr w:rsidR="00301B43" w:rsidRPr="00635A00" w:rsidTr="00CC01B8">
        <w:tc>
          <w:tcPr>
            <w:tcW w:w="2552" w:type="dxa"/>
          </w:tcPr>
          <w:p w:rsidR="00852887" w:rsidRPr="00635A00" w:rsidRDefault="00635A00" w:rsidP="00CC01B8">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w:t>
            </w:r>
            <w:r w:rsidRPr="00635A00">
              <w:rPr>
                <w:rFonts w:ascii="Times New Roman" w:hAnsi="Times New Roman"/>
                <w:bCs/>
                <w:color w:val="auto"/>
                <w:szCs w:val="24"/>
                <w:lang w:val="es-CO"/>
              </w:rPr>
              <w:t xml:space="preserve"> Armando Antonio Zabaraín D’Arce</w:t>
            </w:r>
            <w:r w:rsidRPr="00635A00">
              <w:rPr>
                <w:rFonts w:ascii="Times New Roman" w:hAnsi="Times New Roman"/>
                <w:bCs/>
                <w:color w:val="auto"/>
                <w:szCs w:val="24"/>
                <w:lang w:val="es-CO"/>
              </w:rPr>
              <w:t xml:space="preserve"> </w:t>
            </w:r>
            <w:r w:rsidRPr="00635A00">
              <w:rPr>
                <w:rFonts w:ascii="Times New Roman" w:hAnsi="Times New Roman"/>
                <w:bCs/>
                <w:color w:val="auto"/>
                <w:szCs w:val="24"/>
                <w:lang w:val="es-CO"/>
              </w:rPr>
              <w:t>(ponente)</w:t>
            </w:r>
          </w:p>
        </w:tc>
        <w:tc>
          <w:tcPr>
            <w:tcW w:w="6379" w:type="dxa"/>
          </w:tcPr>
          <w:p w:rsidR="00852887" w:rsidRPr="00635A00" w:rsidRDefault="00635A00" w:rsidP="00A376FB">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Resaltó en términos generales la importancia del ordenamiento alrededor del agua y justicia ambiental, y destacó que “cada uno de los proyectos que nosotros estamos presentando están teniendo que ver de manera cla</w:t>
            </w:r>
            <w:r w:rsidRPr="00635A00">
              <w:rPr>
                <w:rFonts w:ascii="Times New Roman" w:hAnsi="Times New Roman"/>
                <w:bCs/>
                <w:color w:val="auto"/>
                <w:szCs w:val="24"/>
                <w:lang w:val="es-CO"/>
              </w:rPr>
              <w:t>ra con el ambiente, porque el ambiente es un todo y eso mismo a su vez tiene que ver con el agua y con el territorio”</w:t>
            </w:r>
            <w:r w:rsidRPr="00635A00">
              <w:rPr>
                <w:rStyle w:val="Refdenotaalpie"/>
                <w:rFonts w:ascii="Times New Roman" w:hAnsi="Times New Roman"/>
                <w:bCs/>
                <w:color w:val="auto"/>
                <w:szCs w:val="24"/>
                <w:lang w:val="es-CO"/>
              </w:rPr>
              <w:footnoteReference w:id="158"/>
            </w:r>
            <w:r w:rsidRPr="00635A00">
              <w:rPr>
                <w:rFonts w:ascii="Times New Roman" w:hAnsi="Times New Roman"/>
                <w:bCs/>
                <w:color w:val="auto"/>
                <w:szCs w:val="24"/>
                <w:lang w:val="es-CO"/>
              </w:rPr>
              <w:t>.</w:t>
            </w:r>
          </w:p>
        </w:tc>
      </w:tr>
      <w:tr w:rsidR="00301B43" w:rsidRPr="00635A00" w:rsidTr="00CC01B8">
        <w:tc>
          <w:tcPr>
            <w:tcW w:w="2552" w:type="dxa"/>
          </w:tcPr>
          <w:p w:rsidR="00DC0242" w:rsidRPr="00635A00" w:rsidRDefault="00635A00" w:rsidP="00CC01B8">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Olga Lucía Velásquez Nieto</w:t>
            </w:r>
            <w:r w:rsidRPr="00635A00">
              <w:rPr>
                <w:rFonts w:ascii="Times New Roman" w:hAnsi="Times New Roman"/>
                <w:bCs/>
                <w:color w:val="auto"/>
                <w:szCs w:val="24"/>
                <w:lang w:val="es-CO"/>
              </w:rPr>
              <w:t xml:space="preserve"> </w:t>
            </w:r>
            <w:r w:rsidRPr="00635A00">
              <w:rPr>
                <w:rFonts w:ascii="Times New Roman" w:hAnsi="Times New Roman"/>
                <w:bCs/>
                <w:color w:val="auto"/>
                <w:szCs w:val="24"/>
                <w:lang w:val="es-CO"/>
              </w:rPr>
              <w:t>(ponente)</w:t>
            </w:r>
          </w:p>
        </w:tc>
        <w:tc>
          <w:tcPr>
            <w:tcW w:w="6379" w:type="dxa"/>
          </w:tcPr>
          <w:p w:rsidR="00DC0242"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“En los ejes de transformación tenemos el ordenamiento alrededor del agua y aquí es </w:t>
            </w:r>
            <w:r w:rsidRPr="00635A00">
              <w:rPr>
                <w:rFonts w:ascii="Times New Roman" w:hAnsi="Times New Roman"/>
                <w:bCs/>
                <w:color w:val="auto"/>
                <w:szCs w:val="24"/>
                <w:lang w:val="es-CO"/>
              </w:rPr>
              <w:t>fundamental, yo creo que uno de los temas que nos debe mover es lograr que en pleno siglo XXI el cien por ciento (100%) de los colombianos y colombianas podamos tener acceso a agua potable y reducir esas brechas de inequidad que tenemos”</w:t>
            </w:r>
            <w:r w:rsidRPr="00635A00">
              <w:rPr>
                <w:rStyle w:val="Refdenotaalpie"/>
                <w:rFonts w:ascii="Times New Roman" w:hAnsi="Times New Roman"/>
                <w:bCs/>
                <w:color w:val="auto"/>
                <w:szCs w:val="24"/>
                <w:lang w:val="es-CO"/>
              </w:rPr>
              <w:footnoteReference w:id="159"/>
            </w:r>
            <w:r w:rsidRPr="00635A00">
              <w:rPr>
                <w:rFonts w:ascii="Times New Roman" w:hAnsi="Times New Roman"/>
                <w:bCs/>
                <w:color w:val="auto"/>
                <w:szCs w:val="24"/>
                <w:lang w:val="es-CO"/>
              </w:rPr>
              <w:t>.</w:t>
            </w:r>
          </w:p>
          <w:p w:rsidR="00DC0242" w:rsidRPr="00635A00" w:rsidRDefault="00635A00" w:rsidP="00DC0242">
            <w:pPr>
              <w:pStyle w:val="Sombreadovistoso-nfasis31"/>
              <w:ind w:left="0"/>
              <w:rPr>
                <w:rFonts w:ascii="Times New Roman" w:hAnsi="Times New Roman"/>
                <w:bCs/>
                <w:color w:val="auto"/>
                <w:szCs w:val="24"/>
                <w:lang w:val="es-CO"/>
              </w:rPr>
            </w:pPr>
          </w:p>
          <w:p w:rsidR="00DC0242"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Al referirse a </w:t>
            </w:r>
            <w:r w:rsidRPr="00635A00">
              <w:rPr>
                <w:rFonts w:ascii="Times New Roman" w:hAnsi="Times New Roman"/>
                <w:bCs/>
                <w:color w:val="auto"/>
                <w:szCs w:val="24"/>
                <w:lang w:val="es-CO"/>
              </w:rPr>
              <w:t>la importancia del PND, la ponente señaló que se está pagando una deuda histórica con poblaciones y territorios excluidos, y destacó la importancia del ordenamiento alrededor del agua para preservar el recurso hídrico y garantizar su acceso</w:t>
            </w:r>
            <w:r w:rsidRPr="00635A00">
              <w:rPr>
                <w:rStyle w:val="Refdenotaalpie"/>
                <w:rFonts w:ascii="Times New Roman" w:hAnsi="Times New Roman"/>
                <w:bCs/>
                <w:color w:val="auto"/>
                <w:szCs w:val="24"/>
                <w:lang w:val="es-CO"/>
              </w:rPr>
              <w:footnoteReference w:id="160"/>
            </w:r>
            <w:r w:rsidRPr="00635A00">
              <w:rPr>
                <w:rFonts w:ascii="Times New Roman" w:hAnsi="Times New Roman"/>
                <w:bCs/>
                <w:color w:val="auto"/>
                <w:szCs w:val="24"/>
                <w:lang w:val="es-CO"/>
              </w:rPr>
              <w:t xml:space="preserve">. </w:t>
            </w:r>
          </w:p>
          <w:p w:rsidR="00DC0242" w:rsidRPr="00635A00" w:rsidRDefault="00635A00" w:rsidP="00DC0242">
            <w:pPr>
              <w:pStyle w:val="Sombreadovistoso-nfasis31"/>
              <w:ind w:left="0"/>
              <w:rPr>
                <w:rFonts w:ascii="Times New Roman" w:hAnsi="Times New Roman"/>
                <w:bCs/>
                <w:color w:val="auto"/>
                <w:szCs w:val="24"/>
                <w:lang w:val="es-CO"/>
              </w:rPr>
            </w:pPr>
          </w:p>
          <w:p w:rsidR="00DC0242"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La represen</w:t>
            </w:r>
            <w:r w:rsidRPr="00635A00">
              <w:rPr>
                <w:rFonts w:ascii="Times New Roman" w:hAnsi="Times New Roman"/>
                <w:bCs/>
                <w:color w:val="auto"/>
                <w:szCs w:val="24"/>
                <w:lang w:val="es-CO"/>
              </w:rPr>
              <w:t>tante mencionó también el catastro multipropósito como instrumento que aporta a la consolidación de la paz total , y concluyó diciendo que “es un plan que no solamente es ambicioso por sus metas, dentro de sus metas para finalizar, tres millones de hectáre</w:t>
            </w:r>
            <w:r w:rsidRPr="00635A00">
              <w:rPr>
                <w:rFonts w:ascii="Times New Roman" w:hAnsi="Times New Roman"/>
                <w:bCs/>
                <w:color w:val="auto"/>
                <w:szCs w:val="24"/>
                <w:lang w:val="es-CO"/>
              </w:rPr>
              <w:t>as que se pretenden entregar a través del Fondo Nacional de Tierras, es decir, poder consolidar verdaderamente la Reforma Agraria en nuestro país, razón por la cual el setenta por ciento (70%) del catastro multipropósito, eso significa que son metas ambici</w:t>
            </w:r>
            <w:r w:rsidRPr="00635A00">
              <w:rPr>
                <w:rFonts w:ascii="Times New Roman" w:hAnsi="Times New Roman"/>
                <w:bCs/>
                <w:color w:val="auto"/>
                <w:szCs w:val="24"/>
                <w:lang w:val="es-CO"/>
              </w:rPr>
              <w:t>osas en materia de asignación de tierras, en materia de actualización catastral, en materia de agua”</w:t>
            </w:r>
            <w:r w:rsidRPr="00635A00">
              <w:rPr>
                <w:rStyle w:val="Refdenotaalpie"/>
                <w:rFonts w:ascii="Times New Roman" w:hAnsi="Times New Roman"/>
                <w:bCs/>
                <w:color w:val="auto"/>
                <w:szCs w:val="24"/>
                <w:lang w:val="es-CO"/>
              </w:rPr>
              <w:footnoteReference w:id="161"/>
            </w:r>
            <w:r w:rsidRPr="00635A00">
              <w:rPr>
                <w:rFonts w:ascii="Times New Roman" w:hAnsi="Times New Roman"/>
                <w:bCs/>
                <w:color w:val="auto"/>
                <w:szCs w:val="24"/>
                <w:lang w:val="es-CO"/>
              </w:rPr>
              <w:t>.</w:t>
            </w:r>
          </w:p>
          <w:p w:rsidR="00DC0242" w:rsidRPr="00635A00" w:rsidRDefault="00635A00" w:rsidP="003A5BE7">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DC0242" w:rsidRPr="00635A00" w:rsidRDefault="00635A00" w:rsidP="00CC01B8">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 Jhon Jairo Roldán Avendaño</w:t>
            </w:r>
            <w:r w:rsidRPr="00635A00">
              <w:rPr>
                <w:rFonts w:ascii="Times New Roman" w:hAnsi="Times New Roman"/>
                <w:bCs/>
                <w:color w:val="auto"/>
                <w:szCs w:val="24"/>
                <w:lang w:val="es-CO"/>
              </w:rPr>
              <w:t xml:space="preserve"> </w:t>
            </w:r>
            <w:r w:rsidRPr="00635A00">
              <w:rPr>
                <w:rFonts w:ascii="Times New Roman" w:hAnsi="Times New Roman"/>
                <w:bCs/>
                <w:color w:val="auto"/>
                <w:szCs w:val="24"/>
                <w:lang w:val="es-CO"/>
              </w:rPr>
              <w:t>(ponente)</w:t>
            </w:r>
          </w:p>
        </w:tc>
        <w:tc>
          <w:tcPr>
            <w:tcW w:w="6379" w:type="dxa"/>
          </w:tcPr>
          <w:p w:rsidR="00DC0242"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Describió la manera en que se construyó el PND y su estructura. Mencionó el Capítulo II sobre el </w:t>
            </w:r>
            <w:r w:rsidRPr="00635A00">
              <w:rPr>
                <w:rFonts w:ascii="Times New Roman" w:hAnsi="Times New Roman"/>
                <w:bCs/>
                <w:color w:val="auto"/>
                <w:szCs w:val="24"/>
                <w:lang w:val="es-CO"/>
              </w:rPr>
              <w:t>ordenamiento territorial pero dijo que no se detendría en él porque quienes lo antecedieron en la palabra lo explicaron. Únicamente enunció las secciones del Capítulo. Posteriormente, se refirió de manera específica a varios artículos, pero no al 48</w:t>
            </w:r>
            <w:r w:rsidRPr="00635A00">
              <w:rPr>
                <w:rStyle w:val="Refdenotaalpie"/>
                <w:rFonts w:ascii="Times New Roman" w:hAnsi="Times New Roman"/>
                <w:bCs/>
                <w:color w:val="auto"/>
                <w:szCs w:val="24"/>
                <w:lang w:val="es-CO"/>
              </w:rPr>
              <w:footnoteReference w:id="162"/>
            </w:r>
            <w:r w:rsidRPr="00635A00">
              <w:rPr>
                <w:rFonts w:ascii="Times New Roman" w:hAnsi="Times New Roman"/>
                <w:bCs/>
                <w:color w:val="auto"/>
                <w:szCs w:val="24"/>
                <w:lang w:val="es-CO"/>
              </w:rPr>
              <w:t>.</w:t>
            </w:r>
          </w:p>
        </w:tc>
      </w:tr>
      <w:tr w:rsidR="00301B43" w:rsidRPr="00635A00" w:rsidTr="00CC01B8">
        <w:tc>
          <w:tcPr>
            <w:tcW w:w="2552" w:type="dxa"/>
          </w:tcPr>
          <w:p w:rsidR="00DC0242" w:rsidRPr="00635A00" w:rsidRDefault="00635A00" w:rsidP="00CC01B8">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w:t>
            </w:r>
            <w:r w:rsidRPr="00635A00">
              <w:rPr>
                <w:rFonts w:ascii="Times New Roman" w:hAnsi="Times New Roman"/>
                <w:bCs/>
                <w:color w:val="auto"/>
                <w:szCs w:val="24"/>
                <w:lang w:val="es-CO"/>
              </w:rPr>
              <w:t>ador Juan Felipe Lemos</w:t>
            </w:r>
            <w:r w:rsidRPr="00635A00">
              <w:rPr>
                <w:rFonts w:ascii="Times New Roman" w:hAnsi="Times New Roman"/>
                <w:bCs/>
                <w:color w:val="auto"/>
                <w:szCs w:val="24"/>
                <w:lang w:val="es-CO"/>
              </w:rPr>
              <w:t xml:space="preserve"> Uribe</w:t>
            </w:r>
            <w:r w:rsidRPr="00635A00">
              <w:rPr>
                <w:rFonts w:ascii="Times New Roman" w:hAnsi="Times New Roman"/>
                <w:bCs/>
                <w:color w:val="auto"/>
                <w:szCs w:val="24"/>
                <w:lang w:val="es-CO"/>
              </w:rPr>
              <w:t xml:space="preserve"> </w:t>
            </w:r>
            <w:r w:rsidRPr="00635A00">
              <w:rPr>
                <w:rFonts w:ascii="Times New Roman" w:hAnsi="Times New Roman"/>
                <w:bCs/>
                <w:color w:val="auto"/>
                <w:szCs w:val="24"/>
                <w:lang w:val="es-CO"/>
              </w:rPr>
              <w:t>(ponente)</w:t>
            </w:r>
          </w:p>
        </w:tc>
        <w:tc>
          <w:tcPr>
            <w:tcW w:w="6379" w:type="dxa"/>
          </w:tcPr>
          <w:p w:rsidR="00DC0242"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Habló en general del PND y de los fondos para contratación y ejecución</w:t>
            </w:r>
            <w:r w:rsidRPr="00635A00">
              <w:rPr>
                <w:rStyle w:val="Refdenotaalpie"/>
                <w:rFonts w:ascii="Times New Roman" w:hAnsi="Times New Roman"/>
                <w:bCs/>
                <w:color w:val="auto"/>
                <w:szCs w:val="24"/>
                <w:lang w:val="es-CO"/>
              </w:rPr>
              <w:footnoteReference w:id="163"/>
            </w:r>
            <w:r w:rsidRPr="00635A00">
              <w:rPr>
                <w:rFonts w:ascii="Times New Roman" w:hAnsi="Times New Roman"/>
                <w:bCs/>
                <w:color w:val="auto"/>
                <w:szCs w:val="24"/>
                <w:lang w:val="es-CO"/>
              </w:rPr>
              <w:t>.</w:t>
            </w:r>
          </w:p>
        </w:tc>
      </w:tr>
      <w:tr w:rsidR="00301B43" w:rsidRPr="00635A00" w:rsidTr="00CC01B8">
        <w:tc>
          <w:tcPr>
            <w:tcW w:w="2552" w:type="dxa"/>
          </w:tcPr>
          <w:p w:rsidR="00497FED"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 Miguel Uribe Turbay</w:t>
            </w:r>
          </w:p>
        </w:tc>
        <w:tc>
          <w:tcPr>
            <w:tcW w:w="6379" w:type="dxa"/>
          </w:tcPr>
          <w:p w:rsidR="00497FED"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Criticó el PND, en especial las medidas que considera implican decrecimiento del sector minero</w:t>
            </w:r>
            <w:r w:rsidRPr="00635A00">
              <w:rPr>
                <w:rStyle w:val="Refdenotaalpie"/>
                <w:rFonts w:ascii="Times New Roman" w:hAnsi="Times New Roman"/>
                <w:bCs/>
                <w:color w:val="auto"/>
                <w:szCs w:val="24"/>
                <w:lang w:val="es-CO"/>
              </w:rPr>
              <w:footnoteReference w:id="164"/>
            </w:r>
            <w:r w:rsidRPr="00635A00">
              <w:rPr>
                <w:rFonts w:ascii="Times New Roman" w:hAnsi="Times New Roman"/>
                <w:bCs/>
                <w:color w:val="auto"/>
                <w:szCs w:val="24"/>
                <w:lang w:val="es-CO"/>
              </w:rPr>
              <w:t>.</w:t>
            </w:r>
          </w:p>
        </w:tc>
      </w:tr>
      <w:tr w:rsidR="00301B43" w:rsidRPr="00635A00" w:rsidTr="00CC01B8">
        <w:tc>
          <w:tcPr>
            <w:tcW w:w="2552" w:type="dxa"/>
          </w:tcPr>
          <w:p w:rsidR="00497FED"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 xml:space="preserve">Senador Carlos </w:t>
            </w:r>
            <w:r w:rsidRPr="00635A00">
              <w:rPr>
                <w:rFonts w:ascii="Times New Roman" w:hAnsi="Times New Roman"/>
                <w:bCs/>
                <w:color w:val="auto"/>
                <w:szCs w:val="24"/>
                <w:lang w:val="es-CO"/>
              </w:rPr>
              <w:t>Alberto Benavides Mora</w:t>
            </w:r>
          </w:p>
        </w:tc>
        <w:tc>
          <w:tcPr>
            <w:tcW w:w="6379" w:type="dxa"/>
          </w:tcPr>
          <w:p w:rsidR="00497FED"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Habló de aspectos generales del PND y de los asuntos que a su juicio constituyen las bases para el cambio</w:t>
            </w:r>
            <w:r w:rsidRPr="00635A00">
              <w:rPr>
                <w:rStyle w:val="Refdenotaalpie"/>
                <w:rFonts w:ascii="Times New Roman" w:hAnsi="Times New Roman"/>
                <w:bCs/>
                <w:color w:val="auto"/>
                <w:szCs w:val="24"/>
                <w:lang w:val="es-CO"/>
              </w:rPr>
              <w:footnoteReference w:id="165"/>
            </w:r>
            <w:r w:rsidRPr="00635A00">
              <w:rPr>
                <w:rFonts w:ascii="Times New Roman" w:hAnsi="Times New Roman"/>
                <w:bCs/>
                <w:color w:val="auto"/>
                <w:szCs w:val="24"/>
                <w:lang w:val="es-CO"/>
              </w:rPr>
              <w:t>.</w:t>
            </w: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 Julián Peinado Ramírez</w:t>
            </w:r>
          </w:p>
        </w:tc>
        <w:tc>
          <w:tcPr>
            <w:tcW w:w="6379" w:type="dxa"/>
          </w:tcPr>
          <w:p w:rsidR="00160360"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Se refirió al Sisbén, a los Fondos Especiales y a las facultades extraordinarias</w:t>
            </w:r>
            <w:r w:rsidRPr="00635A00">
              <w:rPr>
                <w:rStyle w:val="Refdenotaalpie"/>
                <w:rFonts w:ascii="Times New Roman" w:hAnsi="Times New Roman"/>
                <w:bCs/>
                <w:color w:val="auto"/>
                <w:szCs w:val="24"/>
                <w:lang w:val="es-CO"/>
              </w:rPr>
              <w:footnoteReference w:id="166"/>
            </w:r>
            <w:r w:rsidRPr="00635A00">
              <w:rPr>
                <w:rFonts w:ascii="Times New Roman" w:hAnsi="Times New Roman"/>
                <w:bCs/>
                <w:color w:val="auto"/>
                <w:szCs w:val="24"/>
                <w:lang w:val="es-CO"/>
              </w:rPr>
              <w:t>.</w:t>
            </w: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 xml:space="preserve">Senador </w:t>
            </w:r>
            <w:r w:rsidRPr="00635A00">
              <w:rPr>
                <w:rFonts w:ascii="Times New Roman" w:hAnsi="Times New Roman"/>
                <w:bCs/>
                <w:color w:val="auto"/>
                <w:szCs w:val="24"/>
                <w:lang w:val="es-CO"/>
              </w:rPr>
              <w:t>Wilson Neber Arias Castillo</w:t>
            </w:r>
          </w:p>
        </w:tc>
        <w:tc>
          <w:tcPr>
            <w:tcW w:w="6379" w:type="dxa"/>
          </w:tcPr>
          <w:p w:rsidR="00160360" w:rsidRPr="00635A00" w:rsidRDefault="00635A00" w:rsidP="00CC01B8">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Criticó la ponencia de archivo, se refirió a las bondades de crear una empresa minera estatal, defendió las economías populares y manifestó preocupación por el sistema de cualificación para el SENA</w:t>
            </w:r>
            <w:r w:rsidRPr="00635A00">
              <w:rPr>
                <w:rStyle w:val="Refdenotaalpie"/>
                <w:rFonts w:ascii="Times New Roman" w:hAnsi="Times New Roman"/>
                <w:bCs/>
                <w:color w:val="auto"/>
                <w:szCs w:val="24"/>
                <w:lang w:val="es-CO"/>
              </w:rPr>
              <w:footnoteReference w:id="167"/>
            </w:r>
            <w:r w:rsidRPr="00635A00">
              <w:rPr>
                <w:rFonts w:ascii="Times New Roman" w:hAnsi="Times New Roman"/>
                <w:bCs/>
                <w:color w:val="auto"/>
                <w:szCs w:val="24"/>
                <w:lang w:val="es-CO"/>
              </w:rPr>
              <w:t>.</w:t>
            </w: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Hugo Danilo L</w:t>
            </w:r>
            <w:r w:rsidRPr="00635A00">
              <w:rPr>
                <w:rFonts w:ascii="Times New Roman" w:hAnsi="Times New Roman"/>
                <w:bCs/>
                <w:color w:val="auto"/>
                <w:szCs w:val="24"/>
                <w:lang w:val="es-CO"/>
              </w:rPr>
              <w:t>ozano Pimiento</w:t>
            </w:r>
          </w:p>
        </w:tc>
        <w:tc>
          <w:tcPr>
            <w:tcW w:w="6379" w:type="dxa"/>
          </w:tcPr>
          <w:p w:rsidR="00CC01B8" w:rsidRPr="00635A00" w:rsidRDefault="00635A00" w:rsidP="00CC01B8">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Se refirió a las bondades del PND para “la Colombia desconcentrada y descentralizada”, y destacó que era una enorme responsabilidad del Gobierno poder cumplirlo</w:t>
            </w:r>
            <w:r w:rsidRPr="00635A00">
              <w:rPr>
                <w:rStyle w:val="Refdenotaalpie"/>
                <w:rFonts w:ascii="Times New Roman" w:hAnsi="Times New Roman"/>
                <w:bCs/>
                <w:color w:val="auto"/>
                <w:szCs w:val="24"/>
                <w:lang w:val="es-CO"/>
              </w:rPr>
              <w:footnoteReference w:id="168"/>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Wilmer Castellanos Hernández</w:t>
            </w:r>
          </w:p>
        </w:tc>
        <w:tc>
          <w:tcPr>
            <w:tcW w:w="6379" w:type="dxa"/>
          </w:tcPr>
          <w:p w:rsidR="00CC01B8" w:rsidRPr="00635A00" w:rsidRDefault="00635A00" w:rsidP="00CC01B8">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Explicó cómo se construyó el PND,</w:t>
            </w:r>
            <w:r w:rsidRPr="00635A00">
              <w:rPr>
                <w:rFonts w:ascii="Times New Roman" w:hAnsi="Times New Roman"/>
                <w:bCs/>
                <w:color w:val="auto"/>
                <w:szCs w:val="24"/>
                <w:lang w:val="es-CO"/>
              </w:rPr>
              <w:t xml:space="preserve"> cómo se estudiaron las más de 3.400 proposiciones presentadas, destacó algunos programas y políticas del PND, y que en la discusión se encontró una oportunidad de mejora en el sentido de incluir de manera transversal a los campesinos como sujetos merecedo</w:t>
            </w:r>
            <w:r w:rsidRPr="00635A00">
              <w:rPr>
                <w:rFonts w:ascii="Times New Roman" w:hAnsi="Times New Roman"/>
                <w:bCs/>
                <w:color w:val="auto"/>
                <w:szCs w:val="24"/>
                <w:lang w:val="es-CO"/>
              </w:rPr>
              <w:t>res de trato diferencial</w:t>
            </w:r>
            <w:r w:rsidRPr="00635A00">
              <w:rPr>
                <w:rStyle w:val="Refdenotaalpie"/>
                <w:rFonts w:ascii="Times New Roman" w:hAnsi="Times New Roman"/>
                <w:bCs/>
                <w:color w:val="auto"/>
                <w:szCs w:val="24"/>
                <w:lang w:val="es-CO"/>
              </w:rPr>
              <w:footnoteReference w:id="169"/>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María del Mar Pizarro</w:t>
            </w:r>
          </w:p>
        </w:tc>
        <w:tc>
          <w:tcPr>
            <w:tcW w:w="6379" w:type="dxa"/>
          </w:tcPr>
          <w:p w:rsidR="00160360" w:rsidRPr="00635A00" w:rsidRDefault="00635A00" w:rsidP="00DC024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Destacó las ventajas del PND hacia la pequeña y mediana empresa, la reactivación del sistema férreo, la reindustrialización del país y la política de drogas. Manifestó preocupación por el </w:t>
            </w:r>
            <w:r w:rsidRPr="00635A00">
              <w:rPr>
                <w:rFonts w:ascii="Times New Roman" w:hAnsi="Times New Roman"/>
                <w:bCs/>
                <w:color w:val="auto"/>
                <w:szCs w:val="24"/>
                <w:lang w:val="es-CO"/>
              </w:rPr>
              <w:t>asistencialismo desmedido y las transferencias condicionadas</w:t>
            </w:r>
            <w:r w:rsidRPr="00635A00">
              <w:rPr>
                <w:rStyle w:val="Refdenotaalpie"/>
                <w:rFonts w:ascii="Times New Roman" w:hAnsi="Times New Roman"/>
                <w:bCs/>
                <w:color w:val="auto"/>
                <w:szCs w:val="24"/>
                <w:lang w:val="es-CO"/>
              </w:rPr>
              <w:footnoteReference w:id="170"/>
            </w:r>
            <w:r w:rsidRPr="00635A00">
              <w:rPr>
                <w:rFonts w:ascii="Times New Roman" w:hAnsi="Times New Roman"/>
                <w:bCs/>
                <w:color w:val="auto"/>
                <w:szCs w:val="24"/>
                <w:lang w:val="es-CO"/>
              </w:rPr>
              <w:t>.</w:t>
            </w:r>
          </w:p>
          <w:p w:rsidR="005B0359"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Senadora Karina Espinosa Oliver</w:t>
            </w:r>
          </w:p>
        </w:tc>
        <w:tc>
          <w:tcPr>
            <w:tcW w:w="6379" w:type="dxa"/>
          </w:tcPr>
          <w:p w:rsidR="00160360" w:rsidRPr="00635A00" w:rsidRDefault="00635A00" w:rsidP="005B0359">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Reprochó el carácter centralista del PND y algunas disposiciones sobre interrupción voluntaria del embarazo</w:t>
            </w:r>
            <w:r w:rsidRPr="00635A00">
              <w:rPr>
                <w:rStyle w:val="Refdenotaalpie"/>
                <w:rFonts w:ascii="Times New Roman" w:hAnsi="Times New Roman"/>
                <w:bCs/>
                <w:color w:val="auto"/>
                <w:szCs w:val="24"/>
                <w:lang w:val="es-CO"/>
              </w:rPr>
              <w:footnoteReference w:id="171"/>
            </w:r>
            <w:r w:rsidRPr="00635A00">
              <w:rPr>
                <w:rFonts w:ascii="Times New Roman" w:hAnsi="Times New Roman"/>
                <w:bCs/>
                <w:color w:val="auto"/>
                <w:szCs w:val="24"/>
                <w:lang w:val="es-CO"/>
              </w:rPr>
              <w:t>.</w:t>
            </w: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Gloria Liliana Rodríguez Valencia</w:t>
            </w:r>
          </w:p>
        </w:tc>
        <w:tc>
          <w:tcPr>
            <w:tcW w:w="6379" w:type="dxa"/>
          </w:tcPr>
          <w:p w:rsidR="005B0359" w:rsidRPr="00635A00" w:rsidRDefault="00635A00" w:rsidP="005B0359">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Se refirió al artículo sobre la situación de los miembros de la Fuerza Pública que comparecen ante la Jurisdicción Especial para la Paz</w:t>
            </w:r>
            <w:r w:rsidRPr="00635A00">
              <w:rPr>
                <w:rStyle w:val="Refdenotaalpie"/>
                <w:rFonts w:ascii="Times New Roman" w:hAnsi="Times New Roman"/>
                <w:bCs/>
                <w:color w:val="auto"/>
                <w:szCs w:val="24"/>
                <w:lang w:val="es-CO"/>
              </w:rPr>
              <w:footnoteReference w:id="172"/>
            </w:r>
            <w:r w:rsidRPr="00635A00">
              <w:rPr>
                <w:rFonts w:ascii="Times New Roman" w:hAnsi="Times New Roman"/>
                <w:bCs/>
                <w:color w:val="auto"/>
                <w:szCs w:val="24"/>
                <w:lang w:val="es-CO"/>
              </w:rPr>
              <w:t xml:space="preserve">. </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Senadora Ana Carolina Espitia Jerez</w:t>
            </w:r>
          </w:p>
        </w:tc>
        <w:tc>
          <w:tcPr>
            <w:tcW w:w="6379" w:type="dxa"/>
          </w:tcPr>
          <w:p w:rsidR="00BD19E2" w:rsidRPr="00635A00" w:rsidRDefault="00635A00" w:rsidP="00BD19E2">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Se refirió a varios puntos del PND que le resultan de importancia, entre ellos </w:t>
            </w:r>
            <w:r w:rsidRPr="00635A00">
              <w:rPr>
                <w:rFonts w:ascii="Times New Roman" w:hAnsi="Times New Roman"/>
                <w:bCs/>
                <w:color w:val="auto"/>
                <w:szCs w:val="24"/>
                <w:lang w:val="es-CO"/>
              </w:rPr>
              <w:t>las medidas sobre ordenamiento territorial. Al respecto, destacó que es importante el acceso a la tierra pero también los recursos para trabajarla</w:t>
            </w:r>
            <w:r w:rsidRPr="00635A00">
              <w:rPr>
                <w:rStyle w:val="Refdenotaalpie"/>
                <w:rFonts w:ascii="Times New Roman" w:hAnsi="Times New Roman"/>
                <w:bCs/>
                <w:color w:val="auto"/>
                <w:szCs w:val="24"/>
                <w:lang w:val="es-CO"/>
              </w:rPr>
              <w:footnoteReference w:id="173"/>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Senadora Aída Avella Esquivel</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Habló sobre la importancia de medidas que llevan agua a La Guajira, las que</w:t>
            </w:r>
            <w:r w:rsidRPr="00635A00">
              <w:rPr>
                <w:rFonts w:ascii="Times New Roman" w:hAnsi="Times New Roman"/>
                <w:bCs/>
                <w:color w:val="auto"/>
                <w:szCs w:val="24"/>
                <w:lang w:val="es-CO"/>
              </w:rPr>
              <w:t xml:space="preserve"> favorecen a las mujeres y las que fomentan el empleo, y una proposición sobre el artículo 176 del proyecto de ley</w:t>
            </w:r>
            <w:r w:rsidRPr="00635A00">
              <w:rPr>
                <w:rStyle w:val="Refdenotaalpie"/>
                <w:rFonts w:ascii="Times New Roman" w:hAnsi="Times New Roman"/>
                <w:bCs/>
                <w:color w:val="auto"/>
                <w:szCs w:val="24"/>
                <w:lang w:val="es-CO"/>
              </w:rPr>
              <w:footnoteReference w:id="174"/>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Wadith Manzur Imbett</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Expresó preocupación por los beneficios y privilegios a comunidades étnicas, los fondos para contratac</w:t>
            </w:r>
            <w:r w:rsidRPr="00635A00">
              <w:rPr>
                <w:rFonts w:ascii="Times New Roman" w:hAnsi="Times New Roman"/>
                <w:bCs/>
                <w:color w:val="auto"/>
                <w:szCs w:val="24"/>
                <w:lang w:val="es-CO"/>
              </w:rPr>
              <w:t>ión, y facultades extraordinarias al presidente de la República</w:t>
            </w:r>
            <w:r w:rsidRPr="00635A00">
              <w:rPr>
                <w:rStyle w:val="Refdenotaalpie"/>
                <w:rFonts w:ascii="Times New Roman" w:hAnsi="Times New Roman"/>
                <w:bCs/>
                <w:color w:val="auto"/>
                <w:szCs w:val="24"/>
                <w:lang w:val="es-CO"/>
              </w:rPr>
              <w:footnoteReference w:id="175"/>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 Carlos Abraham Jiménez López</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Habló sobre el Fondo Nacional de Pensiones de las Entidades Territoriales y sobre proyectos de transición energética, las gobernaciones y el programa M</w:t>
            </w:r>
            <w:r w:rsidRPr="00635A00">
              <w:rPr>
                <w:rFonts w:ascii="Times New Roman" w:hAnsi="Times New Roman"/>
                <w:bCs/>
                <w:color w:val="auto"/>
                <w:szCs w:val="24"/>
                <w:lang w:val="es-CO"/>
              </w:rPr>
              <w:t>i Casa Ya</w:t>
            </w:r>
            <w:r w:rsidRPr="00635A00">
              <w:rPr>
                <w:rStyle w:val="Refdenotaalpie"/>
                <w:rFonts w:ascii="Times New Roman" w:hAnsi="Times New Roman"/>
                <w:bCs/>
                <w:color w:val="auto"/>
                <w:szCs w:val="24"/>
                <w:lang w:val="es-CO"/>
              </w:rPr>
              <w:footnoteReference w:id="176"/>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José Alberto Tejada Echeverri</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Señaló que las entidades territoriales han descuidado el tema del agua. También destacó la interjurisdiccionalidad territorial, el Programa de Alimentación Escolar, la supervisión comunitaria de los</w:t>
            </w:r>
            <w:r w:rsidRPr="00635A00">
              <w:rPr>
                <w:rFonts w:ascii="Times New Roman" w:hAnsi="Times New Roman"/>
                <w:bCs/>
                <w:color w:val="auto"/>
                <w:szCs w:val="24"/>
                <w:lang w:val="es-CO"/>
              </w:rPr>
              <w:t xml:space="preserve"> contratos y el fortalecimiento de la economía popular</w:t>
            </w:r>
            <w:r w:rsidRPr="00635A00">
              <w:rPr>
                <w:rStyle w:val="Refdenotaalpie"/>
                <w:rFonts w:ascii="Times New Roman" w:hAnsi="Times New Roman"/>
                <w:bCs/>
                <w:color w:val="auto"/>
                <w:szCs w:val="24"/>
                <w:lang w:val="es-CO"/>
              </w:rPr>
              <w:footnoteReference w:id="177"/>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Óscar Darío Pérez Pineda</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Manifestó preocupaciones sobre los Fondos para la contratación, las facultades extraordinarias al presidente, la creación de los consejos nacionales y territo</w:t>
            </w:r>
            <w:r w:rsidRPr="00635A00">
              <w:rPr>
                <w:rFonts w:ascii="Times New Roman" w:hAnsi="Times New Roman"/>
                <w:bCs/>
                <w:color w:val="auto"/>
                <w:szCs w:val="24"/>
                <w:lang w:val="es-CO"/>
              </w:rPr>
              <w:t>riales. Destacó la creación del catastro multipropósito y la importancia de tranquilizar a los contribuyentes, la importancia de vincular al sector privado y de no dejar fracasar los programas de vivienda</w:t>
            </w:r>
            <w:r w:rsidRPr="00635A00">
              <w:rPr>
                <w:rStyle w:val="Refdenotaalpie"/>
                <w:rFonts w:ascii="Times New Roman" w:hAnsi="Times New Roman"/>
                <w:bCs/>
                <w:color w:val="auto"/>
                <w:szCs w:val="24"/>
                <w:lang w:val="es-CO"/>
              </w:rPr>
              <w:footnoteReference w:id="178"/>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Olmes Echeverría</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Resaltó que el </w:t>
            </w:r>
            <w:r w:rsidRPr="00635A00">
              <w:rPr>
                <w:rFonts w:ascii="Times New Roman" w:hAnsi="Times New Roman"/>
                <w:bCs/>
                <w:color w:val="auto"/>
                <w:szCs w:val="24"/>
                <w:lang w:val="es-CO"/>
              </w:rPr>
              <w:t>PND se preocupe por la seguridad en el campo colombiano</w:t>
            </w:r>
            <w:r w:rsidRPr="00635A00">
              <w:rPr>
                <w:rStyle w:val="Refdenotaalpie"/>
                <w:rFonts w:ascii="Times New Roman" w:hAnsi="Times New Roman"/>
                <w:bCs/>
                <w:color w:val="auto"/>
                <w:szCs w:val="24"/>
                <w:lang w:val="es-CO"/>
              </w:rPr>
              <w:footnoteReference w:id="179"/>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160360"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Carlos Edward Osorio Aguiar</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Cuestionó </w:t>
            </w:r>
            <w:r w:rsidRPr="00635A00">
              <w:rPr>
                <w:rFonts w:ascii="Times New Roman" w:hAnsi="Times New Roman"/>
                <w:bCs/>
                <w:color w:val="auto"/>
                <w:szCs w:val="24"/>
                <w:lang w:val="es-CO"/>
              </w:rPr>
              <w:t xml:space="preserve">que el PND sea centralista y no reconozca la autonomía de las entidades territoriales. Se </w:t>
            </w:r>
            <w:r w:rsidRPr="00635A00">
              <w:rPr>
                <w:rFonts w:ascii="Times New Roman" w:hAnsi="Times New Roman"/>
                <w:bCs/>
                <w:color w:val="auto"/>
                <w:szCs w:val="24"/>
                <w:lang w:val="es-CO"/>
              </w:rPr>
              <w:t>refirió también sobre</w:t>
            </w:r>
            <w:r w:rsidRPr="00635A00">
              <w:rPr>
                <w:rFonts w:ascii="Times New Roman" w:hAnsi="Times New Roman"/>
                <w:bCs/>
                <w:color w:val="auto"/>
                <w:szCs w:val="24"/>
                <w:lang w:val="es-CO"/>
              </w:rPr>
              <w:t xml:space="preserve"> los Fondos</w:t>
            </w:r>
            <w:r w:rsidRPr="00635A00">
              <w:rPr>
                <w:rFonts w:ascii="Times New Roman" w:hAnsi="Times New Roman"/>
                <w:bCs/>
                <w:color w:val="auto"/>
                <w:szCs w:val="24"/>
                <w:lang w:val="es-CO"/>
              </w:rPr>
              <w:t xml:space="preserve"> para contratación y e</w:t>
            </w:r>
            <w:r w:rsidRPr="00635A00">
              <w:rPr>
                <w:rFonts w:ascii="Times New Roman" w:hAnsi="Times New Roman"/>
                <w:bCs/>
                <w:color w:val="auto"/>
                <w:szCs w:val="24"/>
                <w:lang w:val="es-CO"/>
              </w:rPr>
              <w:t>jecución de obras</w:t>
            </w:r>
            <w:r w:rsidRPr="00635A00">
              <w:rPr>
                <w:rStyle w:val="Refdenotaalpie"/>
                <w:rFonts w:ascii="Times New Roman" w:hAnsi="Times New Roman"/>
                <w:bCs/>
                <w:color w:val="auto"/>
                <w:szCs w:val="24"/>
                <w:lang w:val="es-CO"/>
              </w:rPr>
              <w:footnoteReference w:id="180"/>
            </w:r>
            <w:r w:rsidRPr="00635A00">
              <w:rPr>
                <w:rFonts w:ascii="Times New Roman" w:hAnsi="Times New Roman"/>
                <w:bCs/>
                <w:color w:val="auto"/>
                <w:szCs w:val="24"/>
                <w:lang w:val="es-CO"/>
              </w:rPr>
              <w:t>.</w:t>
            </w:r>
          </w:p>
          <w:p w:rsidR="00160360" w:rsidRPr="00635A00" w:rsidRDefault="00635A00" w:rsidP="00DC0242">
            <w:pPr>
              <w:pStyle w:val="Sombreadovistoso-nfasis31"/>
              <w:ind w:left="0"/>
              <w:rPr>
                <w:rFonts w:ascii="Times New Roman" w:hAnsi="Times New Roman"/>
                <w:bCs/>
                <w:color w:val="auto"/>
                <w:szCs w:val="24"/>
                <w:lang w:val="es-CO"/>
              </w:rPr>
            </w:pPr>
          </w:p>
        </w:tc>
      </w:tr>
      <w:tr w:rsidR="00301B43" w:rsidRPr="00635A00" w:rsidTr="00CC01B8">
        <w:tc>
          <w:tcPr>
            <w:tcW w:w="2552" w:type="dxa"/>
          </w:tcPr>
          <w:p w:rsidR="00497FED"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Representante Jennifer Pedraza Sandoval</w:t>
            </w:r>
          </w:p>
        </w:tc>
        <w:tc>
          <w:tcPr>
            <w:tcW w:w="6379" w:type="dxa"/>
          </w:tcPr>
          <w:p w:rsidR="00AC58D0" w:rsidRPr="00635A00" w:rsidRDefault="00635A00" w:rsidP="00AC58D0">
            <w:pPr>
              <w:pStyle w:val="Sombreadovistoso-nfasis31"/>
              <w:ind w:left="0"/>
              <w:rPr>
                <w:rFonts w:ascii="Times New Roman" w:hAnsi="Times New Roman"/>
                <w:bCs/>
                <w:color w:val="auto"/>
                <w:szCs w:val="24"/>
                <w:lang w:val="es-CO"/>
              </w:rPr>
            </w:pPr>
            <w:r w:rsidRPr="00635A00">
              <w:rPr>
                <w:rFonts w:ascii="Times New Roman" w:hAnsi="Times New Roman"/>
                <w:bCs/>
                <w:color w:val="auto"/>
                <w:szCs w:val="24"/>
                <w:lang w:val="es-CO"/>
              </w:rPr>
              <w:t xml:space="preserve">Lamentó que el PND no tratara los siguientes asuntos: </w:t>
            </w:r>
            <w:r w:rsidRPr="00635A00">
              <w:rPr>
                <w:rFonts w:ascii="Times New Roman" w:hAnsi="Times New Roman"/>
                <w:bCs/>
                <w:color w:val="auto"/>
                <w:szCs w:val="24"/>
                <w:lang w:val="es-CO"/>
              </w:rPr>
              <w:t>la necesidad de constituir una comisión para auditar y revisar los tratados de protección de inversiones, y la educación superior</w:t>
            </w:r>
            <w:r w:rsidRPr="00635A00">
              <w:rPr>
                <w:rStyle w:val="Refdenotaalpie"/>
                <w:rFonts w:ascii="Times New Roman" w:hAnsi="Times New Roman"/>
                <w:bCs/>
                <w:color w:val="auto"/>
                <w:szCs w:val="24"/>
                <w:lang w:val="es-CO"/>
              </w:rPr>
              <w:footnoteReference w:id="181"/>
            </w:r>
            <w:r w:rsidRPr="00635A00">
              <w:rPr>
                <w:rFonts w:ascii="Times New Roman" w:hAnsi="Times New Roman"/>
                <w:bCs/>
                <w:color w:val="auto"/>
                <w:szCs w:val="24"/>
                <w:lang w:val="es-CO"/>
              </w:rPr>
              <w:t>.</w:t>
            </w:r>
          </w:p>
          <w:p w:rsidR="00497FED" w:rsidRPr="00635A00" w:rsidRDefault="00635A00" w:rsidP="00DC0242">
            <w:pPr>
              <w:pStyle w:val="Sombreadovistoso-nfasis31"/>
              <w:ind w:left="0"/>
              <w:rPr>
                <w:rFonts w:ascii="Times New Roman" w:hAnsi="Times New Roman"/>
                <w:bCs/>
                <w:color w:val="auto"/>
                <w:szCs w:val="24"/>
                <w:lang w:val="es-CO"/>
              </w:rPr>
            </w:pPr>
          </w:p>
        </w:tc>
      </w:tr>
      <w:tr w:rsidR="00DC0242" w:rsidRPr="00635A00" w:rsidTr="00CC01B8">
        <w:tc>
          <w:tcPr>
            <w:tcW w:w="2552" w:type="dxa"/>
          </w:tcPr>
          <w:p w:rsidR="00DC0242" w:rsidRPr="00635A00" w:rsidRDefault="00635A00" w:rsidP="00DC0242">
            <w:pPr>
              <w:pStyle w:val="Sombreadovistoso-nfasis31"/>
              <w:ind w:left="0"/>
              <w:jc w:val="center"/>
              <w:rPr>
                <w:rFonts w:ascii="Times New Roman" w:hAnsi="Times New Roman"/>
                <w:bCs/>
                <w:color w:val="auto"/>
                <w:szCs w:val="24"/>
                <w:lang w:val="es-CO"/>
              </w:rPr>
            </w:pPr>
            <w:r w:rsidRPr="00635A00">
              <w:rPr>
                <w:rFonts w:ascii="Times New Roman" w:hAnsi="Times New Roman"/>
                <w:bCs/>
                <w:color w:val="auto"/>
                <w:szCs w:val="24"/>
                <w:lang w:val="es-CO"/>
              </w:rPr>
              <w:t>Senador Carlos Julio González Villa</w:t>
            </w:r>
          </w:p>
        </w:tc>
        <w:tc>
          <w:tcPr>
            <w:tcW w:w="6379" w:type="dxa"/>
          </w:tcPr>
          <w:p w:rsidR="007C3A91" w:rsidRPr="00635A00" w:rsidRDefault="00635A00" w:rsidP="007C3A91">
            <w:pPr>
              <w:pStyle w:val="Sombreadovistoso-nfasis31"/>
              <w:ind w:left="0"/>
              <w:jc w:val="left"/>
              <w:rPr>
                <w:rFonts w:ascii="Times New Roman" w:hAnsi="Times New Roman"/>
                <w:bCs/>
                <w:color w:val="auto"/>
                <w:szCs w:val="24"/>
                <w:lang w:val="es-CO"/>
              </w:rPr>
            </w:pPr>
            <w:r w:rsidRPr="00635A00">
              <w:rPr>
                <w:rFonts w:ascii="Times New Roman" w:hAnsi="Times New Roman"/>
                <w:bCs/>
                <w:color w:val="auto"/>
                <w:szCs w:val="24"/>
                <w:lang w:val="es-CO"/>
              </w:rPr>
              <w:t xml:space="preserve">Extrañó el capítulo de educación con la profundidad y cambio que debería tener, reprochó que el departamento del Huila siga estando ausente en la caracterización de municipios que podrían tener asignaciones de paz, y la </w:t>
            </w:r>
            <w:r w:rsidRPr="00635A00">
              <w:rPr>
                <w:rFonts w:ascii="Times New Roman" w:hAnsi="Times New Roman"/>
                <w:bCs/>
                <w:color w:val="auto"/>
                <w:szCs w:val="24"/>
                <w:lang w:val="es-CO"/>
              </w:rPr>
              <w:t>necesidad de conectividad en la Orinoquía. También expresó preocupación por los Fondos autónomos</w:t>
            </w:r>
            <w:r w:rsidRPr="00635A00">
              <w:rPr>
                <w:rStyle w:val="Refdenotaalpie"/>
                <w:rFonts w:ascii="Times New Roman" w:hAnsi="Times New Roman"/>
                <w:bCs/>
                <w:color w:val="auto"/>
                <w:szCs w:val="24"/>
                <w:lang w:val="es-CO"/>
              </w:rPr>
              <w:footnoteReference w:id="182"/>
            </w:r>
            <w:r w:rsidRPr="00635A00">
              <w:rPr>
                <w:rFonts w:ascii="Times New Roman" w:hAnsi="Times New Roman"/>
                <w:bCs/>
                <w:color w:val="auto"/>
                <w:szCs w:val="24"/>
                <w:lang w:val="es-CO"/>
              </w:rPr>
              <w:t>.</w:t>
            </w:r>
          </w:p>
          <w:p w:rsidR="00DC0242" w:rsidRPr="00635A00" w:rsidRDefault="00635A00" w:rsidP="00DC0242">
            <w:pPr>
              <w:pStyle w:val="Sombreadovistoso-nfasis31"/>
              <w:ind w:left="0"/>
              <w:rPr>
                <w:rFonts w:ascii="Times New Roman" w:hAnsi="Times New Roman"/>
                <w:bCs/>
                <w:color w:val="auto"/>
                <w:szCs w:val="24"/>
                <w:lang w:val="es-CO"/>
              </w:rPr>
            </w:pPr>
          </w:p>
        </w:tc>
      </w:tr>
    </w:tbl>
    <w:p w:rsidR="00650F34" w:rsidRPr="00635A00" w:rsidRDefault="00635A00" w:rsidP="00CB26DE">
      <w:pPr>
        <w:rPr>
          <w:rFonts w:ascii="Times New Roman" w:hAnsi="Times New Roman" w:cs="Times New Roman"/>
          <w:b/>
          <w:bCs/>
          <w:sz w:val="28"/>
          <w:szCs w:val="28"/>
        </w:rPr>
      </w:pPr>
    </w:p>
    <w:p w:rsidR="00DD2510" w:rsidRPr="00635A00" w:rsidRDefault="00635A00" w:rsidP="00DD2510">
      <w:pPr>
        <w:pStyle w:val="Sombreadovistoso-nfasis31"/>
        <w:numPr>
          <w:ilvl w:val="0"/>
          <w:numId w:val="3"/>
        </w:numPr>
        <w:rPr>
          <w:rFonts w:ascii="Times New Roman" w:hAnsi="Times New Roman" w:cs="Times New Roman"/>
          <w:color w:val="auto"/>
          <w:lang w:val="es-CO"/>
        </w:rPr>
      </w:pPr>
      <w:r w:rsidRPr="00635A00">
        <w:rPr>
          <w:rFonts w:ascii="Times New Roman" w:hAnsi="Times New Roman" w:cs="Times New Roman"/>
          <w:bCs/>
          <w:color w:val="auto"/>
          <w:lang w:val="es-CO"/>
        </w:rPr>
        <w:t xml:space="preserve">Finalizadas las intervenciones, </w:t>
      </w:r>
      <w:r w:rsidRPr="00635A00">
        <w:rPr>
          <w:rFonts w:ascii="Times New Roman" w:hAnsi="Times New Roman" w:cs="Times New Roman"/>
          <w:bCs/>
          <w:color w:val="auto"/>
          <w:lang w:val="es-CO"/>
        </w:rPr>
        <w:t xml:space="preserve">se </w:t>
      </w:r>
      <w:r w:rsidRPr="00635A00">
        <w:rPr>
          <w:rFonts w:ascii="Times New Roman" w:hAnsi="Times New Roman" w:cs="Times New Roman"/>
          <w:bCs/>
          <w:color w:val="auto"/>
          <w:lang w:val="es-CO"/>
        </w:rPr>
        <w:t>optó por continuar la discusión</w:t>
      </w:r>
      <w:r w:rsidRPr="00635A00">
        <w:rPr>
          <w:rFonts w:ascii="Times New Roman" w:hAnsi="Times New Roman" w:cs="Times New Roman"/>
          <w:bCs/>
          <w:color w:val="auto"/>
          <w:lang w:val="es-CO"/>
        </w:rPr>
        <w:t xml:space="preserve"> la votación del articulado por bloques. En primer lugar, las Comisiones aprobaron dos proposiciones para excluir de la votación en bloque los artículos</w:t>
      </w:r>
      <w:r w:rsidRPr="00635A00">
        <w:rPr>
          <w:rStyle w:val="Refdenotaalpie"/>
          <w:rFonts w:ascii="Times New Roman" w:hAnsi="Times New Roman" w:cs="Times New Roman"/>
          <w:bCs/>
          <w:color w:val="auto"/>
          <w:lang w:val="es-CO"/>
        </w:rPr>
        <w:footnoteReference w:id="183"/>
      </w:r>
      <w:r w:rsidRPr="00635A00">
        <w:rPr>
          <w:rFonts w:ascii="Times New Roman" w:hAnsi="Times New Roman" w:cs="Times New Roman"/>
          <w:bCs/>
          <w:color w:val="auto"/>
          <w:lang w:val="es-CO"/>
        </w:rPr>
        <w:t xml:space="preserve"> relacionados con los fondos especiales para la contratación y las facultades extraordinarias al presid</w:t>
      </w:r>
      <w:r w:rsidRPr="00635A00">
        <w:rPr>
          <w:rFonts w:ascii="Times New Roman" w:hAnsi="Times New Roman" w:cs="Times New Roman"/>
          <w:bCs/>
          <w:color w:val="auto"/>
          <w:lang w:val="es-CO"/>
        </w:rPr>
        <w:t>ente de la República</w:t>
      </w:r>
      <w:r w:rsidRPr="00635A00">
        <w:rPr>
          <w:rStyle w:val="Refdenotaalpie"/>
          <w:rFonts w:ascii="Times New Roman" w:hAnsi="Times New Roman" w:cs="Times New Roman"/>
          <w:bCs/>
          <w:color w:val="auto"/>
          <w:lang w:val="es-CO"/>
        </w:rPr>
        <w:footnoteReference w:id="184"/>
      </w:r>
      <w:r w:rsidRPr="00635A00">
        <w:rPr>
          <w:rFonts w:ascii="Times New Roman" w:hAnsi="Times New Roman" w:cs="Times New Roman"/>
          <w:bCs/>
          <w:color w:val="auto"/>
          <w:lang w:val="es-CO"/>
        </w:rPr>
        <w:t>. Esta</w:t>
      </w:r>
      <w:r w:rsidRPr="00635A00">
        <w:rPr>
          <w:rFonts w:ascii="Times New Roman" w:hAnsi="Times New Roman" w:cs="Times New Roman"/>
          <w:bCs/>
          <w:color w:val="auto"/>
          <w:lang w:val="es-CO"/>
        </w:rPr>
        <w:t>s</w:t>
      </w:r>
      <w:r w:rsidRPr="00635A00">
        <w:rPr>
          <w:rFonts w:ascii="Times New Roman" w:hAnsi="Times New Roman" w:cs="Times New Roman"/>
          <w:bCs/>
          <w:color w:val="auto"/>
          <w:lang w:val="es-CO"/>
        </w:rPr>
        <w:t xml:space="preserve"> proposici</w:t>
      </w:r>
      <w:r w:rsidRPr="00635A00">
        <w:rPr>
          <w:rFonts w:ascii="Times New Roman" w:hAnsi="Times New Roman" w:cs="Times New Roman"/>
          <w:bCs/>
          <w:color w:val="auto"/>
          <w:lang w:val="es-CO"/>
        </w:rPr>
        <w:t>o</w:t>
      </w:r>
      <w:r w:rsidRPr="00635A00">
        <w:rPr>
          <w:rFonts w:ascii="Times New Roman" w:hAnsi="Times New Roman" w:cs="Times New Roman"/>
          <w:bCs/>
          <w:color w:val="auto"/>
          <w:lang w:val="es-CO"/>
        </w:rPr>
        <w:t>n</w:t>
      </w:r>
      <w:r w:rsidRPr="00635A00">
        <w:rPr>
          <w:rFonts w:ascii="Times New Roman" w:hAnsi="Times New Roman" w:cs="Times New Roman"/>
          <w:bCs/>
          <w:color w:val="auto"/>
          <w:lang w:val="es-CO"/>
        </w:rPr>
        <w:t>es</w:t>
      </w:r>
      <w:r w:rsidRPr="00635A00">
        <w:rPr>
          <w:rFonts w:ascii="Times New Roman" w:hAnsi="Times New Roman" w:cs="Times New Roman"/>
          <w:bCs/>
          <w:color w:val="auto"/>
          <w:lang w:val="es-CO"/>
        </w:rPr>
        <w:t xml:space="preserve"> no afectaba</w:t>
      </w:r>
      <w:r w:rsidRPr="00635A00">
        <w:rPr>
          <w:rFonts w:ascii="Times New Roman" w:hAnsi="Times New Roman" w:cs="Times New Roman"/>
          <w:bCs/>
          <w:color w:val="auto"/>
          <w:lang w:val="es-CO"/>
        </w:rPr>
        <w:t>n</w:t>
      </w:r>
      <w:r w:rsidRPr="00635A00">
        <w:rPr>
          <w:rFonts w:ascii="Times New Roman" w:hAnsi="Times New Roman" w:cs="Times New Roman"/>
          <w:bCs/>
          <w:color w:val="auto"/>
          <w:lang w:val="es-CO"/>
        </w:rPr>
        <w:t xml:space="preserve"> el artículo 48 del proyecto de ley</w:t>
      </w:r>
      <w:r w:rsidRPr="00635A00">
        <w:rPr>
          <w:rFonts w:ascii="Times New Roman" w:hAnsi="Times New Roman" w:cs="Times New Roman"/>
          <w:bCs/>
          <w:color w:val="auto"/>
          <w:lang w:val="es-CO"/>
        </w:rPr>
        <w:t>, ni se referían a la temática de acceso o formalización de la propiedad rural</w:t>
      </w:r>
      <w:r w:rsidRPr="00635A00">
        <w:rPr>
          <w:rFonts w:ascii="Times New Roman" w:hAnsi="Times New Roman" w:cs="Times New Roman"/>
          <w:bCs/>
          <w:color w:val="auto"/>
          <w:lang w:val="es-CO"/>
        </w:rPr>
        <w:t>.</w:t>
      </w:r>
    </w:p>
    <w:p w:rsidR="00336076" w:rsidRPr="00635A00" w:rsidRDefault="00635A00" w:rsidP="00336076">
      <w:pPr>
        <w:pStyle w:val="Sombreadovistoso-nfasis31"/>
        <w:ind w:left="0"/>
        <w:rPr>
          <w:rFonts w:ascii="Times New Roman" w:hAnsi="Times New Roman" w:cs="Times New Roman"/>
          <w:color w:val="auto"/>
          <w:lang w:val="es-CO"/>
        </w:rPr>
      </w:pPr>
    </w:p>
    <w:p w:rsidR="00336076" w:rsidRPr="00635A00" w:rsidRDefault="00635A00" w:rsidP="00DD2510">
      <w:pPr>
        <w:pStyle w:val="Sombreadovistoso-nfasis31"/>
        <w:numPr>
          <w:ilvl w:val="0"/>
          <w:numId w:val="3"/>
        </w:numPr>
        <w:rPr>
          <w:rFonts w:ascii="Times New Roman" w:hAnsi="Times New Roman" w:cs="Times New Roman"/>
          <w:color w:val="auto"/>
          <w:lang w:val="es-CO"/>
        </w:rPr>
      </w:pPr>
      <w:r w:rsidRPr="00635A00">
        <w:rPr>
          <w:rFonts w:ascii="Times New Roman" w:hAnsi="Times New Roman" w:cs="Times New Roman"/>
          <w:color w:val="auto"/>
          <w:lang w:val="es-CO"/>
        </w:rPr>
        <w:t xml:space="preserve">En segundo lugar, se procedió </w:t>
      </w:r>
      <w:r w:rsidRPr="00635A00">
        <w:rPr>
          <w:rFonts w:ascii="Times New Roman" w:hAnsi="Times New Roman" w:cs="Times New Roman"/>
          <w:color w:val="auto"/>
          <w:lang w:val="es-CO"/>
        </w:rPr>
        <w:t xml:space="preserve">a </w:t>
      </w:r>
      <w:r w:rsidRPr="00635A00">
        <w:rPr>
          <w:rFonts w:ascii="Times New Roman" w:hAnsi="Times New Roman" w:cs="Times New Roman"/>
          <w:color w:val="auto"/>
          <w:lang w:val="es-CO"/>
        </w:rPr>
        <w:t>la</w:t>
      </w:r>
      <w:r w:rsidRPr="00635A00">
        <w:rPr>
          <w:rFonts w:ascii="Times New Roman" w:hAnsi="Times New Roman" w:cs="Times New Roman"/>
          <w:color w:val="auto"/>
          <w:lang w:val="es-CO"/>
        </w:rPr>
        <w:t xml:space="preserve"> discusión y</w:t>
      </w:r>
      <w:r w:rsidRPr="00635A00">
        <w:rPr>
          <w:rFonts w:ascii="Times New Roman" w:hAnsi="Times New Roman" w:cs="Times New Roman"/>
          <w:color w:val="auto"/>
          <w:lang w:val="es-CO"/>
        </w:rPr>
        <w:t xml:space="preserve"> votación en bloque de los artículos</w:t>
      </w:r>
      <w:r w:rsidRPr="00635A00">
        <w:rPr>
          <w:rStyle w:val="Refdenotaalpie"/>
          <w:rFonts w:ascii="Times New Roman" w:hAnsi="Times New Roman" w:cs="Times New Roman"/>
          <w:color w:val="auto"/>
          <w:lang w:val="es-CO"/>
        </w:rPr>
        <w:footnoteReference w:id="185"/>
      </w:r>
      <w:r w:rsidRPr="00635A00">
        <w:rPr>
          <w:rFonts w:ascii="Times New Roman" w:hAnsi="Times New Roman" w:cs="Times New Roman"/>
          <w:color w:val="auto"/>
          <w:lang w:val="es-CO"/>
        </w:rPr>
        <w:t xml:space="preserve"> respecto de los cuales no se presentaron proposiciones</w:t>
      </w:r>
      <w:r w:rsidRPr="00635A00">
        <w:rPr>
          <w:rStyle w:val="Refdenotaalpie"/>
          <w:rFonts w:ascii="Times New Roman" w:hAnsi="Times New Roman" w:cs="Times New Roman"/>
          <w:color w:val="auto"/>
          <w:lang w:val="es-CO"/>
        </w:rPr>
        <w:footnoteReference w:id="186"/>
      </w:r>
      <w:r w:rsidRPr="00635A00">
        <w:rPr>
          <w:rFonts w:ascii="Times New Roman" w:hAnsi="Times New Roman" w:cs="Times New Roman"/>
          <w:color w:val="auto"/>
          <w:lang w:val="es-CO"/>
        </w:rPr>
        <w:t>. Dentro de este conjunto no se encontraba el artículo 48 del proyecto de ley.</w:t>
      </w:r>
    </w:p>
    <w:p w:rsidR="00514E8C" w:rsidRPr="00635A00" w:rsidRDefault="00635A00" w:rsidP="00514E8C">
      <w:pPr>
        <w:pStyle w:val="Prrafodelista"/>
        <w:rPr>
          <w:rFonts w:ascii="Times New Roman" w:hAnsi="Times New Roman" w:cs="Times New Roman"/>
          <w:color w:val="auto"/>
          <w:lang w:val="es-CO"/>
        </w:rPr>
      </w:pPr>
    </w:p>
    <w:p w:rsidR="00E454B6" w:rsidRPr="00635A00" w:rsidRDefault="00635A00" w:rsidP="00E454B6">
      <w:pPr>
        <w:pStyle w:val="Sombreadovistoso-nfasis31"/>
        <w:numPr>
          <w:ilvl w:val="0"/>
          <w:numId w:val="3"/>
        </w:numPr>
        <w:rPr>
          <w:rFonts w:ascii="Times New Roman" w:hAnsi="Times New Roman" w:cs="Times New Roman"/>
          <w:bCs/>
          <w:color w:val="auto"/>
          <w:szCs w:val="24"/>
          <w:lang w:val="es-CO"/>
        </w:rPr>
      </w:pPr>
      <w:r w:rsidRPr="00635A00">
        <w:rPr>
          <w:rFonts w:ascii="Times New Roman" w:hAnsi="Times New Roman" w:cs="Times New Roman"/>
          <w:color w:val="auto"/>
          <w:lang w:val="es-CO"/>
        </w:rPr>
        <w:t xml:space="preserve">En tercer lugar, </w:t>
      </w:r>
      <w:r w:rsidRPr="00635A00">
        <w:rPr>
          <w:rFonts w:ascii="Times New Roman" w:hAnsi="Times New Roman" w:cs="Times New Roman"/>
          <w:color w:val="auto"/>
          <w:lang w:val="es-CO"/>
        </w:rPr>
        <w:t xml:space="preserve">se </w:t>
      </w:r>
      <w:r w:rsidRPr="00635A00">
        <w:rPr>
          <w:rFonts w:ascii="Times New Roman" w:hAnsi="Times New Roman" w:cs="Times New Roman"/>
          <w:color w:val="auto"/>
          <w:lang w:val="es-CO"/>
        </w:rPr>
        <w:t xml:space="preserve">discutió y </w:t>
      </w:r>
      <w:r w:rsidRPr="00635A00">
        <w:rPr>
          <w:rFonts w:ascii="Times New Roman" w:hAnsi="Times New Roman" w:cs="Times New Roman"/>
          <w:color w:val="auto"/>
          <w:lang w:val="es-CO"/>
        </w:rPr>
        <w:t xml:space="preserve">votó un segundo bloque de artículos </w:t>
      </w:r>
      <w:r w:rsidRPr="00635A00">
        <w:rPr>
          <w:rFonts w:ascii="Times New Roman" w:hAnsi="Times New Roman" w:cs="Times New Roman"/>
          <w:color w:val="auto"/>
          <w:lang w:val="es-CO"/>
        </w:rPr>
        <w:t>que tenían</w:t>
      </w:r>
      <w:r w:rsidRPr="00635A00">
        <w:rPr>
          <w:rFonts w:ascii="Times New Roman" w:hAnsi="Times New Roman" w:cs="Times New Roman"/>
          <w:color w:val="auto"/>
          <w:lang w:val="es-CO"/>
        </w:rPr>
        <w:t xml:space="preserve"> proposiciones no avaladas</w:t>
      </w:r>
      <w:r w:rsidRPr="00635A00">
        <w:rPr>
          <w:rStyle w:val="Refdenotaalpie"/>
          <w:rFonts w:ascii="Times New Roman" w:hAnsi="Times New Roman" w:cs="Times New Roman"/>
          <w:color w:val="auto"/>
          <w:lang w:val="es-CO"/>
        </w:rPr>
        <w:footnoteReference w:id="187"/>
      </w:r>
      <w:r w:rsidRPr="00635A00">
        <w:rPr>
          <w:rFonts w:ascii="Times New Roman" w:hAnsi="Times New Roman" w:cs="Times New Roman"/>
          <w:color w:val="auto"/>
          <w:lang w:val="es-CO"/>
        </w:rPr>
        <w:t>, pero que fuero</w:t>
      </w:r>
      <w:r w:rsidRPr="00635A00">
        <w:rPr>
          <w:rFonts w:ascii="Times New Roman" w:hAnsi="Times New Roman" w:cs="Times New Roman"/>
          <w:color w:val="auto"/>
          <w:lang w:val="es-CO"/>
        </w:rPr>
        <w:t>n retiradas por quienes las formularon y únicamente “quedaron como constancia para segundo debate”</w:t>
      </w:r>
      <w:r w:rsidRPr="00635A00">
        <w:rPr>
          <w:rStyle w:val="Refdenotaalpie"/>
          <w:rFonts w:ascii="Times New Roman" w:hAnsi="Times New Roman" w:cs="Times New Roman"/>
          <w:color w:val="auto"/>
          <w:lang w:val="es-CO"/>
        </w:rPr>
        <w:footnoteReference w:id="188"/>
      </w:r>
      <w:r w:rsidRPr="00635A00">
        <w:rPr>
          <w:rFonts w:ascii="Times New Roman" w:hAnsi="Times New Roman" w:cs="Times New Roman"/>
          <w:color w:val="auto"/>
          <w:lang w:val="es-CO"/>
        </w:rPr>
        <w:t xml:space="preserve">. Dentro de este bloque </w:t>
      </w:r>
      <w:r w:rsidRPr="00635A00">
        <w:rPr>
          <w:rFonts w:ascii="Times New Roman" w:hAnsi="Times New Roman" w:cs="Times New Roman"/>
          <w:color w:val="auto"/>
          <w:lang w:val="es-CO"/>
        </w:rPr>
        <w:t>se encontraba el artículo 48</w:t>
      </w:r>
      <w:r w:rsidRPr="00635A00">
        <w:rPr>
          <w:rFonts w:ascii="Times New Roman" w:hAnsi="Times New Roman" w:cs="Times New Roman"/>
          <w:color w:val="auto"/>
          <w:lang w:val="es-CO"/>
        </w:rPr>
        <w:t xml:space="preserve"> del proyecto de ley</w:t>
      </w:r>
      <w:r w:rsidRPr="00635A00">
        <w:rPr>
          <w:rFonts w:ascii="Times New Roman" w:hAnsi="Times New Roman" w:cs="Times New Roman"/>
          <w:color w:val="auto"/>
          <w:lang w:val="es-CO"/>
        </w:rPr>
        <w:t>, y quedó aprobado por las comisiones así: (i) Comisión Tercera de la Cámara: 24 voto</w:t>
      </w:r>
      <w:r w:rsidRPr="00635A00">
        <w:rPr>
          <w:rFonts w:ascii="Times New Roman" w:hAnsi="Times New Roman" w:cs="Times New Roman"/>
          <w:color w:val="auto"/>
          <w:lang w:val="es-CO"/>
        </w:rPr>
        <w:t>s a favor y 1 en contra; (ii) Comisión Cuarta de la Cámara: 22 votos a favor y 0 en contra; (iii) Comisión Tercera del Senado: 14 votos a favor y 0 en contra; y (iv) Comisión Cuarta del Senado: 13 votos a favor y 0 en contra</w:t>
      </w:r>
      <w:r w:rsidRPr="00635A00">
        <w:rPr>
          <w:rStyle w:val="Refdenotaalpie"/>
          <w:rFonts w:ascii="Times New Roman" w:hAnsi="Times New Roman" w:cs="Times New Roman"/>
          <w:color w:val="auto"/>
          <w:lang w:val="es-CO"/>
        </w:rPr>
        <w:footnoteReference w:id="189"/>
      </w:r>
      <w:r w:rsidRPr="00635A00">
        <w:rPr>
          <w:rFonts w:ascii="Times New Roman" w:hAnsi="Times New Roman" w:cs="Times New Roman"/>
          <w:color w:val="auto"/>
          <w:lang w:val="es-CO"/>
        </w:rPr>
        <w:t>.</w:t>
      </w:r>
    </w:p>
    <w:p w:rsidR="00E454B6" w:rsidRPr="00635A00" w:rsidRDefault="00635A00" w:rsidP="00E454B6">
      <w:pPr>
        <w:pStyle w:val="Prrafodelista"/>
        <w:rPr>
          <w:rFonts w:ascii="Times New Roman" w:hAnsi="Times New Roman" w:cs="Times New Roman"/>
          <w:bCs/>
          <w:color w:val="auto"/>
          <w:lang w:val="es-CO"/>
        </w:rPr>
      </w:pPr>
    </w:p>
    <w:p w:rsidR="007C3A91" w:rsidRPr="00635A00" w:rsidRDefault="00635A00" w:rsidP="00571B7F">
      <w:pPr>
        <w:pStyle w:val="Sombreadovistoso-nfasis31"/>
        <w:numPr>
          <w:ilvl w:val="0"/>
          <w:numId w:val="3"/>
        </w:numPr>
        <w:rPr>
          <w:rFonts w:ascii="Times New Roman" w:hAnsi="Times New Roman" w:cs="Times New Roman"/>
          <w:bCs/>
          <w:color w:val="auto"/>
        </w:rPr>
      </w:pPr>
      <w:r w:rsidRPr="00635A00">
        <w:rPr>
          <w:rFonts w:ascii="Times New Roman" w:hAnsi="Times New Roman" w:cs="Times New Roman"/>
          <w:bCs/>
          <w:color w:val="auto"/>
          <w:lang w:val="es-CO"/>
        </w:rPr>
        <w:t xml:space="preserve">Durante el debate no se precisaron cuáles eran las proposiciones no avaladas que buscaban modificar el artículo 48. No </w:t>
      </w:r>
      <w:r w:rsidRPr="00635A00">
        <w:rPr>
          <w:rFonts w:ascii="Times New Roman" w:hAnsi="Times New Roman" w:cs="Times New Roman"/>
          <w:bCs/>
          <w:color w:val="auto"/>
          <w:lang w:val="es-CO"/>
        </w:rPr>
        <w:t xml:space="preserve">se produjo ninguna explicación </w:t>
      </w:r>
      <w:r w:rsidRPr="00635A00">
        <w:rPr>
          <w:rFonts w:ascii="Times New Roman" w:hAnsi="Times New Roman" w:cs="Times New Roman"/>
          <w:bCs/>
          <w:color w:val="auto"/>
          <w:lang w:val="es-CO"/>
        </w:rPr>
        <w:t>en la sesión sobre cuántas proposiciones eran, quiénes las habían presentado, ni cuál era su contenido</w:t>
      </w:r>
      <w:r w:rsidRPr="00635A00">
        <w:rPr>
          <w:rFonts w:ascii="Times New Roman" w:hAnsi="Times New Roman" w:cs="Times New Roman"/>
          <w:bCs/>
          <w:color w:val="auto"/>
          <w:lang w:val="es-CO"/>
        </w:rPr>
        <w:t>. Co</w:t>
      </w:r>
      <w:r w:rsidRPr="00635A00">
        <w:rPr>
          <w:rFonts w:ascii="Times New Roman" w:hAnsi="Times New Roman" w:cs="Times New Roman"/>
          <w:bCs/>
          <w:color w:val="auto"/>
          <w:lang w:val="es-CO"/>
        </w:rPr>
        <w:t>n todo, la existencia de tales proposiciones no incide en el presente análisis porque</w:t>
      </w:r>
      <w:r w:rsidRPr="00635A00">
        <w:rPr>
          <w:rFonts w:ascii="Times New Roman" w:hAnsi="Times New Roman" w:cs="Times New Roman"/>
          <w:bCs/>
          <w:color w:val="auto"/>
          <w:lang w:val="es-CO"/>
        </w:rPr>
        <w:t xml:space="preserve"> </w:t>
      </w:r>
      <w:r w:rsidRPr="00635A00">
        <w:rPr>
          <w:rFonts w:ascii="Times New Roman" w:hAnsi="Times New Roman" w:cs="Times New Roman"/>
          <w:bCs/>
          <w:color w:val="auto"/>
          <w:lang w:val="es-CO"/>
        </w:rPr>
        <w:t>l</w:t>
      </w:r>
      <w:r w:rsidRPr="00635A00">
        <w:rPr>
          <w:rFonts w:ascii="Times New Roman" w:hAnsi="Times New Roman" w:cs="Times New Roman"/>
          <w:bCs/>
          <w:color w:val="auto"/>
          <w:lang w:val="es-CO"/>
        </w:rPr>
        <w:t>a</w:t>
      </w:r>
      <w:r w:rsidRPr="00635A00">
        <w:rPr>
          <w:rFonts w:ascii="Times New Roman" w:hAnsi="Times New Roman" w:cs="Times New Roman"/>
          <w:bCs/>
          <w:color w:val="auto"/>
          <w:lang w:val="es-CO"/>
        </w:rPr>
        <w:t xml:space="preserve"> sola presentación </w:t>
      </w:r>
      <w:r w:rsidRPr="00635A00">
        <w:rPr>
          <w:rFonts w:ascii="Times New Roman" w:hAnsi="Times New Roman" w:cs="Times New Roman"/>
          <w:bCs/>
          <w:color w:val="auto"/>
          <w:lang w:val="es-CO"/>
        </w:rPr>
        <w:t xml:space="preserve">de la proposición </w:t>
      </w:r>
      <w:r w:rsidRPr="00635A00">
        <w:rPr>
          <w:rFonts w:ascii="Times New Roman" w:hAnsi="Times New Roman" w:cs="Times New Roman"/>
          <w:bCs/>
          <w:color w:val="auto"/>
          <w:lang w:val="es-CO"/>
        </w:rPr>
        <w:t xml:space="preserve">no implica la existencia de consecutividad sobre la materia, si esta </w:t>
      </w:r>
      <w:r w:rsidRPr="00635A00">
        <w:rPr>
          <w:rFonts w:ascii="Times New Roman" w:hAnsi="Times New Roman" w:cs="Times New Roman"/>
          <w:bCs/>
          <w:color w:val="auto"/>
          <w:lang w:val="es-CO"/>
        </w:rPr>
        <w:t>fue retirada para ser dejada como constancia sin haber sido ob</w:t>
      </w:r>
      <w:r w:rsidRPr="00635A00">
        <w:rPr>
          <w:rFonts w:ascii="Times New Roman" w:hAnsi="Times New Roman" w:cs="Times New Roman"/>
          <w:bCs/>
          <w:color w:val="auto"/>
          <w:lang w:val="es-CO"/>
        </w:rPr>
        <w:t>jeto de deliberación durante el debate. Al respecto, la Corte recientemente señaló lo siguiente:</w:t>
      </w:r>
    </w:p>
    <w:p w:rsidR="00571B7F" w:rsidRPr="00635A00" w:rsidRDefault="00635A00" w:rsidP="00571B7F">
      <w:pPr>
        <w:pStyle w:val="Prrafodelista"/>
        <w:rPr>
          <w:rFonts w:ascii="Times New Roman" w:hAnsi="Times New Roman" w:cs="Times New Roman"/>
          <w:bCs/>
          <w:color w:val="auto"/>
        </w:rPr>
      </w:pPr>
    </w:p>
    <w:p w:rsidR="00EC321D" w:rsidRPr="00635A00" w:rsidRDefault="00635A00" w:rsidP="005B2C7A">
      <w:pPr>
        <w:shd w:val="clear" w:color="auto" w:fill="FFFFFF"/>
        <w:ind w:left="567" w:right="49"/>
        <w:jc w:val="both"/>
        <w:rPr>
          <w:rFonts w:ascii="Times New Roman" w:hAnsi="Times New Roman" w:cs="Times New Roman"/>
          <w:sz w:val="28"/>
          <w:lang w:val="es-ES"/>
        </w:rPr>
      </w:pPr>
      <w:r w:rsidRPr="00635A00">
        <w:rPr>
          <w:rFonts w:ascii="Times New Roman" w:hAnsi="Times New Roman" w:cs="Times New Roman"/>
          <w:sz w:val="28"/>
          <w:shd w:val="clear" w:color="auto" w:fill="FFFFFF"/>
        </w:rPr>
        <w:t xml:space="preserve"> “[T]al como lo ha señalado esta Corte en decisiones anteriores, las proposiciones dejadas como constancia en el marco de un debate no pueden tenerse por some</w:t>
      </w:r>
      <w:r w:rsidRPr="00635A00">
        <w:rPr>
          <w:rFonts w:ascii="Times New Roman" w:hAnsi="Times New Roman" w:cs="Times New Roman"/>
          <w:sz w:val="28"/>
          <w:shd w:val="clear" w:color="auto" w:fill="FFFFFF"/>
        </w:rPr>
        <w:t xml:space="preserve">tidas a deliberación y votación. En efecto, en la Sentencia C-084 de 2019 la Sala Plena señaló expresamente que “El principio de consecutividad implica que las comisiones y las plenarias de las cámaras legislativas tienen el deber de debatir y expresar su </w:t>
      </w:r>
      <w:r w:rsidRPr="00635A00">
        <w:rPr>
          <w:rFonts w:ascii="Times New Roman" w:hAnsi="Times New Roman" w:cs="Times New Roman"/>
          <w:sz w:val="28"/>
          <w:shd w:val="clear" w:color="auto" w:fill="FFFFFF"/>
        </w:rPr>
        <w:t>voluntad política sobre todos los temas puestos a su consideración. De esta forma, los artículos contenidos en la ponencia presentada, así como las proposiciones que surjan han de ser sometidos a deliberación y votación, salvo que el autor de la iniciativa</w:t>
      </w:r>
      <w:r w:rsidRPr="00635A00">
        <w:rPr>
          <w:rFonts w:ascii="Times New Roman" w:hAnsi="Times New Roman" w:cs="Times New Roman"/>
          <w:sz w:val="28"/>
          <w:shd w:val="clear" w:color="auto" w:fill="FFFFFF"/>
        </w:rPr>
        <w:t xml:space="preserve"> decida retirarla antes de ser estudiada. Por esta razón, </w:t>
      </w:r>
      <w:r w:rsidRPr="00635A00">
        <w:rPr>
          <w:rFonts w:ascii="Times New Roman" w:hAnsi="Times New Roman" w:cs="Times New Roman"/>
          <w:b/>
          <w:bCs/>
          <w:sz w:val="28"/>
          <w:shd w:val="clear" w:color="auto" w:fill="FFFFFF"/>
        </w:rPr>
        <w:t>la Sala Plena ha sostenido que una proposición dejada simplemente como constancia en primer debate, no satisface el principio de consecutividad, pues las materias respecto de las cuales se exige con</w:t>
      </w:r>
      <w:r w:rsidRPr="00635A00">
        <w:rPr>
          <w:rFonts w:ascii="Times New Roman" w:hAnsi="Times New Roman" w:cs="Times New Roman"/>
          <w:b/>
          <w:bCs/>
          <w:sz w:val="28"/>
          <w:shd w:val="clear" w:color="auto" w:fill="FFFFFF"/>
        </w:rPr>
        <w:t>tinuidad deben haber sido debatidas y votadas en ambas instancias legislativas</w:t>
      </w:r>
      <w:r w:rsidRPr="00635A00">
        <w:rPr>
          <w:rFonts w:ascii="Times New Roman" w:hAnsi="Times New Roman" w:cs="Times New Roman"/>
          <w:sz w:val="28"/>
          <w:shd w:val="clear" w:color="auto" w:fill="FFFFFF"/>
        </w:rPr>
        <w:t xml:space="preserve"> (Art. 157 de la C.P.)” (énfasis propio). En consecuencia, cuando un congresista retira una proposición y la deja como constancia, no es posible entender que el asunto propuesto </w:t>
      </w:r>
      <w:r w:rsidRPr="00635A00">
        <w:rPr>
          <w:rFonts w:ascii="Times New Roman" w:hAnsi="Times New Roman" w:cs="Times New Roman"/>
          <w:sz w:val="28"/>
          <w:shd w:val="clear" w:color="auto" w:fill="FFFFFF"/>
        </w:rPr>
        <w:t>fue debatido y mucho menos votado por la célula legislativa en la cual se presentó la proposición retirada”</w:t>
      </w:r>
      <w:r w:rsidRPr="00635A00">
        <w:rPr>
          <w:rStyle w:val="Refdenotaalpie"/>
          <w:rFonts w:ascii="Times New Roman" w:hAnsi="Times New Roman" w:cs="Times New Roman"/>
          <w:sz w:val="28"/>
          <w:shd w:val="clear" w:color="auto" w:fill="FFFFFF"/>
        </w:rPr>
        <w:footnoteReference w:id="190"/>
      </w:r>
      <w:r w:rsidRPr="00635A00">
        <w:rPr>
          <w:rFonts w:ascii="Times New Roman" w:hAnsi="Times New Roman" w:cs="Times New Roman"/>
          <w:sz w:val="28"/>
          <w:shd w:val="clear" w:color="auto" w:fill="FFFFFF"/>
        </w:rPr>
        <w:t>.</w:t>
      </w:r>
    </w:p>
    <w:p w:rsidR="00571B7F" w:rsidRPr="00635A00" w:rsidRDefault="00635A00" w:rsidP="00571B7F">
      <w:pPr>
        <w:pStyle w:val="Sombreadovistoso-nfasis31"/>
        <w:ind w:left="0"/>
        <w:jc w:val="left"/>
        <w:rPr>
          <w:rFonts w:ascii="Times New Roman" w:hAnsi="Times New Roman" w:cs="Times New Roman"/>
          <w:bCs/>
          <w:color w:val="auto"/>
        </w:rPr>
      </w:pPr>
    </w:p>
    <w:p w:rsidR="005B2C7A" w:rsidRPr="00635A00" w:rsidRDefault="00635A00" w:rsidP="005B2C7A">
      <w:pPr>
        <w:pStyle w:val="Sombreadovistoso-nfasis31"/>
        <w:numPr>
          <w:ilvl w:val="0"/>
          <w:numId w:val="3"/>
        </w:numPr>
        <w:rPr>
          <w:rFonts w:ascii="Times New Roman" w:hAnsi="Times New Roman" w:cs="Times New Roman"/>
          <w:bCs/>
          <w:color w:val="auto"/>
        </w:rPr>
      </w:pPr>
      <w:r w:rsidRPr="00635A00">
        <w:rPr>
          <w:rFonts w:ascii="Times New Roman" w:hAnsi="Times New Roman" w:cs="Times New Roman"/>
          <w:bCs/>
          <w:color w:val="auto"/>
          <w:lang w:val="es-CO"/>
        </w:rPr>
        <w:t xml:space="preserve">En cuarto lugar, se procedió a la </w:t>
      </w:r>
      <w:r w:rsidRPr="00635A00">
        <w:rPr>
          <w:rFonts w:ascii="Times New Roman" w:hAnsi="Times New Roman" w:cs="Times New Roman"/>
          <w:bCs/>
          <w:color w:val="auto"/>
          <w:lang w:val="es-CO"/>
        </w:rPr>
        <w:t xml:space="preserve">discusión y </w:t>
      </w:r>
      <w:r w:rsidRPr="00635A00">
        <w:rPr>
          <w:rFonts w:ascii="Times New Roman" w:hAnsi="Times New Roman" w:cs="Times New Roman"/>
          <w:bCs/>
          <w:color w:val="auto"/>
          <w:lang w:val="es-CO"/>
        </w:rPr>
        <w:t>votación de un tercer bloque de artículos</w:t>
      </w:r>
      <w:r w:rsidRPr="00635A00">
        <w:rPr>
          <w:rStyle w:val="Refdenotaalpie"/>
          <w:rFonts w:ascii="Times New Roman" w:hAnsi="Times New Roman" w:cs="Times New Roman"/>
          <w:bCs/>
          <w:color w:val="auto"/>
          <w:lang w:val="es-CO"/>
        </w:rPr>
        <w:footnoteReference w:id="191"/>
      </w:r>
      <w:r w:rsidRPr="00635A00">
        <w:rPr>
          <w:rFonts w:ascii="Times New Roman" w:hAnsi="Times New Roman" w:cs="Times New Roman"/>
          <w:bCs/>
          <w:color w:val="auto"/>
          <w:lang w:val="es-CO"/>
        </w:rPr>
        <w:t xml:space="preserve"> que el informe de ponencia sugería eliminar</w:t>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Culminada esta votación, se </w:t>
      </w:r>
      <w:r w:rsidRPr="00635A00">
        <w:rPr>
          <w:rFonts w:ascii="Times New Roman" w:hAnsi="Times New Roman" w:cs="Times New Roman"/>
          <w:bCs/>
          <w:color w:val="auto"/>
          <w:lang w:val="es-CO"/>
        </w:rPr>
        <w:t>anunció</w:t>
      </w:r>
      <w:r w:rsidRPr="00635A00">
        <w:rPr>
          <w:rFonts w:ascii="Times New Roman" w:hAnsi="Times New Roman" w:cs="Times New Roman"/>
          <w:bCs/>
          <w:color w:val="auto"/>
          <w:lang w:val="es-CO"/>
        </w:rPr>
        <w:t xml:space="preserve"> la continuación del debate para el día siguiente</w:t>
      </w:r>
      <w:r w:rsidRPr="00635A00">
        <w:rPr>
          <w:rFonts w:ascii="Times New Roman" w:hAnsi="Times New Roman" w:cs="Times New Roman"/>
          <w:bCs/>
          <w:color w:val="auto"/>
          <w:lang w:val="es-CO"/>
        </w:rPr>
        <w:t xml:space="preserve"> y se levantó la sesión</w:t>
      </w:r>
      <w:r w:rsidRPr="00635A00">
        <w:rPr>
          <w:rStyle w:val="Refdenotaalpie"/>
          <w:rFonts w:ascii="Times New Roman" w:hAnsi="Times New Roman" w:cs="Times New Roman"/>
          <w:bCs/>
          <w:color w:val="auto"/>
          <w:lang w:val="es-CO"/>
        </w:rPr>
        <w:footnoteReference w:id="192"/>
      </w:r>
      <w:r w:rsidRPr="00635A00">
        <w:rPr>
          <w:rFonts w:ascii="Times New Roman" w:hAnsi="Times New Roman" w:cs="Times New Roman"/>
          <w:bCs/>
          <w:color w:val="auto"/>
          <w:lang w:val="es-CO"/>
        </w:rPr>
        <w:t>.</w:t>
      </w:r>
      <w:r w:rsidRPr="00635A00">
        <w:rPr>
          <w:rFonts w:ascii="Times New Roman" w:hAnsi="Times New Roman" w:cs="Times New Roman"/>
          <w:bCs/>
          <w:color w:val="auto"/>
          <w:lang w:val="es-CO"/>
        </w:rPr>
        <w:t xml:space="preserve"> </w:t>
      </w:r>
    </w:p>
    <w:p w:rsidR="007E4C2E" w:rsidRPr="00635A00" w:rsidRDefault="00635A00" w:rsidP="007E4C2E">
      <w:pPr>
        <w:pStyle w:val="Sombreadovistoso-nfasis31"/>
        <w:ind w:left="0"/>
        <w:rPr>
          <w:rFonts w:ascii="Times New Roman" w:hAnsi="Times New Roman" w:cs="Times New Roman"/>
          <w:bCs/>
          <w:color w:val="auto"/>
        </w:rPr>
      </w:pPr>
    </w:p>
    <w:p w:rsidR="00DD2510" w:rsidRPr="00635A00" w:rsidRDefault="00635A00" w:rsidP="00CB26DE">
      <w:pPr>
        <w:pStyle w:val="Sombreadovistoso-nfasis31"/>
        <w:numPr>
          <w:ilvl w:val="0"/>
          <w:numId w:val="3"/>
        </w:numPr>
        <w:rPr>
          <w:rFonts w:ascii="Times New Roman" w:hAnsi="Times New Roman" w:cs="Times New Roman"/>
          <w:bCs/>
          <w:color w:val="auto"/>
        </w:rPr>
      </w:pPr>
      <w:r w:rsidRPr="00635A00">
        <w:rPr>
          <w:rFonts w:ascii="Times New Roman" w:hAnsi="Times New Roman" w:cs="Times New Roman"/>
          <w:b/>
          <w:bCs/>
          <w:color w:val="auto"/>
        </w:rPr>
        <w:t xml:space="preserve">Sesión </w:t>
      </w:r>
      <w:r w:rsidRPr="00635A00">
        <w:rPr>
          <w:rFonts w:ascii="Times New Roman" w:hAnsi="Times New Roman" w:cs="Times New Roman"/>
          <w:b/>
          <w:bCs/>
          <w:color w:val="auto"/>
        </w:rPr>
        <w:t xml:space="preserve">del </w:t>
      </w:r>
      <w:r w:rsidRPr="00635A00">
        <w:rPr>
          <w:rFonts w:ascii="Times New Roman" w:hAnsi="Times New Roman" w:cs="Times New Roman"/>
          <w:b/>
          <w:bCs/>
          <w:color w:val="auto"/>
        </w:rPr>
        <w:t>22 marzo</w:t>
      </w:r>
      <w:r w:rsidRPr="00635A00">
        <w:rPr>
          <w:rFonts w:ascii="Times New Roman" w:hAnsi="Times New Roman" w:cs="Times New Roman"/>
          <w:b/>
          <w:bCs/>
          <w:color w:val="auto"/>
        </w:rPr>
        <w:t xml:space="preserve"> de 2023</w:t>
      </w:r>
      <w:r w:rsidRPr="00635A00">
        <w:rPr>
          <w:rStyle w:val="Refdenotaalpie"/>
          <w:rFonts w:ascii="Times New Roman" w:hAnsi="Times New Roman" w:cs="Times New Roman"/>
          <w:bCs/>
          <w:color w:val="auto"/>
        </w:rPr>
        <w:footnoteReference w:id="193"/>
      </w:r>
      <w:r w:rsidRPr="00635A00">
        <w:rPr>
          <w:rFonts w:ascii="Times New Roman" w:hAnsi="Times New Roman" w:cs="Times New Roman"/>
          <w:color w:val="auto"/>
        </w:rPr>
        <w:t xml:space="preserve">. En esta sesión se continuó con la </w:t>
      </w:r>
      <w:r w:rsidRPr="00635A00">
        <w:rPr>
          <w:rFonts w:ascii="Times New Roman" w:hAnsi="Times New Roman" w:cs="Times New Roman"/>
          <w:color w:val="auto"/>
        </w:rPr>
        <w:t xml:space="preserve">discusión y </w:t>
      </w:r>
      <w:r w:rsidRPr="00635A00">
        <w:rPr>
          <w:rFonts w:ascii="Times New Roman" w:hAnsi="Times New Roman" w:cs="Times New Roman"/>
          <w:color w:val="auto"/>
        </w:rPr>
        <w:t xml:space="preserve">votación de los artículos del proyecto de ley agrupados por bloques. </w:t>
      </w:r>
      <w:r w:rsidRPr="00635A00">
        <w:rPr>
          <w:rFonts w:ascii="Times New Roman" w:hAnsi="Times New Roman" w:cs="Times New Roman"/>
          <w:color w:val="auto"/>
        </w:rPr>
        <w:t>Primero</w:t>
      </w:r>
      <w:r w:rsidRPr="00635A00">
        <w:rPr>
          <w:rFonts w:ascii="Times New Roman" w:hAnsi="Times New Roman" w:cs="Times New Roman"/>
          <w:color w:val="auto"/>
        </w:rPr>
        <w:t xml:space="preserve"> se procedió con un primer bloque de artículos</w:t>
      </w:r>
      <w:r w:rsidRPr="00635A00">
        <w:rPr>
          <w:rStyle w:val="Refdenotaalpie"/>
          <w:rFonts w:ascii="Times New Roman" w:hAnsi="Times New Roman" w:cs="Times New Roman"/>
          <w:color w:val="auto"/>
        </w:rPr>
        <w:footnoteReference w:id="194"/>
      </w:r>
      <w:r w:rsidRPr="00635A00">
        <w:rPr>
          <w:rFonts w:ascii="Times New Roman" w:hAnsi="Times New Roman" w:cs="Times New Roman"/>
          <w:color w:val="auto"/>
        </w:rPr>
        <w:t xml:space="preserve"> que tenían proposiciones que quedaron como constancias para estudio de los coordinadores y ponentes</w:t>
      </w:r>
      <w:r w:rsidRPr="00635A00">
        <w:rPr>
          <w:rStyle w:val="Refdenotaalpie"/>
          <w:rFonts w:ascii="Times New Roman" w:hAnsi="Times New Roman" w:cs="Times New Roman"/>
          <w:color w:val="auto"/>
        </w:rPr>
        <w:footnoteReference w:id="195"/>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Luego</w:t>
      </w:r>
      <w:r w:rsidRPr="00635A00">
        <w:rPr>
          <w:rFonts w:ascii="Times New Roman" w:hAnsi="Times New Roman" w:cs="Times New Roman"/>
          <w:color w:val="auto"/>
        </w:rPr>
        <w:t xml:space="preserve"> se </w:t>
      </w:r>
      <w:r w:rsidRPr="00635A00">
        <w:rPr>
          <w:rFonts w:ascii="Times New Roman" w:hAnsi="Times New Roman" w:cs="Times New Roman"/>
          <w:color w:val="auto"/>
        </w:rPr>
        <w:t>discutió y</w:t>
      </w:r>
      <w:r w:rsidRPr="00635A00">
        <w:rPr>
          <w:rFonts w:ascii="Times New Roman" w:hAnsi="Times New Roman" w:cs="Times New Roman"/>
          <w:color w:val="auto"/>
        </w:rPr>
        <w:t xml:space="preserve"> </w:t>
      </w:r>
      <w:r w:rsidRPr="00635A00">
        <w:rPr>
          <w:rFonts w:ascii="Times New Roman" w:hAnsi="Times New Roman" w:cs="Times New Roman"/>
          <w:color w:val="auto"/>
        </w:rPr>
        <w:t>votó</w:t>
      </w:r>
      <w:r w:rsidRPr="00635A00">
        <w:rPr>
          <w:rFonts w:ascii="Times New Roman" w:hAnsi="Times New Roman" w:cs="Times New Roman"/>
          <w:color w:val="auto"/>
        </w:rPr>
        <w:t xml:space="preserve"> un bl</w:t>
      </w:r>
      <w:r w:rsidRPr="00635A00">
        <w:rPr>
          <w:rFonts w:ascii="Times New Roman" w:hAnsi="Times New Roman" w:cs="Times New Roman"/>
          <w:color w:val="auto"/>
        </w:rPr>
        <w:t>oque de artículos</w:t>
      </w:r>
      <w:r w:rsidRPr="00635A00">
        <w:rPr>
          <w:rStyle w:val="Refdenotaalpie"/>
          <w:rFonts w:ascii="Times New Roman" w:hAnsi="Times New Roman" w:cs="Times New Roman"/>
          <w:color w:val="auto"/>
        </w:rPr>
        <w:footnoteReference w:id="196"/>
      </w:r>
      <w:r w:rsidRPr="00635A00">
        <w:rPr>
          <w:rFonts w:ascii="Times New Roman" w:hAnsi="Times New Roman" w:cs="Times New Roman"/>
          <w:color w:val="auto"/>
        </w:rPr>
        <w:t xml:space="preserve"> relacionados con leyes orgánicas</w:t>
      </w:r>
      <w:r w:rsidRPr="00635A00">
        <w:rPr>
          <w:rStyle w:val="Refdenotaalpie"/>
          <w:rFonts w:ascii="Times New Roman" w:hAnsi="Times New Roman" w:cs="Times New Roman"/>
          <w:color w:val="auto"/>
        </w:rPr>
        <w:footnoteReference w:id="197"/>
      </w:r>
      <w:r w:rsidRPr="00635A00">
        <w:rPr>
          <w:rFonts w:ascii="Times New Roman" w:hAnsi="Times New Roman" w:cs="Times New Roman"/>
          <w:color w:val="auto"/>
        </w:rPr>
        <w:t xml:space="preserve">. </w:t>
      </w:r>
      <w:r w:rsidRPr="00635A00">
        <w:rPr>
          <w:rFonts w:ascii="Times New Roman" w:hAnsi="Times New Roman" w:cs="Times New Roman"/>
          <w:color w:val="auto"/>
        </w:rPr>
        <w:t>Acto seguido, se procedió de igual forma con un bloque de artículos</w:t>
      </w:r>
      <w:r w:rsidRPr="00635A00">
        <w:rPr>
          <w:rStyle w:val="Refdenotaalpie"/>
          <w:rFonts w:ascii="Times New Roman" w:hAnsi="Times New Roman" w:cs="Times New Roman"/>
          <w:color w:val="auto"/>
        </w:rPr>
        <w:footnoteReference w:id="198"/>
      </w:r>
      <w:r w:rsidRPr="00635A00">
        <w:rPr>
          <w:rFonts w:ascii="Times New Roman" w:hAnsi="Times New Roman" w:cs="Times New Roman"/>
          <w:color w:val="auto"/>
        </w:rPr>
        <w:t xml:space="preserve"> referidos a fondos </w:t>
      </w:r>
      <w:r w:rsidRPr="00635A00">
        <w:rPr>
          <w:rFonts w:ascii="Times New Roman" w:hAnsi="Times New Roman" w:cs="Times New Roman"/>
          <w:color w:val="auto"/>
        </w:rPr>
        <w:t>especiales</w:t>
      </w:r>
      <w:r w:rsidRPr="00635A00">
        <w:rPr>
          <w:rStyle w:val="Refdenotaalpie"/>
          <w:rFonts w:ascii="Times New Roman" w:hAnsi="Times New Roman" w:cs="Times New Roman"/>
          <w:color w:val="auto"/>
        </w:rPr>
        <w:footnoteReference w:id="199"/>
      </w:r>
      <w:r w:rsidRPr="00635A00">
        <w:rPr>
          <w:rFonts w:ascii="Times New Roman" w:hAnsi="Times New Roman" w:cs="Times New Roman"/>
          <w:color w:val="auto"/>
        </w:rPr>
        <w:t>.</w:t>
      </w:r>
      <w:r w:rsidRPr="00635A00">
        <w:rPr>
          <w:rFonts w:ascii="Times New Roman" w:hAnsi="Times New Roman" w:cs="Times New Roman"/>
          <w:color w:val="auto"/>
        </w:rPr>
        <w:t xml:space="preserve"> </w:t>
      </w:r>
      <w:r w:rsidRPr="00635A00">
        <w:rPr>
          <w:rFonts w:ascii="Times New Roman" w:hAnsi="Times New Roman" w:cs="Times New Roman"/>
          <w:color w:val="auto"/>
        </w:rPr>
        <w:t>Por último, se surtió la discusión y votación de un bloque de artículos</w:t>
      </w:r>
      <w:r w:rsidRPr="00635A00">
        <w:rPr>
          <w:rStyle w:val="Refdenotaalpie"/>
          <w:rFonts w:ascii="Times New Roman" w:hAnsi="Times New Roman" w:cs="Times New Roman"/>
          <w:color w:val="auto"/>
        </w:rPr>
        <w:footnoteReference w:id="200"/>
      </w:r>
      <w:r w:rsidRPr="00635A00">
        <w:rPr>
          <w:rFonts w:ascii="Times New Roman" w:hAnsi="Times New Roman" w:cs="Times New Roman"/>
          <w:color w:val="auto"/>
        </w:rPr>
        <w:t xml:space="preserve"> sobre facultades extraordina</w:t>
      </w:r>
      <w:r w:rsidRPr="00635A00">
        <w:rPr>
          <w:rFonts w:ascii="Times New Roman" w:hAnsi="Times New Roman" w:cs="Times New Roman"/>
          <w:color w:val="auto"/>
        </w:rPr>
        <w:t>rias al presidente de la República</w:t>
      </w:r>
      <w:r w:rsidRPr="00635A00">
        <w:rPr>
          <w:rStyle w:val="Refdenotaalpie"/>
          <w:rFonts w:ascii="Times New Roman" w:hAnsi="Times New Roman" w:cs="Times New Roman"/>
          <w:color w:val="auto"/>
        </w:rPr>
        <w:footnoteReference w:id="201"/>
      </w:r>
      <w:r w:rsidRPr="00635A00">
        <w:rPr>
          <w:rFonts w:ascii="Times New Roman" w:hAnsi="Times New Roman" w:cs="Times New Roman"/>
          <w:color w:val="auto"/>
        </w:rPr>
        <w:t>.</w:t>
      </w:r>
      <w:r w:rsidRPr="00635A00">
        <w:rPr>
          <w:rFonts w:ascii="Times New Roman" w:hAnsi="Times New Roman" w:cs="Times New Roman"/>
          <w:color w:val="auto"/>
        </w:rPr>
        <w:t xml:space="preserve"> Al término de esta votación, se anunció la continuación del debate para el día siguiente y se levantó la sesión.</w:t>
      </w:r>
      <w:r w:rsidRPr="00635A00">
        <w:rPr>
          <w:rFonts w:ascii="Times New Roman" w:hAnsi="Times New Roman" w:cs="Times New Roman"/>
          <w:color w:val="auto"/>
        </w:rPr>
        <w:t xml:space="preserve"> Ninguno de los temas tratados en esta sesión tenía que ver con medidas para mejorar el acceso y formalizac</w:t>
      </w:r>
      <w:r w:rsidRPr="00635A00">
        <w:rPr>
          <w:rFonts w:ascii="Times New Roman" w:hAnsi="Times New Roman" w:cs="Times New Roman"/>
          <w:color w:val="auto"/>
        </w:rPr>
        <w:t>ión de la propiedad rural.</w:t>
      </w:r>
    </w:p>
    <w:p w:rsidR="00257FDE" w:rsidRPr="00635A00" w:rsidRDefault="00635A00" w:rsidP="00257FDE">
      <w:pPr>
        <w:pStyle w:val="Prrafodelista"/>
        <w:rPr>
          <w:rFonts w:ascii="Times New Roman" w:hAnsi="Times New Roman" w:cs="Times New Roman"/>
          <w:bCs/>
          <w:color w:val="auto"/>
        </w:rPr>
      </w:pPr>
    </w:p>
    <w:p w:rsidR="00AF3627" w:rsidRPr="00635A00" w:rsidRDefault="00635A00" w:rsidP="00A376FB">
      <w:pPr>
        <w:pStyle w:val="Sombreadovistoso-nfasis31"/>
        <w:numPr>
          <w:ilvl w:val="0"/>
          <w:numId w:val="3"/>
        </w:numPr>
        <w:rPr>
          <w:rFonts w:ascii="Times New Roman" w:hAnsi="Times New Roman" w:cs="Times New Roman"/>
          <w:b/>
          <w:bCs/>
          <w:color w:val="auto"/>
        </w:rPr>
      </w:pPr>
      <w:r w:rsidRPr="00635A00">
        <w:rPr>
          <w:rFonts w:ascii="Times New Roman" w:hAnsi="Times New Roman" w:cs="Times New Roman"/>
          <w:b/>
          <w:bCs/>
          <w:color w:val="auto"/>
        </w:rPr>
        <w:t xml:space="preserve">Sesión </w:t>
      </w:r>
      <w:r w:rsidRPr="00635A00">
        <w:rPr>
          <w:rFonts w:ascii="Times New Roman" w:hAnsi="Times New Roman" w:cs="Times New Roman"/>
          <w:b/>
          <w:bCs/>
          <w:color w:val="auto"/>
        </w:rPr>
        <w:t xml:space="preserve">del </w:t>
      </w:r>
      <w:r w:rsidRPr="00635A00">
        <w:rPr>
          <w:rFonts w:ascii="Times New Roman" w:hAnsi="Times New Roman" w:cs="Times New Roman"/>
          <w:b/>
          <w:bCs/>
          <w:color w:val="auto"/>
        </w:rPr>
        <w:t>23 marzo de 2023</w:t>
      </w:r>
      <w:r w:rsidRPr="00635A00">
        <w:rPr>
          <w:rStyle w:val="Refdenotaalpie"/>
          <w:rFonts w:ascii="Times New Roman" w:hAnsi="Times New Roman" w:cs="Times New Roman"/>
          <w:bCs/>
          <w:color w:val="auto"/>
        </w:rPr>
        <w:footnoteReference w:id="202"/>
      </w:r>
      <w:r w:rsidRPr="00635A00">
        <w:rPr>
          <w:rFonts w:ascii="Times New Roman" w:hAnsi="Times New Roman" w:cs="Times New Roman"/>
          <w:color w:val="auto"/>
        </w:rPr>
        <w:t>.</w:t>
      </w:r>
      <w:r w:rsidRPr="00635A00">
        <w:rPr>
          <w:rFonts w:ascii="Times New Roman" w:hAnsi="Times New Roman" w:cs="Times New Roman"/>
          <w:b/>
          <w:bCs/>
          <w:color w:val="auto"/>
        </w:rPr>
        <w:t xml:space="preserve"> </w:t>
      </w:r>
      <w:r w:rsidRPr="00635A00">
        <w:rPr>
          <w:rFonts w:ascii="Times New Roman" w:hAnsi="Times New Roman" w:cs="Times New Roman"/>
          <w:color w:val="auto"/>
        </w:rPr>
        <w:t>Esta sesión inició con la decisión sobre un impedimento manifestado por la senadora Claudia María Pérez Giraldo</w:t>
      </w:r>
      <w:r w:rsidRPr="00635A00">
        <w:rPr>
          <w:rStyle w:val="Refdenotaalpie"/>
          <w:rFonts w:ascii="Times New Roman" w:hAnsi="Times New Roman" w:cs="Times New Roman"/>
          <w:color w:val="auto"/>
        </w:rPr>
        <w:footnoteReference w:id="203"/>
      </w:r>
      <w:r w:rsidRPr="00635A00">
        <w:rPr>
          <w:rFonts w:ascii="Times New Roman" w:hAnsi="Times New Roman" w:cs="Times New Roman"/>
          <w:color w:val="auto"/>
        </w:rPr>
        <w:t xml:space="preserve">. </w:t>
      </w:r>
      <w:r w:rsidRPr="00635A00">
        <w:rPr>
          <w:rFonts w:ascii="Times New Roman" w:hAnsi="Times New Roman" w:cs="Times New Roman"/>
          <w:color w:val="auto"/>
        </w:rPr>
        <w:t>Posteriormente</w:t>
      </w:r>
      <w:r w:rsidRPr="00635A00">
        <w:rPr>
          <w:rFonts w:ascii="Times New Roman" w:hAnsi="Times New Roman" w:cs="Times New Roman"/>
          <w:color w:val="auto"/>
        </w:rPr>
        <w:t xml:space="preserve"> se continuó con la discusión y votación de varios artículos relacionados con fondos especiales</w:t>
      </w:r>
      <w:r w:rsidRPr="00635A00">
        <w:rPr>
          <w:rStyle w:val="Refdenotaalpie"/>
          <w:rFonts w:ascii="Times New Roman" w:hAnsi="Times New Roman" w:cs="Times New Roman"/>
          <w:color w:val="auto"/>
        </w:rPr>
        <w:footnoteReference w:id="204"/>
      </w:r>
      <w:r w:rsidRPr="00635A00">
        <w:rPr>
          <w:rFonts w:ascii="Times New Roman" w:hAnsi="Times New Roman" w:cs="Times New Roman"/>
          <w:color w:val="auto"/>
        </w:rPr>
        <w:t>, facultades extraordinarias al presidente</w:t>
      </w:r>
      <w:r w:rsidRPr="00635A00">
        <w:rPr>
          <w:rStyle w:val="Refdenotaalpie"/>
          <w:rFonts w:ascii="Times New Roman" w:hAnsi="Times New Roman" w:cs="Times New Roman"/>
          <w:color w:val="auto"/>
        </w:rPr>
        <w:footnoteReference w:id="205"/>
      </w:r>
      <w:r w:rsidRPr="00635A00">
        <w:rPr>
          <w:rFonts w:ascii="Times New Roman" w:hAnsi="Times New Roman" w:cs="Times New Roman"/>
          <w:color w:val="auto"/>
        </w:rPr>
        <w:t xml:space="preserve"> y vigencias y derogatorias</w:t>
      </w:r>
      <w:r w:rsidRPr="00635A00">
        <w:rPr>
          <w:rStyle w:val="Refdenotaalpie"/>
          <w:rFonts w:ascii="Times New Roman" w:hAnsi="Times New Roman" w:cs="Times New Roman"/>
          <w:color w:val="auto"/>
        </w:rPr>
        <w:footnoteReference w:id="206"/>
      </w:r>
      <w:r w:rsidRPr="00635A00">
        <w:rPr>
          <w:rFonts w:ascii="Times New Roman" w:hAnsi="Times New Roman" w:cs="Times New Roman"/>
          <w:color w:val="auto"/>
        </w:rPr>
        <w:t>. Por último, se votó el título del proyecto y su tránsito a segundo debate</w:t>
      </w:r>
      <w:r w:rsidRPr="00635A00">
        <w:rPr>
          <w:rStyle w:val="Refdenotaalpie"/>
          <w:rFonts w:ascii="Times New Roman" w:hAnsi="Times New Roman" w:cs="Times New Roman"/>
          <w:color w:val="auto"/>
        </w:rPr>
        <w:footnoteReference w:id="207"/>
      </w:r>
      <w:r w:rsidRPr="00635A00">
        <w:rPr>
          <w:rFonts w:ascii="Times New Roman" w:hAnsi="Times New Roman" w:cs="Times New Roman"/>
          <w:color w:val="auto"/>
        </w:rPr>
        <w:t>, y, tras una</w:t>
      </w:r>
      <w:r w:rsidRPr="00635A00">
        <w:rPr>
          <w:rFonts w:ascii="Times New Roman" w:hAnsi="Times New Roman" w:cs="Times New Roman"/>
          <w:color w:val="auto"/>
        </w:rPr>
        <w:t>s manifestaciones de felicitación y agradecimiento por algunos congresistas y miembros del Gobierno nacional, se dio por terminada la sesión.</w:t>
      </w:r>
      <w:r w:rsidRPr="00635A00">
        <w:rPr>
          <w:rFonts w:ascii="Times New Roman" w:hAnsi="Times New Roman" w:cs="Times New Roman"/>
          <w:color w:val="auto"/>
        </w:rPr>
        <w:t xml:space="preserve"> Ninguno de los temas tratados en esta sesión tenía que ver con medidas para mejorar el acceso y formalización de l</w:t>
      </w:r>
      <w:r w:rsidRPr="00635A00">
        <w:rPr>
          <w:rFonts w:ascii="Times New Roman" w:hAnsi="Times New Roman" w:cs="Times New Roman"/>
          <w:color w:val="auto"/>
        </w:rPr>
        <w:t>a propiedad rural.</w:t>
      </w:r>
    </w:p>
    <w:p w:rsidR="00247FAB" w:rsidRPr="00635A00" w:rsidRDefault="00635A00" w:rsidP="00247FAB">
      <w:pPr>
        <w:pStyle w:val="Prrafodelista"/>
        <w:rPr>
          <w:rFonts w:ascii="Times New Roman" w:hAnsi="Times New Roman" w:cs="Times New Roman"/>
          <w:b/>
          <w:bCs/>
          <w:color w:val="auto"/>
        </w:rPr>
      </w:pPr>
    </w:p>
    <w:p w:rsidR="00E46DD4"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Con base en lo expuesto</w:t>
      </w:r>
      <w:r w:rsidRPr="00635A00">
        <w:rPr>
          <w:rFonts w:ascii="Times New Roman" w:hAnsi="Times New Roman" w:cs="Times New Roman"/>
          <w:color w:val="auto"/>
        </w:rPr>
        <w:t xml:space="preserve">, para la Sala es claro que durante </w:t>
      </w:r>
      <w:r w:rsidRPr="00635A00">
        <w:rPr>
          <w:rFonts w:ascii="Times New Roman" w:hAnsi="Times New Roman" w:cs="Times New Roman"/>
          <w:color w:val="auto"/>
        </w:rPr>
        <w:t xml:space="preserve">el </w:t>
      </w:r>
      <w:r w:rsidRPr="00635A00">
        <w:rPr>
          <w:rFonts w:ascii="Times New Roman" w:hAnsi="Times New Roman" w:cs="Times New Roman"/>
          <w:color w:val="auto"/>
        </w:rPr>
        <w:t>primer debate</w:t>
      </w:r>
      <w:r w:rsidRPr="00635A00">
        <w:rPr>
          <w:rFonts w:ascii="Times New Roman" w:hAnsi="Times New Roman" w:cs="Times New Roman"/>
          <w:color w:val="auto"/>
        </w:rPr>
        <w:t xml:space="preserve"> no se deliberó sobre </w:t>
      </w:r>
      <w:r w:rsidRPr="00635A00">
        <w:rPr>
          <w:rFonts w:ascii="Times New Roman" w:hAnsi="Times New Roman" w:cs="Times New Roman"/>
          <w:color w:val="auto"/>
        </w:rPr>
        <w:t xml:space="preserve">medidas para mejorar el </w:t>
      </w:r>
      <w:r w:rsidRPr="00635A00">
        <w:rPr>
          <w:rFonts w:ascii="Times New Roman" w:hAnsi="Times New Roman" w:cs="Times New Roman"/>
          <w:color w:val="auto"/>
        </w:rPr>
        <w:t>acceso y formalización de la propiedad rural, ni mucho menos se consideró</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la </w:t>
      </w:r>
      <w:r w:rsidRPr="00635A00">
        <w:rPr>
          <w:rFonts w:ascii="Times New Roman" w:hAnsi="Times New Roman" w:cs="Times New Roman"/>
          <w:color w:val="auto"/>
        </w:rPr>
        <w:t xml:space="preserve">supresión </w:t>
      </w:r>
      <w:r w:rsidRPr="00635A00">
        <w:rPr>
          <w:rFonts w:ascii="Times New Roman" w:hAnsi="Times New Roman" w:cs="Times New Roman"/>
          <w:color w:val="auto"/>
        </w:rPr>
        <w:t xml:space="preserve">de </w:t>
      </w:r>
      <w:r w:rsidRPr="00635A00">
        <w:rPr>
          <w:rFonts w:ascii="Times New Roman" w:hAnsi="Times New Roman" w:cs="Times New Roman"/>
          <w:color w:val="auto"/>
        </w:rPr>
        <w:t xml:space="preserve">la </w:t>
      </w:r>
      <w:r w:rsidRPr="00635A00">
        <w:rPr>
          <w:rFonts w:ascii="Times New Roman" w:hAnsi="Times New Roman" w:cs="Times New Roman"/>
          <w:color w:val="auto"/>
        </w:rPr>
        <w:t xml:space="preserve">fase judicial </w:t>
      </w:r>
      <w:r w:rsidRPr="00635A00">
        <w:rPr>
          <w:rFonts w:ascii="Times New Roman" w:hAnsi="Times New Roman" w:cs="Times New Roman"/>
          <w:color w:val="auto"/>
        </w:rPr>
        <w:t xml:space="preserve">del procedimiento único regulado por el Decreto Ley 902 </w:t>
      </w:r>
      <w:r w:rsidRPr="00635A00">
        <w:rPr>
          <w:rFonts w:ascii="Times New Roman" w:hAnsi="Times New Roman" w:cs="Times New Roman"/>
          <w:color w:val="auto"/>
        </w:rPr>
        <w:t xml:space="preserve">para ciertos trámites, </w:t>
      </w:r>
      <w:r w:rsidRPr="00635A00">
        <w:rPr>
          <w:rFonts w:ascii="Times New Roman" w:hAnsi="Times New Roman" w:cs="Times New Roman"/>
          <w:color w:val="auto"/>
        </w:rPr>
        <w:t xml:space="preserve">con el fin de que </w:t>
      </w:r>
      <w:r w:rsidRPr="00635A00">
        <w:rPr>
          <w:rFonts w:ascii="Times New Roman" w:hAnsi="Times New Roman" w:cs="Times New Roman"/>
          <w:color w:val="auto"/>
        </w:rPr>
        <w:t xml:space="preserve">la ANT pudiese decidir de fondo sobre estos asuntos </w:t>
      </w:r>
      <w:r w:rsidRPr="00635A00">
        <w:rPr>
          <w:rFonts w:ascii="Times New Roman" w:hAnsi="Times New Roman" w:cs="Times New Roman"/>
          <w:color w:val="auto"/>
        </w:rPr>
        <w:t>en el marco de una actuación puramente administrativa</w:t>
      </w:r>
      <w:r w:rsidRPr="00635A00">
        <w:rPr>
          <w:rFonts w:ascii="Times New Roman" w:hAnsi="Times New Roman" w:cs="Times New Roman"/>
          <w:color w:val="auto"/>
        </w:rPr>
        <w:t>.</w:t>
      </w:r>
      <w:r w:rsidRPr="00635A00">
        <w:rPr>
          <w:rFonts w:ascii="Times New Roman" w:hAnsi="Times New Roman" w:cs="Times New Roman"/>
          <w:color w:val="auto"/>
        </w:rPr>
        <w:t xml:space="preserve"> Tampoco se trató la posibilidad de derogar algunas d</w:t>
      </w:r>
      <w:r w:rsidRPr="00635A00">
        <w:rPr>
          <w:rFonts w:ascii="Times New Roman" w:hAnsi="Times New Roman" w:cs="Times New Roman"/>
          <w:color w:val="auto"/>
        </w:rPr>
        <w:t>isposiciones del mencionado Decreto Ley 902.</w:t>
      </w:r>
    </w:p>
    <w:p w:rsidR="005B2C7A" w:rsidRPr="00635A00" w:rsidRDefault="00635A00" w:rsidP="00CB26DE">
      <w:pPr>
        <w:rPr>
          <w:rFonts w:ascii="Times New Roman" w:hAnsi="Times New Roman" w:cs="Times New Roman"/>
          <w:sz w:val="28"/>
          <w:szCs w:val="28"/>
          <w:lang w:val="es-ES"/>
        </w:rPr>
      </w:pPr>
    </w:p>
    <w:p w:rsidR="00CB26DE" w:rsidRPr="00635A00" w:rsidRDefault="00635A00" w:rsidP="00A376FB">
      <w:pPr>
        <w:pStyle w:val="Sombreadovistoso-nfasis31"/>
        <w:numPr>
          <w:ilvl w:val="0"/>
          <w:numId w:val="3"/>
        </w:numPr>
        <w:rPr>
          <w:rFonts w:ascii="Times New Roman" w:hAnsi="Times New Roman" w:cs="Times New Roman"/>
          <w:b/>
          <w:bCs/>
          <w:color w:val="auto"/>
        </w:rPr>
      </w:pPr>
      <w:r w:rsidRPr="00635A00">
        <w:rPr>
          <w:rFonts w:ascii="Times New Roman" w:hAnsi="Times New Roman" w:cs="Times New Roman"/>
          <w:color w:val="auto"/>
        </w:rPr>
        <w:t xml:space="preserve">Además, los contenidos de las normas demandadas no tienen cercanía temática con los asuntos deliberados en primer debate. </w:t>
      </w:r>
      <w:r w:rsidRPr="00635A00">
        <w:rPr>
          <w:rFonts w:ascii="Times New Roman" w:hAnsi="Times New Roman" w:cs="Times New Roman"/>
          <w:color w:val="auto"/>
        </w:rPr>
        <w:t>Durante el primer debate no solo no se trat</w:t>
      </w:r>
      <w:r w:rsidRPr="00635A00">
        <w:rPr>
          <w:rFonts w:ascii="Times New Roman" w:hAnsi="Times New Roman" w:cs="Times New Roman"/>
          <w:color w:val="auto"/>
        </w:rPr>
        <w:t>aron</w:t>
      </w:r>
      <w:r w:rsidRPr="00635A00">
        <w:rPr>
          <w:rFonts w:ascii="Times New Roman" w:hAnsi="Times New Roman" w:cs="Times New Roman"/>
          <w:color w:val="auto"/>
        </w:rPr>
        <w:t xml:space="preserve"> específicamente la supresión de la fase </w:t>
      </w:r>
      <w:r w:rsidRPr="00635A00">
        <w:rPr>
          <w:rFonts w:ascii="Times New Roman" w:hAnsi="Times New Roman" w:cs="Times New Roman"/>
          <w:color w:val="auto"/>
        </w:rPr>
        <w:t>judicial del procedimiento único regulado por Decreto Ley 902 para ciertos trámites agrarios</w:t>
      </w:r>
      <w:r w:rsidRPr="00635A00">
        <w:rPr>
          <w:rFonts w:ascii="Times New Roman" w:hAnsi="Times New Roman" w:cs="Times New Roman"/>
          <w:color w:val="auto"/>
        </w:rPr>
        <w:t xml:space="preserve"> </w:t>
      </w:r>
      <w:r w:rsidRPr="00635A00">
        <w:rPr>
          <w:rFonts w:ascii="Times New Roman" w:hAnsi="Times New Roman" w:cs="Times New Roman"/>
          <w:color w:val="auto"/>
        </w:rPr>
        <w:t>ni</w:t>
      </w:r>
      <w:r w:rsidRPr="00635A00">
        <w:rPr>
          <w:rFonts w:ascii="Times New Roman" w:hAnsi="Times New Roman" w:cs="Times New Roman"/>
          <w:color w:val="auto"/>
        </w:rPr>
        <w:t xml:space="preserve"> la derogatoria de algunas de </w:t>
      </w:r>
      <w:r w:rsidRPr="00635A00">
        <w:rPr>
          <w:rFonts w:ascii="Times New Roman" w:hAnsi="Times New Roman" w:cs="Times New Roman"/>
          <w:color w:val="auto"/>
        </w:rPr>
        <w:t>las</w:t>
      </w:r>
      <w:r w:rsidRPr="00635A00">
        <w:rPr>
          <w:rFonts w:ascii="Times New Roman" w:hAnsi="Times New Roman" w:cs="Times New Roman"/>
          <w:color w:val="auto"/>
        </w:rPr>
        <w:t xml:space="preserve"> disposiciones</w:t>
      </w:r>
      <w:r w:rsidRPr="00635A00">
        <w:rPr>
          <w:rFonts w:ascii="Times New Roman" w:hAnsi="Times New Roman" w:cs="Times New Roman"/>
          <w:color w:val="auto"/>
        </w:rPr>
        <w:t xml:space="preserve"> de dicha normatividad</w:t>
      </w:r>
      <w:r w:rsidRPr="00635A00">
        <w:rPr>
          <w:rFonts w:ascii="Times New Roman" w:hAnsi="Times New Roman" w:cs="Times New Roman"/>
          <w:color w:val="auto"/>
        </w:rPr>
        <w:t>,</w:t>
      </w:r>
      <w:r w:rsidRPr="00635A00">
        <w:rPr>
          <w:rFonts w:ascii="Times New Roman" w:hAnsi="Times New Roman" w:cs="Times New Roman"/>
          <w:color w:val="auto"/>
        </w:rPr>
        <w:t xml:space="preserve"> sino que esta</w:t>
      </w:r>
      <w:r w:rsidRPr="00635A00">
        <w:rPr>
          <w:rFonts w:ascii="Times New Roman" w:hAnsi="Times New Roman" w:cs="Times New Roman"/>
          <w:color w:val="auto"/>
        </w:rPr>
        <w:t>s</w:t>
      </w:r>
      <w:r w:rsidRPr="00635A00">
        <w:rPr>
          <w:rFonts w:ascii="Times New Roman" w:hAnsi="Times New Roman" w:cs="Times New Roman"/>
          <w:color w:val="auto"/>
        </w:rPr>
        <w:t xml:space="preserve"> medida</w:t>
      </w:r>
      <w:r w:rsidRPr="00635A00">
        <w:rPr>
          <w:rFonts w:ascii="Times New Roman" w:hAnsi="Times New Roman" w:cs="Times New Roman"/>
          <w:color w:val="auto"/>
        </w:rPr>
        <w:t>s</w:t>
      </w:r>
      <w:r w:rsidRPr="00635A00">
        <w:rPr>
          <w:rFonts w:ascii="Times New Roman" w:hAnsi="Times New Roman" w:cs="Times New Roman"/>
          <w:color w:val="auto"/>
        </w:rPr>
        <w:t xml:space="preserve"> no tiene</w:t>
      </w:r>
      <w:r w:rsidRPr="00635A00">
        <w:rPr>
          <w:rFonts w:ascii="Times New Roman" w:hAnsi="Times New Roman" w:cs="Times New Roman"/>
          <w:color w:val="auto"/>
        </w:rPr>
        <w:t>n</w:t>
      </w:r>
      <w:r w:rsidRPr="00635A00">
        <w:rPr>
          <w:rFonts w:ascii="Times New Roman" w:hAnsi="Times New Roman" w:cs="Times New Roman"/>
          <w:color w:val="auto"/>
        </w:rPr>
        <w:t xml:space="preserve"> una relación de conexidad con los temas discutidos en esa instancia. </w:t>
      </w:r>
      <w:r w:rsidRPr="00635A00">
        <w:rPr>
          <w:rFonts w:ascii="Times New Roman" w:hAnsi="Times New Roman" w:cs="Times New Roman"/>
          <w:color w:val="auto"/>
        </w:rPr>
        <w:t>Como quedó visto en el anterior acápite, la mayor parte del debate giró en torno a asuntos ajenos al acceso y formalización de la propiedad rural, y las pocas intervenciones que se refir</w:t>
      </w:r>
      <w:r w:rsidRPr="00635A00">
        <w:rPr>
          <w:rFonts w:ascii="Times New Roman" w:hAnsi="Times New Roman" w:cs="Times New Roman"/>
          <w:color w:val="auto"/>
        </w:rPr>
        <w:t>ieron a este particular lo hicieron de una manera genérica acerca de la importancia de esta materia. En estas circunstancias, no es posible concluir que</w:t>
      </w:r>
      <w:r w:rsidRPr="00635A00">
        <w:rPr>
          <w:rFonts w:ascii="Times New Roman" w:hAnsi="Times New Roman" w:cs="Times New Roman"/>
          <w:color w:val="auto"/>
        </w:rPr>
        <w:t xml:space="preserve"> las genéricas manifestaciones que hicieron algunos congresistas durante el primer debate acerca de la i</w:t>
      </w:r>
      <w:r w:rsidRPr="00635A00">
        <w:rPr>
          <w:rFonts w:ascii="Times New Roman" w:hAnsi="Times New Roman" w:cs="Times New Roman"/>
          <w:color w:val="auto"/>
        </w:rPr>
        <w:t>mportancia del ordenamiento territorial y del acceso a la tierra</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tengan un vínculo claro, específico, estrecho, necesario y evidente con </w:t>
      </w:r>
      <w:r w:rsidRPr="00635A00">
        <w:rPr>
          <w:rFonts w:ascii="Times New Roman" w:hAnsi="Times New Roman" w:cs="Times New Roman"/>
          <w:color w:val="auto"/>
        </w:rPr>
        <w:t>la eliminación de la etapa jurisdiccional del referido procedimiento.</w:t>
      </w:r>
    </w:p>
    <w:p w:rsidR="00364FE9" w:rsidRPr="00635A00" w:rsidRDefault="00635A00" w:rsidP="008438B3">
      <w:pPr>
        <w:pStyle w:val="Prrafodelista"/>
        <w:rPr>
          <w:rFonts w:ascii="Times New Roman" w:hAnsi="Times New Roman" w:cs="Times New Roman"/>
          <w:color w:val="auto"/>
        </w:rPr>
      </w:pPr>
    </w:p>
    <w:p w:rsidR="00364FE9" w:rsidRPr="00635A00" w:rsidRDefault="00635A00" w:rsidP="00EC65B7">
      <w:pPr>
        <w:pStyle w:val="Prrafodelista"/>
        <w:widowControl/>
        <w:numPr>
          <w:ilvl w:val="0"/>
          <w:numId w:val="17"/>
        </w:numPr>
        <w:tabs>
          <w:tab w:val="left" w:pos="1134"/>
        </w:tabs>
        <w:ind w:left="1134" w:hanging="567"/>
        <w:contextualSpacing/>
        <w:rPr>
          <w:rFonts w:ascii="Times New Roman" w:hAnsi="Times New Roman" w:cs="Times New Roman"/>
          <w:b/>
          <w:bCs/>
          <w:color w:val="auto"/>
        </w:rPr>
      </w:pPr>
      <w:r w:rsidRPr="00635A00">
        <w:rPr>
          <w:rFonts w:ascii="Times New Roman" w:hAnsi="Times New Roman" w:cs="Times New Roman"/>
          <w:b/>
          <w:bCs/>
          <w:color w:val="auto"/>
        </w:rPr>
        <w:t xml:space="preserve">Carácter insubsanable de los vicios </w:t>
      </w:r>
      <w:r w:rsidRPr="00635A00">
        <w:rPr>
          <w:rFonts w:ascii="Times New Roman" w:hAnsi="Times New Roman" w:cs="Times New Roman"/>
          <w:b/>
          <w:bCs/>
          <w:color w:val="auto"/>
        </w:rPr>
        <w:t>en la expedi</w:t>
      </w:r>
      <w:r w:rsidRPr="00635A00">
        <w:rPr>
          <w:rFonts w:ascii="Times New Roman" w:hAnsi="Times New Roman" w:cs="Times New Roman"/>
          <w:b/>
          <w:bCs/>
          <w:color w:val="auto"/>
        </w:rPr>
        <w:t>ción de las normas demandadas</w:t>
      </w:r>
    </w:p>
    <w:p w:rsidR="00364FE9" w:rsidRPr="00635A00" w:rsidRDefault="00635A00" w:rsidP="00364FE9">
      <w:pPr>
        <w:tabs>
          <w:tab w:val="left" w:pos="1134"/>
        </w:tabs>
        <w:contextualSpacing/>
        <w:rPr>
          <w:rFonts w:ascii="Times New Roman" w:hAnsi="Times New Roman" w:cs="Times New Roman"/>
          <w:b/>
          <w:bCs/>
          <w:sz w:val="28"/>
        </w:rPr>
      </w:pPr>
    </w:p>
    <w:p w:rsidR="00364FE9" w:rsidRPr="00635A00" w:rsidRDefault="00635A00" w:rsidP="23B933D5">
      <w:pPr>
        <w:pStyle w:val="Sombreadovistoso-nfasis31"/>
        <w:numPr>
          <w:ilvl w:val="0"/>
          <w:numId w:val="3"/>
        </w:numPr>
        <w:rPr>
          <w:rFonts w:ascii="Times New Roman" w:hAnsi="Times New Roman" w:cs="Times New Roman"/>
          <w:color w:val="auto"/>
          <w:bdr w:val="none" w:sz="0" w:space="0" w:color="auto" w:frame="1"/>
          <w:shd w:val="clear" w:color="auto" w:fill="FFFFFF"/>
        </w:rPr>
      </w:pPr>
      <w:r w:rsidRPr="00635A00">
        <w:rPr>
          <w:rFonts w:ascii="Times New Roman" w:hAnsi="Times New Roman" w:cs="Times New Roman"/>
          <w:color w:val="auto"/>
          <w:bdr w:val="none" w:sz="0" w:space="0" w:color="auto" w:frame="1"/>
          <w:shd w:val="clear" w:color="auto" w:fill="FFFFFF"/>
        </w:rPr>
        <w:t>El parágrafo del artículo 241 de la Constitución señala que cuando la Corte encuentre un vicio de procedimiento subsanable, ordenará su devolución a la autoridad que profirió la norma para que corrija el error. Hecho esto, la</w:t>
      </w:r>
      <w:r w:rsidRPr="00635A00">
        <w:rPr>
          <w:rFonts w:ascii="Times New Roman" w:hAnsi="Times New Roman" w:cs="Times New Roman"/>
          <w:color w:val="auto"/>
          <w:bdr w:val="none" w:sz="0" w:space="0" w:color="auto" w:frame="1"/>
          <w:shd w:val="clear" w:color="auto" w:fill="FFFFFF"/>
        </w:rPr>
        <w:t xml:space="preserve"> Corte entrará a resolver sobre la exequibilidad de la norma. </w:t>
      </w:r>
    </w:p>
    <w:p w:rsidR="00C42CCD" w:rsidRPr="00635A00" w:rsidRDefault="00635A00" w:rsidP="00C42CCD">
      <w:pPr>
        <w:pStyle w:val="Sombreadovistoso-nfasis31"/>
        <w:ind w:left="0"/>
        <w:rPr>
          <w:rFonts w:ascii="Times New Roman" w:hAnsi="Times New Roman" w:cs="Times New Roman"/>
          <w:color w:val="auto"/>
          <w:bdr w:val="none" w:sz="0" w:space="0" w:color="auto" w:frame="1"/>
          <w:shd w:val="clear" w:color="auto" w:fill="FFFFFF"/>
          <w:lang w:val="es-ES_tradnl"/>
        </w:rPr>
      </w:pPr>
    </w:p>
    <w:p w:rsidR="00557B2D" w:rsidRPr="00635A00" w:rsidRDefault="00635A00" w:rsidP="23B933D5">
      <w:pPr>
        <w:pStyle w:val="Sombreadovistoso-nfasis31"/>
        <w:numPr>
          <w:ilvl w:val="0"/>
          <w:numId w:val="3"/>
        </w:numPr>
        <w:rPr>
          <w:rFonts w:ascii="Times New Roman" w:hAnsi="Times New Roman" w:cs="Times New Roman"/>
          <w:color w:val="auto"/>
          <w:bdr w:val="none" w:sz="0" w:space="0" w:color="auto" w:frame="1"/>
          <w:shd w:val="clear" w:color="auto" w:fill="FFFFFF"/>
        </w:rPr>
      </w:pPr>
      <w:r w:rsidRPr="00635A00">
        <w:rPr>
          <w:rFonts w:ascii="Times New Roman" w:hAnsi="Times New Roman" w:cs="Times New Roman"/>
          <w:color w:val="auto"/>
          <w:bdr w:val="none" w:sz="0" w:space="0" w:color="auto" w:frame="1"/>
          <w:shd w:val="clear" w:color="auto" w:fill="FFFFFF"/>
        </w:rPr>
        <w:t xml:space="preserve">En desarrollo de este precepto, la Corte ha señalado que para determinar en un caso concreto si un vicio de procedimiento es o no subsanable, debe </w:t>
      </w:r>
      <w:r w:rsidRPr="00635A00">
        <w:rPr>
          <w:rFonts w:ascii="Times New Roman" w:hAnsi="Times New Roman" w:cs="Times New Roman"/>
          <w:color w:val="auto"/>
          <w:bdr w:val="none" w:sz="0" w:space="0" w:color="auto" w:frame="1"/>
          <w:shd w:val="clear" w:color="auto" w:fill="FFFFFF"/>
        </w:rPr>
        <w:t>valora</w:t>
      </w:r>
      <w:r w:rsidRPr="00635A00">
        <w:rPr>
          <w:rFonts w:ascii="Times New Roman" w:hAnsi="Times New Roman" w:cs="Times New Roman"/>
          <w:color w:val="auto"/>
          <w:bdr w:val="none" w:sz="0" w:space="0" w:color="auto" w:frame="1"/>
          <w:shd w:val="clear" w:color="auto" w:fill="FFFFFF"/>
        </w:rPr>
        <w:t>r</w:t>
      </w:r>
      <w:r w:rsidRPr="00635A00">
        <w:rPr>
          <w:rFonts w:ascii="Times New Roman" w:hAnsi="Times New Roman" w:cs="Times New Roman"/>
          <w:color w:val="auto"/>
          <w:bdr w:val="none" w:sz="0" w:space="0" w:color="auto" w:frame="1"/>
          <w:shd w:val="clear" w:color="auto" w:fill="FFFFFF"/>
        </w:rPr>
        <w:t>se</w:t>
      </w:r>
      <w:r w:rsidRPr="00635A00">
        <w:rPr>
          <w:rFonts w:ascii="Times New Roman" w:hAnsi="Times New Roman" w:cs="Times New Roman"/>
          <w:color w:val="auto"/>
          <w:bdr w:val="none" w:sz="0" w:space="0" w:color="auto" w:frame="1"/>
          <w:shd w:val="clear" w:color="auto" w:fill="FFFFFF"/>
        </w:rPr>
        <w:t xml:space="preserve">: (i) </w:t>
      </w:r>
      <w:r w:rsidRPr="00635A00">
        <w:rPr>
          <w:rFonts w:ascii="Times New Roman" w:hAnsi="Times New Roman" w:cs="Times New Roman"/>
          <w:color w:val="auto"/>
          <w:bdr w:val="none" w:sz="0" w:space="0" w:color="auto" w:frame="1"/>
          <w:shd w:val="clear" w:color="auto" w:fill="FFFFFF"/>
        </w:rPr>
        <w:t xml:space="preserve">si </w:t>
      </w:r>
      <w:r w:rsidRPr="00635A00">
        <w:rPr>
          <w:rFonts w:ascii="Times New Roman" w:hAnsi="Times New Roman" w:cs="Times New Roman"/>
          <w:color w:val="auto"/>
          <w:bdr w:val="none" w:sz="0" w:space="0" w:color="auto" w:frame="1"/>
          <w:shd w:val="clear" w:color="auto" w:fill="FFFFFF"/>
        </w:rPr>
        <w:t xml:space="preserve">durante el trámite de expedición de la norma se surtieron las etapas básicas del proceso legislativo; (ii) </w:t>
      </w:r>
      <w:r w:rsidRPr="00635A00">
        <w:rPr>
          <w:rFonts w:ascii="Times New Roman" w:hAnsi="Times New Roman" w:cs="Times New Roman"/>
          <w:color w:val="auto"/>
          <w:bdr w:val="none" w:sz="0" w:space="0" w:color="auto" w:frame="1"/>
          <w:shd w:val="clear" w:color="auto" w:fill="FFFFFF"/>
        </w:rPr>
        <w:t>cuál es la gravedad o trascendencia del vicio en la formación de la voluntad legislativa; (iii) qué impacto tuvo  el vicio en los derechos de las min</w:t>
      </w:r>
      <w:r w:rsidRPr="00635A00">
        <w:rPr>
          <w:rFonts w:ascii="Times New Roman" w:hAnsi="Times New Roman" w:cs="Times New Roman"/>
          <w:color w:val="auto"/>
          <w:bdr w:val="none" w:sz="0" w:space="0" w:color="auto" w:frame="1"/>
          <w:shd w:val="clear" w:color="auto" w:fill="FFFFFF"/>
        </w:rPr>
        <w:t>orías parlamentarias; y (iv) el tipo de ley y la evolución que tuvo a lo largo de su recorrido por el Congreso</w:t>
      </w:r>
      <w:r w:rsidRPr="00635A00">
        <w:rPr>
          <w:rStyle w:val="Refdenotaalpie"/>
          <w:rFonts w:ascii="Times New Roman" w:hAnsi="Times New Roman" w:cs="Times New Roman"/>
          <w:color w:val="auto"/>
          <w:bdr w:val="none" w:sz="0" w:space="0" w:color="auto" w:frame="1"/>
          <w:shd w:val="clear" w:color="auto" w:fill="FFFFFF"/>
        </w:rPr>
        <w:footnoteReference w:id="208"/>
      </w:r>
      <w:r w:rsidRPr="00635A00">
        <w:rPr>
          <w:rFonts w:ascii="Times New Roman" w:hAnsi="Times New Roman" w:cs="Times New Roman"/>
          <w:color w:val="auto"/>
          <w:bdr w:val="none" w:sz="0" w:space="0" w:color="auto" w:frame="1"/>
          <w:shd w:val="clear" w:color="auto" w:fill="FFFFFF"/>
        </w:rPr>
        <w:t xml:space="preserve">.  </w:t>
      </w:r>
      <w:r w:rsidRPr="00635A00">
        <w:rPr>
          <w:rFonts w:ascii="Times New Roman" w:hAnsi="Times New Roman" w:cs="Times New Roman"/>
          <w:color w:val="auto"/>
          <w:bdr w:val="none" w:sz="0" w:space="0" w:color="auto" w:frame="1"/>
          <w:shd w:val="clear" w:color="auto" w:fill="FFFFFF"/>
        </w:rPr>
        <w:t>Tratándose de leyes aprobatorias del PND, recientemente la Sala consideró que la posibilidad de subsanar los vicios de procedimiento en este t</w:t>
      </w:r>
      <w:r w:rsidRPr="00635A00">
        <w:rPr>
          <w:rFonts w:ascii="Times New Roman" w:hAnsi="Times New Roman" w:cs="Times New Roman"/>
          <w:color w:val="auto"/>
          <w:bdr w:val="none" w:sz="0" w:space="0" w:color="auto" w:frame="1"/>
          <w:shd w:val="clear" w:color="auto" w:fill="FFFFFF"/>
        </w:rPr>
        <w:t>ipo de normas exige que esté acreditado que (i) es posible subsanar el vicio, (ii) hay razones extraordinarias que justifican el saneamiento excepcional; y (iii) el vicio no afecta el principio democrático, la supremac</w:t>
      </w:r>
      <w:r w:rsidRPr="00635A00">
        <w:rPr>
          <w:rFonts w:ascii="Times New Roman" w:hAnsi="Times New Roman" w:cs="Times New Roman"/>
          <w:color w:val="auto"/>
          <w:bdr w:val="none" w:sz="0" w:space="0" w:color="auto" w:frame="1"/>
          <w:shd w:val="clear" w:color="auto" w:fill="FFFFFF"/>
        </w:rPr>
        <w:t>ía</w:t>
      </w:r>
      <w:r w:rsidRPr="00635A00">
        <w:rPr>
          <w:rFonts w:ascii="Times New Roman" w:hAnsi="Times New Roman" w:cs="Times New Roman"/>
          <w:color w:val="auto"/>
          <w:bdr w:val="none" w:sz="0" w:space="0" w:color="auto" w:frame="1"/>
          <w:shd w:val="clear" w:color="auto" w:fill="FFFFFF"/>
        </w:rPr>
        <w:t xml:space="preserve"> de la Constitución, la conservación</w:t>
      </w:r>
      <w:r w:rsidRPr="00635A00">
        <w:rPr>
          <w:rFonts w:ascii="Times New Roman" w:hAnsi="Times New Roman" w:cs="Times New Roman"/>
          <w:color w:val="auto"/>
          <w:bdr w:val="none" w:sz="0" w:space="0" w:color="auto" w:frame="1"/>
          <w:shd w:val="clear" w:color="auto" w:fill="FFFFFF"/>
        </w:rPr>
        <w:t xml:space="preserve"> del derecho y la prevalencia del derecho sustancial</w:t>
      </w:r>
      <w:r w:rsidRPr="00635A00">
        <w:rPr>
          <w:rStyle w:val="Refdenotaalpie"/>
          <w:rFonts w:ascii="Times New Roman" w:hAnsi="Times New Roman" w:cs="Times New Roman"/>
          <w:color w:val="auto"/>
          <w:bdr w:val="none" w:sz="0" w:space="0" w:color="auto" w:frame="1"/>
          <w:shd w:val="clear" w:color="auto" w:fill="FFFFFF"/>
        </w:rPr>
        <w:footnoteReference w:id="209"/>
      </w:r>
      <w:r w:rsidRPr="00635A00">
        <w:rPr>
          <w:rFonts w:ascii="Times New Roman" w:hAnsi="Times New Roman" w:cs="Times New Roman"/>
          <w:color w:val="auto"/>
          <w:bdr w:val="none" w:sz="0" w:space="0" w:color="auto" w:frame="1"/>
          <w:shd w:val="clear" w:color="auto" w:fill="FFFFFF"/>
        </w:rPr>
        <w:t>.</w:t>
      </w:r>
    </w:p>
    <w:p w:rsidR="007201B3" w:rsidRPr="00635A00" w:rsidRDefault="00635A00" w:rsidP="007201B3">
      <w:pPr>
        <w:pStyle w:val="Prrafodelista"/>
        <w:rPr>
          <w:rFonts w:ascii="Times New Roman" w:hAnsi="Times New Roman" w:cs="Times New Roman"/>
          <w:color w:val="auto"/>
          <w:bdr w:val="none" w:sz="0" w:space="0" w:color="auto" w:frame="1"/>
          <w:shd w:val="clear" w:color="auto" w:fill="FFFFFF"/>
        </w:rPr>
      </w:pPr>
    </w:p>
    <w:p w:rsidR="007201B3" w:rsidRPr="00635A00" w:rsidRDefault="00635A00" w:rsidP="23B933D5">
      <w:pPr>
        <w:pStyle w:val="Sombreadovistoso-nfasis31"/>
        <w:numPr>
          <w:ilvl w:val="0"/>
          <w:numId w:val="3"/>
        </w:numPr>
        <w:rPr>
          <w:rFonts w:ascii="Times New Roman" w:hAnsi="Times New Roman" w:cs="Times New Roman"/>
          <w:color w:val="auto"/>
          <w:bdr w:val="none" w:sz="0" w:space="0" w:color="auto" w:frame="1"/>
          <w:shd w:val="clear" w:color="auto" w:fill="FFFFFF"/>
        </w:rPr>
      </w:pPr>
      <w:r w:rsidRPr="00635A00">
        <w:rPr>
          <w:rFonts w:ascii="Times New Roman" w:hAnsi="Times New Roman" w:cs="Times New Roman"/>
          <w:color w:val="auto"/>
          <w:bdr w:val="none" w:sz="0" w:space="0" w:color="auto" w:frame="1"/>
          <w:shd w:val="clear" w:color="auto" w:fill="FFFFFF"/>
        </w:rPr>
        <w:t xml:space="preserve">En </w:t>
      </w:r>
      <w:r w:rsidRPr="00635A00">
        <w:rPr>
          <w:rFonts w:ascii="Times New Roman" w:hAnsi="Times New Roman" w:cs="Times New Roman"/>
          <w:color w:val="auto"/>
          <w:bdr w:val="none" w:sz="0" w:space="0" w:color="auto" w:frame="1"/>
          <w:shd w:val="clear" w:color="auto" w:fill="FFFFFF"/>
        </w:rPr>
        <w:t xml:space="preserve">reciente </w:t>
      </w:r>
      <w:r w:rsidRPr="00635A00">
        <w:rPr>
          <w:rFonts w:ascii="Times New Roman" w:hAnsi="Times New Roman" w:cs="Times New Roman"/>
          <w:color w:val="auto"/>
          <w:bdr w:val="none" w:sz="0" w:space="0" w:color="auto" w:frame="1"/>
          <w:shd w:val="clear" w:color="auto" w:fill="FFFFFF"/>
        </w:rPr>
        <w:t xml:space="preserve">auto 705 de 2024, </w:t>
      </w:r>
      <w:r w:rsidRPr="00635A00">
        <w:rPr>
          <w:rFonts w:ascii="Times New Roman" w:hAnsi="Times New Roman" w:cs="Times New Roman"/>
          <w:color w:val="auto"/>
          <w:bdr w:val="none" w:sz="0" w:space="0" w:color="auto" w:frame="1"/>
          <w:shd w:val="clear" w:color="auto" w:fill="FFFFFF"/>
        </w:rPr>
        <w:t xml:space="preserve">esta Corporación </w:t>
      </w:r>
      <w:r w:rsidRPr="00635A00">
        <w:rPr>
          <w:rFonts w:ascii="Times New Roman" w:hAnsi="Times New Roman" w:cs="Times New Roman"/>
          <w:color w:val="auto"/>
          <w:bdr w:val="none" w:sz="0" w:space="0" w:color="auto" w:frame="1"/>
          <w:shd w:val="clear" w:color="auto" w:fill="FFFFFF"/>
        </w:rPr>
        <w:t xml:space="preserve">precisó que los vicios insubsanables </w:t>
      </w:r>
      <w:r w:rsidRPr="00635A00">
        <w:rPr>
          <w:rFonts w:ascii="Times New Roman" w:hAnsi="Times New Roman" w:cs="Times New Roman"/>
          <w:color w:val="auto"/>
          <w:bdr w:val="none" w:sz="0" w:space="0" w:color="auto" w:frame="1"/>
          <w:shd w:val="clear" w:color="auto" w:fill="FFFFFF"/>
        </w:rPr>
        <w:t>son:</w:t>
      </w:r>
    </w:p>
    <w:p w:rsidR="00557B2D" w:rsidRPr="00635A00" w:rsidRDefault="00635A00" w:rsidP="00364FE9">
      <w:pPr>
        <w:tabs>
          <w:tab w:val="left" w:pos="1134"/>
        </w:tabs>
        <w:contextualSpacing/>
        <w:rPr>
          <w:rFonts w:ascii="Times New Roman" w:hAnsi="Times New Roman" w:cs="Times New Roman"/>
          <w:b/>
          <w:bCs/>
          <w:sz w:val="28"/>
        </w:rPr>
      </w:pPr>
    </w:p>
    <w:p w:rsidR="00BC45F2" w:rsidRPr="00635A00" w:rsidRDefault="00635A00" w:rsidP="00971040">
      <w:pPr>
        <w:shd w:val="clear" w:color="auto" w:fill="FFFFFF"/>
        <w:ind w:left="567" w:right="49"/>
        <w:jc w:val="both"/>
        <w:rPr>
          <w:rFonts w:ascii="Times New Roman" w:hAnsi="Times New Roman" w:cs="Times New Roman"/>
          <w:sz w:val="28"/>
        </w:rPr>
      </w:pPr>
      <w:r w:rsidRPr="00635A00">
        <w:rPr>
          <w:rFonts w:ascii="Times New Roman" w:hAnsi="Times New Roman" w:cs="Times New Roman"/>
          <w:sz w:val="28"/>
          <w:lang w:val="es-ES"/>
        </w:rPr>
        <w:t>“</w:t>
      </w:r>
      <w:r w:rsidRPr="00635A00">
        <w:rPr>
          <w:rFonts w:ascii="Times New Roman" w:hAnsi="Times New Roman" w:cs="Times New Roman"/>
          <w:sz w:val="28"/>
          <w:lang w:val="es-ES"/>
        </w:rPr>
        <w:t>(i) aquellos que a pesar de que se subsanen darían lugar al desconocimiento</w:t>
      </w:r>
      <w:r w:rsidRPr="00635A00">
        <w:rPr>
          <w:rFonts w:ascii="Times New Roman" w:hAnsi="Times New Roman" w:cs="Times New Roman"/>
          <w:sz w:val="28"/>
          <w:lang w:val="es-ES"/>
        </w:rPr>
        <w:t xml:space="preserve"> </w:t>
      </w:r>
      <w:r w:rsidRPr="00635A00">
        <w:rPr>
          <w:rFonts w:ascii="Times New Roman" w:hAnsi="Times New Roman" w:cs="Times New Roman"/>
          <w:i/>
          <w:iCs/>
          <w:sz w:val="28"/>
          <w:lang w:val="es-ES"/>
        </w:rPr>
        <w:t>íntegro</w:t>
      </w:r>
      <w:r w:rsidRPr="00635A00">
        <w:rPr>
          <w:rFonts w:ascii="Times New Roman" w:hAnsi="Times New Roman" w:cs="Times New Roman"/>
          <w:i/>
          <w:iCs/>
          <w:sz w:val="28"/>
          <w:lang w:val="es-ES"/>
        </w:rPr>
        <w:t xml:space="preserve"> </w:t>
      </w:r>
      <w:r w:rsidRPr="00635A00">
        <w:rPr>
          <w:rFonts w:ascii="Times New Roman" w:hAnsi="Times New Roman" w:cs="Times New Roman"/>
          <w:sz w:val="28"/>
          <w:lang w:val="es-ES"/>
        </w:rPr>
        <w:t xml:space="preserve">de alguna de las etapas </w:t>
      </w:r>
      <w:r w:rsidRPr="00635A00">
        <w:rPr>
          <w:rFonts w:ascii="Times New Roman" w:hAnsi="Times New Roman" w:cs="Times New Roman"/>
          <w:sz w:val="28"/>
          <w:lang w:val="es-ES"/>
        </w:rPr>
        <w:t>estructurales del procedimiento legislativo; (ii) aquellos vicios que darían lugar al desconocimiento</w:t>
      </w:r>
      <w:r w:rsidRPr="00635A00">
        <w:rPr>
          <w:rFonts w:ascii="Times New Roman" w:hAnsi="Times New Roman" w:cs="Times New Roman"/>
          <w:sz w:val="28"/>
          <w:lang w:val="es-ES"/>
        </w:rPr>
        <w:t xml:space="preserve"> </w:t>
      </w:r>
      <w:r w:rsidRPr="00635A00">
        <w:rPr>
          <w:rFonts w:ascii="Times New Roman" w:hAnsi="Times New Roman" w:cs="Times New Roman"/>
          <w:i/>
          <w:iCs/>
          <w:sz w:val="28"/>
          <w:lang w:val="es-ES"/>
        </w:rPr>
        <w:t>absoluto</w:t>
      </w:r>
      <w:r w:rsidRPr="00635A00">
        <w:rPr>
          <w:rFonts w:ascii="Times New Roman" w:hAnsi="Times New Roman" w:cs="Times New Roman"/>
          <w:i/>
          <w:iCs/>
          <w:sz w:val="28"/>
          <w:lang w:val="es-ES"/>
        </w:rPr>
        <w:t xml:space="preserve"> </w:t>
      </w:r>
      <w:r w:rsidRPr="00635A00">
        <w:rPr>
          <w:rFonts w:ascii="Times New Roman" w:hAnsi="Times New Roman" w:cs="Times New Roman"/>
          <w:sz w:val="28"/>
          <w:lang w:val="es-ES"/>
        </w:rPr>
        <w:t xml:space="preserve">de la integridad de los requisitos formales del proceso de formación o discusión de las leyes; por ejemplo, </w:t>
      </w:r>
      <w:r w:rsidRPr="00635A00">
        <w:rPr>
          <w:rFonts w:ascii="Times New Roman" w:hAnsi="Times New Roman" w:cs="Times New Roman"/>
          <w:sz w:val="28"/>
          <w:lang w:val="es-ES"/>
        </w:rPr>
        <w:t>‘</w:t>
      </w:r>
      <w:r w:rsidRPr="00635A00">
        <w:rPr>
          <w:rFonts w:ascii="Times New Roman" w:hAnsi="Times New Roman" w:cs="Times New Roman"/>
          <w:sz w:val="28"/>
          <w:lang w:val="es-419"/>
        </w:rPr>
        <w:t>la pretermisión de la iniciativa leg</w:t>
      </w:r>
      <w:r w:rsidRPr="00635A00">
        <w:rPr>
          <w:rFonts w:ascii="Times New Roman" w:hAnsi="Times New Roman" w:cs="Times New Roman"/>
          <w:sz w:val="28"/>
          <w:lang w:val="es-419"/>
        </w:rPr>
        <w:t>islativa, la pretermisión de las publicaciones de proyectos e informes, la pretermisión de los anuncios, la pretermisión de las votaciones, la pretermisión de las mayorías o la afectación intensa </w:t>
      </w:r>
      <w:r w:rsidRPr="00635A00">
        <w:rPr>
          <w:rFonts w:ascii="Times New Roman" w:hAnsi="Times New Roman" w:cs="Times New Roman"/>
          <w:sz w:val="28"/>
        </w:rPr>
        <w:t>de los derechos de las minorías parlamentarias </w:t>
      </w:r>
      <w:r w:rsidRPr="00635A00">
        <w:rPr>
          <w:rFonts w:ascii="Times New Roman" w:hAnsi="Times New Roman" w:cs="Times New Roman"/>
          <w:sz w:val="28"/>
          <w:lang w:val="es-419"/>
        </w:rPr>
        <w:t>o las bancada</w:t>
      </w:r>
      <w:r w:rsidRPr="00635A00">
        <w:rPr>
          <w:rFonts w:ascii="Times New Roman" w:hAnsi="Times New Roman" w:cs="Times New Roman"/>
          <w:sz w:val="28"/>
          <w:lang w:val="es-419"/>
        </w:rPr>
        <w:t>s en oposición</w:t>
      </w:r>
      <w:bookmarkStart w:id="28" w:name="_ftnref70"/>
      <w:r w:rsidRPr="00635A00">
        <w:rPr>
          <w:rFonts w:ascii="Times New Roman" w:hAnsi="Times New Roman" w:cs="Times New Roman"/>
          <w:sz w:val="28"/>
          <w:lang w:val="es-419"/>
        </w:rPr>
        <w:t>’</w:t>
      </w:r>
      <w:bookmarkEnd w:id="28"/>
      <w:r w:rsidRPr="00635A00">
        <w:rPr>
          <w:rFonts w:ascii="Times New Roman" w:hAnsi="Times New Roman" w:cs="Times New Roman"/>
          <w:sz w:val="28"/>
          <w:lang w:val="es-ES"/>
        </w:rPr>
        <w:t>; y (iii) aquellos que darían lugar a rehacer el proceso legislativo o a modificar el objeto del proyecto de ley objeto de revisión.</w:t>
      </w:r>
      <w:r w:rsidRPr="00635A00">
        <w:rPr>
          <w:rFonts w:ascii="Times New Roman" w:hAnsi="Times New Roman" w:cs="Times New Roman"/>
          <w:sz w:val="28"/>
          <w:lang w:val="es-ES"/>
        </w:rPr>
        <w:t>”</w:t>
      </w:r>
    </w:p>
    <w:p w:rsidR="00757E8E" w:rsidRPr="00635A00" w:rsidRDefault="00635A00" w:rsidP="00757E8E">
      <w:pPr>
        <w:pStyle w:val="Sombreadovistoso-nfasis31"/>
        <w:ind w:left="0"/>
        <w:rPr>
          <w:rFonts w:ascii="Times New Roman" w:hAnsi="Times New Roman" w:cs="Times New Roman"/>
          <w:color w:val="auto"/>
          <w:bdr w:val="none" w:sz="0" w:space="0" w:color="auto" w:frame="1"/>
          <w:shd w:val="clear" w:color="auto" w:fill="FFFFFF"/>
          <w:lang w:val="es-ES_tradnl"/>
        </w:rPr>
      </w:pPr>
    </w:p>
    <w:p w:rsidR="00A5030C" w:rsidRPr="00635A00" w:rsidRDefault="00635A00" w:rsidP="0012428A">
      <w:pPr>
        <w:pStyle w:val="Sombreadovistoso-nfasis31"/>
        <w:numPr>
          <w:ilvl w:val="0"/>
          <w:numId w:val="3"/>
        </w:numPr>
        <w:rPr>
          <w:rFonts w:ascii="Times New Roman" w:hAnsi="Times New Roman" w:cs="Times New Roman"/>
          <w:color w:val="auto"/>
          <w:bdr w:val="none" w:sz="0" w:space="0" w:color="auto" w:frame="1"/>
          <w:shd w:val="clear" w:color="auto" w:fill="FFFFFF"/>
          <w:lang w:val="es-ES_tradnl"/>
        </w:rPr>
      </w:pPr>
      <w:r w:rsidRPr="00635A00">
        <w:rPr>
          <w:rFonts w:ascii="Times New Roman" w:hAnsi="Times New Roman" w:cs="Times New Roman"/>
          <w:color w:val="auto"/>
          <w:bdr w:val="none" w:sz="0" w:space="0" w:color="auto" w:frame="1"/>
          <w:shd w:val="clear" w:color="auto" w:fill="FFFFFF"/>
          <w:lang w:val="es-ES_tradnl"/>
        </w:rPr>
        <w:t>Bajo tales parámetros, la Sala considera que los vicios ciertamente afectaron</w:t>
      </w:r>
      <w:r w:rsidRPr="00635A00">
        <w:rPr>
          <w:rFonts w:ascii="Times New Roman" w:hAnsi="Times New Roman" w:cs="Times New Roman"/>
          <w:color w:val="auto"/>
          <w:bdr w:val="none" w:sz="0" w:space="0" w:color="auto" w:frame="1"/>
          <w:shd w:val="clear" w:color="auto" w:fill="FFFFFF"/>
          <w:lang w:val="es-ES_tradnl"/>
        </w:rPr>
        <w:t xml:space="preserve">, </w:t>
      </w:r>
      <w:r w:rsidRPr="00635A00">
        <w:rPr>
          <w:rFonts w:ascii="Times New Roman" w:hAnsi="Times New Roman" w:cs="Times New Roman"/>
          <w:color w:val="auto"/>
          <w:bdr w:val="none" w:sz="0" w:space="0" w:color="auto" w:frame="1"/>
          <w:shd w:val="clear" w:color="auto" w:fill="FFFFFF"/>
          <w:lang w:val="es-ES_tradnl"/>
        </w:rPr>
        <w:t>el principio democrático</w:t>
      </w:r>
      <w:r w:rsidRPr="00635A00">
        <w:rPr>
          <w:rFonts w:ascii="Times New Roman" w:hAnsi="Times New Roman" w:cs="Times New Roman"/>
          <w:color w:val="auto"/>
          <w:bdr w:val="none" w:sz="0" w:space="0" w:color="auto" w:frame="1"/>
          <w:shd w:val="clear" w:color="auto" w:fill="FFFFFF"/>
          <w:lang w:val="es-ES_tradnl"/>
        </w:rPr>
        <w:t xml:space="preserve"> y la supremacía de l</w:t>
      </w:r>
      <w:r w:rsidRPr="00635A00">
        <w:rPr>
          <w:rFonts w:ascii="Times New Roman" w:hAnsi="Times New Roman" w:cs="Times New Roman"/>
          <w:color w:val="auto"/>
          <w:bdr w:val="none" w:sz="0" w:space="0" w:color="auto" w:frame="1"/>
          <w:shd w:val="clear" w:color="auto" w:fill="FFFFFF"/>
          <w:lang w:val="es-ES_tradnl"/>
        </w:rPr>
        <w:t>a</w:t>
      </w:r>
      <w:r w:rsidRPr="00635A00">
        <w:rPr>
          <w:rFonts w:ascii="Times New Roman" w:hAnsi="Times New Roman" w:cs="Times New Roman"/>
          <w:color w:val="auto"/>
          <w:bdr w:val="none" w:sz="0" w:space="0" w:color="auto" w:frame="1"/>
          <w:shd w:val="clear" w:color="auto" w:fill="FFFFFF"/>
          <w:lang w:val="es-ES_tradnl"/>
        </w:rPr>
        <w:t xml:space="preserve"> Constitución</w:t>
      </w:r>
      <w:r w:rsidRPr="00635A00">
        <w:rPr>
          <w:rFonts w:ascii="Times New Roman" w:hAnsi="Times New Roman" w:cs="Times New Roman"/>
          <w:color w:val="auto"/>
          <w:bdr w:val="none" w:sz="0" w:space="0" w:color="auto" w:frame="1"/>
          <w:shd w:val="clear" w:color="auto" w:fill="FFFFFF"/>
          <w:lang w:val="es-ES_tradnl"/>
        </w:rPr>
        <w:t xml:space="preserve"> en la medida en que implicaron una elusión del debate respecto de la modificación del procedimiento único para ciertos trámites agrarios</w:t>
      </w:r>
      <w:r w:rsidRPr="00635A00">
        <w:rPr>
          <w:rFonts w:ascii="Times New Roman" w:hAnsi="Times New Roman" w:cs="Times New Roman"/>
          <w:color w:val="auto"/>
          <w:bdr w:val="none" w:sz="0" w:space="0" w:color="auto" w:frame="1"/>
          <w:shd w:val="clear" w:color="auto" w:fill="FFFFFF"/>
          <w:lang w:val="es-ES_tradnl"/>
        </w:rPr>
        <w:t xml:space="preserve"> que fuera diseñado para la implementación del Acuerdo Final de Paz</w:t>
      </w:r>
      <w:r w:rsidRPr="00635A00">
        <w:rPr>
          <w:rFonts w:ascii="Times New Roman" w:hAnsi="Times New Roman" w:cs="Times New Roman"/>
          <w:color w:val="auto"/>
          <w:bdr w:val="none" w:sz="0" w:space="0" w:color="auto" w:frame="1"/>
          <w:shd w:val="clear" w:color="auto" w:fill="FFFFFF"/>
          <w:lang w:val="es-ES_tradnl"/>
        </w:rPr>
        <w:t xml:space="preserve">. </w:t>
      </w:r>
      <w:r w:rsidRPr="00635A00">
        <w:rPr>
          <w:rFonts w:ascii="Times New Roman" w:hAnsi="Times New Roman" w:cs="Times New Roman"/>
          <w:color w:val="auto"/>
          <w:bdr w:val="none" w:sz="0" w:space="0" w:color="auto" w:frame="1"/>
          <w:shd w:val="clear" w:color="auto" w:fill="FFFFFF"/>
          <w:lang w:val="es-ES_tradnl"/>
        </w:rPr>
        <w:t xml:space="preserve">En efecto, la incorporación de las </w:t>
      </w:r>
      <w:r w:rsidRPr="00635A00">
        <w:rPr>
          <w:rFonts w:ascii="Times New Roman" w:hAnsi="Times New Roman" w:cs="Times New Roman"/>
          <w:color w:val="auto"/>
          <w:bdr w:val="none" w:sz="0" w:space="0" w:color="auto" w:frame="1"/>
          <w:shd w:val="clear" w:color="auto" w:fill="FFFFFF"/>
          <w:lang w:val="es-ES_tradnl"/>
        </w:rPr>
        <w:t xml:space="preserve">normas demandadas durante </w:t>
      </w:r>
      <w:r w:rsidRPr="00635A00">
        <w:rPr>
          <w:rFonts w:ascii="Times New Roman" w:hAnsi="Times New Roman" w:cs="Times New Roman"/>
          <w:color w:val="auto"/>
          <w:bdr w:val="none" w:sz="0" w:space="0" w:color="auto" w:frame="1"/>
          <w:shd w:val="clear" w:color="auto" w:fill="FFFFFF"/>
          <w:lang w:val="es-ES_tradnl"/>
        </w:rPr>
        <w:t>en segundo debate</w:t>
      </w:r>
      <w:r w:rsidRPr="00635A00">
        <w:rPr>
          <w:rFonts w:ascii="Times New Roman" w:hAnsi="Times New Roman" w:cs="Times New Roman"/>
          <w:color w:val="auto"/>
          <w:bdr w:val="none" w:sz="0" w:space="0" w:color="auto" w:frame="1"/>
          <w:shd w:val="clear" w:color="auto" w:fill="FFFFFF"/>
          <w:lang w:val="es-ES_tradnl"/>
        </w:rPr>
        <w:t xml:space="preserve">, </w:t>
      </w:r>
      <w:r w:rsidRPr="00635A00">
        <w:rPr>
          <w:rFonts w:ascii="Times New Roman" w:hAnsi="Times New Roman" w:cs="Times New Roman"/>
          <w:color w:val="auto"/>
          <w:bdr w:val="none" w:sz="0" w:space="0" w:color="auto" w:frame="1"/>
          <w:shd w:val="clear" w:color="auto" w:fill="FFFFFF"/>
          <w:lang w:val="es-ES_tradnl"/>
        </w:rPr>
        <w:t xml:space="preserve">sin que sus contenidos fueran discutidos en primer debate y sin </w:t>
      </w:r>
      <w:r w:rsidRPr="00635A00">
        <w:rPr>
          <w:rFonts w:ascii="Times New Roman" w:hAnsi="Times New Roman" w:cs="Times New Roman"/>
          <w:color w:val="auto"/>
          <w:bdr w:val="none" w:sz="0" w:space="0" w:color="auto" w:frame="1"/>
          <w:shd w:val="clear" w:color="auto" w:fill="FFFFFF"/>
          <w:lang w:val="es-ES_tradnl"/>
        </w:rPr>
        <w:t xml:space="preserve">garantizárseles </w:t>
      </w:r>
      <w:r w:rsidRPr="00635A00">
        <w:rPr>
          <w:rFonts w:ascii="Times New Roman" w:hAnsi="Times New Roman" w:cs="Times New Roman"/>
          <w:color w:val="auto"/>
          <w:bdr w:val="none" w:sz="0" w:space="0" w:color="auto" w:frame="1"/>
          <w:shd w:val="clear" w:color="auto" w:fill="FFFFFF"/>
          <w:lang w:val="es-ES_tradnl"/>
        </w:rPr>
        <w:t xml:space="preserve">a los integrantes de la plenaria del Senado </w:t>
      </w:r>
      <w:r w:rsidRPr="00635A00">
        <w:rPr>
          <w:rFonts w:ascii="Times New Roman" w:hAnsi="Times New Roman" w:cs="Times New Roman"/>
          <w:color w:val="auto"/>
          <w:bdr w:val="none" w:sz="0" w:space="0" w:color="auto" w:frame="1"/>
          <w:shd w:val="clear" w:color="auto" w:fill="FFFFFF"/>
          <w:lang w:val="es-ES_tradnl"/>
        </w:rPr>
        <w:t>la posibilidad de conocer</w:t>
      </w:r>
      <w:r w:rsidRPr="00635A00">
        <w:rPr>
          <w:rFonts w:ascii="Times New Roman" w:hAnsi="Times New Roman" w:cs="Times New Roman"/>
          <w:color w:val="auto"/>
          <w:bdr w:val="none" w:sz="0" w:space="0" w:color="auto" w:frame="1"/>
          <w:shd w:val="clear" w:color="auto" w:fill="FFFFFF"/>
          <w:lang w:val="es-ES_tradnl"/>
        </w:rPr>
        <w:t xml:space="preserve"> tales preceptos </w:t>
      </w:r>
      <w:r w:rsidRPr="00635A00">
        <w:rPr>
          <w:rFonts w:ascii="Times New Roman" w:hAnsi="Times New Roman" w:cs="Times New Roman"/>
          <w:color w:val="auto"/>
          <w:bdr w:val="none" w:sz="0" w:space="0" w:color="auto" w:frame="1"/>
          <w:shd w:val="clear" w:color="auto" w:fill="FFFFFF"/>
          <w:lang w:val="es-ES_tradnl"/>
        </w:rPr>
        <w:t>de que fue</w:t>
      </w:r>
      <w:r w:rsidRPr="00635A00">
        <w:rPr>
          <w:rFonts w:ascii="Times New Roman" w:hAnsi="Times New Roman" w:cs="Times New Roman"/>
          <w:color w:val="auto"/>
          <w:bdr w:val="none" w:sz="0" w:space="0" w:color="auto" w:frame="1"/>
          <w:shd w:val="clear" w:color="auto" w:fill="FFFFFF"/>
          <w:lang w:val="es-ES_tradnl"/>
        </w:rPr>
        <w:t xml:space="preserve">ran sometidos a votación, </w:t>
      </w:r>
      <w:r w:rsidRPr="00635A00">
        <w:rPr>
          <w:rFonts w:ascii="Times New Roman" w:hAnsi="Times New Roman" w:cs="Times New Roman"/>
          <w:color w:val="auto"/>
          <w:bdr w:val="none" w:sz="0" w:space="0" w:color="auto" w:frame="1"/>
          <w:shd w:val="clear" w:color="auto" w:fill="FFFFFF"/>
          <w:lang w:val="es-ES_tradnl"/>
        </w:rPr>
        <w:t xml:space="preserve">implicó un </w:t>
      </w:r>
      <w:r w:rsidRPr="00635A00">
        <w:rPr>
          <w:rFonts w:ascii="Times New Roman" w:hAnsi="Times New Roman" w:cs="Times New Roman"/>
          <w:color w:val="auto"/>
          <w:bdr w:val="none" w:sz="0" w:space="0" w:color="auto" w:frame="1"/>
          <w:shd w:val="clear" w:color="auto" w:fill="FFFFFF"/>
          <w:lang w:val="es-ES_tradnl"/>
        </w:rPr>
        <w:t xml:space="preserve">desconocimiento absoluto de los requisitos sustanciales exigidos por la Carta para la formación de las leyes de la República, </w:t>
      </w:r>
      <w:r w:rsidRPr="00635A00">
        <w:rPr>
          <w:rFonts w:ascii="Times New Roman" w:hAnsi="Times New Roman" w:cs="Times New Roman"/>
          <w:color w:val="auto"/>
          <w:bdr w:val="none" w:sz="0" w:space="0" w:color="auto" w:frame="1"/>
          <w:shd w:val="clear" w:color="auto" w:fill="FFFFFF"/>
          <w:lang w:val="es-ES_tradnl"/>
        </w:rPr>
        <w:t xml:space="preserve">así como una afectación grave de las condiciones mínimas para el debate a lo largo del </w:t>
      </w:r>
      <w:r w:rsidRPr="00635A00">
        <w:rPr>
          <w:rFonts w:ascii="Times New Roman" w:hAnsi="Times New Roman" w:cs="Times New Roman"/>
          <w:color w:val="auto"/>
          <w:bdr w:val="none" w:sz="0" w:space="0" w:color="auto" w:frame="1"/>
          <w:shd w:val="clear" w:color="auto" w:fill="FFFFFF"/>
          <w:lang w:val="es-ES_tradnl"/>
        </w:rPr>
        <w:t>trámite legislativo.</w:t>
      </w:r>
    </w:p>
    <w:p w:rsidR="00A5030C" w:rsidRPr="00635A00" w:rsidRDefault="00635A00" w:rsidP="00A5030C">
      <w:pPr>
        <w:pStyle w:val="Sombreadovistoso-nfasis31"/>
        <w:ind w:left="0"/>
        <w:rPr>
          <w:rFonts w:ascii="Times New Roman" w:hAnsi="Times New Roman" w:cs="Times New Roman"/>
          <w:color w:val="auto"/>
          <w:bdr w:val="none" w:sz="0" w:space="0" w:color="auto" w:frame="1"/>
          <w:shd w:val="clear" w:color="auto" w:fill="FFFFFF"/>
          <w:lang w:val="es-ES_tradnl"/>
        </w:rPr>
      </w:pPr>
    </w:p>
    <w:p w:rsidR="0012428A" w:rsidRPr="00635A00" w:rsidRDefault="00635A00" w:rsidP="0012428A">
      <w:pPr>
        <w:pStyle w:val="Sombreadovistoso-nfasis31"/>
        <w:numPr>
          <w:ilvl w:val="0"/>
          <w:numId w:val="3"/>
        </w:numPr>
        <w:rPr>
          <w:rFonts w:ascii="Times New Roman" w:hAnsi="Times New Roman" w:cs="Times New Roman"/>
          <w:color w:val="auto"/>
          <w:bdr w:val="none" w:sz="0" w:space="0" w:color="auto" w:frame="1"/>
          <w:shd w:val="clear" w:color="auto" w:fill="FFFFFF"/>
          <w:lang w:val="es-ES_tradnl"/>
        </w:rPr>
      </w:pPr>
      <w:r w:rsidRPr="00635A00">
        <w:rPr>
          <w:rFonts w:ascii="Times New Roman" w:hAnsi="Times New Roman" w:cs="Times New Roman"/>
          <w:color w:val="auto"/>
          <w:bdr w:val="none" w:sz="0" w:space="0" w:color="auto" w:frame="1"/>
          <w:shd w:val="clear" w:color="auto" w:fill="FFFFFF"/>
          <w:lang w:val="es-ES_tradnl"/>
        </w:rPr>
        <w:t>Así las cosas, d</w:t>
      </w:r>
      <w:r w:rsidRPr="00635A00">
        <w:rPr>
          <w:rFonts w:ascii="Times New Roman" w:hAnsi="Times New Roman" w:cs="Times New Roman"/>
          <w:color w:val="auto"/>
          <w:bdr w:val="none" w:sz="0" w:space="0" w:color="auto" w:frame="1"/>
          <w:shd w:val="clear" w:color="auto" w:fill="FFFFFF"/>
          <w:lang w:val="es-ES_tradnl"/>
        </w:rPr>
        <w:t>evolver la ley al Congreso para corregir los yerros implicaría en la práctica retrotraer el proceso legislativo hasta el primer debate para que allí se delibere sobre la medida en discusión. Esto resulta incompatible c</w:t>
      </w:r>
      <w:r w:rsidRPr="00635A00">
        <w:rPr>
          <w:rFonts w:ascii="Times New Roman" w:hAnsi="Times New Roman" w:cs="Times New Roman"/>
          <w:color w:val="auto"/>
          <w:bdr w:val="none" w:sz="0" w:space="0" w:color="auto" w:frame="1"/>
          <w:shd w:val="clear" w:color="auto" w:fill="FFFFFF"/>
          <w:lang w:val="es-ES_tradnl"/>
        </w:rPr>
        <w:t>on la figura de la subsanación, que, como se indicó, no está prevista para situaciones que implican la repetición de gran parte del trámite. Se trata, por tanto, de vicios que no permiten ser subsanados.</w:t>
      </w:r>
    </w:p>
    <w:p w:rsidR="00BC45F2" w:rsidRPr="00635A00" w:rsidRDefault="00635A00" w:rsidP="00BC45F2">
      <w:pPr>
        <w:tabs>
          <w:tab w:val="left" w:pos="1134"/>
        </w:tabs>
        <w:contextualSpacing/>
        <w:rPr>
          <w:rFonts w:ascii="Times New Roman" w:hAnsi="Times New Roman" w:cs="Times New Roman"/>
          <w:b/>
          <w:bCs/>
          <w:sz w:val="28"/>
          <w:lang w:val="es-ES_tradnl"/>
        </w:rPr>
      </w:pPr>
    </w:p>
    <w:p w:rsidR="00EC65B7" w:rsidRPr="00635A00" w:rsidRDefault="00635A00" w:rsidP="00EC65B7">
      <w:pPr>
        <w:pStyle w:val="Prrafodelista"/>
        <w:widowControl/>
        <w:numPr>
          <w:ilvl w:val="0"/>
          <w:numId w:val="17"/>
        </w:numPr>
        <w:tabs>
          <w:tab w:val="left" w:pos="1134"/>
        </w:tabs>
        <w:ind w:left="1134" w:hanging="567"/>
        <w:contextualSpacing/>
        <w:rPr>
          <w:rFonts w:ascii="Times New Roman" w:hAnsi="Times New Roman" w:cs="Times New Roman"/>
          <w:b/>
          <w:bCs/>
          <w:color w:val="auto"/>
        </w:rPr>
      </w:pPr>
      <w:r w:rsidRPr="00635A00">
        <w:rPr>
          <w:rFonts w:ascii="Times New Roman" w:hAnsi="Times New Roman" w:cs="Times New Roman"/>
          <w:b/>
          <w:bCs/>
          <w:color w:val="auto"/>
        </w:rPr>
        <w:t>Conclusión</w:t>
      </w:r>
    </w:p>
    <w:p w:rsidR="00B15E36" w:rsidRPr="00635A00" w:rsidRDefault="00635A00" w:rsidP="003F12F4">
      <w:pPr>
        <w:rPr>
          <w:rFonts w:ascii="Times New Roman" w:hAnsi="Times New Roman" w:cs="Times New Roman"/>
          <w:b/>
          <w:bCs/>
          <w:sz w:val="28"/>
        </w:rPr>
      </w:pPr>
    </w:p>
    <w:p w:rsidR="009A1E9B" w:rsidRPr="00635A00" w:rsidRDefault="00635A00" w:rsidP="006F632A">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Como resultado de</w:t>
      </w:r>
      <w:r w:rsidRPr="00635A00">
        <w:rPr>
          <w:rFonts w:ascii="Times New Roman" w:hAnsi="Times New Roman" w:cs="Times New Roman"/>
          <w:color w:val="auto"/>
        </w:rPr>
        <w:t xml:space="preserve">l examen de los cargos por vicios de procedimiento, la Corte </w:t>
      </w:r>
      <w:r w:rsidRPr="00635A00">
        <w:rPr>
          <w:rFonts w:ascii="Times New Roman" w:hAnsi="Times New Roman" w:cs="Times New Roman"/>
          <w:color w:val="auto"/>
        </w:rPr>
        <w:t>concluye</w:t>
      </w:r>
      <w:r w:rsidRPr="00635A00">
        <w:rPr>
          <w:rFonts w:ascii="Times New Roman" w:hAnsi="Times New Roman" w:cs="Times New Roman"/>
          <w:color w:val="auto"/>
        </w:rPr>
        <w:t xml:space="preserve"> que el numeral 6° </w:t>
      </w:r>
      <w:r w:rsidRPr="00635A00">
        <w:rPr>
          <w:rFonts w:ascii="Times New Roman" w:hAnsi="Times New Roman" w:cs="Times New Roman"/>
          <w:color w:val="auto"/>
        </w:rPr>
        <w:t>y el parágrafo 3° del artículo 61 de la Ley 2294 se expidieron con violación de</w:t>
      </w:r>
      <w:r w:rsidRPr="00635A00">
        <w:rPr>
          <w:rFonts w:ascii="Times New Roman" w:hAnsi="Times New Roman" w:cs="Times New Roman"/>
          <w:color w:val="auto"/>
        </w:rPr>
        <w:t xml:space="preserve">l principio de publicidad, por un lado, y de </w:t>
      </w:r>
      <w:r w:rsidRPr="00635A00">
        <w:rPr>
          <w:rFonts w:ascii="Times New Roman" w:hAnsi="Times New Roman" w:cs="Times New Roman"/>
          <w:color w:val="auto"/>
        </w:rPr>
        <w:t>los principios de consecutividad e identidad</w:t>
      </w:r>
      <w:r w:rsidRPr="00635A00">
        <w:rPr>
          <w:rFonts w:ascii="Times New Roman" w:hAnsi="Times New Roman" w:cs="Times New Roman"/>
          <w:color w:val="auto"/>
        </w:rPr>
        <w:t xml:space="preserve"> flexible, por </w:t>
      </w:r>
      <w:r w:rsidRPr="00635A00">
        <w:rPr>
          <w:rFonts w:ascii="Times New Roman" w:hAnsi="Times New Roman" w:cs="Times New Roman"/>
          <w:color w:val="auto"/>
        </w:rPr>
        <w:t>el otro.</w:t>
      </w:r>
      <w:r w:rsidRPr="00635A00">
        <w:rPr>
          <w:rFonts w:ascii="Times New Roman" w:hAnsi="Times New Roman" w:cs="Times New Roman"/>
          <w:color w:val="auto"/>
        </w:rPr>
        <w:t xml:space="preserve"> En primer lugar, </w:t>
      </w:r>
      <w:r w:rsidRPr="00635A00">
        <w:rPr>
          <w:rFonts w:ascii="Times New Roman" w:hAnsi="Times New Roman" w:cs="Times New Roman"/>
          <w:color w:val="auto"/>
        </w:rPr>
        <w:t>durante la plenaria del Senado la proposición con la que se incorporaron tales normas al articulado no fue publicada a través del medio ordinario señalado por la Ley 5ª de 1992, ni dada a conocer a través de mecanis</w:t>
      </w:r>
      <w:r w:rsidRPr="00635A00">
        <w:rPr>
          <w:rFonts w:ascii="Times New Roman" w:hAnsi="Times New Roman" w:cs="Times New Roman"/>
          <w:color w:val="auto"/>
        </w:rPr>
        <w:t>mos alternativos que permitieran a los senadores conocer el contenido de la referida proposición antes de que fuera aprobada</w:t>
      </w:r>
      <w:r w:rsidRPr="00635A00">
        <w:rPr>
          <w:rFonts w:ascii="Times New Roman" w:hAnsi="Times New Roman" w:cs="Times New Roman"/>
          <w:color w:val="auto"/>
        </w:rPr>
        <w:t>.</w:t>
      </w:r>
    </w:p>
    <w:p w:rsidR="009A1E9B" w:rsidRPr="00635A00" w:rsidRDefault="00635A00" w:rsidP="009A1E9B">
      <w:pPr>
        <w:pStyle w:val="Sombreadovistoso-nfasis31"/>
        <w:ind w:left="0"/>
        <w:rPr>
          <w:rFonts w:ascii="Times New Roman" w:hAnsi="Times New Roman" w:cs="Times New Roman"/>
          <w:color w:val="auto"/>
        </w:rPr>
      </w:pPr>
    </w:p>
    <w:p w:rsidR="009443EA" w:rsidRPr="00635A00" w:rsidRDefault="00635A00" w:rsidP="006F632A">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 xml:space="preserve">En segundo lugar, </w:t>
      </w:r>
      <w:r w:rsidRPr="00635A00">
        <w:rPr>
          <w:rFonts w:ascii="Times New Roman" w:hAnsi="Times New Roman" w:cs="Times New Roman"/>
          <w:color w:val="auto"/>
        </w:rPr>
        <w:t>la afectación del principio de publicidad trajo como consecuencia la violación del principio de consecutividad</w:t>
      </w:r>
      <w:r w:rsidRPr="00635A00">
        <w:rPr>
          <w:rFonts w:ascii="Times New Roman" w:hAnsi="Times New Roman" w:cs="Times New Roman"/>
          <w:color w:val="auto"/>
        </w:rPr>
        <w:t>,</w:t>
      </w:r>
      <w:r w:rsidRPr="00635A00">
        <w:rPr>
          <w:rFonts w:ascii="Times New Roman" w:hAnsi="Times New Roman" w:cs="Times New Roman"/>
          <w:color w:val="auto"/>
        </w:rPr>
        <w:t xml:space="preserve"> pues afectó las condiciones mínimas para el debate en la plenaria del Senado</w:t>
      </w:r>
      <w:r w:rsidRPr="00635A00">
        <w:rPr>
          <w:rFonts w:ascii="Times New Roman" w:hAnsi="Times New Roman" w:cs="Times New Roman"/>
          <w:color w:val="auto"/>
        </w:rPr>
        <w:t xml:space="preserve">. Además, </w:t>
      </w:r>
      <w:r w:rsidRPr="00635A00">
        <w:rPr>
          <w:rFonts w:ascii="Times New Roman" w:hAnsi="Times New Roman" w:cs="Times New Roman"/>
          <w:color w:val="auto"/>
        </w:rPr>
        <w:t>el principio de consecutividad</w:t>
      </w:r>
      <w:r w:rsidRPr="00635A00">
        <w:rPr>
          <w:rFonts w:ascii="Times New Roman" w:hAnsi="Times New Roman" w:cs="Times New Roman"/>
          <w:color w:val="auto"/>
        </w:rPr>
        <w:t xml:space="preserve">, así como el de identidad flexible, fueron desconocidos también por el hecho de que las normas demandadas, aunque </w:t>
      </w:r>
      <w:r w:rsidRPr="00635A00">
        <w:rPr>
          <w:rFonts w:ascii="Times New Roman" w:hAnsi="Times New Roman" w:cs="Times New Roman"/>
          <w:color w:val="auto"/>
        </w:rPr>
        <w:t>tiene</w:t>
      </w:r>
      <w:r w:rsidRPr="00635A00">
        <w:rPr>
          <w:rFonts w:ascii="Times New Roman" w:hAnsi="Times New Roman" w:cs="Times New Roman"/>
          <w:color w:val="auto"/>
        </w:rPr>
        <w:t>n</w:t>
      </w:r>
      <w:r w:rsidRPr="00635A00">
        <w:rPr>
          <w:rFonts w:ascii="Times New Roman" w:hAnsi="Times New Roman" w:cs="Times New Roman"/>
          <w:color w:val="auto"/>
        </w:rPr>
        <w:t xml:space="preserve"> </w:t>
      </w:r>
      <w:r w:rsidRPr="00635A00">
        <w:rPr>
          <w:rFonts w:ascii="Times New Roman" w:hAnsi="Times New Roman" w:cs="Times New Roman"/>
          <w:color w:val="auto"/>
        </w:rPr>
        <w:t xml:space="preserve">relación </w:t>
      </w:r>
      <w:r w:rsidRPr="00635A00">
        <w:rPr>
          <w:rFonts w:ascii="Times New Roman" w:hAnsi="Times New Roman" w:cs="Times New Roman"/>
          <w:color w:val="auto"/>
        </w:rPr>
        <w:t>con la m</w:t>
      </w:r>
      <w:r w:rsidRPr="00635A00">
        <w:rPr>
          <w:rFonts w:ascii="Times New Roman" w:hAnsi="Times New Roman" w:cs="Times New Roman"/>
          <w:color w:val="auto"/>
        </w:rPr>
        <w:t xml:space="preserve">ateria general del PND, </w:t>
      </w:r>
      <w:r w:rsidRPr="00635A00">
        <w:rPr>
          <w:rFonts w:ascii="Times New Roman" w:hAnsi="Times New Roman" w:cs="Times New Roman"/>
          <w:color w:val="auto"/>
        </w:rPr>
        <w:t xml:space="preserve">regulan asuntos que </w:t>
      </w:r>
      <w:r w:rsidRPr="00635A00">
        <w:rPr>
          <w:rFonts w:ascii="Times New Roman" w:hAnsi="Times New Roman" w:cs="Times New Roman"/>
          <w:color w:val="auto"/>
        </w:rPr>
        <w:t>no fue</w:t>
      </w:r>
      <w:r w:rsidRPr="00635A00">
        <w:rPr>
          <w:rFonts w:ascii="Times New Roman" w:hAnsi="Times New Roman" w:cs="Times New Roman"/>
          <w:color w:val="auto"/>
        </w:rPr>
        <w:t>ron</w:t>
      </w:r>
      <w:r w:rsidRPr="00635A00">
        <w:rPr>
          <w:rFonts w:ascii="Times New Roman" w:hAnsi="Times New Roman" w:cs="Times New Roman"/>
          <w:color w:val="auto"/>
        </w:rPr>
        <w:t xml:space="preserve"> tratado</w:t>
      </w:r>
      <w:r w:rsidRPr="00635A00">
        <w:rPr>
          <w:rFonts w:ascii="Times New Roman" w:hAnsi="Times New Roman" w:cs="Times New Roman"/>
          <w:color w:val="auto"/>
        </w:rPr>
        <w:t>s</w:t>
      </w:r>
      <w:r w:rsidRPr="00635A00">
        <w:rPr>
          <w:rFonts w:ascii="Times New Roman" w:hAnsi="Times New Roman" w:cs="Times New Roman"/>
          <w:color w:val="auto"/>
        </w:rPr>
        <w:t xml:space="preserve"> en </w:t>
      </w:r>
      <w:r w:rsidRPr="00635A00">
        <w:rPr>
          <w:rFonts w:ascii="Times New Roman" w:hAnsi="Times New Roman" w:cs="Times New Roman"/>
          <w:color w:val="auto"/>
        </w:rPr>
        <w:t xml:space="preserve">el </w:t>
      </w:r>
      <w:r w:rsidRPr="00635A00">
        <w:rPr>
          <w:rFonts w:ascii="Times New Roman" w:hAnsi="Times New Roman" w:cs="Times New Roman"/>
          <w:color w:val="auto"/>
        </w:rPr>
        <w:t>primer debate</w:t>
      </w:r>
      <w:r w:rsidRPr="00635A00">
        <w:rPr>
          <w:rFonts w:ascii="Times New Roman" w:hAnsi="Times New Roman" w:cs="Times New Roman"/>
          <w:color w:val="auto"/>
        </w:rPr>
        <w:t xml:space="preserve"> ante las comisiones económicas conjuntas de ambas cámaras legislativas</w:t>
      </w:r>
      <w:r w:rsidRPr="00635A00">
        <w:rPr>
          <w:rFonts w:ascii="Times New Roman" w:hAnsi="Times New Roman" w:cs="Times New Roman"/>
          <w:color w:val="auto"/>
        </w:rPr>
        <w:t>.</w:t>
      </w:r>
    </w:p>
    <w:p w:rsidR="009443EA" w:rsidRPr="00635A00" w:rsidRDefault="00635A00" w:rsidP="009443EA">
      <w:pPr>
        <w:pStyle w:val="Sombreadovistoso-nfasis31"/>
        <w:ind w:left="0"/>
        <w:rPr>
          <w:rFonts w:ascii="Times New Roman" w:hAnsi="Times New Roman" w:cs="Times New Roman"/>
          <w:color w:val="auto"/>
        </w:rPr>
      </w:pPr>
    </w:p>
    <w:p w:rsidR="00DF59F1" w:rsidRPr="00635A00" w:rsidRDefault="00635A00" w:rsidP="00A376FB">
      <w:pPr>
        <w:pStyle w:val="Sombreadovistoso-nfasis31"/>
        <w:numPr>
          <w:ilvl w:val="0"/>
          <w:numId w:val="3"/>
        </w:numPr>
        <w:rPr>
          <w:rFonts w:ascii="Times New Roman" w:hAnsi="Times New Roman" w:cs="Times New Roman"/>
          <w:color w:val="auto"/>
        </w:rPr>
      </w:pPr>
      <w:r w:rsidRPr="00635A00">
        <w:rPr>
          <w:rFonts w:ascii="Times New Roman" w:hAnsi="Times New Roman" w:cs="Times New Roman"/>
          <w:color w:val="auto"/>
        </w:rPr>
        <w:t>En consecuencia,</w:t>
      </w:r>
      <w:r w:rsidRPr="00635A00">
        <w:rPr>
          <w:rFonts w:ascii="Times New Roman" w:hAnsi="Times New Roman" w:cs="Times New Roman"/>
          <w:color w:val="auto"/>
        </w:rPr>
        <w:t xml:space="preserve"> por tratarse de vicios insubsanables,</w:t>
      </w:r>
      <w:r w:rsidRPr="00635A00">
        <w:rPr>
          <w:rFonts w:ascii="Times New Roman" w:hAnsi="Times New Roman" w:cs="Times New Roman"/>
          <w:color w:val="auto"/>
        </w:rPr>
        <w:t xml:space="preserve"> la Corte </w:t>
      </w:r>
      <w:r w:rsidRPr="00635A00">
        <w:rPr>
          <w:rFonts w:ascii="Times New Roman" w:hAnsi="Times New Roman" w:cs="Times New Roman"/>
          <w:color w:val="auto"/>
        </w:rPr>
        <w:t xml:space="preserve">declarará la inexequibilidad de </w:t>
      </w:r>
      <w:r w:rsidRPr="00635A00">
        <w:rPr>
          <w:rFonts w:ascii="Times New Roman" w:hAnsi="Times New Roman" w:cs="Times New Roman"/>
          <w:color w:val="auto"/>
        </w:rPr>
        <w:t xml:space="preserve">las </w:t>
      </w:r>
      <w:r w:rsidRPr="00635A00">
        <w:rPr>
          <w:rFonts w:ascii="Times New Roman" w:hAnsi="Times New Roman" w:cs="Times New Roman"/>
          <w:color w:val="auto"/>
        </w:rPr>
        <w:t>normas demandadas</w:t>
      </w:r>
      <w:r w:rsidRPr="00635A00">
        <w:rPr>
          <w:rFonts w:ascii="Times New Roman" w:hAnsi="Times New Roman" w:cs="Times New Roman"/>
          <w:color w:val="auto"/>
        </w:rPr>
        <w:t>, razón por la cual los procesos agrarios continuarán rigiéndose por el Decreto Ley 902 de 2017, expedido con el objeto de implementar el Punto 1 sobre Reforma Rural Integral del Acuerdo Final de Paz.</w:t>
      </w:r>
      <w:r w:rsidRPr="00635A00">
        <w:rPr>
          <w:rFonts w:ascii="Times New Roman" w:hAnsi="Times New Roman" w:cs="Times New Roman"/>
          <w:color w:val="auto"/>
        </w:rPr>
        <w:t xml:space="preserve"> </w:t>
      </w:r>
      <w:r w:rsidRPr="00635A00">
        <w:rPr>
          <w:rFonts w:ascii="Times New Roman" w:hAnsi="Times New Roman" w:cs="Times New Roman"/>
          <w:color w:val="auto"/>
        </w:rPr>
        <w:t>C</w:t>
      </w:r>
      <w:r w:rsidRPr="00635A00">
        <w:rPr>
          <w:rFonts w:ascii="Times New Roman" w:hAnsi="Times New Roman" w:cs="Times New Roman"/>
          <w:color w:val="auto"/>
        </w:rPr>
        <w:t xml:space="preserve">omo quiera </w:t>
      </w:r>
      <w:r w:rsidRPr="00635A00">
        <w:rPr>
          <w:rFonts w:ascii="Times New Roman" w:hAnsi="Times New Roman" w:cs="Times New Roman"/>
          <w:color w:val="auto"/>
        </w:rPr>
        <w:t>esta decisión</w:t>
      </w:r>
      <w:r w:rsidRPr="00635A00">
        <w:rPr>
          <w:rFonts w:ascii="Times New Roman" w:hAnsi="Times New Roman" w:cs="Times New Roman"/>
          <w:color w:val="auto"/>
        </w:rPr>
        <w:t xml:space="preserve"> implica </w:t>
      </w:r>
      <w:r w:rsidRPr="00635A00">
        <w:rPr>
          <w:rFonts w:ascii="Times New Roman" w:hAnsi="Times New Roman" w:cs="Times New Roman"/>
          <w:color w:val="auto"/>
        </w:rPr>
        <w:t>la</w:t>
      </w:r>
      <w:r w:rsidRPr="00635A00">
        <w:rPr>
          <w:rFonts w:ascii="Times New Roman" w:hAnsi="Times New Roman" w:cs="Times New Roman"/>
          <w:color w:val="auto"/>
        </w:rPr>
        <w:t xml:space="preserve"> i</w:t>
      </w:r>
      <w:r w:rsidRPr="00635A00">
        <w:rPr>
          <w:rFonts w:ascii="Times New Roman" w:hAnsi="Times New Roman" w:cs="Times New Roman"/>
          <w:color w:val="auto"/>
        </w:rPr>
        <w:t>nmediata expulsión del ordenamiento jurídico</w:t>
      </w:r>
      <w:r w:rsidRPr="00635A00">
        <w:rPr>
          <w:rFonts w:ascii="Times New Roman" w:hAnsi="Times New Roman" w:cs="Times New Roman"/>
          <w:color w:val="auto"/>
        </w:rPr>
        <w:t xml:space="preserve"> </w:t>
      </w:r>
      <w:r w:rsidRPr="00635A00">
        <w:rPr>
          <w:rFonts w:ascii="Times New Roman" w:hAnsi="Times New Roman" w:cs="Times New Roman"/>
          <w:color w:val="auto"/>
        </w:rPr>
        <w:t>los preceptos demandados</w:t>
      </w:r>
      <w:r w:rsidRPr="00635A00">
        <w:rPr>
          <w:rFonts w:ascii="Times New Roman" w:hAnsi="Times New Roman" w:cs="Times New Roman"/>
          <w:color w:val="auto"/>
        </w:rPr>
        <w:t>, por sustracción de materia resulta innecesario pronunciarse sobre los cargos de fondo</w:t>
      </w:r>
      <w:r w:rsidRPr="00635A00">
        <w:rPr>
          <w:rFonts w:ascii="Times New Roman" w:hAnsi="Times New Roman" w:cs="Times New Roman"/>
          <w:color w:val="auto"/>
        </w:rPr>
        <w:t xml:space="preserve"> formulados por los </w:t>
      </w:r>
      <w:r w:rsidRPr="00635A00">
        <w:rPr>
          <w:rFonts w:ascii="Times New Roman" w:hAnsi="Times New Roman" w:cs="Times New Roman"/>
          <w:color w:val="auto"/>
        </w:rPr>
        <w:t>accionantes</w:t>
      </w:r>
      <w:r w:rsidRPr="00635A00">
        <w:rPr>
          <w:rFonts w:ascii="Times New Roman" w:hAnsi="Times New Roman" w:cs="Times New Roman"/>
          <w:color w:val="auto"/>
        </w:rPr>
        <w:t>, y sobre la posibilidad excepcional de entrar a examinar los reproch</w:t>
      </w:r>
      <w:r w:rsidRPr="00635A00">
        <w:rPr>
          <w:rFonts w:ascii="Times New Roman" w:hAnsi="Times New Roman" w:cs="Times New Roman"/>
          <w:color w:val="auto"/>
        </w:rPr>
        <w:t>es adicionales planteados por los intervinientes.</w:t>
      </w:r>
    </w:p>
    <w:p w:rsidR="00B15E36" w:rsidRPr="00635A00" w:rsidRDefault="00635A00" w:rsidP="003F12F4">
      <w:pPr>
        <w:rPr>
          <w:rFonts w:ascii="Times New Roman" w:hAnsi="Times New Roman" w:cs="Times New Roman"/>
          <w:b/>
          <w:bCs/>
          <w:sz w:val="28"/>
          <w:lang w:val="es-ES"/>
        </w:rPr>
      </w:pPr>
    </w:p>
    <w:p w:rsidR="003D350D" w:rsidRPr="00635A00" w:rsidRDefault="00635A00" w:rsidP="003D350D">
      <w:pPr>
        <w:pStyle w:val="Sombreadovistoso-nfasis31"/>
        <w:numPr>
          <w:ilvl w:val="0"/>
          <w:numId w:val="2"/>
        </w:numPr>
        <w:tabs>
          <w:tab w:val="left" w:pos="567"/>
        </w:tabs>
        <w:ind w:left="0" w:firstLine="0"/>
        <w:rPr>
          <w:rFonts w:ascii="Times New Roman" w:hAnsi="Times New Roman" w:cs="Times New Roman"/>
          <w:b/>
          <w:bCs/>
          <w:color w:val="auto"/>
        </w:rPr>
      </w:pPr>
      <w:r w:rsidRPr="00635A00">
        <w:rPr>
          <w:rFonts w:ascii="Times New Roman" w:hAnsi="Times New Roman" w:cs="Times New Roman"/>
          <w:b/>
          <w:bCs/>
          <w:color w:val="auto"/>
        </w:rPr>
        <w:t>DECISIÓN</w:t>
      </w:r>
    </w:p>
    <w:p w:rsidR="00B15E36" w:rsidRPr="00635A00" w:rsidRDefault="00635A00" w:rsidP="003F12F4">
      <w:pPr>
        <w:rPr>
          <w:rFonts w:ascii="Times New Roman" w:hAnsi="Times New Roman" w:cs="Times New Roman"/>
          <w:sz w:val="28"/>
          <w:szCs w:val="28"/>
        </w:rPr>
      </w:pPr>
    </w:p>
    <w:p w:rsidR="00B15E36" w:rsidRPr="00635A00" w:rsidRDefault="00635A00" w:rsidP="003D350D">
      <w:pPr>
        <w:jc w:val="both"/>
        <w:rPr>
          <w:rFonts w:ascii="Times New Roman" w:hAnsi="Times New Roman" w:cs="Times New Roman"/>
          <w:sz w:val="28"/>
          <w:szCs w:val="28"/>
        </w:rPr>
      </w:pPr>
      <w:r w:rsidRPr="00635A00">
        <w:rPr>
          <w:rFonts w:ascii="Times New Roman" w:hAnsi="Times New Roman" w:cs="Times New Roman"/>
          <w:sz w:val="28"/>
          <w:szCs w:val="28"/>
        </w:rPr>
        <w:t xml:space="preserve">En mérito de lo expuesto, la Sala Plena de la Corte Constitucional de la República de Colombia, administrando justicia en nombre del pueblo y por mandato de la Constitución, </w:t>
      </w:r>
    </w:p>
    <w:p w:rsidR="00B15E36" w:rsidRPr="00635A00" w:rsidRDefault="00635A00" w:rsidP="003F12F4">
      <w:pPr>
        <w:rPr>
          <w:rFonts w:ascii="Times New Roman" w:hAnsi="Times New Roman" w:cs="Times New Roman"/>
          <w:sz w:val="28"/>
          <w:szCs w:val="28"/>
        </w:rPr>
      </w:pPr>
    </w:p>
    <w:p w:rsidR="003D350D" w:rsidRPr="00635A00" w:rsidRDefault="00635A00" w:rsidP="003D350D">
      <w:pPr>
        <w:jc w:val="center"/>
        <w:rPr>
          <w:rFonts w:ascii="Times New Roman" w:hAnsi="Times New Roman" w:cs="Times New Roman"/>
          <w:b/>
          <w:sz w:val="28"/>
          <w:szCs w:val="28"/>
        </w:rPr>
      </w:pPr>
      <w:r w:rsidRPr="00635A00">
        <w:rPr>
          <w:rFonts w:ascii="Times New Roman" w:hAnsi="Times New Roman" w:cs="Times New Roman"/>
          <w:b/>
          <w:sz w:val="28"/>
          <w:szCs w:val="28"/>
        </w:rPr>
        <w:t>RESUELVE</w:t>
      </w:r>
    </w:p>
    <w:p w:rsidR="003D350D" w:rsidRPr="00635A00" w:rsidRDefault="00635A00" w:rsidP="003F12F4">
      <w:pPr>
        <w:rPr>
          <w:rFonts w:ascii="Times New Roman" w:hAnsi="Times New Roman" w:cs="Times New Roman"/>
          <w:sz w:val="28"/>
          <w:szCs w:val="28"/>
        </w:rPr>
      </w:pPr>
    </w:p>
    <w:p w:rsidR="003D350D" w:rsidRPr="00635A00" w:rsidRDefault="00635A00" w:rsidP="003D350D">
      <w:pPr>
        <w:jc w:val="both"/>
        <w:rPr>
          <w:rFonts w:ascii="Times New Roman" w:hAnsi="Times New Roman" w:cs="Times New Roman"/>
          <w:sz w:val="28"/>
          <w:szCs w:val="28"/>
        </w:rPr>
      </w:pPr>
      <w:r w:rsidRPr="00635A00">
        <w:rPr>
          <w:rFonts w:ascii="Times New Roman" w:hAnsi="Times New Roman" w:cs="Times New Roman"/>
          <w:b/>
          <w:bCs/>
          <w:sz w:val="28"/>
          <w:szCs w:val="28"/>
        </w:rPr>
        <w:t>Único.</w:t>
      </w:r>
      <w:r w:rsidRPr="00635A00">
        <w:rPr>
          <w:rFonts w:ascii="Times New Roman" w:hAnsi="Times New Roman" w:cs="Times New Roman"/>
          <w:sz w:val="28"/>
          <w:szCs w:val="28"/>
        </w:rPr>
        <w:t xml:space="preserve"> Declarar </w:t>
      </w:r>
      <w:r w:rsidRPr="00635A00">
        <w:rPr>
          <w:rFonts w:ascii="Times New Roman" w:hAnsi="Times New Roman" w:cs="Times New Roman"/>
          <w:b/>
          <w:bCs/>
          <w:sz w:val="28"/>
          <w:szCs w:val="28"/>
        </w:rPr>
        <w:t>INEXEQUIBLES</w:t>
      </w:r>
      <w:r w:rsidRPr="00635A00">
        <w:rPr>
          <w:rFonts w:ascii="Times New Roman" w:hAnsi="Times New Roman" w:cs="Times New Roman"/>
          <w:sz w:val="28"/>
          <w:szCs w:val="28"/>
        </w:rPr>
        <w:t xml:space="preserve"> el </w:t>
      </w:r>
      <w:r w:rsidRPr="00635A00">
        <w:rPr>
          <w:rFonts w:ascii="Times New Roman" w:hAnsi="Times New Roman" w:cs="Times New Roman"/>
          <w:bCs/>
          <w:sz w:val="28"/>
          <w:szCs w:val="28"/>
        </w:rPr>
        <w:t xml:space="preserve">numeral </w:t>
      </w:r>
      <w:r w:rsidRPr="00635A00">
        <w:rPr>
          <w:rFonts w:ascii="Times New Roman" w:hAnsi="Times New Roman" w:cs="Times New Roman"/>
          <w:bCs/>
          <w:sz w:val="28"/>
          <w:szCs w:val="28"/>
        </w:rPr>
        <w:t>6°</w:t>
      </w:r>
      <w:r w:rsidRPr="00635A00">
        <w:rPr>
          <w:rFonts w:ascii="Times New Roman" w:hAnsi="Times New Roman" w:cs="Times New Roman"/>
          <w:bCs/>
          <w:sz w:val="28"/>
          <w:szCs w:val="28"/>
        </w:rPr>
        <w:t xml:space="preserve"> y el parágrafo </w:t>
      </w:r>
      <w:r w:rsidRPr="00635A00">
        <w:rPr>
          <w:rFonts w:ascii="Times New Roman" w:hAnsi="Times New Roman" w:cs="Times New Roman"/>
          <w:bCs/>
          <w:sz w:val="28"/>
          <w:szCs w:val="28"/>
        </w:rPr>
        <w:t>3°</w:t>
      </w:r>
      <w:r w:rsidRPr="00635A00">
        <w:rPr>
          <w:rFonts w:ascii="Times New Roman" w:hAnsi="Times New Roman" w:cs="Times New Roman"/>
          <w:bCs/>
          <w:sz w:val="28"/>
          <w:szCs w:val="28"/>
        </w:rPr>
        <w:t xml:space="preserve"> del artículo 61 de la Ley 2294 de 2023, </w:t>
      </w:r>
      <w:r w:rsidRPr="00635A00">
        <w:rPr>
          <w:rFonts w:ascii="Times New Roman" w:hAnsi="Times New Roman" w:cs="Times New Roman"/>
          <w:sz w:val="28"/>
          <w:szCs w:val="28"/>
        </w:rPr>
        <w:t>“[p]or [la] cual se expide el Plan Nacional de Desarrollo 2022-2026 ‘Colombia Potencia Mundial de la Vida’”.</w:t>
      </w:r>
    </w:p>
    <w:p w:rsidR="003D350D" w:rsidRPr="00635A00" w:rsidRDefault="00635A00" w:rsidP="003D350D">
      <w:pPr>
        <w:jc w:val="both"/>
        <w:rPr>
          <w:rFonts w:ascii="Times New Roman" w:hAnsi="Times New Roman" w:cs="Times New Roman"/>
          <w:sz w:val="28"/>
          <w:szCs w:val="28"/>
        </w:rPr>
      </w:pPr>
    </w:p>
    <w:p w:rsidR="003D350D" w:rsidRPr="00635A00" w:rsidRDefault="00635A00" w:rsidP="003D350D">
      <w:pPr>
        <w:jc w:val="both"/>
        <w:rPr>
          <w:rFonts w:ascii="Times New Roman" w:hAnsi="Times New Roman" w:cs="Times New Roman"/>
          <w:sz w:val="28"/>
          <w:szCs w:val="28"/>
        </w:rPr>
      </w:pPr>
      <w:r w:rsidRPr="00635A00">
        <w:rPr>
          <w:rFonts w:ascii="Times New Roman" w:hAnsi="Times New Roman" w:cs="Times New Roman"/>
          <w:sz w:val="28"/>
          <w:szCs w:val="28"/>
        </w:rPr>
        <w:t>Notifíquese y cúmplase</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w:t>
      </w:r>
    </w:p>
    <w:p w:rsidR="00201C01" w:rsidRPr="00635A00" w:rsidRDefault="00635A00" w:rsidP="003F12F4">
      <w:pPr>
        <w:rPr>
          <w:rFonts w:ascii="Times New Roman" w:hAnsi="Times New Roman" w:cs="Times New Roman"/>
          <w:sz w:val="28"/>
          <w:szCs w:val="28"/>
        </w:rPr>
      </w:pPr>
    </w:p>
    <w:p w:rsidR="004E69A1" w:rsidRPr="00635A00" w:rsidRDefault="00635A00" w:rsidP="006C7C70">
      <w:pPr>
        <w:pStyle w:val="Prrafodelista"/>
        <w:tabs>
          <w:tab w:val="left" w:pos="567"/>
        </w:tabs>
        <w:ind w:left="0"/>
        <w:rPr>
          <w:rFonts w:ascii="Times New Roman" w:hAnsi="Times New Roman" w:cs="Times New Roman"/>
          <w:color w:val="auto"/>
          <w:szCs w:val="24"/>
          <w:lang w:val="es-CO" w:eastAsia="es-CO"/>
        </w:rPr>
      </w:pPr>
    </w:p>
    <w:p w:rsidR="00CE0AEB" w:rsidRPr="00635A00" w:rsidRDefault="00635A00" w:rsidP="006C7C70">
      <w:pPr>
        <w:pStyle w:val="Prrafodelista"/>
        <w:tabs>
          <w:tab w:val="left" w:pos="567"/>
        </w:tabs>
        <w:ind w:left="0"/>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JOSE FERNANDO REYES CUA</w:t>
      </w:r>
      <w:r w:rsidRPr="00635A00">
        <w:rPr>
          <w:rFonts w:ascii="Times New Roman" w:hAnsi="Times New Roman" w:cs="Times New Roman"/>
          <w:color w:val="auto"/>
          <w:szCs w:val="24"/>
          <w:lang w:val="es-CO" w:eastAsia="es-CO"/>
        </w:rPr>
        <w:t>RTAS</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Presidente</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Presidente(a) con comisión</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NATALIA ÁNGEL CABO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Magistrada</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JUAN CARLOS CORTÉS GONZÁLEZ</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DIANA FAJARDO RIVERA</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Magistrada</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Con salvamento parcial de voto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VLADIMIR FERNÁNDEZ ANDRADE</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Con impedimento aceptado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 xml:space="preserve">JORGE ENRIQUE IBÁÑEZ NAJAR </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Con aclaración de voto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ANTONIO JOSÉ LIZARAZO OCAMPO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Con aclaración de voto</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PAOLA ANDREA MENESES MOSQUERA</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Magistrada</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CRISTINA PARDO SCHLESINGER</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Magistrada</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ANDREA LILIANA ROMERO LOPEZ</w:t>
      </w:r>
    </w:p>
    <w:p w:rsidR="00CE0AEB" w:rsidRPr="00635A00" w:rsidRDefault="00635A00" w:rsidP="00CE0AEB">
      <w:pPr>
        <w:pStyle w:val="Prrafodelista"/>
        <w:tabs>
          <w:tab w:val="left" w:pos="567"/>
        </w:tabs>
        <w:ind w:left="0"/>
        <w:jc w:val="center"/>
        <w:rPr>
          <w:rFonts w:ascii="Times New Roman" w:hAnsi="Times New Roman" w:cs="Times New Roman"/>
          <w:color w:val="auto"/>
          <w:szCs w:val="24"/>
          <w:lang w:val="es-CO" w:eastAsia="es-CO"/>
        </w:rPr>
      </w:pPr>
      <w:r w:rsidRPr="00635A00">
        <w:rPr>
          <w:rFonts w:ascii="Times New Roman" w:hAnsi="Times New Roman" w:cs="Times New Roman"/>
          <w:color w:val="auto"/>
          <w:szCs w:val="24"/>
          <w:lang w:val="es-CO" w:eastAsia="es-CO"/>
        </w:rPr>
        <w:t xml:space="preserve">Secretaria </w:t>
      </w:r>
      <w:r w:rsidRPr="00635A00">
        <w:rPr>
          <w:rFonts w:ascii="Times New Roman" w:hAnsi="Times New Roman" w:cs="Times New Roman"/>
          <w:color w:val="auto"/>
          <w:szCs w:val="24"/>
          <w:lang w:val="es-CO" w:eastAsia="es-CO"/>
        </w:rPr>
        <w:t>General</w:t>
      </w:r>
    </w:p>
    <w:p w:rsidR="00D63159" w:rsidRPr="00635A00" w:rsidRDefault="00635A00" w:rsidP="00A116BE">
      <w:pPr>
        <w:shd w:val="clear" w:color="auto" w:fill="FFFFFF"/>
        <w:jc w:val="center"/>
        <w:textAlignment w:val="baseline"/>
        <w:rPr>
          <w:rFonts w:ascii="Times New Roman" w:hAnsi="Times New Roman" w:cs="Times New Roman"/>
          <w:b/>
          <w:bCs/>
          <w:sz w:val="28"/>
          <w:szCs w:val="28"/>
          <w:bdr w:val="none" w:sz="0" w:space="0" w:color="auto" w:frame="1"/>
          <w:lang w:eastAsia="es-MX"/>
        </w:rPr>
      </w:pPr>
    </w:p>
    <w:p w:rsidR="00D63159" w:rsidRPr="00635A00" w:rsidRDefault="00635A00" w:rsidP="00A116BE">
      <w:pPr>
        <w:shd w:val="clear" w:color="auto" w:fill="FFFFFF"/>
        <w:jc w:val="center"/>
        <w:textAlignment w:val="baseline"/>
        <w:rPr>
          <w:rFonts w:ascii="Times New Roman" w:hAnsi="Times New Roman" w:cs="Times New Roman"/>
          <w:b/>
          <w:bCs/>
          <w:sz w:val="28"/>
          <w:szCs w:val="28"/>
          <w:bdr w:val="none" w:sz="0" w:space="0" w:color="auto" w:frame="1"/>
          <w:lang w:eastAsia="es-MX"/>
        </w:rPr>
      </w:pPr>
    </w:p>
    <w:p w:rsidR="00A116BE" w:rsidRPr="00635A00" w:rsidRDefault="00635A00" w:rsidP="00A116BE">
      <w:pPr>
        <w:shd w:val="clear" w:color="auto" w:fill="FFFFFF"/>
        <w:jc w:val="center"/>
        <w:textAlignment w:val="baseline"/>
        <w:rPr>
          <w:rFonts w:ascii="Times New Roman" w:hAnsi="Times New Roman" w:cs="Times New Roman"/>
          <w:b/>
          <w:bCs/>
          <w:sz w:val="28"/>
          <w:szCs w:val="28"/>
          <w:bdr w:val="none" w:sz="0" w:space="0" w:color="auto" w:frame="1"/>
          <w:lang w:eastAsia="es-MX"/>
        </w:rPr>
      </w:pPr>
      <w:r w:rsidRPr="00635A00">
        <w:rPr>
          <w:rFonts w:ascii="Times New Roman" w:hAnsi="Times New Roman" w:cs="Times New Roman"/>
          <w:b/>
          <w:bCs/>
          <w:sz w:val="28"/>
          <w:szCs w:val="28"/>
          <w:bdr w:val="none" w:sz="0" w:space="0" w:color="auto" w:frame="1"/>
          <w:lang w:eastAsia="es-MX"/>
        </w:rPr>
        <w:t>ACLARACIÓN</w:t>
      </w:r>
      <w:r w:rsidRPr="00635A00">
        <w:rPr>
          <w:rFonts w:ascii="Times New Roman" w:hAnsi="Times New Roman" w:cs="Times New Roman"/>
          <w:b/>
          <w:bCs/>
          <w:sz w:val="28"/>
          <w:szCs w:val="28"/>
          <w:bdr w:val="none" w:sz="0" w:space="0" w:color="auto" w:frame="1"/>
          <w:lang w:eastAsia="es-MX"/>
        </w:rPr>
        <w:t xml:space="preserve"> DE VOTO DEL MAGISTRADO</w:t>
      </w:r>
    </w:p>
    <w:p w:rsidR="00A116BE" w:rsidRPr="00635A00" w:rsidRDefault="00635A00" w:rsidP="00A116BE">
      <w:pPr>
        <w:shd w:val="clear" w:color="auto" w:fill="FFFFFF"/>
        <w:jc w:val="center"/>
        <w:textAlignment w:val="baseline"/>
        <w:rPr>
          <w:rFonts w:ascii="Times New Roman" w:hAnsi="Times New Roman" w:cs="Times New Roman"/>
          <w:b/>
          <w:bCs/>
          <w:sz w:val="28"/>
          <w:szCs w:val="28"/>
          <w:bdr w:val="none" w:sz="0" w:space="0" w:color="auto" w:frame="1"/>
          <w:lang w:eastAsia="es-MX"/>
        </w:rPr>
      </w:pPr>
      <w:r w:rsidRPr="00635A00">
        <w:rPr>
          <w:rFonts w:ascii="Times New Roman" w:hAnsi="Times New Roman" w:cs="Times New Roman"/>
          <w:b/>
          <w:bCs/>
          <w:sz w:val="28"/>
          <w:szCs w:val="28"/>
          <w:bdr w:val="none" w:sz="0" w:space="0" w:color="auto" w:frame="1"/>
          <w:lang w:eastAsia="es-MX"/>
        </w:rPr>
        <w:t>JORGE ENRIQUE IBÁÑEZ NAJAR</w:t>
      </w:r>
    </w:p>
    <w:p w:rsidR="00A116BE" w:rsidRPr="00635A00" w:rsidRDefault="00635A00" w:rsidP="00A116BE">
      <w:pPr>
        <w:shd w:val="clear" w:color="auto" w:fill="FFFFFF"/>
        <w:jc w:val="center"/>
        <w:textAlignment w:val="baseline"/>
        <w:rPr>
          <w:rFonts w:ascii="Times New Roman" w:hAnsi="Times New Roman" w:cs="Times New Roman"/>
          <w:b/>
          <w:bCs/>
          <w:sz w:val="28"/>
          <w:szCs w:val="28"/>
          <w:bdr w:val="none" w:sz="0" w:space="0" w:color="auto" w:frame="1"/>
          <w:lang w:eastAsia="es-MX"/>
        </w:rPr>
      </w:pPr>
      <w:r w:rsidRPr="00635A00">
        <w:rPr>
          <w:rFonts w:ascii="Times New Roman" w:hAnsi="Times New Roman" w:cs="Times New Roman"/>
          <w:b/>
          <w:bCs/>
          <w:sz w:val="28"/>
          <w:szCs w:val="28"/>
          <w:bdr w:val="none" w:sz="0" w:space="0" w:color="auto" w:frame="1"/>
          <w:lang w:eastAsia="es-MX"/>
        </w:rPr>
        <w:t>A LA SENTENCIA C-</w:t>
      </w:r>
      <w:r w:rsidRPr="00635A00">
        <w:rPr>
          <w:rFonts w:ascii="Times New Roman" w:hAnsi="Times New Roman" w:cs="Times New Roman"/>
          <w:b/>
          <w:bCs/>
          <w:sz w:val="28"/>
          <w:szCs w:val="28"/>
          <w:bdr w:val="none" w:sz="0" w:space="0" w:color="auto" w:frame="1"/>
          <w:lang w:eastAsia="es-MX"/>
        </w:rPr>
        <w:t>294</w:t>
      </w:r>
      <w:r w:rsidRPr="00635A00">
        <w:rPr>
          <w:rFonts w:ascii="Times New Roman" w:hAnsi="Times New Roman" w:cs="Times New Roman"/>
          <w:b/>
          <w:bCs/>
          <w:sz w:val="28"/>
          <w:szCs w:val="28"/>
          <w:bdr w:val="none" w:sz="0" w:space="0" w:color="auto" w:frame="1"/>
          <w:lang w:eastAsia="es-MX"/>
        </w:rPr>
        <w:t>/</w:t>
      </w:r>
      <w:r w:rsidRPr="00635A00">
        <w:rPr>
          <w:rFonts w:ascii="Times New Roman" w:hAnsi="Times New Roman" w:cs="Times New Roman"/>
          <w:b/>
          <w:bCs/>
          <w:sz w:val="28"/>
          <w:szCs w:val="28"/>
          <w:bdr w:val="none" w:sz="0" w:space="0" w:color="auto" w:frame="1"/>
          <w:lang w:eastAsia="es-MX"/>
        </w:rPr>
        <w:t>24</w:t>
      </w:r>
    </w:p>
    <w:p w:rsidR="00A116BE" w:rsidRPr="00635A00" w:rsidRDefault="00635A00" w:rsidP="00A116BE">
      <w:pPr>
        <w:shd w:val="clear" w:color="auto" w:fill="FFFFFF"/>
        <w:jc w:val="center"/>
        <w:textAlignment w:val="baseline"/>
        <w:rPr>
          <w:rFonts w:ascii="Times New Roman" w:hAnsi="Times New Roman" w:cs="Times New Roman"/>
          <w:b/>
          <w:bCs/>
          <w:sz w:val="28"/>
          <w:szCs w:val="28"/>
          <w:bdr w:val="none" w:sz="0" w:space="0" w:color="auto" w:frame="1"/>
          <w:lang w:eastAsia="es-MX"/>
        </w:rPr>
      </w:pPr>
    </w:p>
    <w:p w:rsidR="00A116BE" w:rsidRPr="00635A00" w:rsidRDefault="00635A00" w:rsidP="00A116BE">
      <w:pPr>
        <w:shd w:val="clear" w:color="auto" w:fill="FFFFFF"/>
        <w:jc w:val="center"/>
        <w:textAlignment w:val="baseline"/>
        <w:rPr>
          <w:rFonts w:ascii="Times New Roman" w:hAnsi="Times New Roman" w:cs="Times New Roman"/>
          <w:sz w:val="28"/>
          <w:szCs w:val="28"/>
          <w:lang w:eastAsia="es-MX"/>
        </w:rPr>
      </w:pPr>
    </w:p>
    <w:p w:rsidR="00A116BE" w:rsidRPr="00635A00" w:rsidRDefault="00635A00" w:rsidP="00A116BE">
      <w:pPr>
        <w:shd w:val="clear" w:color="auto" w:fill="FFFFFF"/>
        <w:ind w:left="3969"/>
        <w:jc w:val="both"/>
        <w:textAlignment w:val="baseline"/>
        <w:rPr>
          <w:rFonts w:ascii="Times New Roman" w:hAnsi="Times New Roman" w:cs="Times New Roman"/>
          <w:sz w:val="28"/>
          <w:szCs w:val="28"/>
          <w:bdr w:val="none" w:sz="0" w:space="0" w:color="auto" w:frame="1"/>
          <w:lang w:eastAsia="es-MX"/>
        </w:rPr>
      </w:pPr>
      <w:r w:rsidRPr="00635A00">
        <w:rPr>
          <w:rFonts w:ascii="Times New Roman" w:hAnsi="Times New Roman" w:cs="Times New Roman"/>
          <w:sz w:val="28"/>
          <w:szCs w:val="28"/>
          <w:bdr w:val="none" w:sz="0" w:space="0" w:color="auto" w:frame="1"/>
          <w:lang w:eastAsia="es-MX"/>
        </w:rPr>
        <w:t> </w:t>
      </w:r>
    </w:p>
    <w:p w:rsidR="00A116BE" w:rsidRPr="00635A00" w:rsidRDefault="00635A00" w:rsidP="00A116BE">
      <w:pPr>
        <w:shd w:val="clear" w:color="auto" w:fill="FFFFFF"/>
        <w:ind w:left="3969"/>
        <w:jc w:val="both"/>
        <w:textAlignment w:val="baseline"/>
        <w:rPr>
          <w:rFonts w:ascii="Times New Roman" w:hAnsi="Times New Roman" w:cs="Times New Roman"/>
          <w:sz w:val="28"/>
          <w:szCs w:val="28"/>
          <w:bdr w:val="none" w:sz="0" w:space="0" w:color="auto" w:frame="1"/>
          <w:lang w:eastAsia="es-MX"/>
        </w:rPr>
      </w:pPr>
      <w:r w:rsidRPr="00635A00">
        <w:rPr>
          <w:rFonts w:ascii="Times New Roman" w:hAnsi="Times New Roman" w:cs="Times New Roman"/>
          <w:bCs/>
          <w:sz w:val="28"/>
          <w:szCs w:val="28"/>
          <w:bdr w:val="none" w:sz="0" w:space="0" w:color="auto" w:frame="1"/>
          <w:lang w:eastAsia="es-MX"/>
        </w:rPr>
        <w:t>Expediente:</w:t>
      </w:r>
      <w:r w:rsidRPr="00635A00">
        <w:rPr>
          <w:rFonts w:ascii="Times New Roman" w:hAnsi="Times New Roman" w:cs="Times New Roman"/>
          <w:sz w:val="28"/>
          <w:szCs w:val="28"/>
          <w:bdr w:val="none" w:sz="0" w:space="0" w:color="auto" w:frame="1"/>
          <w:lang w:eastAsia="es-MX"/>
        </w:rPr>
        <w:t xml:space="preserve"> D-1</w:t>
      </w:r>
      <w:r w:rsidRPr="00635A00">
        <w:rPr>
          <w:rFonts w:ascii="Times New Roman" w:hAnsi="Times New Roman" w:cs="Times New Roman"/>
          <w:sz w:val="28"/>
          <w:szCs w:val="28"/>
          <w:bdr w:val="none" w:sz="0" w:space="0" w:color="auto" w:frame="1"/>
          <w:lang w:eastAsia="es-MX"/>
        </w:rPr>
        <w:t>5</w:t>
      </w:r>
      <w:r w:rsidRPr="00635A00">
        <w:rPr>
          <w:rFonts w:ascii="Times New Roman" w:hAnsi="Times New Roman" w:cs="Times New Roman"/>
          <w:sz w:val="28"/>
          <w:szCs w:val="28"/>
          <w:bdr w:val="none" w:sz="0" w:space="0" w:color="auto" w:frame="1"/>
          <w:lang w:eastAsia="es-MX"/>
        </w:rPr>
        <w:t>438 AC</w:t>
      </w:r>
    </w:p>
    <w:p w:rsidR="00A116BE" w:rsidRPr="00635A00" w:rsidRDefault="00635A00" w:rsidP="00A116BE">
      <w:pPr>
        <w:shd w:val="clear" w:color="auto" w:fill="FFFFFF"/>
        <w:ind w:left="3969"/>
        <w:jc w:val="both"/>
        <w:textAlignment w:val="baseline"/>
        <w:rPr>
          <w:rFonts w:ascii="Times New Roman" w:hAnsi="Times New Roman" w:cs="Times New Roman"/>
          <w:sz w:val="28"/>
          <w:szCs w:val="28"/>
          <w:lang w:eastAsia="es-MX"/>
        </w:rPr>
      </w:pPr>
    </w:p>
    <w:p w:rsidR="00A116BE" w:rsidRPr="00635A00" w:rsidRDefault="00635A00" w:rsidP="00A116BE">
      <w:pPr>
        <w:ind w:left="3969"/>
        <w:rPr>
          <w:rFonts w:ascii="Times New Roman" w:hAnsi="Times New Roman" w:cs="Times New Roman"/>
          <w:sz w:val="28"/>
          <w:szCs w:val="28"/>
          <w:lang w:eastAsia="es-MX"/>
        </w:rPr>
      </w:pPr>
      <w:r w:rsidRPr="00635A00">
        <w:rPr>
          <w:rFonts w:ascii="Times New Roman" w:hAnsi="Times New Roman" w:cs="Times New Roman"/>
          <w:sz w:val="28"/>
          <w:szCs w:val="28"/>
          <w:bdr w:val="none" w:sz="0" w:space="0" w:color="auto" w:frame="1"/>
          <w:lang w:eastAsia="es-MX"/>
        </w:rPr>
        <w:t xml:space="preserve">M.P.: </w:t>
      </w:r>
      <w:r w:rsidRPr="00635A00">
        <w:rPr>
          <w:rFonts w:ascii="Times New Roman" w:hAnsi="Times New Roman" w:cs="Times New Roman"/>
          <w:sz w:val="28"/>
          <w:szCs w:val="28"/>
          <w:shd w:val="clear" w:color="auto" w:fill="FFFFFF"/>
          <w:lang w:eastAsia="es-MX"/>
        </w:rPr>
        <w:t>Natalia Ángel Cabo</w:t>
      </w:r>
    </w:p>
    <w:p w:rsidR="00A116BE" w:rsidRPr="00635A00" w:rsidRDefault="00635A00" w:rsidP="00A116BE">
      <w:pPr>
        <w:shd w:val="clear" w:color="auto" w:fill="FFFFFF"/>
        <w:jc w:val="both"/>
        <w:textAlignment w:val="baseline"/>
        <w:rPr>
          <w:rFonts w:ascii="Times New Roman" w:hAnsi="Times New Roman" w:cs="Times New Roman"/>
          <w:sz w:val="28"/>
          <w:szCs w:val="28"/>
          <w:lang w:eastAsia="es-MX"/>
        </w:rPr>
      </w:pPr>
    </w:p>
    <w:p w:rsidR="00A116BE" w:rsidRPr="00635A00" w:rsidRDefault="00635A00" w:rsidP="00A116BE">
      <w:pPr>
        <w:contextualSpacing/>
        <w:jc w:val="both"/>
        <w:rPr>
          <w:rFonts w:ascii="Times New Roman" w:hAnsi="Times New Roman" w:cs="Times New Roman"/>
          <w:sz w:val="28"/>
          <w:szCs w:val="28"/>
          <w:lang w:eastAsia="es-MX"/>
        </w:rPr>
      </w:pPr>
    </w:p>
    <w:p w:rsidR="00746435" w:rsidRPr="00635A00" w:rsidRDefault="00635A00" w:rsidP="00A116BE">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Con el acostumbrado respeto por las decisiones adoptadas por la Corte Constitucional, </w:t>
      </w:r>
      <w:r w:rsidRPr="00635A00">
        <w:rPr>
          <w:rFonts w:ascii="Times New Roman" w:hAnsi="Times New Roman" w:cs="Times New Roman"/>
          <w:sz w:val="28"/>
          <w:szCs w:val="28"/>
          <w:lang w:eastAsia="es-MX"/>
        </w:rPr>
        <w:t xml:space="preserve">me permito señalar </w:t>
      </w:r>
      <w:r w:rsidRPr="00635A00">
        <w:rPr>
          <w:rFonts w:ascii="Times New Roman" w:hAnsi="Times New Roman" w:cs="Times New Roman"/>
          <w:sz w:val="28"/>
          <w:szCs w:val="28"/>
          <w:lang w:eastAsia="es-MX"/>
        </w:rPr>
        <w:t>que, aunque c</w:t>
      </w:r>
      <w:r w:rsidRPr="00635A00">
        <w:rPr>
          <w:rFonts w:ascii="Times New Roman" w:hAnsi="Times New Roman" w:cs="Times New Roman"/>
          <w:sz w:val="28"/>
          <w:szCs w:val="28"/>
          <w:lang w:eastAsia="es-MX"/>
        </w:rPr>
        <w:t>oincido con la sentencia dictada en el proceso de la referencia, me veo en la necesidad de aclarar el voto</w:t>
      </w:r>
      <w:r w:rsidRPr="00635A00">
        <w:rPr>
          <w:rFonts w:ascii="Times New Roman" w:hAnsi="Times New Roman" w:cs="Times New Roman"/>
          <w:sz w:val="28"/>
          <w:szCs w:val="28"/>
          <w:lang w:eastAsia="es-MX"/>
        </w:rPr>
        <w:t xml:space="preserve">. </w:t>
      </w:r>
      <w:r w:rsidRPr="00635A00">
        <w:rPr>
          <w:rFonts w:ascii="Times New Roman" w:hAnsi="Times New Roman" w:cs="Times New Roman"/>
          <w:sz w:val="28"/>
          <w:szCs w:val="28"/>
          <w:lang w:eastAsia="es-MX"/>
        </w:rPr>
        <w:t xml:space="preserve">A mi juicio, </w:t>
      </w:r>
      <w:r w:rsidRPr="00635A00">
        <w:rPr>
          <w:rFonts w:ascii="Times New Roman" w:hAnsi="Times New Roman" w:cs="Times New Roman"/>
          <w:sz w:val="28"/>
          <w:szCs w:val="28"/>
          <w:lang w:eastAsia="es-MX"/>
        </w:rPr>
        <w:t>la Sala debió integrar la unidad normativa de los apartados demandados con el numeral 3°, el numeral 5° y los parágrafos 1</w:t>
      </w:r>
      <w:r w:rsidRPr="00635A00">
        <w:rPr>
          <w:rFonts w:ascii="Times New Roman" w:hAnsi="Times New Roman" w:cs="Times New Roman"/>
          <w:sz w:val="28"/>
          <w:szCs w:val="28"/>
          <w:lang w:eastAsia="es-MX"/>
        </w:rPr>
        <w:t>° a 4° del artículo 61 de la Ley 2294 de 2023.</w:t>
      </w:r>
    </w:p>
    <w:p w:rsidR="006C4058" w:rsidRPr="00635A00" w:rsidRDefault="00635A00" w:rsidP="00A116BE">
      <w:pPr>
        <w:contextualSpacing/>
        <w:jc w:val="both"/>
        <w:rPr>
          <w:rFonts w:ascii="Times New Roman" w:hAnsi="Times New Roman" w:cs="Times New Roman"/>
          <w:sz w:val="28"/>
          <w:szCs w:val="28"/>
          <w:lang w:eastAsia="es-MX"/>
        </w:rPr>
      </w:pPr>
    </w:p>
    <w:p w:rsidR="00DF6035" w:rsidRPr="00635A00" w:rsidRDefault="00635A00" w:rsidP="000C3370">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En el caso concreto, la Sala </w:t>
      </w:r>
      <w:r w:rsidRPr="00635A00">
        <w:rPr>
          <w:rFonts w:ascii="Times New Roman" w:hAnsi="Times New Roman" w:cs="Times New Roman"/>
          <w:sz w:val="28"/>
          <w:szCs w:val="28"/>
          <w:lang w:eastAsia="es-MX"/>
        </w:rPr>
        <w:t xml:space="preserve">juzgó </w:t>
      </w:r>
      <w:r w:rsidRPr="00635A00">
        <w:rPr>
          <w:rFonts w:ascii="Times New Roman" w:hAnsi="Times New Roman" w:cs="Times New Roman"/>
          <w:sz w:val="28"/>
          <w:szCs w:val="28"/>
          <w:lang w:eastAsia="es-MX"/>
        </w:rPr>
        <w:t>la existencia de vicios insubsanables en el trámite legislativo que condujo a la expedición del numeral 6° y el parágrafo 3° del artículo 61 de la Ley 2294 de 2023. En parti</w:t>
      </w:r>
      <w:r w:rsidRPr="00635A00">
        <w:rPr>
          <w:rFonts w:ascii="Times New Roman" w:hAnsi="Times New Roman" w:cs="Times New Roman"/>
          <w:sz w:val="28"/>
          <w:szCs w:val="28"/>
          <w:lang w:eastAsia="es-MX"/>
        </w:rPr>
        <w:t>cular, identificó la falta de publicidad y la vulneración de los principios de consecutividad e identidad flexible, al no permitir que los congresistas conocieran adecuadamente</w:t>
      </w:r>
      <w:r w:rsidRPr="00635A00">
        <w:rPr>
          <w:rFonts w:ascii="Times New Roman" w:hAnsi="Times New Roman" w:cs="Times New Roman"/>
          <w:sz w:val="28"/>
          <w:szCs w:val="28"/>
          <w:lang w:eastAsia="es-MX"/>
        </w:rPr>
        <w:t xml:space="preserve"> los textos a votar an</w:t>
      </w:r>
      <w:r w:rsidRPr="00635A00">
        <w:rPr>
          <w:rFonts w:ascii="Times New Roman" w:hAnsi="Times New Roman" w:cs="Times New Roman"/>
          <w:sz w:val="28"/>
          <w:szCs w:val="28"/>
          <w:lang w:eastAsia="es-MX"/>
        </w:rPr>
        <w:t>tes de su aprobación. Por tal razón, declaró la inexequibi</w:t>
      </w:r>
      <w:r w:rsidRPr="00635A00">
        <w:rPr>
          <w:rFonts w:ascii="Times New Roman" w:hAnsi="Times New Roman" w:cs="Times New Roman"/>
          <w:sz w:val="28"/>
          <w:szCs w:val="28"/>
          <w:lang w:eastAsia="es-MX"/>
        </w:rPr>
        <w:t>lidad de dichas disposiciones.</w:t>
      </w:r>
    </w:p>
    <w:p w:rsidR="00754A00" w:rsidRPr="00635A00" w:rsidRDefault="00635A00" w:rsidP="000C3370">
      <w:pPr>
        <w:contextualSpacing/>
        <w:jc w:val="both"/>
        <w:rPr>
          <w:rFonts w:ascii="Times New Roman" w:hAnsi="Times New Roman" w:cs="Times New Roman"/>
          <w:sz w:val="28"/>
          <w:szCs w:val="28"/>
          <w:lang w:eastAsia="es-MX"/>
        </w:rPr>
      </w:pPr>
    </w:p>
    <w:p w:rsidR="004E526D" w:rsidRPr="00635A00" w:rsidRDefault="00635A00" w:rsidP="000C3370">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Efectivamente, </w:t>
      </w:r>
      <w:r w:rsidRPr="00635A00">
        <w:rPr>
          <w:rFonts w:ascii="Times New Roman" w:hAnsi="Times New Roman" w:cs="Times New Roman"/>
          <w:sz w:val="28"/>
          <w:szCs w:val="28"/>
          <w:lang w:eastAsia="es-MX"/>
        </w:rPr>
        <w:t>l</w:t>
      </w:r>
      <w:r w:rsidRPr="00635A00">
        <w:rPr>
          <w:rFonts w:ascii="Times New Roman" w:hAnsi="Times New Roman" w:cs="Times New Roman"/>
          <w:sz w:val="28"/>
          <w:szCs w:val="28"/>
          <w:lang w:eastAsia="es-MX"/>
        </w:rPr>
        <w:t>os cargos de inconstitucionalidad por vicios de procedimiento presentados en las demandas analizadas por la Corte se dirigían expresamente contra el numeral 6° y el parágrafo 3° del artículo 61 de la Ley 2294</w:t>
      </w:r>
      <w:r w:rsidRPr="00635A00">
        <w:rPr>
          <w:rFonts w:ascii="Times New Roman" w:hAnsi="Times New Roman" w:cs="Times New Roman"/>
          <w:sz w:val="28"/>
          <w:szCs w:val="28"/>
          <w:lang w:eastAsia="es-MX"/>
        </w:rPr>
        <w:t xml:space="preserve"> de 2023</w:t>
      </w:r>
      <w:r w:rsidRPr="00635A00">
        <w:rPr>
          <w:rFonts w:ascii="Times New Roman" w:hAnsi="Times New Roman" w:cs="Times New Roman"/>
          <w:sz w:val="28"/>
          <w:szCs w:val="28"/>
          <w:lang w:eastAsia="es-MX"/>
        </w:rPr>
        <w:t xml:space="preserve">. Se reprochó </w:t>
      </w:r>
      <w:r w:rsidRPr="00635A00">
        <w:rPr>
          <w:rFonts w:ascii="Times New Roman" w:hAnsi="Times New Roman" w:cs="Times New Roman"/>
          <w:sz w:val="28"/>
          <w:szCs w:val="28"/>
          <w:lang w:eastAsia="es-MX"/>
        </w:rPr>
        <w:t xml:space="preserve">que la proposición modificatoria del artículo 61 que los incluyó no fue debidamente </w:t>
      </w:r>
      <w:r w:rsidRPr="00635A00">
        <w:rPr>
          <w:rFonts w:ascii="Times New Roman" w:hAnsi="Times New Roman" w:cs="Times New Roman"/>
          <w:sz w:val="28"/>
          <w:szCs w:val="28"/>
          <w:lang w:eastAsia="es-MX"/>
        </w:rPr>
        <w:t xml:space="preserve">publicada </w:t>
      </w:r>
      <w:r w:rsidRPr="00635A00">
        <w:rPr>
          <w:rFonts w:ascii="Times New Roman" w:hAnsi="Times New Roman" w:cs="Times New Roman"/>
          <w:sz w:val="28"/>
          <w:szCs w:val="28"/>
          <w:lang w:eastAsia="es-MX"/>
        </w:rPr>
        <w:t xml:space="preserve">ni guardaba una conexión temática con los asuntos debatidos en las comisiones constitucionales económicas conjuntas. </w:t>
      </w:r>
      <w:r w:rsidRPr="00635A00">
        <w:rPr>
          <w:rFonts w:ascii="Times New Roman" w:hAnsi="Times New Roman" w:cs="Times New Roman"/>
          <w:sz w:val="28"/>
          <w:szCs w:val="28"/>
          <w:lang w:eastAsia="es-MX"/>
        </w:rPr>
        <w:t xml:space="preserve">Para la Corte era claro que esta </w:t>
      </w:r>
      <w:r w:rsidRPr="00635A00">
        <w:rPr>
          <w:rFonts w:ascii="Times New Roman" w:hAnsi="Times New Roman" w:cs="Times New Roman"/>
          <w:sz w:val="28"/>
          <w:szCs w:val="28"/>
          <w:lang w:eastAsia="es-MX"/>
        </w:rPr>
        <w:t>proposición también incorporó el literal a) del numeral 2°, así como los numerales 3°, 5° y 6°, y los parágrafos 1° a 4° del artículo 61 de la Ley 2294 de 2023. Estas disposiciones, al haber surtido el mismo trámite legisla</w:t>
      </w:r>
      <w:r w:rsidRPr="00635A00">
        <w:rPr>
          <w:rFonts w:ascii="Times New Roman" w:hAnsi="Times New Roman" w:cs="Times New Roman"/>
          <w:sz w:val="28"/>
          <w:szCs w:val="28"/>
          <w:lang w:eastAsia="es-MX"/>
        </w:rPr>
        <w:t>tivo reprochado, presentan los mismos vicios de procedimiento advertidos por la Corte.</w:t>
      </w:r>
    </w:p>
    <w:p w:rsidR="00A53D44" w:rsidRPr="00635A00" w:rsidRDefault="00635A00" w:rsidP="000C3370">
      <w:pPr>
        <w:contextualSpacing/>
        <w:jc w:val="both"/>
        <w:rPr>
          <w:rFonts w:ascii="Times New Roman" w:hAnsi="Times New Roman" w:cs="Times New Roman"/>
          <w:sz w:val="28"/>
          <w:szCs w:val="28"/>
          <w:lang w:eastAsia="es-MX"/>
        </w:rPr>
      </w:pPr>
    </w:p>
    <w:p w:rsidR="005603D1" w:rsidRPr="00635A00" w:rsidRDefault="00635A00" w:rsidP="000C3370">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E</w:t>
      </w:r>
      <w:r w:rsidRPr="00635A00">
        <w:rPr>
          <w:rFonts w:ascii="Times New Roman" w:hAnsi="Times New Roman" w:cs="Times New Roman"/>
          <w:sz w:val="28"/>
          <w:szCs w:val="28"/>
          <w:lang w:eastAsia="es-MX"/>
        </w:rPr>
        <w:t xml:space="preserve">stimo que la </w:t>
      </w:r>
      <w:r w:rsidRPr="00635A00">
        <w:rPr>
          <w:rFonts w:ascii="Times New Roman" w:hAnsi="Times New Roman" w:cs="Times New Roman"/>
          <w:sz w:val="28"/>
          <w:szCs w:val="28"/>
          <w:lang w:eastAsia="es-MX"/>
        </w:rPr>
        <w:t xml:space="preserve">Sala debió </w:t>
      </w:r>
      <w:r w:rsidRPr="00635A00">
        <w:rPr>
          <w:rFonts w:ascii="Times New Roman" w:hAnsi="Times New Roman" w:cs="Times New Roman"/>
          <w:sz w:val="28"/>
          <w:szCs w:val="28"/>
          <w:lang w:eastAsia="es-MX"/>
        </w:rPr>
        <w:t>ampl</w:t>
      </w:r>
      <w:r w:rsidRPr="00635A00">
        <w:rPr>
          <w:rFonts w:ascii="Times New Roman" w:hAnsi="Times New Roman" w:cs="Times New Roman"/>
          <w:sz w:val="28"/>
          <w:szCs w:val="28"/>
          <w:lang w:eastAsia="es-MX"/>
        </w:rPr>
        <w:t>iar</w:t>
      </w:r>
      <w:r w:rsidRPr="00635A00">
        <w:rPr>
          <w:rFonts w:ascii="Times New Roman" w:hAnsi="Times New Roman" w:cs="Times New Roman"/>
          <w:sz w:val="28"/>
          <w:szCs w:val="28"/>
          <w:lang w:eastAsia="es-MX"/>
        </w:rPr>
        <w:t xml:space="preserve"> el objeto de control</w:t>
      </w:r>
      <w:r w:rsidRPr="00635A00">
        <w:rPr>
          <w:rFonts w:ascii="Times New Roman" w:hAnsi="Times New Roman" w:cs="Times New Roman"/>
          <w:sz w:val="28"/>
          <w:szCs w:val="28"/>
          <w:lang w:eastAsia="es-MX"/>
        </w:rPr>
        <w:t xml:space="preserve"> a través de la figura de integración de la unidad normativa</w:t>
      </w:r>
      <w:r w:rsidRPr="00635A00">
        <w:rPr>
          <w:rFonts w:ascii="Times New Roman" w:hAnsi="Times New Roman" w:cs="Times New Roman"/>
          <w:sz w:val="28"/>
          <w:szCs w:val="28"/>
          <w:lang w:eastAsia="es-MX"/>
        </w:rPr>
        <w:t>, de modo que el examen de constitucionalidad comprend</w:t>
      </w:r>
      <w:r w:rsidRPr="00635A00">
        <w:rPr>
          <w:rFonts w:ascii="Times New Roman" w:hAnsi="Times New Roman" w:cs="Times New Roman"/>
          <w:sz w:val="28"/>
          <w:szCs w:val="28"/>
          <w:lang w:eastAsia="es-MX"/>
        </w:rPr>
        <w:t>i</w:t>
      </w:r>
      <w:r w:rsidRPr="00635A00">
        <w:rPr>
          <w:rFonts w:ascii="Times New Roman" w:hAnsi="Times New Roman" w:cs="Times New Roman"/>
          <w:sz w:val="28"/>
          <w:szCs w:val="28"/>
          <w:lang w:eastAsia="es-MX"/>
        </w:rPr>
        <w:t>era</w:t>
      </w:r>
      <w:r w:rsidRPr="00635A00">
        <w:rPr>
          <w:rFonts w:ascii="Times New Roman" w:hAnsi="Times New Roman" w:cs="Times New Roman"/>
          <w:sz w:val="28"/>
          <w:szCs w:val="28"/>
          <w:lang w:eastAsia="es-MX"/>
        </w:rPr>
        <w:t xml:space="preserve"> la totalidad de apartados incluidos por la proposición</w:t>
      </w:r>
      <w:r w:rsidRPr="00635A00">
        <w:rPr>
          <w:rFonts w:ascii="Times New Roman" w:hAnsi="Times New Roman" w:cs="Times New Roman"/>
          <w:sz w:val="28"/>
          <w:szCs w:val="28"/>
          <w:lang w:eastAsia="es-MX"/>
        </w:rPr>
        <w:t xml:space="preserve"> </w:t>
      </w:r>
      <w:r w:rsidRPr="00635A00">
        <w:rPr>
          <w:rFonts w:ascii="Times New Roman" w:hAnsi="Times New Roman" w:cs="Times New Roman"/>
          <w:sz w:val="28"/>
          <w:szCs w:val="28"/>
          <w:lang w:eastAsia="es-MX"/>
        </w:rPr>
        <w:t xml:space="preserve">que </w:t>
      </w:r>
      <w:r w:rsidRPr="00635A00">
        <w:rPr>
          <w:rFonts w:ascii="Times New Roman" w:hAnsi="Times New Roman" w:cs="Times New Roman"/>
          <w:sz w:val="28"/>
          <w:szCs w:val="28"/>
          <w:lang w:eastAsia="es-MX"/>
        </w:rPr>
        <w:t>fue</w:t>
      </w:r>
      <w:r w:rsidRPr="00635A00">
        <w:rPr>
          <w:rFonts w:ascii="Times New Roman" w:hAnsi="Times New Roman" w:cs="Times New Roman"/>
          <w:sz w:val="28"/>
          <w:szCs w:val="28"/>
          <w:lang w:eastAsia="es-MX"/>
        </w:rPr>
        <w:t xml:space="preserve"> objeto de valoración en este caso</w:t>
      </w:r>
      <w:r w:rsidRPr="00635A00">
        <w:rPr>
          <w:rFonts w:ascii="Times New Roman" w:hAnsi="Times New Roman" w:cs="Times New Roman"/>
          <w:sz w:val="28"/>
          <w:szCs w:val="28"/>
          <w:lang w:eastAsia="es-MX"/>
        </w:rPr>
        <w:t>.</w:t>
      </w:r>
    </w:p>
    <w:p w:rsidR="001F19FC" w:rsidRPr="00635A00" w:rsidRDefault="00635A00" w:rsidP="000C3370">
      <w:pPr>
        <w:contextualSpacing/>
        <w:jc w:val="both"/>
        <w:rPr>
          <w:rFonts w:ascii="Times New Roman" w:hAnsi="Times New Roman" w:cs="Times New Roman"/>
          <w:sz w:val="28"/>
          <w:szCs w:val="28"/>
          <w:lang w:eastAsia="es-MX"/>
        </w:rPr>
      </w:pPr>
    </w:p>
    <w:p w:rsidR="004F59BC" w:rsidRPr="00635A00" w:rsidRDefault="00635A00" w:rsidP="000C3370">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La integración de la unidad normativa </w:t>
      </w:r>
      <w:r w:rsidRPr="00635A00">
        <w:rPr>
          <w:rFonts w:ascii="Times New Roman" w:hAnsi="Times New Roman" w:cs="Times New Roman"/>
          <w:sz w:val="28"/>
          <w:szCs w:val="28"/>
          <w:lang w:eastAsia="es-MX"/>
        </w:rPr>
        <w:t>es</w:t>
      </w:r>
      <w:r w:rsidRPr="00635A00">
        <w:rPr>
          <w:rFonts w:ascii="Times New Roman" w:hAnsi="Times New Roman" w:cs="Times New Roman"/>
          <w:sz w:val="28"/>
          <w:szCs w:val="28"/>
          <w:lang w:eastAsia="es-MX"/>
        </w:rPr>
        <w:t xml:space="preserve"> una institución jurídico-constitucional que faculta a la Corte para ampliar el objeto del control planteado en la demanda, con el fin de proteger la integridad, coherencia y consistencia d</w:t>
      </w:r>
      <w:r w:rsidRPr="00635A00">
        <w:rPr>
          <w:rFonts w:ascii="Times New Roman" w:hAnsi="Times New Roman" w:cs="Times New Roman"/>
          <w:sz w:val="28"/>
          <w:szCs w:val="28"/>
          <w:lang w:eastAsia="es-MX"/>
        </w:rPr>
        <w:t>el ordenamiento jurídico</w:t>
      </w:r>
      <w:r w:rsidRPr="00635A00">
        <w:rPr>
          <w:rFonts w:ascii="Times New Roman" w:hAnsi="Times New Roman" w:cs="Times New Roman"/>
          <w:sz w:val="28"/>
          <w:szCs w:val="28"/>
          <w:lang w:eastAsia="es-MX"/>
        </w:rPr>
        <w:t>. Esta figura se encuentra consagrada en el</w:t>
      </w:r>
      <w:r w:rsidRPr="00635A00">
        <w:rPr>
          <w:rFonts w:ascii="Times New Roman" w:hAnsi="Times New Roman" w:cs="Times New Roman"/>
          <w:sz w:val="28"/>
          <w:szCs w:val="28"/>
          <w:lang w:eastAsia="es-MX"/>
        </w:rPr>
        <w:t xml:space="preserve"> artículo 6° del Decreto 2067 de 1991, que habilita a la Corte para indicar en la sentencia las disposiciones que conforman la unidad normativa con las normas demandadas.</w:t>
      </w:r>
    </w:p>
    <w:p w:rsidR="00C87089" w:rsidRPr="00635A00" w:rsidRDefault="00635A00" w:rsidP="000C3370">
      <w:pPr>
        <w:contextualSpacing/>
        <w:jc w:val="both"/>
        <w:rPr>
          <w:rFonts w:ascii="Times New Roman" w:hAnsi="Times New Roman" w:cs="Times New Roman"/>
          <w:sz w:val="28"/>
          <w:szCs w:val="28"/>
          <w:lang w:eastAsia="es-MX"/>
        </w:rPr>
      </w:pPr>
    </w:p>
    <w:p w:rsidR="004F59BC" w:rsidRPr="00635A00" w:rsidRDefault="00635A00" w:rsidP="004F59BC">
      <w:pPr>
        <w:contextualSpacing/>
        <w:jc w:val="both"/>
        <w:rPr>
          <w:rFonts w:ascii="Times New Roman" w:hAnsi="Times New Roman" w:cs="Times New Roman"/>
          <w:i/>
          <w:iCs/>
          <w:sz w:val="28"/>
          <w:szCs w:val="28"/>
          <w:lang w:eastAsia="es-MX"/>
        </w:rPr>
      </w:pPr>
      <w:r w:rsidRPr="00635A00">
        <w:rPr>
          <w:rFonts w:ascii="Times New Roman" w:hAnsi="Times New Roman" w:cs="Times New Roman"/>
          <w:sz w:val="28"/>
          <w:szCs w:val="28"/>
          <w:lang w:eastAsia="es-MX"/>
        </w:rPr>
        <w:t>La jurisprudencia de esta Corte ha identificado las siguientes hipótesis en las cuales la Sala Plena se encuentra habilitada para pronunciarse sobre la constitucionalidad de disposiciones legales que no fueron acusadas, a través de la integración de la uni</w:t>
      </w:r>
      <w:r w:rsidRPr="00635A00">
        <w:rPr>
          <w:rFonts w:ascii="Times New Roman" w:hAnsi="Times New Roman" w:cs="Times New Roman"/>
          <w:sz w:val="28"/>
          <w:szCs w:val="28"/>
          <w:lang w:eastAsia="es-MX"/>
        </w:rPr>
        <w:t xml:space="preserve">dad normativa: </w:t>
      </w:r>
      <w:r w:rsidRPr="00635A00">
        <w:rPr>
          <w:rFonts w:ascii="Times New Roman" w:hAnsi="Times New Roman" w:cs="Times New Roman"/>
          <w:i/>
          <w:iCs/>
          <w:sz w:val="28"/>
          <w:szCs w:val="28"/>
          <w:lang w:eastAsia="es-MX"/>
        </w:rPr>
        <w:t>“i) cuando un ciudadano demanda una disposición que no tiene un contenido deóntico claro o unívoco, de manera que para entenderla y aplicarla es imprescindible integrar su contenido normativo con el de otro precepto que no fue acusado”; “ii)</w:t>
      </w:r>
      <w:r w:rsidRPr="00635A00">
        <w:rPr>
          <w:rFonts w:ascii="Times New Roman" w:hAnsi="Times New Roman" w:cs="Times New Roman"/>
          <w:i/>
          <w:iCs/>
          <w:sz w:val="28"/>
          <w:szCs w:val="28"/>
          <w:lang w:eastAsia="es-MX"/>
        </w:rPr>
        <w:t xml:space="preserve"> en aquellos casos en los que la norma cuestionada está reproducida en otras disposiciones del ordenamiento que no fueron demandadas” y “iii) cuando el precepto demandado se encuentra intrínsecamente relacionado con otra norma que, a primera vista, present</w:t>
      </w:r>
      <w:r w:rsidRPr="00635A00">
        <w:rPr>
          <w:rFonts w:ascii="Times New Roman" w:hAnsi="Times New Roman" w:cs="Times New Roman"/>
          <w:i/>
          <w:iCs/>
          <w:sz w:val="28"/>
          <w:szCs w:val="28"/>
          <w:lang w:eastAsia="es-MX"/>
        </w:rPr>
        <w:t>a serias dudas sobre su constitucionalidad”. Esta última hipótesis se configura cuando concurren dos circunstancias: “(a) que la disposición demandada tenga estrecha relación con los preceptos que no fueron cuestionados y que conformarían la unidad normati</w:t>
      </w:r>
      <w:r w:rsidRPr="00635A00">
        <w:rPr>
          <w:rFonts w:ascii="Times New Roman" w:hAnsi="Times New Roman" w:cs="Times New Roman"/>
          <w:i/>
          <w:iCs/>
          <w:sz w:val="28"/>
          <w:szCs w:val="28"/>
          <w:lang w:eastAsia="es-MX"/>
        </w:rPr>
        <w:t>va; y (b) que las normas no acusadas parezcan inconstitucionales”</w:t>
      </w:r>
      <w:r w:rsidRPr="00635A00">
        <w:rPr>
          <w:rFonts w:ascii="Times New Roman" w:hAnsi="Times New Roman" w:cs="Times New Roman"/>
          <w:sz w:val="28"/>
          <w:szCs w:val="28"/>
          <w:vertAlign w:val="superscript"/>
          <w:lang w:eastAsia="es-MX"/>
        </w:rPr>
        <w:footnoteReference w:id="210"/>
      </w:r>
      <w:r w:rsidRPr="00635A00">
        <w:rPr>
          <w:rFonts w:ascii="Times New Roman" w:hAnsi="Times New Roman" w:cs="Times New Roman"/>
          <w:sz w:val="28"/>
          <w:szCs w:val="28"/>
          <w:lang w:eastAsia="es-MX"/>
        </w:rPr>
        <w:t>.</w:t>
      </w:r>
    </w:p>
    <w:p w:rsidR="004F59BC" w:rsidRPr="00635A00" w:rsidRDefault="00635A00" w:rsidP="000C3370">
      <w:pPr>
        <w:contextualSpacing/>
        <w:jc w:val="both"/>
        <w:rPr>
          <w:rFonts w:ascii="Times New Roman" w:hAnsi="Times New Roman" w:cs="Times New Roman"/>
          <w:sz w:val="28"/>
          <w:szCs w:val="28"/>
          <w:lang w:eastAsia="es-MX"/>
        </w:rPr>
      </w:pPr>
    </w:p>
    <w:p w:rsidR="00710102" w:rsidRPr="00635A00" w:rsidRDefault="00635A00" w:rsidP="000C3370">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Hasta el momento, el desarrollo de esta figura se ha centrado en la relación sustancial entre disposiciones jurídicas y en la autonomía de las proposiciones jurídicas. No obstante, consid</w:t>
      </w:r>
      <w:r w:rsidRPr="00635A00">
        <w:rPr>
          <w:rFonts w:ascii="Times New Roman" w:hAnsi="Times New Roman" w:cs="Times New Roman"/>
          <w:sz w:val="28"/>
          <w:szCs w:val="28"/>
          <w:lang w:eastAsia="es-MX"/>
        </w:rPr>
        <w:t>ero que las particularidades del caso permiten avanzar la jurisprudencia respecto del alcance de la integración de la unidad normativa. En este sentido, estimo que la relación intrínseca o estrecha a la que se refiere la tercera hipótesis incluye la relaci</w:t>
      </w:r>
      <w:r w:rsidRPr="00635A00">
        <w:rPr>
          <w:rFonts w:ascii="Times New Roman" w:hAnsi="Times New Roman" w:cs="Times New Roman"/>
          <w:sz w:val="28"/>
          <w:szCs w:val="28"/>
          <w:lang w:eastAsia="es-MX"/>
        </w:rPr>
        <w:t>ón fáctica inescindible entre disposiciones aprobadas mediante el mismo trámite legislativo viciado. Dichas disposiciones, al compartir el mismo procedimiento inconstitucional, resultan afectadas por idénticos vicios, lo que justifica su control conjunto.</w:t>
      </w:r>
    </w:p>
    <w:p w:rsidR="007C3229" w:rsidRPr="00635A00" w:rsidRDefault="00635A00" w:rsidP="000C3370">
      <w:pPr>
        <w:contextualSpacing/>
        <w:jc w:val="both"/>
        <w:rPr>
          <w:rFonts w:ascii="Times New Roman" w:hAnsi="Times New Roman" w:cs="Times New Roman"/>
          <w:sz w:val="28"/>
          <w:szCs w:val="28"/>
          <w:lang w:eastAsia="es-MX"/>
        </w:rPr>
      </w:pPr>
    </w:p>
    <w:p w:rsidR="007C3229" w:rsidRPr="00635A00" w:rsidRDefault="00635A00" w:rsidP="000C3370">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Precisamente esto ocurre en el presente caso: en el trámite legislativo que condujo a la aprobación de la proposición modificatoria del artículo 61 de la Ley 2294 de 2023, se presentaron vicios relevantes e insubsanables que afectan la constitucionalidad </w:t>
      </w:r>
      <w:r w:rsidRPr="00635A00">
        <w:rPr>
          <w:rFonts w:ascii="Times New Roman" w:hAnsi="Times New Roman" w:cs="Times New Roman"/>
          <w:sz w:val="28"/>
          <w:szCs w:val="28"/>
          <w:lang w:eastAsia="es-MX"/>
        </w:rPr>
        <w:t>de varios de los apartados de la disposición. Este escenario constituye una hipótesis novedosa dentro de la causal tercera de procedencia de la integración de la unidad normativa.</w:t>
      </w:r>
    </w:p>
    <w:p w:rsidR="007C3229" w:rsidRPr="00635A00" w:rsidRDefault="00635A00" w:rsidP="000C3370">
      <w:pPr>
        <w:contextualSpacing/>
        <w:jc w:val="both"/>
        <w:rPr>
          <w:rFonts w:ascii="Times New Roman" w:hAnsi="Times New Roman" w:cs="Times New Roman"/>
          <w:sz w:val="28"/>
          <w:szCs w:val="28"/>
          <w:lang w:eastAsia="es-MX"/>
        </w:rPr>
      </w:pPr>
    </w:p>
    <w:p w:rsidR="00710102" w:rsidRPr="00635A00" w:rsidRDefault="00635A00" w:rsidP="000C3370">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Este planteamiento </w:t>
      </w:r>
      <w:r w:rsidRPr="00635A00">
        <w:rPr>
          <w:rFonts w:ascii="Times New Roman" w:hAnsi="Times New Roman" w:cs="Times New Roman"/>
          <w:sz w:val="28"/>
          <w:szCs w:val="28"/>
          <w:lang w:eastAsia="es-MX"/>
        </w:rPr>
        <w:t>es</w:t>
      </w:r>
      <w:r w:rsidRPr="00635A00">
        <w:rPr>
          <w:rFonts w:ascii="Times New Roman" w:hAnsi="Times New Roman" w:cs="Times New Roman"/>
          <w:sz w:val="28"/>
          <w:szCs w:val="28"/>
          <w:lang w:eastAsia="es-MX"/>
        </w:rPr>
        <w:t xml:space="preserve"> coherente con la evolución jurisprudencial de la Cort</w:t>
      </w:r>
      <w:r w:rsidRPr="00635A00">
        <w:rPr>
          <w:rFonts w:ascii="Times New Roman" w:hAnsi="Times New Roman" w:cs="Times New Roman"/>
          <w:sz w:val="28"/>
          <w:szCs w:val="28"/>
          <w:lang w:eastAsia="es-MX"/>
        </w:rPr>
        <w:t>e hacia la armonización entre el objeto de control y el parámetro constitucional, lo cual garantiza una revisión exhaustiva que salvaguarde la supremacía de la Constitución. Ejemplos de esta tendencia se encuentran en las sentencias C-387 de 1997 y C-091 d</w:t>
      </w:r>
      <w:r w:rsidRPr="00635A00">
        <w:rPr>
          <w:rFonts w:ascii="Times New Roman" w:hAnsi="Times New Roman" w:cs="Times New Roman"/>
          <w:sz w:val="28"/>
          <w:szCs w:val="28"/>
          <w:lang w:eastAsia="es-MX"/>
        </w:rPr>
        <w:t>e 2022, que resaltaron la facultad de la Corte para evaluar vicios constitucionales en disposiciones relacionadas, aunque no hayan sido directamente cuestionadas, con el propósito de asegurar la integridad del ordenamiento jurídico.</w:t>
      </w:r>
    </w:p>
    <w:p w:rsidR="00CE1C6F" w:rsidRPr="00635A00" w:rsidRDefault="00635A00" w:rsidP="000C3370">
      <w:pPr>
        <w:contextualSpacing/>
        <w:jc w:val="both"/>
        <w:rPr>
          <w:rFonts w:ascii="Times New Roman" w:hAnsi="Times New Roman" w:cs="Times New Roman"/>
          <w:sz w:val="28"/>
          <w:szCs w:val="28"/>
          <w:lang w:eastAsia="es-MX"/>
        </w:rPr>
      </w:pPr>
    </w:p>
    <w:p w:rsidR="006B4EA8" w:rsidRPr="00635A00" w:rsidRDefault="00635A00" w:rsidP="00A116BE">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La integración de la </w:t>
      </w:r>
      <w:r w:rsidRPr="00635A00">
        <w:rPr>
          <w:rFonts w:ascii="Times New Roman" w:hAnsi="Times New Roman" w:cs="Times New Roman"/>
          <w:sz w:val="28"/>
          <w:szCs w:val="28"/>
          <w:lang w:eastAsia="es-MX"/>
        </w:rPr>
        <w:t>unidad normativa no solo es una facultad, sino también un deber de la Corte para garantizar la coherencia y consistencia del ordenamiento jurídico, así como la supremacía constitucional. Además, materializa los principios de eficiencia y economía procesal,</w:t>
      </w:r>
      <w:r w:rsidRPr="00635A00">
        <w:rPr>
          <w:rFonts w:ascii="Times New Roman" w:hAnsi="Times New Roman" w:cs="Times New Roman"/>
          <w:sz w:val="28"/>
          <w:szCs w:val="28"/>
          <w:lang w:eastAsia="es-MX"/>
        </w:rPr>
        <w:t xml:space="preserve"> y hace efectivo el derecho de toda persona a participar en la conformación, el ejercicio y el control del poder político, al permitir que la Corte expulse del ordenamiento varios apartes normativos cuya inconstitucionalidad está comprobada, sin tener que </w:t>
      </w:r>
      <w:r w:rsidRPr="00635A00">
        <w:rPr>
          <w:rFonts w:ascii="Times New Roman" w:hAnsi="Times New Roman" w:cs="Times New Roman"/>
          <w:sz w:val="28"/>
          <w:szCs w:val="28"/>
          <w:lang w:eastAsia="es-MX"/>
        </w:rPr>
        <w:t>esperar una demanda separada para cada uno. De esta manera, la Corte evita que normas con apenas apariencia de validez produzcan efectos jurídicos.</w:t>
      </w:r>
    </w:p>
    <w:p w:rsidR="006B4EA8" w:rsidRPr="00635A00" w:rsidRDefault="00635A00" w:rsidP="00A116BE">
      <w:pPr>
        <w:contextualSpacing/>
        <w:jc w:val="both"/>
        <w:rPr>
          <w:rFonts w:ascii="Times New Roman" w:hAnsi="Times New Roman" w:cs="Times New Roman"/>
          <w:sz w:val="28"/>
          <w:szCs w:val="28"/>
          <w:lang w:eastAsia="es-MX"/>
        </w:rPr>
      </w:pPr>
    </w:p>
    <w:p w:rsidR="00FF499E" w:rsidRPr="00635A00" w:rsidRDefault="00635A00" w:rsidP="00A116BE">
      <w:pPr>
        <w:contextualSpacing/>
        <w:jc w:val="both"/>
        <w:rPr>
          <w:rFonts w:ascii="Times New Roman" w:hAnsi="Times New Roman" w:cs="Times New Roman"/>
          <w:sz w:val="28"/>
          <w:szCs w:val="28"/>
          <w:lang w:eastAsia="es-MX"/>
        </w:rPr>
      </w:pPr>
      <w:r w:rsidRPr="00635A00">
        <w:rPr>
          <w:rFonts w:ascii="Times New Roman" w:hAnsi="Times New Roman" w:cs="Times New Roman"/>
          <w:sz w:val="28"/>
          <w:szCs w:val="28"/>
          <w:lang w:eastAsia="es-MX"/>
        </w:rPr>
        <w:t xml:space="preserve">Que la Sala pasara por alto </w:t>
      </w:r>
      <w:r w:rsidRPr="00635A00">
        <w:rPr>
          <w:rFonts w:ascii="Times New Roman" w:hAnsi="Times New Roman" w:cs="Times New Roman"/>
          <w:sz w:val="28"/>
          <w:szCs w:val="28"/>
          <w:lang w:eastAsia="es-MX"/>
        </w:rPr>
        <w:t xml:space="preserve">su deber de ampliar el objeto de control </w:t>
      </w:r>
      <w:r w:rsidRPr="00635A00">
        <w:rPr>
          <w:rFonts w:ascii="Times New Roman" w:hAnsi="Times New Roman" w:cs="Times New Roman"/>
          <w:sz w:val="28"/>
          <w:szCs w:val="28"/>
          <w:lang w:eastAsia="es-MX"/>
        </w:rPr>
        <w:t>implic</w:t>
      </w:r>
      <w:r w:rsidRPr="00635A00">
        <w:rPr>
          <w:rFonts w:ascii="Times New Roman" w:hAnsi="Times New Roman" w:cs="Times New Roman"/>
          <w:sz w:val="28"/>
          <w:szCs w:val="28"/>
          <w:lang w:eastAsia="es-MX"/>
        </w:rPr>
        <w:t>ó</w:t>
      </w:r>
      <w:r w:rsidRPr="00635A00">
        <w:rPr>
          <w:rFonts w:ascii="Times New Roman" w:hAnsi="Times New Roman" w:cs="Times New Roman"/>
          <w:sz w:val="28"/>
          <w:szCs w:val="28"/>
          <w:lang w:eastAsia="es-MX"/>
        </w:rPr>
        <w:t xml:space="preserve"> mantener en el ordenamiento ju</w:t>
      </w:r>
      <w:r w:rsidRPr="00635A00">
        <w:rPr>
          <w:rFonts w:ascii="Times New Roman" w:hAnsi="Times New Roman" w:cs="Times New Roman"/>
          <w:sz w:val="28"/>
          <w:szCs w:val="28"/>
          <w:lang w:eastAsia="es-MX"/>
        </w:rPr>
        <w:t>rídico disposiciones con vicios insubsanables de inconstitucionalidad, que</w:t>
      </w:r>
      <w:r w:rsidRPr="00635A00">
        <w:rPr>
          <w:rFonts w:ascii="Times New Roman" w:hAnsi="Times New Roman" w:cs="Times New Roman"/>
          <w:sz w:val="28"/>
          <w:szCs w:val="28"/>
          <w:lang w:eastAsia="es-MX"/>
        </w:rPr>
        <w:t xml:space="preserve"> ya fueron</w:t>
      </w:r>
      <w:r w:rsidRPr="00635A00">
        <w:rPr>
          <w:rFonts w:ascii="Times New Roman" w:hAnsi="Times New Roman" w:cs="Times New Roman"/>
          <w:sz w:val="28"/>
          <w:szCs w:val="28"/>
          <w:lang w:eastAsia="es-MX"/>
        </w:rPr>
        <w:t xml:space="preserve"> comprobados. Esta consecuencia es patente en este caso, pues la decisión de la mayoría gener</w:t>
      </w:r>
      <w:r w:rsidRPr="00635A00">
        <w:rPr>
          <w:rFonts w:ascii="Times New Roman" w:hAnsi="Times New Roman" w:cs="Times New Roman"/>
          <w:sz w:val="28"/>
          <w:szCs w:val="28"/>
          <w:lang w:eastAsia="es-MX"/>
        </w:rPr>
        <w:t xml:space="preserve">ó </w:t>
      </w:r>
      <w:r w:rsidRPr="00635A00">
        <w:rPr>
          <w:rFonts w:ascii="Times New Roman" w:hAnsi="Times New Roman" w:cs="Times New Roman"/>
          <w:sz w:val="28"/>
          <w:szCs w:val="28"/>
          <w:lang w:eastAsia="es-MX"/>
        </w:rPr>
        <w:t>como consecuencia mantener en el ordenamiento los demás apartados del artícul</w:t>
      </w:r>
      <w:r w:rsidRPr="00635A00">
        <w:rPr>
          <w:rFonts w:ascii="Times New Roman" w:hAnsi="Times New Roman" w:cs="Times New Roman"/>
          <w:sz w:val="28"/>
          <w:szCs w:val="28"/>
          <w:lang w:eastAsia="es-MX"/>
        </w:rPr>
        <w:t>o 61 que, por haber sido aprobados sin el cumplimiento de un mínimo de publicidad, tienen apenas apariencia de ley. En la práctica esto significa prolongar la vigencia de mecanismos de compra e identificación de tierras que se aprobaron en abierta violació</w:t>
      </w:r>
      <w:r w:rsidRPr="00635A00">
        <w:rPr>
          <w:rFonts w:ascii="Times New Roman" w:hAnsi="Times New Roman" w:cs="Times New Roman"/>
          <w:sz w:val="28"/>
          <w:szCs w:val="28"/>
          <w:lang w:eastAsia="es-MX"/>
        </w:rPr>
        <w:t>n del orden constitucional. Es claro que una situación de este tipo sacrifica la supremacía constitucional, y genera incertidumbre y falta de uniformidad en la aplicación de la Constitución.</w:t>
      </w:r>
    </w:p>
    <w:p w:rsidR="00544EC4" w:rsidRPr="00635A00" w:rsidRDefault="00635A00" w:rsidP="00A116BE">
      <w:pPr>
        <w:contextualSpacing/>
        <w:jc w:val="both"/>
        <w:rPr>
          <w:rFonts w:ascii="Times New Roman" w:hAnsi="Times New Roman" w:cs="Times New Roman"/>
          <w:sz w:val="28"/>
          <w:szCs w:val="28"/>
          <w:lang w:eastAsia="es-MX"/>
        </w:rPr>
      </w:pPr>
    </w:p>
    <w:p w:rsidR="00A116BE" w:rsidRPr="00635A00" w:rsidRDefault="00635A00" w:rsidP="00A116BE">
      <w:pPr>
        <w:shd w:val="clear" w:color="auto" w:fill="FFFFFF"/>
        <w:jc w:val="both"/>
        <w:textAlignment w:val="baseline"/>
        <w:rPr>
          <w:rFonts w:ascii="Times New Roman" w:hAnsi="Times New Roman" w:cs="Times New Roman"/>
          <w:sz w:val="28"/>
          <w:szCs w:val="28"/>
          <w:lang w:eastAsia="es-MX"/>
        </w:rPr>
      </w:pPr>
      <w:r w:rsidRPr="00635A00">
        <w:rPr>
          <w:rFonts w:ascii="Times New Roman" w:hAnsi="Times New Roman" w:cs="Times New Roman"/>
          <w:sz w:val="28"/>
          <w:szCs w:val="28"/>
          <w:bdr w:val="none" w:sz="0" w:space="0" w:color="auto" w:frame="1"/>
          <w:lang w:eastAsia="es-MX"/>
        </w:rPr>
        <w:t>Fecha </w:t>
      </w:r>
      <w:r w:rsidRPr="00635A00">
        <w:rPr>
          <w:rFonts w:ascii="Times New Roman" w:hAnsi="Times New Roman" w:cs="Times New Roman"/>
          <w:i/>
          <w:iCs/>
          <w:sz w:val="28"/>
          <w:szCs w:val="28"/>
          <w:bdr w:val="none" w:sz="0" w:space="0" w:color="auto" w:frame="1"/>
          <w:lang w:eastAsia="es-MX"/>
        </w:rPr>
        <w:t>ut supra.</w:t>
      </w:r>
    </w:p>
    <w:p w:rsidR="00A116BE" w:rsidRPr="00635A00" w:rsidRDefault="00635A00" w:rsidP="00AA1C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sz w:val="28"/>
          <w:szCs w:val="28"/>
        </w:rPr>
      </w:pPr>
    </w:p>
    <w:p w:rsidR="002950EE" w:rsidRPr="00635A00" w:rsidRDefault="00635A00">
      <w:pPr>
        <w:rPr>
          <w:rFonts w:ascii="Times New Roman" w:hAnsi="Times New Roman" w:cs="Times New Roman"/>
          <w:sz w:val="28"/>
        </w:rPr>
      </w:pPr>
    </w:p>
    <w:p w:rsidR="002950EE" w:rsidRPr="00635A00" w:rsidRDefault="00635A00">
      <w:pPr>
        <w:rPr>
          <w:rFonts w:ascii="Times New Roman" w:hAnsi="Times New Roman" w:cs="Times New Roman"/>
          <w:sz w:val="28"/>
        </w:rPr>
      </w:pPr>
    </w:p>
    <w:p w:rsidR="002950EE" w:rsidRPr="00635A00" w:rsidRDefault="00635A00" w:rsidP="002950EE">
      <w:pPr>
        <w:jc w:val="center"/>
        <w:rPr>
          <w:rFonts w:ascii="Times New Roman" w:hAnsi="Times New Roman" w:cs="Times New Roman"/>
          <w:b/>
          <w:bCs/>
          <w:sz w:val="28"/>
        </w:rPr>
      </w:pPr>
      <w:r w:rsidRPr="00635A00">
        <w:rPr>
          <w:rFonts w:ascii="Times New Roman" w:hAnsi="Times New Roman" w:cs="Times New Roman"/>
          <w:b/>
          <w:bCs/>
          <w:sz w:val="28"/>
        </w:rPr>
        <w:t xml:space="preserve">JORGE ENRIQUE IBÁÑEZ NAJAR </w:t>
      </w:r>
    </w:p>
    <w:p w:rsidR="002950EE" w:rsidRPr="00635A00" w:rsidRDefault="00635A00" w:rsidP="002950EE">
      <w:pPr>
        <w:jc w:val="center"/>
        <w:rPr>
          <w:rFonts w:ascii="Times New Roman" w:hAnsi="Times New Roman" w:cs="Times New Roman"/>
          <w:b/>
          <w:bCs/>
          <w:sz w:val="28"/>
        </w:rPr>
      </w:pPr>
      <w:r w:rsidRPr="00635A00">
        <w:rPr>
          <w:rFonts w:ascii="Times New Roman" w:hAnsi="Times New Roman" w:cs="Times New Roman"/>
          <w:b/>
          <w:bCs/>
          <w:sz w:val="28"/>
        </w:rPr>
        <w:t>Magistrado</w:t>
      </w:r>
    </w:p>
    <w:p w:rsidR="00930F1A" w:rsidRPr="00635A00" w:rsidRDefault="00635A00" w:rsidP="00361510">
      <w:pPr>
        <w:ind w:left="-142"/>
        <w:jc w:val="center"/>
        <w:rPr>
          <w:rFonts w:ascii="Times New Roman" w:eastAsia="Times New Roman" w:hAnsi="Times New Roman" w:cs="Times New Roman"/>
          <w:b/>
          <w:sz w:val="28"/>
          <w:szCs w:val="28"/>
          <w:lang w:eastAsia="es-ES_tradnl"/>
        </w:rPr>
      </w:pPr>
    </w:p>
    <w:p w:rsidR="00930F1A" w:rsidRPr="00635A00" w:rsidRDefault="00635A00" w:rsidP="00361510">
      <w:pPr>
        <w:ind w:left="-142"/>
        <w:jc w:val="center"/>
        <w:rPr>
          <w:rFonts w:ascii="Times New Roman" w:eastAsia="Times New Roman" w:hAnsi="Times New Roman" w:cs="Times New Roman"/>
          <w:b/>
          <w:sz w:val="28"/>
          <w:szCs w:val="28"/>
          <w:lang w:eastAsia="es-ES_tradnl"/>
        </w:rPr>
      </w:pPr>
    </w:p>
    <w:p w:rsidR="00361510" w:rsidRPr="00635A00" w:rsidRDefault="00635A00" w:rsidP="00361510">
      <w:pPr>
        <w:ind w:left="-142"/>
        <w:jc w:val="center"/>
        <w:rPr>
          <w:rFonts w:ascii="Times New Roman" w:eastAsia="Times New Roman" w:hAnsi="Times New Roman" w:cs="Times New Roman"/>
          <w:b/>
          <w:sz w:val="28"/>
          <w:szCs w:val="28"/>
          <w:lang w:eastAsia="es-ES_tradnl"/>
        </w:rPr>
      </w:pPr>
      <w:r w:rsidRPr="00635A00">
        <w:rPr>
          <w:rFonts w:ascii="Times New Roman" w:eastAsia="Times New Roman" w:hAnsi="Times New Roman" w:cs="Times New Roman"/>
          <w:b/>
          <w:sz w:val="28"/>
          <w:szCs w:val="28"/>
          <w:lang w:eastAsia="es-ES_tradnl"/>
        </w:rPr>
        <w:t>ACLARACIÓN DE VOTO</w:t>
      </w:r>
      <w:r w:rsidRPr="00635A00">
        <w:rPr>
          <w:rFonts w:ascii="Times New Roman" w:eastAsia="Times New Roman" w:hAnsi="Times New Roman" w:cs="Times New Roman"/>
          <w:b/>
          <w:sz w:val="28"/>
          <w:szCs w:val="28"/>
          <w:lang w:eastAsia="es-ES_tradnl"/>
        </w:rPr>
        <w:t xml:space="preserve"> DEL MAGISTRADO</w:t>
      </w:r>
    </w:p>
    <w:p w:rsidR="00361510" w:rsidRPr="00635A00" w:rsidRDefault="00635A00" w:rsidP="00361510">
      <w:pPr>
        <w:ind w:left="-142"/>
        <w:jc w:val="center"/>
        <w:rPr>
          <w:rFonts w:ascii="Times New Roman" w:eastAsia="Times New Roman" w:hAnsi="Times New Roman" w:cs="Times New Roman"/>
          <w:b/>
          <w:sz w:val="28"/>
          <w:szCs w:val="28"/>
          <w:lang w:eastAsia="es-ES_tradnl"/>
        </w:rPr>
      </w:pPr>
      <w:r w:rsidRPr="00635A00">
        <w:rPr>
          <w:rFonts w:ascii="Times New Roman" w:eastAsia="Times New Roman" w:hAnsi="Times New Roman" w:cs="Times New Roman"/>
          <w:b/>
          <w:sz w:val="28"/>
          <w:szCs w:val="28"/>
          <w:lang w:eastAsia="es-ES_tradnl"/>
        </w:rPr>
        <w:t>ANTONIO JOSÉ LIZARAZO OCAMPO</w:t>
      </w:r>
    </w:p>
    <w:p w:rsidR="00361510" w:rsidRPr="00635A00" w:rsidRDefault="00635A00" w:rsidP="00361510">
      <w:pPr>
        <w:tabs>
          <w:tab w:val="left" w:pos="2270"/>
          <w:tab w:val="center" w:pos="4419"/>
        </w:tabs>
        <w:ind w:left="-142"/>
        <w:jc w:val="center"/>
        <w:rPr>
          <w:rFonts w:ascii="Times New Roman" w:eastAsia="Times New Roman" w:hAnsi="Times New Roman" w:cs="Times New Roman"/>
          <w:b/>
          <w:sz w:val="28"/>
          <w:szCs w:val="28"/>
          <w:lang w:eastAsia="es-ES_tradnl"/>
        </w:rPr>
      </w:pPr>
      <w:r w:rsidRPr="00635A00">
        <w:rPr>
          <w:rFonts w:ascii="Times New Roman" w:eastAsia="Times New Roman" w:hAnsi="Times New Roman" w:cs="Times New Roman"/>
          <w:b/>
          <w:sz w:val="28"/>
          <w:szCs w:val="28"/>
          <w:lang w:eastAsia="es-ES_tradnl"/>
        </w:rPr>
        <w:t xml:space="preserve">A LA SENTENCIA </w:t>
      </w:r>
      <w:r w:rsidRPr="00635A00">
        <w:rPr>
          <w:rFonts w:ascii="Times New Roman" w:eastAsia="Times New Roman" w:hAnsi="Times New Roman" w:cs="Times New Roman"/>
          <w:b/>
          <w:sz w:val="28"/>
          <w:szCs w:val="28"/>
          <w:lang w:eastAsia="es-ES_tradnl"/>
        </w:rPr>
        <w:t>C-294</w:t>
      </w:r>
      <w:r w:rsidRPr="00635A00">
        <w:rPr>
          <w:rFonts w:ascii="Times New Roman" w:eastAsia="Times New Roman" w:hAnsi="Times New Roman" w:cs="Times New Roman"/>
          <w:b/>
          <w:sz w:val="28"/>
          <w:szCs w:val="28"/>
          <w:lang w:eastAsia="es-ES_tradnl"/>
        </w:rPr>
        <w:t>/</w:t>
      </w:r>
      <w:r w:rsidRPr="00635A00">
        <w:rPr>
          <w:rFonts w:ascii="Times New Roman" w:eastAsia="Times New Roman" w:hAnsi="Times New Roman" w:cs="Times New Roman"/>
          <w:b/>
          <w:sz w:val="28"/>
          <w:szCs w:val="28"/>
          <w:lang w:eastAsia="es-ES_tradnl"/>
        </w:rPr>
        <w:t>24</w:t>
      </w:r>
    </w:p>
    <w:p w:rsidR="00361510" w:rsidRPr="00635A00" w:rsidRDefault="00635A00" w:rsidP="00361510">
      <w:pPr>
        <w:ind w:left="-142"/>
        <w:jc w:val="center"/>
        <w:rPr>
          <w:rFonts w:ascii="Times New Roman" w:eastAsia="Times New Roman" w:hAnsi="Times New Roman" w:cs="Times New Roman"/>
          <w:sz w:val="28"/>
          <w:szCs w:val="28"/>
          <w:lang w:eastAsia="es-ES_tradnl"/>
        </w:rPr>
      </w:pPr>
    </w:p>
    <w:p w:rsidR="00C054EA" w:rsidRPr="00635A00" w:rsidRDefault="00635A00" w:rsidP="00361510">
      <w:pPr>
        <w:ind w:left="-142"/>
        <w:jc w:val="center"/>
        <w:rPr>
          <w:rFonts w:ascii="Times New Roman" w:eastAsia="Times New Roman" w:hAnsi="Times New Roman" w:cs="Times New Roman"/>
          <w:sz w:val="28"/>
          <w:szCs w:val="28"/>
          <w:lang w:eastAsia="es-ES_tradnl"/>
        </w:rPr>
      </w:pPr>
    </w:p>
    <w:p w:rsidR="00361510" w:rsidRPr="00635A00" w:rsidRDefault="00635A00" w:rsidP="00C054EA">
      <w:pPr>
        <w:ind w:left="3969"/>
        <w:rPr>
          <w:rFonts w:ascii="Times New Roman" w:eastAsia="Times New Roman" w:hAnsi="Times New Roman" w:cs="Times New Roman"/>
          <w:sz w:val="28"/>
          <w:szCs w:val="28"/>
          <w:lang w:eastAsia="es-ES_tradnl"/>
        </w:rPr>
      </w:pPr>
      <w:r w:rsidRPr="00635A00">
        <w:rPr>
          <w:rFonts w:ascii="Times New Roman" w:eastAsia="Times New Roman" w:hAnsi="Times New Roman" w:cs="Times New Roman"/>
          <w:sz w:val="28"/>
          <w:szCs w:val="28"/>
          <w:lang w:eastAsia="es-ES_tradnl"/>
        </w:rPr>
        <w:t>Expediente: D-15438 AC</w:t>
      </w:r>
    </w:p>
    <w:p w:rsidR="00361510" w:rsidRPr="00635A00" w:rsidRDefault="00635A00" w:rsidP="00C054EA">
      <w:pPr>
        <w:ind w:left="3969"/>
        <w:rPr>
          <w:rFonts w:ascii="Times New Roman" w:eastAsia="Times New Roman" w:hAnsi="Times New Roman" w:cs="Times New Roman"/>
          <w:sz w:val="28"/>
          <w:szCs w:val="28"/>
          <w:lang w:eastAsia="es-ES_tradnl"/>
        </w:rPr>
      </w:pPr>
    </w:p>
    <w:p w:rsidR="00361510" w:rsidRPr="00635A00" w:rsidRDefault="00635A00" w:rsidP="00C054EA">
      <w:pPr>
        <w:ind w:left="3969"/>
        <w:rPr>
          <w:rFonts w:ascii="Times New Roman" w:eastAsia="Times New Roman" w:hAnsi="Times New Roman" w:cs="Times New Roman"/>
          <w:sz w:val="28"/>
          <w:szCs w:val="28"/>
          <w:lang w:eastAsia="es-ES_tradnl"/>
        </w:rPr>
      </w:pPr>
      <w:r w:rsidRPr="00635A00">
        <w:rPr>
          <w:rFonts w:ascii="Times New Roman" w:eastAsia="Times New Roman" w:hAnsi="Times New Roman" w:cs="Times New Roman"/>
          <w:sz w:val="28"/>
          <w:szCs w:val="28"/>
          <w:lang w:eastAsia="es-ES_tradnl"/>
        </w:rPr>
        <w:t>Demandas de inconstitucionalidad contra artículo 61 (parcial) de la Ley 2294 de 2023, “[p]or [la] cual se expide el Plan Nacional de Desarrollo</w:t>
      </w:r>
      <w:r w:rsidRPr="00635A00">
        <w:rPr>
          <w:rFonts w:ascii="Times New Roman" w:eastAsia="Times New Roman" w:hAnsi="Times New Roman" w:cs="Times New Roman"/>
          <w:sz w:val="28"/>
          <w:szCs w:val="28"/>
          <w:lang w:eastAsia="es-ES_tradnl"/>
        </w:rPr>
        <w:t xml:space="preserve"> 2022-2026 ‘Colombia Potencia Mundial de la Vida’”</w:t>
      </w:r>
    </w:p>
    <w:p w:rsidR="00361510" w:rsidRPr="00635A00" w:rsidRDefault="00635A00" w:rsidP="00361510">
      <w:pPr>
        <w:rPr>
          <w:rFonts w:ascii="Times New Roman" w:eastAsia="Times New Roman" w:hAnsi="Times New Roman" w:cs="Times New Roman"/>
          <w:sz w:val="28"/>
          <w:szCs w:val="28"/>
          <w:lang w:eastAsia="es-ES_tradnl"/>
        </w:rPr>
      </w:pPr>
    </w:p>
    <w:p w:rsidR="00C054EA" w:rsidRPr="00635A00" w:rsidRDefault="00635A00" w:rsidP="00361510">
      <w:pPr>
        <w:rPr>
          <w:rFonts w:ascii="Times New Roman" w:eastAsia="Times New Roman" w:hAnsi="Times New Roman" w:cs="Times New Roman"/>
          <w:sz w:val="28"/>
          <w:szCs w:val="28"/>
          <w:lang w:eastAsia="es-ES_tradnl"/>
        </w:rPr>
      </w:pPr>
    </w:p>
    <w:p w:rsidR="006C1F36" w:rsidRPr="00635A00" w:rsidRDefault="00635A00" w:rsidP="00047662">
      <w:pPr>
        <w:rPr>
          <w:rFonts w:ascii="Times New Roman" w:hAnsi="Times New Roman" w:cs="Times New Roman"/>
          <w:sz w:val="28"/>
          <w:szCs w:val="28"/>
        </w:rPr>
      </w:pPr>
      <w:r w:rsidRPr="00635A00">
        <w:rPr>
          <w:rFonts w:ascii="Times New Roman" w:hAnsi="Times New Roman" w:cs="Times New Roman"/>
          <w:sz w:val="28"/>
          <w:szCs w:val="28"/>
        </w:rPr>
        <w:t xml:space="preserve">Con el acostumbrado respeto por la decisiones de la Sala, aclaró mi voto en el asunto de la referencia para insistir en </w:t>
      </w:r>
      <w:r w:rsidRPr="00635A00">
        <w:rPr>
          <w:rFonts w:ascii="Times New Roman" w:hAnsi="Times New Roman" w:cs="Times New Roman"/>
          <w:sz w:val="28"/>
          <w:szCs w:val="28"/>
        </w:rPr>
        <w:t>tres</w:t>
      </w:r>
      <w:r w:rsidRPr="00635A00">
        <w:rPr>
          <w:rFonts w:ascii="Times New Roman" w:hAnsi="Times New Roman" w:cs="Times New Roman"/>
          <w:sz w:val="28"/>
          <w:szCs w:val="28"/>
        </w:rPr>
        <w:t xml:space="preserve"> temas</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w:t>
      </w:r>
    </w:p>
    <w:p w:rsidR="006C1F36" w:rsidRPr="00635A00" w:rsidRDefault="00635A00" w:rsidP="00047662">
      <w:pPr>
        <w:rPr>
          <w:rFonts w:ascii="Times New Roman" w:hAnsi="Times New Roman" w:cs="Times New Roman"/>
          <w:sz w:val="28"/>
          <w:szCs w:val="28"/>
        </w:rPr>
      </w:pPr>
    </w:p>
    <w:p w:rsidR="00ED1E27" w:rsidRPr="00635A00" w:rsidRDefault="00635A00" w:rsidP="00ED1E27">
      <w:pPr>
        <w:rPr>
          <w:rFonts w:ascii="Times New Roman" w:hAnsi="Times New Roman" w:cs="Times New Roman"/>
          <w:sz w:val="28"/>
          <w:szCs w:val="28"/>
        </w:rPr>
      </w:pPr>
      <w:r w:rsidRPr="00635A00">
        <w:rPr>
          <w:rFonts w:ascii="Times New Roman" w:hAnsi="Times New Roman" w:cs="Times New Roman"/>
          <w:b/>
          <w:bCs/>
          <w:sz w:val="28"/>
          <w:szCs w:val="28"/>
        </w:rPr>
        <w:t>Primero</w:t>
      </w:r>
      <w:r w:rsidRPr="00635A00">
        <w:rPr>
          <w:rFonts w:ascii="Times New Roman" w:hAnsi="Times New Roman" w:cs="Times New Roman"/>
          <w:sz w:val="28"/>
          <w:szCs w:val="28"/>
        </w:rPr>
        <w:t>, para ahondar -más allá de lo dicho en la sentencia-</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que, </w:t>
      </w:r>
      <w:r w:rsidRPr="00635A00">
        <w:rPr>
          <w:rFonts w:ascii="Times New Roman" w:hAnsi="Times New Roman" w:cs="Times New Roman"/>
          <w:sz w:val="28"/>
          <w:szCs w:val="28"/>
        </w:rPr>
        <w:t xml:space="preserve">en </w:t>
      </w:r>
      <w:r w:rsidRPr="00635A00">
        <w:rPr>
          <w:rFonts w:ascii="Times New Roman" w:hAnsi="Times New Roman" w:cs="Times New Roman"/>
          <w:sz w:val="28"/>
          <w:szCs w:val="28"/>
        </w:rPr>
        <w:t>tanto las normas demandadas modificaban una norma de implementación del Acuerdo Final para la Paz (Decreto 902 de 2017), el Congreso desconoció la obligación constitucional de cumplir de buena fe los compromisos del Acuerdo, en los términos del Acto legisl</w:t>
      </w:r>
      <w:r w:rsidRPr="00635A00">
        <w:rPr>
          <w:rFonts w:ascii="Times New Roman" w:hAnsi="Times New Roman" w:cs="Times New Roman"/>
          <w:sz w:val="28"/>
          <w:szCs w:val="28"/>
        </w:rPr>
        <w:t xml:space="preserve">ativo 02 de 2017, obligación que, respecto de las normas posteriores -como la demandada-, se traduce en que “no pueden contradecir las expedidas con anterioridad sobre las cuales existe una razonable pretensión de intangibilidad”, como dijo la Corte en la </w:t>
      </w:r>
      <w:r w:rsidRPr="00635A00">
        <w:rPr>
          <w:rFonts w:ascii="Times New Roman" w:hAnsi="Times New Roman" w:cs="Times New Roman"/>
          <w:sz w:val="28"/>
          <w:szCs w:val="28"/>
        </w:rPr>
        <w:t>Sentencia C-630 de 2017.</w:t>
      </w:r>
      <w:r w:rsidRPr="00635A00">
        <w:rPr>
          <w:rFonts w:ascii="Times New Roman" w:hAnsi="Times New Roman" w:cs="Times New Roman"/>
          <w:sz w:val="28"/>
          <w:szCs w:val="28"/>
        </w:rPr>
        <w:t xml:space="preserve"> En efecto, cualquier modificación de las normas de implementación debe hacerse bajo los principios de progresividad y no regresividad, con el fin de determinar si la modificación que se propone tiene por objeto garantizar de mejor </w:t>
      </w:r>
      <w:r w:rsidRPr="00635A00">
        <w:rPr>
          <w:rFonts w:ascii="Times New Roman" w:hAnsi="Times New Roman" w:cs="Times New Roman"/>
          <w:sz w:val="28"/>
          <w:szCs w:val="28"/>
        </w:rPr>
        <w:t>manera las finalidades del Acuerdo. Ello sólo puede garantizarse mediante una motivación suficiente que haya sido sometida a una deliberación democrática amplia, profunda, rigurosa, abierta y transparente</w:t>
      </w:r>
      <w:r w:rsidRPr="00635A00">
        <w:rPr>
          <w:rFonts w:ascii="Times New Roman" w:hAnsi="Times New Roman" w:cs="Times New Roman"/>
          <w:sz w:val="28"/>
          <w:szCs w:val="28"/>
        </w:rPr>
        <w:t>, delibreación que no es posible en el trámite de la</w:t>
      </w:r>
      <w:r w:rsidRPr="00635A00">
        <w:rPr>
          <w:rFonts w:ascii="Times New Roman" w:hAnsi="Times New Roman" w:cs="Times New Roman"/>
          <w:sz w:val="28"/>
          <w:szCs w:val="28"/>
        </w:rPr>
        <w:t xml:space="preserve"> ley aprobatoria del plan nacional de desarrollo</w:t>
      </w:r>
      <w:r w:rsidRPr="00635A00">
        <w:rPr>
          <w:rFonts w:ascii="Times New Roman" w:hAnsi="Times New Roman" w:cs="Times New Roman"/>
          <w:sz w:val="28"/>
          <w:szCs w:val="28"/>
        </w:rPr>
        <w:t>.</w:t>
      </w:r>
    </w:p>
    <w:p w:rsidR="00ED1E27" w:rsidRPr="00635A00" w:rsidRDefault="00635A00" w:rsidP="0070363E">
      <w:pPr>
        <w:rPr>
          <w:rFonts w:ascii="Times New Roman" w:hAnsi="Times New Roman" w:cs="Times New Roman"/>
          <w:sz w:val="28"/>
          <w:szCs w:val="28"/>
        </w:rPr>
      </w:pPr>
    </w:p>
    <w:p w:rsidR="00DD7F5D" w:rsidRPr="00635A00" w:rsidRDefault="00635A00" w:rsidP="00DD7F5D">
      <w:pPr>
        <w:rPr>
          <w:rFonts w:ascii="Times New Roman" w:hAnsi="Times New Roman" w:cs="Times New Roman"/>
          <w:sz w:val="28"/>
          <w:szCs w:val="28"/>
        </w:rPr>
      </w:pPr>
      <w:r w:rsidRPr="00635A00">
        <w:rPr>
          <w:rFonts w:ascii="Times New Roman" w:hAnsi="Times New Roman" w:cs="Times New Roman"/>
          <w:b/>
          <w:bCs/>
          <w:sz w:val="28"/>
          <w:szCs w:val="28"/>
        </w:rPr>
        <w:t>Segundo</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para insistir en </w:t>
      </w:r>
      <w:r w:rsidRPr="00635A00">
        <w:rPr>
          <w:rFonts w:ascii="Times New Roman" w:hAnsi="Times New Roman" w:cs="Times New Roman"/>
          <w:sz w:val="28"/>
          <w:szCs w:val="28"/>
        </w:rPr>
        <w:t xml:space="preserve">el </w:t>
      </w:r>
      <w:r w:rsidRPr="00635A00">
        <w:rPr>
          <w:rFonts w:ascii="Times New Roman" w:hAnsi="Times New Roman" w:cs="Times New Roman"/>
          <w:sz w:val="28"/>
          <w:szCs w:val="28"/>
        </w:rPr>
        <w:t xml:space="preserve">contenido </w:t>
      </w:r>
      <w:r w:rsidRPr="00635A00">
        <w:rPr>
          <w:rFonts w:ascii="Times New Roman" w:hAnsi="Times New Roman" w:cs="Times New Roman"/>
          <w:sz w:val="28"/>
          <w:szCs w:val="28"/>
        </w:rPr>
        <w:t xml:space="preserve">y alcance </w:t>
      </w:r>
      <w:r w:rsidRPr="00635A00">
        <w:rPr>
          <w:rFonts w:ascii="Times New Roman" w:hAnsi="Times New Roman" w:cs="Times New Roman"/>
          <w:sz w:val="28"/>
          <w:szCs w:val="28"/>
        </w:rPr>
        <w:t>de los principios de consecutividad</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identidad flexible </w:t>
      </w:r>
      <w:r w:rsidRPr="00635A00">
        <w:rPr>
          <w:rFonts w:ascii="Times New Roman" w:hAnsi="Times New Roman" w:cs="Times New Roman"/>
          <w:sz w:val="28"/>
          <w:szCs w:val="28"/>
        </w:rPr>
        <w:t>y unidad de materia</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y la necesaria diferenciación en su análisis</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En efecto, al abordar el </w:t>
      </w:r>
      <w:r w:rsidRPr="00635A00">
        <w:rPr>
          <w:rFonts w:ascii="Times New Roman" w:hAnsi="Times New Roman" w:cs="Times New Roman"/>
          <w:sz w:val="28"/>
          <w:szCs w:val="28"/>
        </w:rPr>
        <w:t>estudio</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del cargo por vulneración del principio de consecutividad, la </w:t>
      </w:r>
      <w:r w:rsidRPr="00635A00">
        <w:rPr>
          <w:rFonts w:ascii="Times New Roman" w:hAnsi="Times New Roman" w:cs="Times New Roman"/>
          <w:sz w:val="28"/>
          <w:szCs w:val="28"/>
        </w:rPr>
        <w:t xml:space="preserve">posición mayoritaria </w:t>
      </w:r>
      <w:r w:rsidRPr="00635A00">
        <w:rPr>
          <w:rFonts w:ascii="Times New Roman" w:hAnsi="Times New Roman" w:cs="Times New Roman"/>
          <w:sz w:val="28"/>
          <w:szCs w:val="28"/>
        </w:rPr>
        <w:t xml:space="preserve">consideró pertinente determinar la relación que las normas demandadas tienen con la temática general del Plan Nacional de Desarrollo. En mi opinión, y con base en lo que ya </w:t>
      </w:r>
      <w:r w:rsidRPr="00635A00">
        <w:rPr>
          <w:rFonts w:ascii="Times New Roman" w:hAnsi="Times New Roman" w:cs="Times New Roman"/>
          <w:sz w:val="28"/>
          <w:szCs w:val="28"/>
        </w:rPr>
        <w:t xml:space="preserve">la Corte ha </w:t>
      </w:r>
      <w:r w:rsidRPr="00635A00">
        <w:rPr>
          <w:rFonts w:ascii="Times New Roman" w:hAnsi="Times New Roman" w:cs="Times New Roman"/>
          <w:sz w:val="28"/>
          <w:szCs w:val="28"/>
        </w:rPr>
        <w:t>precisado</w:t>
      </w:r>
      <w:r w:rsidRPr="00635A00">
        <w:rPr>
          <w:rFonts w:ascii="Times New Roman" w:hAnsi="Times New Roman" w:cs="Times New Roman"/>
          <w:sz w:val="28"/>
          <w:szCs w:val="28"/>
        </w:rPr>
        <w:t xml:space="preserve"> sobre</w:t>
      </w:r>
      <w:r w:rsidRPr="00635A00">
        <w:rPr>
          <w:rFonts w:ascii="Times New Roman" w:hAnsi="Times New Roman" w:cs="Times New Roman"/>
          <w:sz w:val="28"/>
          <w:szCs w:val="28"/>
        </w:rPr>
        <w:t xml:space="preserve"> el contenido de dichos principios, </w:t>
      </w:r>
      <w:r w:rsidRPr="00635A00">
        <w:rPr>
          <w:rFonts w:ascii="Times New Roman" w:hAnsi="Times New Roman" w:cs="Times New Roman"/>
          <w:sz w:val="28"/>
          <w:szCs w:val="28"/>
        </w:rPr>
        <w:t xml:space="preserve">dado que el cargo no era por vulneración del principio de unidad de materia, sino por vulneración del </w:t>
      </w:r>
      <w:r w:rsidRPr="00635A00">
        <w:rPr>
          <w:rFonts w:ascii="Times New Roman" w:hAnsi="Times New Roman" w:cs="Times New Roman"/>
          <w:sz w:val="28"/>
          <w:szCs w:val="28"/>
        </w:rPr>
        <w:t>principio de consecutividad</w:t>
      </w:r>
      <w:r w:rsidRPr="00635A00">
        <w:rPr>
          <w:rFonts w:ascii="Times New Roman" w:hAnsi="Times New Roman" w:cs="Times New Roman"/>
          <w:sz w:val="28"/>
          <w:szCs w:val="28"/>
        </w:rPr>
        <w:t xml:space="preserve"> e identidad flexible</w:t>
      </w:r>
      <w:r w:rsidRPr="00635A00">
        <w:rPr>
          <w:rFonts w:ascii="Times New Roman" w:hAnsi="Times New Roman" w:cs="Times New Roman"/>
          <w:sz w:val="28"/>
          <w:szCs w:val="28"/>
        </w:rPr>
        <w:t xml:space="preserve">, el análisis se debió centrar -exclusivamente- en </w:t>
      </w:r>
      <w:r w:rsidRPr="00635A00">
        <w:rPr>
          <w:rFonts w:ascii="Times New Roman" w:hAnsi="Times New Roman" w:cs="Times New Roman"/>
          <w:sz w:val="28"/>
          <w:szCs w:val="28"/>
        </w:rPr>
        <w:t xml:space="preserve">las materias tratadas en primer debate. </w:t>
      </w:r>
      <w:r w:rsidRPr="00635A00">
        <w:rPr>
          <w:rFonts w:ascii="Times New Roman" w:hAnsi="Times New Roman" w:cs="Times New Roman"/>
          <w:sz w:val="28"/>
          <w:szCs w:val="28"/>
        </w:rPr>
        <w:t xml:space="preserve">Al respecto, cabe recordar que en la sentencia C-133 de 2022 se avanzó en </w:t>
      </w:r>
      <w:r w:rsidRPr="00635A00">
        <w:rPr>
          <w:rFonts w:ascii="Times New Roman" w:hAnsi="Times New Roman" w:cs="Times New Roman"/>
          <w:sz w:val="28"/>
          <w:szCs w:val="28"/>
        </w:rPr>
        <w:t>dicho</w:t>
      </w:r>
      <w:r w:rsidRPr="00635A00">
        <w:rPr>
          <w:rFonts w:ascii="Times New Roman" w:hAnsi="Times New Roman" w:cs="Times New Roman"/>
          <w:sz w:val="28"/>
          <w:szCs w:val="28"/>
        </w:rPr>
        <w:t xml:space="preserve"> entendimiento así: </w:t>
      </w:r>
    </w:p>
    <w:p w:rsidR="00DD7F5D" w:rsidRPr="00635A00" w:rsidRDefault="00635A00" w:rsidP="00DD7F5D">
      <w:pPr>
        <w:rPr>
          <w:rFonts w:ascii="Times New Roman" w:hAnsi="Times New Roman" w:cs="Times New Roman"/>
          <w:sz w:val="28"/>
          <w:szCs w:val="28"/>
        </w:rPr>
      </w:pPr>
    </w:p>
    <w:p w:rsidR="00DD7F5D" w:rsidRPr="00635A00" w:rsidRDefault="00635A00" w:rsidP="004540D2">
      <w:pPr>
        <w:ind w:left="567"/>
        <w:rPr>
          <w:rFonts w:ascii="Times New Roman" w:hAnsi="Times New Roman" w:cs="Times New Roman"/>
          <w:sz w:val="28"/>
          <w:szCs w:val="28"/>
        </w:rPr>
      </w:pPr>
      <w:r w:rsidRPr="00635A00">
        <w:rPr>
          <w:rFonts w:ascii="Times New Roman" w:hAnsi="Times New Roman" w:cs="Times New Roman"/>
          <w:sz w:val="28"/>
          <w:szCs w:val="28"/>
        </w:rPr>
        <w:t>“La iniciativa debe respetar los principios básicos del procedim</w:t>
      </w:r>
      <w:r w:rsidRPr="00635A00">
        <w:rPr>
          <w:rFonts w:ascii="Times New Roman" w:hAnsi="Times New Roman" w:cs="Times New Roman"/>
          <w:sz w:val="28"/>
          <w:szCs w:val="28"/>
        </w:rPr>
        <w:t xml:space="preserve">iento legislativo (CP arts. 157, 158, 160 y 169). Así las cosas, (a) se debe cumplir con el principio de unidad de materia, el cual exige que las normas que van a integrar una ley deben </w:t>
      </w:r>
      <w:r w:rsidRPr="00635A00">
        <w:rPr>
          <w:rFonts w:ascii="Times New Roman" w:hAnsi="Times New Roman" w:cs="Times New Roman"/>
          <w:b/>
          <w:bCs/>
          <w:sz w:val="28"/>
          <w:szCs w:val="28"/>
          <w:u w:val="single"/>
        </w:rPr>
        <w:t>guardar conexidad entre sí y con la materia principal que se regula</w:t>
      </w:r>
      <w:r w:rsidRPr="00635A00">
        <w:rPr>
          <w:rFonts w:ascii="Times New Roman" w:hAnsi="Times New Roman" w:cs="Times New Roman"/>
          <w:sz w:val="28"/>
          <w:szCs w:val="28"/>
        </w:rPr>
        <w:t>, y</w:t>
      </w:r>
      <w:r w:rsidRPr="00635A00">
        <w:rPr>
          <w:rFonts w:ascii="Times New Roman" w:hAnsi="Times New Roman" w:cs="Times New Roman"/>
          <w:sz w:val="28"/>
          <w:szCs w:val="28"/>
        </w:rPr>
        <w:t>a sea referida a un solo asunto o una pluralidad de ellos, a partir de la identificación de un núcleo, eje o materia dominante. (b) También se tiene que observar el principio de identidad relativa, que autoriza a que durante el trámite legislativo se intro</w:t>
      </w:r>
      <w:r w:rsidRPr="00635A00">
        <w:rPr>
          <w:rFonts w:ascii="Times New Roman" w:hAnsi="Times New Roman" w:cs="Times New Roman"/>
          <w:sz w:val="28"/>
          <w:szCs w:val="28"/>
        </w:rPr>
        <w:t xml:space="preserve">duzcan ajustes, modificaciones o cambios al proyecto, tanto en las comisiones como en las plenarias, </w:t>
      </w:r>
      <w:r w:rsidRPr="00635A00">
        <w:rPr>
          <w:rFonts w:ascii="Times New Roman" w:hAnsi="Times New Roman" w:cs="Times New Roman"/>
          <w:b/>
          <w:bCs/>
          <w:sz w:val="28"/>
          <w:szCs w:val="28"/>
          <w:u w:val="single"/>
        </w:rPr>
        <w:t>con la condición de que exista un vínculo o conexidad entre la enmienda y lo previamente debatido</w:t>
      </w:r>
      <w:r w:rsidRPr="00635A00">
        <w:rPr>
          <w:rFonts w:ascii="Times New Roman" w:hAnsi="Times New Roman" w:cs="Times New Roman"/>
          <w:sz w:val="28"/>
          <w:szCs w:val="28"/>
        </w:rPr>
        <w:t>. Y, por último, (c) se debe acatar el principio de consec</w:t>
      </w:r>
      <w:r w:rsidRPr="00635A00">
        <w:rPr>
          <w:rFonts w:ascii="Times New Roman" w:hAnsi="Times New Roman" w:cs="Times New Roman"/>
          <w:sz w:val="28"/>
          <w:szCs w:val="28"/>
        </w:rPr>
        <w:t xml:space="preserve">utividad, por virtud del cual se exige que </w:t>
      </w:r>
      <w:r w:rsidRPr="00635A00">
        <w:rPr>
          <w:rFonts w:ascii="Times New Roman" w:hAnsi="Times New Roman" w:cs="Times New Roman"/>
          <w:b/>
          <w:bCs/>
          <w:sz w:val="28"/>
          <w:szCs w:val="28"/>
          <w:u w:val="single"/>
        </w:rPr>
        <w:t>el tema o materia que guía</w:t>
      </w:r>
      <w:r w:rsidRPr="00635A00">
        <w:rPr>
          <w:rFonts w:ascii="Times New Roman" w:hAnsi="Times New Roman" w:cs="Times New Roman"/>
          <w:sz w:val="28"/>
          <w:szCs w:val="28"/>
        </w:rPr>
        <w:t xml:space="preserve"> la aprobación de las distintas normas que integran una iniciativa –sin perjuicio del ejercicio de las atribuciones que emanan del principio de identidad relativa– </w:t>
      </w:r>
      <w:r w:rsidRPr="00635A00">
        <w:rPr>
          <w:rFonts w:ascii="Times New Roman" w:hAnsi="Times New Roman" w:cs="Times New Roman"/>
          <w:b/>
          <w:bCs/>
          <w:sz w:val="28"/>
          <w:szCs w:val="28"/>
          <w:u w:val="single"/>
        </w:rPr>
        <w:t>esté presente a lo larg</w:t>
      </w:r>
      <w:r w:rsidRPr="00635A00">
        <w:rPr>
          <w:rFonts w:ascii="Times New Roman" w:hAnsi="Times New Roman" w:cs="Times New Roman"/>
          <w:b/>
          <w:bCs/>
          <w:sz w:val="28"/>
          <w:szCs w:val="28"/>
          <w:u w:val="single"/>
        </w:rPr>
        <w:t>o de los debates reglamentarios que se prevén en la Constitución</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(subrayado fuera de texto)</w:t>
      </w:r>
      <w:r w:rsidRPr="00635A00">
        <w:rPr>
          <w:rFonts w:ascii="Times New Roman" w:hAnsi="Times New Roman" w:cs="Times New Roman"/>
          <w:sz w:val="28"/>
          <w:szCs w:val="28"/>
        </w:rPr>
        <w:t>.</w:t>
      </w:r>
    </w:p>
    <w:p w:rsidR="00DD7F5D" w:rsidRPr="00635A00" w:rsidRDefault="00635A00" w:rsidP="00DD7F5D">
      <w:pPr>
        <w:rPr>
          <w:rFonts w:ascii="Times New Roman" w:hAnsi="Times New Roman" w:cs="Times New Roman"/>
          <w:sz w:val="28"/>
          <w:szCs w:val="28"/>
        </w:rPr>
      </w:pPr>
    </w:p>
    <w:p w:rsidR="000934EF" w:rsidRPr="00635A00" w:rsidRDefault="00635A00" w:rsidP="00DD7F5D">
      <w:pPr>
        <w:rPr>
          <w:rFonts w:ascii="Times New Roman" w:hAnsi="Times New Roman" w:cs="Times New Roman"/>
          <w:sz w:val="28"/>
          <w:szCs w:val="28"/>
          <w:highlight w:val="yellow"/>
        </w:rPr>
      </w:pPr>
      <w:r w:rsidRPr="00635A00">
        <w:rPr>
          <w:rFonts w:ascii="Times New Roman" w:hAnsi="Times New Roman" w:cs="Times New Roman"/>
          <w:sz w:val="28"/>
          <w:szCs w:val="28"/>
        </w:rPr>
        <w:t>Aun cuando en aquella ocasión se analizaba una iniciativa de ley estatutaria, lo cierto es que se advirtió que se trataba de la sistematización de los requisitos</w:t>
      </w:r>
      <w:r w:rsidRPr="00635A00">
        <w:rPr>
          <w:rFonts w:ascii="Times New Roman" w:hAnsi="Times New Roman" w:cs="Times New Roman"/>
          <w:sz w:val="28"/>
          <w:szCs w:val="28"/>
        </w:rPr>
        <w:t xml:space="preserve"> tanto ordinarios (aplicables a todo proyecto de ley) como especiales (propios de las leyes estatutarias). </w:t>
      </w:r>
      <w:r w:rsidRPr="00635A00">
        <w:rPr>
          <w:rFonts w:ascii="Times New Roman" w:hAnsi="Times New Roman" w:cs="Times New Roman"/>
          <w:sz w:val="28"/>
          <w:szCs w:val="28"/>
        </w:rPr>
        <w:t>Así, d</w:t>
      </w:r>
      <w:r w:rsidRPr="00635A00">
        <w:rPr>
          <w:rFonts w:ascii="Times New Roman" w:hAnsi="Times New Roman" w:cs="Times New Roman"/>
          <w:sz w:val="28"/>
          <w:szCs w:val="28"/>
        </w:rPr>
        <w:t>ichos requisitos también son aplicables a las leyes aprobatorias del PND con algunas especificidades. En efecto, lo que exige el principio de u</w:t>
      </w:r>
      <w:r w:rsidRPr="00635A00">
        <w:rPr>
          <w:rFonts w:ascii="Times New Roman" w:hAnsi="Times New Roman" w:cs="Times New Roman"/>
          <w:sz w:val="28"/>
          <w:szCs w:val="28"/>
        </w:rPr>
        <w:t>nidad de materia en el PND es que guarde conexidad estrecha, directa e inmediata con las estrategias</w:t>
      </w:r>
      <w:r w:rsidRPr="00635A00">
        <w:rPr>
          <w:rFonts w:ascii="Times New Roman" w:hAnsi="Times New Roman" w:cs="Times New Roman"/>
          <w:sz w:val="28"/>
          <w:szCs w:val="28"/>
        </w:rPr>
        <w:t xml:space="preserve"> y</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políticas </w:t>
      </w:r>
      <w:r w:rsidRPr="00635A00">
        <w:rPr>
          <w:rFonts w:ascii="Times New Roman" w:hAnsi="Times New Roman" w:cs="Times New Roman"/>
          <w:sz w:val="28"/>
          <w:szCs w:val="28"/>
        </w:rPr>
        <w:t>que guiarán la acción del Gobierno en función de alcanzar los objetivos y metas fijados en la parte general del plan, y con los programas y pro</w:t>
      </w:r>
      <w:r w:rsidRPr="00635A00">
        <w:rPr>
          <w:rFonts w:ascii="Times New Roman" w:hAnsi="Times New Roman" w:cs="Times New Roman"/>
          <w:sz w:val="28"/>
          <w:szCs w:val="28"/>
        </w:rPr>
        <w:t xml:space="preserve">yectos del plan de inversiones (o lo que la ponencia llama vínculo razonable con la temática general del PND). Por su parte, el requisito de consecutividad exige que el asunto trate de una materia que ha sido debatida a lo largo </w:t>
      </w:r>
      <w:r w:rsidRPr="00635A00">
        <w:rPr>
          <w:rFonts w:ascii="Times New Roman" w:hAnsi="Times New Roman" w:cs="Times New Roman"/>
          <w:sz w:val="28"/>
          <w:szCs w:val="28"/>
        </w:rPr>
        <w:t>del procedimiento de elabor</w:t>
      </w:r>
      <w:r w:rsidRPr="00635A00">
        <w:rPr>
          <w:rFonts w:ascii="Times New Roman" w:hAnsi="Times New Roman" w:cs="Times New Roman"/>
          <w:sz w:val="28"/>
          <w:szCs w:val="28"/>
        </w:rPr>
        <w:t xml:space="preserve">ación del plan y </w:t>
      </w:r>
      <w:r w:rsidRPr="00635A00">
        <w:rPr>
          <w:rFonts w:ascii="Times New Roman" w:hAnsi="Times New Roman" w:cs="Times New Roman"/>
          <w:sz w:val="28"/>
          <w:szCs w:val="28"/>
        </w:rPr>
        <w:t>de</w:t>
      </w:r>
      <w:r w:rsidRPr="00635A00">
        <w:rPr>
          <w:rFonts w:ascii="Times New Roman" w:hAnsi="Times New Roman" w:cs="Times New Roman"/>
          <w:sz w:val="28"/>
          <w:szCs w:val="28"/>
        </w:rPr>
        <w:t>l</w:t>
      </w:r>
      <w:r w:rsidRPr="00635A00">
        <w:rPr>
          <w:rFonts w:ascii="Times New Roman" w:hAnsi="Times New Roman" w:cs="Times New Roman"/>
          <w:sz w:val="28"/>
          <w:szCs w:val="28"/>
        </w:rPr>
        <w:t xml:space="preserve"> trámite legislativo; y el de identidad flexible (o relativa) se refiere a que los cambios que se introduzcan guarden coherencia y se refieran a la misma materia o contenido temático que fue previamente debatido.</w:t>
      </w:r>
    </w:p>
    <w:p w:rsidR="00FD490E" w:rsidRPr="00635A00" w:rsidRDefault="00635A00">
      <w:pPr>
        <w:rPr>
          <w:rFonts w:ascii="Times New Roman" w:hAnsi="Times New Roman" w:cs="Times New Roman"/>
          <w:sz w:val="28"/>
          <w:szCs w:val="28"/>
        </w:rPr>
      </w:pPr>
    </w:p>
    <w:p w:rsidR="000961C0" w:rsidRPr="00635A00" w:rsidRDefault="00635A00" w:rsidP="000961C0">
      <w:pPr>
        <w:rPr>
          <w:rFonts w:ascii="Times New Roman" w:hAnsi="Times New Roman" w:cs="Times New Roman"/>
          <w:sz w:val="28"/>
          <w:szCs w:val="28"/>
        </w:rPr>
      </w:pPr>
      <w:r w:rsidRPr="00635A00">
        <w:rPr>
          <w:rFonts w:ascii="Times New Roman" w:hAnsi="Times New Roman" w:cs="Times New Roman"/>
          <w:b/>
          <w:bCs/>
          <w:sz w:val="28"/>
          <w:szCs w:val="28"/>
        </w:rPr>
        <w:t>Tercero</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para reiterar </w:t>
      </w:r>
      <w:r w:rsidRPr="00635A00">
        <w:rPr>
          <w:rFonts w:ascii="Times New Roman" w:hAnsi="Times New Roman" w:cs="Times New Roman"/>
          <w:sz w:val="28"/>
          <w:szCs w:val="28"/>
          <w:lang w:val="es-ES_tradnl"/>
        </w:rPr>
        <w:t>la particular regulación constitucional y orgánica </w:t>
      </w:r>
      <w:r w:rsidRPr="00635A00">
        <w:rPr>
          <w:rFonts w:ascii="Times New Roman" w:hAnsi="Times New Roman" w:cs="Times New Roman"/>
          <w:sz w:val="28"/>
          <w:szCs w:val="28"/>
        </w:rPr>
        <w:t xml:space="preserve">de la ley aprobatoria del Plan Nacional de Desarrollo cuyo procedimiento legislativo especial se encuentra regulado en los artículos 341 de la Constitución y 20 a 25 de la Ley 152 de 1994. </w:t>
      </w:r>
      <w:r w:rsidRPr="00635A00">
        <w:rPr>
          <w:rFonts w:ascii="Times New Roman" w:hAnsi="Times New Roman" w:cs="Times New Roman"/>
          <w:sz w:val="28"/>
          <w:szCs w:val="28"/>
        </w:rPr>
        <w:t>En</w:t>
      </w:r>
      <w:r w:rsidRPr="00635A00">
        <w:rPr>
          <w:rFonts w:ascii="Times New Roman" w:hAnsi="Times New Roman" w:cs="Times New Roman"/>
          <w:sz w:val="28"/>
          <w:szCs w:val="28"/>
        </w:rPr>
        <w:t xml:space="preserve"> efecto, el procedimiento legislativo especial para la aprobación del plan nacional de desarrollo se encuentra regulado en los artículos 341 de la Constitución y 20 a 25 de la Ley 152 de 1994. A partir de estas disposiciones es posible diferenciar tres mom</w:t>
      </w:r>
      <w:r w:rsidRPr="00635A00">
        <w:rPr>
          <w:rFonts w:ascii="Times New Roman" w:hAnsi="Times New Roman" w:cs="Times New Roman"/>
          <w:sz w:val="28"/>
          <w:szCs w:val="28"/>
        </w:rPr>
        <w:t xml:space="preserve">entos del trámite aprobatorio: (i) presentación, de iniciativa exclusiva del gobierno nacional por intermedio del Ministerio de Hacienda y Crédito Público; (ii) primer debate en las comisiones de asuntos económicos de ambas Cámaras, en sesión conjunta, en </w:t>
      </w:r>
      <w:r w:rsidRPr="00635A00">
        <w:rPr>
          <w:rFonts w:ascii="Times New Roman" w:hAnsi="Times New Roman" w:cs="Times New Roman"/>
          <w:sz w:val="28"/>
          <w:szCs w:val="28"/>
        </w:rPr>
        <w:t xml:space="preserve">un término improrrogable de cuarenta y cinco días; y (iii) segundo debate en cada una de las Cámaras a partir del informe que elaboren las comisiones conjuntas de asuntos económicos. </w:t>
      </w:r>
    </w:p>
    <w:p w:rsidR="000961C0" w:rsidRPr="00635A00" w:rsidRDefault="00635A00" w:rsidP="000961C0">
      <w:pPr>
        <w:rPr>
          <w:rFonts w:ascii="Times New Roman" w:hAnsi="Times New Roman" w:cs="Times New Roman"/>
          <w:sz w:val="28"/>
          <w:szCs w:val="28"/>
        </w:rPr>
      </w:pPr>
    </w:p>
    <w:p w:rsidR="000961C0" w:rsidRPr="00635A00" w:rsidRDefault="00635A00" w:rsidP="000961C0">
      <w:pPr>
        <w:rPr>
          <w:rFonts w:ascii="Times New Roman" w:hAnsi="Times New Roman" w:cs="Times New Roman"/>
          <w:sz w:val="28"/>
          <w:szCs w:val="28"/>
        </w:rPr>
      </w:pPr>
      <w:r w:rsidRPr="00635A00">
        <w:rPr>
          <w:rFonts w:ascii="Times New Roman" w:hAnsi="Times New Roman" w:cs="Times New Roman"/>
          <w:sz w:val="28"/>
          <w:szCs w:val="28"/>
        </w:rPr>
        <w:t>La Constitución distingue las modificaciones que se le pueden introduci</w:t>
      </w:r>
      <w:r w:rsidRPr="00635A00">
        <w:rPr>
          <w:rFonts w:ascii="Times New Roman" w:hAnsi="Times New Roman" w:cs="Times New Roman"/>
          <w:sz w:val="28"/>
          <w:szCs w:val="28"/>
        </w:rPr>
        <w:t>r al proyecto durante su trámite legislativo por parte del Gobierno y por parte del Congreso. El gobierno nacional puede proponer modificaciones a cualquiera de las partes que integran el plan nacional de desarrollo. El Congreso, por su parte, puede introd</w:t>
      </w:r>
      <w:r w:rsidRPr="00635A00">
        <w:rPr>
          <w:rFonts w:ascii="Times New Roman" w:hAnsi="Times New Roman" w:cs="Times New Roman"/>
          <w:sz w:val="28"/>
          <w:szCs w:val="28"/>
        </w:rPr>
        <w:t>ucir modificaciones al componente del plan de inversiones públicas, “siempre y cuando se mantenga el equilibrio financiero” (artículos 341 de la Constitución y 22 de la Ley 152 de 1994), para lo cual requiere previa “aprobación por escrito del Gobierno Nac</w:t>
      </w:r>
      <w:r w:rsidRPr="00635A00">
        <w:rPr>
          <w:rFonts w:ascii="Times New Roman" w:hAnsi="Times New Roman" w:cs="Times New Roman"/>
          <w:sz w:val="28"/>
          <w:szCs w:val="28"/>
        </w:rPr>
        <w:t>ional por conducto del ministro de Hacienda y Crédito Público”. Cualquier incremento en las autorizaciones de endeudamiento solicitadas o inclusión de proyectos de inversión no contemplados en el proyecto gubernamental, requiere el visto bueno del Gobierno</w:t>
      </w:r>
      <w:r w:rsidRPr="00635A00">
        <w:rPr>
          <w:rFonts w:ascii="Times New Roman" w:hAnsi="Times New Roman" w:cs="Times New Roman"/>
          <w:sz w:val="28"/>
          <w:szCs w:val="28"/>
        </w:rPr>
        <w:t xml:space="preserve"> nacional. En todo caso, los desacuerdos con el contenido de la parte general, si los hubiere, no son obstáculo para que el gobierno ejecute las políticas propuestas en lo que sea de su competencia (artículo 341 de la Constitución). El plan de inversiones,</w:t>
      </w:r>
      <w:r w:rsidRPr="00635A00">
        <w:rPr>
          <w:rFonts w:ascii="Times New Roman" w:hAnsi="Times New Roman" w:cs="Times New Roman"/>
          <w:sz w:val="28"/>
          <w:szCs w:val="28"/>
        </w:rPr>
        <w:t xml:space="preserve"> por el contrario, requiere ser aprobado mediante ley que, en los términos del artículo 341 de la Constitución, tiene prelación sobre las demás leyes y sus mandatos constituyen mecanismos idóneos para su ejecución sin necesidad de la expedición de leyes po</w:t>
      </w:r>
      <w:r w:rsidRPr="00635A00">
        <w:rPr>
          <w:rFonts w:ascii="Times New Roman" w:hAnsi="Times New Roman" w:cs="Times New Roman"/>
          <w:sz w:val="28"/>
          <w:szCs w:val="28"/>
        </w:rPr>
        <w:t>steriores, razón por la que si el Congreso de la República no aprueba este componente del plan nacional de desarrollo en el término de tres meses, el Gobierno nacional puede poner en vigencia el proyecto presentado mediante decreto con fuerza de ley.</w:t>
      </w:r>
    </w:p>
    <w:p w:rsidR="000961C0" w:rsidRPr="00635A00" w:rsidRDefault="00635A00" w:rsidP="000961C0">
      <w:pPr>
        <w:rPr>
          <w:rFonts w:ascii="Times New Roman" w:hAnsi="Times New Roman" w:cs="Times New Roman"/>
          <w:sz w:val="28"/>
          <w:szCs w:val="28"/>
        </w:rPr>
      </w:pPr>
    </w:p>
    <w:p w:rsidR="000961C0" w:rsidRPr="00635A00" w:rsidRDefault="00635A00" w:rsidP="000961C0">
      <w:pPr>
        <w:rPr>
          <w:rFonts w:ascii="Times New Roman" w:hAnsi="Times New Roman" w:cs="Times New Roman"/>
          <w:sz w:val="28"/>
          <w:szCs w:val="28"/>
          <w:highlight w:val="yellow"/>
        </w:rPr>
      </w:pPr>
      <w:r w:rsidRPr="00635A00">
        <w:rPr>
          <w:rFonts w:ascii="Times New Roman" w:hAnsi="Times New Roman" w:cs="Times New Roman"/>
          <w:sz w:val="28"/>
          <w:szCs w:val="28"/>
        </w:rPr>
        <w:t>Conf</w:t>
      </w:r>
      <w:r w:rsidRPr="00635A00">
        <w:rPr>
          <w:rFonts w:ascii="Times New Roman" w:hAnsi="Times New Roman" w:cs="Times New Roman"/>
          <w:sz w:val="28"/>
          <w:szCs w:val="28"/>
        </w:rPr>
        <w:t xml:space="preserve">orme a dichas disposiciones y al </w:t>
      </w:r>
      <w:r w:rsidRPr="00635A00">
        <w:rPr>
          <w:rFonts w:ascii="Times New Roman" w:hAnsi="Times New Roman" w:cs="Times New Roman"/>
          <w:sz w:val="28"/>
          <w:szCs w:val="28"/>
        </w:rPr>
        <w:t>artículo</w:t>
      </w:r>
      <w:r w:rsidRPr="00635A00">
        <w:rPr>
          <w:rFonts w:ascii="Times New Roman" w:hAnsi="Times New Roman" w:cs="Times New Roman"/>
          <w:sz w:val="28"/>
          <w:szCs w:val="28"/>
        </w:rPr>
        <w:t xml:space="preserve"> 150.3 de la Constitución, la ley aprobatoria del plan de desarrollo no permite modificar legislación permanente pues, para ello, se requiere adelantar el procedimiento legislativo ordinario previsto en la Constituc</w:t>
      </w:r>
      <w:r w:rsidRPr="00635A00">
        <w:rPr>
          <w:rFonts w:ascii="Times New Roman" w:hAnsi="Times New Roman" w:cs="Times New Roman"/>
          <w:sz w:val="28"/>
          <w:szCs w:val="28"/>
        </w:rPr>
        <w:t xml:space="preserve">ión para la expedición de las leyes y no el especial previsto para la </w:t>
      </w:r>
      <w:r w:rsidRPr="00635A00">
        <w:rPr>
          <w:rFonts w:ascii="Times New Roman" w:hAnsi="Times New Roman" w:cs="Times New Roman"/>
          <w:sz w:val="28"/>
          <w:szCs w:val="28"/>
          <w:u w:val="single"/>
        </w:rPr>
        <w:t>aprobación</w:t>
      </w:r>
      <w:r w:rsidRPr="00635A00">
        <w:rPr>
          <w:rFonts w:ascii="Times New Roman" w:hAnsi="Times New Roman" w:cs="Times New Roman"/>
          <w:sz w:val="28"/>
          <w:szCs w:val="28"/>
        </w:rPr>
        <w:t xml:space="preserve"> del plan de desarrollo que debe tramitarse apenas en 3 meses improrrogables</w:t>
      </w:r>
      <w:r w:rsidRPr="00635A00">
        <w:rPr>
          <w:rFonts w:ascii="Times New Roman" w:hAnsi="Times New Roman" w:cs="Times New Roman"/>
          <w:sz w:val="28"/>
          <w:szCs w:val="28"/>
        </w:rPr>
        <w:t xml:space="preserve"> y ser aprobado por mayoría simple</w:t>
      </w:r>
      <w:r w:rsidRPr="00635A00">
        <w:rPr>
          <w:rFonts w:ascii="Times New Roman" w:hAnsi="Times New Roman" w:cs="Times New Roman"/>
          <w:sz w:val="28"/>
          <w:szCs w:val="28"/>
        </w:rPr>
        <w:t xml:space="preserve"> y no permite, por tanto, el amplio debate democrático propio de l</w:t>
      </w:r>
      <w:r w:rsidRPr="00635A00">
        <w:rPr>
          <w:rFonts w:ascii="Times New Roman" w:hAnsi="Times New Roman" w:cs="Times New Roman"/>
          <w:sz w:val="28"/>
          <w:szCs w:val="28"/>
        </w:rPr>
        <w:t xml:space="preserve">a </w:t>
      </w:r>
      <w:r w:rsidRPr="00635A00">
        <w:rPr>
          <w:rFonts w:ascii="Times New Roman" w:hAnsi="Times New Roman" w:cs="Times New Roman"/>
          <w:sz w:val="28"/>
          <w:szCs w:val="28"/>
          <w:u w:val="single"/>
        </w:rPr>
        <w:t>configuración</w:t>
      </w:r>
      <w:r w:rsidRPr="00635A00">
        <w:rPr>
          <w:rFonts w:ascii="Times New Roman" w:hAnsi="Times New Roman" w:cs="Times New Roman"/>
          <w:sz w:val="28"/>
          <w:szCs w:val="28"/>
        </w:rPr>
        <w:t xml:space="preserve"> del ordenamiento jurídico.</w:t>
      </w:r>
      <w:r w:rsidRPr="00635A00">
        <w:rPr>
          <w:rFonts w:ascii="Times New Roman" w:hAnsi="Times New Roman" w:cs="Times New Roman"/>
          <w:sz w:val="28"/>
          <w:szCs w:val="28"/>
        </w:rPr>
        <w:t xml:space="preserve"> En efecto, tal como lo sostuvo la Corte en l</w:t>
      </w:r>
      <w:r w:rsidRPr="00635A00">
        <w:rPr>
          <w:rFonts w:ascii="Times New Roman" w:hAnsi="Times New Roman" w:cs="Times New Roman"/>
          <w:sz w:val="28"/>
          <w:szCs w:val="28"/>
        </w:rPr>
        <w:t xml:space="preserve">a Sentencia C-415 de 2020, “[e]l principio de unidad de materia en la ley del plan proscribe de manera general la aprobación de reglas que modifiquen normas de carácter </w:t>
      </w:r>
      <w:r w:rsidRPr="00635A00">
        <w:rPr>
          <w:rFonts w:ascii="Times New Roman" w:hAnsi="Times New Roman" w:cs="Times New Roman"/>
          <w:sz w:val="28"/>
          <w:szCs w:val="28"/>
        </w:rPr>
        <w:t>permanente o impliquen reformas estructurales</w:t>
      </w:r>
      <w:r w:rsidRPr="00635A00">
        <w:rPr>
          <w:rFonts w:ascii="Times New Roman" w:hAnsi="Times New Roman" w:cs="Times New Roman"/>
          <w:sz w:val="28"/>
          <w:szCs w:val="28"/>
        </w:rPr>
        <w:t xml:space="preserve">”. Y aun cuando la demanda en esta oportunidad no incluyó ese cargo, dado que la modificación introducida mediante las normas demandadas implicaban la afectación </w:t>
      </w:r>
      <w:r w:rsidRPr="00635A00">
        <w:rPr>
          <w:rFonts w:ascii="Times New Roman" w:hAnsi="Times New Roman" w:cs="Times New Roman"/>
          <w:sz w:val="28"/>
          <w:szCs w:val="28"/>
        </w:rPr>
        <w:t>de</w:t>
      </w:r>
      <w:r w:rsidRPr="00635A00">
        <w:rPr>
          <w:rFonts w:ascii="Times New Roman" w:hAnsi="Times New Roman" w:cs="Times New Roman"/>
          <w:sz w:val="28"/>
          <w:szCs w:val="28"/>
        </w:rPr>
        <w:t xml:space="preserve"> normas con carácter permanente, correspondía a</w:t>
      </w:r>
      <w:r w:rsidRPr="00635A00">
        <w:rPr>
          <w:rFonts w:ascii="Times New Roman" w:hAnsi="Times New Roman" w:cs="Times New Roman"/>
          <w:sz w:val="28"/>
          <w:szCs w:val="28"/>
        </w:rPr>
        <w:t xml:space="preserve">l Gobierno demostrar que las medidas </w:t>
      </w:r>
      <w:r w:rsidRPr="00635A00">
        <w:rPr>
          <w:rFonts w:ascii="Times New Roman" w:hAnsi="Times New Roman" w:cs="Times New Roman"/>
          <w:sz w:val="28"/>
          <w:szCs w:val="28"/>
        </w:rPr>
        <w:t>(i) tienen un carácter instrumental, en el sentido de que se trata de procedimientos, mecanismos o medidas destinadas a impulsar el cumplimiento del plan, o de apropiación de los recursos necesarios para su ejecución</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ii) persiguen un fin planificador y de impulso a la ejecución del plan cuatrienal</w:t>
      </w:r>
      <w:r w:rsidRPr="00635A00">
        <w:rPr>
          <w:rFonts w:ascii="Times New Roman" w:hAnsi="Times New Roman" w:cs="Times New Roman"/>
          <w:sz w:val="28"/>
          <w:szCs w:val="28"/>
        </w:rPr>
        <w:t>;</w:t>
      </w:r>
      <w:r w:rsidRPr="00635A00">
        <w:rPr>
          <w:rFonts w:ascii="Times New Roman" w:hAnsi="Times New Roman" w:cs="Times New Roman"/>
          <w:sz w:val="28"/>
          <w:szCs w:val="28"/>
        </w:rPr>
        <w:t xml:space="preserve"> y (iiii) deben guardar conexidad estrecha, directa e inmediata con las estrategias </w:t>
      </w:r>
      <w:r w:rsidRPr="00635A00">
        <w:rPr>
          <w:rFonts w:ascii="Times New Roman" w:hAnsi="Times New Roman" w:cs="Times New Roman"/>
          <w:sz w:val="28"/>
          <w:szCs w:val="28"/>
        </w:rPr>
        <w:t xml:space="preserve">y </w:t>
      </w:r>
      <w:r w:rsidRPr="00635A00">
        <w:rPr>
          <w:rFonts w:ascii="Times New Roman" w:hAnsi="Times New Roman" w:cs="Times New Roman"/>
          <w:sz w:val="28"/>
          <w:szCs w:val="28"/>
        </w:rPr>
        <w:t xml:space="preserve">políticas </w:t>
      </w:r>
      <w:r w:rsidRPr="00635A00">
        <w:rPr>
          <w:rFonts w:ascii="Times New Roman" w:hAnsi="Times New Roman" w:cs="Times New Roman"/>
          <w:sz w:val="28"/>
          <w:szCs w:val="28"/>
        </w:rPr>
        <w:t>que guiarán la acción del Gobierno para alcanzar los objetivos y metas fijados</w:t>
      </w:r>
      <w:r w:rsidRPr="00635A00">
        <w:rPr>
          <w:rFonts w:ascii="Times New Roman" w:hAnsi="Times New Roman" w:cs="Times New Roman"/>
          <w:sz w:val="28"/>
          <w:szCs w:val="28"/>
        </w:rPr>
        <w:t xml:space="preserve"> en la parte general del plan, o con los programas y proyectos del plan de inversiones.</w:t>
      </w:r>
    </w:p>
    <w:p w:rsidR="000934EF" w:rsidRPr="00635A00" w:rsidRDefault="00635A00">
      <w:pPr>
        <w:rPr>
          <w:rFonts w:ascii="Times New Roman" w:hAnsi="Times New Roman" w:cs="Times New Roman"/>
          <w:sz w:val="28"/>
          <w:szCs w:val="28"/>
        </w:rPr>
      </w:pPr>
    </w:p>
    <w:p w:rsidR="00BE3B62" w:rsidRPr="00635A00" w:rsidRDefault="00635A00">
      <w:pPr>
        <w:rPr>
          <w:rFonts w:ascii="Times New Roman" w:hAnsi="Times New Roman" w:cs="Times New Roman"/>
          <w:sz w:val="28"/>
          <w:szCs w:val="28"/>
        </w:rPr>
      </w:pPr>
    </w:p>
    <w:p w:rsidR="00BE3B62" w:rsidRPr="00635A00" w:rsidRDefault="00635A00">
      <w:pPr>
        <w:rPr>
          <w:rFonts w:ascii="Times New Roman" w:hAnsi="Times New Roman" w:cs="Times New Roman"/>
          <w:sz w:val="28"/>
          <w:szCs w:val="28"/>
        </w:rPr>
      </w:pPr>
    </w:p>
    <w:p w:rsidR="00BE3B62" w:rsidRPr="00635A00" w:rsidRDefault="00635A00" w:rsidP="00BE3B62">
      <w:pPr>
        <w:jc w:val="center"/>
        <w:rPr>
          <w:rFonts w:ascii="Times New Roman" w:hAnsi="Times New Roman" w:cs="Times New Roman"/>
          <w:b/>
          <w:bCs/>
          <w:sz w:val="28"/>
          <w:szCs w:val="28"/>
        </w:rPr>
      </w:pPr>
      <w:r w:rsidRPr="00635A00">
        <w:rPr>
          <w:rFonts w:ascii="Times New Roman" w:hAnsi="Times New Roman" w:cs="Times New Roman"/>
          <w:b/>
          <w:bCs/>
          <w:sz w:val="28"/>
          <w:szCs w:val="28"/>
        </w:rPr>
        <w:t>ANTONIO JOSÉ LIZARAZO OCAMPO</w:t>
      </w:r>
    </w:p>
    <w:p w:rsidR="00BE3B62" w:rsidRPr="00635A00" w:rsidRDefault="00635A00" w:rsidP="00BE3B62">
      <w:pPr>
        <w:jc w:val="center"/>
        <w:rPr>
          <w:rFonts w:ascii="Times New Roman" w:hAnsi="Times New Roman" w:cs="Times New Roman"/>
          <w:b/>
          <w:bCs/>
          <w:sz w:val="28"/>
          <w:szCs w:val="28"/>
        </w:rPr>
      </w:pPr>
      <w:r w:rsidRPr="00635A00">
        <w:rPr>
          <w:rFonts w:ascii="Times New Roman" w:hAnsi="Times New Roman" w:cs="Times New Roman"/>
          <w:b/>
          <w:bCs/>
          <w:sz w:val="28"/>
          <w:szCs w:val="28"/>
        </w:rPr>
        <w:t>Magistrado</w:t>
      </w:r>
    </w:p>
    <w:p w:rsidR="000D2D76" w:rsidRPr="00635A00" w:rsidRDefault="00635A00" w:rsidP="002A31DD">
      <w:pPr>
        <w:jc w:val="center"/>
        <w:outlineLvl w:val="0"/>
        <w:rPr>
          <w:rFonts w:ascii="Times New Roman" w:hAnsi="Times New Roman" w:cs="Times New Roman"/>
          <w:b/>
          <w:sz w:val="28"/>
          <w:szCs w:val="28"/>
        </w:rPr>
      </w:pPr>
    </w:p>
    <w:p w:rsidR="000D2D76" w:rsidRPr="00635A00" w:rsidRDefault="00635A00" w:rsidP="002A31DD">
      <w:pPr>
        <w:jc w:val="center"/>
        <w:outlineLvl w:val="0"/>
        <w:rPr>
          <w:rFonts w:ascii="Times New Roman" w:hAnsi="Times New Roman" w:cs="Times New Roman"/>
          <w:b/>
          <w:sz w:val="28"/>
          <w:szCs w:val="28"/>
        </w:rPr>
      </w:pPr>
    </w:p>
    <w:p w:rsidR="002A31DD" w:rsidRPr="00635A00" w:rsidRDefault="00635A00" w:rsidP="002A31DD">
      <w:pPr>
        <w:jc w:val="center"/>
        <w:outlineLvl w:val="0"/>
        <w:rPr>
          <w:rFonts w:ascii="Times New Roman" w:hAnsi="Times New Roman" w:cs="Times New Roman"/>
          <w:b/>
          <w:sz w:val="28"/>
          <w:szCs w:val="28"/>
        </w:rPr>
      </w:pPr>
      <w:r w:rsidRPr="00635A00">
        <w:rPr>
          <w:rFonts w:ascii="Times New Roman" w:hAnsi="Times New Roman" w:cs="Times New Roman"/>
          <w:b/>
          <w:sz w:val="28"/>
          <w:szCs w:val="28"/>
        </w:rPr>
        <w:t>SALVAMENTO</w:t>
      </w:r>
      <w:r w:rsidRPr="00635A00">
        <w:rPr>
          <w:rFonts w:ascii="Times New Roman" w:hAnsi="Times New Roman" w:cs="Times New Roman"/>
          <w:b/>
          <w:sz w:val="28"/>
          <w:szCs w:val="28"/>
        </w:rPr>
        <w:t xml:space="preserve"> PARCIAL</w:t>
      </w:r>
      <w:r w:rsidRPr="00635A00">
        <w:rPr>
          <w:rFonts w:ascii="Times New Roman" w:hAnsi="Times New Roman" w:cs="Times New Roman"/>
          <w:b/>
          <w:sz w:val="28"/>
          <w:szCs w:val="28"/>
        </w:rPr>
        <w:t xml:space="preserve"> </w:t>
      </w:r>
      <w:r w:rsidRPr="00635A00">
        <w:rPr>
          <w:rFonts w:ascii="Times New Roman" w:hAnsi="Times New Roman" w:cs="Times New Roman"/>
          <w:b/>
          <w:sz w:val="28"/>
          <w:szCs w:val="28"/>
        </w:rPr>
        <w:t>DE VOTO DE LA MAGISTRADA</w:t>
      </w:r>
    </w:p>
    <w:p w:rsidR="005D5561" w:rsidRPr="00635A00" w:rsidRDefault="00635A00" w:rsidP="002A31DD">
      <w:pPr>
        <w:jc w:val="center"/>
        <w:outlineLvl w:val="0"/>
        <w:rPr>
          <w:rFonts w:ascii="Times New Roman" w:hAnsi="Times New Roman" w:cs="Times New Roman"/>
          <w:b/>
          <w:sz w:val="28"/>
          <w:szCs w:val="28"/>
        </w:rPr>
      </w:pPr>
      <w:r w:rsidRPr="00635A00">
        <w:rPr>
          <w:rFonts w:ascii="Times New Roman" w:hAnsi="Times New Roman" w:cs="Times New Roman"/>
          <w:b/>
          <w:sz w:val="28"/>
          <w:szCs w:val="28"/>
        </w:rPr>
        <w:t xml:space="preserve">DIANA FAJARDO RIVERA </w:t>
      </w:r>
    </w:p>
    <w:p w:rsidR="002A31DD" w:rsidRPr="00635A00" w:rsidRDefault="00635A00" w:rsidP="002A31DD">
      <w:pPr>
        <w:jc w:val="center"/>
        <w:outlineLvl w:val="0"/>
        <w:rPr>
          <w:rFonts w:ascii="Times New Roman" w:hAnsi="Times New Roman" w:cs="Times New Roman"/>
          <w:b/>
          <w:sz w:val="28"/>
          <w:szCs w:val="28"/>
        </w:rPr>
      </w:pPr>
      <w:r w:rsidRPr="00635A00">
        <w:rPr>
          <w:rFonts w:ascii="Times New Roman" w:hAnsi="Times New Roman" w:cs="Times New Roman"/>
          <w:b/>
          <w:sz w:val="28"/>
          <w:szCs w:val="28"/>
        </w:rPr>
        <w:t xml:space="preserve">A LA SENTENCIA </w:t>
      </w:r>
      <w:r w:rsidRPr="00635A00">
        <w:rPr>
          <w:rFonts w:ascii="Times New Roman" w:hAnsi="Times New Roman" w:cs="Times New Roman"/>
          <w:b/>
          <w:sz w:val="28"/>
          <w:szCs w:val="28"/>
        </w:rPr>
        <w:t>C-</w:t>
      </w:r>
      <w:r w:rsidRPr="00635A00">
        <w:rPr>
          <w:rFonts w:ascii="Times New Roman" w:hAnsi="Times New Roman" w:cs="Times New Roman"/>
          <w:b/>
          <w:sz w:val="28"/>
          <w:szCs w:val="28"/>
        </w:rPr>
        <w:t>294</w:t>
      </w:r>
      <w:r w:rsidRPr="00635A00">
        <w:rPr>
          <w:rFonts w:ascii="Times New Roman" w:hAnsi="Times New Roman" w:cs="Times New Roman"/>
          <w:b/>
          <w:sz w:val="28"/>
          <w:szCs w:val="28"/>
        </w:rPr>
        <w:t>/</w:t>
      </w:r>
      <w:r w:rsidRPr="00635A00">
        <w:rPr>
          <w:rFonts w:ascii="Times New Roman" w:hAnsi="Times New Roman" w:cs="Times New Roman"/>
          <w:b/>
          <w:sz w:val="28"/>
          <w:szCs w:val="28"/>
        </w:rPr>
        <w:t>2</w:t>
      </w:r>
      <w:r w:rsidRPr="00635A00">
        <w:rPr>
          <w:rFonts w:ascii="Times New Roman" w:hAnsi="Times New Roman" w:cs="Times New Roman"/>
          <w:b/>
          <w:sz w:val="28"/>
          <w:szCs w:val="28"/>
        </w:rPr>
        <w:t>4</w:t>
      </w:r>
    </w:p>
    <w:p w:rsidR="002A31DD" w:rsidRPr="00635A00" w:rsidRDefault="00635A00" w:rsidP="002A31DD">
      <w:pPr>
        <w:rPr>
          <w:rFonts w:ascii="Times New Roman" w:hAnsi="Times New Roman" w:cs="Times New Roman"/>
          <w:sz w:val="28"/>
          <w:szCs w:val="28"/>
        </w:rPr>
      </w:pP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 xml:space="preserve"> </w:t>
      </w:r>
    </w:p>
    <w:p w:rsidR="005D5561" w:rsidRPr="00635A00" w:rsidRDefault="00635A00" w:rsidP="002A31DD">
      <w:pPr>
        <w:rPr>
          <w:rFonts w:ascii="Times New Roman" w:hAnsi="Times New Roman" w:cs="Times New Roman"/>
          <w:sz w:val="28"/>
          <w:szCs w:val="28"/>
        </w:rPr>
      </w:pPr>
    </w:p>
    <w:p w:rsidR="00336EC8" w:rsidRPr="00635A00" w:rsidRDefault="00635A00" w:rsidP="00FD742C">
      <w:pPr>
        <w:tabs>
          <w:tab w:val="left" w:pos="8640"/>
          <w:tab w:val="left" w:pos="9000"/>
        </w:tabs>
        <w:ind w:left="3969" w:right="50"/>
        <w:jc w:val="both"/>
        <w:rPr>
          <w:rFonts w:ascii="Times New Roman" w:hAnsi="Times New Roman" w:cs="Times New Roman"/>
          <w:sz w:val="28"/>
          <w:szCs w:val="28"/>
        </w:rPr>
      </w:pPr>
      <w:r w:rsidRPr="00635A00">
        <w:rPr>
          <w:rFonts w:ascii="Times New Roman" w:hAnsi="Times New Roman" w:cs="Times New Roman"/>
          <w:sz w:val="28"/>
          <w:szCs w:val="28"/>
        </w:rPr>
        <w:t xml:space="preserve">Referencia: </w:t>
      </w:r>
      <w:r w:rsidRPr="00635A00">
        <w:rPr>
          <w:rFonts w:ascii="Times New Roman" w:hAnsi="Times New Roman" w:cs="Times New Roman"/>
          <w:sz w:val="28"/>
          <w:szCs w:val="28"/>
        </w:rPr>
        <w:t>e</w:t>
      </w:r>
      <w:r w:rsidRPr="00635A00">
        <w:rPr>
          <w:rFonts w:ascii="Times New Roman" w:hAnsi="Times New Roman" w:cs="Times New Roman"/>
          <w:sz w:val="28"/>
          <w:szCs w:val="28"/>
        </w:rPr>
        <w:t>xpediente</w:t>
      </w:r>
      <w:r w:rsidRPr="00635A00">
        <w:rPr>
          <w:rFonts w:ascii="Times New Roman" w:hAnsi="Times New Roman" w:cs="Times New Roman"/>
          <w:sz w:val="28"/>
          <w:szCs w:val="28"/>
        </w:rPr>
        <w:t xml:space="preserve"> </w:t>
      </w:r>
      <w:r w:rsidRPr="00635A00">
        <w:rPr>
          <w:rFonts w:ascii="Times New Roman" w:hAnsi="Times New Roman" w:cs="Times New Roman"/>
          <w:sz w:val="28"/>
          <w:szCs w:val="28"/>
        </w:rPr>
        <w:t>D-1</w:t>
      </w:r>
      <w:r w:rsidRPr="00635A00">
        <w:rPr>
          <w:rFonts w:ascii="Times New Roman" w:hAnsi="Times New Roman" w:cs="Times New Roman"/>
          <w:sz w:val="28"/>
          <w:szCs w:val="28"/>
        </w:rPr>
        <w:t>5</w:t>
      </w:r>
      <w:r w:rsidRPr="00635A00">
        <w:rPr>
          <w:rFonts w:ascii="Times New Roman" w:hAnsi="Times New Roman" w:cs="Times New Roman"/>
          <w:sz w:val="28"/>
          <w:szCs w:val="28"/>
        </w:rPr>
        <w:t>.</w:t>
      </w:r>
      <w:r w:rsidRPr="00635A00">
        <w:rPr>
          <w:rFonts w:ascii="Times New Roman" w:hAnsi="Times New Roman" w:cs="Times New Roman"/>
          <w:sz w:val="28"/>
          <w:szCs w:val="28"/>
        </w:rPr>
        <w:t>438</w:t>
      </w:r>
      <w:r w:rsidRPr="00635A00">
        <w:rPr>
          <w:rFonts w:ascii="Times New Roman" w:hAnsi="Times New Roman" w:cs="Times New Roman"/>
          <w:sz w:val="28"/>
          <w:szCs w:val="28"/>
        </w:rPr>
        <w:t xml:space="preserve"> AC</w:t>
      </w:r>
      <w:r w:rsidRPr="00635A00">
        <w:rPr>
          <w:rFonts w:ascii="Times New Roman" w:hAnsi="Times New Roman" w:cs="Times New Roman"/>
          <w:sz w:val="28"/>
          <w:szCs w:val="28"/>
        </w:rPr>
        <w:t>.</w:t>
      </w:r>
    </w:p>
    <w:p w:rsidR="00336EC8" w:rsidRPr="00635A00" w:rsidRDefault="00635A00" w:rsidP="00FD742C">
      <w:pPr>
        <w:tabs>
          <w:tab w:val="left" w:pos="8640"/>
          <w:tab w:val="left" w:pos="9000"/>
        </w:tabs>
        <w:ind w:left="3969" w:right="50"/>
        <w:jc w:val="both"/>
        <w:rPr>
          <w:rFonts w:ascii="Times New Roman" w:hAnsi="Times New Roman" w:cs="Times New Roman"/>
          <w:sz w:val="28"/>
          <w:szCs w:val="28"/>
        </w:rPr>
      </w:pPr>
    </w:p>
    <w:p w:rsidR="00A312DD" w:rsidRPr="00635A00" w:rsidRDefault="00635A00" w:rsidP="00FD742C">
      <w:pPr>
        <w:tabs>
          <w:tab w:val="left" w:pos="9000"/>
        </w:tabs>
        <w:ind w:left="3969" w:right="50"/>
        <w:jc w:val="both"/>
        <w:rPr>
          <w:rFonts w:ascii="Times New Roman" w:hAnsi="Times New Roman" w:cs="Times New Roman"/>
          <w:color w:val="000000" w:themeColor="text1"/>
          <w:sz w:val="28"/>
          <w:szCs w:val="28"/>
          <w:shd w:val="clear" w:color="auto" w:fill="FFFFFF"/>
        </w:rPr>
      </w:pPr>
      <w:r w:rsidRPr="00635A00">
        <w:rPr>
          <w:rFonts w:ascii="Times New Roman" w:hAnsi="Times New Roman" w:cs="Times New Roman"/>
          <w:color w:val="000000" w:themeColor="text1"/>
          <w:sz w:val="28"/>
          <w:szCs w:val="28"/>
          <w:shd w:val="clear" w:color="auto" w:fill="FFFFFF"/>
        </w:rPr>
        <w:t>Asunto: demanda</w:t>
      </w:r>
      <w:r w:rsidRPr="00635A00">
        <w:rPr>
          <w:rFonts w:ascii="Times New Roman" w:hAnsi="Times New Roman" w:cs="Times New Roman"/>
          <w:color w:val="000000" w:themeColor="text1"/>
          <w:sz w:val="28"/>
          <w:szCs w:val="28"/>
          <w:shd w:val="clear" w:color="auto" w:fill="FFFFFF"/>
        </w:rPr>
        <w:t>s</w:t>
      </w:r>
      <w:r w:rsidRPr="00635A00">
        <w:rPr>
          <w:rFonts w:ascii="Times New Roman" w:hAnsi="Times New Roman" w:cs="Times New Roman"/>
          <w:color w:val="000000" w:themeColor="text1"/>
          <w:sz w:val="28"/>
          <w:szCs w:val="28"/>
          <w:shd w:val="clear" w:color="auto" w:fill="FFFFFF"/>
        </w:rPr>
        <w:t xml:space="preserve"> de inconstitucionalidad </w:t>
      </w:r>
      <w:bookmarkStart w:id="29" w:name="_Hlk163141628"/>
      <w:r w:rsidRPr="00635A00">
        <w:rPr>
          <w:rFonts w:ascii="Times New Roman" w:hAnsi="Times New Roman" w:cs="Times New Roman"/>
          <w:color w:val="000000" w:themeColor="text1"/>
          <w:sz w:val="28"/>
          <w:szCs w:val="28"/>
          <w:shd w:val="clear" w:color="auto" w:fill="FFFFFF"/>
        </w:rPr>
        <w:t xml:space="preserve">contra el artículo 61 (parcial) de la Ley 2294 de 2023, </w:t>
      </w:r>
      <w:bookmarkEnd w:id="29"/>
      <w:r w:rsidRPr="00635A00">
        <w:rPr>
          <w:rFonts w:ascii="Times New Roman" w:hAnsi="Times New Roman" w:cs="Times New Roman"/>
          <w:color w:val="000000" w:themeColor="text1"/>
          <w:sz w:val="28"/>
          <w:szCs w:val="28"/>
          <w:shd w:val="clear" w:color="auto" w:fill="FFFFFF"/>
        </w:rPr>
        <w:t>“[</w:t>
      </w:r>
      <w:bookmarkStart w:id="30" w:name="_Hlk153481409"/>
      <w:r w:rsidRPr="00635A00">
        <w:rPr>
          <w:rFonts w:ascii="Times New Roman" w:hAnsi="Times New Roman" w:cs="Times New Roman"/>
          <w:color w:val="000000" w:themeColor="text1"/>
          <w:sz w:val="28"/>
          <w:szCs w:val="28"/>
          <w:shd w:val="clear" w:color="auto" w:fill="FFFFFF"/>
        </w:rPr>
        <w:t>p]or la cual se expide el Plan Nacional de Desarrollo 2022-2026 ‘Colombia Potencia Mundial de la Vida’</w:t>
      </w:r>
      <w:bookmarkEnd w:id="30"/>
      <w:r w:rsidRPr="00635A00">
        <w:rPr>
          <w:rFonts w:ascii="Times New Roman" w:hAnsi="Times New Roman" w:cs="Times New Roman"/>
          <w:color w:val="000000" w:themeColor="text1"/>
          <w:sz w:val="28"/>
          <w:szCs w:val="28"/>
          <w:shd w:val="clear" w:color="auto" w:fill="FFFFFF"/>
        </w:rPr>
        <w:t>”.</w:t>
      </w:r>
    </w:p>
    <w:p w:rsidR="00A312DD" w:rsidRPr="00635A00" w:rsidRDefault="00635A00" w:rsidP="00FD742C">
      <w:pPr>
        <w:tabs>
          <w:tab w:val="left" w:pos="9000"/>
        </w:tabs>
        <w:ind w:left="3969" w:right="50"/>
        <w:jc w:val="both"/>
        <w:rPr>
          <w:rFonts w:ascii="Times New Roman" w:hAnsi="Times New Roman" w:cs="Times New Roman"/>
          <w:color w:val="000000" w:themeColor="text1"/>
          <w:sz w:val="28"/>
          <w:szCs w:val="28"/>
          <w:shd w:val="clear" w:color="auto" w:fill="FFFFFF"/>
        </w:rPr>
      </w:pPr>
    </w:p>
    <w:p w:rsidR="00336EC8" w:rsidRPr="00635A00" w:rsidRDefault="00635A00" w:rsidP="00FD742C">
      <w:pPr>
        <w:tabs>
          <w:tab w:val="left" w:pos="9000"/>
        </w:tabs>
        <w:ind w:left="3969" w:right="50"/>
        <w:jc w:val="both"/>
        <w:rPr>
          <w:rFonts w:ascii="Times New Roman" w:hAnsi="Times New Roman" w:cs="Times New Roman"/>
          <w:sz w:val="28"/>
          <w:szCs w:val="28"/>
        </w:rPr>
      </w:pPr>
      <w:r w:rsidRPr="00635A00">
        <w:rPr>
          <w:rFonts w:ascii="Times New Roman" w:hAnsi="Times New Roman" w:cs="Times New Roman"/>
          <w:sz w:val="28"/>
          <w:szCs w:val="28"/>
        </w:rPr>
        <w:t>Magistrad</w:t>
      </w:r>
      <w:r w:rsidRPr="00635A00">
        <w:rPr>
          <w:rFonts w:ascii="Times New Roman" w:hAnsi="Times New Roman" w:cs="Times New Roman"/>
          <w:sz w:val="28"/>
          <w:szCs w:val="28"/>
        </w:rPr>
        <w:t>a</w:t>
      </w:r>
      <w:r w:rsidRPr="00635A00">
        <w:rPr>
          <w:rFonts w:ascii="Times New Roman" w:hAnsi="Times New Roman" w:cs="Times New Roman"/>
          <w:sz w:val="28"/>
          <w:szCs w:val="28"/>
        </w:rPr>
        <w:t xml:space="preserve"> ponente:</w:t>
      </w:r>
    </w:p>
    <w:p w:rsidR="00336EC8" w:rsidRPr="00635A00" w:rsidRDefault="00635A00" w:rsidP="00FD742C">
      <w:pPr>
        <w:tabs>
          <w:tab w:val="left" w:pos="9000"/>
        </w:tabs>
        <w:ind w:left="3969" w:right="50"/>
        <w:jc w:val="both"/>
        <w:rPr>
          <w:rFonts w:ascii="Times New Roman" w:hAnsi="Times New Roman" w:cs="Times New Roman"/>
          <w:sz w:val="28"/>
          <w:szCs w:val="28"/>
        </w:rPr>
      </w:pPr>
      <w:r w:rsidRPr="00635A00">
        <w:rPr>
          <w:rFonts w:ascii="Times New Roman" w:hAnsi="Times New Roman" w:cs="Times New Roman"/>
          <w:sz w:val="28"/>
          <w:szCs w:val="28"/>
        </w:rPr>
        <w:t>Natalia Ángel Cabo</w:t>
      </w:r>
      <w:r w:rsidRPr="00635A00">
        <w:rPr>
          <w:rFonts w:ascii="Times New Roman" w:hAnsi="Times New Roman" w:cs="Times New Roman"/>
          <w:sz w:val="28"/>
          <w:szCs w:val="28"/>
        </w:rPr>
        <w:t>.</w:t>
      </w:r>
    </w:p>
    <w:p w:rsidR="000A4099" w:rsidRPr="00635A00" w:rsidRDefault="00635A00" w:rsidP="002A31DD">
      <w:pPr>
        <w:rPr>
          <w:rFonts w:ascii="Times New Roman" w:hAnsi="Times New Roman" w:cs="Times New Roman"/>
          <w:sz w:val="28"/>
          <w:szCs w:val="28"/>
        </w:rPr>
      </w:pPr>
    </w:p>
    <w:p w:rsidR="005D5561" w:rsidRPr="00635A00" w:rsidRDefault="00635A00" w:rsidP="002A31DD">
      <w:pPr>
        <w:rPr>
          <w:rFonts w:ascii="Times New Roman" w:hAnsi="Times New Roman" w:cs="Times New Roman"/>
          <w:sz w:val="28"/>
          <w:szCs w:val="28"/>
        </w:rPr>
      </w:pPr>
    </w:p>
    <w:p w:rsidR="00C97C77" w:rsidRPr="00635A00" w:rsidRDefault="00635A00" w:rsidP="00FC482B">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En la</w:t>
      </w:r>
      <w:r w:rsidRPr="00635A00">
        <w:rPr>
          <w:rFonts w:ascii="Times New Roman" w:hAnsi="Times New Roman" w:cs="Times New Roman"/>
        </w:rPr>
        <w:t xml:space="preserve"> </w:t>
      </w:r>
      <w:r w:rsidRPr="00635A00">
        <w:rPr>
          <w:rFonts w:ascii="Times New Roman" w:hAnsi="Times New Roman" w:cs="Times New Roman"/>
        </w:rPr>
        <w:t>Sentencia</w:t>
      </w:r>
      <w:r w:rsidRPr="00635A00">
        <w:rPr>
          <w:rFonts w:ascii="Times New Roman" w:hAnsi="Times New Roman" w:cs="Times New Roman"/>
        </w:rPr>
        <w:t xml:space="preserve"> </w:t>
      </w:r>
      <w:r w:rsidRPr="00635A00">
        <w:rPr>
          <w:rFonts w:ascii="Times New Roman" w:hAnsi="Times New Roman" w:cs="Times New Roman"/>
        </w:rPr>
        <w:t>C</w:t>
      </w:r>
      <w:r w:rsidRPr="00635A00">
        <w:rPr>
          <w:rFonts w:ascii="Times New Roman" w:hAnsi="Times New Roman" w:cs="Times New Roman"/>
        </w:rPr>
        <w:t>-</w:t>
      </w:r>
      <w:r w:rsidRPr="00635A00">
        <w:rPr>
          <w:rFonts w:ascii="Times New Roman" w:hAnsi="Times New Roman" w:cs="Times New Roman"/>
        </w:rPr>
        <w:t>294</w:t>
      </w:r>
      <w:r w:rsidRPr="00635A00">
        <w:rPr>
          <w:rFonts w:ascii="Times New Roman" w:hAnsi="Times New Roman" w:cs="Times New Roman"/>
        </w:rPr>
        <w:t xml:space="preserve"> de 2</w:t>
      </w:r>
      <w:r w:rsidRPr="00635A00">
        <w:rPr>
          <w:rFonts w:ascii="Times New Roman" w:hAnsi="Times New Roman" w:cs="Times New Roman"/>
        </w:rPr>
        <w:t>0</w:t>
      </w:r>
      <w:r w:rsidRPr="00635A00">
        <w:rPr>
          <w:rFonts w:ascii="Times New Roman" w:hAnsi="Times New Roman" w:cs="Times New Roman"/>
        </w:rPr>
        <w:t>2</w:t>
      </w:r>
      <w:r w:rsidRPr="00635A00">
        <w:rPr>
          <w:rFonts w:ascii="Times New Roman" w:hAnsi="Times New Roman" w:cs="Times New Roman"/>
        </w:rPr>
        <w:t>4</w:t>
      </w:r>
      <w:r w:rsidRPr="00635A00">
        <w:rPr>
          <w:rFonts w:ascii="Times New Roman" w:hAnsi="Times New Roman" w:cs="Times New Roman"/>
        </w:rPr>
        <w:t>,</w:t>
      </w:r>
      <w:r w:rsidRPr="00635A00">
        <w:rPr>
          <w:rFonts w:ascii="Times New Roman" w:hAnsi="Times New Roman" w:cs="Times New Roman"/>
        </w:rPr>
        <w:t xml:space="preserve"> </w:t>
      </w:r>
      <w:r w:rsidRPr="00635A00">
        <w:rPr>
          <w:rFonts w:ascii="Times New Roman" w:hAnsi="Times New Roman" w:cs="Times New Roman"/>
        </w:rPr>
        <w:t>la Corte</w:t>
      </w:r>
      <w:r w:rsidRPr="00635A00">
        <w:rPr>
          <w:rFonts w:ascii="Times New Roman" w:hAnsi="Times New Roman" w:cs="Times New Roman"/>
        </w:rPr>
        <w:t xml:space="preserve"> </w:t>
      </w:r>
      <w:r w:rsidRPr="00635A00">
        <w:rPr>
          <w:rFonts w:ascii="Times New Roman" w:hAnsi="Times New Roman" w:cs="Times New Roman"/>
        </w:rPr>
        <w:t xml:space="preserve">estudió </w:t>
      </w:r>
      <w:r w:rsidRPr="00635A00">
        <w:rPr>
          <w:rFonts w:ascii="Times New Roman" w:hAnsi="Times New Roman" w:cs="Times New Roman"/>
        </w:rPr>
        <w:t>dos</w:t>
      </w:r>
      <w:r w:rsidRPr="00635A00">
        <w:rPr>
          <w:rFonts w:ascii="Times New Roman" w:hAnsi="Times New Roman" w:cs="Times New Roman"/>
        </w:rPr>
        <w:t xml:space="preserve"> demanda</w:t>
      </w:r>
      <w:r w:rsidRPr="00635A00">
        <w:rPr>
          <w:rFonts w:ascii="Times New Roman" w:hAnsi="Times New Roman" w:cs="Times New Roman"/>
        </w:rPr>
        <w:t>s</w:t>
      </w:r>
      <w:r w:rsidRPr="00635A00">
        <w:rPr>
          <w:rFonts w:ascii="Times New Roman" w:hAnsi="Times New Roman" w:cs="Times New Roman"/>
        </w:rPr>
        <w:t xml:space="preserve"> contra el artículo 61</w:t>
      </w:r>
      <w:r w:rsidRPr="00635A00">
        <w:rPr>
          <w:rFonts w:ascii="Times New Roman" w:hAnsi="Times New Roman" w:cs="Times New Roman"/>
        </w:rPr>
        <w:t xml:space="preserve"> (parcial)</w:t>
      </w:r>
      <w:r w:rsidRPr="00635A00">
        <w:rPr>
          <w:rFonts w:ascii="Times New Roman" w:hAnsi="Times New Roman" w:cs="Times New Roman"/>
        </w:rPr>
        <w:t xml:space="preserve"> de la Ley 2294 de 2023, “[p]or [la] cual se expide el Plan Nacional de Desarrollo 2022-2026 ‘Colombia Potencia Mundial de la Vida’”. </w:t>
      </w:r>
      <w:r w:rsidRPr="00635A00">
        <w:rPr>
          <w:rFonts w:ascii="Times New Roman" w:hAnsi="Times New Roman" w:cs="Times New Roman"/>
        </w:rPr>
        <w:t xml:space="preserve">Esta norma eliminaba la fase </w:t>
      </w:r>
      <w:r w:rsidRPr="00635A00">
        <w:rPr>
          <w:rFonts w:ascii="Times New Roman" w:hAnsi="Times New Roman" w:cs="Times New Roman"/>
        </w:rPr>
        <w:t>judicial que previó el Decreto Ley 902 de 2017 para el desarrollo de los siguientes procesos</w:t>
      </w:r>
      <w:r w:rsidRPr="00635A00">
        <w:rPr>
          <w:rFonts w:ascii="Times New Roman" w:hAnsi="Times New Roman" w:cs="Times New Roman"/>
        </w:rPr>
        <w:t xml:space="preserve"> agrarios</w:t>
      </w:r>
      <w:r w:rsidRPr="00635A00">
        <w:rPr>
          <w:rFonts w:ascii="Times New Roman" w:hAnsi="Times New Roman" w:cs="Times New Roman"/>
        </w:rPr>
        <w:t xml:space="preserve">: </w:t>
      </w:r>
      <w:r w:rsidRPr="00635A00">
        <w:rPr>
          <w:rFonts w:ascii="Times New Roman" w:hAnsi="Times New Roman" w:cs="Times New Roman"/>
        </w:rPr>
        <w:t xml:space="preserve">(i) </w:t>
      </w:r>
      <w:r w:rsidRPr="00635A00">
        <w:rPr>
          <w:rFonts w:ascii="Times New Roman" w:hAnsi="Times New Roman" w:cs="Times New Roman"/>
        </w:rPr>
        <w:t xml:space="preserve">clarificación de la propiedad, deslinde y recuperación de baldíos, </w:t>
      </w:r>
      <w:r w:rsidRPr="00635A00">
        <w:rPr>
          <w:rFonts w:ascii="Times New Roman" w:hAnsi="Times New Roman" w:cs="Times New Roman"/>
        </w:rPr>
        <w:t xml:space="preserve">(ii) </w:t>
      </w:r>
      <w:r w:rsidRPr="00635A00">
        <w:rPr>
          <w:rFonts w:ascii="Times New Roman" w:hAnsi="Times New Roman" w:cs="Times New Roman"/>
        </w:rPr>
        <w:t>extinción judicial del dominio sobre tierras incultas</w:t>
      </w:r>
      <w:r w:rsidRPr="00635A00">
        <w:rPr>
          <w:rFonts w:ascii="Times New Roman" w:hAnsi="Times New Roman" w:cs="Times New Roman"/>
        </w:rPr>
        <w:t xml:space="preserve"> y</w:t>
      </w:r>
      <w:r w:rsidRPr="00635A00">
        <w:rPr>
          <w:rFonts w:ascii="Times New Roman" w:hAnsi="Times New Roman" w:cs="Times New Roman"/>
        </w:rPr>
        <w:t xml:space="preserve"> </w:t>
      </w:r>
      <w:r w:rsidRPr="00635A00">
        <w:rPr>
          <w:rFonts w:ascii="Times New Roman" w:hAnsi="Times New Roman" w:cs="Times New Roman"/>
        </w:rPr>
        <w:t xml:space="preserve">(iii) </w:t>
      </w:r>
      <w:r w:rsidRPr="00635A00">
        <w:rPr>
          <w:rFonts w:ascii="Times New Roman" w:hAnsi="Times New Roman" w:cs="Times New Roman"/>
        </w:rPr>
        <w:t>caducidad admin</w:t>
      </w:r>
      <w:r w:rsidRPr="00635A00">
        <w:rPr>
          <w:rFonts w:ascii="Times New Roman" w:hAnsi="Times New Roman" w:cs="Times New Roman"/>
        </w:rPr>
        <w:t>istrativa, condición resolutoria del subsidio, reversión y revocatoria de titulación de baldíos.</w:t>
      </w:r>
    </w:p>
    <w:p w:rsidR="00C97C77" w:rsidRPr="00635A00" w:rsidRDefault="00635A00" w:rsidP="00302AB0">
      <w:pPr>
        <w:pStyle w:val="Prrafodelista"/>
        <w:tabs>
          <w:tab w:val="left" w:pos="426"/>
        </w:tabs>
        <w:ind w:left="0"/>
        <w:rPr>
          <w:rFonts w:ascii="Times New Roman" w:hAnsi="Times New Roman" w:cs="Times New Roman"/>
        </w:rPr>
      </w:pPr>
    </w:p>
    <w:p w:rsidR="006E307B" w:rsidRPr="00635A00" w:rsidRDefault="00635A00" w:rsidP="00A27122">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La providencia declaró inexequible las disposiciones en atención a dos cargos de procedimiento legislativo</w:t>
      </w:r>
      <w:r w:rsidRPr="00635A00">
        <w:rPr>
          <w:rFonts w:ascii="Times New Roman" w:hAnsi="Times New Roman" w:cs="Times New Roman"/>
        </w:rPr>
        <w:t xml:space="preserve">. Primero, </w:t>
      </w:r>
      <w:r w:rsidRPr="00635A00">
        <w:rPr>
          <w:rFonts w:ascii="Times New Roman" w:hAnsi="Times New Roman" w:cs="Times New Roman"/>
        </w:rPr>
        <w:t xml:space="preserve">por violación al principio de publicidad en tanto que los senadores no conocieron ni tuvieron la oportunidad de conocer, a partir de un mecanismo idóneo, el contenido de la proposición a través de la cual se introdujeron las normas </w:t>
      </w:r>
      <w:r w:rsidRPr="00635A00">
        <w:rPr>
          <w:rFonts w:ascii="Times New Roman" w:hAnsi="Times New Roman" w:cs="Times New Roman"/>
        </w:rPr>
        <w:t>acusadas</w:t>
      </w:r>
      <w:r w:rsidRPr="00635A00">
        <w:rPr>
          <w:rFonts w:ascii="Times New Roman" w:hAnsi="Times New Roman" w:cs="Times New Roman"/>
        </w:rPr>
        <w:t xml:space="preserve"> al proyecto de </w:t>
      </w:r>
      <w:r w:rsidRPr="00635A00">
        <w:rPr>
          <w:rFonts w:ascii="Times New Roman" w:hAnsi="Times New Roman" w:cs="Times New Roman"/>
        </w:rPr>
        <w:t>ley. Segundo, por violación al principio de c</w:t>
      </w:r>
      <w:r w:rsidRPr="00635A00">
        <w:rPr>
          <w:rFonts w:ascii="Times New Roman" w:hAnsi="Times New Roman" w:cs="Times New Roman"/>
        </w:rPr>
        <w:t>o</w:t>
      </w:r>
      <w:r w:rsidRPr="00635A00">
        <w:rPr>
          <w:rFonts w:ascii="Times New Roman" w:hAnsi="Times New Roman" w:cs="Times New Roman"/>
        </w:rPr>
        <w:t xml:space="preserve">nsecutividad </w:t>
      </w:r>
      <w:r w:rsidRPr="00635A00">
        <w:rPr>
          <w:rFonts w:ascii="Times New Roman" w:hAnsi="Times New Roman" w:cs="Times New Roman"/>
        </w:rPr>
        <w:t>e identidad flexible</w:t>
      </w:r>
      <w:r w:rsidRPr="00635A00">
        <w:rPr>
          <w:rFonts w:ascii="Times New Roman" w:hAnsi="Times New Roman" w:cs="Times New Roman"/>
        </w:rPr>
        <w:t xml:space="preserve"> debido a que, aunque las normas guardaban relación con los temas generales del Plan Nacional de Desarrollo, no fueron discutidas </w:t>
      </w:r>
      <w:r w:rsidRPr="00635A00">
        <w:rPr>
          <w:rFonts w:ascii="Times New Roman" w:hAnsi="Times New Roman" w:cs="Times New Roman"/>
        </w:rPr>
        <w:t>en</w:t>
      </w:r>
      <w:r w:rsidRPr="00635A00">
        <w:rPr>
          <w:rFonts w:ascii="Times New Roman" w:hAnsi="Times New Roman" w:cs="Times New Roman"/>
        </w:rPr>
        <w:t xml:space="preserve"> el primer debate </w:t>
      </w:r>
      <w:r w:rsidRPr="00635A00">
        <w:rPr>
          <w:rFonts w:ascii="Times New Roman" w:hAnsi="Times New Roman" w:cs="Times New Roman"/>
        </w:rPr>
        <w:t>de</w:t>
      </w:r>
      <w:r w:rsidRPr="00635A00">
        <w:rPr>
          <w:rFonts w:ascii="Times New Roman" w:hAnsi="Times New Roman" w:cs="Times New Roman"/>
        </w:rPr>
        <w:t xml:space="preserve"> las comisiones conjuntas</w:t>
      </w:r>
      <w:r w:rsidRPr="00635A00">
        <w:rPr>
          <w:rFonts w:ascii="Times New Roman" w:hAnsi="Times New Roman" w:cs="Times New Roman"/>
        </w:rPr>
        <w:t xml:space="preserve">. </w:t>
      </w:r>
    </w:p>
    <w:p w:rsidR="006E307B" w:rsidRPr="00635A00" w:rsidRDefault="00635A00" w:rsidP="00710403">
      <w:pPr>
        <w:pStyle w:val="Prrafodelista"/>
        <w:tabs>
          <w:tab w:val="left" w:pos="426"/>
        </w:tabs>
        <w:ind w:left="0"/>
        <w:rPr>
          <w:rFonts w:ascii="Times New Roman" w:hAnsi="Times New Roman" w:cs="Times New Roman"/>
        </w:rPr>
      </w:pPr>
    </w:p>
    <w:p w:rsidR="00534651" w:rsidRPr="00635A00" w:rsidRDefault="00635A00" w:rsidP="00534651">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 xml:space="preserve">Ahora bien, aunque acompañé la decisión de inexequibilidad en lo que respecta al principio de publicidad, me aparto de las conclusiones a las que llegó la posición mayoritaria frente al segundo cargo, relacionado con el principio de </w:t>
      </w:r>
      <w:r w:rsidRPr="00635A00">
        <w:rPr>
          <w:rFonts w:ascii="Times New Roman" w:hAnsi="Times New Roman" w:cs="Times New Roman"/>
        </w:rPr>
        <w:t>consecutividad</w:t>
      </w:r>
      <w:r w:rsidRPr="00635A00">
        <w:rPr>
          <w:rFonts w:ascii="Times New Roman" w:hAnsi="Times New Roman" w:cs="Times New Roman"/>
        </w:rPr>
        <w:t xml:space="preserve"> del </w:t>
      </w:r>
      <w:r w:rsidRPr="00635A00">
        <w:rPr>
          <w:rFonts w:ascii="Times New Roman" w:hAnsi="Times New Roman" w:cs="Times New Roman"/>
        </w:rPr>
        <w:t xml:space="preserve">trámite legislativo. </w:t>
      </w:r>
      <w:r w:rsidRPr="00635A00">
        <w:rPr>
          <w:rFonts w:ascii="Times New Roman" w:hAnsi="Times New Roman" w:cs="Times New Roman"/>
        </w:rPr>
        <w:t xml:space="preserve">En mi criterio, la Sala desarrolló un análisis demasiado estricto que </w:t>
      </w:r>
      <w:r w:rsidRPr="00635A00">
        <w:rPr>
          <w:rFonts w:ascii="Times New Roman" w:hAnsi="Times New Roman" w:cs="Times New Roman"/>
        </w:rPr>
        <w:t>restringe</w:t>
      </w:r>
      <w:r w:rsidRPr="00635A00">
        <w:rPr>
          <w:rFonts w:ascii="Times New Roman" w:hAnsi="Times New Roman" w:cs="Times New Roman"/>
        </w:rPr>
        <w:t xml:space="preserve"> en exceso la facultad </w:t>
      </w:r>
      <w:r w:rsidRPr="00635A00">
        <w:rPr>
          <w:rFonts w:ascii="Times New Roman" w:hAnsi="Times New Roman" w:cs="Times New Roman"/>
        </w:rPr>
        <w:t xml:space="preserve">de </w:t>
      </w:r>
      <w:r w:rsidRPr="00635A00">
        <w:rPr>
          <w:rFonts w:ascii="Times New Roman" w:hAnsi="Times New Roman" w:cs="Times New Roman"/>
        </w:rPr>
        <w:t>introducir modificaciones al proyecto del plan nacional de desarrollo, en el curso del debate legislativo.</w:t>
      </w:r>
    </w:p>
    <w:p w:rsidR="00BD6FF5" w:rsidRPr="00635A00" w:rsidRDefault="00635A00" w:rsidP="00BD6FF5">
      <w:pPr>
        <w:rPr>
          <w:rFonts w:ascii="Times New Roman" w:hAnsi="Times New Roman" w:cs="Times New Roman"/>
          <w:sz w:val="28"/>
          <w:szCs w:val="28"/>
        </w:rPr>
      </w:pPr>
    </w:p>
    <w:p w:rsidR="00A474DE" w:rsidRPr="00635A00" w:rsidRDefault="00635A00" w:rsidP="00AB2DF5">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 xml:space="preserve">La Corte ha </w:t>
      </w:r>
      <w:r w:rsidRPr="00635A00">
        <w:rPr>
          <w:rFonts w:ascii="Times New Roman" w:hAnsi="Times New Roman" w:cs="Times New Roman"/>
        </w:rPr>
        <w:t>entendido</w:t>
      </w:r>
      <w:r w:rsidRPr="00635A00">
        <w:rPr>
          <w:rFonts w:ascii="Times New Roman" w:hAnsi="Times New Roman" w:cs="Times New Roman"/>
        </w:rPr>
        <w:t xml:space="preserve"> </w:t>
      </w:r>
      <w:r w:rsidRPr="00635A00">
        <w:rPr>
          <w:rFonts w:ascii="Times New Roman" w:hAnsi="Times New Roman" w:cs="Times New Roman"/>
        </w:rPr>
        <w:t>que el principio de</w:t>
      </w:r>
      <w:r w:rsidRPr="00635A00">
        <w:rPr>
          <w:rFonts w:ascii="Times New Roman" w:hAnsi="Times New Roman" w:cs="Times New Roman"/>
        </w:rPr>
        <w:t xml:space="preserve"> la </w:t>
      </w:r>
      <w:r w:rsidRPr="00635A00">
        <w:rPr>
          <w:rFonts w:ascii="Times New Roman" w:hAnsi="Times New Roman" w:cs="Times New Roman"/>
          <w:i/>
          <w:iCs/>
        </w:rPr>
        <w:t>consecutividad</w:t>
      </w:r>
      <w:r w:rsidRPr="00635A00">
        <w:rPr>
          <w:rFonts w:ascii="Times New Roman" w:hAnsi="Times New Roman" w:cs="Times New Roman"/>
        </w:rPr>
        <w:t xml:space="preserve"> admite la posibilidad de incorporar cambios a los proyectos de ley, lo cual se resuelve en la obligación, no de que las normas sean sometidas a los cuatro debates, sino de que la misma materia, tema o asunto haya sido </w:t>
      </w:r>
      <w:r w:rsidRPr="00635A00">
        <w:rPr>
          <w:rFonts w:ascii="Times New Roman" w:hAnsi="Times New Roman" w:cs="Times New Roman"/>
        </w:rPr>
        <w:t xml:space="preserve">considerada en los diferentes debates previstos en la Constitución. Esto se explica bien con la noción de </w:t>
      </w:r>
      <w:r w:rsidRPr="00635A00">
        <w:rPr>
          <w:rFonts w:ascii="Times New Roman" w:hAnsi="Times New Roman" w:cs="Times New Roman"/>
          <w:i/>
          <w:iCs/>
        </w:rPr>
        <w:t>identidad flexible</w:t>
      </w:r>
      <w:r w:rsidRPr="00635A00">
        <w:rPr>
          <w:rFonts w:ascii="Times New Roman" w:hAnsi="Times New Roman" w:cs="Times New Roman"/>
        </w:rPr>
        <w:t xml:space="preserve"> empleada en la jurisprudencia, pues desde este punto de vista lo que se exige “es que las normas aprobadas en segundo debate tengan</w:t>
      </w:r>
      <w:r w:rsidRPr="00635A00">
        <w:rPr>
          <w:rFonts w:ascii="Times New Roman" w:hAnsi="Times New Roman" w:cs="Times New Roman"/>
        </w:rPr>
        <w:t xml:space="preserve"> una conexión o identidad aproximada con aquellas votadas en el primero, dada su pertenencia común a una(s) misma materia(s) objeto de regulación”</w:t>
      </w:r>
      <w:r w:rsidRPr="00635A00">
        <w:rPr>
          <w:rStyle w:val="Refdenotaalpie"/>
          <w:rFonts w:ascii="Times New Roman" w:hAnsi="Times New Roman" w:cs="Times New Roman"/>
        </w:rPr>
        <w:footnoteReference w:id="211"/>
      </w:r>
      <w:r w:rsidRPr="00635A00">
        <w:rPr>
          <w:rFonts w:ascii="Times New Roman" w:hAnsi="Times New Roman" w:cs="Times New Roman"/>
        </w:rPr>
        <w:t>.</w:t>
      </w:r>
      <w:r w:rsidRPr="00635A00">
        <w:rPr>
          <w:rFonts w:ascii="Times New Roman" w:hAnsi="Times New Roman" w:cs="Times New Roman"/>
        </w:rPr>
        <w:t xml:space="preserve"> </w:t>
      </w:r>
      <w:r w:rsidRPr="00635A00">
        <w:rPr>
          <w:rFonts w:ascii="Times New Roman" w:hAnsi="Times New Roman" w:cs="Times New Roman"/>
        </w:rPr>
        <w:t>Lo que s</w:t>
      </w:r>
      <w:r w:rsidRPr="00635A00">
        <w:rPr>
          <w:rFonts w:ascii="Times New Roman" w:hAnsi="Times New Roman" w:cs="Times New Roman"/>
        </w:rPr>
        <w:t>e prohíbe entonces</w:t>
      </w:r>
      <w:r w:rsidRPr="00635A00">
        <w:rPr>
          <w:rFonts w:ascii="Times New Roman" w:hAnsi="Times New Roman" w:cs="Times New Roman"/>
        </w:rPr>
        <w:t xml:space="preserve"> es</w:t>
      </w:r>
      <w:r w:rsidRPr="00635A00">
        <w:rPr>
          <w:rFonts w:ascii="Times New Roman" w:hAnsi="Times New Roman" w:cs="Times New Roman"/>
        </w:rPr>
        <w:t xml:space="preserve"> la introducción de temas </w:t>
      </w:r>
      <w:r w:rsidRPr="00635A00">
        <w:rPr>
          <w:rFonts w:ascii="Times New Roman" w:hAnsi="Times New Roman" w:cs="Times New Roman"/>
        </w:rPr>
        <w:t xml:space="preserve">nuevos </w:t>
      </w:r>
      <w:r w:rsidRPr="00635A00">
        <w:rPr>
          <w:rFonts w:ascii="Times New Roman" w:hAnsi="Times New Roman" w:cs="Times New Roman"/>
        </w:rPr>
        <w:t>o que conviertan al proyecto en uno completam</w:t>
      </w:r>
      <w:r w:rsidRPr="00635A00">
        <w:rPr>
          <w:rFonts w:ascii="Times New Roman" w:hAnsi="Times New Roman" w:cs="Times New Roman"/>
        </w:rPr>
        <w:t>ente distinto</w:t>
      </w:r>
      <w:r w:rsidRPr="00635A00">
        <w:rPr>
          <w:rStyle w:val="Refdenotaalpie"/>
          <w:rFonts w:ascii="Times New Roman" w:hAnsi="Times New Roman" w:cs="Times New Roman"/>
        </w:rPr>
        <w:footnoteReference w:id="212"/>
      </w:r>
      <w:r w:rsidRPr="00635A00">
        <w:rPr>
          <w:rFonts w:ascii="Times New Roman" w:hAnsi="Times New Roman" w:cs="Times New Roman"/>
        </w:rPr>
        <w:t>.</w:t>
      </w:r>
    </w:p>
    <w:p w:rsidR="00687AF5" w:rsidRPr="00635A00" w:rsidRDefault="00635A00" w:rsidP="00687AF5">
      <w:pPr>
        <w:pStyle w:val="Prrafodelista"/>
        <w:rPr>
          <w:rFonts w:ascii="Times New Roman" w:hAnsi="Times New Roman" w:cs="Times New Roman"/>
        </w:rPr>
      </w:pPr>
    </w:p>
    <w:p w:rsidR="00377AC3" w:rsidRPr="00635A00" w:rsidRDefault="00635A00" w:rsidP="0090132B">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Dadas las particularidades de las leyes que contienen los planes nacionales de desarrollo</w:t>
      </w:r>
      <w:r w:rsidRPr="00635A00">
        <w:rPr>
          <w:rFonts w:ascii="Times New Roman" w:hAnsi="Times New Roman" w:cs="Times New Roman"/>
        </w:rPr>
        <w:t xml:space="preserve">, </w:t>
      </w:r>
      <w:r w:rsidRPr="00635A00">
        <w:rPr>
          <w:rFonts w:ascii="Times New Roman" w:hAnsi="Times New Roman" w:cs="Times New Roman"/>
        </w:rPr>
        <w:t xml:space="preserve">la Corte ha </w:t>
      </w:r>
      <w:r w:rsidRPr="00635A00">
        <w:rPr>
          <w:rFonts w:ascii="Times New Roman" w:hAnsi="Times New Roman" w:cs="Times New Roman"/>
        </w:rPr>
        <w:t xml:space="preserve">precisado </w:t>
      </w:r>
      <w:r w:rsidRPr="00635A00">
        <w:rPr>
          <w:rFonts w:ascii="Times New Roman" w:hAnsi="Times New Roman" w:cs="Times New Roman"/>
        </w:rPr>
        <w:t xml:space="preserve">que “es posible introducir disposiciones nuevas en el segundo debate, según las normas generales y especiales que regulan la </w:t>
      </w:r>
      <w:r w:rsidRPr="00635A00">
        <w:rPr>
          <w:rFonts w:ascii="Times New Roman" w:hAnsi="Times New Roman" w:cs="Times New Roman"/>
        </w:rPr>
        <w:t xml:space="preserve">aprobación de la ley del plan, siempre que se trate de normas de carácter instrumental que cumplan dos condiciones, a saber: (i) que los temas incluidos en el artículo nuevo hayan sido objeto de discusión y aprobación en cada uno de los debates -comprende </w:t>
      </w:r>
      <w:r w:rsidRPr="00635A00">
        <w:rPr>
          <w:rFonts w:ascii="Times New Roman" w:hAnsi="Times New Roman" w:cs="Times New Roman"/>
        </w:rPr>
        <w:t>el primer debate en comisiones- y (ii) que dichos temas se encuentren relacionados -vínculo razonable- con el tema general del Plan Nacional de Desarrollo”</w:t>
      </w:r>
      <w:r w:rsidRPr="00635A00">
        <w:rPr>
          <w:rStyle w:val="Refdenotaalpie"/>
          <w:rFonts w:ascii="Times New Roman" w:hAnsi="Times New Roman" w:cs="Times New Roman"/>
        </w:rPr>
        <w:footnoteReference w:id="213"/>
      </w:r>
      <w:r w:rsidRPr="00635A00">
        <w:rPr>
          <w:rFonts w:ascii="Times New Roman" w:hAnsi="Times New Roman" w:cs="Times New Roman"/>
        </w:rPr>
        <w:t>.</w:t>
      </w:r>
    </w:p>
    <w:p w:rsidR="00F84C0F" w:rsidRPr="00635A00" w:rsidRDefault="00635A00" w:rsidP="00F84C0F">
      <w:pPr>
        <w:pStyle w:val="Prrafodelista"/>
        <w:rPr>
          <w:rFonts w:ascii="Times New Roman" w:hAnsi="Times New Roman" w:cs="Times New Roman"/>
        </w:rPr>
      </w:pPr>
    </w:p>
    <w:p w:rsidR="00F84C0F" w:rsidRPr="00635A00" w:rsidRDefault="00635A00" w:rsidP="00AB2DF5">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En esta ocasión,</w:t>
      </w:r>
      <w:r w:rsidRPr="00635A00">
        <w:rPr>
          <w:rFonts w:ascii="Times New Roman" w:hAnsi="Times New Roman" w:cs="Times New Roman"/>
        </w:rPr>
        <w:t xml:space="preserve"> la </w:t>
      </w:r>
      <w:r w:rsidRPr="00635A00">
        <w:rPr>
          <w:rFonts w:ascii="Times New Roman" w:hAnsi="Times New Roman" w:cs="Times New Roman"/>
        </w:rPr>
        <w:t>mayoría</w:t>
      </w:r>
      <w:r w:rsidRPr="00635A00">
        <w:rPr>
          <w:rFonts w:ascii="Times New Roman" w:hAnsi="Times New Roman" w:cs="Times New Roman"/>
        </w:rPr>
        <w:t xml:space="preserve"> dio por superado, sin dificultades, el segundo requisito. En efecto, </w:t>
      </w:r>
      <w:r w:rsidRPr="00635A00">
        <w:rPr>
          <w:rFonts w:ascii="Times New Roman" w:hAnsi="Times New Roman" w:cs="Times New Roman"/>
        </w:rPr>
        <w:t xml:space="preserve">como señala la providencia, </w:t>
      </w:r>
      <w:r w:rsidRPr="00635A00">
        <w:rPr>
          <w:rFonts w:ascii="Times New Roman" w:hAnsi="Times New Roman" w:cs="Times New Roman"/>
        </w:rPr>
        <w:t xml:space="preserve">los contenidos de las normas </w:t>
      </w:r>
      <w:r w:rsidRPr="00635A00">
        <w:rPr>
          <w:rFonts w:ascii="Times New Roman" w:hAnsi="Times New Roman" w:cs="Times New Roman"/>
        </w:rPr>
        <w:t>acusadas</w:t>
      </w:r>
      <w:r w:rsidRPr="00635A00">
        <w:rPr>
          <w:rFonts w:ascii="Times New Roman" w:hAnsi="Times New Roman" w:cs="Times New Roman"/>
        </w:rPr>
        <w:t xml:space="preserve"> </w:t>
      </w:r>
      <w:r w:rsidRPr="00635A00">
        <w:rPr>
          <w:rFonts w:ascii="Times New Roman" w:hAnsi="Times New Roman" w:cs="Times New Roman"/>
        </w:rPr>
        <w:t xml:space="preserve">guardan </w:t>
      </w:r>
      <w:r w:rsidRPr="00635A00">
        <w:rPr>
          <w:rFonts w:ascii="Times New Roman" w:hAnsi="Times New Roman" w:cs="Times New Roman"/>
        </w:rPr>
        <w:t>relación con la temática general del Plan Nacional de Desarrollo 2022-2026</w:t>
      </w:r>
      <w:r w:rsidRPr="00635A00">
        <w:rPr>
          <w:rFonts w:ascii="Times New Roman" w:hAnsi="Times New Roman" w:cs="Times New Roman"/>
        </w:rPr>
        <w:t>, en particular, con “el impulso a los procesos de formalización, democratización y restitución de la tierra</w:t>
      </w:r>
      <w:r w:rsidRPr="00635A00">
        <w:rPr>
          <w:rFonts w:ascii="Times New Roman" w:hAnsi="Times New Roman" w:cs="Times New Roman"/>
        </w:rPr>
        <w:t xml:space="preserve"> en el marco de la reforma rural integral” (</w:t>
      </w:r>
      <w:r w:rsidRPr="00635A00">
        <w:rPr>
          <w:rFonts w:ascii="Times New Roman" w:hAnsi="Times New Roman" w:cs="Times New Roman"/>
          <w:i/>
          <w:iCs/>
        </w:rPr>
        <w:t>supra</w:t>
      </w:r>
      <w:r w:rsidRPr="00635A00">
        <w:rPr>
          <w:rFonts w:ascii="Times New Roman" w:hAnsi="Times New Roman" w:cs="Times New Roman"/>
        </w:rPr>
        <w:t>, párr. 163).</w:t>
      </w:r>
      <w:r w:rsidRPr="00635A00">
        <w:rPr>
          <w:rFonts w:ascii="Times New Roman" w:hAnsi="Times New Roman" w:cs="Times New Roman"/>
        </w:rPr>
        <w:t xml:space="preserve"> Además, como está </w:t>
      </w:r>
      <w:r w:rsidRPr="00635A00">
        <w:rPr>
          <w:rFonts w:ascii="Times New Roman" w:hAnsi="Times New Roman" w:cs="Times New Roman"/>
        </w:rPr>
        <w:t>consagrado</w:t>
      </w:r>
      <w:r w:rsidRPr="00635A00">
        <w:rPr>
          <w:rFonts w:ascii="Times New Roman" w:hAnsi="Times New Roman" w:cs="Times New Roman"/>
        </w:rPr>
        <w:t xml:space="preserve"> desde el documento de bases del Plan Nacional de Desarrollo, existe un reconocimiento expreso de la “importancia de mejorar el acceso y la formalización de la propiedad rural, no solo como objetivo en sí mismo sino como medio para alcanzar la paz”</w:t>
      </w:r>
      <w:r w:rsidRPr="00635A00">
        <w:rPr>
          <w:rFonts w:ascii="Times New Roman" w:hAnsi="Times New Roman" w:cs="Times New Roman"/>
        </w:rPr>
        <w:t>; propós</w:t>
      </w:r>
      <w:r w:rsidRPr="00635A00">
        <w:rPr>
          <w:rFonts w:ascii="Times New Roman" w:hAnsi="Times New Roman" w:cs="Times New Roman"/>
        </w:rPr>
        <w:t>ito este</w:t>
      </w:r>
      <w:r w:rsidRPr="00635A00">
        <w:rPr>
          <w:rFonts w:ascii="Times New Roman" w:hAnsi="Times New Roman" w:cs="Times New Roman"/>
        </w:rPr>
        <w:t xml:space="preserve"> </w:t>
      </w:r>
      <w:r w:rsidRPr="00635A00">
        <w:rPr>
          <w:rFonts w:ascii="Times New Roman" w:hAnsi="Times New Roman" w:cs="Times New Roman"/>
        </w:rPr>
        <w:t xml:space="preserve">que </w:t>
      </w:r>
      <w:r w:rsidRPr="00635A00">
        <w:rPr>
          <w:rFonts w:ascii="Times New Roman" w:hAnsi="Times New Roman" w:cs="Times New Roman"/>
        </w:rPr>
        <w:t xml:space="preserve">se refleja transversalmente en varios de los ejes constitutivos del </w:t>
      </w:r>
      <w:r w:rsidRPr="00635A00">
        <w:rPr>
          <w:rFonts w:ascii="Times New Roman" w:hAnsi="Times New Roman" w:cs="Times New Roman"/>
        </w:rPr>
        <w:t>programa “</w:t>
      </w:r>
      <w:r w:rsidRPr="00635A00">
        <w:rPr>
          <w:rFonts w:ascii="Times New Roman" w:hAnsi="Times New Roman" w:cs="Times New Roman"/>
          <w:color w:val="000000" w:themeColor="text1"/>
          <w:shd w:val="clear" w:color="auto" w:fill="FFFFFF"/>
        </w:rPr>
        <w:t>Colombia Potencia Mundial de la Vida</w:t>
      </w:r>
      <w:r w:rsidRPr="00635A00">
        <w:rPr>
          <w:rFonts w:ascii="Times New Roman" w:hAnsi="Times New Roman" w:cs="Times New Roman"/>
        </w:rPr>
        <w:t>”</w:t>
      </w:r>
      <w:r w:rsidRPr="00635A00">
        <w:rPr>
          <w:rFonts w:ascii="Times New Roman" w:hAnsi="Times New Roman" w:cs="Times New Roman"/>
        </w:rPr>
        <w:t xml:space="preserve"> (</w:t>
      </w:r>
      <w:r w:rsidRPr="00635A00">
        <w:rPr>
          <w:rFonts w:ascii="Times New Roman" w:hAnsi="Times New Roman" w:cs="Times New Roman"/>
          <w:i/>
          <w:iCs/>
        </w:rPr>
        <w:t>supra</w:t>
      </w:r>
      <w:r w:rsidRPr="00635A00">
        <w:rPr>
          <w:rFonts w:ascii="Times New Roman" w:hAnsi="Times New Roman" w:cs="Times New Roman"/>
        </w:rPr>
        <w:t>, párr. 16</w:t>
      </w:r>
      <w:r w:rsidRPr="00635A00">
        <w:rPr>
          <w:rFonts w:ascii="Times New Roman" w:hAnsi="Times New Roman" w:cs="Times New Roman"/>
        </w:rPr>
        <w:t>5</w:t>
      </w:r>
      <w:r w:rsidRPr="00635A00">
        <w:rPr>
          <w:rFonts w:ascii="Times New Roman" w:hAnsi="Times New Roman" w:cs="Times New Roman"/>
        </w:rPr>
        <w:t>)</w:t>
      </w:r>
      <w:r w:rsidRPr="00635A00">
        <w:rPr>
          <w:rFonts w:ascii="Times New Roman" w:hAnsi="Times New Roman" w:cs="Times New Roman"/>
        </w:rPr>
        <w:t>.</w:t>
      </w:r>
      <w:r w:rsidRPr="00635A00">
        <w:rPr>
          <w:rFonts w:ascii="Times New Roman" w:hAnsi="Times New Roman" w:cs="Times New Roman"/>
        </w:rPr>
        <w:t xml:space="preserve"> </w:t>
      </w:r>
    </w:p>
    <w:p w:rsidR="001968B6" w:rsidRPr="00635A00" w:rsidRDefault="00635A00" w:rsidP="001968B6">
      <w:pPr>
        <w:pStyle w:val="Prrafodelista"/>
        <w:rPr>
          <w:rFonts w:ascii="Times New Roman" w:hAnsi="Times New Roman" w:cs="Times New Roman"/>
        </w:rPr>
      </w:pPr>
    </w:p>
    <w:p w:rsidR="001968B6" w:rsidRPr="00635A00" w:rsidRDefault="00635A00" w:rsidP="00AB2DF5">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 xml:space="preserve">Es claro entonces que las disposiciones </w:t>
      </w:r>
      <w:r w:rsidRPr="00635A00">
        <w:rPr>
          <w:rFonts w:ascii="Times New Roman" w:hAnsi="Times New Roman" w:cs="Times New Roman"/>
        </w:rPr>
        <w:t>bajo</w:t>
      </w:r>
      <w:r w:rsidRPr="00635A00">
        <w:rPr>
          <w:rFonts w:ascii="Times New Roman" w:hAnsi="Times New Roman" w:cs="Times New Roman"/>
        </w:rPr>
        <w:t xml:space="preserve"> estudio</w:t>
      </w:r>
      <w:r w:rsidRPr="00635A00">
        <w:rPr>
          <w:rFonts w:ascii="Times New Roman" w:hAnsi="Times New Roman" w:cs="Times New Roman"/>
        </w:rPr>
        <w:t xml:space="preserve"> no surg</w:t>
      </w:r>
      <w:r w:rsidRPr="00635A00">
        <w:rPr>
          <w:rFonts w:ascii="Times New Roman" w:hAnsi="Times New Roman" w:cs="Times New Roman"/>
        </w:rPr>
        <w:t>iero</w:t>
      </w:r>
      <w:r w:rsidRPr="00635A00">
        <w:rPr>
          <w:rFonts w:ascii="Times New Roman" w:hAnsi="Times New Roman" w:cs="Times New Roman"/>
        </w:rPr>
        <w:t xml:space="preserve">n en el vacío, ni </w:t>
      </w:r>
      <w:r w:rsidRPr="00635A00">
        <w:rPr>
          <w:rFonts w:ascii="Times New Roman" w:hAnsi="Times New Roman" w:cs="Times New Roman"/>
        </w:rPr>
        <w:t>buscaban</w:t>
      </w:r>
      <w:r w:rsidRPr="00635A00">
        <w:rPr>
          <w:rFonts w:ascii="Times New Roman" w:hAnsi="Times New Roman" w:cs="Times New Roman"/>
        </w:rPr>
        <w:t xml:space="preserve"> reconfigurar l</w:t>
      </w:r>
      <w:r w:rsidRPr="00635A00">
        <w:rPr>
          <w:rFonts w:ascii="Times New Roman" w:hAnsi="Times New Roman" w:cs="Times New Roman"/>
        </w:rPr>
        <w:t>a orientación del plan nacional de desarrollo</w:t>
      </w:r>
      <w:r w:rsidRPr="00635A00">
        <w:rPr>
          <w:rFonts w:ascii="Times New Roman" w:hAnsi="Times New Roman" w:cs="Times New Roman"/>
        </w:rPr>
        <w:t xml:space="preserve">, sino impulsar un componente que está </w:t>
      </w:r>
      <w:r w:rsidRPr="00635A00">
        <w:rPr>
          <w:rFonts w:ascii="Times New Roman" w:hAnsi="Times New Roman" w:cs="Times New Roman"/>
        </w:rPr>
        <w:t>en</w:t>
      </w:r>
      <w:r w:rsidRPr="00635A00">
        <w:rPr>
          <w:rFonts w:ascii="Times New Roman" w:hAnsi="Times New Roman" w:cs="Times New Roman"/>
        </w:rPr>
        <w:t xml:space="preserve"> la base</w:t>
      </w:r>
      <w:r w:rsidRPr="00635A00">
        <w:rPr>
          <w:rFonts w:ascii="Times New Roman" w:hAnsi="Times New Roman" w:cs="Times New Roman"/>
        </w:rPr>
        <w:t xml:space="preserve"> misma</w:t>
      </w:r>
      <w:r w:rsidRPr="00635A00">
        <w:rPr>
          <w:rFonts w:ascii="Times New Roman" w:hAnsi="Times New Roman" w:cs="Times New Roman"/>
        </w:rPr>
        <w:t xml:space="preserve"> de este programa</w:t>
      </w:r>
      <w:r w:rsidRPr="00635A00">
        <w:rPr>
          <w:rFonts w:ascii="Times New Roman" w:hAnsi="Times New Roman" w:cs="Times New Roman"/>
        </w:rPr>
        <w:t xml:space="preserve"> de gobierno</w:t>
      </w:r>
      <w:r w:rsidRPr="00635A00">
        <w:rPr>
          <w:rFonts w:ascii="Times New Roman" w:hAnsi="Times New Roman" w:cs="Times New Roman"/>
        </w:rPr>
        <w:t xml:space="preserve">: </w:t>
      </w:r>
      <w:r w:rsidRPr="00635A00">
        <w:rPr>
          <w:rFonts w:ascii="Times New Roman" w:hAnsi="Times New Roman" w:cs="Times New Roman"/>
        </w:rPr>
        <w:t>la reforma agraria y el acceso progresivo a la tierra</w:t>
      </w:r>
      <w:r w:rsidRPr="00635A00">
        <w:rPr>
          <w:rFonts w:ascii="Times New Roman" w:hAnsi="Times New Roman" w:cs="Times New Roman"/>
        </w:rPr>
        <w:t>.</w:t>
      </w:r>
      <w:r w:rsidRPr="00635A00">
        <w:rPr>
          <w:rFonts w:ascii="Times New Roman" w:hAnsi="Times New Roman" w:cs="Times New Roman"/>
        </w:rPr>
        <w:t xml:space="preserve"> En efecto, las normas declaradas inexequibles tenían por propósito agilizar el trámite del procedimiento único para ciertas materias agrarias al suprimir su fase judicial</w:t>
      </w:r>
      <w:r w:rsidRPr="00635A00">
        <w:rPr>
          <w:rFonts w:ascii="Times New Roman" w:hAnsi="Times New Roman" w:cs="Times New Roman"/>
        </w:rPr>
        <w:t>, lo que en teoría debería permitir al Estado</w:t>
      </w:r>
      <w:r w:rsidRPr="00635A00">
        <w:rPr>
          <w:rFonts w:ascii="Times New Roman" w:hAnsi="Times New Roman" w:cs="Times New Roman"/>
        </w:rPr>
        <w:t xml:space="preserve"> clarificar la propiedad de la tierra</w:t>
      </w:r>
      <w:r w:rsidRPr="00635A00">
        <w:rPr>
          <w:rFonts w:ascii="Times New Roman" w:hAnsi="Times New Roman" w:cs="Times New Roman"/>
        </w:rPr>
        <w:t>,</w:t>
      </w:r>
      <w:r w:rsidRPr="00635A00">
        <w:rPr>
          <w:rFonts w:ascii="Times New Roman" w:hAnsi="Times New Roman" w:cs="Times New Roman"/>
        </w:rPr>
        <w:t xml:space="preserve"> a</w:t>
      </w:r>
      <w:r w:rsidRPr="00635A00">
        <w:rPr>
          <w:rFonts w:ascii="Times New Roman" w:hAnsi="Times New Roman" w:cs="Times New Roman"/>
        </w:rPr>
        <w:t>sí como</w:t>
      </w:r>
      <w:r w:rsidRPr="00635A00">
        <w:rPr>
          <w:rFonts w:ascii="Times New Roman" w:hAnsi="Times New Roman" w:cs="Times New Roman"/>
        </w:rPr>
        <w:t xml:space="preserve"> </w:t>
      </w:r>
      <w:r w:rsidRPr="00635A00">
        <w:rPr>
          <w:rFonts w:ascii="Times New Roman" w:hAnsi="Times New Roman" w:cs="Times New Roman"/>
        </w:rPr>
        <w:t>recuperar baldíos apropiados irregularmente de una manera</w:t>
      </w:r>
      <w:r w:rsidRPr="00635A00">
        <w:rPr>
          <w:rFonts w:ascii="Times New Roman" w:hAnsi="Times New Roman" w:cs="Times New Roman"/>
        </w:rPr>
        <w:t xml:space="preserve"> más</w:t>
      </w:r>
      <w:r w:rsidRPr="00635A00">
        <w:rPr>
          <w:rFonts w:ascii="Times New Roman" w:hAnsi="Times New Roman" w:cs="Times New Roman"/>
        </w:rPr>
        <w:t xml:space="preserve"> eficaz</w:t>
      </w:r>
      <w:r w:rsidRPr="00635A00">
        <w:rPr>
          <w:rFonts w:ascii="Times New Roman" w:hAnsi="Times New Roman" w:cs="Times New Roman"/>
        </w:rPr>
        <w:t xml:space="preserve">, </w:t>
      </w:r>
      <w:r w:rsidRPr="00635A00">
        <w:rPr>
          <w:rFonts w:ascii="Times New Roman" w:hAnsi="Times New Roman" w:cs="Times New Roman"/>
        </w:rPr>
        <w:t xml:space="preserve">y </w:t>
      </w:r>
      <w:r w:rsidRPr="00635A00">
        <w:rPr>
          <w:rFonts w:ascii="Times New Roman" w:hAnsi="Times New Roman" w:cs="Times New Roman"/>
        </w:rPr>
        <w:t xml:space="preserve">hacerse a la propiedad de </w:t>
      </w:r>
      <w:r w:rsidRPr="00635A00">
        <w:rPr>
          <w:rFonts w:ascii="Times New Roman" w:hAnsi="Times New Roman" w:cs="Times New Roman"/>
        </w:rPr>
        <w:t>predios</w:t>
      </w:r>
      <w:r w:rsidRPr="00635A00">
        <w:rPr>
          <w:rFonts w:ascii="Times New Roman" w:hAnsi="Times New Roman" w:cs="Times New Roman"/>
        </w:rPr>
        <w:t xml:space="preserve"> improductivos que pasarían a conformar el banco disponible de tierras con fines de reforma agraria.</w:t>
      </w:r>
    </w:p>
    <w:p w:rsidR="00E13057" w:rsidRPr="00635A00" w:rsidRDefault="00635A00" w:rsidP="00E13057">
      <w:pPr>
        <w:pStyle w:val="Prrafodelista"/>
        <w:rPr>
          <w:rFonts w:ascii="Times New Roman" w:hAnsi="Times New Roman" w:cs="Times New Roman"/>
        </w:rPr>
      </w:pPr>
    </w:p>
    <w:p w:rsidR="00E13057" w:rsidRPr="00635A00" w:rsidRDefault="00635A00" w:rsidP="00AB2DF5">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Superado este primer</w:t>
      </w:r>
      <w:r w:rsidRPr="00635A00">
        <w:rPr>
          <w:rFonts w:ascii="Times New Roman" w:hAnsi="Times New Roman" w:cs="Times New Roman"/>
        </w:rPr>
        <w:t xml:space="preserve"> </w:t>
      </w:r>
      <w:r w:rsidRPr="00635A00">
        <w:rPr>
          <w:rFonts w:ascii="Times New Roman" w:hAnsi="Times New Roman" w:cs="Times New Roman"/>
        </w:rPr>
        <w:t>examen, e</w:t>
      </w:r>
      <w:r w:rsidRPr="00635A00">
        <w:rPr>
          <w:rFonts w:ascii="Times New Roman" w:hAnsi="Times New Roman" w:cs="Times New Roman"/>
        </w:rPr>
        <w:t xml:space="preserve">l análisis </w:t>
      </w:r>
      <w:r w:rsidRPr="00635A00">
        <w:rPr>
          <w:rFonts w:ascii="Times New Roman" w:hAnsi="Times New Roman" w:cs="Times New Roman"/>
        </w:rPr>
        <w:t xml:space="preserve">de la </w:t>
      </w:r>
      <w:r w:rsidRPr="00635A00">
        <w:rPr>
          <w:rFonts w:ascii="Times New Roman" w:hAnsi="Times New Roman" w:cs="Times New Roman"/>
        </w:rPr>
        <w:t xml:space="preserve">Sala </w:t>
      </w:r>
      <w:r w:rsidRPr="00635A00">
        <w:rPr>
          <w:rFonts w:ascii="Times New Roman" w:hAnsi="Times New Roman" w:cs="Times New Roman"/>
        </w:rPr>
        <w:t xml:space="preserve">Plena </w:t>
      </w:r>
      <w:r w:rsidRPr="00635A00">
        <w:rPr>
          <w:rFonts w:ascii="Times New Roman" w:hAnsi="Times New Roman" w:cs="Times New Roman"/>
        </w:rPr>
        <w:t>se e</w:t>
      </w:r>
      <w:r w:rsidRPr="00635A00">
        <w:rPr>
          <w:rFonts w:ascii="Times New Roman" w:hAnsi="Times New Roman" w:cs="Times New Roman"/>
        </w:rPr>
        <w:t xml:space="preserve">nfocó en determinar si las disposiciones incluidas para segundo debate </w:t>
      </w:r>
      <w:r w:rsidRPr="00635A00">
        <w:rPr>
          <w:rFonts w:ascii="Times New Roman" w:hAnsi="Times New Roman" w:cs="Times New Roman"/>
        </w:rPr>
        <w:t xml:space="preserve">fueron </w:t>
      </w:r>
      <w:r w:rsidRPr="00635A00">
        <w:rPr>
          <w:rFonts w:ascii="Times New Roman" w:hAnsi="Times New Roman" w:cs="Times New Roman"/>
        </w:rPr>
        <w:t xml:space="preserve">objeto de discusión y aprobación </w:t>
      </w:r>
      <w:r w:rsidRPr="00635A00">
        <w:rPr>
          <w:rFonts w:ascii="Times New Roman" w:hAnsi="Times New Roman" w:cs="Times New Roman"/>
        </w:rPr>
        <w:t xml:space="preserve">en el </w:t>
      </w:r>
      <w:r w:rsidRPr="00635A00">
        <w:rPr>
          <w:rFonts w:ascii="Times New Roman" w:hAnsi="Times New Roman" w:cs="Times New Roman"/>
        </w:rPr>
        <w:t xml:space="preserve">primer debate </w:t>
      </w:r>
      <w:r w:rsidRPr="00635A00">
        <w:rPr>
          <w:rFonts w:ascii="Times New Roman" w:hAnsi="Times New Roman" w:cs="Times New Roman"/>
        </w:rPr>
        <w:t xml:space="preserve">de las </w:t>
      </w:r>
      <w:r w:rsidRPr="00635A00">
        <w:rPr>
          <w:rFonts w:ascii="Times New Roman" w:hAnsi="Times New Roman" w:cs="Times New Roman"/>
        </w:rPr>
        <w:t>comisiones</w:t>
      </w:r>
      <w:r w:rsidRPr="00635A00">
        <w:rPr>
          <w:rFonts w:ascii="Times New Roman" w:hAnsi="Times New Roman" w:cs="Times New Roman"/>
        </w:rPr>
        <w:t xml:space="preserve"> conjuntas de la Cámara de Representantes y el Senado de la República. El dictamen mayo</w:t>
      </w:r>
      <w:r w:rsidRPr="00635A00">
        <w:rPr>
          <w:rFonts w:ascii="Times New Roman" w:hAnsi="Times New Roman" w:cs="Times New Roman"/>
        </w:rPr>
        <w:t>ritario fue negativo</w:t>
      </w:r>
      <w:r w:rsidRPr="00635A00">
        <w:rPr>
          <w:rFonts w:ascii="Times New Roman" w:hAnsi="Times New Roman" w:cs="Times New Roman"/>
        </w:rPr>
        <w:t xml:space="preserve"> al concluir que “los contenidos de las normas demandadas no tienen cercanía temática con los asuntos deliberados en primer debate” (</w:t>
      </w:r>
      <w:r w:rsidRPr="00635A00">
        <w:rPr>
          <w:rFonts w:ascii="Times New Roman" w:hAnsi="Times New Roman" w:cs="Times New Roman"/>
          <w:i/>
          <w:iCs/>
        </w:rPr>
        <w:t>supra</w:t>
      </w:r>
      <w:r w:rsidRPr="00635A00">
        <w:rPr>
          <w:rFonts w:ascii="Times New Roman" w:hAnsi="Times New Roman" w:cs="Times New Roman"/>
        </w:rPr>
        <w:t>, párr. 179).</w:t>
      </w:r>
    </w:p>
    <w:p w:rsidR="00B0731D" w:rsidRPr="00635A00" w:rsidRDefault="00635A00" w:rsidP="00B0731D">
      <w:pPr>
        <w:pStyle w:val="Prrafodelista"/>
        <w:rPr>
          <w:rFonts w:ascii="Times New Roman" w:hAnsi="Times New Roman" w:cs="Times New Roman"/>
        </w:rPr>
      </w:pPr>
    </w:p>
    <w:p w:rsidR="00B0731D" w:rsidRPr="00635A00" w:rsidRDefault="00635A00" w:rsidP="00AB2DF5">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Pienso, sin embargo, que tal conclusión no está suficientemente demostrada en la se</w:t>
      </w:r>
      <w:r w:rsidRPr="00635A00">
        <w:rPr>
          <w:rFonts w:ascii="Times New Roman" w:hAnsi="Times New Roman" w:cs="Times New Roman"/>
        </w:rPr>
        <w:t xml:space="preserve">ntencia de la que me aparto </w:t>
      </w:r>
      <w:r w:rsidRPr="00635A00">
        <w:rPr>
          <w:rFonts w:ascii="Times New Roman" w:hAnsi="Times New Roman" w:cs="Times New Roman"/>
        </w:rPr>
        <w:t xml:space="preserve">y refleja </w:t>
      </w:r>
      <w:r w:rsidRPr="00635A00">
        <w:rPr>
          <w:rFonts w:ascii="Times New Roman" w:hAnsi="Times New Roman" w:cs="Times New Roman"/>
        </w:rPr>
        <w:t>un escrutinio especialmente estricto</w:t>
      </w:r>
      <w:r w:rsidRPr="00635A00">
        <w:rPr>
          <w:rFonts w:ascii="Times New Roman" w:hAnsi="Times New Roman" w:cs="Times New Roman"/>
        </w:rPr>
        <w:t xml:space="preserve"> sobre el trámite legislativo</w:t>
      </w:r>
      <w:r w:rsidRPr="00635A00">
        <w:rPr>
          <w:rFonts w:ascii="Times New Roman" w:hAnsi="Times New Roman" w:cs="Times New Roman"/>
        </w:rPr>
        <w:t xml:space="preserve">. Para empezar, </w:t>
      </w:r>
      <w:r w:rsidRPr="00635A00">
        <w:rPr>
          <w:rFonts w:ascii="Times New Roman" w:hAnsi="Times New Roman" w:cs="Times New Roman"/>
        </w:rPr>
        <w:t>el análisis</w:t>
      </w:r>
      <w:r w:rsidRPr="00635A00">
        <w:rPr>
          <w:rFonts w:ascii="Times New Roman" w:hAnsi="Times New Roman" w:cs="Times New Roman"/>
        </w:rPr>
        <w:t xml:space="preserve"> de la providencia cuestiona que en el primer debate “nunca se deliberó sobre la posibilidad de suprimir la fase judicial del </w:t>
      </w:r>
      <w:r w:rsidRPr="00635A00">
        <w:rPr>
          <w:rFonts w:ascii="Times New Roman" w:hAnsi="Times New Roman" w:cs="Times New Roman"/>
        </w:rPr>
        <w:t>procedimiento único previsto en el Decreto Ley 902” (</w:t>
      </w:r>
      <w:r w:rsidRPr="00635A00">
        <w:rPr>
          <w:rFonts w:ascii="Times New Roman" w:hAnsi="Times New Roman" w:cs="Times New Roman"/>
          <w:i/>
          <w:iCs/>
        </w:rPr>
        <w:t>supra</w:t>
      </w:r>
      <w:r w:rsidRPr="00635A00">
        <w:rPr>
          <w:rFonts w:ascii="Times New Roman" w:hAnsi="Times New Roman" w:cs="Times New Roman"/>
        </w:rPr>
        <w:t>, párr. 169)</w:t>
      </w:r>
      <w:r w:rsidRPr="00635A00">
        <w:rPr>
          <w:rFonts w:ascii="Times New Roman" w:hAnsi="Times New Roman" w:cs="Times New Roman"/>
        </w:rPr>
        <w:t>. Est</w:t>
      </w:r>
      <w:r w:rsidRPr="00635A00">
        <w:rPr>
          <w:rFonts w:ascii="Times New Roman" w:hAnsi="Times New Roman" w:cs="Times New Roman"/>
        </w:rPr>
        <w:t>a indagación</w:t>
      </w:r>
      <w:r w:rsidRPr="00635A00">
        <w:rPr>
          <w:rFonts w:ascii="Times New Roman" w:hAnsi="Times New Roman" w:cs="Times New Roman"/>
        </w:rPr>
        <w:t xml:space="preserve"> </w:t>
      </w:r>
      <w:r w:rsidRPr="00635A00">
        <w:rPr>
          <w:rFonts w:ascii="Times New Roman" w:hAnsi="Times New Roman" w:cs="Times New Roman"/>
        </w:rPr>
        <w:t>contradice lo que párrafos anteriores la propia sentencia explic</w:t>
      </w:r>
      <w:r w:rsidRPr="00635A00">
        <w:rPr>
          <w:rFonts w:ascii="Times New Roman" w:hAnsi="Times New Roman" w:cs="Times New Roman"/>
        </w:rPr>
        <w:t>a</w:t>
      </w:r>
      <w:r w:rsidRPr="00635A00">
        <w:rPr>
          <w:rFonts w:ascii="Times New Roman" w:hAnsi="Times New Roman" w:cs="Times New Roman"/>
        </w:rPr>
        <w:t xml:space="preserve">, en el sentido de que </w:t>
      </w:r>
      <w:r w:rsidRPr="00635A00">
        <w:rPr>
          <w:rFonts w:ascii="Times New Roman" w:hAnsi="Times New Roman" w:cs="Times New Roman"/>
        </w:rPr>
        <w:t>el principio de consecutividad debe evaluars</w:t>
      </w:r>
      <w:r w:rsidRPr="00635A00">
        <w:rPr>
          <w:rFonts w:ascii="Times New Roman" w:hAnsi="Times New Roman" w:cs="Times New Roman"/>
        </w:rPr>
        <w:t>e a partir de tem</w:t>
      </w:r>
      <w:r w:rsidRPr="00635A00">
        <w:rPr>
          <w:rFonts w:ascii="Times New Roman" w:hAnsi="Times New Roman" w:cs="Times New Roman"/>
        </w:rPr>
        <w:t>áticas generale</w:t>
      </w:r>
      <w:r w:rsidRPr="00635A00">
        <w:rPr>
          <w:rFonts w:ascii="Times New Roman" w:hAnsi="Times New Roman" w:cs="Times New Roman"/>
        </w:rPr>
        <w:t>s, y</w:t>
      </w:r>
      <w:r w:rsidRPr="00635A00">
        <w:rPr>
          <w:rFonts w:ascii="Times New Roman" w:hAnsi="Times New Roman" w:cs="Times New Roman"/>
        </w:rPr>
        <w:t xml:space="preserve"> no de artículos o políticas específicas</w:t>
      </w:r>
      <w:r w:rsidRPr="00635A00">
        <w:rPr>
          <w:rFonts w:ascii="Times New Roman" w:hAnsi="Times New Roman" w:cs="Times New Roman"/>
        </w:rPr>
        <w:t xml:space="preserve"> (</w:t>
      </w:r>
      <w:r w:rsidRPr="00635A00">
        <w:rPr>
          <w:rFonts w:ascii="Times New Roman" w:hAnsi="Times New Roman" w:cs="Times New Roman"/>
          <w:i/>
          <w:iCs/>
        </w:rPr>
        <w:t>supra</w:t>
      </w:r>
      <w:r w:rsidRPr="00635A00">
        <w:rPr>
          <w:rFonts w:ascii="Times New Roman" w:hAnsi="Times New Roman" w:cs="Times New Roman"/>
        </w:rPr>
        <w:t>, párr.</w:t>
      </w:r>
      <w:r w:rsidRPr="00635A00">
        <w:rPr>
          <w:rFonts w:ascii="Times New Roman" w:hAnsi="Times New Roman" w:cs="Times New Roman"/>
        </w:rPr>
        <w:t xml:space="preserve"> 147</w:t>
      </w:r>
      <w:r w:rsidRPr="00635A00">
        <w:rPr>
          <w:rFonts w:ascii="Times New Roman" w:hAnsi="Times New Roman" w:cs="Times New Roman"/>
        </w:rPr>
        <w:t>)</w:t>
      </w:r>
      <w:r w:rsidRPr="00635A00">
        <w:rPr>
          <w:rFonts w:ascii="Times New Roman" w:hAnsi="Times New Roman" w:cs="Times New Roman"/>
        </w:rPr>
        <w:t>.</w:t>
      </w:r>
    </w:p>
    <w:p w:rsidR="00581EC2" w:rsidRPr="00635A00" w:rsidRDefault="00635A00" w:rsidP="00581EC2">
      <w:pPr>
        <w:pStyle w:val="Prrafodelista"/>
        <w:rPr>
          <w:rFonts w:ascii="Times New Roman" w:hAnsi="Times New Roman" w:cs="Times New Roman"/>
        </w:rPr>
      </w:pPr>
    </w:p>
    <w:p w:rsidR="00581EC2" w:rsidRPr="00635A00" w:rsidRDefault="00635A00" w:rsidP="008818D4">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Y si se trata de</w:t>
      </w:r>
      <w:r w:rsidRPr="00635A00">
        <w:rPr>
          <w:rFonts w:ascii="Times New Roman" w:hAnsi="Times New Roman" w:cs="Times New Roman"/>
        </w:rPr>
        <w:t xml:space="preserve"> identificar una</w:t>
      </w:r>
      <w:r w:rsidRPr="00635A00">
        <w:rPr>
          <w:rFonts w:ascii="Times New Roman" w:hAnsi="Times New Roman" w:cs="Times New Roman"/>
        </w:rPr>
        <w:t xml:space="preserve"> </w:t>
      </w:r>
      <w:r w:rsidRPr="00635A00">
        <w:rPr>
          <w:rFonts w:ascii="Times New Roman" w:hAnsi="Times New Roman" w:cs="Times New Roman"/>
        </w:rPr>
        <w:t xml:space="preserve">relación </w:t>
      </w:r>
      <w:r w:rsidRPr="00635A00">
        <w:rPr>
          <w:rFonts w:ascii="Times New Roman" w:hAnsi="Times New Roman" w:cs="Times New Roman"/>
        </w:rPr>
        <w:t xml:space="preserve">temática razonable, </w:t>
      </w:r>
      <w:r w:rsidRPr="00635A00">
        <w:rPr>
          <w:rFonts w:ascii="Times New Roman" w:hAnsi="Times New Roman" w:cs="Times New Roman"/>
        </w:rPr>
        <w:t xml:space="preserve">la </w:t>
      </w:r>
      <w:r w:rsidRPr="00635A00">
        <w:rPr>
          <w:rFonts w:ascii="Times New Roman" w:hAnsi="Times New Roman" w:cs="Times New Roman"/>
        </w:rPr>
        <w:t>mayoría</w:t>
      </w:r>
      <w:r w:rsidRPr="00635A00">
        <w:rPr>
          <w:rFonts w:ascii="Times New Roman" w:hAnsi="Times New Roman" w:cs="Times New Roman"/>
        </w:rPr>
        <w:t xml:space="preserve"> debió </w:t>
      </w:r>
      <w:r w:rsidRPr="00635A00">
        <w:rPr>
          <w:rFonts w:ascii="Times New Roman" w:hAnsi="Times New Roman" w:cs="Times New Roman"/>
        </w:rPr>
        <w:t xml:space="preserve">concluir que </w:t>
      </w:r>
      <w:r w:rsidRPr="00635A00">
        <w:rPr>
          <w:rFonts w:ascii="Times New Roman" w:hAnsi="Times New Roman" w:cs="Times New Roman"/>
        </w:rPr>
        <w:t xml:space="preserve">el objeto de las disposiciones declaradas inexequibles sí fue </w:t>
      </w:r>
      <w:r w:rsidRPr="00635A00">
        <w:rPr>
          <w:rFonts w:ascii="Times New Roman" w:hAnsi="Times New Roman" w:cs="Times New Roman"/>
        </w:rPr>
        <w:t>abordado</w:t>
      </w:r>
      <w:r w:rsidRPr="00635A00">
        <w:rPr>
          <w:rFonts w:ascii="Times New Roman" w:hAnsi="Times New Roman" w:cs="Times New Roman"/>
        </w:rPr>
        <w:t xml:space="preserve"> dentro del primer debate conjunto </w:t>
      </w:r>
      <w:r w:rsidRPr="00635A00">
        <w:rPr>
          <w:rFonts w:ascii="Times New Roman" w:hAnsi="Times New Roman" w:cs="Times New Roman"/>
        </w:rPr>
        <w:t xml:space="preserve">en </w:t>
      </w:r>
      <w:r w:rsidRPr="00635A00">
        <w:rPr>
          <w:rFonts w:ascii="Times New Roman" w:hAnsi="Times New Roman" w:cs="Times New Roman"/>
        </w:rPr>
        <w:t xml:space="preserve">el Congreso de la República. </w:t>
      </w:r>
      <w:r w:rsidRPr="00635A00">
        <w:rPr>
          <w:rFonts w:ascii="Times New Roman" w:hAnsi="Times New Roman" w:cs="Times New Roman"/>
        </w:rPr>
        <w:t>Es cierto que</w:t>
      </w:r>
      <w:r w:rsidRPr="00635A00">
        <w:rPr>
          <w:rFonts w:ascii="Times New Roman" w:hAnsi="Times New Roman" w:cs="Times New Roman"/>
        </w:rPr>
        <w:t xml:space="preserve"> no se habló puntualmente de suprimir la fase judicial </w:t>
      </w:r>
      <w:r w:rsidRPr="00635A00">
        <w:rPr>
          <w:rFonts w:ascii="Times New Roman" w:hAnsi="Times New Roman" w:cs="Times New Roman"/>
        </w:rPr>
        <w:t xml:space="preserve">en algunos procesos agrarios, pero </w:t>
      </w:r>
      <w:r w:rsidRPr="00635A00">
        <w:rPr>
          <w:rFonts w:ascii="Times New Roman" w:hAnsi="Times New Roman" w:cs="Times New Roman"/>
        </w:rPr>
        <w:t>el compromiso de “consolidar verdaderamente la reforma agraria en nuestro país”</w:t>
      </w:r>
      <w:r w:rsidRPr="00635A00">
        <w:rPr>
          <w:rStyle w:val="Refdenotaalpie"/>
          <w:rFonts w:ascii="Times New Roman" w:hAnsi="Times New Roman" w:cs="Times New Roman"/>
        </w:rPr>
        <w:footnoteReference w:id="214"/>
      </w:r>
      <w:r w:rsidRPr="00635A00">
        <w:rPr>
          <w:rFonts w:ascii="Times New Roman" w:hAnsi="Times New Roman" w:cs="Times New Roman"/>
        </w:rPr>
        <w:t xml:space="preserve">, </w:t>
      </w:r>
      <w:r w:rsidRPr="00635A00">
        <w:rPr>
          <w:rFonts w:ascii="Times New Roman" w:hAnsi="Times New Roman" w:cs="Times New Roman"/>
        </w:rPr>
        <w:t>el r</w:t>
      </w:r>
      <w:r w:rsidRPr="00635A00">
        <w:rPr>
          <w:rFonts w:ascii="Times New Roman" w:hAnsi="Times New Roman" w:cs="Times New Roman"/>
        </w:rPr>
        <w:t xml:space="preserve">econocimiento a </w:t>
      </w:r>
      <w:r w:rsidRPr="00635A00">
        <w:rPr>
          <w:rFonts w:ascii="Times New Roman" w:hAnsi="Times New Roman" w:cs="Times New Roman"/>
        </w:rPr>
        <w:t>las deudas históricas con el acceso a la tierra y el desarrollo agropecuario</w:t>
      </w:r>
      <w:r w:rsidRPr="00635A00">
        <w:rPr>
          <w:rStyle w:val="Refdenotaalpie"/>
          <w:rFonts w:ascii="Times New Roman" w:hAnsi="Times New Roman" w:cs="Times New Roman"/>
        </w:rPr>
        <w:footnoteReference w:id="215"/>
      </w:r>
      <w:r w:rsidRPr="00635A00">
        <w:rPr>
          <w:rFonts w:ascii="Times New Roman" w:hAnsi="Times New Roman" w:cs="Times New Roman"/>
        </w:rPr>
        <w:t xml:space="preserve">, así como la importancia de </w:t>
      </w:r>
      <w:r w:rsidRPr="00635A00">
        <w:rPr>
          <w:rFonts w:ascii="Times New Roman" w:hAnsi="Times New Roman" w:cs="Times New Roman"/>
        </w:rPr>
        <w:t xml:space="preserve">impulsar </w:t>
      </w:r>
      <w:r w:rsidRPr="00635A00">
        <w:rPr>
          <w:rFonts w:ascii="Times New Roman" w:hAnsi="Times New Roman" w:cs="Times New Roman"/>
        </w:rPr>
        <w:t>el catastro multipropósito</w:t>
      </w:r>
      <w:r w:rsidRPr="00635A00">
        <w:rPr>
          <w:rStyle w:val="Refdenotaalpie"/>
          <w:rFonts w:ascii="Times New Roman" w:hAnsi="Times New Roman" w:cs="Times New Roman"/>
        </w:rPr>
        <w:footnoteReference w:id="216"/>
      </w:r>
      <w:r w:rsidRPr="00635A00">
        <w:rPr>
          <w:rFonts w:ascii="Times New Roman" w:hAnsi="Times New Roman" w:cs="Times New Roman"/>
        </w:rPr>
        <w:t xml:space="preserve"> para </w:t>
      </w:r>
      <w:r w:rsidRPr="00635A00">
        <w:rPr>
          <w:rFonts w:ascii="Times New Roman" w:hAnsi="Times New Roman" w:cs="Times New Roman"/>
        </w:rPr>
        <w:t>resolver la informalidad e inequidad en el campo</w:t>
      </w:r>
      <w:r w:rsidRPr="00635A00">
        <w:rPr>
          <w:rFonts w:ascii="Times New Roman" w:hAnsi="Times New Roman" w:cs="Times New Roman"/>
        </w:rPr>
        <w:t>,</w:t>
      </w:r>
      <w:r w:rsidRPr="00635A00">
        <w:rPr>
          <w:rFonts w:ascii="Times New Roman" w:hAnsi="Times New Roman" w:cs="Times New Roman"/>
        </w:rPr>
        <w:t xml:space="preserve"> fueron </w:t>
      </w:r>
      <w:r w:rsidRPr="00635A00">
        <w:rPr>
          <w:rFonts w:ascii="Times New Roman" w:hAnsi="Times New Roman" w:cs="Times New Roman"/>
        </w:rPr>
        <w:t>punto</w:t>
      </w:r>
      <w:r w:rsidRPr="00635A00">
        <w:rPr>
          <w:rFonts w:ascii="Times New Roman" w:hAnsi="Times New Roman" w:cs="Times New Roman"/>
        </w:rPr>
        <w:t>s</w:t>
      </w:r>
      <w:r w:rsidRPr="00635A00">
        <w:rPr>
          <w:rFonts w:ascii="Times New Roman" w:hAnsi="Times New Roman" w:cs="Times New Roman"/>
        </w:rPr>
        <w:t xml:space="preserve"> de discusión </w:t>
      </w:r>
      <w:r w:rsidRPr="00635A00">
        <w:rPr>
          <w:rFonts w:ascii="Times New Roman" w:hAnsi="Times New Roman" w:cs="Times New Roman"/>
        </w:rPr>
        <w:t xml:space="preserve">expresamente abordados por </w:t>
      </w:r>
      <w:r w:rsidRPr="00635A00">
        <w:rPr>
          <w:rFonts w:ascii="Times New Roman" w:hAnsi="Times New Roman" w:cs="Times New Roman"/>
        </w:rPr>
        <w:t xml:space="preserve">los ponentes </w:t>
      </w:r>
      <w:r w:rsidRPr="00635A00">
        <w:rPr>
          <w:rFonts w:ascii="Times New Roman" w:hAnsi="Times New Roman" w:cs="Times New Roman"/>
        </w:rPr>
        <w:t xml:space="preserve">y </w:t>
      </w:r>
      <w:r w:rsidRPr="00635A00">
        <w:rPr>
          <w:rFonts w:ascii="Times New Roman" w:hAnsi="Times New Roman" w:cs="Times New Roman"/>
        </w:rPr>
        <w:t>algunos congresistas</w:t>
      </w:r>
      <w:r w:rsidRPr="00635A00">
        <w:rPr>
          <w:rFonts w:ascii="Times New Roman" w:hAnsi="Times New Roman" w:cs="Times New Roman"/>
        </w:rPr>
        <w:t>.</w:t>
      </w:r>
      <w:r w:rsidRPr="00635A00">
        <w:rPr>
          <w:rFonts w:ascii="Times New Roman" w:hAnsi="Times New Roman" w:cs="Times New Roman"/>
        </w:rPr>
        <w:t xml:space="preserve"> De estas intervenciones</w:t>
      </w:r>
      <w:r w:rsidRPr="00635A00">
        <w:rPr>
          <w:rFonts w:ascii="Times New Roman" w:hAnsi="Times New Roman" w:cs="Times New Roman"/>
        </w:rPr>
        <w:t xml:space="preserve"> la Corte podría </w:t>
      </w:r>
      <w:r w:rsidRPr="00635A00">
        <w:rPr>
          <w:rFonts w:ascii="Times New Roman" w:hAnsi="Times New Roman" w:cs="Times New Roman"/>
        </w:rPr>
        <w:t xml:space="preserve">haber </w:t>
      </w:r>
      <w:r w:rsidRPr="00635A00">
        <w:rPr>
          <w:rFonts w:ascii="Times New Roman" w:hAnsi="Times New Roman" w:cs="Times New Roman"/>
          <w:i/>
          <w:iCs/>
        </w:rPr>
        <w:t>inferi</w:t>
      </w:r>
      <w:r w:rsidRPr="00635A00">
        <w:rPr>
          <w:rFonts w:ascii="Times New Roman" w:hAnsi="Times New Roman" w:cs="Times New Roman"/>
          <w:i/>
          <w:iCs/>
        </w:rPr>
        <w:t>do</w:t>
      </w:r>
      <w:r w:rsidRPr="00635A00">
        <w:rPr>
          <w:rFonts w:ascii="Times New Roman" w:hAnsi="Times New Roman" w:cs="Times New Roman"/>
        </w:rPr>
        <w:t xml:space="preserve"> </w:t>
      </w:r>
      <w:r w:rsidRPr="00635A00">
        <w:rPr>
          <w:rFonts w:ascii="Times New Roman" w:hAnsi="Times New Roman" w:cs="Times New Roman"/>
        </w:rPr>
        <w:t>–</w:t>
      </w:r>
      <w:r w:rsidRPr="00635A00">
        <w:rPr>
          <w:rFonts w:ascii="Times New Roman" w:hAnsi="Times New Roman" w:cs="Times New Roman"/>
        </w:rPr>
        <w:t xml:space="preserve">como </w:t>
      </w:r>
      <w:r w:rsidRPr="00635A00">
        <w:rPr>
          <w:rFonts w:ascii="Times New Roman" w:hAnsi="Times New Roman" w:cs="Times New Roman"/>
        </w:rPr>
        <w:t xml:space="preserve">lo </w:t>
      </w:r>
      <w:r w:rsidRPr="00635A00">
        <w:rPr>
          <w:rFonts w:ascii="Times New Roman" w:hAnsi="Times New Roman" w:cs="Times New Roman"/>
        </w:rPr>
        <w:t>ha hecho en otros casos</w:t>
      </w:r>
      <w:r w:rsidRPr="00635A00">
        <w:rPr>
          <w:rStyle w:val="Refdenotaalpie"/>
          <w:rFonts w:ascii="Times New Roman" w:hAnsi="Times New Roman" w:cs="Times New Roman"/>
        </w:rPr>
        <w:footnoteReference w:id="217"/>
      </w:r>
      <w:r w:rsidRPr="00635A00">
        <w:rPr>
          <w:rFonts w:ascii="Times New Roman" w:hAnsi="Times New Roman" w:cs="Times New Roman"/>
        </w:rPr>
        <w:t xml:space="preserve">– que </w:t>
      </w:r>
      <w:r w:rsidRPr="00635A00">
        <w:rPr>
          <w:rFonts w:ascii="Times New Roman" w:hAnsi="Times New Roman" w:cs="Times New Roman"/>
        </w:rPr>
        <w:t xml:space="preserve">dentro de las preocupaciones que </w:t>
      </w:r>
      <w:r w:rsidRPr="00635A00">
        <w:rPr>
          <w:rFonts w:ascii="Times New Roman" w:hAnsi="Times New Roman" w:cs="Times New Roman"/>
        </w:rPr>
        <w:t>surgieron</w:t>
      </w:r>
      <w:r w:rsidRPr="00635A00">
        <w:rPr>
          <w:rFonts w:ascii="Times New Roman" w:hAnsi="Times New Roman" w:cs="Times New Roman"/>
        </w:rPr>
        <w:t xml:space="preserve"> en el primer debate surtido del proyecto convertido lue</w:t>
      </w:r>
      <w:r w:rsidRPr="00635A00">
        <w:rPr>
          <w:rFonts w:ascii="Times New Roman" w:hAnsi="Times New Roman" w:cs="Times New Roman"/>
        </w:rPr>
        <w:t>go en</w:t>
      </w:r>
      <w:r w:rsidRPr="00635A00">
        <w:rPr>
          <w:rFonts w:ascii="Times New Roman" w:hAnsi="Times New Roman" w:cs="Times New Roman"/>
        </w:rPr>
        <w:t xml:space="preserve"> la Ley 2294 de 2023 ya estaba contenida la idea de buscar mecanismos para superar los problemas</w:t>
      </w:r>
      <w:r w:rsidRPr="00635A00">
        <w:rPr>
          <w:rFonts w:ascii="Times New Roman" w:hAnsi="Times New Roman" w:cs="Times New Roman"/>
        </w:rPr>
        <w:t xml:space="preserve"> de inequidad e informalidad en el acceso a la </w:t>
      </w:r>
      <w:r w:rsidRPr="00635A00">
        <w:rPr>
          <w:rFonts w:ascii="Times New Roman" w:hAnsi="Times New Roman" w:cs="Times New Roman"/>
        </w:rPr>
        <w:t>tierra</w:t>
      </w:r>
      <w:r w:rsidRPr="00635A00">
        <w:rPr>
          <w:rFonts w:ascii="Times New Roman" w:hAnsi="Times New Roman" w:cs="Times New Roman"/>
        </w:rPr>
        <w:t>.</w:t>
      </w:r>
    </w:p>
    <w:p w:rsidR="007D15FF" w:rsidRPr="00635A00" w:rsidRDefault="00635A00" w:rsidP="007D15FF">
      <w:pPr>
        <w:pStyle w:val="Prrafodelista"/>
        <w:rPr>
          <w:rFonts w:ascii="Times New Roman" w:hAnsi="Times New Roman" w:cs="Times New Roman"/>
        </w:rPr>
      </w:pPr>
    </w:p>
    <w:p w:rsidR="007D15FF" w:rsidRPr="00635A00" w:rsidRDefault="00635A00" w:rsidP="008818D4">
      <w:pPr>
        <w:pStyle w:val="Prrafodelista"/>
        <w:numPr>
          <w:ilvl w:val="0"/>
          <w:numId w:val="25"/>
        </w:numPr>
        <w:tabs>
          <w:tab w:val="left" w:pos="426"/>
        </w:tabs>
        <w:ind w:left="0" w:firstLine="0"/>
        <w:rPr>
          <w:rFonts w:ascii="Times New Roman" w:hAnsi="Times New Roman" w:cs="Times New Roman"/>
        </w:rPr>
      </w:pPr>
      <w:r w:rsidRPr="00635A00">
        <w:rPr>
          <w:rFonts w:ascii="Times New Roman" w:hAnsi="Times New Roman" w:cs="Times New Roman"/>
        </w:rPr>
        <w:t xml:space="preserve">Podríamos </w:t>
      </w:r>
      <w:r w:rsidRPr="00635A00">
        <w:rPr>
          <w:rFonts w:ascii="Times New Roman" w:hAnsi="Times New Roman" w:cs="Times New Roman"/>
        </w:rPr>
        <w:t xml:space="preserve">haber discutido sobre </w:t>
      </w:r>
      <w:r w:rsidRPr="00635A00">
        <w:rPr>
          <w:rFonts w:ascii="Times New Roman" w:hAnsi="Times New Roman" w:cs="Times New Roman"/>
        </w:rPr>
        <w:t>la consti</w:t>
      </w:r>
      <w:r w:rsidRPr="00635A00">
        <w:rPr>
          <w:rFonts w:ascii="Times New Roman" w:hAnsi="Times New Roman" w:cs="Times New Roman"/>
        </w:rPr>
        <w:t>tu</w:t>
      </w:r>
      <w:r w:rsidRPr="00635A00">
        <w:rPr>
          <w:rFonts w:ascii="Times New Roman" w:hAnsi="Times New Roman" w:cs="Times New Roman"/>
        </w:rPr>
        <w:t xml:space="preserve">cionalidad material de las normas acusadas </w:t>
      </w:r>
      <w:r w:rsidRPr="00635A00">
        <w:rPr>
          <w:rFonts w:ascii="Times New Roman" w:hAnsi="Times New Roman" w:cs="Times New Roman"/>
        </w:rPr>
        <w:t>–</w:t>
      </w:r>
      <w:r w:rsidRPr="00635A00">
        <w:rPr>
          <w:rFonts w:ascii="Times New Roman" w:hAnsi="Times New Roman" w:cs="Times New Roman"/>
        </w:rPr>
        <w:t xml:space="preserve">examen al que no llegó la Corte en </w:t>
      </w:r>
      <w:r w:rsidRPr="00635A00">
        <w:rPr>
          <w:rFonts w:ascii="Times New Roman" w:hAnsi="Times New Roman" w:cs="Times New Roman"/>
        </w:rPr>
        <w:t>esta</w:t>
      </w:r>
      <w:r w:rsidRPr="00635A00">
        <w:rPr>
          <w:rFonts w:ascii="Times New Roman" w:hAnsi="Times New Roman" w:cs="Times New Roman"/>
        </w:rPr>
        <w:t xml:space="preserve"> decisión</w:t>
      </w:r>
      <w:r w:rsidRPr="00635A00">
        <w:rPr>
          <w:rFonts w:ascii="Times New Roman" w:hAnsi="Times New Roman" w:cs="Times New Roman"/>
        </w:rPr>
        <w:t>–</w:t>
      </w:r>
      <w:r w:rsidRPr="00635A00">
        <w:rPr>
          <w:rFonts w:ascii="Times New Roman" w:hAnsi="Times New Roman" w:cs="Times New Roman"/>
        </w:rPr>
        <w:t>,</w:t>
      </w:r>
      <w:r w:rsidRPr="00635A00">
        <w:rPr>
          <w:rFonts w:ascii="Times New Roman" w:hAnsi="Times New Roman" w:cs="Times New Roman"/>
        </w:rPr>
        <w:t xml:space="preserve"> pero lo que </w:t>
      </w:r>
      <w:r w:rsidRPr="00635A00">
        <w:rPr>
          <w:rFonts w:ascii="Times New Roman" w:hAnsi="Times New Roman" w:cs="Times New Roman"/>
        </w:rPr>
        <w:t>en mi concepto</w:t>
      </w:r>
      <w:r w:rsidRPr="00635A00">
        <w:rPr>
          <w:rFonts w:ascii="Times New Roman" w:hAnsi="Times New Roman" w:cs="Times New Roman"/>
        </w:rPr>
        <w:t xml:space="preserve"> r</w:t>
      </w:r>
      <w:r w:rsidRPr="00635A00">
        <w:rPr>
          <w:rFonts w:ascii="Times New Roman" w:hAnsi="Times New Roman" w:cs="Times New Roman"/>
        </w:rPr>
        <w:t xml:space="preserve">esulta innegable </w:t>
      </w:r>
      <w:r w:rsidRPr="00635A00">
        <w:rPr>
          <w:rFonts w:ascii="Times New Roman" w:hAnsi="Times New Roman" w:cs="Times New Roman"/>
        </w:rPr>
        <w:t xml:space="preserve">es </w:t>
      </w:r>
      <w:r w:rsidRPr="00635A00">
        <w:rPr>
          <w:rFonts w:ascii="Times New Roman" w:hAnsi="Times New Roman" w:cs="Times New Roman"/>
        </w:rPr>
        <w:t>que la cuestión agraria</w:t>
      </w:r>
      <w:r w:rsidRPr="00635A00">
        <w:rPr>
          <w:rFonts w:ascii="Times New Roman" w:hAnsi="Times New Roman" w:cs="Times New Roman"/>
        </w:rPr>
        <w:t>, la superación de la informalidad y el acceso progresivo a la tierra e</w:t>
      </w:r>
      <w:r w:rsidRPr="00635A00">
        <w:rPr>
          <w:rFonts w:ascii="Times New Roman" w:hAnsi="Times New Roman" w:cs="Times New Roman"/>
        </w:rPr>
        <w:t xml:space="preserve">ra un aspecto </w:t>
      </w:r>
      <w:r w:rsidRPr="00635A00">
        <w:rPr>
          <w:rFonts w:ascii="Times New Roman" w:hAnsi="Times New Roman" w:cs="Times New Roman"/>
        </w:rPr>
        <w:t xml:space="preserve">central </w:t>
      </w:r>
      <w:r w:rsidRPr="00635A00">
        <w:rPr>
          <w:rFonts w:ascii="Times New Roman" w:hAnsi="Times New Roman" w:cs="Times New Roman"/>
        </w:rPr>
        <w:t>de</w:t>
      </w:r>
      <w:r w:rsidRPr="00635A00">
        <w:rPr>
          <w:rFonts w:ascii="Times New Roman" w:hAnsi="Times New Roman" w:cs="Times New Roman"/>
        </w:rPr>
        <w:t>l Plan Nacional de Desarrollo 2022-2026</w:t>
      </w:r>
      <w:r w:rsidRPr="00635A00">
        <w:rPr>
          <w:rFonts w:ascii="Times New Roman" w:hAnsi="Times New Roman" w:cs="Times New Roman"/>
        </w:rPr>
        <w:t xml:space="preserve">, y así se reflejó en </w:t>
      </w:r>
      <w:r w:rsidRPr="00635A00">
        <w:rPr>
          <w:rFonts w:ascii="Times New Roman" w:hAnsi="Times New Roman" w:cs="Times New Roman"/>
        </w:rPr>
        <w:t xml:space="preserve">el primer </w:t>
      </w:r>
      <w:r w:rsidRPr="00635A00">
        <w:rPr>
          <w:rFonts w:ascii="Times New Roman" w:hAnsi="Times New Roman" w:cs="Times New Roman"/>
        </w:rPr>
        <w:t xml:space="preserve">debate conjunto de las comisiones </w:t>
      </w:r>
      <w:r w:rsidRPr="00635A00">
        <w:rPr>
          <w:rFonts w:ascii="Times New Roman" w:hAnsi="Times New Roman" w:cs="Times New Roman"/>
        </w:rPr>
        <w:t>del Congreso de la República</w:t>
      </w:r>
      <w:r w:rsidRPr="00635A00">
        <w:rPr>
          <w:rFonts w:ascii="Times New Roman" w:hAnsi="Times New Roman" w:cs="Times New Roman"/>
        </w:rPr>
        <w:t xml:space="preserve">. </w:t>
      </w:r>
      <w:r w:rsidRPr="00635A00">
        <w:rPr>
          <w:rFonts w:ascii="Times New Roman" w:hAnsi="Times New Roman" w:cs="Times New Roman"/>
        </w:rPr>
        <w:t>Aunque</w:t>
      </w:r>
      <w:r w:rsidRPr="00635A00">
        <w:rPr>
          <w:rFonts w:ascii="Times New Roman" w:hAnsi="Times New Roman" w:cs="Times New Roman"/>
        </w:rPr>
        <w:t xml:space="preserve"> la propuesta de eliminar la </w:t>
      </w:r>
      <w:r w:rsidRPr="00635A00">
        <w:rPr>
          <w:rFonts w:ascii="Times New Roman" w:hAnsi="Times New Roman" w:cs="Times New Roman"/>
        </w:rPr>
        <w:t xml:space="preserve">etapa </w:t>
      </w:r>
      <w:r w:rsidRPr="00635A00">
        <w:rPr>
          <w:rFonts w:ascii="Times New Roman" w:hAnsi="Times New Roman" w:cs="Times New Roman"/>
        </w:rPr>
        <w:t>judicial</w:t>
      </w:r>
      <w:r w:rsidRPr="00635A00">
        <w:rPr>
          <w:rFonts w:ascii="Times New Roman" w:hAnsi="Times New Roman" w:cs="Times New Roman"/>
        </w:rPr>
        <w:t xml:space="preserve"> de algunos procesos agrarios no se discutió </w:t>
      </w:r>
      <w:r w:rsidRPr="00635A00">
        <w:rPr>
          <w:rFonts w:ascii="Times New Roman" w:hAnsi="Times New Roman" w:cs="Times New Roman"/>
        </w:rPr>
        <w:t>expresamente</w:t>
      </w:r>
      <w:r w:rsidRPr="00635A00">
        <w:rPr>
          <w:rFonts w:ascii="Times New Roman" w:hAnsi="Times New Roman" w:cs="Times New Roman"/>
        </w:rPr>
        <w:t xml:space="preserve"> en </w:t>
      </w:r>
      <w:r w:rsidRPr="00635A00">
        <w:rPr>
          <w:rFonts w:ascii="Times New Roman" w:hAnsi="Times New Roman" w:cs="Times New Roman"/>
        </w:rPr>
        <w:t>el primer debate conjunto</w:t>
      </w:r>
      <w:r w:rsidRPr="00635A00">
        <w:rPr>
          <w:rFonts w:ascii="Times New Roman" w:hAnsi="Times New Roman" w:cs="Times New Roman"/>
        </w:rPr>
        <w:t xml:space="preserve">, sí se abordó una </w:t>
      </w:r>
      <w:r w:rsidRPr="00635A00">
        <w:rPr>
          <w:rFonts w:ascii="Times New Roman" w:hAnsi="Times New Roman" w:cs="Times New Roman"/>
        </w:rPr>
        <w:t>temática general</w:t>
      </w:r>
      <w:r w:rsidRPr="00635A00">
        <w:rPr>
          <w:rFonts w:ascii="Times New Roman" w:hAnsi="Times New Roman" w:cs="Times New Roman"/>
        </w:rPr>
        <w:t xml:space="preserve"> que estaba íntimamente relacionada</w:t>
      </w:r>
      <w:r w:rsidRPr="00635A00">
        <w:rPr>
          <w:rFonts w:ascii="Times New Roman" w:hAnsi="Times New Roman" w:cs="Times New Roman"/>
        </w:rPr>
        <w:t xml:space="preserve"> con</w:t>
      </w:r>
      <w:r w:rsidRPr="00635A00">
        <w:rPr>
          <w:rFonts w:ascii="Times New Roman" w:hAnsi="Times New Roman" w:cs="Times New Roman"/>
        </w:rPr>
        <w:t xml:space="preserve"> la reforma agraria</w:t>
      </w:r>
      <w:r w:rsidRPr="00635A00">
        <w:rPr>
          <w:rFonts w:ascii="Times New Roman" w:hAnsi="Times New Roman" w:cs="Times New Roman"/>
        </w:rPr>
        <w:t>, lo que permitía dar por satisfecho el principio de consecutividad.</w:t>
      </w:r>
    </w:p>
    <w:p w:rsidR="00702544" w:rsidRPr="00635A00" w:rsidRDefault="00635A00" w:rsidP="00B2261E">
      <w:pPr>
        <w:rPr>
          <w:rFonts w:ascii="Times New Roman" w:hAnsi="Times New Roman" w:cs="Times New Roman"/>
          <w:sz w:val="28"/>
          <w:szCs w:val="28"/>
        </w:rPr>
      </w:pPr>
    </w:p>
    <w:p w:rsidR="00465D0B" w:rsidRPr="00635A00" w:rsidRDefault="00635A00" w:rsidP="00AB2DF5">
      <w:pPr>
        <w:pStyle w:val="Prrafodelista"/>
        <w:tabs>
          <w:tab w:val="left" w:pos="426"/>
        </w:tabs>
        <w:ind w:left="0"/>
        <w:rPr>
          <w:rFonts w:ascii="Times New Roman" w:hAnsi="Times New Roman" w:cs="Times New Roman"/>
        </w:rPr>
      </w:pPr>
    </w:p>
    <w:p w:rsidR="000A15C1" w:rsidRPr="00635A00" w:rsidRDefault="00635A00" w:rsidP="00941E77">
      <w:pPr>
        <w:jc w:val="both"/>
        <w:rPr>
          <w:rFonts w:ascii="Times New Roman" w:hAnsi="Times New Roman" w:cs="Times New Roman"/>
          <w:i/>
          <w:sz w:val="28"/>
          <w:szCs w:val="28"/>
        </w:rPr>
      </w:pPr>
      <w:r w:rsidRPr="00635A00">
        <w:rPr>
          <w:rFonts w:ascii="Times New Roman" w:hAnsi="Times New Roman" w:cs="Times New Roman"/>
          <w:i/>
          <w:sz w:val="28"/>
          <w:szCs w:val="28"/>
        </w:rPr>
        <w:t>Fecha ut supra</w:t>
      </w:r>
      <w:r w:rsidRPr="00635A00">
        <w:rPr>
          <w:rFonts w:ascii="Times New Roman" w:hAnsi="Times New Roman" w:cs="Times New Roman"/>
          <w:i/>
          <w:sz w:val="28"/>
          <w:szCs w:val="28"/>
        </w:rPr>
        <w:t>,</w:t>
      </w:r>
    </w:p>
    <w:p w:rsidR="000B529D" w:rsidRPr="00635A00" w:rsidRDefault="00635A00" w:rsidP="00941E77">
      <w:pPr>
        <w:jc w:val="both"/>
        <w:rPr>
          <w:rFonts w:ascii="Times New Roman" w:hAnsi="Times New Roman" w:cs="Times New Roman"/>
          <w:sz w:val="28"/>
          <w:szCs w:val="28"/>
        </w:rPr>
      </w:pPr>
    </w:p>
    <w:p w:rsidR="000B529D" w:rsidRPr="00635A00" w:rsidRDefault="00635A00" w:rsidP="00941E77">
      <w:pPr>
        <w:jc w:val="both"/>
        <w:rPr>
          <w:rFonts w:ascii="Times New Roman" w:hAnsi="Times New Roman" w:cs="Times New Roman"/>
          <w:sz w:val="28"/>
          <w:szCs w:val="28"/>
        </w:rPr>
      </w:pPr>
    </w:p>
    <w:p w:rsidR="000B529D" w:rsidRPr="00635A00" w:rsidRDefault="00635A00" w:rsidP="000B529D">
      <w:pPr>
        <w:jc w:val="center"/>
        <w:rPr>
          <w:rFonts w:ascii="Times New Roman" w:hAnsi="Times New Roman" w:cs="Times New Roman"/>
          <w:b/>
          <w:bCs/>
          <w:sz w:val="28"/>
          <w:szCs w:val="28"/>
        </w:rPr>
      </w:pPr>
      <w:r w:rsidRPr="00635A00">
        <w:rPr>
          <w:rFonts w:ascii="Times New Roman" w:hAnsi="Times New Roman" w:cs="Times New Roman"/>
          <w:b/>
          <w:bCs/>
          <w:sz w:val="28"/>
          <w:szCs w:val="28"/>
        </w:rPr>
        <w:t>DIANA FAJARDO RIVERA</w:t>
      </w:r>
    </w:p>
    <w:p w:rsidR="000B529D" w:rsidRPr="00635A00" w:rsidRDefault="00635A00" w:rsidP="000B529D">
      <w:pPr>
        <w:jc w:val="center"/>
        <w:rPr>
          <w:rFonts w:ascii="Times New Roman" w:hAnsi="Times New Roman" w:cs="Times New Roman"/>
          <w:b/>
          <w:bCs/>
          <w:sz w:val="28"/>
          <w:szCs w:val="28"/>
        </w:rPr>
      </w:pPr>
      <w:r w:rsidRPr="00635A00">
        <w:rPr>
          <w:rFonts w:ascii="Times New Roman" w:hAnsi="Times New Roman" w:cs="Times New Roman"/>
          <w:b/>
          <w:bCs/>
          <w:sz w:val="28"/>
          <w:szCs w:val="28"/>
        </w:rPr>
        <w:t>Magistrada</w:t>
      </w:r>
    </w:p>
    <w:sectPr w:rsidR="000B529D" w:rsidRPr="00635A00">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35A00">
      <w:pPr>
        <w:spacing w:after="0" w:line="240" w:lineRule="auto"/>
      </w:pPr>
      <w:r>
        <w:separator/>
      </w:r>
    </w:p>
  </w:endnote>
  <w:endnote w:type="continuationSeparator" w:id="0">
    <w:p w:rsidR="00000000" w:rsidRDefault="00635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35A00">
      <w:pPr>
        <w:spacing w:after="0" w:line="240" w:lineRule="auto"/>
      </w:pPr>
      <w:r>
        <w:separator/>
      </w:r>
    </w:p>
  </w:footnote>
  <w:footnote w:type="continuationSeparator" w:id="0">
    <w:p w:rsidR="00000000" w:rsidRDefault="00635A00">
      <w:pPr>
        <w:spacing w:after="0" w:line="240" w:lineRule="auto"/>
      </w:pPr>
      <w:r>
        <w:continuationSeparator/>
      </w:r>
    </w:p>
  </w:footnote>
  <w:footnote w:id="1">
    <w:p w:rsidR="00D22900" w:rsidRPr="009B40EC" w:rsidRDefault="00635A00">
      <w:pPr>
        <w:pStyle w:val="Textonotapie"/>
      </w:pPr>
      <w:r w:rsidRPr="009B40EC">
        <w:rPr>
          <w:rStyle w:val="Refdenotaalpie"/>
        </w:rPr>
        <w:footnoteRef/>
      </w:r>
      <w:r w:rsidRPr="009B40EC">
        <w:t xml:space="preserve"> En esta providencia la magistrada sustanciadora admitió la demanda del ciudadano Pimiento Echeverri en relación con los cargos por violación de los artículos 157, 160 y 238 de la Constitución, y la inadmitió los cargos por violación de los artículos 13, 2</w:t>
      </w:r>
      <w:r w:rsidRPr="009B40EC">
        <w:t xml:space="preserve">9, 64, 209, 228 y 229 </w:t>
      </w:r>
      <w:r w:rsidRPr="009B40EC">
        <w:rPr>
          <w:i/>
          <w:iCs/>
        </w:rPr>
        <w:t>ibidem</w:t>
      </w:r>
      <w:r w:rsidRPr="009B40EC">
        <w:t>.</w:t>
      </w:r>
    </w:p>
  </w:footnote>
  <w:footnote w:id="2">
    <w:p w:rsidR="00D22900" w:rsidRPr="009B40EC" w:rsidRDefault="00635A00" w:rsidP="00C97FB2">
      <w:pPr>
        <w:pStyle w:val="Textonotapie"/>
      </w:pPr>
      <w:r w:rsidRPr="009B40EC">
        <w:rPr>
          <w:rStyle w:val="Refdenotaalpie"/>
        </w:rPr>
        <w:footnoteRef/>
      </w:r>
      <w:r w:rsidRPr="009B40EC">
        <w:t xml:space="preserve"> Se invitó a participar a las facultades de Derecho de las Universidades Nacional de Colombia, de los Andes, Externado de Colombia, de Antioquia, Pontificia Bolivariana, del Norte, de Cartagena, del Cauca, del Valle y Nariño.</w:t>
      </w:r>
    </w:p>
  </w:footnote>
  <w:footnote w:id="3">
    <w:p w:rsidR="00D22900" w:rsidRPr="009B40EC" w:rsidRDefault="00635A00">
      <w:pPr>
        <w:pStyle w:val="Textonotapie"/>
      </w:pPr>
      <w:r w:rsidRPr="009B40EC">
        <w:rPr>
          <w:rStyle w:val="Refdenotaalpie"/>
        </w:rPr>
        <w:footnoteRef/>
      </w:r>
      <w:r w:rsidRPr="009B40EC">
        <w:t xml:space="preserve"> El 3 de octubre de 2023, la Secretaría General de la corporación informó a la magistrada sustanciadora que por equivocación había procedido con la fijación en lista y el traslado a la Procuraduría General de la Nación sin que previamente se hubieran eva</w:t>
      </w:r>
      <w:r w:rsidRPr="009B40EC">
        <w:t>luado y calificado las pruebas decretadas mediante auto del 24 de agosto de 2023. En similar sentido, el 6 de octubre de 2023 la ciudadana Leidy Angélica Ramírez Primiciero solicitó dejar sin efecto la fijación en lista llevada a cabo por Secretaría Genera</w:t>
      </w:r>
      <w:r w:rsidRPr="009B40EC">
        <w:t>l dentro del presente proceso, toda vez que no habían sido recaudadas las pruebas decretadas.</w:t>
      </w:r>
    </w:p>
  </w:footnote>
  <w:footnote w:id="4">
    <w:p w:rsidR="00D22900" w:rsidRPr="009B40EC" w:rsidRDefault="00635A00" w:rsidP="00970559">
      <w:pPr>
        <w:pStyle w:val="Textonotapie"/>
        <w:jc w:val="left"/>
      </w:pPr>
      <w:r w:rsidRPr="009B40EC">
        <w:rPr>
          <w:rStyle w:val="Refdenotaalpie"/>
        </w:rPr>
        <w:footnoteRef/>
      </w:r>
      <w:r w:rsidRPr="009B40EC">
        <w:t xml:space="preserve"> Mediante auto 706 del 11 de abril de 2024, la Sala Plena declaró fundado el impedimento manifestado por el magistrado Vladimir Fernández Andrade para participar</w:t>
      </w:r>
      <w:r w:rsidRPr="009B40EC">
        <w:t xml:space="preserve"> en el presente proceso.</w:t>
      </w:r>
    </w:p>
  </w:footnote>
  <w:footnote w:id="5">
    <w:p w:rsidR="00D22900" w:rsidRPr="009B40EC" w:rsidRDefault="00635A00">
      <w:pPr>
        <w:pStyle w:val="Textonotapie"/>
      </w:pPr>
      <w:r w:rsidRPr="009B40EC">
        <w:rPr>
          <w:rStyle w:val="Refdenotaalpie"/>
        </w:rPr>
        <w:footnoteRef/>
      </w:r>
      <w:r w:rsidRPr="009B40EC">
        <w:t xml:space="preserve"> Diario Oficial No. 52.400 del 19 de mayo de 2023.</w:t>
      </w:r>
    </w:p>
  </w:footnote>
  <w:footnote w:id="6">
    <w:p w:rsidR="00D22900" w:rsidRPr="009B40EC" w:rsidRDefault="00635A00">
      <w:pPr>
        <w:pStyle w:val="Textonotapie"/>
      </w:pPr>
      <w:r w:rsidRPr="009B40EC">
        <w:rPr>
          <w:rStyle w:val="Refdenotaalpie"/>
        </w:rPr>
        <w:footnoteRef/>
      </w:r>
      <w:r w:rsidRPr="009B40EC">
        <w:t xml:space="preserve"> En auto del 24 de agosto de 2023 la magistrada sustanciadora inadmitió el cargo por ausencia de aptitud sustantiva. Sin embargo, con ocasión de la subsanación presentada por el </w:t>
      </w:r>
      <w:r w:rsidRPr="009B40EC">
        <w:t>demandante, la magistrada sustanciadora resolvió admitirlo para estudio mediante auto del 15 de septiembre del mismo año.</w:t>
      </w:r>
    </w:p>
  </w:footnote>
  <w:footnote w:id="7">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El accionante señaló que la jurisprudencia constitucional (sentencias C-486 de 2016 y C-115 de 2017) establece que el principio de p</w:t>
      </w:r>
      <w:r w:rsidRPr="009B40EC">
        <w:rPr>
          <w:lang w:val="es-CO"/>
        </w:rPr>
        <w:t>rogresividad y la prohibición de retroceso se predican tanto de los derechos económicos y sociales como los civiles y políticos.</w:t>
      </w:r>
    </w:p>
  </w:footnote>
  <w:footnote w:id="8">
    <w:p w:rsidR="00D22900" w:rsidRPr="009B40EC" w:rsidRDefault="00635A00">
      <w:pPr>
        <w:pStyle w:val="Textonotapie"/>
      </w:pPr>
      <w:r w:rsidRPr="009B40EC">
        <w:rPr>
          <w:rStyle w:val="Refdenotaalpie"/>
        </w:rPr>
        <w:footnoteRef/>
      </w:r>
      <w:r w:rsidRPr="009B40EC">
        <w:t xml:space="preserve"> El demandante manifestó que los citados artículos de la CADH y del Protocolo de San Salvador imponen a los Estados el deber d</w:t>
      </w:r>
      <w:r w:rsidRPr="009B40EC">
        <w:t>e adoptar medidas para lograr progresivamente la efectividad de los derechos reconocidos por ambos instrumentos.</w:t>
      </w:r>
    </w:p>
  </w:footnote>
  <w:footnote w:id="9">
    <w:p w:rsidR="00D22900" w:rsidRPr="009B40EC" w:rsidRDefault="00635A00">
      <w:pPr>
        <w:pStyle w:val="Textonotapie"/>
      </w:pPr>
      <w:r w:rsidRPr="009B40EC">
        <w:rPr>
          <w:rStyle w:val="Refdenotaalpie"/>
        </w:rPr>
        <w:footnoteRef/>
      </w:r>
      <w:r w:rsidRPr="009B40EC">
        <w:t xml:space="preserve"> </w:t>
      </w:r>
      <w:r w:rsidRPr="009B40EC">
        <w:rPr>
          <w:lang w:val="es-CO"/>
        </w:rPr>
        <w:t>“Por el cual se adoptan medidas para facilitar la implementación de la Reforma Rural Integral contemplada en el Acuerdo Final en materia de t</w:t>
      </w:r>
      <w:r w:rsidRPr="009B40EC">
        <w:rPr>
          <w:lang w:val="es-CO"/>
        </w:rPr>
        <w:t>ierras, específicamente el procedimiento para el acceso y formalización y el Fondo de Tierras”.</w:t>
      </w:r>
    </w:p>
  </w:footnote>
  <w:footnote w:id="10">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Decreto Ley 902 de 2017, artículo 58, numerales 4, 5 y 7.</w:t>
      </w:r>
    </w:p>
  </w:footnote>
  <w:footnote w:id="11">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El actor trajo a colación la sentencia C-115 de 2017 para sustentar la presunción de inconstitucio</w:t>
      </w:r>
      <w:r w:rsidRPr="009B40EC">
        <w:rPr>
          <w:lang w:val="es-CO"/>
        </w:rPr>
        <w:t>nalidad de las medidas regresivas.</w:t>
      </w:r>
    </w:p>
  </w:footnote>
  <w:footnote w:id="12">
    <w:p w:rsidR="00D22900" w:rsidRPr="009B40EC" w:rsidRDefault="00635A00">
      <w:pPr>
        <w:pStyle w:val="Textonotapie"/>
        <w:rPr>
          <w:lang w:val="es-CO"/>
        </w:rPr>
      </w:pPr>
      <w:r w:rsidRPr="009B40EC">
        <w:rPr>
          <w:rStyle w:val="Refdenotaalpie"/>
        </w:rPr>
        <w:footnoteRef/>
      </w:r>
      <w:r w:rsidRPr="009B40EC">
        <w:t xml:space="preserve"> El actor indicó que estos requisitos son: (i) que la medida persiga una finalidad constitucionalmente imperativa; (ii) que la medida sea idónea para alcanzar dicha finalidad; (iii) que la medida sea necesaria ante la in</w:t>
      </w:r>
      <w:r w:rsidRPr="009B40EC">
        <w:t>existencia de medios menos regresivos para lograr el objetivo; y (iv) que la medida sea proporcional en sentido estricto y no afecte el núcleo esencial del derecho en cuestión.</w:t>
      </w:r>
    </w:p>
  </w:footnote>
  <w:footnote w:id="13">
    <w:p w:rsidR="00D22900" w:rsidRPr="009B40EC" w:rsidRDefault="00635A00">
      <w:pPr>
        <w:pStyle w:val="Textonotapie"/>
      </w:pPr>
      <w:r w:rsidRPr="009B40EC">
        <w:rPr>
          <w:rStyle w:val="Refdenotaalpie"/>
        </w:rPr>
        <w:footnoteRef/>
      </w:r>
      <w:r w:rsidRPr="009B40EC">
        <w:t xml:space="preserve"> El demandante también planteó otros cargos que fueron inadmitidos y posterior</w:t>
      </w:r>
      <w:r w:rsidRPr="009B40EC">
        <w:t>mente rechazados por la magistrada sustanciadora mediante autos del 24 de agosto y 15 de septiembre de 2023, respectivamente.</w:t>
      </w:r>
    </w:p>
  </w:footnote>
  <w:footnote w:id="14">
    <w:p w:rsidR="00D22900" w:rsidRPr="009B40EC" w:rsidRDefault="00635A00">
      <w:pPr>
        <w:pStyle w:val="Textonotapie"/>
      </w:pPr>
      <w:r w:rsidRPr="009B40EC">
        <w:rPr>
          <w:rStyle w:val="Refdenotaalpie"/>
        </w:rPr>
        <w:footnoteRef/>
      </w:r>
      <w:r w:rsidRPr="009B40EC">
        <w:t xml:space="preserve"> La magistrada sustanciadora admitió este cargo mediante auto del 24 de agosto de 2023.</w:t>
      </w:r>
    </w:p>
  </w:footnote>
  <w:footnote w:id="15">
    <w:p w:rsidR="00D22900" w:rsidRPr="009B40EC" w:rsidRDefault="00635A00">
      <w:pPr>
        <w:pStyle w:val="Textonotapie"/>
      </w:pPr>
      <w:r w:rsidRPr="009B40EC">
        <w:rPr>
          <w:rStyle w:val="Refdenotaalpie"/>
        </w:rPr>
        <w:footnoteRef/>
      </w:r>
      <w:r w:rsidRPr="009B40EC">
        <w:t xml:space="preserve"> En auto del 24 de agosto de 2023 la mag</w:t>
      </w:r>
      <w:r w:rsidRPr="009B40EC">
        <w:t>istrada sustanciadora inadmitió el cargo por ausencia de aptitud sustantiva. Sin embargo, con ocasión de la subsanación presentada por el demandante, la magistrada sustanciadora resolvió admitirlo para estudio mediante auto del 15 de septiembre del mismo a</w:t>
      </w:r>
      <w:r w:rsidRPr="009B40EC">
        <w:t>ño.</w:t>
      </w:r>
    </w:p>
  </w:footnote>
  <w:footnote w:id="16">
    <w:p w:rsidR="00D22900" w:rsidRPr="009B40EC" w:rsidRDefault="00635A00">
      <w:pPr>
        <w:pStyle w:val="Textonotapie"/>
      </w:pPr>
      <w:r w:rsidRPr="009B40EC">
        <w:rPr>
          <w:rStyle w:val="Refdenotaalpie"/>
        </w:rPr>
        <w:footnoteRef/>
      </w:r>
      <w:r w:rsidRPr="009B40EC">
        <w:t xml:space="preserve"> El demandante planteó que la medida acusada es regresiva en cuanto afecta las facetas prestacionales de los derechos de propiedad (art. 58 CP), acceso progresivo a la propiedad privada (art. 64 CP) y debido proceso (art. 29 CP). Sin embargo, en el au</w:t>
      </w:r>
      <w:r w:rsidRPr="009B40EC">
        <w:t>to del 15 de septiembre de 2023 la magistrada sustanciadora consideró que el cargo por violación del principio de progresividad y no regresividad era sustancialmente apto únicamente en relación con esta última garantía.</w:t>
      </w:r>
    </w:p>
  </w:footnote>
  <w:footnote w:id="17">
    <w:p w:rsidR="00D22900" w:rsidRPr="009B40EC" w:rsidRDefault="00635A00">
      <w:pPr>
        <w:pStyle w:val="Textonotapie"/>
      </w:pPr>
      <w:r w:rsidRPr="009B40EC">
        <w:rPr>
          <w:rStyle w:val="Refdenotaalpie"/>
        </w:rPr>
        <w:footnoteRef/>
      </w:r>
      <w:r w:rsidRPr="009B40EC">
        <w:t xml:space="preserve"> La magistrada sustanciadora admiti</w:t>
      </w:r>
      <w:r w:rsidRPr="009B40EC">
        <w:t>ó este cargo mediante auto del 24 de agosto de 2023.</w:t>
      </w:r>
    </w:p>
  </w:footnote>
  <w:footnote w:id="18">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Al respecto, el demandante trajo a colación la sentencia C-623 de 2015 proferida por esta Corporación, así como la sentencia del 12 de febrero de 2016 proferida por la Subsección A de la Sección Tercer</w:t>
      </w:r>
      <w:r w:rsidRPr="009B40EC">
        <w:rPr>
          <w:lang w:val="es-CO"/>
        </w:rPr>
        <w:t>a de la Sala de lo Contencioso Administrativo del Consejo de Estado, dentro del expediente 110010326000201400101.</w:t>
      </w:r>
    </w:p>
  </w:footnote>
  <w:footnote w:id="19">
    <w:p w:rsidR="00D22900" w:rsidRPr="009B40EC" w:rsidRDefault="00635A00" w:rsidP="00FB118A">
      <w:pPr>
        <w:pStyle w:val="Textonotapie"/>
      </w:pPr>
      <w:r w:rsidRPr="009B40EC">
        <w:rPr>
          <w:rStyle w:val="Refdenotaalpie"/>
        </w:rPr>
        <w:footnoteRef/>
      </w:r>
      <w:r w:rsidRPr="009B40EC">
        <w:rPr>
          <w:bCs/>
          <w:color w:val="auto"/>
        </w:rPr>
        <w:t xml:space="preserve"> </w:t>
      </w:r>
      <w:r w:rsidRPr="009B40EC">
        <w:t xml:space="preserve">Oficio SG.2-1956/2023 del 17 de octubre de 2023 suscrito por el secretario general de la Cámara de Representantes. </w:t>
      </w:r>
      <w:r w:rsidRPr="009B40EC">
        <w:rPr>
          <w:bCs/>
          <w:color w:val="auto"/>
          <w:lang w:val="es-CO"/>
        </w:rPr>
        <w:t>En: https://www.cortecons</w:t>
      </w:r>
      <w:r w:rsidRPr="009B40EC">
        <w:rPr>
          <w:bCs/>
          <w:color w:val="auto"/>
          <w:lang w:val="es-CO"/>
        </w:rPr>
        <w:t>titucional.gov.co/secretaria/archivo.php?id=71199.</w:t>
      </w:r>
    </w:p>
  </w:footnote>
  <w:footnote w:id="20">
    <w:p w:rsidR="00D22900" w:rsidRPr="009B40EC" w:rsidRDefault="00635A00">
      <w:pPr>
        <w:pStyle w:val="Textonotapie"/>
        <w:rPr>
          <w:lang w:val="es-CO"/>
        </w:rPr>
      </w:pPr>
      <w:r w:rsidRPr="009B40EC">
        <w:rPr>
          <w:rStyle w:val="Refdenotaalpie"/>
        </w:rPr>
        <w:footnoteRef/>
      </w:r>
      <w:r w:rsidRPr="009B40EC">
        <w:t xml:space="preserve"> (i) Oficio SLE-CS-968-CV19-2023 del 17 de octubre de 2023 suscrito por el secretario general del Senado de la República. </w:t>
      </w:r>
      <w:r w:rsidRPr="009B40EC">
        <w:rPr>
          <w:lang w:val="es-CO"/>
        </w:rPr>
        <w:t xml:space="preserve">En: https://www.corteconstitucional.gov.co/secretaria/archivo.php?id=70923; (ii) </w:t>
      </w:r>
      <w:r w:rsidRPr="009B40EC">
        <w:rPr>
          <w:lang w:val="es-CO"/>
        </w:rPr>
        <w:t>Oficio SGE-CS-05252-2023 del 24 de octubre de 2023 suscrito por el secretario general del Senado de la República. En: https://www.corteconstitucional.gov.co/secretaria/archivo.php?id=71370; (iii) Oficio SGE-CS-06168-2023 del 4 de diciembre de 2023 suscrito</w:t>
      </w:r>
      <w:r w:rsidRPr="009B40EC">
        <w:rPr>
          <w:lang w:val="es-CO"/>
        </w:rPr>
        <w:t xml:space="preserve"> por el secretario general del Senado de la República. En: https://www.corteconstitucional.gov.co/secretaria/archivo.php?id=73619. En esta comunicación se anunció que la Gaceta 1623 adjunta contenía copia del acta de la sesión plenaria del 15 de agosto de </w:t>
      </w:r>
      <w:r w:rsidRPr="009B40EC">
        <w:rPr>
          <w:lang w:val="es-CO"/>
        </w:rPr>
        <w:t>2023 en la que se aprobó el acta 47 correspondiente a la sesión plenaria del 3 de mayo anterior, pero su contenido no corresponde con el indicado en el referido oficio. El acta de la plenaria del 15 de agosto de 2023 se publicó en la Gaceta 1624 de 2023, d</w:t>
      </w:r>
      <w:r w:rsidRPr="009B40EC">
        <w:rPr>
          <w:lang w:val="es-CO"/>
        </w:rPr>
        <w:t>isponible en: https://svrpubindc.imprenta.gov.co/senado/.</w:t>
      </w:r>
    </w:p>
  </w:footnote>
  <w:footnote w:id="21">
    <w:p w:rsidR="00D22900" w:rsidRPr="009B40EC" w:rsidRDefault="00635A00">
      <w:pPr>
        <w:pStyle w:val="Textonotapie"/>
      </w:pPr>
      <w:r w:rsidRPr="009B40EC">
        <w:rPr>
          <w:rStyle w:val="Refdenotaalpie"/>
        </w:rPr>
        <w:footnoteRef/>
      </w:r>
      <w:r w:rsidRPr="009B40EC">
        <w:t xml:space="preserve"> Con posterioridad al término de fijación en lista, que expiró el 11 de enero de 2024, el 19 de enero de 2024 se recibió un escrito extemporáneo de la ciudadana Leidy Angélica Ramírez Primiciero.</w:t>
      </w:r>
    </w:p>
  </w:footnote>
  <w:footnote w:id="22">
    <w:p w:rsidR="00D22900" w:rsidRPr="009B40EC" w:rsidRDefault="00635A00">
      <w:pPr>
        <w:pStyle w:val="Textonotapie"/>
        <w:rPr>
          <w:color w:val="auto"/>
        </w:rPr>
      </w:pPr>
      <w:r w:rsidRPr="009B40EC">
        <w:rPr>
          <w:rStyle w:val="Refdenotaalpie"/>
          <w:color w:val="auto"/>
        </w:rPr>
        <w:footnoteRef/>
      </w:r>
      <w:r w:rsidRPr="009B40EC">
        <w:rPr>
          <w:color w:val="auto"/>
        </w:rPr>
        <w:t xml:space="preserve"> https://www.corteconstitucional.gov.co/secretaria/archivo.php?id=70368, página 18.</w:t>
      </w:r>
    </w:p>
  </w:footnote>
  <w:footnote w:id="23">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Expedientes D-15345, D-15380 y D-15516.</w:t>
      </w:r>
    </w:p>
  </w:footnote>
  <w:footnote w:id="24">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C-034 de 2014.</w:t>
      </w:r>
    </w:p>
  </w:footnote>
  <w:footnote w:id="25">
    <w:p w:rsidR="00D22900" w:rsidRPr="009B40EC" w:rsidRDefault="00635A00">
      <w:pPr>
        <w:pStyle w:val="Textonotapie"/>
      </w:pPr>
      <w:r w:rsidRPr="009B40EC">
        <w:rPr>
          <w:rStyle w:val="Refdenotaalpie"/>
        </w:rPr>
        <w:footnoteRef/>
      </w:r>
      <w:r w:rsidRPr="009B40EC">
        <w:t xml:space="preserve"> En sentencia C-023 de 2020, la Corte señaló que “para declarar la configuración de cosa juzgada es ne</w:t>
      </w:r>
      <w:r w:rsidRPr="009B40EC">
        <w:t xml:space="preserve">cesario que el juez constitucional verifique los siguientes requisitos: (i) identidad de objeto, es decir, ‘que se proponga estudiar el mismo contenido normativo de la misma proposición normativa, ya estudiada en una sentencia anterior’; (ii) identidad de </w:t>
      </w:r>
      <w:r w:rsidRPr="009B40EC">
        <w:t>causa petendi, esto es, ‘que se proponga dicho estudio por las mismas razones (esto incluye el referente constitucional o norma presuntamente vulnerada), ya estudiadas en una sentencia anterior’ y (iii) identidad del parámetro de control de constitucionali</w:t>
      </w:r>
      <w:r w:rsidRPr="009B40EC">
        <w:t>dad, esto es, que no exista un cambio de contexto o nuevas razones significativas que de manera excepcional hagan procedente la revisión, lo que la jurisprudencia ha referido como un nuevo contexto de valoración”. En igual sentido, sentencias C-147 de 2022</w:t>
      </w:r>
      <w:r w:rsidRPr="009B40EC">
        <w:t>, C-499 de 2023, entre otras.</w:t>
      </w:r>
    </w:p>
  </w:footnote>
  <w:footnote w:id="26">
    <w:p w:rsidR="00D22900" w:rsidRPr="009B40EC" w:rsidRDefault="00635A00" w:rsidP="00EF6E79">
      <w:pPr>
        <w:pStyle w:val="Textonotapie"/>
      </w:pPr>
      <w:r w:rsidRPr="009B40EC">
        <w:rPr>
          <w:rStyle w:val="Refdenotaalpie"/>
        </w:rPr>
        <w:footnoteRef/>
      </w:r>
      <w:r w:rsidRPr="009B40EC">
        <w:t xml:space="preserve"> https://www.corteconstitucional.gov.co/secretaria/ConsultaC/normas.php.</w:t>
      </w:r>
    </w:p>
  </w:footnote>
  <w:footnote w:id="27">
    <w:p w:rsidR="00D22900" w:rsidRPr="009B40EC" w:rsidRDefault="00635A00" w:rsidP="00877993">
      <w:pPr>
        <w:pStyle w:val="Textonotapie"/>
      </w:pPr>
      <w:r w:rsidRPr="009B40EC">
        <w:rPr>
          <w:rStyle w:val="Refdenotaalpie"/>
        </w:rPr>
        <w:footnoteRef/>
      </w:r>
      <w:r w:rsidRPr="009B40EC">
        <w:t>https://www.corteconstitucional.gov.co/secretaria/actuacion.php?accion=mostrar&amp;palabra=D0015516%20%20%20%20&amp;proceso=1&amp;etapa=0.</w:t>
      </w:r>
    </w:p>
  </w:footnote>
  <w:footnote w:id="28">
    <w:p w:rsidR="00D22900" w:rsidRPr="009B40EC" w:rsidRDefault="00635A00">
      <w:pPr>
        <w:pStyle w:val="Textonotapie"/>
      </w:pPr>
      <w:r w:rsidRPr="009B40EC">
        <w:rPr>
          <w:rStyle w:val="Refdenotaalpie"/>
        </w:rPr>
        <w:footnoteRef/>
      </w:r>
      <w:r w:rsidRPr="009B40EC">
        <w:t>https://www.corteconsti</w:t>
      </w:r>
      <w:r w:rsidRPr="009B40EC">
        <w:t>tucional.gov.co/secretaria/actuacion.php?accion=mostrar&amp;palabra=D0015481%20%20%20%20&amp;proceso=1&amp;etapa=0.</w:t>
      </w:r>
    </w:p>
  </w:footnote>
  <w:footnote w:id="29">
    <w:p w:rsidR="00D22900" w:rsidRPr="009B40EC" w:rsidRDefault="00635A00">
      <w:pPr>
        <w:pStyle w:val="Textonotapie"/>
      </w:pPr>
      <w:r w:rsidRPr="009B40EC">
        <w:rPr>
          <w:rStyle w:val="Refdenotaalpie"/>
        </w:rPr>
        <w:footnoteRef/>
      </w:r>
      <w:r w:rsidRPr="009B40EC">
        <w:t>https://www.corteconstitucional.gov.co/secretaria/actuacion.php?accion=mostrar&amp;palabra=D0015631%20%20%20%20&amp;proceso=1&amp;etapa=0.</w:t>
      </w:r>
    </w:p>
  </w:footnote>
  <w:footnote w:id="30">
    <w:p w:rsidR="00D22900" w:rsidRPr="009B40EC" w:rsidRDefault="00635A00">
      <w:pPr>
        <w:pStyle w:val="Textonotapie"/>
      </w:pPr>
      <w:r w:rsidRPr="009B40EC">
        <w:rPr>
          <w:rStyle w:val="Refdenotaalpie"/>
        </w:rPr>
        <w:footnoteRef/>
      </w:r>
      <w:r w:rsidRPr="009B40EC">
        <w:t xml:space="preserve"> Informe de conciliació</w:t>
      </w:r>
      <w:r w:rsidRPr="009B40EC">
        <w:t>n al Proyecto de Ley No. 338/2023 Cámara y 274/2023 Senado, publicado en la Gaceta de Congreso 427 de 2023.</w:t>
      </w:r>
    </w:p>
  </w:footnote>
  <w:footnote w:id="31">
    <w:p w:rsidR="00D22900" w:rsidRPr="009B40EC" w:rsidRDefault="00635A00">
      <w:pPr>
        <w:pStyle w:val="Textonotapie"/>
      </w:pPr>
      <w:r w:rsidRPr="009B40EC">
        <w:rPr>
          <w:rStyle w:val="Refdenotaalpie"/>
        </w:rPr>
        <w:footnoteRef/>
      </w:r>
      <w:r w:rsidRPr="009B40EC">
        <w:t>https://www.corteconstitucional.gov.co/secretaria/consultac/proceso.php?proceso=1&amp;campo=rad_codigo&amp;date3=1992-01-01&amp;date4=2024-07-02&amp;todos=%25&amp;pala</w:t>
      </w:r>
      <w:r w:rsidRPr="009B40EC">
        <w:t>bra=15461</w:t>
      </w:r>
    </w:p>
  </w:footnote>
  <w:footnote w:id="32">
    <w:p w:rsidR="00D22900" w:rsidRPr="009B40EC" w:rsidRDefault="00635A00">
      <w:pPr>
        <w:pStyle w:val="Textonotapie"/>
      </w:pPr>
      <w:r w:rsidRPr="009B40EC">
        <w:rPr>
          <w:rStyle w:val="Refdenotaalpie"/>
        </w:rPr>
        <w:footnoteRef/>
      </w:r>
      <w:r w:rsidRPr="009B40EC">
        <w:t xml:space="preserve"> Sentencia C-1052 de 2001.</w:t>
      </w:r>
    </w:p>
  </w:footnote>
  <w:footnote w:id="33">
    <w:p w:rsidR="00D22900" w:rsidRPr="009B40EC" w:rsidRDefault="00635A00" w:rsidP="00B92C96">
      <w:pPr>
        <w:pStyle w:val="Textonotapie"/>
      </w:pPr>
      <w:r w:rsidRPr="009B40EC">
        <w:rPr>
          <w:rStyle w:val="Refdenotaalpie"/>
        </w:rPr>
        <w:footnoteRef/>
      </w:r>
      <w:r w:rsidRPr="009B40EC">
        <w:t xml:space="preserve"> El artículo 6 del Decreto Ley 2067 de 1991 establece que si la demanda no cumple alguno de los requisitos señalados en el artículo 2 </w:t>
      </w:r>
      <w:r w:rsidRPr="009B40EC">
        <w:rPr>
          <w:i/>
          <w:iCs/>
        </w:rPr>
        <w:t>ibidem</w:t>
      </w:r>
      <w:r w:rsidRPr="009B40EC">
        <w:t>, el magistrado sustanciador no podrá admitirla sino que le otorgará al accio</w:t>
      </w:r>
      <w:r w:rsidRPr="009B40EC">
        <w:t>nante tres días para que la corrija, so pena de rechazo.</w:t>
      </w:r>
    </w:p>
  </w:footnote>
  <w:footnote w:id="34">
    <w:p w:rsidR="00D22900" w:rsidRPr="009B40EC" w:rsidRDefault="00635A00" w:rsidP="00B92C96">
      <w:pPr>
        <w:pStyle w:val="Textonotapie"/>
      </w:pPr>
      <w:r w:rsidRPr="009B40EC">
        <w:rPr>
          <w:rStyle w:val="Refdenotaalpie"/>
        </w:rPr>
        <w:footnoteRef/>
      </w:r>
      <w:r w:rsidRPr="009B40EC">
        <w:t xml:space="preserve"> Sentencias C-623 de 2008, C-894 de 2009, C-281 de 2013, C-240 de 2014, C-542 de 2017, C-220 de 2019, C-035 de 2020, C-050 de 2021, C-076 de 2021, C-189 de 2021, C-056 de 2022, C-260 de 2022, C-366 </w:t>
      </w:r>
      <w:r w:rsidRPr="009B40EC">
        <w:t>de 2022, C-262 de 2023, entre otras.</w:t>
      </w:r>
    </w:p>
  </w:footnote>
  <w:footnote w:id="35">
    <w:p w:rsidR="00D22900" w:rsidRPr="009B40EC" w:rsidRDefault="00635A00">
      <w:pPr>
        <w:pStyle w:val="Textonotapie"/>
      </w:pPr>
      <w:r w:rsidRPr="009B40EC">
        <w:rPr>
          <w:rStyle w:val="Refdenotaalpie"/>
        </w:rPr>
        <w:footnoteRef/>
      </w:r>
      <w:r w:rsidRPr="009B40EC">
        <w:t xml:space="preserve"> Por ejemplo, sentencias C-1031 de 2002, C-1042 de 2003, C-1177 de 2004, C-798 de 2005, C-507 de 2006, C-401 de 2007, C-673 de 2008, C-713 de 2009, C-840 de 2010, C-807 de 2011, C-909 de 2012, C-330 de 2013, C-418 de 2</w:t>
      </w:r>
      <w:r w:rsidRPr="009B40EC">
        <w:t>014, C-721 de 2015, C-330 de 2016, C-189 de 2017, C-134 de 2018, C-165 de 2019, C-094 de 2020, C-050 de 2021, C-018 de 2022, C-322 de 2023, C-097 de 2024, entre otras.</w:t>
      </w:r>
    </w:p>
  </w:footnote>
  <w:footnote w:id="36">
    <w:p w:rsidR="00D22900" w:rsidRPr="009B40EC" w:rsidRDefault="00635A00">
      <w:pPr>
        <w:pStyle w:val="Textonotapie"/>
      </w:pPr>
      <w:r w:rsidRPr="009B40EC">
        <w:rPr>
          <w:rStyle w:val="Refdenotaalpie"/>
        </w:rPr>
        <w:footnoteRef/>
      </w:r>
      <w:r w:rsidRPr="009B40EC">
        <w:t xml:space="preserve"> Reiterada en sentencia C-262 de 2023.</w:t>
      </w:r>
    </w:p>
  </w:footnote>
  <w:footnote w:id="37">
    <w:p w:rsidR="00D22900" w:rsidRPr="009B40EC" w:rsidRDefault="00635A00" w:rsidP="00DA0C5F">
      <w:pPr>
        <w:pStyle w:val="Textonotapie"/>
        <w:jc w:val="left"/>
      </w:pPr>
      <w:r w:rsidRPr="009B40EC">
        <w:rPr>
          <w:rStyle w:val="Refdenotaalpie"/>
        </w:rPr>
        <w:footnoteRef/>
      </w:r>
      <w:r w:rsidRPr="009B40EC">
        <w:t xml:space="preserve"> En: https://www.corteconstitucional.gov.co/sec</w:t>
      </w:r>
      <w:r w:rsidRPr="009B40EC">
        <w:t>retaria/archivo.php?id=70368, pág. 15.</w:t>
      </w:r>
    </w:p>
  </w:footnote>
  <w:footnote w:id="38">
    <w:p w:rsidR="00D22900" w:rsidRPr="009B40EC" w:rsidRDefault="00635A00" w:rsidP="0024776D">
      <w:pPr>
        <w:pStyle w:val="Textonotapie"/>
      </w:pPr>
      <w:r w:rsidRPr="009B40EC">
        <w:rPr>
          <w:rStyle w:val="Refdenotaalpie"/>
        </w:rPr>
        <w:footnoteRef/>
      </w:r>
      <w:r w:rsidRPr="009B40EC">
        <w:t xml:space="preserve"> En sentencia C-213 de 2017, reiterada en sentencia C-276 de 2021, la Corte señaló que para poder emprender el juicio de constitucionalidad de una norma acusada de desconocer el principio de progresividad y no regres</w:t>
      </w:r>
      <w:r w:rsidRPr="009B40EC">
        <w:t>ividad, “el demandante debe aportar elementos de juicio orientados a demostrar (i) que la modificación normativa, comprendida integralmente, constituye un deterioro en la protección del derecho identificado y (ii) que ese deterioro no tiene una justificaci</w:t>
      </w:r>
      <w:r w:rsidRPr="009B40EC">
        <w:t>ón válida y suficiente”.</w:t>
      </w:r>
    </w:p>
  </w:footnote>
  <w:footnote w:id="39">
    <w:p w:rsidR="00D22900" w:rsidRPr="009B40EC" w:rsidRDefault="00635A00">
      <w:pPr>
        <w:pStyle w:val="Textonotapie"/>
      </w:pPr>
      <w:r w:rsidRPr="009B40EC">
        <w:rPr>
          <w:rStyle w:val="Refdenotaalpie"/>
        </w:rPr>
        <w:footnoteRef/>
      </w:r>
      <w:r w:rsidRPr="009B40EC">
        <w:t xml:space="preserve"> Como se aprecia en la Sección </w:t>
      </w:r>
      <w:r w:rsidRPr="009B40EC">
        <w:fldChar w:fldCharType="begin"/>
      </w:r>
      <w:r w:rsidRPr="009B40EC">
        <w:instrText xml:space="preserve"> REF _Ref170926542 \r \h  \* MERGEFORMAT </w:instrText>
      </w:r>
      <w:r w:rsidRPr="009B40EC">
        <w:fldChar w:fldCharType="separate"/>
      </w:r>
      <w:r w:rsidRPr="009B40EC">
        <w:t>I</w:t>
      </w:r>
      <w:r w:rsidRPr="009B40EC">
        <w:fldChar w:fldCharType="end"/>
      </w:r>
      <w:r w:rsidRPr="009B40EC">
        <w:t>-</w:t>
      </w:r>
      <w:r w:rsidRPr="009B40EC">
        <w:fldChar w:fldCharType="begin"/>
      </w:r>
      <w:r w:rsidRPr="009B40EC">
        <w:instrText xml:space="preserve"> REF _Ref170926569 \r \h  \* MERGEFORMAT </w:instrText>
      </w:r>
      <w:r w:rsidRPr="009B40EC">
        <w:fldChar w:fldCharType="separate"/>
      </w:r>
      <w:r w:rsidRPr="009B40EC">
        <w:t>D</w:t>
      </w:r>
      <w:r w:rsidRPr="009B40EC">
        <w:fldChar w:fldCharType="end"/>
      </w:r>
      <w:r w:rsidRPr="009B40EC">
        <w:t xml:space="preserve"> de esta providencia, algunos de los intervinientes acusaron los preceptos demandados de vulnerar principios y normas constitucionales distintos a los invocados por los accionantes. Así, el ciudadano Harold Eduardo Sua Montaña expuso que se vulneraba tambi</w:t>
      </w:r>
      <w:r w:rsidRPr="009B40EC">
        <w:t>én el principio de unidad de materia y el carácter temporal del PND, y el Instituto de Ciencia Política Hernán Echavarría Olózaga alegó la violación al sistema de contrapesos, al principio de seguridad jurídica y al derecho a la propiedad privada. Por otra</w:t>
      </w:r>
      <w:r w:rsidRPr="009B40EC">
        <w:t xml:space="preserve"> parte, el ciudadano Manuel Enrique Cifuentes Muñoz planteó el desconocimiento del artículo 229 superior y del Acto Legislativo 3 de 2023, mientras que la Asociación Nacional de Empresarios de Colombia y la Cámara Colombiana de la Construcción afirmaron qu</w:t>
      </w:r>
      <w:r w:rsidRPr="009B40EC">
        <w:t xml:space="preserve">e la posibilidad de que la ANT continuara la ejecución de actos administrativos suspendidos provisionalmente por autoridades judiciales comportaba una vulneración del derecho fundamental al debido proceso.  </w:t>
      </w:r>
    </w:p>
  </w:footnote>
  <w:footnote w:id="40">
    <w:p w:rsidR="00D22900" w:rsidRPr="009B40EC" w:rsidRDefault="00635A00" w:rsidP="00A5783A">
      <w:pPr>
        <w:pStyle w:val="Textonotapie"/>
      </w:pPr>
      <w:r w:rsidRPr="009B40EC">
        <w:rPr>
          <w:rStyle w:val="Refdenotaalpie"/>
        </w:rPr>
        <w:footnoteRef/>
      </w:r>
      <w:r w:rsidRPr="009B40EC">
        <w:t xml:space="preserve"> Sentencias C-304 de 2021 y C-111 de 2022, reit</w:t>
      </w:r>
      <w:r w:rsidRPr="009B40EC">
        <w:t>eradas en sentencia C-262 de 2023.</w:t>
      </w:r>
    </w:p>
  </w:footnote>
  <w:footnote w:id="41">
    <w:p w:rsidR="00D22900" w:rsidRPr="009B40EC" w:rsidRDefault="00635A00" w:rsidP="00A117DB">
      <w:pPr>
        <w:pStyle w:val="Textonotapie"/>
      </w:pPr>
      <w:r w:rsidRPr="009B40EC">
        <w:rPr>
          <w:rStyle w:val="Refdenotaalpie"/>
        </w:rPr>
        <w:footnoteRef/>
      </w:r>
      <w:r w:rsidRPr="009B40EC">
        <w:t xml:space="preserve"> Sentencia C-284 de 2014, reiterada en sentencias C-091 de 2022, C-111 de 2022, C-262 de 2023 y C-019 de 2024.</w:t>
      </w:r>
    </w:p>
  </w:footnote>
  <w:footnote w:id="42">
    <w:p w:rsidR="00D22900" w:rsidRPr="009B40EC" w:rsidRDefault="00635A00">
      <w:pPr>
        <w:pStyle w:val="Textonotapie"/>
      </w:pPr>
      <w:r w:rsidRPr="009B40EC">
        <w:rPr>
          <w:rStyle w:val="Refdenotaalpie"/>
        </w:rPr>
        <w:footnoteRef/>
      </w:r>
      <w:r w:rsidRPr="009B40EC">
        <w:t xml:space="preserve"> Así ha procedido la Corte en otros pronunciamientos. Al respecto, ver, por ejemplo, sentencias C-665 de 200</w:t>
      </w:r>
      <w:r w:rsidRPr="009B40EC">
        <w:t>6, C-507 de 2008, C-097 de 2019, C-133 de 2021 y C-075 de 2022.</w:t>
      </w:r>
    </w:p>
  </w:footnote>
  <w:footnote w:id="43">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Constitución Política, artículos 339 a 343.</w:t>
      </w:r>
    </w:p>
  </w:footnote>
  <w:footnote w:id="44">
    <w:p w:rsidR="00382152" w:rsidRPr="009B40EC" w:rsidRDefault="00635A00">
      <w:pPr>
        <w:pStyle w:val="Textonotapie"/>
      </w:pPr>
      <w:r w:rsidRPr="009B40EC">
        <w:rPr>
          <w:rStyle w:val="Refdenotaalpie"/>
        </w:rPr>
        <w:footnoteRef/>
      </w:r>
      <w:r w:rsidRPr="009B40EC">
        <w:t xml:space="preserve"> Con fundamento en los elementos constitucionales sobre Plan Nacional de Desarrollo e inversiones públicas, la sentencia C-063 de 2021 precisó qu</w:t>
      </w:r>
      <w:r w:rsidRPr="009B40EC">
        <w:t xml:space="preserve">e se pueden identificar tres partes predefinidas. La primera, la parte general. La segunda, el plan nacional de inversiones. La tercera, los mecanismos instrumentales idóneos o apropiados para su armonización y para la sujeción a ellos de los presupuestos </w:t>
      </w:r>
      <w:r w:rsidRPr="009B40EC">
        <w:t>oficiales, con la especificación de las medidas necesarias para impulsar el cumplimiento o ejecución de los mismos. Adicionalmente, sobre el tipo de medidas que son propias de  Plan Nacional de Desarrollo, en los componentes descritos, la sentenci</w:t>
      </w:r>
      <w:r w:rsidRPr="009B40EC">
        <w:t xml:space="preserve"> en menci</w:t>
      </w:r>
      <w:r w:rsidRPr="009B40EC">
        <w:t>ón agregó</w:t>
      </w:r>
      <w:r w:rsidRPr="009B40EC">
        <w:t xml:space="preserve"> que: “el contenido del Plan Nacional de Desarrollo, el cual incluye el Plan Nacional de Inversiones que debe ser expedido en una ley especial que además debe contener la especificación de las medidas y demás mecanismos instrumentales idóneos y ne</w:t>
      </w:r>
      <w:r w:rsidRPr="009B40EC">
        <w:t>cesarias para su ejecución o cumplimiento, está prefigurado o predefinido por la Constitución Política y por la Ley Orgánica de Planeación, por lo que no puede contener cualquier otro tipo de temas, materias o medidas que por mandato constitucional deben e</w:t>
      </w:r>
      <w:r w:rsidRPr="009B40EC">
        <w:t>star contenidos en otra clase de instrumentos normativos tales como leyes estatutarias, orgánicas, de facultades extraordinarias, de autorizaciones, marco o generales, aprobatorias de tratados públicos, las de presupuesto y las ordinarias, ni convertirse e</w:t>
      </w:r>
      <w:r w:rsidRPr="009B40EC">
        <w:t>n un vehículo de escape para resolver cualquier conflicto o déficit normativo identificado en el ordenamiento jurídico por el Gobierno o el Congreso en el inicio de su período constitucional.”</w:t>
      </w:r>
    </w:p>
  </w:footnote>
  <w:footnote w:id="45">
    <w:p w:rsidR="00382152" w:rsidRPr="009B40EC" w:rsidRDefault="00635A00" w:rsidP="00382152">
      <w:pPr>
        <w:pStyle w:val="Textonotapie"/>
      </w:pPr>
      <w:r w:rsidRPr="009B40EC">
        <w:rPr>
          <w:rStyle w:val="Refdenotaalpie"/>
        </w:rPr>
        <w:footnoteRef/>
      </w:r>
      <w:r w:rsidRPr="009B40EC">
        <w:t xml:space="preserve"> El artículo 8 de la Ley 152 de 1994 identifica las autoridade</w:t>
      </w:r>
      <w:r w:rsidRPr="009B40EC">
        <w:t>s nacionales de planeación.</w:t>
      </w:r>
    </w:p>
  </w:footnote>
  <w:footnote w:id="46">
    <w:p w:rsidR="00382152" w:rsidRPr="009B40EC" w:rsidRDefault="00635A00" w:rsidP="00382152">
      <w:pPr>
        <w:pStyle w:val="Textonotapie"/>
      </w:pPr>
      <w:r w:rsidRPr="009B40EC">
        <w:rPr>
          <w:rStyle w:val="Refdenotaalpie"/>
        </w:rPr>
        <w:footnoteRef/>
      </w:r>
      <w:r w:rsidRPr="009B40EC">
        <w:t xml:space="preserve"> Artículo 341 de la Constitución.</w:t>
      </w:r>
    </w:p>
  </w:footnote>
  <w:footnote w:id="47">
    <w:p w:rsidR="00382152" w:rsidRPr="009B40EC" w:rsidRDefault="00635A00" w:rsidP="00382152">
      <w:pPr>
        <w:pStyle w:val="Textonotapie"/>
      </w:pPr>
      <w:r w:rsidRPr="009B40EC">
        <w:rPr>
          <w:rStyle w:val="Refdenotaalpie"/>
        </w:rPr>
        <w:footnoteRef/>
      </w:r>
      <w:r w:rsidRPr="009B40EC">
        <w:t xml:space="preserve"> Artículo 341 de la Constitución.</w:t>
      </w:r>
    </w:p>
  </w:footnote>
  <w:footnote w:id="48">
    <w:p w:rsidR="00D22900" w:rsidRPr="009B40EC" w:rsidRDefault="00635A00">
      <w:pPr>
        <w:pStyle w:val="Textonotapie"/>
      </w:pPr>
      <w:r w:rsidRPr="009B40EC">
        <w:rPr>
          <w:rStyle w:val="Refdenotaalpie"/>
        </w:rPr>
        <w:footnoteRef/>
      </w:r>
      <w:r w:rsidRPr="009B40EC">
        <w:t xml:space="preserve"> La presentación de las reglas descritas en ese orden se efectuó recientemente en la sentencia C-537 de 2023.</w:t>
      </w:r>
    </w:p>
  </w:footnote>
  <w:footnote w:id="49">
    <w:p w:rsidR="00D22900" w:rsidRPr="009B40EC" w:rsidRDefault="00635A00">
      <w:pPr>
        <w:pStyle w:val="Textonotapie"/>
      </w:pPr>
      <w:r w:rsidRPr="009B40EC">
        <w:rPr>
          <w:rStyle w:val="Refdenotaalpie"/>
        </w:rPr>
        <w:footnoteRef/>
      </w:r>
      <w:r w:rsidRPr="009B40EC">
        <w:t xml:space="preserve"> Artículo 341 de la Constitución.</w:t>
      </w:r>
    </w:p>
  </w:footnote>
  <w:footnote w:id="50">
    <w:p w:rsidR="00D22900" w:rsidRPr="009B40EC" w:rsidRDefault="00635A00">
      <w:pPr>
        <w:pStyle w:val="Textonotapie"/>
      </w:pPr>
      <w:r w:rsidRPr="009B40EC">
        <w:rPr>
          <w:rStyle w:val="Refdenotaalpie"/>
        </w:rPr>
        <w:footnoteRef/>
      </w:r>
      <w:r w:rsidRPr="009B40EC">
        <w:t xml:space="preserve"> Artículo 341 de la Constitución. Adicionalmente, el artículo 20 de la Ley 152 de 1994 precisa que: “El proyecto del Plan Nacional de Desarrollo será presentado ante el Congreso de la República y se le dará primer debate en las comisiones de asuntos económ</w:t>
      </w:r>
      <w:r w:rsidRPr="009B40EC">
        <w:t>icos de ambas Cámaras en sesión conjunta, en un término improrrogable de cuarenta y cinco días.”</w:t>
      </w:r>
    </w:p>
  </w:footnote>
  <w:footnote w:id="51">
    <w:p w:rsidR="00D22900" w:rsidRPr="009B40EC" w:rsidRDefault="00635A00">
      <w:pPr>
        <w:pStyle w:val="Textonotapie"/>
      </w:pPr>
      <w:r w:rsidRPr="009B40EC">
        <w:rPr>
          <w:rStyle w:val="Refdenotaalpie"/>
        </w:rPr>
        <w:footnoteRef/>
      </w:r>
      <w:r w:rsidRPr="009B40EC">
        <w:t xml:space="preserve"> </w:t>
      </w:r>
      <w:r w:rsidRPr="009B40EC">
        <w:rPr>
          <w:color w:val="000000" w:themeColor="text1"/>
        </w:rPr>
        <w:t>Artículo 341 de la Constitución. El artículo 21 de la Ley 152 de 1994 establece que: “</w:t>
      </w:r>
      <w:r w:rsidRPr="009B40EC">
        <w:rPr>
          <w:rStyle w:val="nfasis"/>
          <w:i w:val="0"/>
          <w:color w:val="000000" w:themeColor="text1"/>
          <w:shd w:val="clear" w:color="auto" w:fill="FFFFFF"/>
        </w:rPr>
        <w:t>[</w:t>
      </w:r>
      <w:r w:rsidRPr="009B40EC">
        <w:rPr>
          <w:color w:val="000000" w:themeColor="text1"/>
          <w:shd w:val="clear" w:color="auto" w:fill="FFFFFF"/>
        </w:rPr>
        <w:t>C]on base en el informe rendido en el primer debate, cada una de las C</w:t>
      </w:r>
      <w:r w:rsidRPr="009B40EC">
        <w:rPr>
          <w:color w:val="000000" w:themeColor="text1"/>
          <w:shd w:val="clear" w:color="auto" w:fill="FFFFFF"/>
        </w:rPr>
        <w:t>ámaras en sesión plenaria discutirá y decidirá sobre el proyecto presentado en un término improrrogable de cuarenta y cinco días.”</w:t>
      </w:r>
    </w:p>
  </w:footnote>
  <w:footnote w:id="52">
    <w:p w:rsidR="00D22900" w:rsidRPr="009B40EC" w:rsidRDefault="00635A00">
      <w:pPr>
        <w:pStyle w:val="Textonotapie"/>
      </w:pPr>
      <w:r w:rsidRPr="009B40EC">
        <w:rPr>
          <w:rStyle w:val="Refdenotaalpie"/>
        </w:rPr>
        <w:footnoteRef/>
      </w:r>
      <w:r w:rsidRPr="009B40EC">
        <w:t xml:space="preserve"> “Por la cual se establece la Ley Orgánica del Plan de Desarrollo”.</w:t>
      </w:r>
    </w:p>
  </w:footnote>
  <w:footnote w:id="53">
    <w:p w:rsidR="00D22900" w:rsidRPr="009B40EC" w:rsidRDefault="00635A00">
      <w:pPr>
        <w:pStyle w:val="Textonotapie"/>
        <w:rPr>
          <w:color w:val="auto"/>
        </w:rPr>
      </w:pPr>
      <w:r w:rsidRPr="009B40EC">
        <w:rPr>
          <w:rStyle w:val="Refdenotaalpie"/>
          <w:color w:val="auto"/>
        </w:rPr>
        <w:footnoteRef/>
      </w:r>
      <w:r w:rsidRPr="009B40EC">
        <w:rPr>
          <w:color w:val="auto"/>
        </w:rPr>
        <w:t xml:space="preserve"> </w:t>
      </w:r>
      <w:r w:rsidRPr="009B40EC">
        <w:rPr>
          <w:color w:val="auto"/>
          <w:lang w:val="es-CO" w:eastAsia="es-CO"/>
        </w:rPr>
        <w:t>El PND es un documento en el que el presidente de la República entrante y su equipo de gobierno definen los objetivos socioeconómicos que se proponen alcanzar durante su mandato, así como las acciones y estrategias que pretenden llevar a cabo para tal efec</w:t>
      </w:r>
      <w:r w:rsidRPr="009B40EC">
        <w:rPr>
          <w:color w:val="auto"/>
          <w:lang w:val="es-CO" w:eastAsia="es-CO"/>
        </w:rPr>
        <w:t xml:space="preserve">to. Al respecto, ver </w:t>
      </w:r>
      <w:r w:rsidRPr="009B40EC">
        <w:rPr>
          <w:color w:val="auto"/>
        </w:rPr>
        <w:t>sentencias C-032 de 1996, C-394 de 2012, C-105 de 2016, C-229 de 2019, C-415 de 2020, C-427 de 2020, entre otras.</w:t>
      </w:r>
    </w:p>
  </w:footnote>
  <w:footnote w:id="54">
    <w:p w:rsidR="00D22900" w:rsidRPr="009B40EC" w:rsidRDefault="00635A00">
      <w:pPr>
        <w:pStyle w:val="Textonotapie"/>
      </w:pPr>
      <w:r w:rsidRPr="009B40EC">
        <w:rPr>
          <w:rStyle w:val="Refdenotaalpie"/>
        </w:rPr>
        <w:footnoteRef/>
      </w:r>
      <w:r w:rsidRPr="009B40EC">
        <w:t xml:space="preserve"> Sentencia C-539 de 2008, reiterada en sentencias C-620 de 2016 y C-427 de 2020.</w:t>
      </w:r>
    </w:p>
  </w:footnote>
  <w:footnote w:id="55">
    <w:p w:rsidR="00D22900" w:rsidRPr="009B40EC" w:rsidRDefault="00635A00">
      <w:pPr>
        <w:pStyle w:val="Textonotapie"/>
      </w:pPr>
      <w:r w:rsidRPr="009B40EC">
        <w:rPr>
          <w:rStyle w:val="Refdenotaalpie"/>
        </w:rPr>
        <w:footnoteRef/>
      </w:r>
      <w:r w:rsidRPr="009B40EC">
        <w:t xml:space="preserve"> Según el artículo 339 de la Constituc</w:t>
      </w:r>
      <w:r w:rsidRPr="009B40EC">
        <w:t>ión, la parte general del PND debe contener: (i) los propósitos y objetivos nacionales de largo plazo; (ii) las metas y prioridades de la acción estatal a mediano plazo; y (iii) las estrategias y orientaciones generales de la política económica, social y a</w:t>
      </w:r>
      <w:r w:rsidRPr="009B40EC">
        <w:t>mbiental a ser adoptadas por el Gobierno.</w:t>
      </w:r>
    </w:p>
  </w:footnote>
  <w:footnote w:id="56">
    <w:p w:rsidR="00D22900" w:rsidRPr="009B40EC" w:rsidRDefault="00635A00">
      <w:pPr>
        <w:pStyle w:val="Textonotapie"/>
      </w:pPr>
      <w:r w:rsidRPr="009B40EC">
        <w:rPr>
          <w:rStyle w:val="Refdenotaalpie"/>
        </w:rPr>
        <w:footnoteRef/>
      </w:r>
      <w:r w:rsidRPr="009B40EC">
        <w:t xml:space="preserve"> El artículo 339 de la Carta establece que el acápite sobre el plan de inversiones públicas del PND debe especificar los presupuestos plurianuales de los principales programas y proyectos de inversión pública naci</w:t>
      </w:r>
      <w:r w:rsidRPr="009B40EC">
        <w:t>onal, así como los recursos financieros requeridos para ejecutarlos con sostenibilidad fiscal.</w:t>
      </w:r>
    </w:p>
  </w:footnote>
  <w:footnote w:id="57">
    <w:p w:rsidR="00D22900" w:rsidRPr="009B40EC" w:rsidRDefault="00635A00">
      <w:pPr>
        <w:pStyle w:val="Textonotapie"/>
        <w:rPr>
          <w:lang w:val="es-CO"/>
        </w:rPr>
      </w:pPr>
      <w:r w:rsidRPr="009B40EC">
        <w:rPr>
          <w:rStyle w:val="Refdenotaalpie"/>
        </w:rPr>
        <w:footnoteRef/>
      </w:r>
      <w:r w:rsidRPr="009B40EC">
        <w:t xml:space="preserve"> Ley 2294, artículo 1°.</w:t>
      </w:r>
    </w:p>
  </w:footnote>
  <w:footnote w:id="58">
    <w:p w:rsidR="00D22900" w:rsidRPr="009B40EC" w:rsidRDefault="00635A00">
      <w:pPr>
        <w:pStyle w:val="Textonotapie"/>
        <w:rPr>
          <w:lang w:val="es-CO"/>
        </w:rPr>
      </w:pPr>
      <w:r w:rsidRPr="009B40EC">
        <w:rPr>
          <w:rStyle w:val="Refdenotaalpie"/>
        </w:rPr>
        <w:footnoteRef/>
      </w:r>
      <w:r w:rsidRPr="009B40EC">
        <w:t xml:space="preserve"> </w:t>
      </w:r>
      <w:r w:rsidRPr="009B40EC">
        <w:rPr>
          <w:i/>
          <w:iCs/>
          <w:lang w:val="es-CO"/>
        </w:rPr>
        <w:t>Ibidem</w:t>
      </w:r>
      <w:r w:rsidRPr="009B40EC">
        <w:rPr>
          <w:lang w:val="es-CO"/>
        </w:rPr>
        <w:t>, artículo 3°.</w:t>
      </w:r>
    </w:p>
  </w:footnote>
  <w:footnote w:id="59">
    <w:p w:rsidR="00D22900" w:rsidRPr="009B40EC" w:rsidRDefault="00635A00">
      <w:pPr>
        <w:pStyle w:val="Textonotapie"/>
      </w:pPr>
      <w:r w:rsidRPr="009B40EC">
        <w:rPr>
          <w:rStyle w:val="Refdenotaalpie"/>
        </w:rPr>
        <w:footnoteRef/>
      </w:r>
      <w:r w:rsidRPr="009B40EC">
        <w:t xml:space="preserve"> </w:t>
      </w:r>
      <w:r w:rsidRPr="009B40EC">
        <w:rPr>
          <w:i/>
          <w:iCs/>
        </w:rPr>
        <w:t>Ibidem</w:t>
      </w:r>
      <w:r w:rsidRPr="009B40EC">
        <w:t>, artículo. 4°.</w:t>
      </w:r>
    </w:p>
  </w:footnote>
  <w:footnote w:id="60">
    <w:p w:rsidR="00D22900" w:rsidRPr="009B40EC" w:rsidRDefault="00635A00">
      <w:pPr>
        <w:pStyle w:val="Textonotapie"/>
      </w:pPr>
      <w:r w:rsidRPr="009B40EC">
        <w:rPr>
          <w:rStyle w:val="Refdenotaalpie"/>
        </w:rPr>
        <w:footnoteRef/>
      </w:r>
      <w:r w:rsidRPr="009B40EC">
        <w:t xml:space="preserve"> Ley 2294, artículo 2°.</w:t>
      </w:r>
    </w:p>
  </w:footnote>
  <w:footnote w:id="61">
    <w:p w:rsidR="00D22900" w:rsidRPr="009B40EC" w:rsidRDefault="00635A00">
      <w:pPr>
        <w:pStyle w:val="Textonotapie"/>
      </w:pPr>
      <w:r w:rsidRPr="009B40EC">
        <w:rPr>
          <w:rStyle w:val="Refdenotaalpie"/>
        </w:rPr>
        <w:footnoteRef/>
      </w:r>
      <w:r w:rsidRPr="009B40EC">
        <w:t xml:space="preserve"> El Acto Legislativo 1 de 2016 confirió al presidente de la Rep</w:t>
      </w:r>
      <w:r w:rsidRPr="009B40EC">
        <w:t>ública facultades para expedir decretos con fuerza de ley que facilitaran y aseguraran la implementación y desarrollo normativo del Acuerdo Final para la Terminación del Conflicto y la Construcción de una Paz Estable y Duradera (en adelante AFP). En ejerci</w:t>
      </w:r>
      <w:r w:rsidRPr="009B40EC">
        <w:t>cio de esta facultad, el presidente expidió el Decreto Ley 902 de 2017, “[p]or el cual se adoptan medidas para facilitar la implementación de la Reforma Rural Integral contemplada en el Acuerdo Final en materia de tierras, específicamente, el procedimiento</w:t>
      </w:r>
      <w:r w:rsidRPr="009B40EC">
        <w:t xml:space="preserve"> para el acceso y formalización y el Fondo de Tierras”.</w:t>
      </w:r>
    </w:p>
  </w:footnote>
  <w:footnote w:id="62">
    <w:p w:rsidR="00D22900" w:rsidRPr="009B40EC" w:rsidRDefault="00635A00">
      <w:pPr>
        <w:pStyle w:val="Textonotapie"/>
        <w:rPr>
          <w:lang w:val="es-CO"/>
        </w:rPr>
      </w:pPr>
      <w:r w:rsidRPr="009B40EC">
        <w:rPr>
          <w:rStyle w:val="Refdenotaalpie"/>
        </w:rPr>
        <w:footnoteRef/>
      </w:r>
      <w:r w:rsidRPr="009B40EC">
        <w:t xml:space="preserve"> Sentencia C-073 de 2018.</w:t>
      </w:r>
    </w:p>
  </w:footnote>
  <w:footnote w:id="63">
    <w:p w:rsidR="00D22900" w:rsidRPr="009B40EC" w:rsidRDefault="00635A00">
      <w:pPr>
        <w:pStyle w:val="Textonotapie"/>
        <w:rPr>
          <w:lang w:val="es-CO"/>
        </w:rPr>
      </w:pPr>
      <w:r w:rsidRPr="009B40EC">
        <w:rPr>
          <w:rStyle w:val="Refdenotaalpie"/>
        </w:rPr>
        <w:footnoteRef/>
      </w:r>
      <w:r w:rsidRPr="009B40EC">
        <w:t xml:space="preserve"> Aparte de las materias señaladas en sus numerales 4, 5 y 7, el artículo 58 del Decreto Ley 902 señala que a través del procedimiento único se tramitan los siguientes asunt</w:t>
      </w:r>
      <w:r w:rsidRPr="009B40EC">
        <w:t>os: (i) asignación y reconocimiento de derechos de propiedad sobre predios administrados o de la Agencia Nacional de Tierras -numeral 1°-; (ii) asignación de recursos subsidiados o mediante crédito para la adquisición de predios rurales o como medida compe</w:t>
      </w:r>
      <w:r w:rsidRPr="009B40EC">
        <w:t>nsatoria -numeral 2°-; (iii) formalización de predios privados -numeral 3°-; (iv) expropiación judicial de predios rurales de que trata la Ley 160 de 1994 -numeral 6-°; (v) acción de resolución de controversias sobre la adjudicación de que trata el present</w:t>
      </w:r>
      <w:r w:rsidRPr="009B40EC">
        <w:t xml:space="preserve">e decreto ley -numeral 8°-; (vi) acción de nulidad agraria de que trata el Decreto Ley 902-numeral 9°-; y (vii) los asuntos que fueren objeto de acumulación procesal conforme al artículo 56 del Decreto Ley 902 [procesos administrativos o judiciales en los </w:t>
      </w:r>
      <w:r w:rsidRPr="009B40EC">
        <w:t>que se discuta la propiedad, posesión, uso y/o goce sobre predios rurales] -numeral 10-.</w:t>
      </w:r>
    </w:p>
  </w:footnote>
  <w:footnote w:id="64">
    <w:p w:rsidR="00D22900" w:rsidRPr="009B40EC" w:rsidRDefault="00635A00">
      <w:pPr>
        <w:pStyle w:val="Textonotapie"/>
      </w:pPr>
      <w:r w:rsidRPr="009B40EC">
        <w:rPr>
          <w:rStyle w:val="Refdenotaalpie"/>
        </w:rPr>
        <w:footnoteRef/>
      </w:r>
      <w:r w:rsidRPr="009B40EC">
        <w:t xml:space="preserve"> En sentencia C-073 de 2018, la Corte señaló que la focalización de tierras es uno de los pilares de la Reforma Rural Integral, que consiste en cambiar un modelo de d</w:t>
      </w:r>
      <w:r w:rsidRPr="009B40EC">
        <w:t xml:space="preserve">emanda de tierra por un sistema de oferta en el que el Estado no solo identifica predios baldíos y fiscales sino que, con participación activa de la comunidad, interviene de forma integral para adelantar proyectos sostenibles que generen desarrollo. “[N]o </w:t>
      </w:r>
      <w:r w:rsidRPr="009B40EC">
        <w:t xml:space="preserve">se trata simplemente de adjudicar tierras, sino de acompañar integralmente a los beneficiarios, para garantizar el goce efectivo de sus derechos y evitar que las tierras adjudicadas terminen en manos de grandes latifundistas”. </w:t>
      </w:r>
    </w:p>
  </w:footnote>
  <w:footnote w:id="65">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w:t>
      </w:r>
    </w:p>
  </w:footnote>
  <w:footnote w:id="66">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w:t>
      </w:r>
    </w:p>
  </w:footnote>
  <w:footnote w:id="67">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La Cor</w:t>
      </w:r>
      <w:r w:rsidRPr="009B40EC">
        <w:rPr>
          <w:lang w:val="es-CO"/>
        </w:rPr>
        <w:t>te ha reconocido que la importancia de la materia regulada puede justificar un examen más riguroso del trámite legislativo. Así, por ejemplo, la verificación sobre el cumplimiento del principio de publicidad se puede tornar más o menos estricto según el co</w:t>
      </w:r>
      <w:r w:rsidRPr="009B40EC">
        <w:rPr>
          <w:lang w:val="es-CO"/>
        </w:rPr>
        <w:t xml:space="preserve">ntenido de la norma examinada y los valores, principios y derechos constitucionales involucrados. Al respecto, </w:t>
      </w:r>
      <w:r w:rsidRPr="009B40EC">
        <w:rPr>
          <w:lang w:val="es-CO"/>
        </w:rPr>
        <w:t xml:space="preserve">ver </w:t>
      </w:r>
      <w:r w:rsidRPr="009B40EC">
        <w:rPr>
          <w:lang w:val="es-CO"/>
        </w:rPr>
        <w:t>sentencias como la</w:t>
      </w:r>
      <w:r w:rsidRPr="009B40EC">
        <w:rPr>
          <w:lang w:val="es-CO"/>
        </w:rPr>
        <w:t xml:space="preserve"> C-481 de 2019, C-415 de 2020, C-314 de 2022</w:t>
      </w:r>
      <w:r w:rsidRPr="009B40EC">
        <w:rPr>
          <w:lang w:val="es-CO"/>
        </w:rPr>
        <w:t>.</w:t>
      </w:r>
    </w:p>
  </w:footnote>
  <w:footnote w:id="68">
    <w:p w:rsidR="00D22900" w:rsidRPr="009B40EC" w:rsidRDefault="00635A00" w:rsidP="00EF09F4">
      <w:pPr>
        <w:pStyle w:val="Textonotapie"/>
      </w:pPr>
      <w:r w:rsidRPr="009B40EC">
        <w:rPr>
          <w:rStyle w:val="Refdenotaalpie"/>
        </w:rPr>
        <w:footnoteRef/>
      </w:r>
      <w:r w:rsidRPr="009B40EC">
        <w:t xml:space="preserve"> Sentencia C-408 de 2007.</w:t>
      </w:r>
    </w:p>
  </w:footnote>
  <w:footnote w:id="69">
    <w:p w:rsidR="00D22900" w:rsidRPr="009B40EC" w:rsidRDefault="00635A00" w:rsidP="00EF09F4">
      <w:pPr>
        <w:pStyle w:val="Textonotapie"/>
      </w:pPr>
      <w:r w:rsidRPr="009B40EC">
        <w:rPr>
          <w:rStyle w:val="Refdenotaalpie"/>
        </w:rPr>
        <w:footnoteRef/>
      </w:r>
      <w:r w:rsidRPr="009B40EC">
        <w:t xml:space="preserve"> Ley 5ª de 199</w:t>
      </w:r>
      <w:r w:rsidRPr="009B40EC">
        <w:t>2</w:t>
      </w:r>
      <w:r w:rsidRPr="009B40EC">
        <w:t>, artículo 4°.</w:t>
      </w:r>
    </w:p>
  </w:footnote>
  <w:footnote w:id="70">
    <w:p w:rsidR="00D22900" w:rsidRPr="009B40EC" w:rsidRDefault="00635A00" w:rsidP="00EF09F4">
      <w:pPr>
        <w:pStyle w:val="Textonotapie"/>
      </w:pPr>
      <w:r w:rsidRPr="009B40EC">
        <w:rPr>
          <w:rStyle w:val="Refdenotaalpie"/>
        </w:rPr>
        <w:footnoteRef/>
      </w:r>
      <w:r w:rsidRPr="009B40EC">
        <w:t xml:space="preserve"> Consideraciones parcialmente retomadas de la sentencia C-134 de 2023.</w:t>
      </w:r>
    </w:p>
  </w:footnote>
  <w:footnote w:id="71">
    <w:p w:rsidR="00D22900" w:rsidRPr="009B40EC" w:rsidRDefault="00635A00" w:rsidP="00EF09F4">
      <w:pPr>
        <w:pStyle w:val="Textonotapie"/>
        <w:rPr>
          <w:color w:val="000000" w:themeColor="text1"/>
        </w:rPr>
      </w:pPr>
      <w:r w:rsidRPr="009B40EC">
        <w:rPr>
          <w:rStyle w:val="Refdenotaalpie"/>
          <w:color w:val="000000" w:themeColor="text1"/>
        </w:rPr>
        <w:footnoteRef/>
      </w:r>
      <w:r w:rsidRPr="009B40EC">
        <w:rPr>
          <w:color w:val="000000" w:themeColor="text1"/>
        </w:rPr>
        <w:t xml:space="preserve"> El principio de publicidad se deriva del artículo 157 de la Constitución que establece un acto de publicidad inicial del proyecto de ley como requisito esencial en el proceso de forma</w:t>
      </w:r>
      <w:r w:rsidRPr="009B40EC">
        <w:rPr>
          <w:color w:val="000000" w:themeColor="text1"/>
        </w:rPr>
        <w:t>ción de las leyes. Por su parte, el artículo 144, “[l]as sesiones de las Cámaras y de sus Comisiones permanentes serán públicas (…) conforme a su reglamento”.</w:t>
      </w:r>
    </w:p>
  </w:footnote>
  <w:footnote w:id="72">
    <w:p w:rsidR="00D22900" w:rsidRPr="009B40EC" w:rsidRDefault="00635A00" w:rsidP="00EF09F4">
      <w:pPr>
        <w:pStyle w:val="Textonotapie"/>
        <w:rPr>
          <w:color w:val="000000" w:themeColor="text1"/>
        </w:rPr>
      </w:pPr>
      <w:r w:rsidRPr="009B40EC">
        <w:rPr>
          <w:rStyle w:val="Refdenotaalpie"/>
          <w:color w:val="000000" w:themeColor="text1"/>
        </w:rPr>
        <w:footnoteRef/>
      </w:r>
      <w:r w:rsidRPr="009B40EC">
        <w:rPr>
          <w:color w:val="000000" w:themeColor="text1"/>
        </w:rPr>
        <w:t xml:space="preserve"> Sentencias C-481 de 2019, C-415 de 2020.</w:t>
      </w:r>
    </w:p>
  </w:footnote>
  <w:footnote w:id="73">
    <w:p w:rsidR="00D22900" w:rsidRPr="009B40EC" w:rsidRDefault="00635A00" w:rsidP="00EF09F4">
      <w:pPr>
        <w:pStyle w:val="Textonotapie"/>
        <w:rPr>
          <w:color w:val="000000" w:themeColor="text1"/>
        </w:rPr>
      </w:pPr>
      <w:r w:rsidRPr="009B40EC">
        <w:rPr>
          <w:rStyle w:val="Refdenotaalpie"/>
          <w:color w:val="000000" w:themeColor="text1"/>
        </w:rPr>
        <w:footnoteRef/>
      </w:r>
      <w:r w:rsidRPr="009B40EC">
        <w:rPr>
          <w:color w:val="000000" w:themeColor="text1"/>
        </w:rPr>
        <w:t xml:space="preserve"> Sentencia C-481 de 2019.</w:t>
      </w:r>
    </w:p>
  </w:footnote>
  <w:footnote w:id="74">
    <w:p w:rsidR="00D22900" w:rsidRPr="009B40EC" w:rsidRDefault="00635A00" w:rsidP="00EF09F4">
      <w:pPr>
        <w:pStyle w:val="Textonotapie"/>
        <w:rPr>
          <w:color w:val="000000" w:themeColor="text1"/>
        </w:rPr>
      </w:pPr>
      <w:r w:rsidRPr="009B40EC">
        <w:rPr>
          <w:rStyle w:val="Refdenotaalpie"/>
          <w:color w:val="000000" w:themeColor="text1"/>
        </w:rPr>
        <w:footnoteRef/>
      </w:r>
      <w:r w:rsidRPr="009B40EC">
        <w:rPr>
          <w:color w:val="000000" w:themeColor="text1"/>
        </w:rPr>
        <w:t xml:space="preserve"> Sentencia C-481 de 2019.</w:t>
      </w:r>
    </w:p>
  </w:footnote>
  <w:footnote w:id="75">
    <w:p w:rsidR="00D22900" w:rsidRPr="009B40EC" w:rsidRDefault="00635A00" w:rsidP="00EF09F4">
      <w:pPr>
        <w:pStyle w:val="Textonotapie"/>
      </w:pPr>
      <w:r w:rsidRPr="009B40EC">
        <w:rPr>
          <w:rStyle w:val="Refdenotaalpie"/>
        </w:rPr>
        <w:footnoteRef/>
      </w:r>
      <w:r w:rsidRPr="009B40EC">
        <w:t xml:space="preserve"> En particular, al considerar: (i)la iniciativa gubernamental exclusiva; (ii) el término restringido para la aprobación de la ley; (iii) los límites a las posibilidades de modificación de sus disposiciones por los congresistas; y (iv)la prelación del plan</w:t>
      </w:r>
      <w:r w:rsidRPr="009B40EC">
        <w:t xml:space="preserve"> nacional de inversiones.  </w:t>
      </w:r>
    </w:p>
  </w:footnote>
  <w:footnote w:id="76">
    <w:p w:rsidR="00D22900" w:rsidRPr="009B40EC" w:rsidRDefault="00635A00" w:rsidP="00EF09F4">
      <w:pPr>
        <w:pStyle w:val="Textonotapie"/>
        <w:rPr>
          <w:color w:val="000000" w:themeColor="text1"/>
        </w:rPr>
      </w:pPr>
      <w:r w:rsidRPr="009B40EC">
        <w:rPr>
          <w:rStyle w:val="Refdenotaalpie"/>
          <w:color w:val="000000" w:themeColor="text1"/>
        </w:rPr>
        <w:footnoteRef/>
      </w:r>
      <w:r w:rsidRPr="009B40EC">
        <w:rPr>
          <w:color w:val="000000" w:themeColor="text1"/>
        </w:rPr>
        <w:t xml:space="preserve"> Sentencia C-415 de 2020.</w:t>
      </w:r>
    </w:p>
  </w:footnote>
  <w:footnote w:id="77">
    <w:p w:rsidR="00D22900" w:rsidRPr="009B40EC" w:rsidRDefault="00635A00" w:rsidP="00EF09F4">
      <w:pPr>
        <w:pStyle w:val="Textonotapie"/>
        <w:rPr>
          <w:color w:val="000000" w:themeColor="text1"/>
        </w:rPr>
      </w:pPr>
      <w:r w:rsidRPr="009B40EC">
        <w:rPr>
          <w:rStyle w:val="Refdenotaalpie"/>
          <w:color w:val="000000" w:themeColor="text1"/>
        </w:rPr>
        <w:footnoteRef/>
      </w:r>
      <w:r w:rsidRPr="009B40EC">
        <w:rPr>
          <w:color w:val="000000" w:themeColor="text1"/>
        </w:rPr>
        <w:t xml:space="preserve"> Artículo 35 de la Ley 5 de 1992.</w:t>
      </w:r>
    </w:p>
  </w:footnote>
  <w:footnote w:id="78">
    <w:p w:rsidR="00D22900" w:rsidRPr="009B40EC" w:rsidRDefault="00635A00" w:rsidP="00EF09F4">
      <w:pPr>
        <w:pStyle w:val="Textonotapie"/>
      </w:pPr>
      <w:r w:rsidRPr="009B40EC">
        <w:rPr>
          <w:rStyle w:val="Refdenotaalpie"/>
          <w:color w:val="000000" w:themeColor="text1"/>
        </w:rPr>
        <w:footnoteRef/>
      </w:r>
      <w:r w:rsidRPr="009B40EC">
        <w:rPr>
          <w:color w:val="000000" w:themeColor="text1"/>
        </w:rPr>
        <w:t xml:space="preserve"> </w:t>
      </w:r>
      <w:r w:rsidRPr="009B40EC">
        <w:rPr>
          <w:color w:val="000000" w:themeColor="text1"/>
        </w:rPr>
        <w:t>Artículos 115 y 125 de la Ley 5 de 1992.</w:t>
      </w:r>
    </w:p>
  </w:footnote>
  <w:footnote w:id="79">
    <w:p w:rsidR="00D22900" w:rsidRPr="009B40EC" w:rsidRDefault="00635A00" w:rsidP="00EF09F4">
      <w:pPr>
        <w:pStyle w:val="Textonotapie"/>
      </w:pPr>
      <w:r w:rsidRPr="009B40EC">
        <w:rPr>
          <w:rStyle w:val="Refdenotaalpie"/>
        </w:rPr>
        <w:footnoteRef/>
      </w:r>
      <w:r w:rsidRPr="009B40EC">
        <w:t xml:space="preserve"> </w:t>
      </w:r>
      <w:r w:rsidRPr="009B40EC">
        <w:rPr>
          <w:color w:val="000000" w:themeColor="text1"/>
        </w:rPr>
        <w:t>Artículos 115 y 125 de la Ley 5 de 1992.</w:t>
      </w:r>
    </w:p>
  </w:footnote>
  <w:footnote w:id="80">
    <w:p w:rsidR="00D22900" w:rsidRPr="009B40EC" w:rsidRDefault="00635A00" w:rsidP="00EF09F4">
      <w:pPr>
        <w:pStyle w:val="Textonotapie"/>
      </w:pPr>
      <w:r w:rsidRPr="009B40EC">
        <w:rPr>
          <w:rStyle w:val="Refdenotaalpie"/>
        </w:rPr>
        <w:footnoteRef/>
      </w:r>
      <w:r w:rsidRPr="009B40EC">
        <w:t xml:space="preserve"> Artículo 47 numeral 3 de la Ley 5 de 1992.</w:t>
      </w:r>
    </w:p>
  </w:footnote>
  <w:footnote w:id="81">
    <w:p w:rsidR="00D22900" w:rsidRPr="009B40EC" w:rsidRDefault="00635A00" w:rsidP="00EF09F4">
      <w:pPr>
        <w:pStyle w:val="Textonotapie"/>
      </w:pPr>
      <w:r w:rsidRPr="009B40EC">
        <w:rPr>
          <w:rStyle w:val="Refdenotaalpie"/>
        </w:rPr>
        <w:footnoteRef/>
      </w:r>
      <w:r w:rsidRPr="009B40EC">
        <w:t xml:space="preserve"> Sentencia C-134 de 2023.</w:t>
      </w:r>
    </w:p>
  </w:footnote>
  <w:footnote w:id="82">
    <w:p w:rsidR="00D22900" w:rsidRPr="009B40EC" w:rsidRDefault="00635A00" w:rsidP="00EF09F4">
      <w:pPr>
        <w:pStyle w:val="Textonotapie"/>
        <w:contextualSpacing/>
      </w:pPr>
      <w:r w:rsidRPr="009B40EC">
        <w:rPr>
          <w:rStyle w:val="Refdenotaalpie"/>
        </w:rPr>
        <w:footnoteRef/>
      </w:r>
      <w:r w:rsidRPr="009B40EC">
        <w:t xml:space="preserve"> Senten</w:t>
      </w:r>
      <w:r w:rsidRPr="009B40EC">
        <w:t>cia C-737 de 2001.</w:t>
      </w:r>
    </w:p>
  </w:footnote>
  <w:footnote w:id="83">
    <w:p w:rsidR="00D22900" w:rsidRPr="009B40EC" w:rsidRDefault="00635A00" w:rsidP="00EF09F4">
      <w:pPr>
        <w:pStyle w:val="Textonotapie"/>
        <w:contextualSpacing/>
      </w:pPr>
      <w:r w:rsidRPr="009B40EC">
        <w:rPr>
          <w:rStyle w:val="Refdenotaalpie"/>
        </w:rPr>
        <w:footnoteRef/>
      </w:r>
      <w:r w:rsidRPr="009B40EC">
        <w:t xml:space="preserve"> Ibidem. </w:t>
      </w:r>
    </w:p>
  </w:footnote>
  <w:footnote w:id="84">
    <w:p w:rsidR="00D22900" w:rsidRPr="009B40EC" w:rsidRDefault="00635A00" w:rsidP="00EF09F4">
      <w:pPr>
        <w:pStyle w:val="Textonotapie"/>
      </w:pPr>
      <w:r w:rsidRPr="009B40EC">
        <w:rPr>
          <w:rStyle w:val="Refdenotaalpie"/>
          <w:rFonts w:eastAsiaTheme="majorEastAsia"/>
        </w:rPr>
        <w:footnoteRef/>
      </w:r>
      <w:r w:rsidRPr="009B40EC">
        <w:t xml:space="preserve"> Sentencias C-084 de 2018 y C-481 de 2019.</w:t>
      </w:r>
    </w:p>
  </w:footnote>
  <w:footnote w:id="85">
    <w:p w:rsidR="00D22900" w:rsidRPr="009B40EC" w:rsidRDefault="00635A00" w:rsidP="00EF09F4">
      <w:pPr>
        <w:pStyle w:val="Textonotapie"/>
      </w:pPr>
      <w:r w:rsidRPr="009B40EC">
        <w:rPr>
          <w:rStyle w:val="Refdenotaalpie"/>
          <w:rFonts w:eastAsiaTheme="majorEastAsia"/>
        </w:rPr>
        <w:footnoteRef/>
      </w:r>
      <w:r w:rsidRPr="009B40EC">
        <w:t xml:space="preserve"> Sentencia C-737 de 2001. En esa decisión, al articular su jurisprudencia sobre la instrumentalidad de las formas, la Corte señaló que las normas procedimentales sobre formación de </w:t>
      </w:r>
      <w:r w:rsidRPr="009B40EC">
        <w:t>las leyes no solo persiguen darle forma a un Estado democrático, sino hacerlo en el marco de un diseño constitucional básico: “</w:t>
      </w:r>
      <w:r w:rsidRPr="009B40EC">
        <w:rPr>
          <w:shd w:val="clear" w:color="auto" w:fill="FFFFFF"/>
        </w:rPr>
        <w:t>la Carta no sólo señala que Colombia es un Estado democrático, fundado en la soberanía popular (CP arts 1º y 3º), sino que además</w:t>
      </w:r>
      <w:r w:rsidRPr="009B40EC">
        <w:rPr>
          <w:shd w:val="clear" w:color="auto" w:fill="FFFFFF"/>
        </w:rPr>
        <w:t xml:space="preserve"> consagra un cierto diseño institucional, pues establece una forma de gobierno presidencial, con separación entre las ramas de poder, y en donde el órgano legislativo está organizado bicameralmente (CP arts 113, 114 y 115). La regulación del proceso de for</w:t>
      </w:r>
      <w:r w:rsidRPr="009B40EC">
        <w:rPr>
          <w:shd w:val="clear" w:color="auto" w:fill="FFFFFF"/>
        </w:rPr>
        <w:t>mación de las leyes, que es una de las funciones esenciales del Estado, y en particular del Congreso, pretende precisamente potenciar el principio democrático y preservar el contenido esencial del régimen institucional diseñado por el Constituyente</w:t>
      </w:r>
      <w:r w:rsidRPr="009B40EC">
        <w:t>”.</w:t>
      </w:r>
    </w:p>
  </w:footnote>
  <w:footnote w:id="86">
    <w:p w:rsidR="00D22900" w:rsidRPr="009B40EC" w:rsidRDefault="00635A00" w:rsidP="00EF09F4">
      <w:pPr>
        <w:pStyle w:val="Textonotapie"/>
      </w:pPr>
      <w:r w:rsidRPr="009B40EC">
        <w:rPr>
          <w:rStyle w:val="Refdenotaalpie"/>
          <w:sz w:val="18"/>
          <w:szCs w:val="18"/>
        </w:rPr>
        <w:footnoteRef/>
      </w:r>
      <w:r w:rsidRPr="009B40EC">
        <w:rPr>
          <w:sz w:val="18"/>
          <w:szCs w:val="18"/>
        </w:rPr>
        <w:t xml:space="preserve"> </w:t>
      </w:r>
      <w:r w:rsidRPr="009B40EC">
        <w:rPr>
          <w:i/>
          <w:sz w:val="18"/>
          <w:szCs w:val="18"/>
        </w:rPr>
        <w:t>“Le</w:t>
      </w:r>
      <w:r w:rsidRPr="009B40EC">
        <w:rPr>
          <w:i/>
          <w:sz w:val="18"/>
          <w:szCs w:val="18"/>
        </w:rPr>
        <w:t>ctura de la proposición. Cerrada la discusión se dará lectura nuevamente a la proposición que haya de votarse”.</w:t>
      </w:r>
    </w:p>
  </w:footnote>
  <w:footnote w:id="87">
    <w:p w:rsidR="00D22900" w:rsidRPr="009B40EC" w:rsidRDefault="00635A00" w:rsidP="00EF09F4">
      <w:pPr>
        <w:jc w:val="both"/>
      </w:pPr>
      <w:r w:rsidRPr="009B40EC">
        <w:rPr>
          <w:sz w:val="18"/>
          <w:szCs w:val="18"/>
          <w:vertAlign w:val="superscript"/>
        </w:rPr>
        <w:footnoteRef/>
      </w:r>
      <w:r w:rsidRPr="009B40EC">
        <w:rPr>
          <w:sz w:val="18"/>
          <w:szCs w:val="18"/>
        </w:rPr>
        <w:t xml:space="preserve"> Sentencia C-131 de 2009.</w:t>
      </w:r>
    </w:p>
  </w:footnote>
  <w:footnote w:id="88">
    <w:p w:rsidR="00D22900" w:rsidRPr="009B40EC" w:rsidRDefault="00635A00" w:rsidP="00EF09F4">
      <w:pPr>
        <w:pStyle w:val="Textonotapie"/>
      </w:pPr>
      <w:r w:rsidRPr="009B40EC">
        <w:rPr>
          <w:rStyle w:val="Refdenotaalpie"/>
          <w:sz w:val="18"/>
          <w:szCs w:val="18"/>
        </w:rPr>
        <w:footnoteRef/>
      </w:r>
      <w:r w:rsidRPr="009B40EC">
        <w:rPr>
          <w:sz w:val="18"/>
          <w:szCs w:val="18"/>
        </w:rPr>
        <w:t xml:space="preserve"> </w:t>
      </w:r>
      <w:r w:rsidRPr="009B40EC">
        <w:rPr>
          <w:sz w:val="18"/>
          <w:szCs w:val="18"/>
          <w:lang w:val="es-CO"/>
        </w:rPr>
        <w:t>Sentencia C-537 de 2012.</w:t>
      </w:r>
    </w:p>
  </w:footnote>
  <w:footnote w:id="89">
    <w:p w:rsidR="00D22900" w:rsidRPr="009B40EC" w:rsidRDefault="00635A00" w:rsidP="00EF09F4">
      <w:pPr>
        <w:pStyle w:val="Textonotapie"/>
      </w:pPr>
      <w:r w:rsidRPr="009B40EC">
        <w:rPr>
          <w:rStyle w:val="Refdenotaalpie"/>
          <w:sz w:val="18"/>
          <w:szCs w:val="18"/>
        </w:rPr>
        <w:footnoteRef/>
      </w:r>
      <w:r w:rsidRPr="009B40EC">
        <w:rPr>
          <w:sz w:val="18"/>
          <w:szCs w:val="18"/>
        </w:rPr>
        <w:t xml:space="preserve"> </w:t>
      </w:r>
      <w:r w:rsidRPr="009B40EC">
        <w:rPr>
          <w:sz w:val="18"/>
          <w:szCs w:val="18"/>
          <w:lang w:val="es-CO"/>
        </w:rPr>
        <w:t>Sentencia C-481 de 2019.</w:t>
      </w:r>
    </w:p>
  </w:footnote>
  <w:footnote w:id="90">
    <w:p w:rsidR="00D22900" w:rsidRPr="009B40EC" w:rsidRDefault="00635A00" w:rsidP="00EF09F4">
      <w:pPr>
        <w:jc w:val="both"/>
      </w:pPr>
      <w:r w:rsidRPr="009B40EC">
        <w:rPr>
          <w:sz w:val="18"/>
          <w:szCs w:val="18"/>
          <w:vertAlign w:val="superscript"/>
          <w:lang w:eastAsia="en-US"/>
        </w:rPr>
        <w:footnoteRef/>
      </w:r>
      <w:r w:rsidRPr="009B40EC">
        <w:rPr>
          <w:sz w:val="18"/>
          <w:szCs w:val="18"/>
        </w:rPr>
        <w:t xml:space="preserve"> Sentencia C-760 de 2001. </w:t>
      </w:r>
    </w:p>
  </w:footnote>
  <w:footnote w:id="91">
    <w:p w:rsidR="00D22900" w:rsidRPr="009B40EC" w:rsidRDefault="00635A00" w:rsidP="00EF09F4">
      <w:pPr>
        <w:jc w:val="both"/>
      </w:pPr>
      <w:r w:rsidRPr="009B40EC">
        <w:rPr>
          <w:sz w:val="18"/>
          <w:szCs w:val="18"/>
          <w:vertAlign w:val="superscript"/>
          <w:lang w:eastAsia="en-US"/>
        </w:rPr>
        <w:footnoteRef/>
      </w:r>
      <w:r w:rsidRPr="009B40EC">
        <w:rPr>
          <w:sz w:val="18"/>
          <w:szCs w:val="18"/>
        </w:rPr>
        <w:t xml:space="preserve"> Ibidem.</w:t>
      </w:r>
    </w:p>
  </w:footnote>
  <w:footnote w:id="92">
    <w:p w:rsidR="00D22900" w:rsidRPr="009B40EC" w:rsidRDefault="00635A00" w:rsidP="00EF09F4">
      <w:pPr>
        <w:pStyle w:val="Textonotapie"/>
      </w:pPr>
      <w:r w:rsidRPr="009B40EC">
        <w:rPr>
          <w:rStyle w:val="Refdenotaalpie"/>
          <w:rFonts w:eastAsiaTheme="majorEastAsia"/>
        </w:rPr>
        <w:footnoteRef/>
      </w:r>
      <w:r w:rsidRPr="009B40EC">
        <w:t xml:space="preserve"> Sentencia C-481 de 2019: “</w:t>
      </w:r>
      <w:r w:rsidRPr="009B40EC">
        <w:rPr>
          <w:shd w:val="clear" w:color="auto" w:fill="FFFFFF"/>
        </w:rPr>
        <w:t>Si bien se acepta que existan medios sucedáneos de publicidad en el trámite de las leyes, tal posibilidad únicamente satisface el principio de publicidad si se demuestra que los destinatarios de la información han sido previament</w:t>
      </w:r>
      <w:r w:rsidRPr="009B40EC">
        <w:rPr>
          <w:shd w:val="clear" w:color="auto" w:fill="FFFFFF"/>
        </w:rPr>
        <w:t>e advertidos o enterados de que no se acude al medio ordinario de publicidad, sino que, se recurre a otro mecanismo y se indica claramente dónde y en qué condiciones se puede acceder a la información.</w:t>
      </w:r>
      <w:r w:rsidRPr="009B40EC">
        <w:t>” En ese caso, la Corte concluyó que “</w:t>
      </w:r>
      <w:r w:rsidRPr="009B40EC">
        <w:rPr>
          <w:shd w:val="clear" w:color="auto" w:fill="FFFFFF"/>
        </w:rPr>
        <w:t xml:space="preserve">no se anunció que </w:t>
      </w:r>
      <w:r w:rsidRPr="009B40EC">
        <w:rPr>
          <w:shd w:val="clear" w:color="auto" w:fill="FFFFFF"/>
        </w:rPr>
        <w:t>la información estuviera publicada en la página </w:t>
      </w:r>
      <w:r w:rsidRPr="009B40EC">
        <w:rPr>
          <w:i/>
          <w:iCs/>
          <w:shd w:val="clear" w:color="auto" w:fill="FFFFFF"/>
        </w:rPr>
        <w:t>web </w:t>
      </w:r>
      <w:r w:rsidRPr="009B40EC">
        <w:rPr>
          <w:shd w:val="clear" w:color="auto" w:fill="FFFFFF"/>
        </w:rPr>
        <w:t>del Senado, por lo que la misma no fue accesible para asegurar el conocimiento de los representantes de la Cámara</w:t>
      </w:r>
      <w:r w:rsidRPr="009B40EC">
        <w:t>”.</w:t>
      </w:r>
    </w:p>
  </w:footnote>
  <w:footnote w:id="93">
    <w:p w:rsidR="00D22900" w:rsidRPr="009B40EC" w:rsidRDefault="00635A00" w:rsidP="00EF09F4">
      <w:pPr>
        <w:pStyle w:val="Textonotapie"/>
      </w:pPr>
      <w:r w:rsidRPr="009B40EC">
        <w:rPr>
          <w:rStyle w:val="Refdenotaalpie"/>
        </w:rPr>
        <w:footnoteRef/>
      </w:r>
      <w:r w:rsidRPr="009B40EC">
        <w:t xml:space="preserve"> Sentencia C-481 de 2019.</w:t>
      </w:r>
    </w:p>
  </w:footnote>
  <w:footnote w:id="94">
    <w:p w:rsidR="00D22900" w:rsidRPr="009B40EC" w:rsidRDefault="00635A00" w:rsidP="00EF09F4">
      <w:pPr>
        <w:pStyle w:val="Textonotapie"/>
      </w:pPr>
      <w:r w:rsidRPr="009B40EC">
        <w:rPr>
          <w:rStyle w:val="Refdenotaalpie"/>
        </w:rPr>
        <w:footnoteRef/>
      </w:r>
      <w:r w:rsidRPr="009B40EC">
        <w:t xml:space="preserve"> En sentencia C-481 de 2019, reiterada en sentencias C-415 d</w:t>
      </w:r>
      <w:r w:rsidRPr="009B40EC">
        <w:t>e 2020, C-134 de 2023 y en el auto 705 de 2024, la Corte señaló que “la expresión de opiniones sobre las modificaciones propuestas puede derivar en la inferencia de que hubo información suficiente”.</w:t>
      </w:r>
    </w:p>
  </w:footnote>
  <w:footnote w:id="95">
    <w:p w:rsidR="00D22900" w:rsidRPr="009B40EC" w:rsidRDefault="00635A00" w:rsidP="00EF09F4">
      <w:pPr>
        <w:pStyle w:val="Textonotapie"/>
      </w:pPr>
      <w:r w:rsidRPr="009B40EC">
        <w:rPr>
          <w:rStyle w:val="Refdenotaalpie"/>
        </w:rPr>
        <w:footnoteRef/>
      </w:r>
      <w:r w:rsidRPr="009B40EC">
        <w:t xml:space="preserve"> Durante el período comprendido entre el 16 de febrero d</w:t>
      </w:r>
      <w:r w:rsidRPr="009B40EC">
        <w:t>e 2023 y el 25 de abril de 2023, se recibieron 5.647 proposiciones a través de la Secretaría de la Comisión Tercera de la Cámara de Representantes.  En documento anexo, el cual hace parte integral de la presente ponencia, se presenta un resumen de las prop</w:t>
      </w:r>
      <w:r w:rsidRPr="009B40EC">
        <w:t>osiciones radicadas, las cuales fueron debidamente publicadas en la página web oficial de la Cámara de Representantes, en cumplimiento al principio de publicidad.</w:t>
      </w:r>
    </w:p>
  </w:footnote>
  <w:footnote w:id="96">
    <w:p w:rsidR="00D22900" w:rsidRPr="009B40EC" w:rsidRDefault="00635A00" w:rsidP="00EF09F4">
      <w:pPr>
        <w:pStyle w:val="Textonotapie"/>
      </w:pPr>
      <w:r w:rsidRPr="009B40EC">
        <w:rPr>
          <w:rStyle w:val="Refdenotaalpie"/>
        </w:rPr>
        <w:footnoteRef/>
      </w:r>
      <w:r w:rsidRPr="009B40EC">
        <w:t xml:space="preserve"> Gaceta 889 de 2023, página 60. </w:t>
      </w:r>
    </w:p>
  </w:footnote>
  <w:footnote w:id="97">
    <w:p w:rsidR="00D22900" w:rsidRPr="009B40EC" w:rsidRDefault="00635A00" w:rsidP="00EF09F4">
      <w:pPr>
        <w:pStyle w:val="Textonotapie"/>
      </w:pPr>
      <w:r w:rsidRPr="009B40EC">
        <w:rPr>
          <w:rStyle w:val="Refdenotaalpie"/>
        </w:rPr>
        <w:footnoteRef/>
      </w:r>
      <w:r w:rsidRPr="009B40EC">
        <w:t xml:space="preserve"> Gaceta 889 de 2023, página 60.</w:t>
      </w:r>
    </w:p>
  </w:footnote>
  <w:footnote w:id="98">
    <w:p w:rsidR="00D22900" w:rsidRPr="009B40EC" w:rsidRDefault="00635A00" w:rsidP="00EF09F4">
      <w:pPr>
        <w:pStyle w:val="Textonotapie"/>
      </w:pPr>
      <w:r w:rsidRPr="009B40EC">
        <w:rPr>
          <w:rStyle w:val="Refdenotaalpie"/>
        </w:rPr>
        <w:footnoteRef/>
      </w:r>
      <w:r w:rsidRPr="009B40EC">
        <w:t xml:space="preserve"> Gaceta 889 de 2023, pági</w:t>
      </w:r>
      <w:r w:rsidRPr="009B40EC">
        <w:t>na 74.</w:t>
      </w:r>
    </w:p>
  </w:footnote>
  <w:footnote w:id="99">
    <w:p w:rsidR="00D22900" w:rsidRPr="009B40EC" w:rsidRDefault="00635A00" w:rsidP="00EF09F4">
      <w:pPr>
        <w:pStyle w:val="Textonotapie"/>
      </w:pPr>
      <w:r w:rsidRPr="009B40EC">
        <w:rPr>
          <w:rStyle w:val="Refdenotaalpie"/>
        </w:rPr>
        <w:footnoteRef/>
      </w:r>
      <w:r w:rsidRPr="009B40EC">
        <w:t xml:space="preserve"> Gaceta 889 de 2023, página 100.</w:t>
      </w:r>
    </w:p>
  </w:footnote>
  <w:footnote w:id="100">
    <w:p w:rsidR="00D22900" w:rsidRPr="009B40EC" w:rsidRDefault="00635A00" w:rsidP="00EF09F4">
      <w:pPr>
        <w:pStyle w:val="Textonotapie"/>
      </w:pPr>
      <w:r w:rsidRPr="009B40EC">
        <w:rPr>
          <w:rStyle w:val="Refdenotaalpie"/>
        </w:rPr>
        <w:footnoteRef/>
      </w:r>
      <w:r w:rsidRPr="009B40EC">
        <w:t xml:space="preserve"> Gaceta 889 de 2023, página 100.</w:t>
      </w:r>
    </w:p>
  </w:footnote>
  <w:footnote w:id="101">
    <w:p w:rsidR="00D22900" w:rsidRPr="009B40EC" w:rsidRDefault="00635A00" w:rsidP="00EF09F4">
      <w:pPr>
        <w:pStyle w:val="Textonotapie"/>
      </w:pPr>
      <w:r w:rsidRPr="009B40EC">
        <w:rPr>
          <w:rStyle w:val="Refdenotaalpie"/>
        </w:rPr>
        <w:footnoteRef/>
      </w:r>
      <w:r w:rsidRPr="009B40EC">
        <w:t xml:space="preserve"> Gaceta 889 de 2023, página 100.</w:t>
      </w:r>
    </w:p>
  </w:footnote>
  <w:footnote w:id="102">
    <w:p w:rsidR="00D22900" w:rsidRPr="009B40EC" w:rsidRDefault="00635A00" w:rsidP="00EF09F4">
      <w:pPr>
        <w:pStyle w:val="Textonotapie"/>
      </w:pPr>
      <w:r w:rsidRPr="009B40EC">
        <w:rPr>
          <w:rStyle w:val="Refdenotaalpie"/>
        </w:rPr>
        <w:footnoteRef/>
      </w:r>
      <w:r w:rsidRPr="009B40EC">
        <w:t xml:space="preserve"> Gaceta 889 de 2023, página 101-102.</w:t>
      </w:r>
    </w:p>
  </w:footnote>
  <w:footnote w:id="103">
    <w:p w:rsidR="00D22900" w:rsidRPr="009B40EC" w:rsidRDefault="00635A00" w:rsidP="00EF09F4">
      <w:pPr>
        <w:pStyle w:val="Textonotapie"/>
      </w:pPr>
      <w:r w:rsidRPr="009B40EC">
        <w:rPr>
          <w:rStyle w:val="Refdenotaalpie"/>
        </w:rPr>
        <w:footnoteRef/>
      </w:r>
      <w:r w:rsidRPr="009B40EC">
        <w:t xml:space="preserve"> Gaceta 889 de 2023, página 102.</w:t>
      </w:r>
    </w:p>
  </w:footnote>
  <w:footnote w:id="104">
    <w:p w:rsidR="00D22900" w:rsidRPr="009B40EC" w:rsidRDefault="00635A00" w:rsidP="00EF09F4">
      <w:pPr>
        <w:pStyle w:val="Textonotapie"/>
      </w:pPr>
      <w:r w:rsidRPr="009B40EC">
        <w:rPr>
          <w:rStyle w:val="Refdenotaalpie"/>
        </w:rPr>
        <w:footnoteRef/>
      </w:r>
      <w:r w:rsidRPr="009B40EC">
        <w:t xml:space="preserve"> Sentencia C-481 de 2019.</w:t>
      </w:r>
    </w:p>
  </w:footnote>
  <w:footnote w:id="105">
    <w:p w:rsidR="00D22900" w:rsidRPr="009B40EC" w:rsidRDefault="00635A00" w:rsidP="00EF09F4">
      <w:pPr>
        <w:pStyle w:val="Textonotapie"/>
      </w:pPr>
      <w:r w:rsidRPr="009B40EC">
        <w:rPr>
          <w:rStyle w:val="Refdenotaalpie"/>
        </w:rPr>
        <w:footnoteRef/>
      </w:r>
      <w:r w:rsidRPr="009B40EC">
        <w:t xml:space="preserve"> Gaceta 889 de 2023, páginas 101-102.</w:t>
      </w:r>
    </w:p>
  </w:footnote>
  <w:footnote w:id="106">
    <w:p w:rsidR="00D22900" w:rsidRPr="009B40EC" w:rsidRDefault="00635A00" w:rsidP="00EF09F4">
      <w:pPr>
        <w:pStyle w:val="Textonotapie"/>
      </w:pPr>
      <w:r w:rsidRPr="009B40EC">
        <w:rPr>
          <w:rStyle w:val="Refdenotaalpie"/>
        </w:rPr>
        <w:footnoteRef/>
      </w:r>
      <w:r w:rsidRPr="009B40EC">
        <w:t xml:space="preserve"> Sentencia C-481 de 2019.</w:t>
      </w:r>
    </w:p>
  </w:footnote>
  <w:footnote w:id="107">
    <w:p w:rsidR="00D22900" w:rsidRPr="009B40EC" w:rsidRDefault="00635A00" w:rsidP="00EF09F4">
      <w:pPr>
        <w:pStyle w:val="Textonotapie"/>
      </w:pPr>
      <w:r w:rsidRPr="009B40EC">
        <w:rPr>
          <w:rStyle w:val="Refdenotaalpie"/>
        </w:rPr>
        <w:footnoteRef/>
      </w:r>
      <w:r w:rsidRPr="009B40EC">
        <w:t xml:space="preserve"> Gaceta 902 de 2023. Página 125.</w:t>
      </w:r>
    </w:p>
  </w:footnote>
  <w:footnote w:id="108">
    <w:p w:rsidR="00D22900" w:rsidRPr="009B40EC" w:rsidRDefault="00635A00" w:rsidP="00EF09F4">
      <w:pPr>
        <w:pStyle w:val="Textonotapie"/>
      </w:pPr>
      <w:r w:rsidRPr="009B40EC">
        <w:rPr>
          <w:rStyle w:val="Refdenotaalpie"/>
        </w:rPr>
        <w:footnoteRef/>
      </w:r>
      <w:r w:rsidRPr="009B40EC">
        <w:t xml:space="preserve"> Esta proposición fue retirada y no obra en la carpeta de proposiciones en la página web de la secretaría del Senado. Sin embargo, el alcance de esa proposición se deriva del debate que se adelan</w:t>
      </w:r>
      <w:r w:rsidRPr="009B40EC">
        <w:t xml:space="preserve">tó en la sesión de 3 de mayo en relación con el artículo 373 y la discusión posterior a la intervención de la ministra de Agricultura. </w:t>
      </w:r>
    </w:p>
  </w:footnote>
  <w:footnote w:id="109">
    <w:p w:rsidR="00D22900" w:rsidRPr="009B40EC" w:rsidRDefault="00635A00" w:rsidP="00EF09F4">
      <w:pPr>
        <w:pStyle w:val="Textonotapie"/>
      </w:pPr>
      <w:r w:rsidRPr="009B40EC">
        <w:rPr>
          <w:rStyle w:val="Refdenotaalpie"/>
        </w:rPr>
        <w:footnoteRef/>
      </w:r>
      <w:r w:rsidRPr="009B40EC">
        <w:t xml:space="preserve"> Gaceta 902 de 2023. Página 126.</w:t>
      </w:r>
    </w:p>
  </w:footnote>
  <w:footnote w:id="110">
    <w:p w:rsidR="00D22900" w:rsidRPr="009B40EC" w:rsidRDefault="00635A00" w:rsidP="00EF09F4">
      <w:pPr>
        <w:pStyle w:val="Textonotapie"/>
      </w:pPr>
      <w:r w:rsidRPr="009B40EC">
        <w:rPr>
          <w:rStyle w:val="Refdenotaalpie"/>
        </w:rPr>
        <w:footnoteRef/>
      </w:r>
      <w:r w:rsidRPr="009B40EC">
        <w:t xml:space="preserve"> Gaceta 902 de 2023. Página 128.</w:t>
      </w:r>
    </w:p>
  </w:footnote>
  <w:footnote w:id="111">
    <w:p w:rsidR="00D22900" w:rsidRPr="009B40EC" w:rsidRDefault="00635A00" w:rsidP="00EF09F4">
      <w:pPr>
        <w:pStyle w:val="Textonotapie"/>
      </w:pPr>
      <w:r w:rsidRPr="009B40EC">
        <w:rPr>
          <w:rStyle w:val="Refdenotaalpie"/>
        </w:rPr>
        <w:footnoteRef/>
      </w:r>
      <w:r w:rsidRPr="009B40EC">
        <w:t xml:space="preserve"> Gaceta 902 de 2023. Página 128.</w:t>
      </w:r>
    </w:p>
  </w:footnote>
  <w:footnote w:id="112">
    <w:p w:rsidR="00D22900" w:rsidRPr="009B40EC" w:rsidRDefault="00635A00" w:rsidP="00EF09F4">
      <w:pPr>
        <w:pStyle w:val="Textonotapie"/>
      </w:pPr>
      <w:r w:rsidRPr="009B40EC">
        <w:rPr>
          <w:rStyle w:val="Refdenotaalpie"/>
        </w:rPr>
        <w:footnoteRef/>
      </w:r>
      <w:r w:rsidRPr="009B40EC">
        <w:t xml:space="preserve"> Durante el perío</w:t>
      </w:r>
      <w:r w:rsidRPr="009B40EC">
        <w:t>do comprendido entre el 16 de febrero de 2023 y el 25 de abril de 2023, se recibieron 5.647 proposiciones a través de la Secretaría de la Comisión Tercera de la Cámara de Representantes.  En documento anexo, el cual hace parte integral de la presente ponen</w:t>
      </w:r>
      <w:r w:rsidRPr="009B40EC">
        <w:t>cia, se presenta un resumen de las proposiciones radicadas, las cuales fueron debidamente publicadas en la página web oficial de la Cámara de Representantes, en cumplimiento al principio de publicidad.</w:t>
      </w:r>
    </w:p>
  </w:footnote>
  <w:footnote w:id="113">
    <w:p w:rsidR="00D22900" w:rsidRPr="009B40EC" w:rsidRDefault="00635A00" w:rsidP="00EF09F4">
      <w:pPr>
        <w:pStyle w:val="Textonotapie"/>
      </w:pPr>
      <w:r w:rsidRPr="009B40EC">
        <w:rPr>
          <w:rStyle w:val="Refdenotaalpie"/>
        </w:rPr>
        <w:footnoteRef/>
      </w:r>
      <w:r w:rsidRPr="009B40EC">
        <w:t xml:space="preserve"> Gaceta 383 de 2023. Página 23.</w:t>
      </w:r>
    </w:p>
  </w:footnote>
  <w:footnote w:id="114">
    <w:p w:rsidR="00D22900" w:rsidRPr="009B40EC" w:rsidRDefault="00635A00" w:rsidP="00EF09F4">
      <w:pPr>
        <w:pStyle w:val="Textonotapie"/>
      </w:pPr>
      <w:r w:rsidRPr="009B40EC">
        <w:rPr>
          <w:rStyle w:val="Refdenotaalpie"/>
        </w:rPr>
        <w:footnoteRef/>
      </w:r>
      <w:r w:rsidRPr="009B40EC">
        <w:t xml:space="preserve"> http://www.secretar</w:t>
      </w:r>
      <w:r w:rsidRPr="009B40EC">
        <w:t>iasenado.gov.co/cuatrienio-2022-2026/legislatura-2022-2023/plenarias-2/2023/mayo-2/martes-2-de-mayo-de-2023/pl-274-de-2023-senado-338-de-2023-camara-por-el-cual-se-expide-el-plan-nacional-de-desarrollo-2022-2026-colombia-potencia-mundial-de-la-vida/proposi</w:t>
      </w:r>
      <w:r w:rsidRPr="009B40EC">
        <w:t>ciones-radicadas/9985-p-303-paquete-avaladas-aprobadas-varios-arts-pl-232-de-2023-senado-pl-338-de-2023-camara-varios-h-s/file</w:t>
      </w:r>
    </w:p>
  </w:footnote>
  <w:footnote w:id="115">
    <w:p w:rsidR="00D22900" w:rsidRPr="009B40EC" w:rsidRDefault="00635A00" w:rsidP="00EF09F4">
      <w:pPr>
        <w:pStyle w:val="Textonotapie"/>
      </w:pPr>
      <w:r w:rsidRPr="009B40EC">
        <w:rPr>
          <w:rStyle w:val="Refdenotaalpie"/>
        </w:rPr>
        <w:footnoteRef/>
      </w:r>
      <w:r w:rsidRPr="009B40EC">
        <w:t xml:space="preserve"> Gaceta 889 de 2023. Página 30.</w:t>
      </w:r>
    </w:p>
  </w:footnote>
  <w:footnote w:id="116">
    <w:p w:rsidR="00D22900" w:rsidRPr="009B40EC" w:rsidRDefault="00635A00" w:rsidP="00EF09F4">
      <w:pPr>
        <w:pStyle w:val="Textonotapie"/>
      </w:pPr>
      <w:r w:rsidRPr="009B40EC">
        <w:rPr>
          <w:rStyle w:val="Refdenotaalpie"/>
        </w:rPr>
        <w:footnoteRef/>
      </w:r>
      <w:r w:rsidRPr="009B40EC">
        <w:t xml:space="preserve"> Gaceta 902 de 2023, página 127.</w:t>
      </w:r>
    </w:p>
  </w:footnote>
  <w:footnote w:id="117">
    <w:p w:rsidR="00D22900" w:rsidRPr="009B40EC" w:rsidRDefault="00635A00" w:rsidP="00EF09F4">
      <w:pPr>
        <w:pStyle w:val="Textonotapie"/>
      </w:pPr>
      <w:r w:rsidRPr="009B40EC">
        <w:rPr>
          <w:rStyle w:val="Refdenotaalpie"/>
        </w:rPr>
        <w:footnoteRef/>
      </w:r>
      <w:r w:rsidRPr="009B40EC">
        <w:t xml:space="preserve"> Gaceta 902 de 2023, página 128.</w:t>
      </w:r>
    </w:p>
  </w:footnote>
  <w:footnote w:id="118">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 xml:space="preserve">Sentencias C-760 de 2001, </w:t>
      </w:r>
      <w:r w:rsidRPr="009B40EC">
        <w:rPr>
          <w:lang w:val="es-CO"/>
        </w:rPr>
        <w:t>C-044 de 2017, C-590 de 2019, C-440 de 2020, entre otras.</w:t>
      </w:r>
    </w:p>
  </w:footnote>
  <w:footnote w:id="119">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C-801 de 2003. En igual sentido, sentencias C-084 de 2019, C-590 de 2019, C-427 de 2020, C-487 de 2020, C-261 de 2022, entre otras.</w:t>
      </w:r>
    </w:p>
  </w:footnote>
  <w:footnote w:id="120">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C-590 de 2019.</w:t>
      </w:r>
    </w:p>
  </w:footnote>
  <w:footnote w:id="121">
    <w:p w:rsidR="00D22900" w:rsidRPr="009B40EC" w:rsidRDefault="00635A00">
      <w:pPr>
        <w:pStyle w:val="Textonotapie"/>
      </w:pPr>
      <w:r w:rsidRPr="009B40EC">
        <w:rPr>
          <w:rStyle w:val="Refdenotaalpie"/>
        </w:rPr>
        <w:footnoteRef/>
      </w:r>
      <w:r w:rsidRPr="009B40EC">
        <w:t xml:space="preserve"> Ley 5ª de 1992, artículo </w:t>
      </w:r>
      <w:r w:rsidRPr="009B40EC">
        <w:t>178.</w:t>
      </w:r>
    </w:p>
  </w:footnote>
  <w:footnote w:id="122">
    <w:p w:rsidR="00D22900" w:rsidRPr="009B40EC" w:rsidRDefault="00635A00">
      <w:pPr>
        <w:pStyle w:val="Textonotapie"/>
      </w:pPr>
      <w:r w:rsidRPr="009B40EC">
        <w:rPr>
          <w:rStyle w:val="Refdenotaalpie"/>
        </w:rPr>
        <w:footnoteRef/>
      </w:r>
      <w:r w:rsidRPr="009B40EC">
        <w:t xml:space="preserve"> Ley 152 de 1994, artículo 22.</w:t>
      </w:r>
    </w:p>
  </w:footnote>
  <w:footnote w:id="123">
    <w:p w:rsidR="00D22900" w:rsidRPr="009B40EC" w:rsidRDefault="00635A00">
      <w:pPr>
        <w:pStyle w:val="Textonotapie"/>
      </w:pPr>
      <w:r w:rsidRPr="009B40EC">
        <w:rPr>
          <w:rStyle w:val="Refdenotaalpie"/>
        </w:rPr>
        <w:footnoteRef/>
      </w:r>
      <w:r w:rsidRPr="009B40EC">
        <w:t xml:space="preserve"> Según el literal d del artículo 6° de la Ley 152 de 1994, los mecanismos de ejecución hacen parte del plan de inversiones.</w:t>
      </w:r>
    </w:p>
  </w:footnote>
  <w:footnote w:id="124">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C-942 de 2008, reiterada en sentencia C-277 de 2011, a su vez reiterada en sentenc</w:t>
      </w:r>
      <w:r w:rsidRPr="009B40EC">
        <w:rPr>
          <w:lang w:val="es-CO"/>
        </w:rPr>
        <w:t>ia C-133 de 2021.</w:t>
      </w:r>
    </w:p>
  </w:footnote>
  <w:footnote w:id="125">
    <w:p w:rsidR="00D22900" w:rsidRPr="009B40EC" w:rsidRDefault="00635A00" w:rsidP="00307FA1">
      <w:pPr>
        <w:pStyle w:val="Textonotapie"/>
      </w:pPr>
      <w:r w:rsidRPr="009B40EC">
        <w:rPr>
          <w:rStyle w:val="Refdenotaalpie"/>
          <w:color w:val="000000" w:themeColor="text1"/>
        </w:rPr>
        <w:footnoteRef/>
      </w:r>
      <w:r w:rsidRPr="009B40EC">
        <w:rPr>
          <w:color w:val="000000" w:themeColor="text1"/>
        </w:rPr>
        <w:t xml:space="preserve"> Sentencia C-440 de 2020. En similar sentido, sentencias C-427 de 2020, C-063 de 2021, C-133 e 2021, entre otras.</w:t>
      </w:r>
    </w:p>
  </w:footnote>
  <w:footnote w:id="126">
    <w:p w:rsidR="00D22900" w:rsidRPr="009B40EC" w:rsidRDefault="00635A00" w:rsidP="00400419">
      <w:pPr>
        <w:pStyle w:val="Textonotapie"/>
      </w:pPr>
      <w:r w:rsidRPr="009B40EC">
        <w:rPr>
          <w:rStyle w:val="Refdenotaalpie"/>
        </w:rPr>
        <w:footnoteRef/>
      </w:r>
      <w:r w:rsidRPr="009B40EC">
        <w:t xml:space="preserve"> Sentencias C-453 de 2006, C-440 de 2020, C-133 de 2021.</w:t>
      </w:r>
    </w:p>
  </w:footnote>
  <w:footnote w:id="127">
    <w:p w:rsidR="00D22900" w:rsidRPr="009B40EC" w:rsidRDefault="00635A00" w:rsidP="00400419">
      <w:pPr>
        <w:pStyle w:val="Textonotapie"/>
        <w:rPr>
          <w:lang w:val="es-CO"/>
        </w:rPr>
      </w:pPr>
      <w:r w:rsidRPr="009B40EC">
        <w:rPr>
          <w:rStyle w:val="Refdenotaalpie"/>
        </w:rPr>
        <w:footnoteRef/>
      </w:r>
      <w:r w:rsidRPr="009B40EC">
        <w:t xml:space="preserve"> </w:t>
      </w:r>
      <w:r w:rsidRPr="009B40EC">
        <w:rPr>
          <w:lang w:val="es-CO"/>
        </w:rPr>
        <w:t>Sentencias C-376 de 2008, C-539 de 2008, C-105 de 2016, C-415 d</w:t>
      </w:r>
      <w:r w:rsidRPr="009B40EC">
        <w:rPr>
          <w:lang w:val="es-CO"/>
        </w:rPr>
        <w:t>e 2020, C-427 de 2020, C-440 de 2020, C-063 de 2021, C-133 de 2021.</w:t>
      </w:r>
    </w:p>
  </w:footnote>
  <w:footnote w:id="128">
    <w:p w:rsidR="00D22900" w:rsidRPr="009B40EC" w:rsidRDefault="00635A00" w:rsidP="00400419">
      <w:pPr>
        <w:pStyle w:val="Textonotapie"/>
      </w:pPr>
      <w:r w:rsidRPr="009B40EC">
        <w:rPr>
          <w:rStyle w:val="Refdenotaalpie"/>
        </w:rPr>
        <w:footnoteRef/>
      </w:r>
      <w:r w:rsidRPr="009B40EC">
        <w:t xml:space="preserve"> Sentencia C-063 de 2021.</w:t>
      </w:r>
    </w:p>
  </w:footnote>
  <w:footnote w:id="129">
    <w:p w:rsidR="00D22900" w:rsidRPr="009B40EC" w:rsidRDefault="00635A00" w:rsidP="00400419">
      <w:pPr>
        <w:pStyle w:val="Textonotapie"/>
      </w:pPr>
      <w:r w:rsidRPr="009B40EC">
        <w:rPr>
          <w:rStyle w:val="Refdenotaalpie"/>
        </w:rPr>
        <w:footnoteRef/>
      </w:r>
      <w:r w:rsidRPr="009B40EC">
        <w:t xml:space="preserve"> Ibidem.</w:t>
      </w:r>
    </w:p>
  </w:footnote>
  <w:footnote w:id="130">
    <w:p w:rsidR="00D22900" w:rsidRPr="009B40EC" w:rsidRDefault="00635A00" w:rsidP="00400419">
      <w:pPr>
        <w:pStyle w:val="Textonotapie"/>
        <w:rPr>
          <w:lang w:val="es-CO"/>
        </w:rPr>
      </w:pPr>
      <w:r w:rsidRPr="009B40EC">
        <w:rPr>
          <w:rStyle w:val="Refdenotaalpie"/>
        </w:rPr>
        <w:footnoteRef/>
      </w:r>
      <w:r w:rsidRPr="009B40EC">
        <w:t xml:space="preserve"> </w:t>
      </w:r>
      <w:r w:rsidRPr="009B40EC">
        <w:rPr>
          <w:lang w:val="es-CO"/>
        </w:rPr>
        <w:t>Sentencias C-1052 de 2012, C-105 de 2016, C-063 de 2021.</w:t>
      </w:r>
    </w:p>
  </w:footnote>
  <w:footnote w:id="131">
    <w:p w:rsidR="00D22900" w:rsidRPr="009B40EC" w:rsidRDefault="00635A00">
      <w:pPr>
        <w:pStyle w:val="Textonotapie"/>
      </w:pPr>
      <w:r w:rsidRPr="009B40EC">
        <w:rPr>
          <w:rStyle w:val="Refdenotaalpie"/>
        </w:rPr>
        <w:footnoteRef/>
      </w:r>
      <w:r w:rsidRPr="009B40EC">
        <w:t xml:space="preserve"> Gaceta del Congreso 180 de 2023.</w:t>
      </w:r>
    </w:p>
  </w:footnote>
  <w:footnote w:id="132">
    <w:p w:rsidR="00D22900" w:rsidRPr="009B40EC" w:rsidRDefault="00635A00">
      <w:pPr>
        <w:pStyle w:val="Textonotapie"/>
      </w:pPr>
      <w:r w:rsidRPr="009B40EC">
        <w:rPr>
          <w:rStyle w:val="Refdenotaalpie"/>
        </w:rPr>
        <w:footnoteRef/>
      </w:r>
      <w:r w:rsidRPr="009B40EC">
        <w:t xml:space="preserve"> Ibidem, página. 4.</w:t>
      </w:r>
    </w:p>
  </w:footnote>
  <w:footnote w:id="133">
    <w:p w:rsidR="00D22900" w:rsidRPr="009B40EC" w:rsidRDefault="00635A00">
      <w:pPr>
        <w:pStyle w:val="Textonotapie"/>
      </w:pPr>
      <w:r w:rsidRPr="009B40EC">
        <w:rPr>
          <w:rStyle w:val="Refdenotaalpie"/>
        </w:rPr>
        <w:footnoteRef/>
      </w:r>
      <w:r w:rsidRPr="009B40EC">
        <w:t xml:space="preserve"> Gaceta del Congreso 182 de 2023.</w:t>
      </w:r>
    </w:p>
  </w:footnote>
  <w:footnote w:id="134">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Gacetas del Congreso 858, 859 y 860 de 2023.</w:t>
      </w:r>
    </w:p>
  </w:footnote>
  <w:footnote w:id="135">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274 de 2023.</w:t>
      </w:r>
    </w:p>
  </w:footnote>
  <w:footnote w:id="136">
    <w:p w:rsidR="00D22900" w:rsidRPr="009B40EC" w:rsidRDefault="00635A00" w:rsidP="00AD3A3C">
      <w:pPr>
        <w:pStyle w:val="Textonotapie"/>
      </w:pPr>
      <w:r w:rsidRPr="009B40EC">
        <w:rPr>
          <w:rStyle w:val="Refdenotaalpie"/>
        </w:rPr>
        <w:footnoteRef/>
      </w:r>
      <w:r w:rsidRPr="009B40EC">
        <w:t xml:space="preserve"> Gacetas del Congreso 386 y 388 de 2023.</w:t>
      </w:r>
    </w:p>
  </w:footnote>
  <w:footnote w:id="137">
    <w:p w:rsidR="00D22900" w:rsidRPr="009B40EC" w:rsidRDefault="00635A00">
      <w:pPr>
        <w:pStyle w:val="Textonotapie"/>
      </w:pPr>
      <w:r w:rsidRPr="009B40EC">
        <w:rPr>
          <w:rStyle w:val="Refdenotaalpie"/>
        </w:rPr>
        <w:footnoteRef/>
      </w:r>
      <w:r w:rsidRPr="009B40EC">
        <w:t xml:space="preserve"> Gaceta del Congreso 889 de 2023.</w:t>
      </w:r>
    </w:p>
  </w:footnote>
  <w:footnote w:id="138">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1143 de 2023.</w:t>
      </w:r>
    </w:p>
  </w:footnote>
  <w:footnote w:id="139">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18 de 2023.</w:t>
      </w:r>
    </w:p>
  </w:footnote>
  <w:footnote w:id="140">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274 de</w:t>
      </w:r>
      <w:r w:rsidRPr="009B40EC">
        <w:rPr>
          <w:lang w:val="es-CO"/>
        </w:rPr>
        <w:t xml:space="preserve"> 2023.</w:t>
      </w:r>
    </w:p>
  </w:footnote>
  <w:footnote w:id="141">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428 de 2023.</w:t>
      </w:r>
    </w:p>
  </w:footnote>
  <w:footnote w:id="142">
    <w:p w:rsidR="00D22900" w:rsidRPr="009B40EC" w:rsidRDefault="00635A00">
      <w:pPr>
        <w:pStyle w:val="Textonotapie"/>
      </w:pPr>
      <w:r w:rsidRPr="009B40EC">
        <w:rPr>
          <w:rStyle w:val="Refdenotaalpie"/>
        </w:rPr>
        <w:footnoteRef/>
      </w:r>
      <w:r w:rsidRPr="009B40EC">
        <w:t xml:space="preserve"> Gaceta del Congreso 417 de 2023.</w:t>
      </w:r>
    </w:p>
  </w:footnote>
  <w:footnote w:id="143">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C-481 de 2019.</w:t>
      </w:r>
    </w:p>
  </w:footnote>
  <w:footnote w:id="144">
    <w:p w:rsidR="00D22900" w:rsidRPr="009B40EC" w:rsidRDefault="00635A00">
      <w:pPr>
        <w:pStyle w:val="Textonotapie"/>
      </w:pPr>
      <w:r w:rsidRPr="009B40EC">
        <w:rPr>
          <w:rStyle w:val="Refdenotaalpie"/>
        </w:rPr>
        <w:footnoteRef/>
      </w:r>
      <w:r w:rsidRPr="009B40EC">
        <w:t xml:space="preserve"> Constitución Política, artículo 157.</w:t>
      </w:r>
    </w:p>
  </w:footnote>
  <w:footnote w:id="145">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C-109 de 2023.</w:t>
      </w:r>
    </w:p>
  </w:footnote>
  <w:footnote w:id="146">
    <w:p w:rsidR="00D22900" w:rsidRPr="009B40EC" w:rsidRDefault="00635A00" w:rsidP="00F21457">
      <w:pPr>
        <w:pStyle w:val="Textonotapie"/>
      </w:pPr>
      <w:r w:rsidRPr="009B40EC">
        <w:rPr>
          <w:rStyle w:val="Refdenotaalpie"/>
        </w:rPr>
        <w:footnoteRef/>
      </w:r>
      <w:r w:rsidRPr="009B40EC">
        <w:t xml:space="preserve"> Gaceta del Congreso 18 de 2023.</w:t>
      </w:r>
    </w:p>
  </w:footnote>
  <w:footnote w:id="147">
    <w:p w:rsidR="00D22900" w:rsidRPr="009B40EC" w:rsidRDefault="00635A00" w:rsidP="00F21457">
      <w:pPr>
        <w:pStyle w:val="Textonotapie"/>
      </w:pPr>
      <w:r w:rsidRPr="009B40EC">
        <w:rPr>
          <w:rStyle w:val="Refdenotaalpie"/>
        </w:rPr>
        <w:footnoteRef/>
      </w:r>
      <w:r w:rsidRPr="009B40EC">
        <w:t xml:space="preserve"> Ley 2294, art. 2°.</w:t>
      </w:r>
    </w:p>
  </w:footnote>
  <w:footnote w:id="148">
    <w:p w:rsidR="00D22900" w:rsidRPr="009B40EC" w:rsidRDefault="00635A00">
      <w:pPr>
        <w:pStyle w:val="Textonotapie"/>
      </w:pPr>
      <w:r w:rsidRPr="009B40EC">
        <w:rPr>
          <w:rStyle w:val="Refdenotaalpie"/>
        </w:rPr>
        <w:footnoteRef/>
      </w:r>
      <w:r w:rsidRPr="009B40EC">
        <w:t xml:space="preserve"> Gaceta del Congreso 18 de 202</w:t>
      </w:r>
      <w:r w:rsidRPr="009B40EC">
        <w:t>3, página. 43.</w:t>
      </w:r>
    </w:p>
  </w:footnote>
  <w:footnote w:id="149">
    <w:p w:rsidR="00D22900" w:rsidRPr="009B40EC" w:rsidRDefault="00635A00">
      <w:pPr>
        <w:pStyle w:val="Textonotapie"/>
      </w:pPr>
      <w:r w:rsidRPr="009B40EC">
        <w:rPr>
          <w:rStyle w:val="Refdenotaalpie"/>
        </w:rPr>
        <w:footnoteRef/>
      </w:r>
      <w:r w:rsidRPr="009B40EC">
        <w:t xml:space="preserve"> Ibidem, página 45.</w:t>
      </w:r>
    </w:p>
  </w:footnote>
  <w:footnote w:id="150">
    <w:p w:rsidR="00D22900" w:rsidRPr="009B40EC" w:rsidRDefault="00635A00">
      <w:pPr>
        <w:pStyle w:val="Textonotapie"/>
      </w:pPr>
      <w:r w:rsidRPr="009B40EC">
        <w:rPr>
          <w:rStyle w:val="Refdenotaalpie"/>
        </w:rPr>
        <w:footnoteRef/>
      </w:r>
      <w:r w:rsidRPr="009B40EC">
        <w:t xml:space="preserve"> Gaceta del Congreso 18 de 2023, páginas. 54-59.</w:t>
      </w:r>
    </w:p>
  </w:footnote>
  <w:footnote w:id="151">
    <w:p w:rsidR="00D22900" w:rsidRPr="009B40EC" w:rsidRDefault="00635A00">
      <w:pPr>
        <w:pStyle w:val="Textonotapie"/>
      </w:pPr>
      <w:r w:rsidRPr="009B40EC">
        <w:rPr>
          <w:rStyle w:val="Refdenotaalpie"/>
        </w:rPr>
        <w:footnoteRef/>
      </w:r>
      <w:r w:rsidRPr="009B40EC">
        <w:t xml:space="preserve"> Ibidem, página 110.</w:t>
      </w:r>
    </w:p>
  </w:footnote>
  <w:footnote w:id="152">
    <w:p w:rsidR="00D22900" w:rsidRPr="009B40EC" w:rsidRDefault="00635A00">
      <w:pPr>
        <w:pStyle w:val="Textonotapie"/>
      </w:pPr>
      <w:r w:rsidRPr="009B40EC">
        <w:rPr>
          <w:rStyle w:val="Refdenotaalpie"/>
        </w:rPr>
        <w:footnoteRef/>
      </w:r>
      <w:r w:rsidRPr="009B40EC">
        <w:t xml:space="preserve"> Sentencia C-133 de 2021 (énfasis añadido). En similar sentido, sentencias </w:t>
      </w:r>
      <w:r w:rsidRPr="009B40EC">
        <w:rPr>
          <w:sz w:val="24"/>
          <w:szCs w:val="24"/>
        </w:rPr>
        <w:t>C-376/2008, C-040/2010, C-105/2016, C-440/2020, y C-063/2021.</w:t>
      </w:r>
    </w:p>
  </w:footnote>
  <w:footnote w:id="153">
    <w:p w:rsidR="00D22900" w:rsidRPr="009B40EC" w:rsidRDefault="00635A00" w:rsidP="00E05939">
      <w:pPr>
        <w:pStyle w:val="Textonotapie"/>
        <w:rPr>
          <w:lang w:val="es-CO"/>
        </w:rPr>
      </w:pPr>
      <w:r w:rsidRPr="009B40EC">
        <w:rPr>
          <w:rStyle w:val="Refdenotaalpie"/>
        </w:rPr>
        <w:footnoteRef/>
      </w:r>
      <w:r w:rsidRPr="009B40EC">
        <w:t xml:space="preserve"> </w:t>
      </w:r>
      <w:r w:rsidRPr="009B40EC">
        <w:rPr>
          <w:lang w:val="es-CO"/>
        </w:rPr>
        <w:t xml:space="preserve">Gacetas </w:t>
      </w:r>
      <w:r w:rsidRPr="009B40EC">
        <w:rPr>
          <w:lang w:val="es-CO"/>
        </w:rPr>
        <w:t>del Congreso 858, 859 y 860 de 2023.</w:t>
      </w:r>
    </w:p>
  </w:footnote>
  <w:footnote w:id="154">
    <w:p w:rsidR="00D22900" w:rsidRPr="009B40EC" w:rsidRDefault="00635A00" w:rsidP="007E4C2E">
      <w:pPr>
        <w:pStyle w:val="Textonotapie"/>
      </w:pPr>
      <w:r w:rsidRPr="009B40EC">
        <w:rPr>
          <w:rStyle w:val="Refdenotaalpie"/>
        </w:rPr>
        <w:footnoteRef/>
      </w:r>
      <w:r w:rsidRPr="009B40EC">
        <w:t xml:space="preserve"> Gaceta del Congreso 858 de 2023.</w:t>
      </w:r>
    </w:p>
  </w:footnote>
  <w:footnote w:id="155">
    <w:p w:rsidR="00D22900" w:rsidRPr="009B40EC" w:rsidRDefault="00635A00" w:rsidP="00D062F6">
      <w:pPr>
        <w:pStyle w:val="Textonotapie"/>
        <w:rPr>
          <w:lang w:val="es-CO"/>
        </w:rPr>
      </w:pPr>
      <w:r w:rsidRPr="009B40EC">
        <w:rPr>
          <w:rStyle w:val="Refdenotaalpie"/>
        </w:rPr>
        <w:footnoteRef/>
      </w:r>
      <w:r w:rsidRPr="009B40EC">
        <w:t xml:space="preserve"> </w:t>
      </w:r>
      <w:r w:rsidRPr="009B40EC">
        <w:rPr>
          <w:lang w:val="es-CO"/>
        </w:rPr>
        <w:t>Ibidem, página 26.</w:t>
      </w:r>
    </w:p>
  </w:footnote>
  <w:footnote w:id="156">
    <w:p w:rsidR="00D22900" w:rsidRPr="009B40EC" w:rsidRDefault="00635A00" w:rsidP="00D062F6">
      <w:pPr>
        <w:pStyle w:val="Textonotapie"/>
      </w:pPr>
      <w:r w:rsidRPr="009B40EC">
        <w:rPr>
          <w:rStyle w:val="Refdenotaalpie"/>
        </w:rPr>
        <w:footnoteRef/>
      </w:r>
      <w:r w:rsidRPr="009B40EC">
        <w:t xml:space="preserve"> </w:t>
      </w:r>
      <w:r w:rsidRPr="009B40EC">
        <w:rPr>
          <w:lang w:val="es-CO"/>
        </w:rPr>
        <w:t>Ibidem, página</w:t>
      </w:r>
      <w:r w:rsidRPr="009B40EC">
        <w:t xml:space="preserve"> 27.</w:t>
      </w:r>
    </w:p>
  </w:footnote>
  <w:footnote w:id="157">
    <w:p w:rsidR="00D22900" w:rsidRPr="009B40EC" w:rsidRDefault="00635A00" w:rsidP="00D062F6">
      <w:pPr>
        <w:pStyle w:val="Textonotapie"/>
        <w:rPr>
          <w:lang w:val="es-CO"/>
        </w:rPr>
      </w:pPr>
      <w:r w:rsidRPr="009B40EC">
        <w:rPr>
          <w:rStyle w:val="Refdenotaalpie"/>
        </w:rPr>
        <w:footnoteRef/>
      </w:r>
      <w:r w:rsidRPr="009B40EC">
        <w:t xml:space="preserve"> </w:t>
      </w:r>
      <w:r w:rsidRPr="009B40EC">
        <w:rPr>
          <w:lang w:val="es-CO"/>
        </w:rPr>
        <w:t>Ibidem, página</w:t>
      </w:r>
      <w:r w:rsidRPr="009B40EC">
        <w:t xml:space="preserve"> 28-30.</w:t>
      </w:r>
    </w:p>
  </w:footnote>
  <w:footnote w:id="158">
    <w:p w:rsidR="00D22900" w:rsidRPr="009B40EC" w:rsidRDefault="00635A00" w:rsidP="00852887">
      <w:pPr>
        <w:pStyle w:val="Textonotapie"/>
        <w:rPr>
          <w:lang w:val="es-CO"/>
        </w:rPr>
      </w:pPr>
      <w:r w:rsidRPr="009B40EC">
        <w:rPr>
          <w:rStyle w:val="Refdenotaalpie"/>
        </w:rPr>
        <w:footnoteRef/>
      </w:r>
      <w:r w:rsidRPr="009B40EC">
        <w:t xml:space="preserve"> </w:t>
      </w:r>
      <w:r w:rsidRPr="009B40EC">
        <w:rPr>
          <w:lang w:val="es-CO"/>
        </w:rPr>
        <w:t>Ibidem, página 33.</w:t>
      </w:r>
    </w:p>
  </w:footnote>
  <w:footnote w:id="159">
    <w:p w:rsidR="00D22900" w:rsidRPr="009B40EC" w:rsidRDefault="00635A00" w:rsidP="00DC0242">
      <w:pPr>
        <w:pStyle w:val="Textonotapie"/>
        <w:rPr>
          <w:lang w:val="es-CO"/>
        </w:rPr>
      </w:pPr>
      <w:r w:rsidRPr="009B40EC">
        <w:rPr>
          <w:rStyle w:val="Refdenotaalpie"/>
        </w:rPr>
        <w:footnoteRef/>
      </w:r>
      <w:r w:rsidRPr="009B40EC">
        <w:t xml:space="preserve"> </w:t>
      </w:r>
      <w:r w:rsidRPr="009B40EC">
        <w:rPr>
          <w:lang w:val="es-CO"/>
        </w:rPr>
        <w:t>Ibidem, página 34.</w:t>
      </w:r>
    </w:p>
  </w:footnote>
  <w:footnote w:id="160">
    <w:p w:rsidR="00D22900" w:rsidRPr="009B40EC" w:rsidRDefault="00635A00" w:rsidP="00DC0242">
      <w:pPr>
        <w:pStyle w:val="Textonotapie"/>
      </w:pPr>
      <w:r w:rsidRPr="009B40EC">
        <w:rPr>
          <w:rStyle w:val="Refdenotaalpie"/>
        </w:rPr>
        <w:footnoteRef/>
      </w:r>
      <w:r w:rsidRPr="009B40EC">
        <w:t xml:space="preserve"> </w:t>
      </w:r>
      <w:r w:rsidRPr="009B40EC">
        <w:rPr>
          <w:lang w:val="es-CO"/>
        </w:rPr>
        <w:t>Ibidem, página</w:t>
      </w:r>
      <w:r w:rsidRPr="009B40EC">
        <w:t xml:space="preserve"> 36.</w:t>
      </w:r>
    </w:p>
  </w:footnote>
  <w:footnote w:id="161">
    <w:p w:rsidR="00D22900" w:rsidRPr="009B40EC" w:rsidRDefault="00635A00" w:rsidP="00DC0242">
      <w:pPr>
        <w:pStyle w:val="Textonotapie"/>
      </w:pPr>
      <w:r w:rsidRPr="009B40EC">
        <w:rPr>
          <w:rStyle w:val="Refdenotaalpie"/>
        </w:rPr>
        <w:footnoteRef/>
      </w:r>
      <w:r w:rsidRPr="009B40EC">
        <w:rPr>
          <w:lang w:val="es-CO"/>
        </w:rPr>
        <w:t>Ibidem, página</w:t>
      </w:r>
      <w:r w:rsidRPr="009B40EC">
        <w:t>. 37.</w:t>
      </w:r>
    </w:p>
  </w:footnote>
  <w:footnote w:id="162">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páginas 38-41.</w:t>
      </w:r>
    </w:p>
  </w:footnote>
  <w:footnote w:id="163">
    <w:p w:rsidR="00D22900" w:rsidRPr="009B40EC" w:rsidRDefault="00635A00">
      <w:pPr>
        <w:pStyle w:val="Textonotapie"/>
      </w:pPr>
      <w:r w:rsidRPr="009B40EC">
        <w:rPr>
          <w:rStyle w:val="Refdenotaalpie"/>
        </w:rPr>
        <w:footnoteRef/>
      </w:r>
      <w:r w:rsidRPr="009B40EC">
        <w:t xml:space="preserve"> </w:t>
      </w:r>
      <w:r w:rsidRPr="009B40EC">
        <w:rPr>
          <w:lang w:val="es-CO"/>
        </w:rPr>
        <w:t>Ibidem,</w:t>
      </w:r>
      <w:r w:rsidRPr="009B40EC">
        <w:rPr>
          <w:lang w:val="es-CO"/>
        </w:rPr>
        <w:t xml:space="preserve"> página</w:t>
      </w:r>
      <w:r w:rsidRPr="009B40EC">
        <w:t xml:space="preserve"> 42.</w:t>
      </w:r>
    </w:p>
  </w:footnote>
  <w:footnote w:id="164">
    <w:p w:rsidR="00D22900" w:rsidRPr="009B40EC" w:rsidRDefault="00635A00">
      <w:pPr>
        <w:pStyle w:val="Textonotapie"/>
      </w:pPr>
      <w:r w:rsidRPr="009B40EC">
        <w:rPr>
          <w:rStyle w:val="Refdenotaalpie"/>
        </w:rPr>
        <w:footnoteRef/>
      </w:r>
      <w:r w:rsidRPr="009B40EC">
        <w:t xml:space="preserve"> </w:t>
      </w:r>
      <w:r w:rsidRPr="009B40EC">
        <w:rPr>
          <w:lang w:val="es-CO"/>
        </w:rPr>
        <w:t>Ibidem, páginas</w:t>
      </w:r>
      <w:r w:rsidRPr="009B40EC">
        <w:t xml:space="preserve"> 42-43.</w:t>
      </w:r>
    </w:p>
  </w:footnote>
  <w:footnote w:id="165">
    <w:p w:rsidR="00D22900" w:rsidRPr="009B40EC" w:rsidRDefault="00635A00">
      <w:pPr>
        <w:pStyle w:val="Textonotapie"/>
      </w:pPr>
      <w:r w:rsidRPr="009B40EC">
        <w:rPr>
          <w:rStyle w:val="Refdenotaalpie"/>
        </w:rPr>
        <w:footnoteRef/>
      </w:r>
      <w:r w:rsidRPr="009B40EC">
        <w:t xml:space="preserve"> </w:t>
      </w:r>
      <w:r w:rsidRPr="009B40EC">
        <w:rPr>
          <w:lang w:val="es-CO"/>
        </w:rPr>
        <w:t>Ibidem, páginas</w:t>
      </w:r>
      <w:r w:rsidRPr="009B40EC">
        <w:t xml:space="preserve"> 43-44.</w:t>
      </w:r>
    </w:p>
  </w:footnote>
  <w:footnote w:id="166">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 44.</w:t>
      </w:r>
    </w:p>
  </w:footnote>
  <w:footnote w:id="167">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páginas 44-45.</w:t>
      </w:r>
    </w:p>
  </w:footnote>
  <w:footnote w:id="168">
    <w:p w:rsidR="00D22900" w:rsidRPr="009B40EC" w:rsidRDefault="00635A00">
      <w:pPr>
        <w:pStyle w:val="Textonotapie"/>
      </w:pPr>
      <w:r w:rsidRPr="009B40EC">
        <w:rPr>
          <w:rStyle w:val="Refdenotaalpie"/>
        </w:rPr>
        <w:footnoteRef/>
      </w:r>
      <w:r w:rsidRPr="009B40EC">
        <w:t xml:space="preserve"> </w:t>
      </w:r>
      <w:r w:rsidRPr="009B40EC">
        <w:rPr>
          <w:lang w:val="es-CO"/>
        </w:rPr>
        <w:t>Ibidem, página</w:t>
      </w:r>
      <w:r w:rsidRPr="009B40EC">
        <w:t xml:space="preserve"> 45.</w:t>
      </w:r>
    </w:p>
  </w:footnote>
  <w:footnote w:id="169">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 46.</w:t>
      </w:r>
    </w:p>
  </w:footnote>
  <w:footnote w:id="170">
    <w:p w:rsidR="00D22900" w:rsidRPr="009B40EC" w:rsidRDefault="00635A00">
      <w:pPr>
        <w:pStyle w:val="Textonotapie"/>
      </w:pPr>
      <w:r w:rsidRPr="009B40EC">
        <w:rPr>
          <w:rStyle w:val="Refdenotaalpie"/>
        </w:rPr>
        <w:footnoteRef/>
      </w:r>
      <w:r w:rsidRPr="009B40EC">
        <w:t xml:space="preserve"> </w:t>
      </w:r>
      <w:r w:rsidRPr="009B40EC">
        <w:rPr>
          <w:lang w:val="es-CO"/>
        </w:rPr>
        <w:t>Ibidem, páginas</w:t>
      </w:r>
      <w:r w:rsidRPr="009B40EC">
        <w:t xml:space="preserve"> 46-47.</w:t>
      </w:r>
    </w:p>
  </w:footnote>
  <w:footnote w:id="171">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 47.</w:t>
      </w:r>
    </w:p>
  </w:footnote>
  <w:footnote w:id="172">
    <w:p w:rsidR="00D22900" w:rsidRPr="009B40EC" w:rsidRDefault="00635A00">
      <w:pPr>
        <w:pStyle w:val="Textonotapie"/>
      </w:pPr>
      <w:r w:rsidRPr="009B40EC">
        <w:rPr>
          <w:rStyle w:val="Refdenotaalpie"/>
        </w:rPr>
        <w:footnoteRef/>
      </w:r>
      <w:r w:rsidRPr="009B40EC">
        <w:t xml:space="preserve"> </w:t>
      </w:r>
      <w:r w:rsidRPr="009B40EC">
        <w:rPr>
          <w:lang w:val="es-CO"/>
        </w:rPr>
        <w:t>Ibidem, página</w:t>
      </w:r>
      <w:r w:rsidRPr="009B40EC">
        <w:t xml:space="preserve"> 47.</w:t>
      </w:r>
    </w:p>
  </w:footnote>
  <w:footnote w:id="173">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 48.</w:t>
      </w:r>
    </w:p>
  </w:footnote>
  <w:footnote w:id="174">
    <w:p w:rsidR="00D22900" w:rsidRPr="009B40EC" w:rsidRDefault="00635A00">
      <w:pPr>
        <w:pStyle w:val="Textonotapie"/>
      </w:pPr>
      <w:r w:rsidRPr="009B40EC">
        <w:rPr>
          <w:rStyle w:val="Refdenotaalpie"/>
        </w:rPr>
        <w:footnoteRef/>
      </w:r>
      <w:r w:rsidRPr="009B40EC">
        <w:t xml:space="preserve"> </w:t>
      </w:r>
      <w:r w:rsidRPr="009B40EC">
        <w:rPr>
          <w:lang w:val="es-CO"/>
        </w:rPr>
        <w:t>Ibidem, páginas</w:t>
      </w:r>
      <w:r w:rsidRPr="009B40EC">
        <w:t xml:space="preserve"> </w:t>
      </w:r>
      <w:r w:rsidRPr="009B40EC">
        <w:t>48-49.</w:t>
      </w:r>
    </w:p>
  </w:footnote>
  <w:footnote w:id="175">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 49.</w:t>
      </w:r>
    </w:p>
  </w:footnote>
  <w:footnote w:id="176">
    <w:p w:rsidR="00D22900" w:rsidRPr="009B40EC" w:rsidRDefault="00635A00">
      <w:pPr>
        <w:pStyle w:val="Textonotapie"/>
      </w:pPr>
      <w:r w:rsidRPr="009B40EC">
        <w:rPr>
          <w:rStyle w:val="Refdenotaalpie"/>
        </w:rPr>
        <w:footnoteRef/>
      </w:r>
      <w:r w:rsidRPr="009B40EC">
        <w:t xml:space="preserve"> </w:t>
      </w:r>
      <w:r w:rsidRPr="009B40EC">
        <w:rPr>
          <w:lang w:val="es-CO"/>
        </w:rPr>
        <w:t>Ibidem, página</w:t>
      </w:r>
      <w:r w:rsidRPr="009B40EC">
        <w:t xml:space="preserve"> 49-50.</w:t>
      </w:r>
    </w:p>
  </w:footnote>
  <w:footnote w:id="177">
    <w:p w:rsidR="00D22900" w:rsidRPr="009B40EC" w:rsidRDefault="00635A00">
      <w:pPr>
        <w:pStyle w:val="Textonotapie"/>
      </w:pPr>
      <w:r w:rsidRPr="009B40EC">
        <w:rPr>
          <w:rStyle w:val="Refdenotaalpie"/>
        </w:rPr>
        <w:footnoteRef/>
      </w:r>
      <w:r w:rsidRPr="009B40EC">
        <w:t xml:space="preserve"> </w:t>
      </w:r>
      <w:r w:rsidRPr="009B40EC">
        <w:rPr>
          <w:lang w:val="es-CO"/>
        </w:rPr>
        <w:t>Ibidem, páginas</w:t>
      </w:r>
      <w:r w:rsidRPr="009B40EC">
        <w:t xml:space="preserve"> 50-51.</w:t>
      </w:r>
    </w:p>
  </w:footnote>
  <w:footnote w:id="178">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páginas 51-52.</w:t>
      </w:r>
    </w:p>
  </w:footnote>
  <w:footnote w:id="179">
    <w:p w:rsidR="00D22900" w:rsidRPr="009B40EC" w:rsidRDefault="00635A00">
      <w:pPr>
        <w:pStyle w:val="Textonotapie"/>
      </w:pPr>
      <w:r w:rsidRPr="009B40EC">
        <w:rPr>
          <w:rStyle w:val="Refdenotaalpie"/>
        </w:rPr>
        <w:footnoteRef/>
      </w:r>
      <w:r w:rsidRPr="009B40EC">
        <w:t xml:space="preserve"> </w:t>
      </w:r>
      <w:r w:rsidRPr="009B40EC">
        <w:rPr>
          <w:lang w:val="es-CO"/>
        </w:rPr>
        <w:t>Ibidem, páginas</w:t>
      </w:r>
      <w:r w:rsidRPr="009B40EC">
        <w:t xml:space="preserve"> 52.</w:t>
      </w:r>
    </w:p>
  </w:footnote>
  <w:footnote w:id="180">
    <w:p w:rsidR="00D22900" w:rsidRPr="009B40EC" w:rsidRDefault="00635A00">
      <w:pPr>
        <w:pStyle w:val="Textonotapie"/>
      </w:pPr>
      <w:r w:rsidRPr="009B40EC">
        <w:rPr>
          <w:rStyle w:val="Refdenotaalpie"/>
        </w:rPr>
        <w:footnoteRef/>
      </w:r>
      <w:r w:rsidRPr="009B40EC">
        <w:t xml:space="preserve"> </w:t>
      </w:r>
      <w:r w:rsidRPr="009B40EC">
        <w:rPr>
          <w:lang w:val="es-CO"/>
        </w:rPr>
        <w:t>Ibidem, página</w:t>
      </w:r>
      <w:r w:rsidRPr="009B40EC">
        <w:t xml:space="preserve"> 53.</w:t>
      </w:r>
    </w:p>
  </w:footnote>
  <w:footnote w:id="181">
    <w:p w:rsidR="00D22900" w:rsidRPr="009B40EC" w:rsidRDefault="00635A00">
      <w:pPr>
        <w:pStyle w:val="Textonotapie"/>
      </w:pPr>
      <w:r w:rsidRPr="009B40EC">
        <w:rPr>
          <w:rStyle w:val="Refdenotaalpie"/>
        </w:rPr>
        <w:footnoteRef/>
      </w:r>
      <w:r w:rsidRPr="009B40EC">
        <w:t xml:space="preserve"> </w:t>
      </w:r>
      <w:r w:rsidRPr="009B40EC">
        <w:rPr>
          <w:lang w:val="es-CO"/>
        </w:rPr>
        <w:t>Ibidem, páginas</w:t>
      </w:r>
      <w:r w:rsidRPr="009B40EC">
        <w:t xml:space="preserve"> 53-54.</w:t>
      </w:r>
    </w:p>
  </w:footnote>
  <w:footnote w:id="182">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 54.</w:t>
      </w:r>
    </w:p>
  </w:footnote>
  <w:footnote w:id="183">
    <w:p w:rsidR="00D22900" w:rsidRPr="009B40EC" w:rsidRDefault="00635A00">
      <w:pPr>
        <w:pStyle w:val="Textonotapie"/>
        <w:rPr>
          <w:lang w:val="es-CO"/>
        </w:rPr>
      </w:pPr>
      <w:r w:rsidRPr="009B40EC">
        <w:rPr>
          <w:rStyle w:val="Refdenotaalpie"/>
        </w:rPr>
        <w:footnoteRef/>
      </w:r>
      <w:r w:rsidRPr="009B40EC">
        <w:t xml:space="preserve"> </w:t>
      </w:r>
      <w:r w:rsidRPr="009B40EC">
        <w:rPr>
          <w:bCs/>
          <w:color w:val="auto"/>
          <w:lang w:val="es-CO"/>
        </w:rPr>
        <w:t xml:space="preserve">Artículos </w:t>
      </w:r>
      <w:r w:rsidRPr="009B40EC">
        <w:rPr>
          <w:color w:val="211D1E"/>
        </w:rPr>
        <w:t>11, 21, 56, 57, 95, 96, 158, 165, 172, 200, 238, 265,</w:t>
      </w:r>
      <w:r w:rsidRPr="009B40EC">
        <w:rPr>
          <w:color w:val="211D1E"/>
        </w:rPr>
        <w:t xml:space="preserve"> 266, 294, 298, 301, 302, 303, 304, 305, 306, 307 y 308 del proyecto de ley.</w:t>
      </w:r>
    </w:p>
  </w:footnote>
  <w:footnote w:id="184">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858 de 2023, páginas 55-56.</w:t>
      </w:r>
    </w:p>
  </w:footnote>
  <w:footnote w:id="185">
    <w:p w:rsidR="00D22900" w:rsidRPr="009B40EC" w:rsidRDefault="00635A00">
      <w:pPr>
        <w:pStyle w:val="Textonotapie"/>
        <w:rPr>
          <w:lang w:val="es-CO"/>
        </w:rPr>
      </w:pPr>
      <w:r w:rsidRPr="009B40EC">
        <w:rPr>
          <w:rStyle w:val="Refdenotaalpie"/>
        </w:rPr>
        <w:footnoteRef/>
      </w:r>
      <w:r w:rsidRPr="009B40EC">
        <w:t xml:space="preserve"> </w:t>
      </w:r>
      <w:r w:rsidRPr="009B40EC">
        <w:rPr>
          <w:bCs/>
          <w:color w:val="auto"/>
          <w:lang w:val="es-CO"/>
        </w:rPr>
        <w:t xml:space="preserve">Artículos 67, 74, 84, 177, 195, 196, 207, 219, 237, 245, 254, 257, 258, 259, 267, 268, 272, 273, 278, 285, 297, 299, 310, 311, </w:t>
      </w:r>
      <w:r w:rsidRPr="009B40EC">
        <w:rPr>
          <w:bCs/>
          <w:color w:val="auto"/>
          <w:lang w:val="es-CO"/>
        </w:rPr>
        <w:t>313, 314, 316, 317, 318, 319, 320, 321, 322, 323, 325, 326, 327, 328, 329, 330, 331, 333, 334, 335, 336, 338, 339, 340, 341, 342, 343, 344, 345, 346, 347, 348, 349, 350, 351, 352, 353, 354, 356 y 357 del proyecto de ley.</w:t>
      </w:r>
    </w:p>
  </w:footnote>
  <w:footnote w:id="186">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 xml:space="preserve">Gaceta del Congreso 858 de 2023, </w:t>
      </w:r>
      <w:r w:rsidRPr="009B40EC">
        <w:rPr>
          <w:lang w:val="es-CO"/>
        </w:rPr>
        <w:t>páginas 56-58.</w:t>
      </w:r>
    </w:p>
  </w:footnote>
  <w:footnote w:id="187">
    <w:p w:rsidR="00D22900" w:rsidRPr="009B40EC" w:rsidRDefault="00635A00">
      <w:pPr>
        <w:pStyle w:val="Textonotapie"/>
        <w:rPr>
          <w:lang w:val="es-CO"/>
        </w:rPr>
      </w:pPr>
      <w:r w:rsidRPr="009B40EC">
        <w:rPr>
          <w:rStyle w:val="Refdenotaalpie"/>
        </w:rPr>
        <w:footnoteRef/>
      </w:r>
      <w:r w:rsidRPr="009B40EC">
        <w:t xml:space="preserve"> </w:t>
      </w:r>
      <w:r w:rsidRPr="009B40EC">
        <w:rPr>
          <w:bCs/>
          <w:color w:val="auto"/>
          <w:lang w:val="es-CO"/>
        </w:rPr>
        <w:t xml:space="preserve">Artículos </w:t>
      </w:r>
      <w:r w:rsidRPr="009B40EC">
        <w:rPr>
          <w:bCs/>
          <w:color w:val="211D1E"/>
        </w:rPr>
        <w:t>1°, 2°, 3°, 4°, 5°, 6°, 7°, 8°, 9°, 10, 12, 13, 14, 15, 16, 17, 18, 19, 22, 23, 25, 27, 28, 29, 32, 33, 34, 37, 38, 39, 40, 41, 43, 44, 45, 46, 47, 48, 49, 51, 52, 53, 54, 55, 58, 59, 60, 61, 62, 63, 64, 65, 66, 68, 69, 70, 71, 7</w:t>
      </w:r>
      <w:r w:rsidRPr="009B40EC">
        <w:rPr>
          <w:bCs/>
          <w:color w:val="211D1E"/>
        </w:rPr>
        <w:t>2, 73, 75, 77, 78, 80, 81, 85, 86, 87, 88, 89, 90, 91, 92, 93, 94, 97, 98, 99, 100, 103, 104, 105, 106, 107, 108, 109, 110, 111, 112, 113, 114, 115, 116, 117, 118, 119, 120, 121, 122, 124, 127, 128, 129, 130, 131, 134, 135, 136, 137, 138, 139, 140, 142, 14</w:t>
      </w:r>
      <w:r w:rsidRPr="009B40EC">
        <w:rPr>
          <w:bCs/>
          <w:color w:val="211D1E"/>
        </w:rPr>
        <w:t>3, 144, 145, 146, 147, 148, 149, 151, 152, 153, 154, 155, 156, 157, 159, 161, 162, 163, 164, 167, 168, 169, 170, 171, 173, 174, 175, 176, 178, 179, 180, 181, 182, 183, 184, 185, 187, 188, 189, 190, 192, 193, 194, 197, 198, 199, 201, 202, 203, 204, 206, 208</w:t>
      </w:r>
      <w:r w:rsidRPr="009B40EC">
        <w:rPr>
          <w:bCs/>
          <w:color w:val="211D1E"/>
        </w:rPr>
        <w:t>, 210, 211, 212, 213, 215, 216, 218, 220, 221, 222, 223, 224, 225, 227, 228, 229, 230, 231, 232, 233, 234, 239, 240, 241, 242, 243, 244, 246, 247, 255, 263, 264, 271, 275, 276, 279, 280, 284, 287, 292, 293, 295, 296, 300, 315, 324, 332 y 355 del proyecto d</w:t>
      </w:r>
      <w:r w:rsidRPr="009B40EC">
        <w:rPr>
          <w:bCs/>
          <w:color w:val="211D1E"/>
        </w:rPr>
        <w:t>e ley.</w:t>
      </w:r>
    </w:p>
  </w:footnote>
  <w:footnote w:id="188">
    <w:p w:rsidR="00D22900" w:rsidRPr="009B40EC" w:rsidRDefault="00635A00">
      <w:pPr>
        <w:pStyle w:val="Textonotapie"/>
        <w:rPr>
          <w:lang w:val="es-CO"/>
        </w:rPr>
      </w:pPr>
      <w:r w:rsidRPr="009B40EC">
        <w:rPr>
          <w:rStyle w:val="Refdenotaalpie"/>
        </w:rPr>
        <w:footnoteRef/>
      </w:r>
      <w:r w:rsidRPr="009B40EC">
        <w:t xml:space="preserve"> Gaceta del Congreso 858 de 2023, página. 64.</w:t>
      </w:r>
    </w:p>
  </w:footnote>
  <w:footnote w:id="189">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Ibidem, páginas. 64- 67.</w:t>
      </w:r>
    </w:p>
  </w:footnote>
  <w:footnote w:id="190">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C-080 de 2023.</w:t>
      </w:r>
    </w:p>
  </w:footnote>
  <w:footnote w:id="191">
    <w:p w:rsidR="00D22900" w:rsidRPr="009B40EC" w:rsidRDefault="00635A00">
      <w:pPr>
        <w:pStyle w:val="Textonotapie"/>
      </w:pPr>
      <w:r w:rsidRPr="009B40EC">
        <w:rPr>
          <w:rStyle w:val="Refdenotaalpie"/>
        </w:rPr>
        <w:footnoteRef/>
      </w:r>
      <w:r w:rsidRPr="009B40EC">
        <w:t xml:space="preserve"> Artículos 20, 26, 31, 36, 42, 50, 76, 79, 101, 102, 123, 125, 126, 133, 141, 166, 186, 282, 283, 286 y 290 del proyecto de ley.</w:t>
      </w:r>
    </w:p>
  </w:footnote>
  <w:footnote w:id="192">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w:t>
      </w:r>
      <w:r w:rsidRPr="009B40EC">
        <w:rPr>
          <w:lang w:val="es-CO"/>
        </w:rPr>
        <w:t>eso 858 de 2023, páginas 67-69.</w:t>
      </w:r>
    </w:p>
  </w:footnote>
  <w:footnote w:id="193">
    <w:p w:rsidR="00D22900" w:rsidRPr="009B40EC" w:rsidRDefault="00635A00" w:rsidP="00DD2510">
      <w:pPr>
        <w:pStyle w:val="Textonotapie"/>
      </w:pPr>
      <w:r w:rsidRPr="009B40EC">
        <w:rPr>
          <w:rStyle w:val="Refdenotaalpie"/>
        </w:rPr>
        <w:footnoteRef/>
      </w:r>
      <w:r w:rsidRPr="009B40EC">
        <w:t xml:space="preserve"> Gaceta del Congreso 859 de 2023.</w:t>
      </w:r>
    </w:p>
  </w:footnote>
  <w:footnote w:id="194">
    <w:p w:rsidR="00D22900" w:rsidRPr="009B40EC" w:rsidRDefault="00635A00">
      <w:pPr>
        <w:pStyle w:val="Textonotapie"/>
        <w:rPr>
          <w:lang w:val="es-CO"/>
        </w:rPr>
      </w:pPr>
      <w:r w:rsidRPr="009B40EC">
        <w:rPr>
          <w:rStyle w:val="Refdenotaalpie"/>
        </w:rPr>
        <w:footnoteRef/>
      </w:r>
      <w:r w:rsidRPr="009B40EC">
        <w:t xml:space="preserve"> Artículos 21, 56, 82, 83, 158, 165, 172, 238, 274, 277, 289, 291 y 298 del proyecto de ley.</w:t>
      </w:r>
    </w:p>
  </w:footnote>
  <w:footnote w:id="195">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859 de 2023, páginas 5-16.</w:t>
      </w:r>
    </w:p>
  </w:footnote>
  <w:footnote w:id="196">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Artículos 30, 35, 96, 132, 150, 191, 209, 21</w:t>
      </w:r>
      <w:r w:rsidRPr="009B40EC">
        <w:rPr>
          <w:lang w:val="es-CO"/>
        </w:rPr>
        <w:t>7, 250, 251, 252, 253, 256, 261, 262, 281, 288, 312 y 337 del proyecto de ley.</w:t>
      </w:r>
    </w:p>
  </w:footnote>
  <w:footnote w:id="197">
    <w:p w:rsidR="00D22900" w:rsidRPr="009B40EC" w:rsidRDefault="00635A00">
      <w:pPr>
        <w:pStyle w:val="Textonotapie"/>
        <w:rPr>
          <w:lang w:val="es-CO"/>
        </w:rPr>
      </w:pPr>
      <w:r w:rsidRPr="009B40EC">
        <w:rPr>
          <w:rStyle w:val="Refdenotaalpie"/>
        </w:rPr>
        <w:footnoteRef/>
      </w:r>
      <w:r w:rsidRPr="009B40EC">
        <w:t xml:space="preserve"> Gaceta del Congreso 859 de 2023, páginas 16-18.</w:t>
      </w:r>
    </w:p>
  </w:footnote>
  <w:footnote w:id="198">
    <w:p w:rsidR="00D22900" w:rsidRPr="009B40EC" w:rsidRDefault="00635A00">
      <w:pPr>
        <w:pStyle w:val="Textonotapie"/>
        <w:rPr>
          <w:lang w:val="es-CO"/>
        </w:rPr>
      </w:pPr>
      <w:r w:rsidRPr="009B40EC">
        <w:rPr>
          <w:rStyle w:val="Refdenotaalpie"/>
        </w:rPr>
        <w:footnoteRef/>
      </w:r>
      <w:r w:rsidRPr="009B40EC">
        <w:t xml:space="preserve"> Artículos 11, 24, 57, 200, 205, 214, 235, 236, 248, 249, 260, 269, 270 y 294 del proyecto de ley.</w:t>
      </w:r>
    </w:p>
  </w:footnote>
  <w:footnote w:id="199">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 xml:space="preserve">Gaceta del Congreso 859 </w:t>
      </w:r>
      <w:r w:rsidRPr="009B40EC">
        <w:rPr>
          <w:lang w:val="es-CO"/>
        </w:rPr>
        <w:t>de 2023, páginas 18-36.</w:t>
      </w:r>
    </w:p>
  </w:footnote>
  <w:footnote w:id="200">
    <w:p w:rsidR="00D22900" w:rsidRPr="009B40EC" w:rsidRDefault="00635A00">
      <w:pPr>
        <w:pStyle w:val="Textonotapie"/>
        <w:rPr>
          <w:lang w:val="es-CO"/>
        </w:rPr>
      </w:pPr>
      <w:r w:rsidRPr="009B40EC">
        <w:rPr>
          <w:rStyle w:val="Refdenotaalpie"/>
        </w:rPr>
        <w:footnoteRef/>
      </w:r>
      <w:r w:rsidRPr="009B40EC">
        <w:t xml:space="preserve"> Artículos 160, 301 y 302 del proyecto de ley.</w:t>
      </w:r>
    </w:p>
  </w:footnote>
  <w:footnote w:id="201">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Gaceta del Congreso 859 de 2023, páginas 36-52.</w:t>
      </w:r>
    </w:p>
  </w:footnote>
  <w:footnote w:id="202">
    <w:p w:rsidR="00D22900" w:rsidRPr="009B40EC" w:rsidRDefault="00635A00" w:rsidP="00DD2510">
      <w:pPr>
        <w:pStyle w:val="Textonotapie"/>
      </w:pPr>
      <w:r w:rsidRPr="009B40EC">
        <w:rPr>
          <w:rStyle w:val="Refdenotaalpie"/>
        </w:rPr>
        <w:footnoteRef/>
      </w:r>
      <w:r w:rsidRPr="009B40EC">
        <w:t xml:space="preserve"> Gaceta del Congreso 860 de 2023.</w:t>
      </w:r>
    </w:p>
  </w:footnote>
  <w:footnote w:id="203">
    <w:p w:rsidR="00D22900" w:rsidRPr="009B40EC" w:rsidRDefault="00635A00">
      <w:pPr>
        <w:pStyle w:val="Textonotapie"/>
      </w:pPr>
      <w:r w:rsidRPr="009B40EC">
        <w:rPr>
          <w:rStyle w:val="Refdenotaalpie"/>
        </w:rPr>
        <w:footnoteRef/>
      </w:r>
      <w:r w:rsidRPr="009B40EC">
        <w:t xml:space="preserve"> Ibidem, página 10.</w:t>
      </w:r>
    </w:p>
  </w:footnote>
  <w:footnote w:id="204">
    <w:p w:rsidR="00D22900" w:rsidRPr="009B40EC" w:rsidRDefault="00635A00">
      <w:pPr>
        <w:pStyle w:val="Textonotapie"/>
      </w:pPr>
      <w:r w:rsidRPr="009B40EC">
        <w:rPr>
          <w:rStyle w:val="Refdenotaalpie"/>
        </w:rPr>
        <w:footnoteRef/>
      </w:r>
      <w:r w:rsidRPr="009B40EC">
        <w:t xml:space="preserve"> Artículos 95, 226, 265 y 266. Ibidem, páginas 10-18.</w:t>
      </w:r>
    </w:p>
  </w:footnote>
  <w:footnote w:id="205">
    <w:p w:rsidR="00D22900" w:rsidRPr="009B40EC" w:rsidRDefault="00635A00">
      <w:pPr>
        <w:pStyle w:val="Textonotapie"/>
      </w:pPr>
      <w:r w:rsidRPr="009B40EC">
        <w:rPr>
          <w:rStyle w:val="Refdenotaalpie"/>
        </w:rPr>
        <w:footnoteRef/>
      </w:r>
      <w:r w:rsidRPr="009B40EC">
        <w:t xml:space="preserve"> Artículos 303, 304, 3</w:t>
      </w:r>
      <w:r w:rsidRPr="009B40EC">
        <w:t xml:space="preserve">05, 306, 308, 307 y 309 del proyecto de ley. Ibidem, páginas 18-41. </w:t>
      </w:r>
    </w:p>
  </w:footnote>
  <w:footnote w:id="206">
    <w:p w:rsidR="00D22900" w:rsidRPr="009B40EC" w:rsidRDefault="00635A00">
      <w:pPr>
        <w:pStyle w:val="Textonotapie"/>
      </w:pPr>
      <w:r w:rsidRPr="009B40EC">
        <w:rPr>
          <w:rStyle w:val="Refdenotaalpie"/>
        </w:rPr>
        <w:footnoteRef/>
      </w:r>
      <w:r w:rsidRPr="009B40EC">
        <w:t xml:space="preserve"> Artículo 358 del proyecto de ley. Ibidem, páginas 41-43.</w:t>
      </w:r>
    </w:p>
  </w:footnote>
  <w:footnote w:id="207">
    <w:p w:rsidR="00D22900" w:rsidRPr="009B40EC" w:rsidRDefault="00635A00">
      <w:pPr>
        <w:pStyle w:val="Textonotapie"/>
      </w:pPr>
      <w:r w:rsidRPr="009B40EC">
        <w:rPr>
          <w:rStyle w:val="Refdenotaalpie"/>
        </w:rPr>
        <w:footnoteRef/>
      </w:r>
      <w:r w:rsidRPr="009B40EC">
        <w:t xml:space="preserve"> Ibidem, páginas 43-44.</w:t>
      </w:r>
    </w:p>
  </w:footnote>
  <w:footnote w:id="208">
    <w:p w:rsidR="00D22900" w:rsidRPr="009B40EC" w:rsidRDefault="00635A00">
      <w:pPr>
        <w:pStyle w:val="Textonotapie"/>
        <w:rPr>
          <w:lang w:val="es-CO"/>
        </w:rPr>
      </w:pPr>
      <w:r w:rsidRPr="009B40EC">
        <w:rPr>
          <w:rStyle w:val="Refdenotaalpie"/>
        </w:rPr>
        <w:footnoteRef/>
      </w:r>
      <w:r w:rsidRPr="009B40EC">
        <w:t xml:space="preserve"> </w:t>
      </w:r>
      <w:r w:rsidRPr="009B40EC">
        <w:rPr>
          <w:lang w:val="es-CO"/>
        </w:rPr>
        <w:t>Sentencia C-074 de 2021.</w:t>
      </w:r>
    </w:p>
  </w:footnote>
  <w:footnote w:id="209">
    <w:p w:rsidR="00D22900" w:rsidRPr="00D90781" w:rsidRDefault="00635A00">
      <w:pPr>
        <w:pStyle w:val="Textonotapie"/>
        <w:rPr>
          <w:lang w:val="es-CO"/>
        </w:rPr>
      </w:pPr>
      <w:r w:rsidRPr="009B40EC">
        <w:rPr>
          <w:rStyle w:val="Refdenotaalpie"/>
        </w:rPr>
        <w:footnoteRef/>
      </w:r>
      <w:r w:rsidRPr="009B40EC">
        <w:t xml:space="preserve"> </w:t>
      </w:r>
      <w:r w:rsidRPr="009B40EC">
        <w:rPr>
          <w:lang w:val="es-CO"/>
        </w:rPr>
        <w:t>Auto 705 de 2024.</w:t>
      </w:r>
    </w:p>
  </w:footnote>
  <w:footnote w:id="210">
    <w:p w:rsidR="004F59BC" w:rsidRPr="00127A2E" w:rsidRDefault="00635A00" w:rsidP="004F59BC">
      <w:pPr>
        <w:pStyle w:val="Textonotapie"/>
        <w:rPr>
          <w:lang w:val="es-MX"/>
        </w:rPr>
      </w:pPr>
      <w:r>
        <w:rPr>
          <w:rStyle w:val="Refdenotaalpie"/>
        </w:rPr>
        <w:footnoteRef/>
      </w:r>
      <w:r>
        <w:t xml:space="preserve"> </w:t>
      </w:r>
      <w:r>
        <w:rPr>
          <w:lang w:val="es-MX"/>
        </w:rPr>
        <w:t>Corte Constitucional, Sentencia C-325 de 2021.</w:t>
      </w:r>
    </w:p>
  </w:footnote>
  <w:footnote w:id="211">
    <w:p w:rsidR="00A474DE" w:rsidRPr="006203C4" w:rsidRDefault="00635A00" w:rsidP="00A63830">
      <w:pPr>
        <w:pStyle w:val="Textonotapie"/>
        <w:rPr>
          <w:rFonts w:ascii="Times New Roman" w:hAnsi="Times New Roman"/>
        </w:rPr>
      </w:pPr>
      <w:r w:rsidRPr="006203C4">
        <w:rPr>
          <w:rStyle w:val="Refdenotaalpie"/>
          <w:rFonts w:ascii="Times New Roman" w:hAnsi="Times New Roman"/>
        </w:rPr>
        <w:footnoteRef/>
      </w:r>
      <w:r w:rsidRPr="006203C4">
        <w:rPr>
          <w:rFonts w:ascii="Times New Roman" w:hAnsi="Times New Roman"/>
        </w:rPr>
        <w:t xml:space="preserve"> </w:t>
      </w:r>
      <w:r w:rsidRPr="006203C4">
        <w:rPr>
          <w:rFonts w:ascii="Times New Roman" w:hAnsi="Times New Roman"/>
        </w:rPr>
        <w:t xml:space="preserve">Corte Constitucional, </w:t>
      </w:r>
      <w:r w:rsidRPr="006203C4">
        <w:rPr>
          <w:rFonts w:ascii="Times New Roman" w:hAnsi="Times New Roman"/>
        </w:rPr>
        <w:t>Sentencia C-</w:t>
      </w:r>
      <w:r w:rsidRPr="006203C4">
        <w:rPr>
          <w:rFonts w:ascii="Times New Roman" w:hAnsi="Times New Roman"/>
        </w:rPr>
        <w:t xml:space="preserve">219 de </w:t>
      </w:r>
      <w:r w:rsidRPr="006203C4">
        <w:rPr>
          <w:rFonts w:ascii="Times New Roman" w:hAnsi="Times New Roman"/>
        </w:rPr>
        <w:t>2024.</w:t>
      </w:r>
    </w:p>
  </w:footnote>
  <w:footnote w:id="212">
    <w:p w:rsidR="004176D0" w:rsidRPr="006203C4" w:rsidRDefault="00635A00" w:rsidP="00A63830">
      <w:pPr>
        <w:pStyle w:val="Textonotapie"/>
        <w:rPr>
          <w:rFonts w:ascii="Times New Roman" w:hAnsi="Times New Roman"/>
          <w:lang w:val="es-CO"/>
        </w:rPr>
      </w:pPr>
      <w:r w:rsidRPr="006203C4">
        <w:rPr>
          <w:rStyle w:val="Refdenotaalpie"/>
          <w:rFonts w:ascii="Times New Roman" w:hAnsi="Times New Roman"/>
        </w:rPr>
        <w:footnoteRef/>
      </w:r>
      <w:r w:rsidRPr="006203C4">
        <w:rPr>
          <w:rFonts w:ascii="Times New Roman" w:hAnsi="Times New Roman"/>
        </w:rPr>
        <w:t xml:space="preserve"> </w:t>
      </w:r>
      <w:bookmarkStart w:id="31" w:name="_ftn39"/>
      <w:bookmarkEnd w:id="31"/>
      <w:r w:rsidRPr="006203C4">
        <w:rPr>
          <w:rFonts w:ascii="Times New Roman" w:hAnsi="Times New Roman"/>
        </w:rPr>
        <w:t>Corte Constitucional, Sentencia C-141 de 2010.</w:t>
      </w:r>
    </w:p>
  </w:footnote>
  <w:footnote w:id="213">
    <w:p w:rsidR="00377AC3" w:rsidRPr="006203C4" w:rsidRDefault="00635A00" w:rsidP="00A63830">
      <w:pPr>
        <w:pStyle w:val="Textonotapie"/>
        <w:rPr>
          <w:rFonts w:ascii="Times New Roman" w:hAnsi="Times New Roman"/>
          <w:lang w:val="es-CO"/>
        </w:rPr>
      </w:pPr>
      <w:r w:rsidRPr="006203C4">
        <w:rPr>
          <w:rStyle w:val="Refdenotaalpie"/>
          <w:rFonts w:ascii="Times New Roman" w:hAnsi="Times New Roman"/>
        </w:rPr>
        <w:footnoteRef/>
      </w:r>
      <w:r w:rsidRPr="006203C4">
        <w:rPr>
          <w:rFonts w:ascii="Times New Roman" w:hAnsi="Times New Roman"/>
        </w:rPr>
        <w:t xml:space="preserve"> </w:t>
      </w:r>
      <w:r w:rsidRPr="006203C4">
        <w:rPr>
          <w:rFonts w:ascii="Times New Roman" w:hAnsi="Times New Roman"/>
        </w:rPr>
        <w:t>Corte Constitucional, Sentencia C-415 de 2020.</w:t>
      </w:r>
    </w:p>
  </w:footnote>
  <w:footnote w:id="214">
    <w:p w:rsidR="00CA3505" w:rsidRPr="006203C4" w:rsidRDefault="00635A00" w:rsidP="00A63830">
      <w:pPr>
        <w:pStyle w:val="Textonotapie"/>
        <w:rPr>
          <w:rFonts w:ascii="Times New Roman" w:hAnsi="Times New Roman"/>
        </w:rPr>
      </w:pPr>
      <w:r w:rsidRPr="006203C4">
        <w:rPr>
          <w:rStyle w:val="Refdenotaalpie"/>
          <w:rFonts w:ascii="Times New Roman" w:hAnsi="Times New Roman"/>
        </w:rPr>
        <w:footnoteRef/>
      </w:r>
      <w:r w:rsidRPr="006203C4">
        <w:rPr>
          <w:rFonts w:ascii="Times New Roman" w:hAnsi="Times New Roman"/>
        </w:rPr>
        <w:t xml:space="preserve"> </w:t>
      </w:r>
      <w:r w:rsidRPr="006203C4">
        <w:rPr>
          <w:rFonts w:ascii="Times New Roman" w:hAnsi="Times New Roman"/>
        </w:rPr>
        <w:t xml:space="preserve">Congreso de la República, </w:t>
      </w:r>
      <w:r w:rsidRPr="006203C4">
        <w:rPr>
          <w:rFonts w:ascii="Times New Roman" w:hAnsi="Times New Roman"/>
        </w:rPr>
        <w:t>sesión</w:t>
      </w:r>
      <w:r w:rsidRPr="006203C4">
        <w:rPr>
          <w:rFonts w:ascii="Times New Roman" w:hAnsi="Times New Roman"/>
        </w:rPr>
        <w:t xml:space="preserve"> del 21 de marzo de 2023, intervención de la representante Olga Lucía Velásquez Nieto.</w:t>
      </w:r>
      <w:r w:rsidRPr="006203C4">
        <w:rPr>
          <w:rFonts w:ascii="Times New Roman" w:hAnsi="Times New Roman"/>
        </w:rPr>
        <w:t xml:space="preserve"> Gaceta del Congreso número 858 de 2023.</w:t>
      </w:r>
    </w:p>
  </w:footnote>
  <w:footnote w:id="215">
    <w:p w:rsidR="0031741C" w:rsidRPr="006203C4" w:rsidRDefault="00635A00" w:rsidP="00A63830">
      <w:pPr>
        <w:pStyle w:val="Textonotapie"/>
        <w:rPr>
          <w:rFonts w:ascii="Times New Roman" w:hAnsi="Times New Roman"/>
        </w:rPr>
      </w:pPr>
      <w:r w:rsidRPr="006203C4">
        <w:rPr>
          <w:rStyle w:val="Refdenotaalpie"/>
          <w:rFonts w:ascii="Times New Roman" w:hAnsi="Times New Roman"/>
        </w:rPr>
        <w:footnoteRef/>
      </w:r>
      <w:r w:rsidRPr="006203C4">
        <w:rPr>
          <w:rFonts w:ascii="Times New Roman" w:hAnsi="Times New Roman"/>
        </w:rPr>
        <w:t xml:space="preserve"> Ibid. Intervención de la Senadora Ana Carolina Espitia Jerez</w:t>
      </w:r>
    </w:p>
  </w:footnote>
  <w:footnote w:id="216">
    <w:p w:rsidR="0087119A" w:rsidRPr="006203C4" w:rsidRDefault="00635A00" w:rsidP="00A63830">
      <w:pPr>
        <w:pStyle w:val="Textonotapie"/>
        <w:rPr>
          <w:rFonts w:ascii="Times New Roman" w:hAnsi="Times New Roman"/>
        </w:rPr>
      </w:pPr>
      <w:r w:rsidRPr="006203C4">
        <w:rPr>
          <w:rStyle w:val="Refdenotaalpie"/>
          <w:rFonts w:ascii="Times New Roman" w:hAnsi="Times New Roman"/>
        </w:rPr>
        <w:footnoteRef/>
      </w:r>
      <w:r w:rsidRPr="006203C4">
        <w:rPr>
          <w:rFonts w:ascii="Times New Roman" w:hAnsi="Times New Roman"/>
        </w:rPr>
        <w:t xml:space="preserve"> Ibid</w:t>
      </w:r>
      <w:r>
        <w:rPr>
          <w:rFonts w:ascii="Times New Roman" w:hAnsi="Times New Roman"/>
        </w:rPr>
        <w:t>.</w:t>
      </w:r>
      <w:r w:rsidRPr="006203C4">
        <w:rPr>
          <w:rFonts w:ascii="Times New Roman" w:hAnsi="Times New Roman"/>
        </w:rPr>
        <w:t xml:space="preserve"> </w:t>
      </w:r>
      <w:r w:rsidRPr="00F953C9">
        <w:rPr>
          <w:rFonts w:ascii="Times New Roman" w:hAnsi="Times New Roman"/>
          <w:u w:val="single"/>
        </w:rPr>
        <w:t>I</w:t>
      </w:r>
      <w:r w:rsidRPr="00F953C9">
        <w:rPr>
          <w:rFonts w:ascii="Times New Roman" w:hAnsi="Times New Roman"/>
          <w:u w:val="single"/>
        </w:rPr>
        <w:t>ntervención</w:t>
      </w:r>
      <w:r w:rsidRPr="006203C4">
        <w:rPr>
          <w:rFonts w:ascii="Times New Roman" w:hAnsi="Times New Roman"/>
        </w:rPr>
        <w:t xml:space="preserve"> del representante Christian Garcés</w:t>
      </w:r>
      <w:r w:rsidRPr="006203C4">
        <w:rPr>
          <w:rFonts w:ascii="Times New Roman" w:hAnsi="Times New Roman"/>
        </w:rPr>
        <w:t>.</w:t>
      </w:r>
    </w:p>
  </w:footnote>
  <w:footnote w:id="217">
    <w:p w:rsidR="00ED22B2" w:rsidRPr="006203C4" w:rsidRDefault="00635A00" w:rsidP="00A63830">
      <w:pPr>
        <w:pStyle w:val="Textonotapie"/>
        <w:rPr>
          <w:rFonts w:ascii="Times New Roman" w:hAnsi="Times New Roman"/>
        </w:rPr>
      </w:pPr>
      <w:r w:rsidRPr="006203C4">
        <w:rPr>
          <w:rStyle w:val="Refdenotaalpie"/>
          <w:rFonts w:ascii="Times New Roman" w:hAnsi="Times New Roman"/>
        </w:rPr>
        <w:footnoteRef/>
      </w:r>
      <w:r w:rsidRPr="006203C4">
        <w:rPr>
          <w:rFonts w:ascii="Times New Roman" w:hAnsi="Times New Roman"/>
        </w:rPr>
        <w:t xml:space="preserve"> Corte Constitucional, Sentencia C-</w:t>
      </w:r>
      <w:r w:rsidRPr="006203C4">
        <w:rPr>
          <w:rFonts w:ascii="Times New Roman" w:hAnsi="Times New Roman"/>
        </w:rPr>
        <w:t xml:space="preserve">063 de 2021. Esta providencia concluyó, al revisar el principio de </w:t>
      </w:r>
      <w:r w:rsidRPr="006203C4">
        <w:rPr>
          <w:rFonts w:ascii="Times New Roman" w:hAnsi="Times New Roman"/>
        </w:rPr>
        <w:t>consecutividad</w:t>
      </w:r>
      <w:r w:rsidRPr="006203C4">
        <w:rPr>
          <w:rFonts w:ascii="Times New Roman" w:hAnsi="Times New Roman"/>
        </w:rPr>
        <w:t xml:space="preserve"> dentro del </w:t>
      </w:r>
      <w:r w:rsidRPr="006203C4">
        <w:rPr>
          <w:rFonts w:ascii="Times New Roman" w:hAnsi="Times New Roman"/>
        </w:rPr>
        <w:t>P</w:t>
      </w:r>
      <w:r w:rsidRPr="006203C4">
        <w:rPr>
          <w:rFonts w:ascii="Times New Roman" w:hAnsi="Times New Roman"/>
        </w:rPr>
        <w:t xml:space="preserve">lan </w:t>
      </w:r>
      <w:r w:rsidRPr="006203C4">
        <w:rPr>
          <w:rFonts w:ascii="Times New Roman" w:hAnsi="Times New Roman"/>
        </w:rPr>
        <w:t>N</w:t>
      </w:r>
      <w:r w:rsidRPr="006203C4">
        <w:rPr>
          <w:rFonts w:ascii="Times New Roman" w:hAnsi="Times New Roman"/>
        </w:rPr>
        <w:t xml:space="preserve">acional de </w:t>
      </w:r>
      <w:r w:rsidRPr="006203C4">
        <w:rPr>
          <w:rFonts w:ascii="Times New Roman" w:hAnsi="Times New Roman"/>
        </w:rPr>
        <w:t>D</w:t>
      </w:r>
      <w:r w:rsidRPr="006203C4">
        <w:rPr>
          <w:rFonts w:ascii="Times New Roman" w:hAnsi="Times New Roman"/>
        </w:rPr>
        <w:t xml:space="preserve">esarrollo </w:t>
      </w:r>
      <w:r w:rsidRPr="006203C4">
        <w:rPr>
          <w:rFonts w:ascii="Times New Roman" w:hAnsi="Times New Roman"/>
        </w:rPr>
        <w:t xml:space="preserve">2018-2022 que: </w:t>
      </w:r>
      <w:r w:rsidRPr="006203C4">
        <w:rPr>
          <w:rFonts w:ascii="Times New Roman" w:hAnsi="Times New Roman"/>
        </w:rPr>
        <w:t>“se encuentran algunos extractos de los cuales se puede inferir que, dentro de las pr</w:t>
      </w:r>
      <w:r w:rsidRPr="006203C4">
        <w:rPr>
          <w:rFonts w:ascii="Times New Roman" w:hAnsi="Times New Roman"/>
        </w:rPr>
        <w:t>eocupaciones que se presentaron en el marco del primer debate surtido del proyecto convertido luego en la Ley 1955 de 2019, se encontraba la necesidad de aumentar la competitividad de diversos sectores del país, y resolver la crisis energética representada</w:t>
      </w:r>
      <w:r w:rsidRPr="006203C4">
        <w:rPr>
          <w:rFonts w:ascii="Times New Roman" w:hAnsi="Times New Roman"/>
        </w:rPr>
        <w:t xml:space="preserve"> principalmente en las circunstancias que rodeaban a Electricaribe</w:t>
      </w:r>
      <w:r w:rsidRPr="006203C4">
        <w:rPr>
          <w:rFonts w:ascii="Times New Roman" w:hAnsi="Times New Roman"/>
        </w:rPr>
        <w:t>”</w:t>
      </w:r>
      <w:r w:rsidRPr="006203C4">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0A98"/>
    <w:multiLevelType w:val="hybridMultilevel"/>
    <w:tmpl w:val="8E00F7C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BC2487"/>
    <w:multiLevelType w:val="hybridMultilevel"/>
    <w:tmpl w:val="1FFC77CA"/>
    <w:lvl w:ilvl="0" w:tplc="5AD4150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D6722C"/>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56D53"/>
    <w:multiLevelType w:val="hybridMultilevel"/>
    <w:tmpl w:val="966C3B7A"/>
    <w:lvl w:ilvl="0" w:tplc="37E6C60E">
      <w:start w:val="1"/>
      <w:numFmt w:val="upp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D32C75"/>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C96AD4"/>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8A4472"/>
    <w:multiLevelType w:val="hybridMultilevel"/>
    <w:tmpl w:val="099C13EA"/>
    <w:lvl w:ilvl="0" w:tplc="3E8C04F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EC3CCC"/>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372117"/>
    <w:multiLevelType w:val="hybridMultilevel"/>
    <w:tmpl w:val="62E68BB8"/>
    <w:lvl w:ilvl="0" w:tplc="C114A4B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F97CCC"/>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50146"/>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F6D7F37"/>
    <w:multiLevelType w:val="hybridMultilevel"/>
    <w:tmpl w:val="66BA8E88"/>
    <w:lvl w:ilvl="0" w:tplc="D99A9A48">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92978D7"/>
    <w:multiLevelType w:val="multilevel"/>
    <w:tmpl w:val="F0AA35CC"/>
    <w:styleLink w:val="Listaactual1"/>
    <w:lvl w:ilvl="0">
      <w:start w:val="3"/>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C634EE"/>
    <w:multiLevelType w:val="multilevel"/>
    <w:tmpl w:val="6D561F80"/>
    <w:lvl w:ilvl="0">
      <w:start w:val="1"/>
      <w:numFmt w:val="decimal"/>
      <w:lvlText w:val="%1."/>
      <w:lvlJc w:val="left"/>
      <w:pPr>
        <w:ind w:left="0" w:firstLine="0"/>
      </w:pPr>
      <w:rPr>
        <w:rFonts w:hint="default"/>
        <w:b w:val="0"/>
        <w:i w:val="0"/>
        <w:color w:val="000000" w:themeColor="text1"/>
        <w:sz w:val="28"/>
        <w:szCs w:val="28"/>
        <w:vertAlign w:val="baseline"/>
        <w:lang w:val="es-ES"/>
      </w:rPr>
    </w:lvl>
    <w:lvl w:ilvl="1">
      <w:start w:val="1"/>
      <w:numFmt w:val="decimal"/>
      <w:lvlText w:val="%1.%2."/>
      <w:lvlJc w:val="left"/>
      <w:pPr>
        <w:ind w:left="432" w:hanging="432"/>
      </w:pPr>
      <w:rPr>
        <w:rFonts w:hint="default"/>
        <w:b w:val="0"/>
        <w:i w:val="0"/>
        <w:color w:val="000000"/>
        <w:vertAlign w:val="baseline"/>
      </w:rPr>
    </w:lvl>
    <w:lvl w:ilvl="2">
      <w:start w:val="1"/>
      <w:numFmt w:val="decimal"/>
      <w:lvlText w:val="%1.%2.%3."/>
      <w:lvlJc w:val="left"/>
      <w:pPr>
        <w:ind w:left="1224" w:hanging="504"/>
      </w:pPr>
      <w:rPr>
        <w:rFonts w:hint="default"/>
        <w:i w:val="0"/>
        <w:vertAlign w:val="baseline"/>
      </w:rPr>
    </w:lvl>
    <w:lvl w:ilvl="3">
      <w:start w:val="1"/>
      <w:numFmt w:val="decimal"/>
      <w:lvlText w:val="%1.%2.%3.%4."/>
      <w:lvlJc w:val="left"/>
      <w:pPr>
        <w:ind w:left="1728" w:hanging="647"/>
      </w:pPr>
      <w:rPr>
        <w:rFonts w:hint="default"/>
        <w:i w:val="0"/>
        <w:vertAlign w:val="baseline"/>
      </w:rPr>
    </w:lvl>
    <w:lvl w:ilvl="4">
      <w:start w:val="1"/>
      <w:numFmt w:val="decimal"/>
      <w:lvlText w:val="%1.%2.%3.%4.%5."/>
      <w:lvlJc w:val="left"/>
      <w:pPr>
        <w:ind w:left="2232" w:hanging="792"/>
      </w:pPr>
      <w:rPr>
        <w:rFonts w:hint="default"/>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14" w15:restartNumberingAfterBreak="0">
    <w:nsid w:val="4E5D0B0A"/>
    <w:multiLevelType w:val="hybridMultilevel"/>
    <w:tmpl w:val="32E844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008178A"/>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CE1305"/>
    <w:multiLevelType w:val="hybridMultilevel"/>
    <w:tmpl w:val="8E00F7CE"/>
    <w:lvl w:ilvl="0" w:tplc="A2A8796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B1E5869"/>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B6735D6"/>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9E6634C"/>
    <w:multiLevelType w:val="hybridMultilevel"/>
    <w:tmpl w:val="261C6B7C"/>
    <w:lvl w:ilvl="0" w:tplc="E9981022">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F7E0F51"/>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1B2093D"/>
    <w:multiLevelType w:val="hybridMultilevel"/>
    <w:tmpl w:val="E4AE75F0"/>
    <w:lvl w:ilvl="0" w:tplc="7E7E0B7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F421EE"/>
    <w:multiLevelType w:val="hybridMultilevel"/>
    <w:tmpl w:val="AD0C25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80F3875"/>
    <w:multiLevelType w:val="hybridMultilevel"/>
    <w:tmpl w:val="AD0C25F6"/>
    <w:lvl w:ilvl="0" w:tplc="5CAA3C8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87737D"/>
    <w:multiLevelType w:val="hybridMultilevel"/>
    <w:tmpl w:val="FAFA028E"/>
    <w:lvl w:ilvl="0" w:tplc="2592C43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1"/>
  </w:num>
  <w:num w:numId="3">
    <w:abstractNumId w:val="13"/>
  </w:num>
  <w:num w:numId="4">
    <w:abstractNumId w:val="3"/>
  </w:num>
  <w:num w:numId="5">
    <w:abstractNumId w:val="23"/>
  </w:num>
  <w:num w:numId="6">
    <w:abstractNumId w:val="4"/>
  </w:num>
  <w:num w:numId="7">
    <w:abstractNumId w:val="15"/>
  </w:num>
  <w:num w:numId="8">
    <w:abstractNumId w:val="5"/>
  </w:num>
  <w:num w:numId="9">
    <w:abstractNumId w:val="20"/>
  </w:num>
  <w:num w:numId="10">
    <w:abstractNumId w:val="17"/>
  </w:num>
  <w:num w:numId="11">
    <w:abstractNumId w:val="7"/>
  </w:num>
  <w:num w:numId="12">
    <w:abstractNumId w:val="18"/>
  </w:num>
  <w:num w:numId="13">
    <w:abstractNumId w:val="22"/>
  </w:num>
  <w:num w:numId="14">
    <w:abstractNumId w:val="10"/>
  </w:num>
  <w:num w:numId="15">
    <w:abstractNumId w:val="9"/>
  </w:num>
  <w:num w:numId="16">
    <w:abstractNumId w:val="2"/>
  </w:num>
  <w:num w:numId="17">
    <w:abstractNumId w:val="19"/>
  </w:num>
  <w:num w:numId="18">
    <w:abstractNumId w:val="21"/>
  </w:num>
  <w:num w:numId="19">
    <w:abstractNumId w:val="8"/>
  </w:num>
  <w:num w:numId="20">
    <w:abstractNumId w:val="16"/>
  </w:num>
  <w:num w:numId="21">
    <w:abstractNumId w:val="0"/>
  </w:num>
  <w:num w:numId="22">
    <w:abstractNumId w:val="24"/>
  </w:num>
  <w:num w:numId="23">
    <w:abstractNumId w:val="6"/>
  </w:num>
  <w:num w:numId="24">
    <w:abstractNumId w:val="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3EC2"/>
    <w:rsid w:val="00383EC2"/>
    <w:rsid w:val="00635A00"/>
    <w:rsid w:val="00914D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D8E0F0A8-D325-41DD-8913-865722B6D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CE41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C3313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361510"/>
    <w:pPr>
      <w:keepNext/>
      <w:keepLines/>
      <w:spacing w:before="160" w:after="80" w:line="278" w:lineRule="auto"/>
      <w:outlineLvl w:val="2"/>
    </w:pPr>
    <w:rPr>
      <w:rFonts w:eastAsiaTheme="majorEastAsia" w:cstheme="majorBidi"/>
      <w:color w:val="2E74B5" w:themeColor="accent1" w:themeShade="BF"/>
      <w:kern w:val="2"/>
      <w:sz w:val="28"/>
      <w:szCs w:val="28"/>
    </w:rPr>
  </w:style>
  <w:style w:type="paragraph" w:styleId="Ttulo4">
    <w:name w:val="heading 4"/>
    <w:basedOn w:val="Normal"/>
    <w:next w:val="Normal"/>
    <w:link w:val="Ttulo4Car"/>
    <w:uiPriority w:val="9"/>
    <w:semiHidden/>
    <w:unhideWhenUsed/>
    <w:qFormat/>
    <w:rsid w:val="00361510"/>
    <w:pPr>
      <w:keepNext/>
      <w:keepLines/>
      <w:spacing w:before="80" w:after="40" w:line="278" w:lineRule="auto"/>
      <w:outlineLvl w:val="3"/>
    </w:pPr>
    <w:rPr>
      <w:rFonts w:eastAsiaTheme="majorEastAsia" w:cstheme="majorBidi"/>
      <w:i/>
      <w:iCs/>
      <w:color w:val="2E74B5" w:themeColor="accent1" w:themeShade="BF"/>
      <w:kern w:val="2"/>
      <w:szCs w:val="24"/>
    </w:rPr>
  </w:style>
  <w:style w:type="paragraph" w:styleId="Ttulo5">
    <w:name w:val="heading 5"/>
    <w:basedOn w:val="Normal"/>
    <w:next w:val="Normal"/>
    <w:link w:val="Ttulo5Car"/>
    <w:uiPriority w:val="9"/>
    <w:semiHidden/>
    <w:unhideWhenUsed/>
    <w:qFormat/>
    <w:rsid w:val="00361510"/>
    <w:pPr>
      <w:keepNext/>
      <w:keepLines/>
      <w:spacing w:before="80" w:after="40" w:line="278" w:lineRule="auto"/>
      <w:outlineLvl w:val="4"/>
    </w:pPr>
    <w:rPr>
      <w:rFonts w:eastAsiaTheme="majorEastAsia" w:cstheme="majorBidi"/>
      <w:color w:val="2E74B5" w:themeColor="accent1" w:themeShade="BF"/>
      <w:kern w:val="2"/>
      <w:szCs w:val="24"/>
    </w:rPr>
  </w:style>
  <w:style w:type="paragraph" w:styleId="Ttulo6">
    <w:name w:val="heading 6"/>
    <w:basedOn w:val="Normal"/>
    <w:next w:val="Normal"/>
    <w:link w:val="Ttulo6Car"/>
    <w:uiPriority w:val="9"/>
    <w:semiHidden/>
    <w:unhideWhenUsed/>
    <w:qFormat/>
    <w:rsid w:val="00361510"/>
    <w:pPr>
      <w:keepNext/>
      <w:keepLines/>
      <w:spacing w:before="40" w:line="278" w:lineRule="auto"/>
      <w:outlineLvl w:val="5"/>
    </w:pPr>
    <w:rPr>
      <w:rFonts w:eastAsiaTheme="majorEastAsia" w:cstheme="majorBidi"/>
      <w:i/>
      <w:iCs/>
      <w:color w:val="595959" w:themeColor="text1" w:themeTint="A6"/>
      <w:kern w:val="2"/>
      <w:szCs w:val="24"/>
    </w:rPr>
  </w:style>
  <w:style w:type="paragraph" w:styleId="Ttulo7">
    <w:name w:val="heading 7"/>
    <w:basedOn w:val="Normal"/>
    <w:next w:val="Normal"/>
    <w:link w:val="Ttulo7Car"/>
    <w:uiPriority w:val="9"/>
    <w:semiHidden/>
    <w:unhideWhenUsed/>
    <w:qFormat/>
    <w:rsid w:val="00361510"/>
    <w:pPr>
      <w:keepNext/>
      <w:keepLines/>
      <w:spacing w:before="40" w:line="278" w:lineRule="auto"/>
      <w:outlineLvl w:val="6"/>
    </w:pPr>
    <w:rPr>
      <w:rFonts w:eastAsiaTheme="majorEastAsia" w:cstheme="majorBidi"/>
      <w:color w:val="595959" w:themeColor="text1" w:themeTint="A6"/>
      <w:kern w:val="2"/>
      <w:szCs w:val="24"/>
    </w:rPr>
  </w:style>
  <w:style w:type="paragraph" w:styleId="Ttulo8">
    <w:name w:val="heading 8"/>
    <w:basedOn w:val="Normal"/>
    <w:next w:val="Normal"/>
    <w:link w:val="Ttulo8Car"/>
    <w:uiPriority w:val="9"/>
    <w:semiHidden/>
    <w:unhideWhenUsed/>
    <w:qFormat/>
    <w:rsid w:val="00361510"/>
    <w:pPr>
      <w:keepNext/>
      <w:keepLines/>
      <w:spacing w:line="278" w:lineRule="auto"/>
      <w:outlineLvl w:val="7"/>
    </w:pPr>
    <w:rPr>
      <w:rFonts w:eastAsiaTheme="majorEastAsia" w:cstheme="majorBidi"/>
      <w:i/>
      <w:iCs/>
      <w:color w:val="272727" w:themeColor="text1" w:themeTint="D8"/>
      <w:kern w:val="2"/>
      <w:szCs w:val="24"/>
    </w:rPr>
  </w:style>
  <w:style w:type="paragraph" w:styleId="Ttulo9">
    <w:name w:val="heading 9"/>
    <w:basedOn w:val="Normal"/>
    <w:next w:val="Normal"/>
    <w:link w:val="Ttulo9Car"/>
    <w:uiPriority w:val="9"/>
    <w:semiHidden/>
    <w:unhideWhenUsed/>
    <w:qFormat/>
    <w:rsid w:val="00361510"/>
    <w:pPr>
      <w:keepNext/>
      <w:keepLines/>
      <w:spacing w:line="278" w:lineRule="auto"/>
      <w:outlineLvl w:val="8"/>
    </w:pPr>
    <w:rPr>
      <w:rFonts w:eastAsiaTheme="majorEastAsia" w:cstheme="majorBidi"/>
      <w:color w:val="272727" w:themeColor="text1" w:themeTint="D8"/>
      <w:kern w:val="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3313F"/>
    <w:rPr>
      <w:rFonts w:asciiTheme="majorHAnsi" w:eastAsiaTheme="majorEastAsia" w:hAnsiTheme="majorHAnsi" w:cstheme="majorBidi"/>
      <w:color w:val="2E74B5" w:themeColor="accent1" w:themeShade="BF"/>
      <w:sz w:val="26"/>
      <w:szCs w:val="26"/>
      <w:lang w:eastAsia="es-ES_tradnl"/>
    </w:rPr>
  </w:style>
  <w:style w:type="paragraph" w:styleId="Piedepgina">
    <w:name w:val="footer"/>
    <w:basedOn w:val="Normal"/>
    <w:link w:val="PiedepginaCar"/>
    <w:uiPriority w:val="99"/>
    <w:unhideWhenUsed/>
    <w:rsid w:val="00C3313F"/>
    <w:pPr>
      <w:widowControl w:val="0"/>
      <w:tabs>
        <w:tab w:val="center" w:pos="4252"/>
        <w:tab w:val="right" w:pos="8504"/>
      </w:tabs>
      <w:jc w:val="both"/>
    </w:pPr>
    <w:rPr>
      <w:color w:val="000000"/>
      <w:sz w:val="28"/>
      <w:szCs w:val="28"/>
      <w:lang w:val="es-ES" w:eastAsia="es-ES"/>
    </w:rPr>
  </w:style>
  <w:style w:type="character" w:customStyle="1" w:styleId="PiedepginaCar">
    <w:name w:val="Pie de página Car"/>
    <w:basedOn w:val="Fuentedeprrafopredeter"/>
    <w:link w:val="Piedepgina"/>
    <w:uiPriority w:val="99"/>
    <w:rsid w:val="00C3313F"/>
    <w:rPr>
      <w:rFonts w:ascii="Times New Roman" w:eastAsia="Times New Roman" w:hAnsi="Times New Roman" w:cs="Times New Roman"/>
      <w:color w:val="000000"/>
      <w:sz w:val="28"/>
      <w:szCs w:val="28"/>
      <w:lang w:val="es-ES" w:eastAsia="es-ES"/>
    </w:rPr>
  </w:style>
  <w:style w:type="paragraph" w:styleId="Textonotapie">
    <w:name w:val="footnote text"/>
    <w:aliases w:val="Footnote Text Char Char Char Char Char,Footnote Text Char Char Char Char,Footnote reference,FA Fu,texto de nota al pie,Footnote Text Char,Footnote Text Char Char Char Char Char Char Char Char,texto de nota al pi,Ref. de nota al pie1,ft,5_"/>
    <w:basedOn w:val="Normal"/>
    <w:link w:val="TextonotapieCar"/>
    <w:uiPriority w:val="99"/>
    <w:unhideWhenUsed/>
    <w:qFormat/>
    <w:rsid w:val="00C3313F"/>
    <w:pPr>
      <w:widowControl w:val="0"/>
      <w:jc w:val="both"/>
    </w:pPr>
    <w:rPr>
      <w:color w:val="00000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ft Car,5_ Car"/>
    <w:basedOn w:val="Fuentedeprrafopredeter"/>
    <w:link w:val="Textonotapie"/>
    <w:uiPriority w:val="99"/>
    <w:qFormat/>
    <w:rsid w:val="00C3313F"/>
    <w:rPr>
      <w:rFonts w:ascii="Times New Roman" w:eastAsia="Times New Roman" w:hAnsi="Times New Roman" w:cs="Times New Roman"/>
      <w:color w:val="000000"/>
      <w:sz w:val="20"/>
      <w:szCs w:val="20"/>
      <w:lang w:val="es-ES" w:eastAsia="es-ES"/>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C3313F"/>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C3313F"/>
    <w:pPr>
      <w:jc w:val="both"/>
    </w:pPr>
    <w:rPr>
      <w:rFonts w:eastAsiaTheme="minorHAnsi"/>
      <w:vertAlign w:val="superscript"/>
      <w:lang w:eastAsia="en-US"/>
    </w:rPr>
  </w:style>
  <w:style w:type="paragraph" w:customStyle="1" w:styleId="Sombreadovistoso-nfasis31">
    <w:name w:val="Sombreado vistoso - Énfasis 31"/>
    <w:basedOn w:val="Normal"/>
    <w:uiPriority w:val="34"/>
    <w:qFormat/>
    <w:rsid w:val="00C3313F"/>
    <w:pPr>
      <w:widowControl w:val="0"/>
      <w:ind w:left="720"/>
      <w:contextualSpacing/>
      <w:jc w:val="both"/>
    </w:pPr>
    <w:rPr>
      <w:color w:val="000000"/>
      <w:sz w:val="28"/>
      <w:szCs w:val="28"/>
      <w:lang w:val="es-ES" w:eastAsia="es-ES"/>
    </w:rPr>
  </w:style>
  <w:style w:type="table" w:styleId="Tablaconcuadrcula">
    <w:name w:val="Table Grid"/>
    <w:basedOn w:val="Tablanormal"/>
    <w:uiPriority w:val="39"/>
    <w:rsid w:val="00C3313F"/>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olorful List - Accent 11,Ha,List Paragraph1,lp1,List Paragraph2,Footnote,Normal1,titulo 3,Párrafo de lista1,Bolita,Bullets,List Paragraph_0,List Paragraph_1,parrafo,Párrafo de lista Numerado,Segundo nivel de viñetas,List Paragraph 1"/>
    <w:basedOn w:val="Normal"/>
    <w:link w:val="PrrafodelistaCar"/>
    <w:uiPriority w:val="34"/>
    <w:qFormat/>
    <w:rsid w:val="00C3313F"/>
    <w:pPr>
      <w:widowControl w:val="0"/>
      <w:ind w:left="708"/>
      <w:jc w:val="both"/>
    </w:pPr>
    <w:rPr>
      <w:color w:val="000000"/>
      <w:sz w:val="28"/>
      <w:szCs w:val="28"/>
      <w:lang w:val="es-ES" w:eastAsia="es-ES"/>
    </w:rPr>
  </w:style>
  <w:style w:type="character" w:customStyle="1" w:styleId="PrrafodelistaCar">
    <w:name w:val="Párrafo de lista Car"/>
    <w:aliases w:val="Colorful List - Accent 11 Car,Ha Car,List Paragraph1 Car,lp1 Car,List Paragraph2 Car,Footnote Car,Normal1 Car,titulo 3 Car,Párrafo de lista1 Car,Bolita Car,Bullets Car,List Paragraph_0 Car,List Paragraph_1 Car,parrafo Car"/>
    <w:link w:val="Prrafodelista"/>
    <w:uiPriority w:val="34"/>
    <w:locked/>
    <w:rsid w:val="00C3313F"/>
    <w:rPr>
      <w:rFonts w:ascii="Times New Roman" w:eastAsia="Times New Roman" w:hAnsi="Times New Roman" w:cs="Times New Roman"/>
      <w:color w:val="000000"/>
      <w:sz w:val="28"/>
      <w:szCs w:val="28"/>
      <w:lang w:val="es-ES" w:eastAsia="es-ES"/>
    </w:rPr>
  </w:style>
  <w:style w:type="paragraph" w:styleId="Descripcin">
    <w:name w:val="caption"/>
    <w:basedOn w:val="Normal"/>
    <w:next w:val="Normal"/>
    <w:uiPriority w:val="99"/>
    <w:qFormat/>
    <w:rsid w:val="00C3313F"/>
    <w:pPr>
      <w:overflowPunct w:val="0"/>
      <w:autoSpaceDE w:val="0"/>
      <w:autoSpaceDN w:val="0"/>
      <w:adjustRightInd w:val="0"/>
      <w:ind w:right="51"/>
      <w:jc w:val="center"/>
      <w:textAlignment w:val="baseline"/>
    </w:pPr>
    <w:rPr>
      <w:b/>
      <w:caps/>
      <w:sz w:val="28"/>
      <w:szCs w:val="20"/>
      <w:lang w:val="es-ES" w:eastAsia="es-ES"/>
    </w:rPr>
  </w:style>
  <w:style w:type="paragraph" w:styleId="Ttulo">
    <w:name w:val="Title"/>
    <w:basedOn w:val="Normal"/>
    <w:link w:val="TtuloCar"/>
    <w:uiPriority w:val="10"/>
    <w:qFormat/>
    <w:rsid w:val="00C3313F"/>
    <w:pPr>
      <w:ind w:right="51"/>
      <w:jc w:val="center"/>
      <w:outlineLvl w:val="0"/>
    </w:pPr>
    <w:rPr>
      <w:b/>
      <w:szCs w:val="20"/>
      <w:lang w:val="es-ES" w:eastAsia="es-ES"/>
    </w:rPr>
  </w:style>
  <w:style w:type="character" w:customStyle="1" w:styleId="TtuloCar">
    <w:name w:val="Título Car"/>
    <w:basedOn w:val="Fuentedeprrafopredeter"/>
    <w:link w:val="Ttulo"/>
    <w:uiPriority w:val="10"/>
    <w:rsid w:val="00C3313F"/>
    <w:rPr>
      <w:rFonts w:ascii="Times New Roman" w:eastAsia="Times New Roman" w:hAnsi="Times New Roman" w:cs="Times New Roman"/>
      <w:b/>
      <w:sz w:val="24"/>
      <w:szCs w:val="20"/>
      <w:lang w:val="es-ES" w:eastAsia="es-ES"/>
    </w:rPr>
  </w:style>
  <w:style w:type="character" w:styleId="Nmerodepgina">
    <w:name w:val="page number"/>
    <w:basedOn w:val="Fuentedeprrafopredeter"/>
    <w:uiPriority w:val="99"/>
    <w:semiHidden/>
    <w:unhideWhenUsed/>
    <w:rsid w:val="00C3313F"/>
  </w:style>
  <w:style w:type="paragraph" w:styleId="Encabezado">
    <w:name w:val="header"/>
    <w:basedOn w:val="Normal"/>
    <w:link w:val="EncabezadoCar"/>
    <w:uiPriority w:val="99"/>
    <w:unhideWhenUsed/>
    <w:rsid w:val="00C63EFA"/>
    <w:pPr>
      <w:tabs>
        <w:tab w:val="center" w:pos="4419"/>
        <w:tab w:val="right" w:pos="8838"/>
      </w:tabs>
    </w:pPr>
  </w:style>
  <w:style w:type="character" w:customStyle="1" w:styleId="EncabezadoCar">
    <w:name w:val="Encabezado Car"/>
    <w:basedOn w:val="Fuentedeprrafopredeter"/>
    <w:link w:val="Encabezado"/>
    <w:uiPriority w:val="99"/>
    <w:rsid w:val="00C63EFA"/>
    <w:rPr>
      <w:rFonts w:ascii="Times New Roman" w:eastAsia="Times New Roman" w:hAnsi="Times New Roman" w:cs="Times New Roman"/>
      <w:sz w:val="24"/>
      <w:szCs w:val="24"/>
      <w:lang w:eastAsia="es-ES_tradnl"/>
    </w:rPr>
  </w:style>
  <w:style w:type="paragraph" w:styleId="NormalWeb">
    <w:name w:val="Normal (Web)"/>
    <w:basedOn w:val="Normal"/>
    <w:uiPriority w:val="99"/>
    <w:unhideWhenUsed/>
    <w:rsid w:val="00D659CE"/>
    <w:pPr>
      <w:spacing w:before="100" w:beforeAutospacing="1" w:after="100" w:afterAutospacing="1"/>
    </w:pPr>
  </w:style>
  <w:style w:type="paragraph" w:customStyle="1" w:styleId="Default">
    <w:name w:val="Default"/>
    <w:rsid w:val="008D6CB5"/>
    <w:pPr>
      <w:autoSpaceDE w:val="0"/>
      <w:autoSpaceDN w:val="0"/>
      <w:adjustRightInd w:val="0"/>
    </w:pPr>
    <w:rPr>
      <w:rFonts w:ascii="Times New Roman" w:hAnsi="Times New Roman" w:cs="Times New Roman"/>
      <w:color w:val="000000"/>
      <w:sz w:val="24"/>
      <w:szCs w:val="24"/>
    </w:rPr>
  </w:style>
  <w:style w:type="character" w:customStyle="1" w:styleId="Hyperlink0">
    <w:name w:val="Hyperlink.0"/>
    <w:basedOn w:val="Fuentedeprrafopredeter"/>
    <w:rsid w:val="00C5376C"/>
    <w:rPr>
      <w:color w:val="000000"/>
      <w:u w:color="000000"/>
    </w:rPr>
  </w:style>
  <w:style w:type="character" w:styleId="Hipervnculo">
    <w:name w:val="Hyperlink"/>
    <w:basedOn w:val="Fuentedeprrafopredeter"/>
    <w:uiPriority w:val="99"/>
    <w:unhideWhenUsed/>
    <w:rsid w:val="00EB5D3F"/>
    <w:rPr>
      <w:color w:val="0000FF"/>
      <w:u w:val="single"/>
    </w:rPr>
  </w:style>
  <w:style w:type="character" w:customStyle="1" w:styleId="baj">
    <w:name w:val="b_aj"/>
    <w:basedOn w:val="Fuentedeprrafopredeter"/>
    <w:rsid w:val="00437F18"/>
  </w:style>
  <w:style w:type="character" w:customStyle="1" w:styleId="iaj">
    <w:name w:val="i_aj"/>
    <w:basedOn w:val="Fuentedeprrafopredeter"/>
    <w:rsid w:val="005766C8"/>
  </w:style>
  <w:style w:type="character" w:styleId="Refdenotaalfinal">
    <w:name w:val="endnote reference"/>
    <w:basedOn w:val="Fuentedeprrafopredeter"/>
    <w:uiPriority w:val="99"/>
    <w:semiHidden/>
    <w:unhideWhenUsed/>
    <w:rsid w:val="009718A1"/>
  </w:style>
  <w:style w:type="paragraph" w:customStyle="1" w:styleId="centrado">
    <w:name w:val="centrado"/>
    <w:basedOn w:val="Normal"/>
    <w:rsid w:val="00FE654A"/>
    <w:pPr>
      <w:spacing w:before="100" w:beforeAutospacing="1" w:after="100" w:afterAutospacing="1"/>
    </w:pPr>
  </w:style>
  <w:style w:type="paragraph" w:styleId="Revisin">
    <w:name w:val="Revision"/>
    <w:hidden/>
    <w:uiPriority w:val="99"/>
    <w:semiHidden/>
    <w:rsid w:val="00102DFF"/>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D462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6272"/>
    <w:rPr>
      <w:rFonts w:ascii="Segoe UI" w:eastAsia="Times New Roman" w:hAnsi="Segoe UI" w:cs="Segoe UI"/>
      <w:sz w:val="18"/>
      <w:szCs w:val="18"/>
      <w:lang w:eastAsia="es-ES_tradnl"/>
    </w:rPr>
  </w:style>
  <w:style w:type="character" w:styleId="Refdecomentario">
    <w:name w:val="annotation reference"/>
    <w:basedOn w:val="Fuentedeprrafopredeter"/>
    <w:uiPriority w:val="99"/>
    <w:semiHidden/>
    <w:unhideWhenUsed/>
    <w:rsid w:val="009B65FB"/>
    <w:rPr>
      <w:sz w:val="16"/>
      <w:szCs w:val="16"/>
    </w:rPr>
  </w:style>
  <w:style w:type="paragraph" w:styleId="Textocomentario">
    <w:name w:val="annotation text"/>
    <w:basedOn w:val="Normal"/>
    <w:link w:val="TextocomentarioCar"/>
    <w:uiPriority w:val="99"/>
    <w:unhideWhenUsed/>
    <w:rsid w:val="009B65FB"/>
    <w:rPr>
      <w:sz w:val="20"/>
      <w:szCs w:val="20"/>
    </w:rPr>
  </w:style>
  <w:style w:type="character" w:customStyle="1" w:styleId="TextocomentarioCar">
    <w:name w:val="Texto comentario Car"/>
    <w:basedOn w:val="Fuentedeprrafopredeter"/>
    <w:link w:val="Textocomentario"/>
    <w:uiPriority w:val="99"/>
    <w:rsid w:val="009B65FB"/>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9B65FB"/>
    <w:rPr>
      <w:b/>
      <w:bCs/>
    </w:rPr>
  </w:style>
  <w:style w:type="character" w:customStyle="1" w:styleId="AsuntodelcomentarioCar">
    <w:name w:val="Asunto del comentario Car"/>
    <w:basedOn w:val="TextocomentarioCar"/>
    <w:link w:val="Asuntodelcomentario"/>
    <w:uiPriority w:val="99"/>
    <w:semiHidden/>
    <w:rsid w:val="009B65FB"/>
    <w:rPr>
      <w:rFonts w:ascii="Times New Roman" w:eastAsia="Times New Roman" w:hAnsi="Times New Roman" w:cs="Times New Roman"/>
      <w:b/>
      <w:bCs/>
      <w:sz w:val="20"/>
      <w:szCs w:val="20"/>
      <w:lang w:eastAsia="es-ES_tradnl"/>
    </w:rPr>
  </w:style>
  <w:style w:type="paragraph" w:customStyle="1" w:styleId="Piedepaginabsico">
    <w:name w:val="Pie de pagina básico"/>
    <w:basedOn w:val="Normal"/>
    <w:uiPriority w:val="99"/>
    <w:qFormat/>
    <w:rsid w:val="00BF64DA"/>
    <w:pPr>
      <w:jc w:val="both"/>
    </w:pPr>
    <w:rPr>
      <w:rFonts w:eastAsiaTheme="minorHAnsi"/>
      <w:lang w:eastAsia="en-US"/>
    </w:rPr>
  </w:style>
  <w:style w:type="character" w:customStyle="1" w:styleId="Mencinsinresolver1">
    <w:name w:val="Mención sin resolver1"/>
    <w:basedOn w:val="Fuentedeprrafopredeter"/>
    <w:uiPriority w:val="99"/>
    <w:semiHidden/>
    <w:unhideWhenUsed/>
    <w:rsid w:val="004A5A7F"/>
    <w:rPr>
      <w:color w:val="605E5C"/>
      <w:shd w:val="clear" w:color="auto" w:fill="E1DFDD"/>
    </w:rPr>
  </w:style>
  <w:style w:type="paragraph" w:customStyle="1" w:styleId="Pa13">
    <w:name w:val="Pa13"/>
    <w:basedOn w:val="Default"/>
    <w:next w:val="Default"/>
    <w:uiPriority w:val="99"/>
    <w:rsid w:val="00352B63"/>
    <w:pPr>
      <w:spacing w:line="211" w:lineRule="atLeast"/>
    </w:pPr>
    <w:rPr>
      <w:color w:val="auto"/>
    </w:rPr>
  </w:style>
  <w:style w:type="paragraph" w:customStyle="1" w:styleId="Pa16">
    <w:name w:val="Pa16"/>
    <w:basedOn w:val="Default"/>
    <w:next w:val="Default"/>
    <w:uiPriority w:val="99"/>
    <w:rsid w:val="00EE2F02"/>
    <w:pPr>
      <w:spacing w:line="211" w:lineRule="atLeast"/>
    </w:pPr>
    <w:rPr>
      <w:color w:val="auto"/>
    </w:rPr>
  </w:style>
  <w:style w:type="paragraph" w:customStyle="1" w:styleId="Pa12">
    <w:name w:val="Pa12"/>
    <w:basedOn w:val="Default"/>
    <w:next w:val="Default"/>
    <w:uiPriority w:val="99"/>
    <w:rsid w:val="00AA2FE1"/>
    <w:pPr>
      <w:spacing w:line="231" w:lineRule="atLeast"/>
    </w:pPr>
    <w:rPr>
      <w:color w:val="auto"/>
    </w:rPr>
  </w:style>
  <w:style w:type="numbering" w:customStyle="1" w:styleId="Listaactual1">
    <w:name w:val="Lista actual1"/>
    <w:uiPriority w:val="99"/>
    <w:rsid w:val="00E90DFA"/>
    <w:pPr>
      <w:numPr>
        <w:numId w:val="1"/>
      </w:numPr>
    </w:pPr>
  </w:style>
  <w:style w:type="character" w:customStyle="1" w:styleId="Ttulo1Car">
    <w:name w:val="Título 1 Car"/>
    <w:basedOn w:val="Fuentedeprrafopredeter"/>
    <w:link w:val="Ttulo1"/>
    <w:uiPriority w:val="9"/>
    <w:rsid w:val="00CE4144"/>
    <w:rPr>
      <w:rFonts w:asciiTheme="majorHAnsi" w:eastAsiaTheme="majorEastAsia" w:hAnsiTheme="majorHAnsi" w:cstheme="majorBidi"/>
      <w:color w:val="2E74B5" w:themeColor="accent1" w:themeShade="BF"/>
      <w:sz w:val="32"/>
      <w:szCs w:val="32"/>
      <w:lang w:eastAsia="es-ES_tradnl"/>
    </w:rPr>
  </w:style>
  <w:style w:type="paragraph" w:styleId="Textoindependiente">
    <w:name w:val="Body Text"/>
    <w:basedOn w:val="Normal"/>
    <w:link w:val="TextoindependienteCar"/>
    <w:uiPriority w:val="1"/>
    <w:qFormat/>
    <w:rsid w:val="00002701"/>
    <w:pPr>
      <w:widowControl w:val="0"/>
      <w:autoSpaceDE w:val="0"/>
      <w:autoSpaceDN w:val="0"/>
    </w:pPr>
    <w:rPr>
      <w:sz w:val="28"/>
      <w:szCs w:val="28"/>
      <w:lang w:val="es-ES" w:eastAsia="en-US"/>
    </w:rPr>
  </w:style>
  <w:style w:type="character" w:customStyle="1" w:styleId="TextoindependienteCar">
    <w:name w:val="Texto independiente Car"/>
    <w:basedOn w:val="Fuentedeprrafopredeter"/>
    <w:link w:val="Textoindependiente"/>
    <w:uiPriority w:val="1"/>
    <w:rsid w:val="00002701"/>
    <w:rPr>
      <w:rFonts w:ascii="Times New Roman" w:eastAsia="Times New Roman" w:hAnsi="Times New Roman" w:cs="Times New Roman"/>
      <w:sz w:val="28"/>
      <w:szCs w:val="28"/>
      <w:lang w:val="es-ES"/>
    </w:rPr>
  </w:style>
  <w:style w:type="paragraph" w:styleId="Lista">
    <w:name w:val="List"/>
    <w:basedOn w:val="Normal"/>
    <w:uiPriority w:val="99"/>
    <w:unhideWhenUsed/>
    <w:rsid w:val="00E3605C"/>
    <w:pPr>
      <w:spacing w:after="200" w:line="276" w:lineRule="auto"/>
      <w:ind w:left="283" w:hanging="283"/>
      <w:contextualSpacing/>
    </w:pPr>
    <w:rPr>
      <w:sz w:val="28"/>
    </w:rPr>
  </w:style>
  <w:style w:type="paragraph" w:customStyle="1" w:styleId="Refdenotaalpie2">
    <w:name w:val="Ref. de nota al pie2"/>
    <w:aliases w:val="Pie de pagina"/>
    <w:basedOn w:val="Normal"/>
    <w:uiPriority w:val="99"/>
    <w:qFormat/>
    <w:rsid w:val="00146D66"/>
    <w:pPr>
      <w:spacing w:line="240" w:lineRule="exact"/>
    </w:pPr>
    <w:rPr>
      <w:vertAlign w:val="superscript"/>
      <w:lang w:eastAsia="en-US"/>
    </w:rPr>
  </w:style>
  <w:style w:type="paragraph" w:styleId="Textoindependiente2">
    <w:name w:val="Body Text 2"/>
    <w:basedOn w:val="Normal"/>
    <w:link w:val="Textoindependiente2Car"/>
    <w:uiPriority w:val="99"/>
    <w:semiHidden/>
    <w:unhideWhenUsed/>
    <w:rsid w:val="00F33399"/>
    <w:pPr>
      <w:spacing w:after="120" w:line="480" w:lineRule="auto"/>
    </w:pPr>
  </w:style>
  <w:style w:type="character" w:customStyle="1" w:styleId="Textoindependiente2Car">
    <w:name w:val="Texto independiente 2 Car"/>
    <w:basedOn w:val="Fuentedeprrafopredeter"/>
    <w:link w:val="Textoindependiente2"/>
    <w:uiPriority w:val="99"/>
    <w:semiHidden/>
    <w:rsid w:val="00F33399"/>
    <w:rPr>
      <w:rFonts w:ascii="Times New Roman" w:eastAsia="Times New Roman" w:hAnsi="Times New Roman" w:cs="Times New Roman"/>
      <w:sz w:val="24"/>
      <w:szCs w:val="24"/>
      <w:lang w:eastAsia="es-ES_tradnl"/>
    </w:rPr>
  </w:style>
  <w:style w:type="paragraph" w:styleId="Sinespaciado">
    <w:name w:val="No Spacing"/>
    <w:uiPriority w:val="1"/>
    <w:qFormat/>
    <w:rsid w:val="00D5076E"/>
  </w:style>
  <w:style w:type="character" w:customStyle="1" w:styleId="TextonotapieCar2">
    <w:name w:val="Texto nota pie Car2"/>
    <w:aliases w:val="Footnote Text Char Char Char Char Char Car1,Footnote Text Char Char Char Char Car1,Ref. de nota al pie1 Car1,FA Fu Car1,texto de nota al pie Car1,Footnote Text Char Car1,Footnote Text Char Char Char Char Char Char Char Char Car1"/>
    <w:uiPriority w:val="99"/>
    <w:locked/>
    <w:rsid w:val="001E2D72"/>
    <w:rPr>
      <w:rFonts w:ascii="Times New Roman" w:hAnsi="Times New Roman"/>
      <w:sz w:val="20"/>
      <w:lang w:val="es-ES" w:eastAsia="es-ES"/>
    </w:rPr>
  </w:style>
  <w:style w:type="character" w:customStyle="1" w:styleId="normaltextrun">
    <w:name w:val="normaltextrun"/>
    <w:basedOn w:val="Fuentedeprrafopredeter"/>
    <w:rsid w:val="00F964B2"/>
  </w:style>
  <w:style w:type="character" w:styleId="nfasis">
    <w:name w:val="Emphasis"/>
    <w:basedOn w:val="Fuentedeprrafopredeter"/>
    <w:uiPriority w:val="20"/>
    <w:qFormat/>
    <w:rsid w:val="00453DC1"/>
    <w:rPr>
      <w:i/>
      <w:iCs/>
    </w:rPr>
  </w:style>
  <w:style w:type="paragraph" w:customStyle="1" w:styleId="Sinespaciado1">
    <w:name w:val="Sin espaciado1"/>
    <w:link w:val="NoSpacingChar"/>
    <w:qFormat/>
    <w:rsid w:val="00A00C24"/>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00C24"/>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uiPriority w:val="9"/>
    <w:semiHidden/>
    <w:rsid w:val="00361510"/>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361510"/>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361510"/>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36151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6151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6151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61510"/>
    <w:rPr>
      <w:rFonts w:eastAsiaTheme="majorEastAsia" w:cstheme="majorBidi"/>
      <w:color w:val="272727" w:themeColor="text1" w:themeTint="D8"/>
    </w:rPr>
  </w:style>
  <w:style w:type="paragraph" w:styleId="Subttulo">
    <w:name w:val="Subtitle"/>
    <w:basedOn w:val="Normal"/>
    <w:next w:val="Normal"/>
    <w:link w:val="SubttuloCar"/>
    <w:uiPriority w:val="11"/>
    <w:qFormat/>
    <w:rsid w:val="00361510"/>
    <w:pPr>
      <w:numPr>
        <w:ilvl w:val="1"/>
      </w:numPr>
      <w:spacing w:line="278" w:lineRule="auto"/>
    </w:pPr>
    <w:rPr>
      <w:rFonts w:eastAsiaTheme="majorEastAsia" w:cstheme="majorBidi"/>
      <w:color w:val="595959" w:themeColor="text1" w:themeTint="A6"/>
      <w:spacing w:val="15"/>
      <w:kern w:val="2"/>
      <w:sz w:val="28"/>
      <w:szCs w:val="28"/>
    </w:rPr>
  </w:style>
  <w:style w:type="character" w:customStyle="1" w:styleId="SubttuloCar">
    <w:name w:val="Subtítulo Car"/>
    <w:basedOn w:val="Fuentedeprrafopredeter"/>
    <w:link w:val="Subttulo"/>
    <w:uiPriority w:val="11"/>
    <w:rsid w:val="0036151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61510"/>
    <w:pPr>
      <w:spacing w:before="160" w:line="278" w:lineRule="auto"/>
      <w:jc w:val="center"/>
    </w:pPr>
    <w:rPr>
      <w:i/>
      <w:iCs/>
      <w:color w:val="404040" w:themeColor="text1" w:themeTint="BF"/>
      <w:kern w:val="2"/>
      <w:szCs w:val="24"/>
    </w:rPr>
  </w:style>
  <w:style w:type="character" w:customStyle="1" w:styleId="CitaCar">
    <w:name w:val="Cita Car"/>
    <w:basedOn w:val="Fuentedeprrafopredeter"/>
    <w:link w:val="Cita"/>
    <w:uiPriority w:val="29"/>
    <w:rsid w:val="00361510"/>
    <w:rPr>
      <w:i/>
      <w:iCs/>
      <w:color w:val="404040" w:themeColor="text1" w:themeTint="BF"/>
    </w:rPr>
  </w:style>
  <w:style w:type="character" w:styleId="nfasisintenso">
    <w:name w:val="Intense Emphasis"/>
    <w:basedOn w:val="Fuentedeprrafopredeter"/>
    <w:uiPriority w:val="21"/>
    <w:qFormat/>
    <w:rsid w:val="00361510"/>
    <w:rPr>
      <w:i/>
      <w:iCs/>
      <w:color w:val="2E74B5" w:themeColor="accent1" w:themeShade="BF"/>
    </w:rPr>
  </w:style>
  <w:style w:type="paragraph" w:styleId="Citadestacada">
    <w:name w:val="Intense Quote"/>
    <w:basedOn w:val="Normal"/>
    <w:next w:val="Normal"/>
    <w:link w:val="CitadestacadaCar"/>
    <w:uiPriority w:val="30"/>
    <w:qFormat/>
    <w:rsid w:val="00361510"/>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Cs w:val="24"/>
    </w:rPr>
  </w:style>
  <w:style w:type="character" w:customStyle="1" w:styleId="CitadestacadaCar">
    <w:name w:val="Cita destacada Car"/>
    <w:basedOn w:val="Fuentedeprrafopredeter"/>
    <w:link w:val="Citadestacada"/>
    <w:uiPriority w:val="30"/>
    <w:rsid w:val="00361510"/>
    <w:rPr>
      <w:i/>
      <w:iCs/>
      <w:color w:val="2E74B5" w:themeColor="accent1" w:themeShade="BF"/>
    </w:rPr>
  </w:style>
  <w:style w:type="character" w:styleId="Referenciaintensa">
    <w:name w:val="Intense Reference"/>
    <w:basedOn w:val="Fuentedeprrafopredeter"/>
    <w:uiPriority w:val="32"/>
    <w:qFormat/>
    <w:rsid w:val="00361510"/>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retariasenado.gov.co/senado/basedoc/ley_1448_2011.html" TargetMode="External"/><Relationship Id="rId18" Type="http://schemas.openxmlformats.org/officeDocument/2006/relationships/hyperlink" Target="http://www.secretariasenado.gov.co/senado/basedoc/ley_1708_2014_pr002.html" TargetMode="External"/><Relationship Id="rId26" Type="http://schemas.openxmlformats.org/officeDocument/2006/relationships/hyperlink" Target="http://www.secretariasenado.gov.co/senado/basedoc/decreto_0902_2017_pr001.html" TargetMode="External"/><Relationship Id="rId39" Type="http://schemas.openxmlformats.org/officeDocument/2006/relationships/hyperlink" Target="http://www.secretariasenado.gov.co/senado/basedoc/decreto_0902_2017_pr001.html" TargetMode="External"/><Relationship Id="rId21" Type="http://schemas.openxmlformats.org/officeDocument/2006/relationships/hyperlink" Target="http://www.secretariasenado.gov.co/senado/basedoc/decreto_0902_2017.html" TargetMode="External"/><Relationship Id="rId34" Type="http://schemas.openxmlformats.org/officeDocument/2006/relationships/hyperlink" Target="http://www.secretariasenado.gov.co/senado/basedoc/decreto_0902_2017.html" TargetMode="External"/><Relationship Id="rId42" Type="http://schemas.openxmlformats.org/officeDocument/2006/relationships/image" Target="media/image4.bin"/><Relationship Id="rId7" Type="http://schemas.openxmlformats.org/officeDocument/2006/relationships/image" Target="media/image1.bin"/><Relationship Id="rId2" Type="http://schemas.openxmlformats.org/officeDocument/2006/relationships/styles" Target="styles.xml"/><Relationship Id="rId16" Type="http://schemas.openxmlformats.org/officeDocument/2006/relationships/hyperlink" Target="http://www.secretariasenado.gov.co/senado/basedoc/ley_0160_1994_pr001.html" TargetMode="External"/><Relationship Id="rId29" Type="http://schemas.openxmlformats.org/officeDocument/2006/relationships/hyperlink" Target="http://www.secretariasenado.gov.co/senado/basedoc/decreto_0902_2017_pr00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decreto_4633_2011.html" TargetMode="External"/><Relationship Id="rId24" Type="http://schemas.openxmlformats.org/officeDocument/2006/relationships/hyperlink" Target="http://www.secretariasenado.gov.co/senado/basedoc/decreto_0902_2017_pr001.html" TargetMode="External"/><Relationship Id="rId32" Type="http://schemas.openxmlformats.org/officeDocument/2006/relationships/hyperlink" Target="http://www.secretariasenado.gov.co/senado/basedoc/decreto_0902_2017_pr001.html" TargetMode="External"/><Relationship Id="rId37" Type="http://schemas.openxmlformats.org/officeDocument/2006/relationships/hyperlink" Target="http://www.secretariasenado.gov.co/senado/basedoc/decreto_0902_2017_pr001.html" TargetMode="External"/><Relationship Id="rId40" Type="http://schemas.openxmlformats.org/officeDocument/2006/relationships/image" Target="media/image2.bin"/><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ecretariasenado.gov.co/senado/basedoc/ley_0160_1994.html" TargetMode="External"/><Relationship Id="rId23" Type="http://schemas.openxmlformats.org/officeDocument/2006/relationships/hyperlink" Target="http://www.secretariasenado.gov.co/senado/basedoc/decreto_0902_2017_pr001.html" TargetMode="External"/><Relationship Id="rId28" Type="http://schemas.openxmlformats.org/officeDocument/2006/relationships/hyperlink" Target="http://www.secretariasenado.gov.co/senado/basedoc/decreto_0902_2017.html" TargetMode="External"/><Relationship Id="rId36" Type="http://schemas.openxmlformats.org/officeDocument/2006/relationships/hyperlink" Target="http://www.secretariasenado.gov.co/senado/basedoc/decreto_0902_2017_pr001.html" TargetMode="External"/><Relationship Id="rId10" Type="http://schemas.openxmlformats.org/officeDocument/2006/relationships/hyperlink" Target="http://www.secretariasenado.gov.co/senado/basedoc/decreto_4633_2011.html" TargetMode="External"/><Relationship Id="rId19" Type="http://schemas.openxmlformats.org/officeDocument/2006/relationships/hyperlink" Target="http://www.secretariasenado.gov.co/senado/basedoc/ley_0975_2005_pr001.html" TargetMode="External"/><Relationship Id="rId31" Type="http://schemas.openxmlformats.org/officeDocument/2006/relationships/hyperlink" Target="http://www.secretariasenado.gov.co/senado/basedoc/decreto_0902_2017_pr001.htm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ecretariasenado.gov.co/senado/basedoc/ley_1448_2011.html" TargetMode="External"/><Relationship Id="rId14" Type="http://schemas.openxmlformats.org/officeDocument/2006/relationships/hyperlink" Target="http://www.secretariasenado.gov.co/senado/basedoc/ley_0387_1997.html" TargetMode="External"/><Relationship Id="rId22" Type="http://schemas.openxmlformats.org/officeDocument/2006/relationships/hyperlink" Target="http://www.secretariasenado.gov.co/senado/basedoc/decreto_0902_2017.html" TargetMode="External"/><Relationship Id="rId27" Type="http://schemas.openxmlformats.org/officeDocument/2006/relationships/hyperlink" Target="http://www.secretariasenado.gov.co/senado/basedoc/decreto_0902_2017_pr001.html" TargetMode="External"/><Relationship Id="rId30" Type="http://schemas.openxmlformats.org/officeDocument/2006/relationships/hyperlink" Target="http://www.secretariasenado.gov.co/senado/basedoc/decreto_0902_2017_pr001.html" TargetMode="External"/><Relationship Id="rId35" Type="http://schemas.openxmlformats.org/officeDocument/2006/relationships/hyperlink" Target="http://www.secretariasenado.gov.co/senado/basedoc/decreto_0902_2017_pr001.html" TargetMode="External"/><Relationship Id="rId43" Type="http://schemas.openxmlformats.org/officeDocument/2006/relationships/image" Target="media/image5.bin"/><Relationship Id="rId8" Type="http://schemas.openxmlformats.org/officeDocument/2006/relationships/hyperlink" Target="http://www.secretariasenado.gov.co/senado/basedoc/ley_0160_1994.html" TargetMode="External"/><Relationship Id="rId3" Type="http://schemas.openxmlformats.org/officeDocument/2006/relationships/settings" Target="settings.xml"/><Relationship Id="rId12" Type="http://schemas.openxmlformats.org/officeDocument/2006/relationships/hyperlink" Target="http://www.secretariasenado.gov.co/senado/basedoc/decreto_4635_2011.html" TargetMode="External"/><Relationship Id="rId17" Type="http://schemas.openxmlformats.org/officeDocument/2006/relationships/hyperlink" Target="http://www.secretariasenado.gov.co/senado/basedoc/ley_1708_2014_pr002.html" TargetMode="External"/><Relationship Id="rId25" Type="http://schemas.openxmlformats.org/officeDocument/2006/relationships/hyperlink" Target="http://www.secretariasenado.gov.co/senado/basedoc/decreto_0902_2017_pr001.html" TargetMode="External"/><Relationship Id="rId33" Type="http://schemas.openxmlformats.org/officeDocument/2006/relationships/hyperlink" Target="http://www.secretariasenado.gov.co/senado/basedoc/decreto_0902_2017_pr001.html" TargetMode="External"/><Relationship Id="rId38" Type="http://schemas.openxmlformats.org/officeDocument/2006/relationships/hyperlink" Target="http://www.secretariasenado.gov.co/senado/basedoc/decreto_0902_2017_pr001.html" TargetMode="External"/><Relationship Id="rId20" Type="http://schemas.openxmlformats.org/officeDocument/2006/relationships/hyperlink" Target="http://www.secretariasenado.gov.co/senado/basedoc/decreto_0902_2017_pr001.html" TargetMode="External"/><Relationship Id="rId41" Type="http://schemas.openxmlformats.org/officeDocument/2006/relationships/image" Target="media/image3.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40010</Words>
  <Characters>220057</Characters>
  <Application>Microsoft Office Word</Application>
  <DocSecurity>0</DocSecurity>
  <Lines>1833</Lines>
  <Paragraphs>519</Paragraphs>
  <ScaleCrop>false</ScaleCrop>
  <Company/>
  <LinksUpToDate>false</LinksUpToDate>
  <CharactersWithSpaces>259548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2025-02-11T16:18:00Z</dcterms:created>
  <dcterms:modified xsi:type="dcterms:W3CDTF">2025-02-11T16:18:00Z</dcterms:modified>
</cp:coreProperties>
</file>