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6C48" w:rsidRPr="006671C3" w:rsidRDefault="00A04940">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6671C3">
        <w:rPr>
          <w:rFonts w:ascii="Times New Roman" w:hAnsi="Times New Roman" w:cs="Times New Roman"/>
          <w:sz w:val="28"/>
          <w:szCs w:val="24"/>
        </w:rPr>
        <w:t xml:space="preserve"> </w:t>
      </w:r>
    </w:p>
    <w:p w:rsidR="00C46C48" w:rsidRPr="006671C3" w:rsidRDefault="00C46C48">
      <w:pPr>
        <w:widowControl w:val="0"/>
        <w:autoSpaceDE w:val="0"/>
        <w:autoSpaceDN w:val="0"/>
        <w:adjustRightInd w:val="0"/>
        <w:spacing w:after="0" w:line="240" w:lineRule="auto"/>
        <w:rPr>
          <w:rFonts w:ascii="Times New Roman" w:hAnsi="Times New Roman" w:cs="Times New Roman"/>
          <w:sz w:val="28"/>
          <w:szCs w:val="28"/>
        </w:rPr>
      </w:pPr>
    </w:p>
    <w:p w:rsidR="00C46C48" w:rsidRPr="006671C3" w:rsidRDefault="00A04940">
      <w:pPr>
        <w:widowControl w:val="0"/>
        <w:autoSpaceDE w:val="0"/>
        <w:autoSpaceDN w:val="0"/>
        <w:adjustRightInd w:val="0"/>
        <w:spacing w:after="0" w:line="240" w:lineRule="auto"/>
        <w:jc w:val="center"/>
        <w:rPr>
          <w:rFonts w:ascii="Times New Roman" w:hAnsi="Times New Roman" w:cs="Times New Roman"/>
          <w:b/>
          <w:bCs/>
          <w:sz w:val="28"/>
          <w:szCs w:val="28"/>
        </w:rPr>
      </w:pPr>
      <w:r w:rsidRPr="006671C3">
        <w:rPr>
          <w:rFonts w:ascii="Times New Roman" w:hAnsi="Times New Roman" w:cs="Times New Roman"/>
          <w:b/>
          <w:bCs/>
          <w:sz w:val="28"/>
          <w:szCs w:val="28"/>
        </w:rPr>
        <w:t xml:space="preserve">TEMAS-SUBTEMAS </w:t>
      </w:r>
    </w:p>
    <w:p w:rsidR="00C46C48" w:rsidRPr="006671C3" w:rsidRDefault="00C46C48">
      <w:pPr>
        <w:widowControl w:val="0"/>
        <w:autoSpaceDE w:val="0"/>
        <w:autoSpaceDN w:val="0"/>
        <w:adjustRightInd w:val="0"/>
        <w:spacing w:after="0" w:line="240" w:lineRule="auto"/>
        <w:jc w:val="center"/>
        <w:rPr>
          <w:rFonts w:ascii="Times New Roman" w:hAnsi="Times New Roman" w:cs="Times New Roman"/>
          <w:b/>
          <w:bCs/>
          <w:sz w:val="28"/>
          <w:szCs w:val="28"/>
        </w:rPr>
      </w:pPr>
    </w:p>
    <w:p w:rsidR="00C46C48" w:rsidRPr="006671C3" w:rsidRDefault="00A04940">
      <w:pPr>
        <w:widowControl w:val="0"/>
        <w:autoSpaceDE w:val="0"/>
        <w:autoSpaceDN w:val="0"/>
        <w:adjustRightInd w:val="0"/>
        <w:spacing w:after="0" w:line="240" w:lineRule="auto"/>
        <w:jc w:val="center"/>
        <w:rPr>
          <w:rFonts w:ascii="Times New Roman" w:hAnsi="Times New Roman" w:cs="Times New Roman"/>
          <w:sz w:val="28"/>
          <w:szCs w:val="28"/>
        </w:rPr>
      </w:pPr>
      <w:r w:rsidRPr="006671C3">
        <w:rPr>
          <w:rFonts w:ascii="Times New Roman" w:hAnsi="Times New Roman" w:cs="Times New Roman"/>
          <w:b/>
          <w:bCs/>
          <w:sz w:val="28"/>
          <w:szCs w:val="28"/>
        </w:rPr>
        <w:t xml:space="preserve">Sentencia C-321/24 </w:t>
      </w:r>
    </w:p>
    <w:p w:rsidR="00C46C48" w:rsidRPr="006671C3" w:rsidRDefault="00C46C48">
      <w:pPr>
        <w:widowControl w:val="0"/>
        <w:autoSpaceDE w:val="0"/>
        <w:autoSpaceDN w:val="0"/>
        <w:adjustRightInd w:val="0"/>
        <w:spacing w:after="0" w:line="240" w:lineRule="auto"/>
        <w:jc w:val="both"/>
        <w:rPr>
          <w:rFonts w:ascii="Times New Roman" w:hAnsi="Times New Roman" w:cs="Times New Roman"/>
          <w:sz w:val="28"/>
          <w:szCs w:val="28"/>
        </w:rPr>
      </w:pPr>
    </w:p>
    <w:p w:rsidR="00C46C48" w:rsidRPr="006671C3" w:rsidRDefault="00A04940">
      <w:pPr>
        <w:widowControl w:val="0"/>
        <w:autoSpaceDE w:val="0"/>
        <w:autoSpaceDN w:val="0"/>
        <w:adjustRightInd w:val="0"/>
        <w:spacing w:after="0" w:line="240" w:lineRule="auto"/>
        <w:jc w:val="both"/>
        <w:rPr>
          <w:rFonts w:ascii="Times New Roman" w:hAnsi="Times New Roman" w:cs="Times New Roman"/>
          <w:sz w:val="28"/>
          <w:szCs w:val="28"/>
        </w:rPr>
      </w:pPr>
      <w:r w:rsidRPr="006671C3">
        <w:rPr>
          <w:rFonts w:ascii="Times New Roman" w:hAnsi="Times New Roman" w:cs="Times New Roman"/>
          <w:b/>
          <w:bCs/>
          <w:sz w:val="28"/>
          <w:szCs w:val="28"/>
        </w:rPr>
        <w:t>DEMANDA DE INCONSTITUCIONALIDAD</w:t>
      </w:r>
      <w:r w:rsidRPr="006671C3">
        <w:rPr>
          <w:rFonts w:ascii="Times New Roman" w:hAnsi="Times New Roman" w:cs="Times New Roman"/>
          <w:sz w:val="28"/>
          <w:szCs w:val="28"/>
        </w:rPr>
        <w:t xml:space="preserve">-Requisitos </w:t>
      </w:r>
    </w:p>
    <w:p w:rsidR="00C46C48" w:rsidRPr="006671C3" w:rsidRDefault="00C46C48">
      <w:pPr>
        <w:widowControl w:val="0"/>
        <w:autoSpaceDE w:val="0"/>
        <w:autoSpaceDN w:val="0"/>
        <w:adjustRightInd w:val="0"/>
        <w:spacing w:after="0" w:line="240" w:lineRule="auto"/>
        <w:jc w:val="both"/>
        <w:rPr>
          <w:rFonts w:ascii="Times New Roman" w:hAnsi="Times New Roman" w:cs="Times New Roman"/>
          <w:sz w:val="28"/>
          <w:szCs w:val="28"/>
        </w:rPr>
      </w:pPr>
    </w:p>
    <w:p w:rsidR="00C46C48" w:rsidRPr="006671C3" w:rsidRDefault="00A04940">
      <w:pPr>
        <w:widowControl w:val="0"/>
        <w:autoSpaceDE w:val="0"/>
        <w:autoSpaceDN w:val="0"/>
        <w:adjustRightInd w:val="0"/>
        <w:spacing w:after="0" w:line="240" w:lineRule="auto"/>
        <w:jc w:val="both"/>
        <w:rPr>
          <w:rFonts w:ascii="Times New Roman" w:hAnsi="Times New Roman" w:cs="Times New Roman"/>
          <w:sz w:val="28"/>
          <w:szCs w:val="28"/>
        </w:rPr>
      </w:pPr>
      <w:r w:rsidRPr="006671C3">
        <w:rPr>
          <w:rFonts w:ascii="Times New Roman" w:hAnsi="Times New Roman" w:cs="Times New Roman"/>
          <w:b/>
          <w:bCs/>
          <w:sz w:val="28"/>
          <w:szCs w:val="28"/>
        </w:rPr>
        <w:t>CONCEPTO DE VIOLACION EN DEMANDA DE INCONSTITUCIONALIDAD</w:t>
      </w:r>
      <w:r w:rsidRPr="006671C3">
        <w:rPr>
          <w:rFonts w:ascii="Times New Roman" w:hAnsi="Times New Roman" w:cs="Times New Roman"/>
          <w:sz w:val="28"/>
          <w:szCs w:val="28"/>
        </w:rPr>
        <w:t xml:space="preserve">-Razones claras, ciertas, específicas, pertinentes y suficientes </w:t>
      </w:r>
    </w:p>
    <w:p w:rsidR="00C46C48" w:rsidRPr="006671C3" w:rsidRDefault="00C46C48">
      <w:pPr>
        <w:widowControl w:val="0"/>
        <w:autoSpaceDE w:val="0"/>
        <w:autoSpaceDN w:val="0"/>
        <w:adjustRightInd w:val="0"/>
        <w:spacing w:after="0" w:line="240" w:lineRule="auto"/>
        <w:jc w:val="both"/>
        <w:rPr>
          <w:rFonts w:ascii="Times New Roman" w:hAnsi="Times New Roman" w:cs="Times New Roman"/>
          <w:sz w:val="28"/>
          <w:szCs w:val="28"/>
        </w:rPr>
      </w:pPr>
    </w:p>
    <w:p w:rsidR="00C46C48" w:rsidRPr="006671C3" w:rsidRDefault="00A04940">
      <w:pPr>
        <w:widowControl w:val="0"/>
        <w:autoSpaceDE w:val="0"/>
        <w:autoSpaceDN w:val="0"/>
        <w:adjustRightInd w:val="0"/>
        <w:spacing w:after="0" w:line="240" w:lineRule="auto"/>
        <w:jc w:val="both"/>
        <w:rPr>
          <w:rFonts w:ascii="Times New Roman" w:hAnsi="Times New Roman" w:cs="Times New Roman"/>
          <w:sz w:val="28"/>
          <w:szCs w:val="28"/>
        </w:rPr>
      </w:pPr>
      <w:r w:rsidRPr="006671C3">
        <w:rPr>
          <w:rFonts w:ascii="Times New Roman" w:hAnsi="Times New Roman" w:cs="Times New Roman"/>
          <w:b/>
          <w:bCs/>
          <w:sz w:val="28"/>
          <w:szCs w:val="28"/>
        </w:rPr>
        <w:t>INHIBICION DE LA CORTE CONSTITUCIONAL POR INEPTITUD SUSTANTIVA DE LA DEMANDA</w:t>
      </w:r>
      <w:r w:rsidRPr="006671C3">
        <w:rPr>
          <w:rFonts w:ascii="Times New Roman" w:hAnsi="Times New Roman" w:cs="Times New Roman"/>
          <w:sz w:val="28"/>
          <w:szCs w:val="28"/>
        </w:rPr>
        <w:t xml:space="preserve">-Incumplimiento de requisitos de claridad, certeza, especificidad, pertinencia y suficiencia en los cargos </w:t>
      </w:r>
    </w:p>
    <w:p w:rsidR="00C46C48" w:rsidRPr="006671C3" w:rsidRDefault="00C46C48">
      <w:pPr>
        <w:widowControl w:val="0"/>
        <w:autoSpaceDE w:val="0"/>
        <w:autoSpaceDN w:val="0"/>
        <w:adjustRightInd w:val="0"/>
        <w:spacing w:after="0" w:line="240" w:lineRule="auto"/>
        <w:jc w:val="both"/>
        <w:rPr>
          <w:rFonts w:ascii="Times New Roman" w:hAnsi="Times New Roman" w:cs="Times New Roman"/>
          <w:sz w:val="28"/>
          <w:szCs w:val="28"/>
        </w:rPr>
      </w:pPr>
    </w:p>
    <w:p w:rsidR="00C46C48" w:rsidRPr="006671C3" w:rsidRDefault="00A04940">
      <w:pPr>
        <w:widowControl w:val="0"/>
        <w:autoSpaceDE w:val="0"/>
        <w:autoSpaceDN w:val="0"/>
        <w:adjustRightInd w:val="0"/>
        <w:spacing w:after="0" w:line="240" w:lineRule="auto"/>
        <w:jc w:val="both"/>
        <w:rPr>
          <w:rFonts w:ascii="Times New Roman" w:hAnsi="Times New Roman" w:cs="Times New Roman"/>
          <w:sz w:val="28"/>
          <w:szCs w:val="28"/>
        </w:rPr>
      </w:pPr>
      <w:r w:rsidRPr="006671C3">
        <w:rPr>
          <w:rFonts w:ascii="Times New Roman" w:hAnsi="Times New Roman" w:cs="Times New Roman"/>
          <w:b/>
          <w:bCs/>
          <w:sz w:val="28"/>
          <w:szCs w:val="28"/>
        </w:rPr>
        <w:t>DEMANDA DE INCONSTITUCIONALIDAD</w:t>
      </w:r>
      <w:r w:rsidRPr="006671C3">
        <w:rPr>
          <w:rFonts w:ascii="Times New Roman" w:hAnsi="Times New Roman" w:cs="Times New Roman"/>
          <w:sz w:val="28"/>
          <w:szCs w:val="28"/>
        </w:rPr>
        <w:t xml:space="preserve">-Interpretación aislada que desconoce el contexto normativo de la disposición acusada </w:t>
      </w:r>
    </w:p>
    <w:p w:rsidR="00C46C48" w:rsidRPr="006671C3" w:rsidRDefault="00C46C48">
      <w:pPr>
        <w:widowControl w:val="0"/>
        <w:autoSpaceDE w:val="0"/>
        <w:autoSpaceDN w:val="0"/>
        <w:adjustRightInd w:val="0"/>
        <w:spacing w:after="0" w:line="240" w:lineRule="auto"/>
        <w:jc w:val="both"/>
        <w:rPr>
          <w:rFonts w:ascii="Times New Roman" w:hAnsi="Times New Roman" w:cs="Times New Roman"/>
          <w:sz w:val="28"/>
          <w:szCs w:val="28"/>
        </w:rPr>
      </w:pPr>
    </w:p>
    <w:p w:rsidR="00C46C48" w:rsidRPr="006671C3" w:rsidRDefault="006671C3">
      <w:pPr>
        <w:widowControl w:val="0"/>
        <w:autoSpaceDE w:val="0"/>
        <w:autoSpaceDN w:val="0"/>
        <w:adjustRightInd w:val="0"/>
        <w:spacing w:after="0" w:line="240" w:lineRule="auto"/>
        <w:jc w:val="both"/>
        <w:rPr>
          <w:rFonts w:ascii="Times New Roman" w:hAnsi="Times New Roman" w:cs="Times New Roman"/>
          <w:sz w:val="28"/>
        </w:rPr>
      </w:pPr>
      <w:r w:rsidRPr="006671C3">
        <w:rPr>
          <w:rFonts w:ascii="Times New Roman" w:hAnsi="Times New Roman" w:cs="Times New Roman"/>
          <w:sz w:val="28"/>
          <w:szCs w:val="28"/>
        </w:rPr>
        <w:pict>
          <v:rect id="_x0000_i1025" style="width:0;height:1.5pt" o:hralign="center" o:hrstd="t" o:hr="t" fillcolor="#a0a0a0" stroked="f"/>
        </w:pict>
      </w:r>
    </w:p>
    <w:p w:rsidR="000E6BF6" w:rsidRPr="006671C3" w:rsidRDefault="006671C3" w:rsidP="00D1315E">
      <w:pPr>
        <w:tabs>
          <w:tab w:val="center" w:pos="4252"/>
        </w:tabs>
        <w:spacing w:after="0" w:line="240" w:lineRule="auto"/>
        <w:ind w:left="4252" w:hanging="4252"/>
        <w:jc w:val="center"/>
        <w:rPr>
          <w:rFonts w:ascii="Times New Roman" w:hAnsi="Times New Roman" w:cs="Times New Roman"/>
          <w:b/>
          <w:bCs/>
          <w:sz w:val="28"/>
          <w:szCs w:val="28"/>
          <w:lang w:val="es-ES"/>
        </w:rPr>
      </w:pPr>
      <w:r w:rsidRPr="006671C3">
        <w:rPr>
          <w:rFonts w:ascii="Times New Roman" w:hAnsi="Times New Roman" w:cs="Times New Roman"/>
          <w:b/>
          <w:bCs/>
          <w:sz w:val="28"/>
          <w:szCs w:val="28"/>
          <w:lang w:val="es-ES"/>
        </w:rPr>
        <w:t>REPÚBLICA DE COLOMBIA</w:t>
      </w:r>
    </w:p>
    <w:p w:rsidR="000E6BF6" w:rsidRPr="006671C3" w:rsidRDefault="006671C3" w:rsidP="00D1315E">
      <w:pPr>
        <w:tabs>
          <w:tab w:val="center" w:pos="4252"/>
        </w:tabs>
        <w:spacing w:after="0" w:line="240" w:lineRule="auto"/>
        <w:jc w:val="center"/>
        <w:rPr>
          <w:rFonts w:ascii="Times New Roman" w:hAnsi="Times New Roman" w:cs="Times New Roman"/>
          <w:b/>
          <w:bCs/>
          <w:sz w:val="28"/>
          <w:szCs w:val="28"/>
          <w:lang w:val="es-ES"/>
        </w:rPr>
      </w:pPr>
      <w:r w:rsidRPr="006671C3">
        <w:rPr>
          <w:rFonts w:ascii="Times New Roman" w:hAnsi="Times New Roman" w:cs="Times New Roman"/>
          <w:b/>
          <w:bCs/>
          <w:noProof/>
          <w:sz w:val="28"/>
          <w:szCs w:val="28"/>
        </w:rPr>
        <w:drawing>
          <wp:inline distT="0" distB="0" distL="0" distR="0" wp14:anchorId="372A1DCC" wp14:editId="3EE970A6">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rsidR="000E6BF6" w:rsidRPr="006671C3" w:rsidRDefault="006671C3" w:rsidP="00D1315E">
      <w:pPr>
        <w:tabs>
          <w:tab w:val="center" w:pos="4252"/>
        </w:tabs>
        <w:spacing w:after="0" w:line="240" w:lineRule="auto"/>
        <w:jc w:val="center"/>
        <w:rPr>
          <w:rFonts w:ascii="Times New Roman" w:hAnsi="Times New Roman" w:cs="Times New Roman"/>
          <w:b/>
          <w:bCs/>
          <w:sz w:val="28"/>
          <w:szCs w:val="28"/>
          <w:lang w:val="es-ES"/>
        </w:rPr>
      </w:pPr>
      <w:r w:rsidRPr="006671C3">
        <w:rPr>
          <w:rFonts w:ascii="Times New Roman" w:hAnsi="Times New Roman" w:cs="Times New Roman"/>
          <w:b/>
          <w:bCs/>
          <w:sz w:val="28"/>
          <w:szCs w:val="28"/>
          <w:lang w:val="es-ES"/>
        </w:rPr>
        <w:t>CORTE CONSTITUCIONAL</w:t>
      </w:r>
    </w:p>
    <w:p w:rsidR="000E6BF6" w:rsidRPr="006671C3" w:rsidRDefault="006671C3" w:rsidP="00D1315E">
      <w:pPr>
        <w:tabs>
          <w:tab w:val="center" w:pos="4252"/>
        </w:tabs>
        <w:spacing w:after="0" w:line="240" w:lineRule="auto"/>
        <w:jc w:val="center"/>
        <w:rPr>
          <w:rFonts w:ascii="Times New Roman" w:hAnsi="Times New Roman" w:cs="Times New Roman"/>
          <w:b/>
          <w:bCs/>
          <w:sz w:val="28"/>
          <w:szCs w:val="28"/>
          <w:lang w:val="es-ES"/>
        </w:rPr>
      </w:pPr>
      <w:r w:rsidRPr="006671C3">
        <w:rPr>
          <w:rFonts w:ascii="Times New Roman" w:hAnsi="Times New Roman" w:cs="Times New Roman"/>
          <w:b/>
          <w:bCs/>
          <w:sz w:val="28"/>
          <w:szCs w:val="28"/>
          <w:lang w:val="es-ES"/>
        </w:rPr>
        <w:t>Sala Plena</w:t>
      </w:r>
    </w:p>
    <w:p w:rsidR="000E6BF6" w:rsidRPr="006671C3" w:rsidRDefault="006671C3" w:rsidP="00D1315E">
      <w:pPr>
        <w:keepNext/>
        <w:spacing w:after="0" w:line="240" w:lineRule="auto"/>
        <w:outlineLvl w:val="2"/>
        <w:rPr>
          <w:rFonts w:ascii="Times New Roman" w:eastAsia="Times New Roman" w:hAnsi="Times New Roman" w:cs="Times New Roman"/>
          <w:b/>
          <w:bCs/>
          <w:position w:val="6"/>
          <w:sz w:val="28"/>
          <w:szCs w:val="28"/>
          <w:lang w:val="es-ES" w:eastAsia="es-ES"/>
        </w:rPr>
      </w:pPr>
    </w:p>
    <w:p w:rsidR="000E6BF6" w:rsidRPr="006671C3" w:rsidRDefault="006671C3" w:rsidP="000E6BF6">
      <w:pPr>
        <w:keepNext/>
        <w:spacing w:after="0" w:line="240" w:lineRule="auto"/>
        <w:jc w:val="center"/>
        <w:outlineLvl w:val="2"/>
        <w:rPr>
          <w:rFonts w:ascii="Times New Roman" w:eastAsia="Times New Roman" w:hAnsi="Times New Roman" w:cs="Times New Roman"/>
          <w:b/>
          <w:bCs/>
          <w:position w:val="6"/>
          <w:sz w:val="28"/>
          <w:szCs w:val="28"/>
          <w:lang w:val="es-ES" w:eastAsia="es-ES"/>
        </w:rPr>
      </w:pPr>
      <w:r w:rsidRPr="006671C3">
        <w:rPr>
          <w:rFonts w:ascii="Times New Roman" w:eastAsia="Times New Roman" w:hAnsi="Times New Roman" w:cs="Times New Roman"/>
          <w:b/>
          <w:bCs/>
          <w:position w:val="6"/>
          <w:sz w:val="28"/>
          <w:szCs w:val="28"/>
          <w:lang w:val="es-ES" w:eastAsia="es-ES"/>
        </w:rPr>
        <w:t>SENTENCIA C-321 DE 2024</w:t>
      </w:r>
    </w:p>
    <w:p w:rsidR="000E6BF6" w:rsidRPr="006671C3" w:rsidRDefault="006671C3" w:rsidP="000E6BF6">
      <w:pPr>
        <w:tabs>
          <w:tab w:val="left" w:pos="708"/>
          <w:tab w:val="center" w:pos="4252"/>
        </w:tabs>
        <w:spacing w:after="0" w:line="240" w:lineRule="auto"/>
        <w:jc w:val="both"/>
        <w:rPr>
          <w:rFonts w:ascii="Times New Roman" w:eastAsia="Times New Roman" w:hAnsi="Times New Roman" w:cs="Times New Roman"/>
          <w:b/>
          <w:position w:val="6"/>
          <w:sz w:val="28"/>
          <w:szCs w:val="28"/>
          <w:lang w:eastAsia="es-ES"/>
        </w:rPr>
      </w:pPr>
    </w:p>
    <w:p w:rsidR="000E6BF6" w:rsidRPr="006671C3" w:rsidRDefault="006671C3" w:rsidP="000E6BF6">
      <w:pPr>
        <w:tabs>
          <w:tab w:val="left" w:pos="8647"/>
        </w:tabs>
        <w:overflowPunct w:val="0"/>
        <w:autoSpaceDE w:val="0"/>
        <w:autoSpaceDN w:val="0"/>
        <w:adjustRightInd w:val="0"/>
        <w:spacing w:after="0" w:line="240" w:lineRule="auto"/>
        <w:ind w:left="4395"/>
        <w:jc w:val="both"/>
        <w:rPr>
          <w:rFonts w:ascii="Times New Roman" w:eastAsia="Calibri" w:hAnsi="Times New Roman" w:cs="Times New Roman"/>
          <w:position w:val="6"/>
          <w:sz w:val="28"/>
          <w:szCs w:val="28"/>
          <w:lang w:val="es-ES_tradnl" w:eastAsia="es-ES"/>
        </w:rPr>
      </w:pPr>
      <w:r w:rsidRPr="006671C3">
        <w:rPr>
          <w:rFonts w:ascii="Times New Roman" w:eastAsia="Calibri" w:hAnsi="Times New Roman" w:cs="Times New Roman"/>
          <w:b/>
          <w:position w:val="6"/>
          <w:sz w:val="28"/>
          <w:szCs w:val="28"/>
          <w:lang w:val="es-ES" w:eastAsia="es-ES"/>
        </w:rPr>
        <w:t>Referencia:</w:t>
      </w:r>
      <w:r w:rsidRPr="006671C3">
        <w:rPr>
          <w:rFonts w:ascii="Times New Roman" w:eastAsia="Calibri" w:hAnsi="Times New Roman" w:cs="Times New Roman"/>
          <w:position w:val="6"/>
          <w:sz w:val="28"/>
          <w:szCs w:val="28"/>
          <w:lang w:val="es-ES" w:eastAsia="es-ES"/>
        </w:rPr>
        <w:t xml:space="preserve"> expediente D-15613</w:t>
      </w:r>
    </w:p>
    <w:p w:rsidR="000E6BF6" w:rsidRPr="006671C3" w:rsidRDefault="006671C3" w:rsidP="000E6BF6">
      <w:pPr>
        <w:tabs>
          <w:tab w:val="left" w:pos="8647"/>
        </w:tabs>
        <w:overflowPunct w:val="0"/>
        <w:autoSpaceDE w:val="0"/>
        <w:autoSpaceDN w:val="0"/>
        <w:adjustRightInd w:val="0"/>
        <w:spacing w:after="0" w:line="240" w:lineRule="auto"/>
        <w:ind w:left="4395"/>
        <w:jc w:val="both"/>
        <w:rPr>
          <w:rFonts w:ascii="Times New Roman" w:eastAsia="Calibri" w:hAnsi="Times New Roman" w:cs="Times New Roman"/>
          <w:position w:val="6"/>
          <w:sz w:val="28"/>
          <w:szCs w:val="28"/>
          <w:lang w:val="es-ES_tradnl" w:eastAsia="es-ES"/>
        </w:rPr>
      </w:pPr>
    </w:p>
    <w:p w:rsidR="000E6BF6" w:rsidRPr="006671C3" w:rsidRDefault="006671C3" w:rsidP="000E6BF6">
      <w:pPr>
        <w:spacing w:after="0" w:line="240" w:lineRule="auto"/>
        <w:ind w:left="4395"/>
        <w:jc w:val="both"/>
        <w:rPr>
          <w:rFonts w:ascii="Times New Roman" w:eastAsia="Times New Roman" w:hAnsi="Times New Roman" w:cs="Times New Roman"/>
          <w:position w:val="6"/>
          <w:sz w:val="28"/>
          <w:szCs w:val="28"/>
          <w:lang w:val="es-ES_tradnl" w:eastAsia="es-ES"/>
        </w:rPr>
      </w:pPr>
      <w:r w:rsidRPr="006671C3">
        <w:rPr>
          <w:rFonts w:ascii="Times New Roman" w:eastAsia="Times New Roman" w:hAnsi="Times New Roman" w:cs="Times New Roman"/>
          <w:b/>
          <w:position w:val="6"/>
          <w:sz w:val="28"/>
          <w:szCs w:val="28"/>
          <w:lang w:val="es-ES_tradnl" w:eastAsia="es-ES"/>
        </w:rPr>
        <w:t>Asunto:</w:t>
      </w:r>
      <w:r w:rsidRPr="006671C3">
        <w:rPr>
          <w:rFonts w:ascii="Times New Roman" w:eastAsia="Times New Roman" w:hAnsi="Times New Roman" w:cs="Times New Roman"/>
          <w:position w:val="6"/>
          <w:sz w:val="28"/>
          <w:szCs w:val="28"/>
          <w:lang w:val="es-ES_tradnl" w:eastAsia="es-ES"/>
        </w:rPr>
        <w:t xml:space="preserve"> demanda de inconstitucionalidad contra </w:t>
      </w:r>
      <w:bookmarkStart w:id="1" w:name="_Hlk165363176"/>
      <w:bookmarkStart w:id="2" w:name="_Hlk165526722"/>
      <w:bookmarkStart w:id="3" w:name="_Hlk120554817"/>
      <w:r w:rsidRPr="006671C3">
        <w:rPr>
          <w:rFonts w:ascii="Times New Roman" w:eastAsia="Times New Roman" w:hAnsi="Times New Roman" w:cs="Times New Roman"/>
          <w:position w:val="6"/>
          <w:sz w:val="28"/>
          <w:szCs w:val="28"/>
          <w:lang w:val="es-ES_tradnl" w:eastAsia="es-ES"/>
        </w:rPr>
        <w:t xml:space="preserve">los artículos </w:t>
      </w:r>
      <w:bookmarkStart w:id="4" w:name="_Hlk166736489"/>
      <w:r w:rsidRPr="006671C3">
        <w:rPr>
          <w:rFonts w:ascii="Times New Roman" w:eastAsia="Times New Roman" w:hAnsi="Times New Roman" w:cs="Times New Roman"/>
          <w:position w:val="6"/>
          <w:sz w:val="28"/>
          <w:szCs w:val="28"/>
          <w:lang w:val="es-ES_tradnl" w:eastAsia="es-ES"/>
        </w:rPr>
        <w:t xml:space="preserve">7, 9, 25, 29, 31, 35, 36, 48, 69 y 72, parciales, del Decreto Ley 920 de </w:t>
      </w:r>
      <w:r w:rsidRPr="006671C3">
        <w:rPr>
          <w:rFonts w:ascii="Times New Roman" w:eastAsia="Times New Roman" w:hAnsi="Times New Roman" w:cs="Times New Roman"/>
          <w:position w:val="6"/>
          <w:sz w:val="28"/>
          <w:szCs w:val="28"/>
          <w:lang w:val="es-ES_tradnl" w:eastAsia="es-ES"/>
        </w:rPr>
        <w:t>2023</w:t>
      </w:r>
      <w:bookmarkEnd w:id="1"/>
      <w:r w:rsidRPr="006671C3">
        <w:rPr>
          <w:rFonts w:ascii="Times New Roman" w:eastAsia="Times New Roman" w:hAnsi="Times New Roman" w:cs="Times New Roman"/>
          <w:position w:val="6"/>
          <w:sz w:val="28"/>
          <w:szCs w:val="28"/>
          <w:lang w:val="es-ES_tradnl" w:eastAsia="es-ES"/>
        </w:rPr>
        <w:t xml:space="preserve">, </w:t>
      </w:r>
      <w:bookmarkStart w:id="5" w:name="_Hlk172790664"/>
      <w:r w:rsidRPr="006671C3">
        <w:rPr>
          <w:rFonts w:ascii="Times New Roman" w:eastAsia="Times New Roman" w:hAnsi="Times New Roman" w:cs="Times New Roman"/>
          <w:position w:val="6"/>
          <w:sz w:val="28"/>
          <w:szCs w:val="28"/>
          <w:lang w:val="es-ES_tradnl" w:eastAsia="es-ES"/>
        </w:rPr>
        <w:t>“[p]or medio de la cual se expide el nuevo régimen sancionatorio y de decomiso de mercancías en materia aduanera, así como el procedimiento aplicable”.</w:t>
      </w:r>
      <w:bookmarkEnd w:id="2"/>
      <w:r w:rsidRPr="006671C3">
        <w:rPr>
          <w:rFonts w:ascii="Times New Roman" w:eastAsia="Times New Roman" w:hAnsi="Times New Roman" w:cs="Times New Roman"/>
          <w:position w:val="6"/>
          <w:sz w:val="28"/>
          <w:szCs w:val="28"/>
          <w:lang w:val="es-ES_tradnl" w:eastAsia="es-ES"/>
        </w:rPr>
        <w:t xml:space="preserve"> </w:t>
      </w:r>
      <w:bookmarkEnd w:id="3"/>
      <w:bookmarkEnd w:id="4"/>
      <w:bookmarkEnd w:id="5"/>
    </w:p>
    <w:p w:rsidR="000E6BF6" w:rsidRPr="006671C3" w:rsidRDefault="006671C3" w:rsidP="000E6BF6">
      <w:pPr>
        <w:spacing w:after="0" w:line="240" w:lineRule="auto"/>
        <w:ind w:left="4395"/>
        <w:jc w:val="both"/>
        <w:rPr>
          <w:rFonts w:ascii="Times New Roman" w:eastAsia="Times New Roman" w:hAnsi="Times New Roman" w:cs="Times New Roman"/>
          <w:position w:val="6"/>
          <w:sz w:val="28"/>
          <w:szCs w:val="28"/>
          <w:lang w:val="es-ES_tradnl" w:eastAsia="es-ES"/>
        </w:rPr>
      </w:pPr>
    </w:p>
    <w:p w:rsidR="000E6BF6" w:rsidRPr="006671C3" w:rsidRDefault="006671C3" w:rsidP="000E6BF6">
      <w:pPr>
        <w:spacing w:after="0" w:line="240" w:lineRule="auto"/>
        <w:ind w:left="4395"/>
        <w:jc w:val="both"/>
        <w:rPr>
          <w:rFonts w:ascii="Times New Roman" w:eastAsia="Times New Roman" w:hAnsi="Times New Roman" w:cs="Times New Roman"/>
          <w:position w:val="6"/>
          <w:sz w:val="28"/>
          <w:szCs w:val="28"/>
          <w:lang w:val="es-ES_tradnl" w:eastAsia="es-ES"/>
        </w:rPr>
      </w:pPr>
      <w:r w:rsidRPr="006671C3">
        <w:rPr>
          <w:rFonts w:ascii="Times New Roman" w:eastAsia="Times New Roman" w:hAnsi="Times New Roman" w:cs="Times New Roman"/>
          <w:b/>
          <w:position w:val="6"/>
          <w:sz w:val="28"/>
          <w:szCs w:val="28"/>
          <w:lang w:val="es-ES_tradnl" w:eastAsia="es-ES"/>
        </w:rPr>
        <w:t>Accionante:</w:t>
      </w:r>
      <w:r w:rsidRPr="006671C3">
        <w:rPr>
          <w:rFonts w:ascii="Times New Roman" w:eastAsia="Times New Roman" w:hAnsi="Times New Roman" w:cs="Times New Roman"/>
          <w:position w:val="6"/>
          <w:sz w:val="28"/>
          <w:szCs w:val="28"/>
          <w:lang w:val="es-ES_tradnl" w:eastAsia="es-ES"/>
        </w:rPr>
        <w:t xml:space="preserve"> Gabriel Ibarra Pardo </w:t>
      </w:r>
    </w:p>
    <w:p w:rsidR="000E6BF6" w:rsidRPr="006671C3" w:rsidRDefault="006671C3" w:rsidP="000E6BF6">
      <w:pPr>
        <w:spacing w:after="0" w:line="240" w:lineRule="auto"/>
        <w:ind w:left="4395"/>
        <w:jc w:val="both"/>
        <w:rPr>
          <w:rFonts w:ascii="Times New Roman" w:eastAsia="Times New Roman" w:hAnsi="Times New Roman" w:cs="Times New Roman"/>
          <w:position w:val="6"/>
          <w:sz w:val="28"/>
          <w:szCs w:val="28"/>
        </w:rPr>
      </w:pPr>
    </w:p>
    <w:p w:rsidR="000E6BF6" w:rsidRPr="006671C3" w:rsidRDefault="006671C3" w:rsidP="000E6BF6">
      <w:pPr>
        <w:spacing w:after="0" w:line="240" w:lineRule="auto"/>
        <w:ind w:left="4395"/>
        <w:jc w:val="both"/>
        <w:rPr>
          <w:rFonts w:ascii="Times New Roman" w:eastAsia="Times New Roman" w:hAnsi="Times New Roman" w:cs="Times New Roman"/>
          <w:position w:val="6"/>
          <w:sz w:val="28"/>
          <w:szCs w:val="28"/>
        </w:rPr>
      </w:pPr>
      <w:r w:rsidRPr="006671C3">
        <w:rPr>
          <w:rFonts w:ascii="Times New Roman" w:eastAsia="Times New Roman" w:hAnsi="Times New Roman" w:cs="Times New Roman"/>
          <w:b/>
          <w:position w:val="6"/>
          <w:sz w:val="28"/>
          <w:szCs w:val="28"/>
        </w:rPr>
        <w:t>Magistrado ponente:</w:t>
      </w:r>
    </w:p>
    <w:p w:rsidR="000E6BF6" w:rsidRPr="006671C3" w:rsidRDefault="006671C3" w:rsidP="000E6BF6">
      <w:pPr>
        <w:tabs>
          <w:tab w:val="right" w:pos="8838"/>
        </w:tabs>
        <w:spacing w:after="0" w:line="240" w:lineRule="auto"/>
        <w:ind w:left="4395"/>
        <w:jc w:val="both"/>
        <w:rPr>
          <w:rFonts w:ascii="Times New Roman" w:eastAsia="Times New Roman" w:hAnsi="Times New Roman" w:cs="Times New Roman"/>
          <w:position w:val="6"/>
          <w:sz w:val="28"/>
          <w:szCs w:val="28"/>
        </w:rPr>
      </w:pPr>
      <w:r w:rsidRPr="006671C3">
        <w:rPr>
          <w:rFonts w:ascii="Times New Roman" w:eastAsia="Times New Roman" w:hAnsi="Times New Roman" w:cs="Times New Roman"/>
          <w:position w:val="6"/>
          <w:sz w:val="28"/>
          <w:szCs w:val="28"/>
        </w:rPr>
        <w:t>José Fernando Reyes Cuartas</w:t>
      </w:r>
    </w:p>
    <w:p w:rsidR="000E6BF6" w:rsidRPr="006671C3" w:rsidRDefault="006671C3" w:rsidP="000E6BF6">
      <w:pPr>
        <w:shd w:val="clear" w:color="auto" w:fill="FFFFFF"/>
        <w:spacing w:after="0" w:line="240" w:lineRule="auto"/>
        <w:jc w:val="both"/>
        <w:rPr>
          <w:rFonts w:ascii="Times New Roman" w:eastAsia="Times New Roman" w:hAnsi="Times New Roman" w:cs="Times New Roman"/>
          <w:position w:val="6"/>
          <w:sz w:val="28"/>
          <w:szCs w:val="28"/>
        </w:rPr>
      </w:pPr>
    </w:p>
    <w:p w:rsidR="000E6BF6" w:rsidRPr="006671C3" w:rsidRDefault="006671C3" w:rsidP="000E6BF6">
      <w:pPr>
        <w:shd w:val="clear" w:color="auto" w:fill="FFFFFF"/>
        <w:spacing w:after="0" w:line="240" w:lineRule="auto"/>
        <w:jc w:val="both"/>
        <w:rPr>
          <w:rFonts w:ascii="Times New Roman" w:eastAsia="Times New Roman" w:hAnsi="Times New Roman" w:cs="Times New Roman"/>
          <w:position w:val="6"/>
          <w:sz w:val="28"/>
          <w:szCs w:val="28"/>
        </w:rPr>
      </w:pPr>
      <w:r w:rsidRPr="006671C3">
        <w:rPr>
          <w:rFonts w:ascii="Times New Roman" w:eastAsia="Times New Roman" w:hAnsi="Times New Roman" w:cs="Times New Roman"/>
          <w:position w:val="6"/>
          <w:sz w:val="28"/>
          <w:szCs w:val="28"/>
        </w:rPr>
        <w:t xml:space="preserve">Bogotá, </w:t>
      </w:r>
      <w:r w:rsidRPr="006671C3">
        <w:rPr>
          <w:rFonts w:ascii="Times New Roman" w:eastAsia="Times New Roman" w:hAnsi="Times New Roman" w:cs="Times New Roman"/>
          <w:position w:val="6"/>
          <w:sz w:val="28"/>
          <w:szCs w:val="28"/>
        </w:rPr>
        <w:t>D.C., primero (1) de agosto de dos mil veinticuatro (2024).</w:t>
      </w:r>
    </w:p>
    <w:p w:rsidR="000E6BF6" w:rsidRPr="006671C3" w:rsidRDefault="006671C3" w:rsidP="000E6BF6">
      <w:pPr>
        <w:shd w:val="clear" w:color="auto" w:fill="FFFFFF"/>
        <w:spacing w:after="0" w:line="240" w:lineRule="auto"/>
        <w:jc w:val="both"/>
        <w:rPr>
          <w:rFonts w:ascii="Times New Roman" w:eastAsia="Times New Roman" w:hAnsi="Times New Roman" w:cs="Times New Roman"/>
          <w:position w:val="6"/>
          <w:sz w:val="28"/>
          <w:szCs w:val="28"/>
          <w:lang w:val="es-ES" w:eastAsia="es-ES"/>
        </w:rPr>
      </w:pPr>
    </w:p>
    <w:p w:rsidR="000E6BF6" w:rsidRPr="006671C3" w:rsidRDefault="006671C3" w:rsidP="000E6BF6">
      <w:pPr>
        <w:shd w:val="clear" w:color="auto" w:fill="FFFFFF"/>
        <w:spacing w:after="0" w:line="240" w:lineRule="auto"/>
        <w:jc w:val="both"/>
        <w:rPr>
          <w:rFonts w:ascii="Times New Roman" w:eastAsia="Times New Roman" w:hAnsi="Times New Roman" w:cs="Times New Roman"/>
          <w:snapToGrid w:val="0"/>
          <w:position w:val="6"/>
          <w:sz w:val="28"/>
          <w:szCs w:val="28"/>
          <w:lang w:val="es-ES" w:eastAsia="es-ES"/>
        </w:rPr>
      </w:pPr>
      <w:r w:rsidRPr="006671C3">
        <w:rPr>
          <w:rFonts w:ascii="Times New Roman" w:eastAsia="Times New Roman" w:hAnsi="Times New Roman" w:cs="Times New Roman"/>
          <w:snapToGrid w:val="0"/>
          <w:position w:val="6"/>
          <w:sz w:val="28"/>
          <w:szCs w:val="28"/>
          <w:lang w:val="es-ES" w:eastAsia="es-ES"/>
        </w:rPr>
        <w:t xml:space="preserve">La Sala Plena de la Corte Constitucional, en ejercicio de sus atribuciones constitucionales, una vez cumplidos los requisitos y trámites establecidos en el Decreto Ley 2067 de 1991, profiere la siguiente </w:t>
      </w:r>
    </w:p>
    <w:p w:rsidR="000E6BF6" w:rsidRPr="006671C3" w:rsidRDefault="006671C3" w:rsidP="000E6BF6">
      <w:pPr>
        <w:shd w:val="clear" w:color="auto" w:fill="FFFFFF"/>
        <w:spacing w:after="0" w:line="240" w:lineRule="auto"/>
        <w:jc w:val="both"/>
        <w:rPr>
          <w:rFonts w:ascii="Times New Roman" w:eastAsia="Times New Roman" w:hAnsi="Times New Roman" w:cs="Times New Roman"/>
          <w:snapToGrid w:val="0"/>
          <w:position w:val="6"/>
          <w:sz w:val="28"/>
          <w:szCs w:val="28"/>
          <w:lang w:val="es-ES" w:eastAsia="es-ES"/>
        </w:rPr>
      </w:pPr>
    </w:p>
    <w:p w:rsidR="000E6BF6" w:rsidRPr="006671C3" w:rsidRDefault="006671C3" w:rsidP="000E6BF6">
      <w:pPr>
        <w:shd w:val="clear" w:color="auto" w:fill="FFFFFF"/>
        <w:spacing w:after="0" w:line="240" w:lineRule="auto"/>
        <w:jc w:val="center"/>
        <w:rPr>
          <w:rFonts w:ascii="Times New Roman" w:eastAsia="Times New Roman" w:hAnsi="Times New Roman" w:cs="Times New Roman"/>
          <w:b/>
          <w:snapToGrid w:val="0"/>
          <w:position w:val="6"/>
          <w:sz w:val="28"/>
          <w:szCs w:val="28"/>
          <w:lang w:val="es-ES" w:eastAsia="es-ES"/>
        </w:rPr>
      </w:pPr>
      <w:r w:rsidRPr="006671C3">
        <w:rPr>
          <w:rFonts w:ascii="Times New Roman" w:eastAsia="Times New Roman" w:hAnsi="Times New Roman" w:cs="Times New Roman"/>
          <w:b/>
          <w:snapToGrid w:val="0"/>
          <w:position w:val="6"/>
          <w:sz w:val="28"/>
          <w:szCs w:val="28"/>
          <w:lang w:val="es-ES" w:eastAsia="es-ES"/>
        </w:rPr>
        <w:t>SENTENCIA</w:t>
      </w:r>
    </w:p>
    <w:p w:rsidR="000E6BF6" w:rsidRPr="006671C3" w:rsidRDefault="006671C3" w:rsidP="000E6BF6">
      <w:pPr>
        <w:shd w:val="clear" w:color="auto" w:fill="FFFFFF"/>
        <w:spacing w:after="0" w:line="240" w:lineRule="auto"/>
        <w:jc w:val="both"/>
        <w:rPr>
          <w:rFonts w:ascii="Times New Roman" w:eastAsia="Times New Roman" w:hAnsi="Times New Roman" w:cs="Times New Roman"/>
          <w:b/>
          <w:snapToGrid w:val="0"/>
          <w:position w:val="6"/>
          <w:sz w:val="28"/>
          <w:szCs w:val="28"/>
          <w:lang w:val="es-ES" w:eastAsia="es-ES"/>
        </w:rPr>
      </w:pPr>
    </w:p>
    <w:p w:rsidR="000E6BF6" w:rsidRPr="006671C3" w:rsidRDefault="006671C3" w:rsidP="000E6BF6">
      <w:pPr>
        <w:shd w:val="clear" w:color="auto" w:fill="FFFFFF"/>
        <w:spacing w:after="0" w:line="240" w:lineRule="auto"/>
        <w:jc w:val="both"/>
        <w:rPr>
          <w:rFonts w:ascii="Times New Roman" w:eastAsia="Times New Roman" w:hAnsi="Times New Roman" w:cs="Times New Roman"/>
          <w:b/>
          <w:snapToGrid w:val="0"/>
          <w:position w:val="6"/>
          <w:sz w:val="28"/>
          <w:szCs w:val="28"/>
          <w:lang w:val="es-ES" w:eastAsia="es-ES"/>
        </w:rPr>
      </w:pPr>
      <w:r w:rsidRPr="006671C3">
        <w:rPr>
          <w:rFonts w:ascii="Times New Roman" w:eastAsia="Times New Roman" w:hAnsi="Times New Roman" w:cs="Times New Roman"/>
          <w:b/>
          <w:snapToGrid w:val="0"/>
          <w:position w:val="6"/>
          <w:sz w:val="28"/>
          <w:szCs w:val="28"/>
          <w:lang w:val="es-ES" w:eastAsia="es-ES"/>
        </w:rPr>
        <w:t>Síntesis de la decisión</w:t>
      </w:r>
    </w:p>
    <w:p w:rsidR="000E6BF6" w:rsidRPr="006671C3" w:rsidRDefault="006671C3" w:rsidP="000E6BF6">
      <w:pPr>
        <w:shd w:val="clear" w:color="auto" w:fill="FFFFFF"/>
        <w:spacing w:after="0" w:line="240" w:lineRule="auto"/>
        <w:jc w:val="both"/>
        <w:rPr>
          <w:rFonts w:ascii="Times New Roman" w:eastAsia="Times New Roman" w:hAnsi="Times New Roman" w:cs="Times New Roman"/>
          <w:b/>
          <w:snapToGrid w:val="0"/>
          <w:position w:val="6"/>
          <w:sz w:val="28"/>
          <w:szCs w:val="28"/>
          <w:lang w:val="es-ES" w:eastAsia="es-ES"/>
        </w:rPr>
      </w:pPr>
    </w:p>
    <w:p w:rsidR="000E6BF6" w:rsidRPr="006671C3" w:rsidRDefault="006671C3" w:rsidP="000E6BF6">
      <w:pPr>
        <w:shd w:val="clear" w:color="auto" w:fill="FFFFFF"/>
        <w:spacing w:after="0" w:line="240" w:lineRule="auto"/>
        <w:jc w:val="both"/>
        <w:rPr>
          <w:rFonts w:ascii="Times New Roman" w:eastAsia="Times New Roman" w:hAnsi="Times New Roman" w:cs="Times New Roman"/>
          <w:snapToGrid w:val="0"/>
          <w:position w:val="6"/>
          <w:sz w:val="28"/>
          <w:szCs w:val="28"/>
          <w:lang w:val="es-ES" w:eastAsia="es-ES"/>
        </w:rPr>
      </w:pPr>
      <w:bookmarkStart w:id="6" w:name="_Hlk172790607"/>
      <w:r w:rsidRPr="006671C3">
        <w:rPr>
          <w:rFonts w:ascii="Times New Roman" w:eastAsia="Times New Roman" w:hAnsi="Times New Roman" w:cs="Times New Roman"/>
          <w:snapToGrid w:val="0"/>
          <w:position w:val="6"/>
          <w:sz w:val="28"/>
          <w:szCs w:val="28"/>
          <w:lang w:val="es-ES" w:eastAsia="es-ES"/>
        </w:rPr>
        <w:t xml:space="preserve">Ante una </w:t>
      </w:r>
      <w:r w:rsidRPr="006671C3">
        <w:rPr>
          <w:rFonts w:ascii="Times New Roman" w:eastAsia="Times New Roman" w:hAnsi="Times New Roman" w:cs="Times New Roman"/>
          <w:snapToGrid w:val="0"/>
          <w:position w:val="6"/>
          <w:sz w:val="28"/>
          <w:szCs w:val="28"/>
          <w:lang w:val="es-ES" w:eastAsia="es-ES"/>
        </w:rPr>
        <w:t>demanda presentada en contra de los artículos 7, 9, 25, 29, 31, 35, 36, 48, 69 y 72, parciales, del Decreto Ley 920 de 2023, nuevo régimen sancionatorio y de decomiso de mercancías en materia aduanera, y el procedimiento aplicable, por la presunta violació</w:t>
      </w:r>
      <w:r w:rsidRPr="006671C3">
        <w:rPr>
          <w:rFonts w:ascii="Times New Roman" w:eastAsia="Times New Roman" w:hAnsi="Times New Roman" w:cs="Times New Roman"/>
          <w:snapToGrid w:val="0"/>
          <w:position w:val="6"/>
          <w:sz w:val="28"/>
          <w:szCs w:val="28"/>
          <w:lang w:val="es-ES" w:eastAsia="es-ES"/>
        </w:rPr>
        <w:t>n del preámbulo y los artículos 1, 2, 4, 5, 6, 29, 58, 121, 122, 123, 209, 333 de la Constitución, la Corte se inhibió de emitir un pronunciamiento de fondo por ineptitud sustantiva de la demanda.</w:t>
      </w:r>
    </w:p>
    <w:p w:rsidR="000E6BF6" w:rsidRPr="006671C3" w:rsidRDefault="006671C3" w:rsidP="000E6BF6">
      <w:pPr>
        <w:shd w:val="clear" w:color="auto" w:fill="FFFFFF"/>
        <w:spacing w:after="0" w:line="240" w:lineRule="auto"/>
        <w:jc w:val="both"/>
        <w:rPr>
          <w:rFonts w:ascii="Times New Roman" w:eastAsia="Times New Roman" w:hAnsi="Times New Roman" w:cs="Times New Roman"/>
          <w:snapToGrid w:val="0"/>
          <w:position w:val="6"/>
          <w:sz w:val="28"/>
          <w:szCs w:val="28"/>
          <w:lang w:val="es-ES" w:eastAsia="es-ES"/>
        </w:rPr>
      </w:pPr>
    </w:p>
    <w:p w:rsidR="000E6BF6" w:rsidRPr="006671C3" w:rsidRDefault="006671C3" w:rsidP="000E6BF6">
      <w:pPr>
        <w:shd w:val="clear" w:color="auto" w:fill="FFFFFF"/>
        <w:spacing w:after="0" w:line="240" w:lineRule="auto"/>
        <w:jc w:val="both"/>
        <w:rPr>
          <w:rFonts w:ascii="Times New Roman" w:eastAsia="Times New Roman" w:hAnsi="Times New Roman" w:cs="Times New Roman"/>
          <w:snapToGrid w:val="0"/>
          <w:position w:val="6"/>
          <w:sz w:val="28"/>
          <w:szCs w:val="28"/>
          <w:lang w:val="es-ES" w:eastAsia="es-ES"/>
        </w:rPr>
      </w:pPr>
      <w:r w:rsidRPr="006671C3">
        <w:rPr>
          <w:rFonts w:ascii="Times New Roman" w:eastAsia="Times New Roman" w:hAnsi="Times New Roman" w:cs="Times New Roman"/>
          <w:snapToGrid w:val="0"/>
          <w:position w:val="6"/>
          <w:sz w:val="28"/>
          <w:szCs w:val="28"/>
          <w:lang w:val="es-ES" w:eastAsia="es-ES"/>
        </w:rPr>
        <w:t>El fundamento principal de la decisión estuvo en que la de</w:t>
      </w:r>
      <w:r w:rsidRPr="006671C3">
        <w:rPr>
          <w:rFonts w:ascii="Times New Roman" w:eastAsia="Times New Roman" w:hAnsi="Times New Roman" w:cs="Times New Roman"/>
          <w:snapToGrid w:val="0"/>
          <w:position w:val="6"/>
          <w:sz w:val="28"/>
          <w:szCs w:val="28"/>
          <w:lang w:val="es-ES" w:eastAsia="es-ES"/>
        </w:rPr>
        <w:t>manda expuso como línea transversal argumentos que se soportan esencialmente en los apartes impugnados y, por tanto, obedecieron a una lectura aislada y parcial del ordenamiento jurídico, dejando de lado los demás contenidos normativos con los cuales guard</w:t>
      </w:r>
      <w:r w:rsidRPr="006671C3">
        <w:rPr>
          <w:rFonts w:ascii="Times New Roman" w:eastAsia="Times New Roman" w:hAnsi="Times New Roman" w:cs="Times New Roman"/>
          <w:snapToGrid w:val="0"/>
          <w:position w:val="6"/>
          <w:sz w:val="28"/>
          <w:szCs w:val="28"/>
          <w:lang w:val="es-ES" w:eastAsia="es-ES"/>
        </w:rPr>
        <w:t>a estrecha relación dentro de las mismas disposiciones, así como fuera de ellas, a saber, el Decreto Ley 920  de 2023 en que se ubican las normas demandas (régimen sancionatorio de aduanas) y el Decreto 1165 de 2019 (régimen de aduanas).</w:t>
      </w:r>
    </w:p>
    <w:p w:rsidR="000E6BF6" w:rsidRPr="006671C3" w:rsidRDefault="006671C3" w:rsidP="000E6BF6">
      <w:pPr>
        <w:shd w:val="clear" w:color="auto" w:fill="FFFFFF"/>
        <w:spacing w:after="0" w:line="240" w:lineRule="auto"/>
        <w:jc w:val="both"/>
        <w:rPr>
          <w:rFonts w:ascii="Times New Roman" w:eastAsia="Times New Roman" w:hAnsi="Times New Roman" w:cs="Times New Roman"/>
          <w:snapToGrid w:val="0"/>
          <w:position w:val="6"/>
          <w:sz w:val="28"/>
          <w:szCs w:val="28"/>
          <w:lang w:val="es-ES" w:eastAsia="es-ES"/>
        </w:rPr>
      </w:pPr>
    </w:p>
    <w:p w:rsidR="000E6BF6" w:rsidRPr="006671C3" w:rsidRDefault="006671C3" w:rsidP="000E6BF6">
      <w:pPr>
        <w:shd w:val="clear" w:color="auto" w:fill="FFFFFF"/>
        <w:spacing w:after="0" w:line="240" w:lineRule="auto"/>
        <w:jc w:val="both"/>
        <w:rPr>
          <w:rFonts w:ascii="Times New Roman" w:eastAsia="Times New Roman" w:hAnsi="Times New Roman" w:cs="Times New Roman"/>
          <w:snapToGrid w:val="0"/>
          <w:position w:val="6"/>
          <w:sz w:val="28"/>
          <w:szCs w:val="28"/>
          <w:lang w:val="es-ES" w:eastAsia="es-ES"/>
        </w:rPr>
      </w:pPr>
      <w:r w:rsidRPr="006671C3">
        <w:rPr>
          <w:rFonts w:ascii="Times New Roman" w:eastAsia="Times New Roman" w:hAnsi="Times New Roman" w:cs="Times New Roman"/>
          <w:snapToGrid w:val="0"/>
          <w:position w:val="6"/>
          <w:sz w:val="28"/>
          <w:szCs w:val="28"/>
          <w:lang w:val="es-ES" w:eastAsia="es-ES"/>
        </w:rPr>
        <w:t>Al omitir el cont</w:t>
      </w:r>
      <w:r w:rsidRPr="006671C3">
        <w:rPr>
          <w:rFonts w:ascii="Times New Roman" w:eastAsia="Times New Roman" w:hAnsi="Times New Roman" w:cs="Times New Roman"/>
          <w:snapToGrid w:val="0"/>
          <w:position w:val="6"/>
          <w:sz w:val="28"/>
          <w:szCs w:val="28"/>
          <w:lang w:val="es-ES" w:eastAsia="es-ES"/>
        </w:rPr>
        <w:t>exto normativo en que se insertan los segmentos cuestionados y, con ello, las circunstancias que le secundan, impidieron a la Corte ejercer la función de determinar la validez constitucional de las normas legales. De esta manera, coligió que los cargos car</w:t>
      </w:r>
      <w:r w:rsidRPr="006671C3">
        <w:rPr>
          <w:rFonts w:ascii="Times New Roman" w:eastAsia="Times New Roman" w:hAnsi="Times New Roman" w:cs="Times New Roman"/>
          <w:snapToGrid w:val="0"/>
          <w:position w:val="6"/>
          <w:sz w:val="28"/>
          <w:szCs w:val="28"/>
          <w:lang w:val="es-ES" w:eastAsia="es-ES"/>
        </w:rPr>
        <w:t>ecen primordialmente del requisito de certeza, dada la interpretación que hizo el demandante al omitir considerar el contexto normativo en el que se inscriben los segmentos demandados. Además, generó un impacto sobre las demás cargas mínimas argumentativas</w:t>
      </w:r>
      <w:r w:rsidRPr="006671C3">
        <w:rPr>
          <w:rFonts w:ascii="Times New Roman" w:eastAsia="Times New Roman" w:hAnsi="Times New Roman" w:cs="Times New Roman"/>
          <w:snapToGrid w:val="0"/>
          <w:position w:val="6"/>
          <w:sz w:val="28"/>
          <w:szCs w:val="28"/>
          <w:lang w:val="es-ES" w:eastAsia="es-ES"/>
        </w:rPr>
        <w:t xml:space="preserve"> exigidas por la jurisprudencia de la Corte, al no suscitar una verdadera controversia constitucional, pues ni aun aplicando el principio a favor de la acción era posible una decisión de fondo ya que la omisión endilgada, además de restar fuerza a lo argüi</w:t>
      </w:r>
      <w:r w:rsidRPr="006671C3">
        <w:rPr>
          <w:rFonts w:ascii="Times New Roman" w:eastAsia="Times New Roman" w:hAnsi="Times New Roman" w:cs="Times New Roman"/>
          <w:snapToGrid w:val="0"/>
          <w:position w:val="6"/>
          <w:sz w:val="28"/>
          <w:szCs w:val="28"/>
          <w:lang w:val="es-ES" w:eastAsia="es-ES"/>
        </w:rPr>
        <w:t>do por el propio demandante, llevaría a esta corporación a incurrir en un control oficioso no permitido en este tipo de demandas de control rogado.</w:t>
      </w:r>
    </w:p>
    <w:p w:rsidR="000E6BF6" w:rsidRPr="006671C3" w:rsidRDefault="006671C3" w:rsidP="000E6BF6">
      <w:pPr>
        <w:shd w:val="clear" w:color="auto" w:fill="FFFFFF"/>
        <w:spacing w:after="0" w:line="240" w:lineRule="auto"/>
        <w:jc w:val="both"/>
        <w:rPr>
          <w:rFonts w:ascii="Times New Roman" w:eastAsia="Times New Roman" w:hAnsi="Times New Roman" w:cs="Times New Roman"/>
          <w:snapToGrid w:val="0"/>
          <w:position w:val="6"/>
          <w:sz w:val="28"/>
          <w:szCs w:val="28"/>
          <w:lang w:val="es-ES" w:eastAsia="es-ES"/>
        </w:rPr>
      </w:pPr>
    </w:p>
    <w:p w:rsidR="000E6BF6" w:rsidRPr="006671C3" w:rsidRDefault="006671C3" w:rsidP="000E6BF6">
      <w:pPr>
        <w:shd w:val="clear" w:color="auto" w:fill="FFFFFF"/>
        <w:spacing w:after="0" w:line="240" w:lineRule="auto"/>
        <w:jc w:val="both"/>
        <w:rPr>
          <w:rFonts w:ascii="Times New Roman" w:eastAsia="Times New Roman" w:hAnsi="Times New Roman" w:cs="Times New Roman"/>
          <w:snapToGrid w:val="0"/>
          <w:position w:val="6"/>
          <w:sz w:val="28"/>
          <w:szCs w:val="28"/>
          <w:lang w:val="es-ES" w:eastAsia="es-ES"/>
        </w:rPr>
      </w:pPr>
      <w:r w:rsidRPr="006671C3">
        <w:rPr>
          <w:rFonts w:ascii="Times New Roman" w:eastAsia="Times New Roman" w:hAnsi="Times New Roman" w:cs="Times New Roman"/>
          <w:snapToGrid w:val="0"/>
          <w:position w:val="6"/>
          <w:sz w:val="28"/>
          <w:szCs w:val="28"/>
          <w:lang w:val="es-ES" w:eastAsia="es-ES"/>
        </w:rPr>
        <w:t>También ocasionaría un efecto adverso a principios y derechos que forjan el orden constitucional que result</w:t>
      </w:r>
      <w:r w:rsidRPr="006671C3">
        <w:rPr>
          <w:rFonts w:ascii="Times New Roman" w:eastAsia="Times New Roman" w:hAnsi="Times New Roman" w:cs="Times New Roman"/>
          <w:snapToGrid w:val="0"/>
          <w:position w:val="6"/>
          <w:sz w:val="28"/>
          <w:szCs w:val="28"/>
          <w:lang w:val="es-ES" w:eastAsia="es-ES"/>
        </w:rPr>
        <w:t xml:space="preserve">a imperioso preservar, como lo son la presunción de constitucionalidad, el principio de participación en el control del poder político y el derecho de acceso a la administración de justicia. Particularmente, frenaría la posibilidad de que otros ciudadanos </w:t>
      </w:r>
      <w:r w:rsidRPr="006671C3">
        <w:rPr>
          <w:rFonts w:ascii="Times New Roman" w:eastAsia="Times New Roman" w:hAnsi="Times New Roman" w:cs="Times New Roman"/>
          <w:snapToGrid w:val="0"/>
          <w:position w:val="6"/>
          <w:sz w:val="28"/>
          <w:szCs w:val="28"/>
          <w:lang w:val="es-ES" w:eastAsia="es-ES"/>
        </w:rPr>
        <w:t>presenten nuevas demandas de inconstitucionalidad que sí cumplan con los requisitos necesarios para ser revisada y tengan la posibilidad de prosperar.</w:t>
      </w:r>
    </w:p>
    <w:p w:rsidR="000E6BF6" w:rsidRPr="006671C3" w:rsidRDefault="006671C3" w:rsidP="000E6BF6">
      <w:pPr>
        <w:shd w:val="clear" w:color="auto" w:fill="FFFFFF"/>
        <w:spacing w:after="0" w:line="240" w:lineRule="auto"/>
        <w:jc w:val="both"/>
        <w:rPr>
          <w:rFonts w:ascii="Times New Roman" w:eastAsia="Times New Roman" w:hAnsi="Times New Roman" w:cs="Times New Roman"/>
          <w:snapToGrid w:val="0"/>
          <w:position w:val="6"/>
          <w:sz w:val="28"/>
          <w:szCs w:val="28"/>
          <w:lang w:val="es-ES" w:eastAsia="es-ES"/>
        </w:rPr>
      </w:pPr>
    </w:p>
    <w:bookmarkEnd w:id="6"/>
    <w:p w:rsidR="000E6BF6" w:rsidRPr="006671C3" w:rsidRDefault="006671C3" w:rsidP="000E6BF6">
      <w:pPr>
        <w:shd w:val="clear" w:color="auto" w:fill="FFFFFF"/>
        <w:spacing w:after="0" w:line="240" w:lineRule="auto"/>
        <w:jc w:val="both"/>
        <w:rPr>
          <w:rFonts w:ascii="Times New Roman" w:eastAsia="Times New Roman" w:hAnsi="Times New Roman" w:cs="Times New Roman"/>
          <w:b/>
          <w:snapToGrid w:val="0"/>
          <w:position w:val="6"/>
          <w:sz w:val="28"/>
          <w:szCs w:val="28"/>
          <w:lang w:val="es-ES" w:eastAsia="es-ES"/>
        </w:rPr>
      </w:pPr>
      <w:r w:rsidRPr="006671C3">
        <w:rPr>
          <w:rFonts w:ascii="Times New Roman" w:eastAsia="Times New Roman" w:hAnsi="Times New Roman" w:cs="Times New Roman"/>
          <w:b/>
          <w:snapToGrid w:val="0"/>
          <w:position w:val="6"/>
          <w:sz w:val="28"/>
          <w:szCs w:val="28"/>
          <w:lang w:val="es-ES" w:eastAsia="es-ES"/>
        </w:rPr>
        <w:t>I.</w:t>
      </w:r>
      <w:r w:rsidRPr="006671C3">
        <w:rPr>
          <w:rFonts w:ascii="Times New Roman" w:eastAsia="Times New Roman" w:hAnsi="Times New Roman" w:cs="Times New Roman"/>
          <w:b/>
          <w:snapToGrid w:val="0"/>
          <w:position w:val="6"/>
          <w:sz w:val="28"/>
          <w:szCs w:val="28"/>
          <w:lang w:val="es-ES" w:eastAsia="es-ES"/>
        </w:rPr>
        <w:tab/>
        <w:t>ANTECEDENTES</w:t>
      </w:r>
    </w:p>
    <w:p w:rsidR="000E6BF6" w:rsidRPr="006671C3" w:rsidRDefault="006671C3" w:rsidP="000E6BF6">
      <w:pPr>
        <w:shd w:val="clear" w:color="auto" w:fill="FFFFFF"/>
        <w:spacing w:after="0" w:line="240" w:lineRule="auto"/>
        <w:jc w:val="both"/>
        <w:rPr>
          <w:rFonts w:ascii="Times New Roman" w:eastAsia="Times New Roman" w:hAnsi="Times New Roman" w:cs="Times New Roman"/>
          <w:b/>
          <w:snapToGrid w:val="0"/>
          <w:position w:val="6"/>
          <w:sz w:val="28"/>
          <w:szCs w:val="28"/>
          <w:lang w:val="es-ES" w:eastAsia="es-ES"/>
        </w:rPr>
      </w:pPr>
    </w:p>
    <w:p w:rsidR="000E6BF6" w:rsidRPr="006671C3" w:rsidRDefault="006671C3" w:rsidP="000E6BF6">
      <w:pPr>
        <w:numPr>
          <w:ilvl w:val="0"/>
          <w:numId w:val="11"/>
        </w:numPr>
        <w:shd w:val="clear" w:color="auto" w:fill="FFFFFF"/>
        <w:spacing w:after="0" w:line="240" w:lineRule="auto"/>
        <w:ind w:left="0" w:firstLine="0"/>
        <w:contextualSpacing/>
        <w:jc w:val="both"/>
        <w:rPr>
          <w:rFonts w:ascii="Times New Roman" w:eastAsia="Times New Roman" w:hAnsi="Times New Roman" w:cs="Times New Roman"/>
          <w:snapToGrid w:val="0"/>
          <w:position w:val="6"/>
          <w:sz w:val="28"/>
          <w:szCs w:val="28"/>
          <w:lang w:val="es-ES" w:eastAsia="es-ES"/>
        </w:rPr>
      </w:pPr>
      <w:bookmarkStart w:id="7" w:name="_Hlk168992774"/>
      <w:r w:rsidRPr="006671C3">
        <w:rPr>
          <w:rFonts w:ascii="Times New Roman" w:eastAsia="Times New Roman" w:hAnsi="Times New Roman" w:cs="Times New Roman"/>
          <w:snapToGrid w:val="0"/>
          <w:position w:val="6"/>
          <w:sz w:val="28"/>
          <w:szCs w:val="28"/>
          <w:lang w:val="es-ES" w:eastAsia="es-ES"/>
        </w:rPr>
        <w:t xml:space="preserve">El ciudadano actor, en ejercicio de la acción de inconstitucionalidad, demandó algunas </w:t>
      </w:r>
      <w:r w:rsidRPr="006671C3">
        <w:rPr>
          <w:rFonts w:ascii="Times New Roman" w:eastAsia="Times New Roman" w:hAnsi="Times New Roman" w:cs="Times New Roman"/>
          <w:snapToGrid w:val="0"/>
          <w:position w:val="6"/>
          <w:sz w:val="28"/>
          <w:szCs w:val="28"/>
          <w:lang w:val="es-ES" w:eastAsia="es-ES"/>
        </w:rPr>
        <w:t xml:space="preserve">expresiones de los artículos 7, 9, 25, 29, 31, 35, 36, 48, 69 y 72 del Decreto Ley 920 de 2023 (en adelante, régimen sancionatorio de aduanas), por violación del preámbulo y los artículos 1, 2, 4, 5, 6, 29, 58, 121, 122, 123, 209 y 333 de la Constitución. </w:t>
      </w:r>
      <w:r w:rsidRPr="006671C3">
        <w:rPr>
          <w:rFonts w:ascii="Times New Roman" w:eastAsia="Times New Roman" w:hAnsi="Times New Roman" w:cs="Times New Roman"/>
          <w:snapToGrid w:val="0"/>
          <w:position w:val="6"/>
          <w:sz w:val="28"/>
          <w:szCs w:val="28"/>
          <w:lang w:val="es-ES" w:eastAsia="es-ES"/>
        </w:rPr>
        <w:t xml:space="preserve"> </w:t>
      </w:r>
    </w:p>
    <w:bookmarkEnd w:id="7"/>
    <w:p w:rsidR="000E6BF6" w:rsidRPr="006671C3" w:rsidRDefault="006671C3" w:rsidP="000E6BF6">
      <w:pPr>
        <w:shd w:val="clear" w:color="auto" w:fill="FFFFFF"/>
        <w:spacing w:after="0" w:line="240" w:lineRule="auto"/>
        <w:contextualSpacing/>
        <w:jc w:val="both"/>
        <w:rPr>
          <w:rFonts w:ascii="Times New Roman" w:eastAsia="Times New Roman" w:hAnsi="Times New Roman" w:cs="Times New Roman"/>
          <w:snapToGrid w:val="0"/>
          <w:position w:val="6"/>
          <w:sz w:val="28"/>
          <w:szCs w:val="28"/>
          <w:lang w:val="es-ES" w:eastAsia="es-ES"/>
        </w:rPr>
      </w:pPr>
    </w:p>
    <w:p w:rsidR="000E6BF6" w:rsidRPr="006671C3" w:rsidRDefault="006671C3" w:rsidP="000E6BF6">
      <w:pPr>
        <w:numPr>
          <w:ilvl w:val="0"/>
          <w:numId w:val="11"/>
        </w:numPr>
        <w:shd w:val="clear" w:color="auto" w:fill="FFFFFF"/>
        <w:spacing w:after="0" w:line="240" w:lineRule="auto"/>
        <w:ind w:left="0" w:firstLine="0"/>
        <w:contextualSpacing/>
        <w:jc w:val="both"/>
        <w:rPr>
          <w:rFonts w:ascii="Times New Roman" w:eastAsia="Times New Roman" w:hAnsi="Times New Roman" w:cs="Times New Roman"/>
          <w:snapToGrid w:val="0"/>
          <w:position w:val="6"/>
          <w:sz w:val="28"/>
          <w:szCs w:val="28"/>
          <w:lang w:val="es-ES" w:eastAsia="es-ES"/>
        </w:rPr>
      </w:pPr>
      <w:r w:rsidRPr="006671C3">
        <w:rPr>
          <w:rFonts w:ascii="Times New Roman" w:eastAsia="Times New Roman" w:hAnsi="Times New Roman" w:cs="Times New Roman"/>
          <w:snapToGrid w:val="0"/>
          <w:position w:val="6"/>
          <w:sz w:val="28"/>
          <w:szCs w:val="28"/>
          <w:lang w:val="es-ES" w:eastAsia="es-ES"/>
        </w:rPr>
        <w:t>La demanda correspondió por reparto al magistrado encargado Miguel Polo Rosero, quien por Auto de 19 de diciembre de 2023 la admitió</w:t>
      </w:r>
      <w:r w:rsidRPr="006671C3">
        <w:rPr>
          <w:rFonts w:ascii="Times New Roman" w:eastAsia="Times New Roman" w:hAnsi="Times New Roman" w:cs="Times New Roman"/>
          <w:snapToGrid w:val="0"/>
          <w:position w:val="6"/>
          <w:sz w:val="28"/>
          <w:szCs w:val="28"/>
          <w:vertAlign w:val="superscript"/>
          <w:lang w:val="es-ES" w:eastAsia="es-ES"/>
        </w:rPr>
        <w:footnoteReference w:id="1"/>
      </w:r>
      <w:r w:rsidRPr="006671C3">
        <w:rPr>
          <w:rFonts w:ascii="Times New Roman" w:eastAsia="Times New Roman" w:hAnsi="Times New Roman" w:cs="Times New Roman"/>
          <w:snapToGrid w:val="0"/>
          <w:position w:val="6"/>
          <w:sz w:val="28"/>
          <w:szCs w:val="28"/>
          <w:lang w:val="es-ES" w:eastAsia="es-ES"/>
        </w:rPr>
        <w:t>, disponiendo (i) comunicar la iniciación del asunto</w:t>
      </w:r>
      <w:r w:rsidRPr="006671C3">
        <w:rPr>
          <w:rFonts w:ascii="Times New Roman" w:eastAsia="Times New Roman" w:hAnsi="Times New Roman" w:cs="Times New Roman"/>
          <w:snapToGrid w:val="0"/>
          <w:position w:val="6"/>
          <w:sz w:val="28"/>
          <w:szCs w:val="28"/>
          <w:vertAlign w:val="superscript"/>
          <w:lang w:val="es-ES" w:eastAsia="es-ES"/>
        </w:rPr>
        <w:footnoteReference w:id="2"/>
      </w:r>
      <w:r w:rsidRPr="006671C3">
        <w:rPr>
          <w:rFonts w:ascii="Times New Roman" w:eastAsia="Times New Roman" w:hAnsi="Times New Roman" w:cs="Times New Roman"/>
          <w:snapToGrid w:val="0"/>
          <w:position w:val="6"/>
          <w:sz w:val="28"/>
          <w:szCs w:val="28"/>
          <w:lang w:val="es-ES" w:eastAsia="es-ES"/>
        </w:rPr>
        <w:t xml:space="preserve">, (ii) fijar en lista el asunto para la intervención ciudadana y </w:t>
      </w:r>
      <w:r w:rsidRPr="006671C3">
        <w:rPr>
          <w:rFonts w:ascii="Times New Roman" w:eastAsia="Times New Roman" w:hAnsi="Times New Roman" w:cs="Times New Roman"/>
          <w:snapToGrid w:val="0"/>
          <w:position w:val="6"/>
          <w:sz w:val="28"/>
          <w:szCs w:val="28"/>
          <w:lang w:val="es-ES" w:eastAsia="es-ES"/>
        </w:rPr>
        <w:t>correr traslado a la Procuraduría General de la Nación, además de (iii) invitar a expresar su opinión a entidades públicas y privadas, así como a la academia</w:t>
      </w:r>
      <w:r w:rsidRPr="006671C3">
        <w:rPr>
          <w:rFonts w:ascii="Times New Roman" w:eastAsia="Times New Roman" w:hAnsi="Times New Roman" w:cs="Times New Roman"/>
          <w:snapToGrid w:val="0"/>
          <w:position w:val="6"/>
          <w:sz w:val="28"/>
          <w:szCs w:val="28"/>
          <w:vertAlign w:val="superscript"/>
          <w:lang w:val="es-ES" w:eastAsia="es-ES"/>
        </w:rPr>
        <w:footnoteReference w:id="3"/>
      </w:r>
      <w:r w:rsidRPr="006671C3">
        <w:rPr>
          <w:rFonts w:ascii="Times New Roman" w:eastAsia="Times New Roman" w:hAnsi="Times New Roman" w:cs="Times New Roman"/>
          <w:snapToGrid w:val="0"/>
          <w:position w:val="6"/>
          <w:sz w:val="28"/>
          <w:szCs w:val="28"/>
          <w:lang w:val="es-ES" w:eastAsia="es-ES"/>
        </w:rPr>
        <w:t>. Posteriormente, el asunto pasó al despacho del magistrado Vladimir Fernández Andrade, a quien le</w:t>
      </w:r>
      <w:r w:rsidRPr="006671C3">
        <w:rPr>
          <w:rFonts w:ascii="Times New Roman" w:eastAsia="Times New Roman" w:hAnsi="Times New Roman" w:cs="Times New Roman"/>
          <w:snapToGrid w:val="0"/>
          <w:position w:val="6"/>
          <w:sz w:val="28"/>
          <w:szCs w:val="28"/>
          <w:lang w:val="es-ES" w:eastAsia="es-ES"/>
        </w:rPr>
        <w:t xml:space="preserve"> fue aceptado el impedimento formulado</w:t>
      </w:r>
      <w:r w:rsidRPr="006671C3">
        <w:rPr>
          <w:rFonts w:ascii="Times New Roman" w:eastAsia="Times New Roman" w:hAnsi="Times New Roman" w:cs="Times New Roman"/>
          <w:snapToGrid w:val="0"/>
          <w:position w:val="6"/>
          <w:sz w:val="28"/>
          <w:szCs w:val="28"/>
          <w:vertAlign w:val="superscript"/>
          <w:lang w:val="es-ES" w:eastAsia="es-ES"/>
        </w:rPr>
        <w:footnoteReference w:id="4"/>
      </w:r>
      <w:r w:rsidRPr="006671C3">
        <w:rPr>
          <w:rFonts w:ascii="Times New Roman" w:eastAsia="Times New Roman" w:hAnsi="Times New Roman" w:cs="Times New Roman"/>
          <w:snapToGrid w:val="0"/>
          <w:position w:val="6"/>
          <w:sz w:val="28"/>
          <w:szCs w:val="28"/>
          <w:lang w:val="es-ES" w:eastAsia="es-ES"/>
        </w:rPr>
        <w:t xml:space="preserve"> y sometido el expediente a nuevo sorteo fue designado el magistrado José Fernando Reyes Cuartas</w:t>
      </w:r>
      <w:r w:rsidRPr="006671C3">
        <w:rPr>
          <w:rFonts w:ascii="Times New Roman" w:eastAsia="Times New Roman" w:hAnsi="Times New Roman" w:cs="Times New Roman"/>
          <w:snapToGrid w:val="0"/>
          <w:position w:val="6"/>
          <w:sz w:val="28"/>
          <w:szCs w:val="28"/>
          <w:vertAlign w:val="superscript"/>
          <w:lang w:val="es-ES" w:eastAsia="es-ES"/>
        </w:rPr>
        <w:footnoteReference w:id="5"/>
      </w:r>
      <w:r w:rsidRPr="006671C3">
        <w:rPr>
          <w:rFonts w:ascii="Times New Roman" w:eastAsia="Times New Roman" w:hAnsi="Times New Roman" w:cs="Times New Roman"/>
          <w:snapToGrid w:val="0"/>
          <w:position w:val="6"/>
          <w:sz w:val="28"/>
          <w:szCs w:val="28"/>
          <w:lang w:val="es-ES" w:eastAsia="es-ES"/>
        </w:rPr>
        <w:t xml:space="preserve">. </w:t>
      </w:r>
    </w:p>
    <w:p w:rsidR="000E6BF6" w:rsidRPr="006671C3" w:rsidRDefault="006671C3" w:rsidP="000E6BF6">
      <w:pPr>
        <w:shd w:val="clear" w:color="auto" w:fill="FFFFFF"/>
        <w:spacing w:after="0" w:line="240" w:lineRule="auto"/>
        <w:contextualSpacing/>
        <w:jc w:val="both"/>
        <w:rPr>
          <w:rFonts w:ascii="Times New Roman" w:eastAsia="Times New Roman" w:hAnsi="Times New Roman" w:cs="Times New Roman"/>
          <w:snapToGrid w:val="0"/>
          <w:position w:val="6"/>
          <w:sz w:val="28"/>
          <w:szCs w:val="28"/>
          <w:lang w:val="es-ES" w:eastAsia="es-ES"/>
        </w:rPr>
      </w:pPr>
    </w:p>
    <w:p w:rsidR="000E6BF6" w:rsidRPr="006671C3" w:rsidRDefault="006671C3" w:rsidP="000E6BF6">
      <w:pPr>
        <w:shd w:val="clear" w:color="auto" w:fill="FFFFFF"/>
        <w:spacing w:after="0" w:line="240" w:lineRule="auto"/>
        <w:jc w:val="both"/>
        <w:rPr>
          <w:rFonts w:ascii="Times New Roman" w:eastAsia="Times New Roman" w:hAnsi="Times New Roman" w:cs="Times New Roman"/>
          <w:b/>
          <w:snapToGrid w:val="0"/>
          <w:position w:val="6"/>
          <w:sz w:val="28"/>
          <w:szCs w:val="28"/>
          <w:lang w:val="es-ES" w:eastAsia="es-ES"/>
        </w:rPr>
      </w:pPr>
      <w:r w:rsidRPr="006671C3">
        <w:rPr>
          <w:rFonts w:ascii="Times New Roman" w:eastAsia="Times New Roman" w:hAnsi="Times New Roman" w:cs="Times New Roman"/>
          <w:b/>
          <w:snapToGrid w:val="0"/>
          <w:position w:val="6"/>
          <w:sz w:val="28"/>
          <w:szCs w:val="28"/>
          <w:lang w:val="es-ES" w:eastAsia="es-ES"/>
        </w:rPr>
        <w:t xml:space="preserve">II. </w:t>
      </w:r>
      <w:r w:rsidRPr="006671C3">
        <w:rPr>
          <w:rFonts w:ascii="Times New Roman" w:eastAsia="Times New Roman" w:hAnsi="Times New Roman" w:cs="Times New Roman"/>
          <w:b/>
          <w:snapToGrid w:val="0"/>
          <w:position w:val="6"/>
          <w:sz w:val="28"/>
          <w:szCs w:val="28"/>
          <w:lang w:val="es-ES" w:eastAsia="es-ES"/>
        </w:rPr>
        <w:tab/>
        <w:t>LAS NORMAS PARCIALMENTE ACUSADAS Y LA DEMANDA DE INCONSTITUCIONALIDAD</w:t>
      </w:r>
      <w:r w:rsidRPr="006671C3">
        <w:rPr>
          <w:rFonts w:ascii="Times New Roman" w:eastAsia="Times New Roman" w:hAnsi="Times New Roman" w:cs="Times New Roman"/>
          <w:b/>
          <w:snapToGrid w:val="0"/>
          <w:position w:val="6"/>
          <w:sz w:val="28"/>
          <w:szCs w:val="28"/>
          <w:vertAlign w:val="superscript"/>
          <w:lang w:val="es-ES" w:eastAsia="es-ES"/>
        </w:rPr>
        <w:footnoteReference w:id="6"/>
      </w:r>
    </w:p>
    <w:p w:rsidR="000E6BF6" w:rsidRPr="006671C3" w:rsidRDefault="006671C3" w:rsidP="000E6BF6">
      <w:pPr>
        <w:shd w:val="clear" w:color="auto" w:fill="FFFFFF"/>
        <w:spacing w:after="0" w:line="240" w:lineRule="auto"/>
        <w:jc w:val="both"/>
        <w:rPr>
          <w:rFonts w:ascii="Times New Roman" w:eastAsia="Times New Roman" w:hAnsi="Times New Roman" w:cs="Times New Roman"/>
          <w:b/>
          <w:snapToGrid w:val="0"/>
          <w:position w:val="6"/>
          <w:sz w:val="28"/>
          <w:szCs w:val="28"/>
          <w:lang w:val="es-ES" w:eastAsia="es-ES"/>
        </w:rPr>
      </w:pPr>
    </w:p>
    <w:p w:rsidR="000E6BF6" w:rsidRPr="006671C3" w:rsidRDefault="006671C3" w:rsidP="000E6BF6">
      <w:pPr>
        <w:numPr>
          <w:ilvl w:val="0"/>
          <w:numId w:val="11"/>
        </w:numPr>
        <w:shd w:val="clear" w:color="auto" w:fill="FFFFFF"/>
        <w:spacing w:after="0" w:line="240" w:lineRule="auto"/>
        <w:ind w:left="0" w:firstLine="0"/>
        <w:contextualSpacing/>
        <w:jc w:val="both"/>
        <w:rPr>
          <w:rFonts w:ascii="Times New Roman" w:eastAsia="Times New Roman" w:hAnsi="Times New Roman" w:cs="Times New Roman"/>
          <w:snapToGrid w:val="0"/>
          <w:position w:val="6"/>
          <w:sz w:val="28"/>
          <w:szCs w:val="28"/>
          <w:lang w:val="es-ES" w:eastAsia="es-ES"/>
        </w:rPr>
      </w:pPr>
      <w:bookmarkStart w:id="8" w:name="_Hlk172790499"/>
      <w:r w:rsidRPr="006671C3">
        <w:rPr>
          <w:rFonts w:ascii="Times New Roman" w:eastAsia="Times New Roman" w:hAnsi="Times New Roman" w:cs="Times New Roman"/>
          <w:snapToGrid w:val="0"/>
          <w:position w:val="6"/>
          <w:sz w:val="28"/>
          <w:szCs w:val="28"/>
          <w:lang w:val="es-ES" w:eastAsia="es-ES"/>
        </w:rPr>
        <w:t xml:space="preserve">A juicio del accionante algunas expresiones de los artículos 7, 9, 25, 29, 31, 35, 36, 48, 69 y 72, parciales, del Decreto Ley 920 de 2023, vulneran </w:t>
      </w:r>
      <w:bookmarkStart w:id="9" w:name="_Hlk166736734"/>
      <w:r w:rsidRPr="006671C3">
        <w:rPr>
          <w:rFonts w:ascii="Times New Roman" w:eastAsia="Times New Roman" w:hAnsi="Times New Roman" w:cs="Times New Roman"/>
          <w:snapToGrid w:val="0"/>
          <w:position w:val="6"/>
          <w:sz w:val="28"/>
          <w:szCs w:val="28"/>
          <w:lang w:val="es-ES" w:eastAsia="es-ES"/>
        </w:rPr>
        <w:t>el preámbulo y los artículos 1, 2, 4, 5, 6, 29, 58, 121, 122, 123, 209, 333 de la Constitución</w:t>
      </w:r>
      <w:bookmarkEnd w:id="8"/>
      <w:bookmarkEnd w:id="9"/>
      <w:r w:rsidRPr="006671C3">
        <w:rPr>
          <w:rFonts w:ascii="Times New Roman" w:eastAsia="Times New Roman" w:hAnsi="Times New Roman" w:cs="Times New Roman"/>
          <w:snapToGrid w:val="0"/>
          <w:position w:val="6"/>
          <w:sz w:val="28"/>
          <w:szCs w:val="28"/>
          <w:lang w:val="es-ES" w:eastAsia="es-ES"/>
        </w:rPr>
        <w:t>. Ello a part</w:t>
      </w:r>
      <w:r w:rsidRPr="006671C3">
        <w:rPr>
          <w:rFonts w:ascii="Times New Roman" w:eastAsia="Times New Roman" w:hAnsi="Times New Roman" w:cs="Times New Roman"/>
          <w:snapToGrid w:val="0"/>
          <w:position w:val="6"/>
          <w:sz w:val="28"/>
          <w:szCs w:val="28"/>
          <w:lang w:val="es-ES" w:eastAsia="es-ES"/>
        </w:rPr>
        <w:t>ir de cinco cargos:</w:t>
      </w:r>
    </w:p>
    <w:p w:rsidR="000E6BF6" w:rsidRPr="006671C3" w:rsidRDefault="006671C3" w:rsidP="000E6BF6">
      <w:pPr>
        <w:shd w:val="clear" w:color="auto" w:fill="FFFFFF"/>
        <w:spacing w:after="0" w:line="240" w:lineRule="auto"/>
        <w:jc w:val="both"/>
        <w:rPr>
          <w:rFonts w:ascii="Times New Roman" w:eastAsia="Times New Roman" w:hAnsi="Times New Roman" w:cs="Times New Roman"/>
          <w:snapToGrid w:val="0"/>
          <w:position w:val="6"/>
          <w:sz w:val="28"/>
          <w:szCs w:val="28"/>
          <w:lang w:val="es-ES" w:eastAsia="es-ES"/>
        </w:rPr>
      </w:pPr>
    </w:p>
    <w:p w:rsidR="000E6BF6" w:rsidRPr="006671C3" w:rsidRDefault="006671C3" w:rsidP="000E6BF6">
      <w:pPr>
        <w:shd w:val="clear" w:color="auto" w:fill="FFFFFF"/>
        <w:spacing w:after="0" w:line="240" w:lineRule="auto"/>
        <w:jc w:val="both"/>
        <w:rPr>
          <w:rFonts w:ascii="Times New Roman" w:eastAsia="Times New Roman" w:hAnsi="Times New Roman" w:cs="Times New Roman"/>
          <w:snapToGrid w:val="0"/>
          <w:position w:val="6"/>
          <w:sz w:val="28"/>
          <w:szCs w:val="28"/>
          <w:lang w:val="es-ES" w:eastAsia="es-ES"/>
        </w:rPr>
      </w:pPr>
      <w:bookmarkStart w:id="10" w:name="_Hlk165544095"/>
      <w:bookmarkStart w:id="11" w:name="_Hlk168557581"/>
      <w:r w:rsidRPr="006671C3">
        <w:rPr>
          <w:rFonts w:ascii="Times New Roman" w:eastAsia="Times New Roman" w:hAnsi="Times New Roman" w:cs="Times New Roman"/>
          <w:b/>
          <w:snapToGrid w:val="0"/>
          <w:position w:val="6"/>
          <w:sz w:val="28"/>
          <w:szCs w:val="28"/>
          <w:lang w:val="es-ES" w:eastAsia="es-ES"/>
        </w:rPr>
        <w:t>Primer cargo</w:t>
      </w:r>
      <w:r w:rsidRPr="006671C3">
        <w:rPr>
          <w:rFonts w:ascii="Times New Roman" w:eastAsia="Times New Roman" w:hAnsi="Times New Roman" w:cs="Times New Roman"/>
          <w:snapToGrid w:val="0"/>
          <w:position w:val="6"/>
          <w:sz w:val="28"/>
          <w:szCs w:val="28"/>
          <w:lang w:val="es-ES" w:eastAsia="es-ES"/>
        </w:rPr>
        <w:t xml:space="preserve">. </w:t>
      </w:r>
      <w:bookmarkStart w:id="12" w:name="_Hlk165557122"/>
      <w:r w:rsidRPr="006671C3">
        <w:rPr>
          <w:rFonts w:ascii="Times New Roman" w:eastAsia="Times New Roman" w:hAnsi="Times New Roman" w:cs="Times New Roman"/>
          <w:snapToGrid w:val="0"/>
          <w:position w:val="6"/>
          <w:sz w:val="28"/>
          <w:szCs w:val="28"/>
          <w:lang w:val="es-ES" w:eastAsia="es-ES"/>
        </w:rPr>
        <w:t>Se estima que los siguientes apartes (en negrillas) de los artículos 7, 9, 29, 31, 35 y 48 del Decreto Ley 920 de 2023, desconocen los artículos 1, 2, 5, 6, 29, 121, 122, 123, 209 y 333 de la Constitución</w:t>
      </w:r>
      <w:r w:rsidRPr="006671C3">
        <w:rPr>
          <w:rFonts w:ascii="Times New Roman" w:eastAsia="Times New Roman" w:hAnsi="Times New Roman" w:cs="Times New Roman"/>
          <w:snapToGrid w:val="0"/>
          <w:position w:val="6"/>
          <w:sz w:val="28"/>
          <w:szCs w:val="28"/>
          <w:vertAlign w:val="superscript"/>
          <w:lang w:val="es-ES" w:eastAsia="es-ES"/>
        </w:rPr>
        <w:footnoteReference w:id="7"/>
      </w:r>
      <w:r w:rsidRPr="006671C3">
        <w:rPr>
          <w:rFonts w:ascii="Times New Roman" w:eastAsia="Times New Roman" w:hAnsi="Times New Roman" w:cs="Times New Roman"/>
          <w:snapToGrid w:val="0"/>
          <w:position w:val="6"/>
          <w:sz w:val="28"/>
          <w:szCs w:val="28"/>
          <w:lang w:val="es-ES" w:eastAsia="es-ES"/>
        </w:rPr>
        <w:t>:</w:t>
      </w:r>
      <w:bookmarkEnd w:id="12"/>
    </w:p>
    <w:p w:rsidR="000E6BF6" w:rsidRPr="006671C3" w:rsidRDefault="006671C3" w:rsidP="000E6BF6">
      <w:pPr>
        <w:shd w:val="clear" w:color="auto" w:fill="FFFFFF"/>
        <w:spacing w:after="0" w:line="240" w:lineRule="auto"/>
        <w:contextualSpacing/>
        <w:jc w:val="both"/>
        <w:rPr>
          <w:rFonts w:ascii="Times New Roman" w:eastAsia="Times New Roman" w:hAnsi="Times New Roman" w:cs="Times New Roman"/>
          <w:i/>
          <w:snapToGrid w:val="0"/>
          <w:position w:val="6"/>
          <w:sz w:val="28"/>
          <w:szCs w:val="28"/>
          <w:lang w:val="es-ES" w:eastAsia="es-ES"/>
        </w:rPr>
      </w:pPr>
    </w:p>
    <w:p w:rsidR="000E6BF6" w:rsidRPr="006671C3" w:rsidRDefault="006671C3" w:rsidP="000E6BF6">
      <w:pPr>
        <w:shd w:val="clear" w:color="auto" w:fill="FFFFFF"/>
        <w:spacing w:after="0" w:line="240" w:lineRule="auto"/>
        <w:ind w:left="284"/>
        <w:jc w:val="center"/>
        <w:rPr>
          <w:rFonts w:ascii="Times New Roman" w:eastAsia="Times New Roman" w:hAnsi="Times New Roman" w:cs="Times New Roman"/>
          <w:snapToGrid w:val="0"/>
          <w:position w:val="6"/>
          <w:sz w:val="28"/>
          <w:lang w:eastAsia="es-ES"/>
        </w:rPr>
      </w:pPr>
      <w:bookmarkStart w:id="13" w:name="_Hlk136440840"/>
      <w:bookmarkStart w:id="14" w:name="_Hlk71097128"/>
      <w:bookmarkEnd w:id="10"/>
      <w:r w:rsidRPr="006671C3">
        <w:rPr>
          <w:rFonts w:ascii="Times New Roman" w:eastAsia="Times New Roman" w:hAnsi="Times New Roman" w:cs="Times New Roman"/>
          <w:snapToGrid w:val="0"/>
          <w:position w:val="6"/>
          <w:sz w:val="28"/>
          <w:szCs w:val="24"/>
          <w:lang w:eastAsia="es-ES"/>
        </w:rPr>
        <w:t>“</w:t>
      </w:r>
      <w:r w:rsidRPr="006671C3">
        <w:rPr>
          <w:rFonts w:ascii="Times New Roman" w:eastAsia="Times New Roman" w:hAnsi="Times New Roman" w:cs="Times New Roman"/>
          <w:snapToGrid w:val="0"/>
          <w:position w:val="6"/>
          <w:sz w:val="28"/>
          <w:lang w:eastAsia="es-ES"/>
        </w:rPr>
        <w:t xml:space="preserve">DECRETO 920 </w:t>
      </w:r>
      <w:r w:rsidRPr="006671C3">
        <w:rPr>
          <w:rFonts w:ascii="Times New Roman" w:eastAsia="Times New Roman" w:hAnsi="Times New Roman" w:cs="Times New Roman"/>
          <w:snapToGrid w:val="0"/>
          <w:position w:val="6"/>
          <w:sz w:val="28"/>
          <w:lang w:eastAsia="es-ES"/>
        </w:rPr>
        <w:t>DE 2023</w:t>
      </w:r>
    </w:p>
    <w:p w:rsidR="000E6BF6" w:rsidRPr="006671C3" w:rsidRDefault="006671C3" w:rsidP="000E6BF6">
      <w:pPr>
        <w:shd w:val="clear" w:color="auto" w:fill="FFFFFF"/>
        <w:spacing w:after="0" w:line="240" w:lineRule="auto"/>
        <w:ind w:left="284"/>
        <w:jc w:val="center"/>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(junio 6)</w:t>
      </w:r>
      <w:r w:rsidRPr="006671C3">
        <w:rPr>
          <w:rFonts w:ascii="Times New Roman" w:eastAsia="Times New Roman" w:hAnsi="Times New Roman" w:cs="Times New Roman"/>
          <w:snapToGrid w:val="0"/>
          <w:position w:val="6"/>
          <w:sz w:val="28"/>
          <w:vertAlign w:val="superscript"/>
          <w:lang w:eastAsia="es-ES"/>
        </w:rPr>
        <w:footnoteReference w:id="8"/>
      </w:r>
    </w:p>
    <w:p w:rsidR="000E6BF6" w:rsidRPr="006671C3" w:rsidRDefault="006671C3" w:rsidP="000E6BF6">
      <w:pPr>
        <w:shd w:val="clear" w:color="auto" w:fill="FFFFFF"/>
        <w:spacing w:after="0" w:line="240" w:lineRule="auto"/>
        <w:ind w:left="284"/>
        <w:jc w:val="center"/>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por medio del cual se expide el nuevo régimen sancionatorio y de decomiso de</w:t>
      </w:r>
    </w:p>
    <w:p w:rsidR="000E6BF6" w:rsidRPr="006671C3" w:rsidRDefault="006671C3" w:rsidP="000E6BF6">
      <w:pPr>
        <w:shd w:val="clear" w:color="auto" w:fill="FFFFFF"/>
        <w:spacing w:after="0" w:line="240" w:lineRule="auto"/>
        <w:ind w:left="284"/>
        <w:jc w:val="center"/>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mercancías en materia aduanera, así como el procedimiento aplicable</w:t>
      </w:r>
    </w:p>
    <w:p w:rsidR="000E6BF6" w:rsidRPr="006671C3" w:rsidRDefault="006671C3" w:rsidP="000E6BF6">
      <w:pPr>
        <w:shd w:val="clear" w:color="auto" w:fill="FFFFFF"/>
        <w:spacing w:after="0" w:line="240" w:lineRule="auto"/>
        <w:ind w:left="284"/>
        <w:jc w:val="center"/>
        <w:rPr>
          <w:rFonts w:ascii="Times New Roman" w:eastAsia="Times New Roman" w:hAnsi="Times New Roman" w:cs="Times New Roman"/>
          <w:snapToGrid w:val="0"/>
          <w:position w:val="6"/>
          <w:sz w:val="28"/>
          <w:lang w:eastAsia="es-ES"/>
        </w:rPr>
      </w:pPr>
    </w:p>
    <w:p w:rsidR="000E6BF6" w:rsidRPr="006671C3" w:rsidRDefault="006671C3" w:rsidP="000E6BF6">
      <w:pPr>
        <w:shd w:val="clear" w:color="auto" w:fill="FFFFFF"/>
        <w:spacing w:after="0" w:line="240" w:lineRule="auto"/>
        <w:ind w:left="284"/>
        <w:jc w:val="center"/>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El presidente de la República de Colombia, en uso de las facultades extraordinarias</w:t>
      </w:r>
    </w:p>
    <w:p w:rsidR="000E6BF6" w:rsidRPr="006671C3" w:rsidRDefault="006671C3" w:rsidP="000E6BF6">
      <w:pPr>
        <w:shd w:val="clear" w:color="auto" w:fill="FFFFFF"/>
        <w:spacing w:after="0" w:line="240" w:lineRule="auto"/>
        <w:ind w:left="284"/>
        <w:jc w:val="center"/>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conferi</w:t>
      </w:r>
      <w:r w:rsidRPr="006671C3">
        <w:rPr>
          <w:rFonts w:ascii="Times New Roman" w:eastAsia="Times New Roman" w:hAnsi="Times New Roman" w:cs="Times New Roman"/>
          <w:snapToGrid w:val="0"/>
          <w:position w:val="6"/>
          <w:sz w:val="28"/>
          <w:lang w:eastAsia="es-ES"/>
        </w:rPr>
        <w:t>das por el artículo 68 de la Ley 2277 de 2022, y</w:t>
      </w:r>
    </w:p>
    <w:p w:rsidR="000E6BF6" w:rsidRPr="006671C3" w:rsidRDefault="006671C3" w:rsidP="000E6BF6">
      <w:pPr>
        <w:shd w:val="clear" w:color="auto" w:fill="FFFFFF"/>
        <w:spacing w:after="0" w:line="240" w:lineRule="auto"/>
        <w:ind w:left="284"/>
        <w:jc w:val="center"/>
        <w:rPr>
          <w:rFonts w:ascii="Times New Roman" w:eastAsia="Times New Roman" w:hAnsi="Times New Roman" w:cs="Times New Roman"/>
          <w:snapToGrid w:val="0"/>
          <w:position w:val="6"/>
          <w:sz w:val="28"/>
          <w:lang w:eastAsia="es-ES"/>
        </w:rPr>
      </w:pPr>
    </w:p>
    <w:p w:rsidR="000E6BF6" w:rsidRPr="006671C3" w:rsidRDefault="006671C3" w:rsidP="000E6BF6">
      <w:pPr>
        <w:shd w:val="clear" w:color="auto" w:fill="FFFFFF"/>
        <w:spacing w:after="0" w:line="240" w:lineRule="auto"/>
        <w:ind w:left="284"/>
        <w:jc w:val="center"/>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DECRETA:</w:t>
      </w:r>
    </w:p>
    <w:p w:rsidR="000E6BF6" w:rsidRPr="006671C3" w:rsidRDefault="006671C3" w:rsidP="000E6BF6">
      <w:pPr>
        <w:shd w:val="clear" w:color="auto" w:fill="FFFFFF"/>
        <w:spacing w:after="0" w:line="240" w:lineRule="auto"/>
        <w:ind w:left="284"/>
        <w:jc w:val="center"/>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b/>
          <w:snapToGrid w:val="0"/>
          <w:position w:val="6"/>
          <w:sz w:val="28"/>
          <w:lang w:eastAsia="es-ES"/>
        </w:rPr>
        <w:t>Artículo 7.</w:t>
      </w:r>
      <w:r w:rsidRPr="006671C3">
        <w:rPr>
          <w:rFonts w:ascii="Times New Roman" w:eastAsia="Times New Roman" w:hAnsi="Times New Roman" w:cs="Times New Roman"/>
          <w:snapToGrid w:val="0"/>
          <w:position w:val="6"/>
          <w:sz w:val="28"/>
          <w:lang w:eastAsia="es-ES"/>
        </w:rPr>
        <w:t xml:space="preserve"> </w:t>
      </w:r>
      <w:r w:rsidRPr="006671C3">
        <w:rPr>
          <w:rFonts w:ascii="Times New Roman" w:eastAsia="Times New Roman" w:hAnsi="Times New Roman" w:cs="Times New Roman"/>
          <w:i/>
          <w:snapToGrid w:val="0"/>
          <w:position w:val="6"/>
          <w:sz w:val="28"/>
          <w:lang w:eastAsia="es-ES"/>
        </w:rPr>
        <w:t>Medidas cautelares asociadas a la imposición de sanciones, al decomiso de mercancías y a su procedimiento</w:t>
      </w:r>
      <w:r w:rsidRPr="006671C3">
        <w:rPr>
          <w:rFonts w:ascii="Times New Roman" w:eastAsia="Times New Roman" w:hAnsi="Times New Roman" w:cs="Times New Roman"/>
          <w:snapToGrid w:val="0"/>
          <w:position w:val="6"/>
          <w:sz w:val="28"/>
          <w:lang w:eastAsia="es-ES"/>
        </w:rPr>
        <w:t xml:space="preserve">. Son las medidas procedimentales que adopta la autoridad aduanera dirigidas a limitar o impedir temporalmente el ejercicio de los derechos de disposición o administración sobre mercancías o pruebas de interés para el inicio de un proceso o investigación, </w:t>
      </w:r>
      <w:r w:rsidRPr="006671C3">
        <w:rPr>
          <w:rFonts w:ascii="Times New Roman" w:eastAsia="Times New Roman" w:hAnsi="Times New Roman" w:cs="Times New Roman"/>
          <w:snapToGrid w:val="0"/>
          <w:position w:val="6"/>
          <w:sz w:val="28"/>
          <w:lang w:eastAsia="es-ES"/>
        </w:rPr>
        <w:t xml:space="preserve">que le permiten asumir la custodia o control sobre estas. También pueden imponerse con base en una orden de autoridad competente.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Las medidas cautelares serán proporcionales y adecuadas a los fines que se persigan y se podrán ordenar dentro de las accione</w:t>
      </w:r>
      <w:r w:rsidRPr="006671C3">
        <w:rPr>
          <w:rFonts w:ascii="Times New Roman" w:eastAsia="Times New Roman" w:hAnsi="Times New Roman" w:cs="Times New Roman"/>
          <w:snapToGrid w:val="0"/>
          <w:position w:val="6"/>
          <w:sz w:val="28"/>
          <w:lang w:eastAsia="es-ES"/>
        </w:rPr>
        <w:t xml:space="preserve">s de control previo, durante el proceso de nacionalización y en el control posterior, así como en las investigaciones previas o dentro de un proceso administrativo.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 xml:space="preserve">Son medidas cautelares sobre la prueba, las que se adopten para garantizar la utilización </w:t>
      </w:r>
      <w:r w:rsidRPr="006671C3">
        <w:rPr>
          <w:rFonts w:ascii="Times New Roman" w:eastAsia="Times New Roman" w:hAnsi="Times New Roman" w:cs="Times New Roman"/>
          <w:snapToGrid w:val="0"/>
          <w:position w:val="6"/>
          <w:sz w:val="28"/>
          <w:lang w:eastAsia="es-ES"/>
        </w:rPr>
        <w:t xml:space="preserve">de un determinado medio probatorio dentro de un proceso administrativo o acción de control.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El funcionario, determinará si es procedente iniciar el proceso de decomiso o el levantamiento de la medida cautelar a que haya lugar, con fundamento en la normati</w:t>
      </w:r>
      <w:r w:rsidRPr="006671C3">
        <w:rPr>
          <w:rFonts w:ascii="Times New Roman" w:eastAsia="Times New Roman" w:hAnsi="Times New Roman" w:cs="Times New Roman"/>
          <w:snapToGrid w:val="0"/>
          <w:position w:val="6"/>
          <w:sz w:val="28"/>
          <w:lang w:eastAsia="es-ES"/>
        </w:rPr>
        <w:t xml:space="preserve">vidad, el análisis de los hechos y pruebas aportadas.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Las medidas cautelares que se pueden adoptar son: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 xml:space="preserve">3. </w:t>
      </w:r>
      <w:r w:rsidRPr="006671C3">
        <w:rPr>
          <w:rFonts w:ascii="Times New Roman" w:eastAsia="Times New Roman" w:hAnsi="Times New Roman" w:cs="Times New Roman"/>
          <w:b/>
          <w:i/>
          <w:snapToGrid w:val="0"/>
          <w:position w:val="6"/>
          <w:sz w:val="28"/>
          <w:lang w:eastAsia="es-ES"/>
        </w:rPr>
        <w:t>Suspensión provisional de la autorización, habilitación o registro de un usuario aduanero</w:t>
      </w:r>
      <w:r w:rsidRPr="006671C3">
        <w:rPr>
          <w:rFonts w:ascii="Times New Roman" w:eastAsia="Times New Roman" w:hAnsi="Times New Roman" w:cs="Times New Roman"/>
          <w:b/>
          <w:snapToGrid w:val="0"/>
          <w:position w:val="6"/>
          <w:sz w:val="28"/>
          <w:lang w:eastAsia="es-ES"/>
        </w:rPr>
        <w:t>: la suspensión provisional de la autorización, habilit</w:t>
      </w:r>
      <w:r w:rsidRPr="006671C3">
        <w:rPr>
          <w:rFonts w:ascii="Times New Roman" w:eastAsia="Times New Roman" w:hAnsi="Times New Roman" w:cs="Times New Roman"/>
          <w:b/>
          <w:snapToGrid w:val="0"/>
          <w:position w:val="6"/>
          <w:sz w:val="28"/>
          <w:lang w:eastAsia="es-ES"/>
        </w:rPr>
        <w:t>ación o registro de un usuario aduanero, es aquella que adopta el área de fiscalización mientras concluye un proceso sancionatorio originado por una infracción que da lugar a la sanción de cancelación de la autorización o habilitación</w:t>
      </w:r>
      <w:r w:rsidRPr="006671C3">
        <w:rPr>
          <w:rFonts w:ascii="Times New Roman" w:eastAsia="Times New Roman" w:hAnsi="Times New Roman" w:cs="Times New Roman"/>
          <w:snapToGrid w:val="0"/>
          <w:position w:val="6"/>
          <w:sz w:val="28"/>
          <w:lang w:eastAsia="es-ES"/>
        </w:rPr>
        <w:t>.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b/>
          <w:snapToGrid w:val="0"/>
          <w:position w:val="6"/>
          <w:sz w:val="28"/>
          <w:lang w:eastAsia="es-ES"/>
        </w:rPr>
        <w:t>Artículo 9.</w:t>
      </w:r>
      <w:r w:rsidRPr="006671C3">
        <w:rPr>
          <w:rFonts w:ascii="Times New Roman" w:eastAsia="Times New Roman" w:hAnsi="Times New Roman" w:cs="Times New Roman"/>
          <w:snapToGrid w:val="0"/>
          <w:position w:val="6"/>
          <w:sz w:val="28"/>
          <w:lang w:eastAsia="es-ES"/>
        </w:rPr>
        <w:t xml:space="preserve"> </w:t>
      </w:r>
      <w:r w:rsidRPr="006671C3">
        <w:rPr>
          <w:rFonts w:ascii="Times New Roman" w:eastAsia="Times New Roman" w:hAnsi="Times New Roman" w:cs="Times New Roman"/>
          <w:i/>
          <w:snapToGrid w:val="0"/>
          <w:position w:val="6"/>
          <w:sz w:val="28"/>
          <w:lang w:eastAsia="es-ES"/>
        </w:rPr>
        <w:t>Procedimiento para adoptar medidas cautelares</w:t>
      </w:r>
      <w:r w:rsidRPr="006671C3">
        <w:rPr>
          <w:rFonts w:ascii="Times New Roman" w:eastAsia="Times New Roman" w:hAnsi="Times New Roman" w:cs="Times New Roman"/>
          <w:snapToGrid w:val="0"/>
          <w:position w:val="6"/>
          <w:sz w:val="28"/>
          <w:lang w:eastAsia="es-ES"/>
        </w:rPr>
        <w:t>. Cuando se adopte una medida cautelar se levantará un acta donde conste el tipo de medida, el término de su duración y las mercancías o pruebas sobre las que recae. Este requisito no será necesario cuando se re</w:t>
      </w:r>
      <w:r w:rsidRPr="006671C3">
        <w:rPr>
          <w:rFonts w:ascii="Times New Roman" w:eastAsia="Times New Roman" w:hAnsi="Times New Roman" w:cs="Times New Roman"/>
          <w:snapToGrid w:val="0"/>
          <w:position w:val="6"/>
          <w:sz w:val="28"/>
          <w:lang w:eastAsia="es-ES"/>
        </w:rPr>
        <w:t xml:space="preserve">quieran adoptar las medidas de seguimiento o acompañamiento en el control previo ni durante el proceso de nacionalización; en este caso, será suficiente hacer la anotación respectiva en el documento de transporte o en la declaración.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b/>
          <w:snapToGrid w:val="0"/>
          <w:position w:val="6"/>
          <w:sz w:val="28"/>
          <w:lang w:eastAsia="es-ES"/>
        </w:rPr>
        <w:t>Contra una medida cau</w:t>
      </w:r>
      <w:r w:rsidRPr="006671C3">
        <w:rPr>
          <w:rFonts w:ascii="Times New Roman" w:eastAsia="Times New Roman" w:hAnsi="Times New Roman" w:cs="Times New Roman"/>
          <w:b/>
          <w:snapToGrid w:val="0"/>
          <w:position w:val="6"/>
          <w:sz w:val="28"/>
          <w:lang w:eastAsia="es-ES"/>
        </w:rPr>
        <w:t>telar no procede ningún recurso</w:t>
      </w:r>
      <w:r w:rsidRPr="006671C3">
        <w:rPr>
          <w:rFonts w:ascii="Times New Roman" w:eastAsia="Times New Roman" w:hAnsi="Times New Roman" w:cs="Times New Roman"/>
          <w:snapToGrid w:val="0"/>
          <w:position w:val="6"/>
          <w:sz w:val="28"/>
          <w:lang w:eastAsia="es-ES"/>
        </w:rPr>
        <w:t>, sin perjuicio de la activación del Comité de Revisión de Aprehensiones previsto en el presente Decreto.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b/>
          <w:snapToGrid w:val="0"/>
          <w:position w:val="6"/>
          <w:sz w:val="28"/>
          <w:lang w:eastAsia="es-ES"/>
        </w:rPr>
        <w:t>Artículo 29.</w:t>
      </w:r>
      <w:r w:rsidRPr="006671C3">
        <w:rPr>
          <w:rFonts w:ascii="Times New Roman" w:eastAsia="Times New Roman" w:hAnsi="Times New Roman" w:cs="Times New Roman"/>
          <w:snapToGrid w:val="0"/>
          <w:position w:val="6"/>
          <w:sz w:val="28"/>
          <w:lang w:eastAsia="es-ES"/>
        </w:rPr>
        <w:t xml:space="preserve"> </w:t>
      </w:r>
      <w:r w:rsidRPr="006671C3">
        <w:rPr>
          <w:rFonts w:ascii="Times New Roman" w:eastAsia="Times New Roman" w:hAnsi="Times New Roman" w:cs="Times New Roman"/>
          <w:i/>
          <w:snapToGrid w:val="0"/>
          <w:position w:val="6"/>
          <w:sz w:val="28"/>
          <w:lang w:eastAsia="es-ES"/>
        </w:rPr>
        <w:t>Infracciones aduaneras de los declarantes en el régimen de importación y sanciones aplicables</w:t>
      </w:r>
      <w:r w:rsidRPr="006671C3">
        <w:rPr>
          <w:rFonts w:ascii="Times New Roman" w:eastAsia="Times New Roman" w:hAnsi="Times New Roman" w:cs="Times New Roman"/>
          <w:snapToGrid w:val="0"/>
          <w:position w:val="6"/>
          <w:sz w:val="28"/>
          <w:lang w:eastAsia="es-ES"/>
        </w:rPr>
        <w:t xml:space="preserve">. Las </w:t>
      </w:r>
      <w:r w:rsidRPr="006671C3">
        <w:rPr>
          <w:rFonts w:ascii="Times New Roman" w:eastAsia="Times New Roman" w:hAnsi="Times New Roman" w:cs="Times New Roman"/>
          <w:snapToGrid w:val="0"/>
          <w:position w:val="6"/>
          <w:sz w:val="28"/>
          <w:lang w:eastAsia="es-ES"/>
        </w:rPr>
        <w:t xml:space="preserve">infracciones aduaneras en que pueden incurrir los declarantes del régimen de importación y las sanciones asociadas a su comisión son las siguientes: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 xml:space="preserve">1. Gravísimas.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 xml:space="preserve">1.1. </w:t>
      </w:r>
      <w:r w:rsidRPr="006671C3">
        <w:rPr>
          <w:rFonts w:ascii="Times New Roman" w:eastAsia="Times New Roman" w:hAnsi="Times New Roman" w:cs="Times New Roman"/>
          <w:i/>
          <w:snapToGrid w:val="0"/>
          <w:position w:val="6"/>
          <w:sz w:val="28"/>
          <w:lang w:eastAsia="es-ES"/>
        </w:rPr>
        <w:t>Sustraer, extraviar, cambiar o alterar las mercancías bajo control aduanero</w:t>
      </w:r>
      <w:r w:rsidRPr="006671C3">
        <w:rPr>
          <w:rFonts w:ascii="Times New Roman" w:eastAsia="Times New Roman" w:hAnsi="Times New Roman" w:cs="Times New Roman"/>
          <w:snapToGrid w:val="0"/>
          <w:position w:val="6"/>
          <w:sz w:val="28"/>
          <w:lang w:eastAsia="es-ES"/>
        </w:rPr>
        <w:t>. La sanci</w:t>
      </w:r>
      <w:r w:rsidRPr="006671C3">
        <w:rPr>
          <w:rFonts w:ascii="Times New Roman" w:eastAsia="Times New Roman" w:hAnsi="Times New Roman" w:cs="Times New Roman"/>
          <w:snapToGrid w:val="0"/>
          <w:position w:val="6"/>
          <w:sz w:val="28"/>
          <w:lang w:eastAsia="es-ES"/>
        </w:rPr>
        <w:t>ón será de multa equivalente al cien por ciento (100%) del valor FOB de la mercancía, sin que dicha multa sea inferior a quinientas Unidades de Valor Tributario (500 UVT). Si las mercancías fueren recuperadas, dentro de los diez (10) días siguientes a la o</w:t>
      </w:r>
      <w:r w:rsidRPr="006671C3">
        <w:rPr>
          <w:rFonts w:ascii="Times New Roman" w:eastAsia="Times New Roman" w:hAnsi="Times New Roman" w:cs="Times New Roman"/>
          <w:snapToGrid w:val="0"/>
          <w:position w:val="6"/>
          <w:sz w:val="28"/>
          <w:lang w:eastAsia="es-ES"/>
        </w:rPr>
        <w:t xml:space="preserve">currencia del hecho, la sanción se reducirá en un ochenta por ciento (80%).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 xml:space="preserve">Cuando el declarante sea una agencia de aduanas, </w:t>
      </w:r>
      <w:r w:rsidRPr="006671C3">
        <w:rPr>
          <w:rFonts w:ascii="Times New Roman" w:eastAsia="Times New Roman" w:hAnsi="Times New Roman" w:cs="Times New Roman"/>
          <w:b/>
          <w:snapToGrid w:val="0"/>
          <w:position w:val="6"/>
          <w:sz w:val="28"/>
          <w:lang w:eastAsia="es-ES"/>
        </w:rPr>
        <w:t>dependiendo de la gravedad del perjuicio causado a los intereses del Estado</w:t>
      </w:r>
      <w:r w:rsidRPr="006671C3">
        <w:rPr>
          <w:rFonts w:ascii="Times New Roman" w:eastAsia="Times New Roman" w:hAnsi="Times New Roman" w:cs="Times New Roman"/>
          <w:snapToGrid w:val="0"/>
          <w:position w:val="6"/>
          <w:sz w:val="28"/>
          <w:lang w:eastAsia="es-ES"/>
        </w:rPr>
        <w:t xml:space="preserve"> de acuerdo con lo previsto en el numeral 5 del artícul</w:t>
      </w:r>
      <w:r w:rsidRPr="006671C3">
        <w:rPr>
          <w:rFonts w:ascii="Times New Roman" w:eastAsia="Times New Roman" w:hAnsi="Times New Roman" w:cs="Times New Roman"/>
          <w:snapToGrid w:val="0"/>
          <w:position w:val="6"/>
          <w:sz w:val="28"/>
          <w:lang w:eastAsia="es-ES"/>
        </w:rPr>
        <w:t xml:space="preserve">o 22 de este decreto, se podrá imponer, en sustitución de la sanción de multa, sanción </w:t>
      </w:r>
      <w:r w:rsidRPr="006671C3">
        <w:rPr>
          <w:rFonts w:ascii="Times New Roman" w:eastAsia="Times New Roman" w:hAnsi="Times New Roman" w:cs="Times New Roman"/>
          <w:b/>
          <w:snapToGrid w:val="0"/>
          <w:position w:val="6"/>
          <w:sz w:val="28"/>
          <w:lang w:eastAsia="es-ES"/>
        </w:rPr>
        <w:t>de suspensión hasta por tres (3) meses</w:t>
      </w:r>
      <w:r w:rsidRPr="006671C3">
        <w:rPr>
          <w:rFonts w:ascii="Times New Roman" w:eastAsia="Times New Roman" w:hAnsi="Times New Roman" w:cs="Times New Roman"/>
          <w:snapToGrid w:val="0"/>
          <w:position w:val="6"/>
          <w:sz w:val="28"/>
          <w:lang w:eastAsia="es-ES"/>
        </w:rPr>
        <w:t>, o cancelación de la respectiva autorización, sin perjuicio del cumplimiento de la obligación de pago de los tributos aduaneros co</w:t>
      </w:r>
      <w:r w:rsidRPr="006671C3">
        <w:rPr>
          <w:rFonts w:ascii="Times New Roman" w:eastAsia="Times New Roman" w:hAnsi="Times New Roman" w:cs="Times New Roman"/>
          <w:snapToGrid w:val="0"/>
          <w:position w:val="6"/>
          <w:sz w:val="28"/>
          <w:lang w:eastAsia="es-ES"/>
        </w:rPr>
        <w:t xml:space="preserve">rrespondientes a la mercancía que fue objeto de sustracción o sustitución.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 xml:space="preserve">1.2. </w:t>
      </w:r>
      <w:r w:rsidRPr="006671C3">
        <w:rPr>
          <w:rFonts w:ascii="Times New Roman" w:eastAsia="Times New Roman" w:hAnsi="Times New Roman" w:cs="Times New Roman"/>
          <w:i/>
          <w:snapToGrid w:val="0"/>
          <w:position w:val="6"/>
          <w:sz w:val="28"/>
          <w:lang w:eastAsia="es-ES"/>
        </w:rPr>
        <w:t>Simular operaciones de importación</w:t>
      </w:r>
      <w:r w:rsidRPr="006671C3">
        <w:rPr>
          <w:rFonts w:ascii="Times New Roman" w:eastAsia="Times New Roman" w:hAnsi="Times New Roman" w:cs="Times New Roman"/>
          <w:snapToGrid w:val="0"/>
          <w:position w:val="6"/>
          <w:sz w:val="28"/>
          <w:lang w:eastAsia="es-ES"/>
        </w:rPr>
        <w:t xml:space="preserve">.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La sanción aplicable será de multa equivalente al cien por ciento (100%) del valor FOB registrado en la Declaración de Importación que sop</w:t>
      </w:r>
      <w:r w:rsidRPr="006671C3">
        <w:rPr>
          <w:rFonts w:ascii="Times New Roman" w:eastAsia="Times New Roman" w:hAnsi="Times New Roman" w:cs="Times New Roman"/>
          <w:snapToGrid w:val="0"/>
          <w:position w:val="6"/>
          <w:sz w:val="28"/>
          <w:lang w:eastAsia="es-ES"/>
        </w:rPr>
        <w:t>orta la operación simulada sin que dicha multa por operación sea inferior a doce mil Unidades de Valor Tributario (12.000 UVT). Cuando el declarante sea una agencia de aduanas, un Usuario Aduanero con Trámite Simplificado o un Operador Económico Autorizado</w:t>
      </w:r>
      <w:r w:rsidRPr="006671C3">
        <w:rPr>
          <w:rFonts w:ascii="Times New Roman" w:eastAsia="Times New Roman" w:hAnsi="Times New Roman" w:cs="Times New Roman"/>
          <w:snapToGrid w:val="0"/>
          <w:position w:val="6"/>
          <w:sz w:val="28"/>
          <w:lang w:eastAsia="es-ES"/>
        </w:rPr>
        <w:t xml:space="preserve">, </w:t>
      </w:r>
      <w:r w:rsidRPr="006671C3">
        <w:rPr>
          <w:rFonts w:ascii="Times New Roman" w:eastAsia="Times New Roman" w:hAnsi="Times New Roman" w:cs="Times New Roman"/>
          <w:b/>
          <w:snapToGrid w:val="0"/>
          <w:position w:val="6"/>
          <w:sz w:val="28"/>
          <w:lang w:eastAsia="es-ES"/>
        </w:rPr>
        <w:t>dependiendo de la gravedad del perjuicio causado a los intereses del Estado</w:t>
      </w:r>
      <w:r w:rsidRPr="006671C3">
        <w:rPr>
          <w:rFonts w:ascii="Times New Roman" w:eastAsia="Times New Roman" w:hAnsi="Times New Roman" w:cs="Times New Roman"/>
          <w:snapToGrid w:val="0"/>
          <w:position w:val="6"/>
          <w:sz w:val="28"/>
          <w:lang w:eastAsia="es-ES"/>
        </w:rPr>
        <w:t xml:space="preserve"> de acuerdo con lo previsto en el numeral 5 del artículo 22 de este decreto, se podrá imponer, en sustitución de la sanción de multa, sanción </w:t>
      </w:r>
      <w:r w:rsidRPr="006671C3">
        <w:rPr>
          <w:rFonts w:ascii="Times New Roman" w:eastAsia="Times New Roman" w:hAnsi="Times New Roman" w:cs="Times New Roman"/>
          <w:b/>
          <w:snapToGrid w:val="0"/>
          <w:position w:val="6"/>
          <w:sz w:val="28"/>
          <w:lang w:eastAsia="es-ES"/>
        </w:rPr>
        <w:t>de suspensión hasta por tres (3) mese</w:t>
      </w:r>
      <w:r w:rsidRPr="006671C3">
        <w:rPr>
          <w:rFonts w:ascii="Times New Roman" w:eastAsia="Times New Roman" w:hAnsi="Times New Roman" w:cs="Times New Roman"/>
          <w:b/>
          <w:snapToGrid w:val="0"/>
          <w:position w:val="6"/>
          <w:sz w:val="28"/>
          <w:lang w:eastAsia="es-ES"/>
        </w:rPr>
        <w:t>s</w:t>
      </w:r>
      <w:r w:rsidRPr="006671C3">
        <w:rPr>
          <w:rFonts w:ascii="Times New Roman" w:eastAsia="Times New Roman" w:hAnsi="Times New Roman" w:cs="Times New Roman"/>
          <w:snapToGrid w:val="0"/>
          <w:position w:val="6"/>
          <w:sz w:val="28"/>
          <w:lang w:eastAsia="es-ES"/>
        </w:rPr>
        <w:t xml:space="preserve"> o cancelación de la respectiva autorización, reconocimiento o inscripción.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b/>
          <w:snapToGrid w:val="0"/>
          <w:position w:val="6"/>
          <w:sz w:val="28"/>
          <w:lang w:eastAsia="es-ES"/>
        </w:rPr>
        <w:t>Artículo 31.</w:t>
      </w:r>
      <w:r w:rsidRPr="006671C3">
        <w:rPr>
          <w:rFonts w:ascii="Times New Roman" w:eastAsia="Times New Roman" w:hAnsi="Times New Roman" w:cs="Times New Roman"/>
          <w:snapToGrid w:val="0"/>
          <w:position w:val="6"/>
          <w:sz w:val="28"/>
          <w:lang w:eastAsia="es-ES"/>
        </w:rPr>
        <w:t xml:space="preserve"> </w:t>
      </w:r>
      <w:r w:rsidRPr="006671C3">
        <w:rPr>
          <w:rFonts w:ascii="Times New Roman" w:eastAsia="Times New Roman" w:hAnsi="Times New Roman" w:cs="Times New Roman"/>
          <w:i/>
          <w:snapToGrid w:val="0"/>
          <w:position w:val="6"/>
          <w:sz w:val="28"/>
          <w:lang w:eastAsia="es-ES"/>
        </w:rPr>
        <w:t>Infracciones aduaneras de los declarantes en el régimen de exportación y sanciones aplicables</w:t>
      </w:r>
      <w:r w:rsidRPr="006671C3">
        <w:rPr>
          <w:rFonts w:ascii="Times New Roman" w:eastAsia="Times New Roman" w:hAnsi="Times New Roman" w:cs="Times New Roman"/>
          <w:snapToGrid w:val="0"/>
          <w:position w:val="6"/>
          <w:sz w:val="28"/>
          <w:lang w:eastAsia="es-ES"/>
        </w:rPr>
        <w:t>. Las infracciones aduaneras en que pueden incurrir los declarante</w:t>
      </w:r>
      <w:r w:rsidRPr="006671C3">
        <w:rPr>
          <w:rFonts w:ascii="Times New Roman" w:eastAsia="Times New Roman" w:hAnsi="Times New Roman" w:cs="Times New Roman"/>
          <w:snapToGrid w:val="0"/>
          <w:position w:val="6"/>
          <w:sz w:val="28"/>
          <w:lang w:eastAsia="es-ES"/>
        </w:rPr>
        <w:t xml:space="preserve">s del régimen de exportación y las sanciones asociadas a su comisión son las siguientes: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 xml:space="preserve">1. Gravísimas. (…)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 xml:space="preserve">1.2. Someter a la modalidad de reembarque substancias químicas controladas por el Consejo Nacional de Estupefacientes.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 xml:space="preserve">La sanción aplicable para </w:t>
      </w:r>
      <w:r w:rsidRPr="006671C3">
        <w:rPr>
          <w:rFonts w:ascii="Times New Roman" w:eastAsia="Times New Roman" w:hAnsi="Times New Roman" w:cs="Times New Roman"/>
          <w:snapToGrid w:val="0"/>
          <w:position w:val="6"/>
          <w:sz w:val="28"/>
          <w:lang w:eastAsia="es-ES"/>
        </w:rPr>
        <w:t xml:space="preserve">los numerales 1.1 y 1.2 será de multa equivalente al quince por ciento (15%) del valor FOB de las mercancías por cada infracción, sin que dicha multa sea inferior a quinientas cincuenta Unidades de Valor Tributario (550 UVT).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 xml:space="preserve">Cuando el declarante sea una </w:t>
      </w:r>
      <w:r w:rsidRPr="006671C3">
        <w:rPr>
          <w:rFonts w:ascii="Times New Roman" w:eastAsia="Times New Roman" w:hAnsi="Times New Roman" w:cs="Times New Roman"/>
          <w:snapToGrid w:val="0"/>
          <w:position w:val="6"/>
          <w:sz w:val="28"/>
          <w:lang w:eastAsia="es-ES"/>
        </w:rPr>
        <w:t xml:space="preserve">agencia de aduanas, </w:t>
      </w:r>
      <w:r w:rsidRPr="006671C3">
        <w:rPr>
          <w:rFonts w:ascii="Times New Roman" w:eastAsia="Times New Roman" w:hAnsi="Times New Roman" w:cs="Times New Roman"/>
          <w:b/>
          <w:snapToGrid w:val="0"/>
          <w:position w:val="6"/>
          <w:sz w:val="28"/>
          <w:lang w:eastAsia="es-ES"/>
        </w:rPr>
        <w:t>dependiendo de la gravedad del perjuicio causado a los intereses del Estado</w:t>
      </w:r>
      <w:r w:rsidRPr="006671C3">
        <w:rPr>
          <w:rFonts w:ascii="Times New Roman" w:eastAsia="Times New Roman" w:hAnsi="Times New Roman" w:cs="Times New Roman"/>
          <w:snapToGrid w:val="0"/>
          <w:position w:val="6"/>
          <w:sz w:val="28"/>
          <w:lang w:eastAsia="es-ES"/>
        </w:rPr>
        <w:t xml:space="preserve"> de acuerdo con lo previsto en el numeral 5 del artículo 22 de este decreto, se podrá imponer, en sustitución de la sanción de multa, sanción </w:t>
      </w:r>
      <w:r w:rsidRPr="006671C3">
        <w:rPr>
          <w:rFonts w:ascii="Times New Roman" w:eastAsia="Times New Roman" w:hAnsi="Times New Roman" w:cs="Times New Roman"/>
          <w:b/>
          <w:snapToGrid w:val="0"/>
          <w:position w:val="6"/>
          <w:sz w:val="28"/>
          <w:lang w:eastAsia="es-ES"/>
        </w:rPr>
        <w:t>de suspensión hasta</w:t>
      </w:r>
      <w:r w:rsidRPr="006671C3">
        <w:rPr>
          <w:rFonts w:ascii="Times New Roman" w:eastAsia="Times New Roman" w:hAnsi="Times New Roman" w:cs="Times New Roman"/>
          <w:b/>
          <w:snapToGrid w:val="0"/>
          <w:position w:val="6"/>
          <w:sz w:val="28"/>
          <w:lang w:eastAsia="es-ES"/>
        </w:rPr>
        <w:t xml:space="preserve"> por tres (3) meses</w:t>
      </w:r>
      <w:r w:rsidRPr="006671C3">
        <w:rPr>
          <w:rFonts w:ascii="Times New Roman" w:eastAsia="Times New Roman" w:hAnsi="Times New Roman" w:cs="Times New Roman"/>
          <w:snapToGrid w:val="0"/>
          <w:position w:val="6"/>
          <w:sz w:val="28"/>
          <w:lang w:eastAsia="es-ES"/>
        </w:rPr>
        <w:t xml:space="preserve"> o cancelación de la respectiva autorización.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 xml:space="preserve">1.3. Simular operaciones de exportación.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La sanción aplicable será de multa equivalente al cien por ciento (100%) del valor FOB registrado en la Declaración de Exportación que soporta la operación simulada sin que dicha multa por operación sea inferior a doce mil Unidades de Valor Tributario (12.</w:t>
      </w:r>
      <w:r w:rsidRPr="006671C3">
        <w:rPr>
          <w:rFonts w:ascii="Times New Roman" w:eastAsia="Times New Roman" w:hAnsi="Times New Roman" w:cs="Times New Roman"/>
          <w:snapToGrid w:val="0"/>
          <w:position w:val="6"/>
          <w:sz w:val="28"/>
          <w:lang w:eastAsia="es-ES"/>
        </w:rPr>
        <w:t xml:space="preserve">000 UVT). Cuando el declarante sea una agencia de aduanas, un Usuario Aduanero con Trámite Simplificado o un Operador Económico Autorizado, </w:t>
      </w:r>
      <w:r w:rsidRPr="006671C3">
        <w:rPr>
          <w:rFonts w:ascii="Times New Roman" w:eastAsia="Times New Roman" w:hAnsi="Times New Roman" w:cs="Times New Roman"/>
          <w:b/>
          <w:snapToGrid w:val="0"/>
          <w:position w:val="6"/>
          <w:sz w:val="28"/>
          <w:lang w:eastAsia="es-ES"/>
        </w:rPr>
        <w:t>dependiendo de la gravedad del perjuicio causado a los intereses del Estado</w:t>
      </w:r>
      <w:r w:rsidRPr="006671C3">
        <w:rPr>
          <w:rFonts w:ascii="Times New Roman" w:eastAsia="Times New Roman" w:hAnsi="Times New Roman" w:cs="Times New Roman"/>
          <w:snapToGrid w:val="0"/>
          <w:position w:val="6"/>
          <w:sz w:val="28"/>
          <w:lang w:eastAsia="es-ES"/>
        </w:rPr>
        <w:t xml:space="preserve"> de acuerdo con lo previsto en el numeral</w:t>
      </w:r>
      <w:r w:rsidRPr="006671C3">
        <w:rPr>
          <w:rFonts w:ascii="Times New Roman" w:eastAsia="Times New Roman" w:hAnsi="Times New Roman" w:cs="Times New Roman"/>
          <w:snapToGrid w:val="0"/>
          <w:position w:val="6"/>
          <w:sz w:val="28"/>
          <w:lang w:eastAsia="es-ES"/>
        </w:rPr>
        <w:t xml:space="preserve"> 5 del artículo 22 de este decreto, se podrá imponer, en sustitución de la sanción de multa, sanción </w:t>
      </w:r>
      <w:r w:rsidRPr="006671C3">
        <w:rPr>
          <w:rFonts w:ascii="Times New Roman" w:eastAsia="Times New Roman" w:hAnsi="Times New Roman" w:cs="Times New Roman"/>
          <w:b/>
          <w:snapToGrid w:val="0"/>
          <w:position w:val="6"/>
          <w:sz w:val="28"/>
          <w:lang w:eastAsia="es-ES"/>
        </w:rPr>
        <w:t>de suspensión hasta por tres (3) meses</w:t>
      </w:r>
      <w:r w:rsidRPr="006671C3">
        <w:rPr>
          <w:rFonts w:ascii="Times New Roman" w:eastAsia="Times New Roman" w:hAnsi="Times New Roman" w:cs="Times New Roman"/>
          <w:snapToGrid w:val="0"/>
          <w:position w:val="6"/>
          <w:sz w:val="28"/>
          <w:lang w:eastAsia="es-ES"/>
        </w:rPr>
        <w:t xml:space="preserve"> o cancelación de la respectiva autorización, reconocimiento o inscripción.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b/>
          <w:snapToGrid w:val="0"/>
          <w:position w:val="6"/>
          <w:sz w:val="28"/>
          <w:lang w:eastAsia="es-ES"/>
        </w:rPr>
        <w:t>Artículo 35.</w:t>
      </w:r>
      <w:r w:rsidRPr="006671C3">
        <w:rPr>
          <w:rFonts w:ascii="Times New Roman" w:eastAsia="Times New Roman" w:hAnsi="Times New Roman" w:cs="Times New Roman"/>
          <w:snapToGrid w:val="0"/>
          <w:position w:val="6"/>
          <w:sz w:val="28"/>
          <w:lang w:eastAsia="es-ES"/>
        </w:rPr>
        <w:t xml:space="preserve"> </w:t>
      </w:r>
      <w:r w:rsidRPr="006671C3">
        <w:rPr>
          <w:rFonts w:ascii="Times New Roman" w:eastAsia="Times New Roman" w:hAnsi="Times New Roman" w:cs="Times New Roman"/>
          <w:i/>
          <w:snapToGrid w:val="0"/>
          <w:position w:val="6"/>
          <w:sz w:val="28"/>
          <w:lang w:eastAsia="es-ES"/>
        </w:rPr>
        <w:t>Infracciones aduanera</w:t>
      </w:r>
      <w:r w:rsidRPr="006671C3">
        <w:rPr>
          <w:rFonts w:ascii="Times New Roman" w:eastAsia="Times New Roman" w:hAnsi="Times New Roman" w:cs="Times New Roman"/>
          <w:i/>
          <w:snapToGrid w:val="0"/>
          <w:position w:val="6"/>
          <w:sz w:val="28"/>
          <w:lang w:eastAsia="es-ES"/>
        </w:rPr>
        <w:t>s de los beneficiarios de Programas Especiales de Exportación (PEX)</w:t>
      </w:r>
      <w:r w:rsidRPr="006671C3">
        <w:rPr>
          <w:rFonts w:ascii="Times New Roman" w:eastAsia="Times New Roman" w:hAnsi="Times New Roman" w:cs="Times New Roman"/>
          <w:snapToGrid w:val="0"/>
          <w:position w:val="6"/>
          <w:sz w:val="28"/>
          <w:lang w:eastAsia="es-ES"/>
        </w:rPr>
        <w:t xml:space="preserve">. Las infracciones aduaneras en que pueden incurrir los beneficiarios de los Programas Especiales de Exportación (PEX), y las sanciones asociadas a su comisión son las siguientes: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1. Graví</w:t>
      </w:r>
      <w:r w:rsidRPr="006671C3">
        <w:rPr>
          <w:rFonts w:ascii="Times New Roman" w:eastAsia="Times New Roman" w:hAnsi="Times New Roman" w:cs="Times New Roman"/>
          <w:snapToGrid w:val="0"/>
          <w:position w:val="6"/>
          <w:sz w:val="28"/>
          <w:lang w:eastAsia="es-ES"/>
        </w:rPr>
        <w:t xml:space="preserve">simas.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 xml:space="preserve">1.1. Haber obtenido la inscripción como beneficiario de los Programas Especiales de Exportación (PEX), utilizando medios irregulares.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 xml:space="preserve">1.2. Expedir un Certificado PEX sin encontrarse inscrito ante la Unidad Administrativa Especial Dirección de Impuestos y Aduanas Nacionales (DIAN).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1.3. Expedir un Certificado PEX sobre mercancías que no fueron efectivamente recibidas dentro de un Program</w:t>
      </w:r>
      <w:r w:rsidRPr="006671C3">
        <w:rPr>
          <w:rFonts w:ascii="Times New Roman" w:eastAsia="Times New Roman" w:hAnsi="Times New Roman" w:cs="Times New Roman"/>
          <w:snapToGrid w:val="0"/>
          <w:position w:val="6"/>
          <w:sz w:val="28"/>
          <w:lang w:eastAsia="es-ES"/>
        </w:rPr>
        <w:t xml:space="preserve">a Especial de Exportación (PEX).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 xml:space="preserve">1.4. Percibir beneficios aplicables a las mercancías de exportación, acreditando un Certificado PEX obtenido por medios irregulares o sin el cumplimiento de los requisitos previstos en las normas aduaneras.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 xml:space="preserve">1.5. Utilizar </w:t>
      </w:r>
      <w:r w:rsidRPr="006671C3">
        <w:rPr>
          <w:rFonts w:ascii="Times New Roman" w:eastAsia="Times New Roman" w:hAnsi="Times New Roman" w:cs="Times New Roman"/>
          <w:snapToGrid w:val="0"/>
          <w:position w:val="6"/>
          <w:sz w:val="28"/>
          <w:lang w:eastAsia="es-ES"/>
        </w:rPr>
        <w:t xml:space="preserve">las materias primas, insumos, bienes intermedios, material de empaque o envases recibidos en desarrollo de un Programa Especial de Exportación (PEX), para fines diferentes a los señalados en el acuerdo comercial celebrado con el comprador en el exterior.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1.6. No exportar los bienes finales elaborados a partir de las materias primas, insumos, bienes intermedios, material de empaque o envases recibidos en desarrollo de un Programa Especial de Exportación (PEX), salvo que se encuentre demostrada la fuerza may</w:t>
      </w:r>
      <w:r w:rsidRPr="006671C3">
        <w:rPr>
          <w:rFonts w:ascii="Times New Roman" w:eastAsia="Times New Roman" w:hAnsi="Times New Roman" w:cs="Times New Roman"/>
          <w:snapToGrid w:val="0"/>
          <w:position w:val="6"/>
          <w:sz w:val="28"/>
          <w:lang w:eastAsia="es-ES"/>
        </w:rPr>
        <w:t xml:space="preserve">or o el caso fortuito.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 xml:space="preserve">La sanción aplicable a las infracciones previstas en los numerales 1.1 a 1.6 será multa de mil seiscientas cincuenta Unidades de Valor Tributario (1650 UVT), </w:t>
      </w:r>
      <w:r w:rsidRPr="006671C3">
        <w:rPr>
          <w:rFonts w:ascii="Times New Roman" w:eastAsia="Times New Roman" w:hAnsi="Times New Roman" w:cs="Times New Roman"/>
          <w:b/>
          <w:snapToGrid w:val="0"/>
          <w:position w:val="6"/>
          <w:sz w:val="28"/>
          <w:lang w:eastAsia="es-ES"/>
        </w:rPr>
        <w:t>o de suspensión hasta de tres (3) meses</w:t>
      </w:r>
      <w:r w:rsidRPr="006671C3">
        <w:rPr>
          <w:rFonts w:ascii="Times New Roman" w:eastAsia="Times New Roman" w:hAnsi="Times New Roman" w:cs="Times New Roman"/>
          <w:snapToGrid w:val="0"/>
          <w:position w:val="6"/>
          <w:sz w:val="28"/>
          <w:lang w:eastAsia="es-ES"/>
        </w:rPr>
        <w:t>, o la cancelación de su inscripció</w:t>
      </w:r>
      <w:r w:rsidRPr="006671C3">
        <w:rPr>
          <w:rFonts w:ascii="Times New Roman" w:eastAsia="Times New Roman" w:hAnsi="Times New Roman" w:cs="Times New Roman"/>
          <w:snapToGrid w:val="0"/>
          <w:position w:val="6"/>
          <w:sz w:val="28"/>
          <w:lang w:eastAsia="es-ES"/>
        </w:rPr>
        <w:t xml:space="preserve">n, </w:t>
      </w:r>
      <w:r w:rsidRPr="006671C3">
        <w:rPr>
          <w:rFonts w:ascii="Times New Roman" w:eastAsia="Times New Roman" w:hAnsi="Times New Roman" w:cs="Times New Roman"/>
          <w:b/>
          <w:snapToGrid w:val="0"/>
          <w:position w:val="6"/>
          <w:sz w:val="28"/>
          <w:lang w:eastAsia="es-ES"/>
        </w:rPr>
        <w:t>dependiendo de la gravedad del perjuicio causado a los intereses del Estado</w:t>
      </w:r>
      <w:r w:rsidRPr="006671C3">
        <w:rPr>
          <w:rFonts w:ascii="Times New Roman" w:eastAsia="Times New Roman" w:hAnsi="Times New Roman" w:cs="Times New Roman"/>
          <w:snapToGrid w:val="0"/>
          <w:position w:val="6"/>
          <w:sz w:val="28"/>
          <w:lang w:eastAsia="es-ES"/>
        </w:rPr>
        <w:t>.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b/>
          <w:snapToGrid w:val="0"/>
          <w:position w:val="6"/>
          <w:sz w:val="28"/>
          <w:lang w:eastAsia="es-ES"/>
        </w:rPr>
        <w:t>Artículo 48.</w:t>
      </w:r>
      <w:r w:rsidRPr="006671C3">
        <w:rPr>
          <w:rFonts w:ascii="Times New Roman" w:eastAsia="Times New Roman" w:hAnsi="Times New Roman" w:cs="Times New Roman"/>
          <w:snapToGrid w:val="0"/>
          <w:position w:val="6"/>
          <w:sz w:val="28"/>
          <w:lang w:eastAsia="es-ES"/>
        </w:rPr>
        <w:t xml:space="preserve"> </w:t>
      </w:r>
      <w:r w:rsidRPr="006671C3">
        <w:rPr>
          <w:rFonts w:ascii="Times New Roman" w:eastAsia="Times New Roman" w:hAnsi="Times New Roman" w:cs="Times New Roman"/>
          <w:i/>
          <w:snapToGrid w:val="0"/>
          <w:position w:val="6"/>
          <w:sz w:val="28"/>
          <w:lang w:eastAsia="es-ES"/>
        </w:rPr>
        <w:t>Infracciones aduaneras relativas al uso de los servicios informáticos electrónicos y sanciones aplicables</w:t>
      </w:r>
      <w:r w:rsidRPr="006671C3">
        <w:rPr>
          <w:rFonts w:ascii="Times New Roman" w:eastAsia="Times New Roman" w:hAnsi="Times New Roman" w:cs="Times New Roman"/>
          <w:snapToGrid w:val="0"/>
          <w:position w:val="6"/>
          <w:sz w:val="28"/>
          <w:lang w:eastAsia="es-ES"/>
        </w:rPr>
        <w:t>. Las infracciones aduaneras en que pueden incurrir</w:t>
      </w:r>
      <w:r w:rsidRPr="006671C3">
        <w:rPr>
          <w:rFonts w:ascii="Times New Roman" w:eastAsia="Times New Roman" w:hAnsi="Times New Roman" w:cs="Times New Roman"/>
          <w:snapToGrid w:val="0"/>
          <w:position w:val="6"/>
          <w:sz w:val="28"/>
          <w:lang w:eastAsia="es-ES"/>
        </w:rPr>
        <w:t xml:space="preserve"> los usuarios de los servicios Informáticos electrónicos y las sanciones asociadas a su comisión son las siguientes: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1. Gravísimas.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1.3.10. Presentar declaración de importación obteniendo levante automático cuando la mercancía se encuentra en abandono</w:t>
      </w:r>
      <w:r w:rsidRPr="006671C3">
        <w:rPr>
          <w:rFonts w:ascii="Times New Roman" w:eastAsia="Times New Roman" w:hAnsi="Times New Roman" w:cs="Times New Roman"/>
          <w:snapToGrid w:val="0"/>
          <w:position w:val="6"/>
          <w:sz w:val="28"/>
          <w:lang w:eastAsia="es-ES"/>
        </w:rPr>
        <w:t xml:space="preserve">.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La sanción aplicable para las infracciones contenidas en los numerales 1.1 a 1.3 será de multa equivalente a mil seiscientas noventa y dos Unidades de Valor Tributario (1.692 UVT) por cada operación, utilización o uso indebido de los Servicios Informáti</w:t>
      </w:r>
      <w:r w:rsidRPr="006671C3">
        <w:rPr>
          <w:rFonts w:ascii="Times New Roman" w:eastAsia="Times New Roman" w:hAnsi="Times New Roman" w:cs="Times New Roman"/>
          <w:snapToGrid w:val="0"/>
          <w:position w:val="6"/>
          <w:sz w:val="28"/>
          <w:lang w:eastAsia="es-ES"/>
        </w:rPr>
        <w:t xml:space="preserve">cos Electrónicos.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szCs w:val="24"/>
          <w:lang w:eastAsia="es-ES"/>
        </w:rPr>
      </w:pPr>
      <w:r w:rsidRPr="006671C3">
        <w:rPr>
          <w:rFonts w:ascii="Times New Roman" w:eastAsia="Times New Roman" w:hAnsi="Times New Roman" w:cs="Times New Roman"/>
          <w:snapToGrid w:val="0"/>
          <w:position w:val="6"/>
          <w:sz w:val="28"/>
          <w:lang w:eastAsia="es-ES"/>
        </w:rPr>
        <w:t xml:space="preserve">Tratándose de usuarios autorizados, inscritos o habilitados por la autoridad aduanera, </w:t>
      </w:r>
      <w:r w:rsidRPr="006671C3">
        <w:rPr>
          <w:rFonts w:ascii="Times New Roman" w:eastAsia="Times New Roman" w:hAnsi="Times New Roman" w:cs="Times New Roman"/>
          <w:b/>
          <w:snapToGrid w:val="0"/>
          <w:position w:val="6"/>
          <w:sz w:val="28"/>
          <w:lang w:eastAsia="es-ES"/>
        </w:rPr>
        <w:t>dependiendo de la gravedad del perjuicio causado a los intereses del Estado</w:t>
      </w:r>
      <w:r w:rsidRPr="006671C3">
        <w:rPr>
          <w:rFonts w:ascii="Times New Roman" w:eastAsia="Times New Roman" w:hAnsi="Times New Roman" w:cs="Times New Roman"/>
          <w:snapToGrid w:val="0"/>
          <w:position w:val="6"/>
          <w:sz w:val="28"/>
          <w:lang w:eastAsia="es-ES"/>
        </w:rPr>
        <w:t xml:space="preserve"> de acuerdo con lo previsto en el numeral 5 del artículo 22 de este decreto</w:t>
      </w:r>
      <w:r w:rsidRPr="006671C3">
        <w:rPr>
          <w:rFonts w:ascii="Times New Roman" w:eastAsia="Times New Roman" w:hAnsi="Times New Roman" w:cs="Times New Roman"/>
          <w:snapToGrid w:val="0"/>
          <w:position w:val="6"/>
          <w:sz w:val="28"/>
          <w:lang w:eastAsia="es-ES"/>
        </w:rPr>
        <w:t xml:space="preserve">, se podrá imponer, en sustitución de la sanción de multa, sanción </w:t>
      </w:r>
      <w:r w:rsidRPr="006671C3">
        <w:rPr>
          <w:rFonts w:ascii="Times New Roman" w:eastAsia="Times New Roman" w:hAnsi="Times New Roman" w:cs="Times New Roman"/>
          <w:b/>
          <w:snapToGrid w:val="0"/>
          <w:position w:val="6"/>
          <w:sz w:val="28"/>
          <w:lang w:eastAsia="es-ES"/>
        </w:rPr>
        <w:t>de suspensión hasta por tres (3) meses</w:t>
      </w:r>
      <w:r w:rsidRPr="006671C3">
        <w:rPr>
          <w:rFonts w:ascii="Times New Roman" w:eastAsia="Times New Roman" w:hAnsi="Times New Roman" w:cs="Times New Roman"/>
          <w:snapToGrid w:val="0"/>
          <w:position w:val="6"/>
          <w:sz w:val="28"/>
          <w:lang w:eastAsia="es-ES"/>
        </w:rPr>
        <w:t>, o de cancelación de su autorización, inscripción o habilitación.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szCs w:val="24"/>
          <w:lang w:eastAsia="es-ES"/>
        </w:rPr>
      </w:pPr>
    </w:p>
    <w:p w:rsidR="000E6BF6" w:rsidRPr="006671C3" w:rsidRDefault="006671C3" w:rsidP="000E6BF6">
      <w:pPr>
        <w:numPr>
          <w:ilvl w:val="0"/>
          <w:numId w:val="11"/>
        </w:numPr>
        <w:shd w:val="clear" w:color="auto" w:fill="FFFFFF"/>
        <w:spacing w:after="0" w:line="240" w:lineRule="auto"/>
        <w:ind w:left="0" w:firstLine="0"/>
        <w:contextualSpacing/>
        <w:jc w:val="both"/>
        <w:rPr>
          <w:rFonts w:ascii="Times New Roman" w:eastAsia="Times New Roman" w:hAnsi="Times New Roman" w:cs="Times New Roman"/>
          <w:snapToGrid w:val="0"/>
          <w:position w:val="6"/>
          <w:sz w:val="28"/>
          <w:szCs w:val="28"/>
          <w:lang w:eastAsia="es-ES"/>
        </w:rPr>
      </w:pPr>
      <w:bookmarkStart w:id="15" w:name="_Hlk124234310"/>
      <w:bookmarkEnd w:id="13"/>
      <w:bookmarkEnd w:id="14"/>
      <w:r w:rsidRPr="006671C3">
        <w:rPr>
          <w:rFonts w:ascii="Times New Roman" w:eastAsia="Times New Roman" w:hAnsi="Times New Roman" w:cs="Times New Roman"/>
          <w:snapToGrid w:val="0"/>
          <w:position w:val="6"/>
          <w:sz w:val="28"/>
          <w:szCs w:val="28"/>
          <w:lang w:eastAsia="es-ES"/>
        </w:rPr>
        <w:t xml:space="preserve">El demandante considera que se presenta una (i) </w:t>
      </w:r>
      <w:r w:rsidRPr="006671C3">
        <w:rPr>
          <w:rFonts w:ascii="Times New Roman" w:eastAsia="Times New Roman" w:hAnsi="Times New Roman" w:cs="Times New Roman"/>
          <w:i/>
          <w:snapToGrid w:val="0"/>
          <w:position w:val="6"/>
          <w:sz w:val="28"/>
          <w:szCs w:val="28"/>
          <w:lang w:eastAsia="es-ES"/>
        </w:rPr>
        <w:t xml:space="preserve">ausencia de proporcionalidad </w:t>
      </w:r>
      <w:r w:rsidRPr="006671C3">
        <w:rPr>
          <w:rFonts w:ascii="Times New Roman" w:eastAsia="Times New Roman" w:hAnsi="Times New Roman" w:cs="Times New Roman"/>
          <w:i/>
          <w:snapToGrid w:val="0"/>
          <w:position w:val="6"/>
          <w:sz w:val="28"/>
          <w:szCs w:val="28"/>
          <w:lang w:eastAsia="es-ES"/>
        </w:rPr>
        <w:t>entre la falta y la sanción que conlleva a la suspensión de la autorización, habilitación o registro para operar</w:t>
      </w:r>
      <w:r w:rsidRPr="006671C3">
        <w:rPr>
          <w:rFonts w:ascii="Times New Roman" w:eastAsia="Times New Roman" w:hAnsi="Times New Roman" w:cs="Times New Roman"/>
          <w:snapToGrid w:val="0"/>
          <w:position w:val="6"/>
          <w:sz w:val="28"/>
          <w:szCs w:val="28"/>
          <w:lang w:eastAsia="es-ES"/>
        </w:rPr>
        <w:t>, por cuanto la sanción de multa es sustancialmente diferente a la de suspensión y sus implicaciones, pues en la primera la afectación para la e</w:t>
      </w:r>
      <w:r w:rsidRPr="006671C3">
        <w:rPr>
          <w:rFonts w:ascii="Times New Roman" w:eastAsia="Times New Roman" w:hAnsi="Times New Roman" w:cs="Times New Roman"/>
          <w:snapToGrid w:val="0"/>
          <w:position w:val="6"/>
          <w:sz w:val="28"/>
          <w:szCs w:val="28"/>
          <w:lang w:eastAsia="es-ES"/>
        </w:rPr>
        <w:t>mpresa es netamente económica, mientras que en la segunda debe cesar por completo su operatividad, “sin posibilidad alguna de ejercer y desarrollar su objeto social, de adquirir recursos y destinar capital a su propósito empresarial, de mantener su posició</w:t>
      </w:r>
      <w:r w:rsidRPr="006671C3">
        <w:rPr>
          <w:rFonts w:ascii="Times New Roman" w:eastAsia="Times New Roman" w:hAnsi="Times New Roman" w:cs="Times New Roman"/>
          <w:snapToGrid w:val="0"/>
          <w:position w:val="6"/>
          <w:sz w:val="28"/>
          <w:szCs w:val="28"/>
          <w:lang w:eastAsia="es-ES"/>
        </w:rPr>
        <w:t>n en el mercado, de conseguir y mantener clientes, así como de ejecutar actividades administrativas (…), situación que (…) llevaría, en muchos casos, a la empresa a finalizar o cesar sus operaciones”</w:t>
      </w:r>
      <w:r w:rsidRPr="006671C3">
        <w:rPr>
          <w:rFonts w:ascii="Times New Roman" w:eastAsia="Times New Roman" w:hAnsi="Times New Roman" w:cs="Times New Roman"/>
          <w:snapToGrid w:val="0"/>
          <w:position w:val="6"/>
          <w:sz w:val="28"/>
          <w:szCs w:val="28"/>
          <w:vertAlign w:val="superscript"/>
          <w:lang w:eastAsia="es-ES"/>
        </w:rPr>
        <w:footnoteReference w:id="9"/>
      </w:r>
      <w:r w:rsidRPr="006671C3">
        <w:rPr>
          <w:rFonts w:ascii="Times New Roman" w:eastAsia="Times New Roman" w:hAnsi="Times New Roman" w:cs="Times New Roman"/>
          <w:snapToGrid w:val="0"/>
          <w:position w:val="6"/>
          <w:sz w:val="28"/>
          <w:szCs w:val="28"/>
          <w:lang w:eastAsia="es-ES"/>
        </w:rPr>
        <w:t>.</w:t>
      </w:r>
    </w:p>
    <w:p w:rsidR="000E6BF6" w:rsidRPr="006671C3" w:rsidRDefault="006671C3" w:rsidP="000E6BF6">
      <w:pPr>
        <w:shd w:val="clear" w:color="auto" w:fill="FFFFFF"/>
        <w:spacing w:after="0" w:line="240" w:lineRule="auto"/>
        <w:contextualSpacing/>
        <w:jc w:val="both"/>
        <w:rPr>
          <w:rFonts w:ascii="Times New Roman" w:eastAsia="Times New Roman" w:hAnsi="Times New Roman" w:cs="Times New Roman"/>
          <w:snapToGrid w:val="0"/>
          <w:position w:val="6"/>
          <w:sz w:val="28"/>
          <w:szCs w:val="28"/>
          <w:lang w:eastAsia="es-ES"/>
        </w:rPr>
      </w:pPr>
    </w:p>
    <w:p w:rsidR="000E6BF6" w:rsidRPr="006671C3" w:rsidRDefault="006671C3" w:rsidP="000E6BF6">
      <w:pPr>
        <w:numPr>
          <w:ilvl w:val="0"/>
          <w:numId w:val="11"/>
        </w:numPr>
        <w:shd w:val="clear" w:color="auto" w:fill="FFFFFF"/>
        <w:spacing w:after="0" w:line="240" w:lineRule="auto"/>
        <w:ind w:left="0" w:firstLine="0"/>
        <w:contextualSpacing/>
        <w:jc w:val="both"/>
        <w:rPr>
          <w:rFonts w:ascii="Times New Roman" w:eastAsia="Times New Roman" w:hAnsi="Times New Roman" w:cs="Times New Roman"/>
          <w:snapToGrid w:val="0"/>
          <w:position w:val="6"/>
          <w:sz w:val="28"/>
          <w:szCs w:val="28"/>
          <w:lang w:eastAsia="es-ES"/>
        </w:rPr>
      </w:pPr>
      <w:r w:rsidRPr="006671C3">
        <w:rPr>
          <w:rFonts w:ascii="Times New Roman" w:eastAsia="Times New Roman" w:hAnsi="Times New Roman" w:cs="Times New Roman"/>
          <w:snapToGrid w:val="0"/>
          <w:position w:val="6"/>
          <w:sz w:val="28"/>
          <w:szCs w:val="28"/>
          <w:lang w:eastAsia="es-ES"/>
        </w:rPr>
        <w:t xml:space="preserve">Lo anterior encuentra que resulta desproporcionado </w:t>
      </w:r>
      <w:r w:rsidRPr="006671C3">
        <w:rPr>
          <w:rFonts w:ascii="Times New Roman" w:eastAsia="Times New Roman" w:hAnsi="Times New Roman" w:cs="Times New Roman"/>
          <w:snapToGrid w:val="0"/>
          <w:position w:val="6"/>
          <w:sz w:val="28"/>
          <w:szCs w:val="28"/>
          <w:lang w:eastAsia="es-ES"/>
        </w:rPr>
        <w:t>respecto a las faltas que pudieran cometer los usuarios aduaneros, “más aún si se tiene en cuenta que su imposición, incluso procede como medida cautelar previa a la decisión del proceso administrativo sancionatorio; [la cual] supone una sanción anticipada</w:t>
      </w:r>
      <w:r w:rsidRPr="006671C3">
        <w:rPr>
          <w:rFonts w:ascii="Times New Roman" w:eastAsia="Times New Roman" w:hAnsi="Times New Roman" w:cs="Times New Roman"/>
          <w:snapToGrid w:val="0"/>
          <w:position w:val="6"/>
          <w:sz w:val="28"/>
          <w:szCs w:val="28"/>
          <w:lang w:eastAsia="es-ES"/>
        </w:rPr>
        <w:t xml:space="preserve"> sumaria y sin fórmula de juicio, en donde al administrado ni siquiera se le permite ejercer su derecho de defensa y su derecho al debido proceso a través de recurso alguno (…), con el absurdo pretexto de que la providencia que la decreta es un auto de trá</w:t>
      </w:r>
      <w:r w:rsidRPr="006671C3">
        <w:rPr>
          <w:rFonts w:ascii="Times New Roman" w:eastAsia="Times New Roman" w:hAnsi="Times New Roman" w:cs="Times New Roman"/>
          <w:snapToGrid w:val="0"/>
          <w:position w:val="6"/>
          <w:sz w:val="28"/>
          <w:szCs w:val="28"/>
          <w:lang w:eastAsia="es-ES"/>
        </w:rPr>
        <w:t>mite, de acuerdo con lo dispuesto en el inciso segundo del artículo 9”</w:t>
      </w:r>
      <w:r w:rsidRPr="006671C3">
        <w:rPr>
          <w:rFonts w:ascii="Times New Roman" w:eastAsia="Times New Roman" w:hAnsi="Times New Roman" w:cs="Times New Roman"/>
          <w:snapToGrid w:val="0"/>
          <w:position w:val="6"/>
          <w:sz w:val="28"/>
          <w:szCs w:val="28"/>
          <w:vertAlign w:val="superscript"/>
          <w:lang w:eastAsia="es-ES"/>
        </w:rPr>
        <w:footnoteReference w:id="10"/>
      </w:r>
      <w:r w:rsidRPr="006671C3">
        <w:rPr>
          <w:rFonts w:ascii="Times New Roman" w:eastAsia="Times New Roman" w:hAnsi="Times New Roman" w:cs="Times New Roman"/>
          <w:snapToGrid w:val="0"/>
          <w:position w:val="6"/>
          <w:sz w:val="28"/>
          <w:szCs w:val="28"/>
          <w:lang w:eastAsia="es-ES"/>
        </w:rPr>
        <w:t xml:space="preserve">.  </w:t>
      </w:r>
    </w:p>
    <w:p w:rsidR="000E6BF6" w:rsidRPr="006671C3" w:rsidRDefault="006671C3" w:rsidP="000E6BF6">
      <w:pPr>
        <w:contextualSpacing/>
        <w:rPr>
          <w:rFonts w:ascii="Times New Roman" w:eastAsia="Times New Roman" w:hAnsi="Times New Roman" w:cs="Times New Roman"/>
          <w:snapToGrid w:val="0"/>
          <w:position w:val="6"/>
          <w:sz w:val="28"/>
          <w:szCs w:val="28"/>
          <w:lang w:eastAsia="es-ES"/>
        </w:rPr>
      </w:pPr>
    </w:p>
    <w:p w:rsidR="000E6BF6" w:rsidRPr="006671C3" w:rsidRDefault="006671C3" w:rsidP="000E6BF6">
      <w:pPr>
        <w:numPr>
          <w:ilvl w:val="0"/>
          <w:numId w:val="11"/>
        </w:numPr>
        <w:shd w:val="clear" w:color="auto" w:fill="FFFFFF"/>
        <w:spacing w:after="0" w:line="240" w:lineRule="auto"/>
        <w:ind w:left="0" w:firstLine="0"/>
        <w:contextualSpacing/>
        <w:jc w:val="both"/>
        <w:rPr>
          <w:rFonts w:ascii="Times New Roman" w:eastAsia="Times New Roman" w:hAnsi="Times New Roman" w:cs="Times New Roman"/>
          <w:snapToGrid w:val="0"/>
          <w:position w:val="6"/>
          <w:sz w:val="28"/>
          <w:szCs w:val="28"/>
          <w:lang w:eastAsia="es-ES"/>
        </w:rPr>
      </w:pPr>
      <w:r w:rsidRPr="006671C3">
        <w:rPr>
          <w:rFonts w:ascii="Times New Roman" w:eastAsia="Times New Roman" w:hAnsi="Times New Roman" w:cs="Times New Roman"/>
          <w:snapToGrid w:val="0"/>
          <w:position w:val="6"/>
          <w:sz w:val="28"/>
          <w:szCs w:val="28"/>
          <w:lang w:eastAsia="es-ES"/>
        </w:rPr>
        <w:t xml:space="preserve">Así mismo, halla una (ii) </w:t>
      </w:r>
      <w:r w:rsidRPr="006671C3">
        <w:rPr>
          <w:rFonts w:ascii="Times New Roman" w:eastAsia="Times New Roman" w:hAnsi="Times New Roman" w:cs="Times New Roman"/>
          <w:i/>
          <w:snapToGrid w:val="0"/>
          <w:position w:val="6"/>
          <w:sz w:val="28"/>
          <w:szCs w:val="28"/>
          <w:lang w:eastAsia="es-ES"/>
        </w:rPr>
        <w:t>desproporcionalidad y violación de los objetivos de la medida cautelar</w:t>
      </w:r>
      <w:r w:rsidRPr="006671C3">
        <w:rPr>
          <w:rFonts w:ascii="Times New Roman" w:eastAsia="Times New Roman" w:hAnsi="Times New Roman" w:cs="Times New Roman"/>
          <w:snapToGrid w:val="0"/>
          <w:position w:val="6"/>
          <w:sz w:val="28"/>
          <w:szCs w:val="28"/>
          <w:lang w:eastAsia="es-ES"/>
        </w:rPr>
        <w:t>, porque la suspensión provisional de la autorización, habilitación o registro de un</w:t>
      </w:r>
      <w:r w:rsidRPr="006671C3">
        <w:rPr>
          <w:rFonts w:ascii="Times New Roman" w:eastAsia="Times New Roman" w:hAnsi="Times New Roman" w:cs="Times New Roman"/>
          <w:snapToGrid w:val="0"/>
          <w:position w:val="6"/>
          <w:sz w:val="28"/>
          <w:szCs w:val="28"/>
          <w:lang w:eastAsia="es-ES"/>
        </w:rPr>
        <w:t xml:space="preserve"> usuario aduanero para operar, restringe y compromete de manera significativa la capacidad del usuario aduanero para continuar con sus operaciones comerciales mientras se lleva a cabo la investigación, lo que conlleva pérdidas económicas</w:t>
      </w:r>
      <w:r w:rsidRPr="006671C3">
        <w:rPr>
          <w:rFonts w:ascii="Times New Roman" w:eastAsia="Times New Roman" w:hAnsi="Times New Roman" w:cs="Times New Roman"/>
          <w:snapToGrid w:val="0"/>
          <w:position w:val="6"/>
          <w:sz w:val="28"/>
          <w:szCs w:val="28"/>
          <w:vertAlign w:val="superscript"/>
          <w:lang w:eastAsia="es-ES"/>
        </w:rPr>
        <w:footnoteReference w:id="11"/>
      </w:r>
      <w:r w:rsidRPr="006671C3">
        <w:rPr>
          <w:rFonts w:ascii="Times New Roman" w:eastAsia="Times New Roman" w:hAnsi="Times New Roman" w:cs="Times New Roman"/>
          <w:snapToGrid w:val="0"/>
          <w:position w:val="6"/>
          <w:sz w:val="28"/>
          <w:szCs w:val="28"/>
          <w:lang w:eastAsia="es-ES"/>
        </w:rPr>
        <w:t>. Además, viola la</w:t>
      </w:r>
      <w:r w:rsidRPr="006671C3">
        <w:rPr>
          <w:rFonts w:ascii="Times New Roman" w:eastAsia="Times New Roman" w:hAnsi="Times New Roman" w:cs="Times New Roman"/>
          <w:snapToGrid w:val="0"/>
          <w:position w:val="6"/>
          <w:sz w:val="28"/>
          <w:szCs w:val="28"/>
          <w:lang w:eastAsia="es-ES"/>
        </w:rPr>
        <w:t xml:space="preserve"> libertad económica al crear “un escenario de obstrucción y limitación (…), pues por un periodo de tiempo indeterminado impide a la empresa la ejecución de su objeto, que (…) llevaría a su cierre absoluto”</w:t>
      </w:r>
      <w:r w:rsidRPr="006671C3">
        <w:rPr>
          <w:rFonts w:ascii="Times New Roman" w:eastAsia="Times New Roman" w:hAnsi="Times New Roman" w:cs="Times New Roman"/>
          <w:snapToGrid w:val="0"/>
          <w:position w:val="6"/>
          <w:sz w:val="28"/>
          <w:szCs w:val="28"/>
          <w:vertAlign w:val="superscript"/>
          <w:lang w:eastAsia="es-ES"/>
        </w:rPr>
        <w:footnoteReference w:id="12"/>
      </w:r>
      <w:r w:rsidRPr="006671C3">
        <w:rPr>
          <w:rFonts w:ascii="Times New Roman" w:eastAsia="Times New Roman" w:hAnsi="Times New Roman" w:cs="Times New Roman"/>
          <w:snapToGrid w:val="0"/>
          <w:position w:val="6"/>
          <w:sz w:val="28"/>
          <w:szCs w:val="28"/>
          <w:lang w:eastAsia="es-ES"/>
        </w:rPr>
        <w:t>.</w:t>
      </w:r>
    </w:p>
    <w:p w:rsidR="000E6BF6" w:rsidRPr="006671C3" w:rsidRDefault="006671C3" w:rsidP="000E6BF6">
      <w:pPr>
        <w:contextualSpacing/>
        <w:rPr>
          <w:rFonts w:ascii="Times New Roman" w:eastAsia="Times New Roman" w:hAnsi="Times New Roman" w:cs="Times New Roman"/>
          <w:snapToGrid w:val="0"/>
          <w:position w:val="6"/>
          <w:sz w:val="28"/>
          <w:szCs w:val="28"/>
          <w:lang w:eastAsia="es-ES"/>
        </w:rPr>
      </w:pPr>
    </w:p>
    <w:p w:rsidR="000E6BF6" w:rsidRPr="006671C3" w:rsidRDefault="006671C3" w:rsidP="000E6BF6">
      <w:pPr>
        <w:numPr>
          <w:ilvl w:val="0"/>
          <w:numId w:val="11"/>
        </w:numPr>
        <w:shd w:val="clear" w:color="auto" w:fill="FFFFFF"/>
        <w:spacing w:after="0" w:line="240" w:lineRule="auto"/>
        <w:ind w:left="0" w:firstLine="0"/>
        <w:contextualSpacing/>
        <w:jc w:val="both"/>
        <w:rPr>
          <w:rFonts w:ascii="Times New Roman" w:eastAsia="Times New Roman" w:hAnsi="Times New Roman" w:cs="Times New Roman"/>
          <w:snapToGrid w:val="0"/>
          <w:position w:val="6"/>
          <w:sz w:val="28"/>
          <w:szCs w:val="28"/>
          <w:lang w:eastAsia="es-ES"/>
        </w:rPr>
      </w:pPr>
      <w:r w:rsidRPr="006671C3">
        <w:rPr>
          <w:rFonts w:ascii="Times New Roman" w:eastAsia="Times New Roman" w:hAnsi="Times New Roman" w:cs="Times New Roman"/>
          <w:snapToGrid w:val="0"/>
          <w:position w:val="6"/>
          <w:sz w:val="28"/>
          <w:szCs w:val="28"/>
          <w:lang w:eastAsia="es-ES"/>
        </w:rPr>
        <w:t>Encuentra que “la imposibilidad de realizar una</w:t>
      </w:r>
      <w:r w:rsidRPr="006671C3">
        <w:rPr>
          <w:rFonts w:ascii="Times New Roman" w:eastAsia="Times New Roman" w:hAnsi="Times New Roman" w:cs="Times New Roman"/>
          <w:snapToGrid w:val="0"/>
          <w:position w:val="6"/>
          <w:sz w:val="28"/>
          <w:szCs w:val="28"/>
          <w:lang w:eastAsia="es-ES"/>
        </w:rPr>
        <w:t xml:space="preserve"> valoración provisional y parcial de un concepto jurídico indeterminado, sin pruebas y sin adelantar la investigación, para imponer la medida (…) durante toda la duración del proceso, sin que exista alternativa alguna de ejercer los derechos de defensa y c</w:t>
      </w:r>
      <w:r w:rsidRPr="006671C3">
        <w:rPr>
          <w:rFonts w:ascii="Times New Roman" w:eastAsia="Times New Roman" w:hAnsi="Times New Roman" w:cs="Times New Roman"/>
          <w:snapToGrid w:val="0"/>
          <w:position w:val="6"/>
          <w:sz w:val="28"/>
          <w:szCs w:val="28"/>
          <w:lang w:eastAsia="es-ES"/>
        </w:rPr>
        <w:t>ontradicción ante la improcedencia de recurso alguno (...), resulta absolutamente desproporcionado con los fines de la misma y se traduce en la imposición de la sanción misma”</w:t>
      </w:r>
      <w:r w:rsidRPr="006671C3">
        <w:rPr>
          <w:rFonts w:ascii="Times New Roman" w:eastAsia="Times New Roman" w:hAnsi="Times New Roman" w:cs="Times New Roman"/>
          <w:snapToGrid w:val="0"/>
          <w:position w:val="6"/>
          <w:sz w:val="28"/>
          <w:szCs w:val="28"/>
          <w:vertAlign w:val="superscript"/>
          <w:lang w:eastAsia="es-ES"/>
        </w:rPr>
        <w:footnoteReference w:id="13"/>
      </w:r>
      <w:r w:rsidRPr="006671C3">
        <w:rPr>
          <w:rFonts w:ascii="Times New Roman" w:eastAsia="Times New Roman" w:hAnsi="Times New Roman" w:cs="Times New Roman"/>
          <w:snapToGrid w:val="0"/>
          <w:position w:val="6"/>
          <w:sz w:val="28"/>
          <w:szCs w:val="28"/>
          <w:lang w:eastAsia="es-ES"/>
        </w:rPr>
        <w:t>.</w:t>
      </w:r>
    </w:p>
    <w:p w:rsidR="000E6BF6" w:rsidRPr="006671C3" w:rsidRDefault="006671C3" w:rsidP="000E6BF6">
      <w:pPr>
        <w:contextualSpacing/>
        <w:rPr>
          <w:rFonts w:ascii="Times New Roman" w:eastAsia="Times New Roman" w:hAnsi="Times New Roman" w:cs="Times New Roman"/>
          <w:snapToGrid w:val="0"/>
          <w:position w:val="6"/>
          <w:sz w:val="28"/>
          <w:szCs w:val="28"/>
          <w:lang w:eastAsia="es-ES"/>
        </w:rPr>
      </w:pPr>
    </w:p>
    <w:p w:rsidR="000E6BF6" w:rsidRPr="006671C3" w:rsidRDefault="006671C3" w:rsidP="000E6BF6">
      <w:pPr>
        <w:numPr>
          <w:ilvl w:val="0"/>
          <w:numId w:val="11"/>
        </w:numPr>
        <w:shd w:val="clear" w:color="auto" w:fill="FFFFFF"/>
        <w:spacing w:after="0" w:line="240" w:lineRule="auto"/>
        <w:ind w:left="0" w:firstLine="0"/>
        <w:contextualSpacing/>
        <w:jc w:val="both"/>
        <w:rPr>
          <w:rFonts w:ascii="Times New Roman" w:eastAsia="Times New Roman" w:hAnsi="Times New Roman" w:cs="Times New Roman"/>
          <w:snapToGrid w:val="0"/>
          <w:position w:val="6"/>
          <w:sz w:val="28"/>
          <w:szCs w:val="28"/>
          <w:lang w:eastAsia="es-ES"/>
        </w:rPr>
      </w:pPr>
      <w:r w:rsidRPr="006671C3">
        <w:rPr>
          <w:rFonts w:ascii="Times New Roman" w:eastAsia="Times New Roman" w:hAnsi="Times New Roman" w:cs="Times New Roman"/>
          <w:snapToGrid w:val="0"/>
          <w:position w:val="6"/>
          <w:sz w:val="28"/>
          <w:szCs w:val="28"/>
          <w:lang w:eastAsia="es-ES"/>
        </w:rPr>
        <w:t>En cuanto a los artículos 29, 31, 35 y 48 (sustitución de la sanción de multa</w:t>
      </w:r>
      <w:r w:rsidRPr="006671C3">
        <w:rPr>
          <w:rFonts w:ascii="Times New Roman" w:eastAsia="Times New Roman" w:hAnsi="Times New Roman" w:cs="Times New Roman"/>
          <w:snapToGrid w:val="0"/>
          <w:position w:val="6"/>
          <w:sz w:val="28"/>
          <w:szCs w:val="28"/>
          <w:lang w:eastAsia="es-ES"/>
        </w:rPr>
        <w:t xml:space="preserve"> por suspensión) también endilga una (iii) </w:t>
      </w:r>
      <w:r w:rsidRPr="006671C3">
        <w:rPr>
          <w:rFonts w:ascii="Times New Roman" w:eastAsia="Times New Roman" w:hAnsi="Times New Roman" w:cs="Times New Roman"/>
          <w:i/>
          <w:snapToGrid w:val="0"/>
          <w:position w:val="6"/>
          <w:sz w:val="28"/>
          <w:szCs w:val="28"/>
          <w:lang w:eastAsia="es-ES"/>
        </w:rPr>
        <w:t>discrecionalidad de la autoridad administrativa</w:t>
      </w:r>
      <w:r w:rsidRPr="006671C3">
        <w:rPr>
          <w:rFonts w:ascii="Times New Roman" w:eastAsia="Times New Roman" w:hAnsi="Times New Roman" w:cs="Times New Roman"/>
          <w:snapToGrid w:val="0"/>
          <w:position w:val="6"/>
          <w:sz w:val="28"/>
          <w:szCs w:val="28"/>
          <w:lang w:eastAsia="es-ES"/>
        </w:rPr>
        <w:t>, debido a la falta de criterios objetivos para su aplicación que pueden tornarse arbitrarias al condicionarse a un concepto ambiguo e indeterminado, al no disponer d</w:t>
      </w:r>
      <w:r w:rsidRPr="006671C3">
        <w:rPr>
          <w:rFonts w:ascii="Times New Roman" w:eastAsia="Times New Roman" w:hAnsi="Times New Roman" w:cs="Times New Roman"/>
          <w:snapToGrid w:val="0"/>
          <w:position w:val="6"/>
          <w:sz w:val="28"/>
          <w:szCs w:val="28"/>
          <w:lang w:eastAsia="es-ES"/>
        </w:rPr>
        <w:t>e criterios que permitan establecer el grado de gravedad de perjuicios a los intereses del Estado o determinar la procedencia de la suspensión o la cancelación</w:t>
      </w:r>
      <w:r w:rsidRPr="006671C3">
        <w:rPr>
          <w:rFonts w:ascii="Times New Roman" w:eastAsia="Times New Roman" w:hAnsi="Times New Roman" w:cs="Times New Roman"/>
          <w:snapToGrid w:val="0"/>
          <w:position w:val="6"/>
          <w:sz w:val="28"/>
          <w:szCs w:val="28"/>
          <w:vertAlign w:val="superscript"/>
          <w:lang w:eastAsia="es-ES"/>
        </w:rPr>
        <w:footnoteReference w:id="14"/>
      </w:r>
      <w:r w:rsidRPr="006671C3">
        <w:rPr>
          <w:rFonts w:ascii="Times New Roman" w:eastAsia="Times New Roman" w:hAnsi="Times New Roman" w:cs="Times New Roman"/>
          <w:snapToGrid w:val="0"/>
          <w:position w:val="6"/>
          <w:sz w:val="28"/>
          <w:szCs w:val="28"/>
          <w:lang w:eastAsia="es-ES"/>
        </w:rPr>
        <w:t xml:space="preserve">. </w:t>
      </w:r>
    </w:p>
    <w:p w:rsidR="000E6BF6" w:rsidRPr="006671C3" w:rsidRDefault="006671C3" w:rsidP="000E6BF6">
      <w:pPr>
        <w:contextualSpacing/>
        <w:rPr>
          <w:rFonts w:ascii="Times New Roman" w:eastAsia="Times New Roman" w:hAnsi="Times New Roman" w:cs="Times New Roman"/>
          <w:snapToGrid w:val="0"/>
          <w:position w:val="6"/>
          <w:sz w:val="28"/>
          <w:szCs w:val="28"/>
          <w:lang w:eastAsia="es-ES"/>
        </w:rPr>
      </w:pPr>
    </w:p>
    <w:p w:rsidR="000E6BF6" w:rsidRPr="006671C3" w:rsidRDefault="006671C3" w:rsidP="000E6BF6">
      <w:pPr>
        <w:numPr>
          <w:ilvl w:val="0"/>
          <w:numId w:val="11"/>
        </w:numPr>
        <w:shd w:val="clear" w:color="auto" w:fill="FFFFFF"/>
        <w:spacing w:after="0" w:line="240" w:lineRule="auto"/>
        <w:ind w:left="0" w:firstLine="0"/>
        <w:contextualSpacing/>
        <w:jc w:val="both"/>
        <w:rPr>
          <w:rFonts w:ascii="Times New Roman" w:eastAsia="Times New Roman" w:hAnsi="Times New Roman" w:cs="Times New Roman"/>
          <w:snapToGrid w:val="0"/>
          <w:position w:val="6"/>
          <w:sz w:val="28"/>
          <w:szCs w:val="28"/>
          <w:lang w:eastAsia="es-ES"/>
        </w:rPr>
      </w:pPr>
      <w:r w:rsidRPr="006671C3">
        <w:rPr>
          <w:rFonts w:ascii="Times New Roman" w:eastAsia="Times New Roman" w:hAnsi="Times New Roman" w:cs="Times New Roman"/>
          <w:snapToGrid w:val="0"/>
          <w:position w:val="6"/>
          <w:sz w:val="28"/>
          <w:szCs w:val="28"/>
          <w:lang w:eastAsia="es-ES"/>
        </w:rPr>
        <w:t xml:space="preserve">Por último, indica que se incurre en la (iv) </w:t>
      </w:r>
      <w:r w:rsidRPr="006671C3">
        <w:rPr>
          <w:rFonts w:ascii="Times New Roman" w:eastAsia="Times New Roman" w:hAnsi="Times New Roman" w:cs="Times New Roman"/>
          <w:i/>
          <w:snapToGrid w:val="0"/>
          <w:position w:val="6"/>
          <w:sz w:val="28"/>
          <w:szCs w:val="28"/>
          <w:lang w:eastAsia="es-ES"/>
        </w:rPr>
        <w:t>violación del principio de tipicidad y legalida</w:t>
      </w:r>
      <w:r w:rsidRPr="006671C3">
        <w:rPr>
          <w:rFonts w:ascii="Times New Roman" w:eastAsia="Times New Roman" w:hAnsi="Times New Roman" w:cs="Times New Roman"/>
          <w:i/>
          <w:snapToGrid w:val="0"/>
          <w:position w:val="6"/>
          <w:sz w:val="28"/>
          <w:szCs w:val="28"/>
          <w:lang w:eastAsia="es-ES"/>
        </w:rPr>
        <w:t>d</w:t>
      </w:r>
      <w:r w:rsidRPr="006671C3">
        <w:rPr>
          <w:rFonts w:ascii="Times New Roman" w:eastAsia="Times New Roman" w:hAnsi="Times New Roman" w:cs="Times New Roman"/>
          <w:snapToGrid w:val="0"/>
          <w:position w:val="6"/>
          <w:sz w:val="28"/>
          <w:szCs w:val="28"/>
          <w:lang w:eastAsia="es-ES"/>
        </w:rPr>
        <w:t>, ya que tales disposiciones acusadas “no determinan criterios objetivos y claros que permitan, de manera razonable y proporcional, concretar las hipótesis sobre las cuales la autoridad administrativa consideraría que existe tal afectación a los intereses</w:t>
      </w:r>
      <w:r w:rsidRPr="006671C3">
        <w:rPr>
          <w:rFonts w:ascii="Times New Roman" w:eastAsia="Times New Roman" w:hAnsi="Times New Roman" w:cs="Times New Roman"/>
          <w:snapToGrid w:val="0"/>
          <w:position w:val="6"/>
          <w:sz w:val="28"/>
          <w:szCs w:val="28"/>
          <w:lang w:eastAsia="es-ES"/>
        </w:rPr>
        <w:t xml:space="preserve"> del Estado y tal gravedad de los perjuicios, (…) sin establecer mínimos respecto a cómo la autoridad administrativa debe valorar esa ´gravedad´ y esos ´intereses´, dejando al arbitrio del funcionario la determinación de esos conceptos”</w:t>
      </w:r>
      <w:r w:rsidRPr="006671C3">
        <w:rPr>
          <w:rFonts w:ascii="Times New Roman" w:eastAsia="Times New Roman" w:hAnsi="Times New Roman" w:cs="Times New Roman"/>
          <w:snapToGrid w:val="0"/>
          <w:position w:val="6"/>
          <w:sz w:val="28"/>
          <w:szCs w:val="28"/>
          <w:vertAlign w:val="superscript"/>
          <w:lang w:eastAsia="es-ES"/>
        </w:rPr>
        <w:footnoteReference w:id="15"/>
      </w:r>
      <w:r w:rsidRPr="006671C3">
        <w:rPr>
          <w:rFonts w:ascii="Times New Roman" w:eastAsia="Times New Roman" w:hAnsi="Times New Roman" w:cs="Times New Roman"/>
          <w:snapToGrid w:val="0"/>
          <w:position w:val="6"/>
          <w:sz w:val="28"/>
          <w:szCs w:val="28"/>
          <w:lang w:eastAsia="es-ES"/>
        </w:rPr>
        <w:t>.</w:t>
      </w:r>
    </w:p>
    <w:bookmarkEnd w:id="11"/>
    <w:p w:rsidR="000E6BF6" w:rsidRPr="006671C3" w:rsidRDefault="006671C3" w:rsidP="000E6BF6">
      <w:pPr>
        <w:shd w:val="clear" w:color="auto" w:fill="FFFFFF"/>
        <w:spacing w:after="0" w:line="240" w:lineRule="auto"/>
        <w:contextualSpacing/>
        <w:jc w:val="both"/>
        <w:rPr>
          <w:rFonts w:ascii="Times New Roman" w:eastAsia="Times New Roman" w:hAnsi="Times New Roman" w:cs="Times New Roman"/>
          <w:snapToGrid w:val="0"/>
          <w:position w:val="6"/>
          <w:sz w:val="28"/>
          <w:szCs w:val="28"/>
          <w:lang w:eastAsia="es-ES"/>
        </w:rPr>
      </w:pPr>
    </w:p>
    <w:p w:rsidR="000E6BF6" w:rsidRPr="006671C3" w:rsidRDefault="006671C3" w:rsidP="000E6BF6">
      <w:pPr>
        <w:shd w:val="clear" w:color="auto" w:fill="FFFFFF"/>
        <w:spacing w:after="0" w:line="240" w:lineRule="auto"/>
        <w:jc w:val="both"/>
        <w:rPr>
          <w:rFonts w:ascii="Times New Roman" w:eastAsia="Times New Roman" w:hAnsi="Times New Roman" w:cs="Times New Roman"/>
          <w:snapToGrid w:val="0"/>
          <w:position w:val="6"/>
          <w:sz w:val="28"/>
          <w:szCs w:val="28"/>
          <w:lang w:val="es-ES" w:eastAsia="es-ES"/>
        </w:rPr>
      </w:pPr>
      <w:bookmarkStart w:id="16" w:name="_Hlk170270128"/>
      <w:r w:rsidRPr="006671C3">
        <w:rPr>
          <w:rFonts w:ascii="Times New Roman" w:eastAsia="Times New Roman" w:hAnsi="Times New Roman" w:cs="Times New Roman"/>
          <w:b/>
          <w:snapToGrid w:val="0"/>
          <w:position w:val="6"/>
          <w:sz w:val="28"/>
          <w:szCs w:val="28"/>
          <w:lang w:val="es-ES" w:eastAsia="es-ES"/>
        </w:rPr>
        <w:t>Segundo cargo</w:t>
      </w:r>
      <w:r w:rsidRPr="006671C3">
        <w:rPr>
          <w:rFonts w:ascii="Times New Roman" w:eastAsia="Times New Roman" w:hAnsi="Times New Roman" w:cs="Times New Roman"/>
          <w:snapToGrid w:val="0"/>
          <w:position w:val="6"/>
          <w:sz w:val="28"/>
          <w:szCs w:val="28"/>
          <w:lang w:val="es-ES" w:eastAsia="es-ES"/>
        </w:rPr>
        <w:t>. P</w:t>
      </w:r>
      <w:r w:rsidRPr="006671C3">
        <w:rPr>
          <w:rFonts w:ascii="Times New Roman" w:eastAsia="Times New Roman" w:hAnsi="Times New Roman" w:cs="Times New Roman"/>
          <w:snapToGrid w:val="0"/>
          <w:position w:val="6"/>
          <w:sz w:val="28"/>
          <w:szCs w:val="28"/>
          <w:lang w:val="es-ES" w:eastAsia="es-ES"/>
        </w:rPr>
        <w:t>ara el demandante el inciso segundo del artículo 25 del Decreto Ley 920 de 2023, que se destaca a continuación, vulnera los artículos 1, 2, 4, 5, 6 y 29 de la Constitución:</w:t>
      </w:r>
    </w:p>
    <w:p w:rsidR="000E6BF6" w:rsidRPr="006671C3" w:rsidRDefault="006671C3" w:rsidP="000E6BF6">
      <w:pPr>
        <w:shd w:val="clear" w:color="auto" w:fill="FFFFFF"/>
        <w:spacing w:after="0" w:line="240" w:lineRule="auto"/>
        <w:contextualSpacing/>
        <w:jc w:val="both"/>
        <w:rPr>
          <w:rFonts w:ascii="Times New Roman" w:eastAsia="Times New Roman" w:hAnsi="Times New Roman" w:cs="Times New Roman"/>
          <w:i/>
          <w:snapToGrid w:val="0"/>
          <w:position w:val="6"/>
          <w:sz w:val="28"/>
          <w:szCs w:val="28"/>
          <w:lang w:val="es-ES" w:eastAsia="es-ES"/>
        </w:rPr>
      </w:pP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b/>
          <w:snapToGrid w:val="0"/>
          <w:position w:val="6"/>
          <w:sz w:val="28"/>
          <w:lang w:eastAsia="es-ES"/>
        </w:rPr>
        <w:t>Artículo 25.</w:t>
      </w:r>
      <w:r w:rsidRPr="006671C3">
        <w:rPr>
          <w:rFonts w:ascii="Times New Roman" w:eastAsia="Times New Roman" w:hAnsi="Times New Roman" w:cs="Times New Roman"/>
          <w:snapToGrid w:val="0"/>
          <w:position w:val="6"/>
          <w:sz w:val="28"/>
          <w:lang w:eastAsia="es-ES"/>
        </w:rPr>
        <w:t xml:space="preserve"> </w:t>
      </w:r>
      <w:r w:rsidRPr="006671C3">
        <w:rPr>
          <w:rFonts w:ascii="Times New Roman" w:eastAsia="Times New Roman" w:hAnsi="Times New Roman" w:cs="Times New Roman"/>
          <w:i/>
          <w:snapToGrid w:val="0"/>
          <w:position w:val="6"/>
          <w:sz w:val="28"/>
          <w:lang w:eastAsia="es-ES"/>
        </w:rPr>
        <w:t>Caducidad de la acción administrativa sancionatoria aduanera</w:t>
      </w:r>
      <w:r w:rsidRPr="006671C3">
        <w:rPr>
          <w:rFonts w:ascii="Times New Roman" w:eastAsia="Times New Roman" w:hAnsi="Times New Roman" w:cs="Times New Roman"/>
          <w:snapToGrid w:val="0"/>
          <w:position w:val="6"/>
          <w:sz w:val="28"/>
          <w:lang w:eastAsia="es-ES"/>
        </w:rPr>
        <w:t>. La facultad que tiene la autoridad aduanera para imponer sanciones, caduca en el término de tres (3) años contados a partir de la comisión del hecho o de la omisión constitutiva de infracción administrativa aduanera, término dentro del cual el acto admin</w:t>
      </w:r>
      <w:r w:rsidRPr="006671C3">
        <w:rPr>
          <w:rFonts w:ascii="Times New Roman" w:eastAsia="Times New Roman" w:hAnsi="Times New Roman" w:cs="Times New Roman"/>
          <w:snapToGrid w:val="0"/>
          <w:position w:val="6"/>
          <w:sz w:val="28"/>
          <w:lang w:eastAsia="es-ES"/>
        </w:rPr>
        <w:t xml:space="preserve">istrativo que impone la sanción debe haber sido expedido y notificado. Dicho acto sancionatorio es diferente de los actos que resuelven los recursos, los cuales deberán ser decididos dentro del término que para ello prevé el presente decreto.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b/>
          <w:snapToGrid w:val="0"/>
          <w:position w:val="6"/>
          <w:sz w:val="28"/>
          <w:lang w:eastAsia="es-ES"/>
        </w:rPr>
        <w:t>Cuando no f</w:t>
      </w:r>
      <w:r w:rsidRPr="006671C3">
        <w:rPr>
          <w:rFonts w:ascii="Times New Roman" w:eastAsia="Times New Roman" w:hAnsi="Times New Roman" w:cs="Times New Roman"/>
          <w:b/>
          <w:snapToGrid w:val="0"/>
          <w:position w:val="6"/>
          <w:sz w:val="28"/>
          <w:lang w:eastAsia="es-ES"/>
        </w:rPr>
        <w:t>uere posible determinar la fecha de ocurrencia del hecho o de su omisión, se tomará como tal, la fecha en que las autoridades aduaneras hubiesen tenido conocimiento del mismo</w:t>
      </w:r>
      <w:r w:rsidRPr="006671C3">
        <w:rPr>
          <w:rFonts w:ascii="Times New Roman" w:eastAsia="Times New Roman" w:hAnsi="Times New Roman" w:cs="Times New Roman"/>
          <w:snapToGrid w:val="0"/>
          <w:position w:val="6"/>
          <w:sz w:val="28"/>
          <w:lang w:eastAsia="es-ES"/>
        </w:rPr>
        <w:t xml:space="preserve">.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 xml:space="preserve">Cuando se trate de un hecho o conducta de ejecución sucesiva, continuada o </w:t>
      </w:r>
      <w:r w:rsidRPr="006671C3">
        <w:rPr>
          <w:rFonts w:ascii="Times New Roman" w:eastAsia="Times New Roman" w:hAnsi="Times New Roman" w:cs="Times New Roman"/>
          <w:snapToGrid w:val="0"/>
          <w:position w:val="6"/>
          <w:sz w:val="28"/>
          <w:lang w:eastAsia="es-ES"/>
        </w:rPr>
        <w:t>permanente, el término de caducidad se contará a partir de la ocurrencia del último hecho, omisión o conducta.</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w:t>
      </w:r>
    </w:p>
    <w:p w:rsidR="000E6BF6" w:rsidRPr="006671C3" w:rsidRDefault="006671C3" w:rsidP="000E6BF6">
      <w:pPr>
        <w:shd w:val="clear" w:color="auto" w:fill="FFFFFF"/>
        <w:spacing w:after="0" w:line="240" w:lineRule="auto"/>
        <w:contextualSpacing/>
        <w:jc w:val="both"/>
        <w:rPr>
          <w:rFonts w:ascii="Times New Roman" w:eastAsia="Times New Roman" w:hAnsi="Times New Roman" w:cs="Times New Roman"/>
          <w:snapToGrid w:val="0"/>
          <w:position w:val="6"/>
          <w:sz w:val="28"/>
          <w:szCs w:val="28"/>
          <w:lang w:eastAsia="es-ES"/>
        </w:rPr>
      </w:pPr>
    </w:p>
    <w:p w:rsidR="000E6BF6" w:rsidRPr="006671C3" w:rsidRDefault="006671C3" w:rsidP="000E6BF6">
      <w:pPr>
        <w:numPr>
          <w:ilvl w:val="0"/>
          <w:numId w:val="11"/>
        </w:numPr>
        <w:shd w:val="clear" w:color="auto" w:fill="FFFFFF"/>
        <w:spacing w:after="0" w:line="240" w:lineRule="auto"/>
        <w:ind w:left="0" w:firstLine="0"/>
        <w:contextualSpacing/>
        <w:jc w:val="both"/>
        <w:rPr>
          <w:rFonts w:ascii="Times New Roman" w:eastAsia="Times New Roman" w:hAnsi="Times New Roman" w:cs="Times New Roman"/>
          <w:snapToGrid w:val="0"/>
          <w:position w:val="6"/>
          <w:sz w:val="28"/>
          <w:szCs w:val="28"/>
          <w:lang w:eastAsia="es-ES"/>
        </w:rPr>
      </w:pPr>
      <w:r w:rsidRPr="006671C3">
        <w:rPr>
          <w:rFonts w:ascii="Times New Roman" w:eastAsia="Times New Roman" w:hAnsi="Times New Roman" w:cs="Times New Roman"/>
          <w:snapToGrid w:val="0"/>
          <w:position w:val="6"/>
          <w:sz w:val="28"/>
          <w:szCs w:val="28"/>
          <w:lang w:eastAsia="es-ES"/>
        </w:rPr>
        <w:t xml:space="preserve">Afirma la </w:t>
      </w:r>
      <w:r w:rsidRPr="006671C3">
        <w:rPr>
          <w:rFonts w:ascii="Times New Roman" w:eastAsia="Times New Roman" w:hAnsi="Times New Roman" w:cs="Times New Roman"/>
          <w:i/>
          <w:snapToGrid w:val="0"/>
          <w:position w:val="6"/>
          <w:sz w:val="28"/>
          <w:szCs w:val="28"/>
          <w:lang w:eastAsia="es-ES"/>
        </w:rPr>
        <w:t>violación del debido proceso y la seguridad jurídica</w:t>
      </w:r>
      <w:r w:rsidRPr="006671C3">
        <w:rPr>
          <w:rFonts w:ascii="Times New Roman" w:eastAsia="Times New Roman" w:hAnsi="Times New Roman" w:cs="Times New Roman"/>
          <w:snapToGrid w:val="0"/>
          <w:position w:val="6"/>
          <w:sz w:val="28"/>
          <w:szCs w:val="28"/>
          <w:lang w:eastAsia="es-ES"/>
        </w:rPr>
        <w:t xml:space="preserve">, toda vez que la falta de reglas claras genera escenarios de incertidumbre </w:t>
      </w:r>
      <w:r w:rsidRPr="006671C3">
        <w:rPr>
          <w:rFonts w:ascii="Times New Roman" w:eastAsia="Times New Roman" w:hAnsi="Times New Roman" w:cs="Times New Roman"/>
          <w:snapToGrid w:val="0"/>
          <w:position w:val="6"/>
          <w:sz w:val="28"/>
          <w:szCs w:val="28"/>
          <w:lang w:eastAsia="es-ES"/>
        </w:rPr>
        <w:t>y desconfianza para el usuario aduanero, que podría ser objeto de investigación en cualquier momento y por cualquier hecho u omisión, con independencia de la fecha de su ocurrencia</w:t>
      </w:r>
      <w:r w:rsidRPr="006671C3">
        <w:rPr>
          <w:rFonts w:ascii="Times New Roman" w:eastAsia="Times New Roman" w:hAnsi="Times New Roman" w:cs="Times New Roman"/>
          <w:snapToGrid w:val="0"/>
          <w:position w:val="6"/>
          <w:sz w:val="28"/>
          <w:szCs w:val="28"/>
          <w:vertAlign w:val="superscript"/>
          <w:lang w:eastAsia="es-ES"/>
        </w:rPr>
        <w:footnoteReference w:id="16"/>
      </w:r>
      <w:r w:rsidRPr="006671C3">
        <w:rPr>
          <w:rFonts w:ascii="Times New Roman" w:eastAsia="Times New Roman" w:hAnsi="Times New Roman" w:cs="Times New Roman"/>
          <w:snapToGrid w:val="0"/>
          <w:position w:val="6"/>
          <w:sz w:val="28"/>
          <w:szCs w:val="28"/>
          <w:lang w:eastAsia="es-ES"/>
        </w:rPr>
        <w:t>. Agrega que se establece una circunstancia indefinida como es que la autor</w:t>
      </w:r>
      <w:r w:rsidRPr="006671C3">
        <w:rPr>
          <w:rFonts w:ascii="Times New Roman" w:eastAsia="Times New Roman" w:hAnsi="Times New Roman" w:cs="Times New Roman"/>
          <w:snapToGrid w:val="0"/>
          <w:position w:val="6"/>
          <w:sz w:val="28"/>
          <w:szCs w:val="28"/>
          <w:lang w:eastAsia="es-ES"/>
        </w:rPr>
        <w:t>idad puede investigar desde el momento en que tuvo conocimiento de los hechos, desconociendo que la determinación de plazos razonables y ciertos garantiza los derechos de defensa y contradicción, y evita abusos y desequilibrios por la autoridad administrat</w:t>
      </w:r>
      <w:r w:rsidRPr="006671C3">
        <w:rPr>
          <w:rFonts w:ascii="Times New Roman" w:eastAsia="Times New Roman" w:hAnsi="Times New Roman" w:cs="Times New Roman"/>
          <w:snapToGrid w:val="0"/>
          <w:position w:val="6"/>
          <w:sz w:val="28"/>
          <w:szCs w:val="28"/>
          <w:lang w:eastAsia="es-ES"/>
        </w:rPr>
        <w:t>iva</w:t>
      </w:r>
      <w:r w:rsidRPr="006671C3">
        <w:rPr>
          <w:rFonts w:ascii="Times New Roman" w:eastAsia="Times New Roman" w:hAnsi="Times New Roman" w:cs="Times New Roman"/>
          <w:snapToGrid w:val="0"/>
          <w:position w:val="6"/>
          <w:sz w:val="28"/>
          <w:szCs w:val="28"/>
          <w:vertAlign w:val="superscript"/>
          <w:lang w:eastAsia="es-ES"/>
        </w:rPr>
        <w:footnoteReference w:id="17"/>
      </w:r>
      <w:r w:rsidRPr="006671C3">
        <w:rPr>
          <w:rFonts w:ascii="Times New Roman" w:eastAsia="Times New Roman" w:hAnsi="Times New Roman" w:cs="Times New Roman"/>
          <w:snapToGrid w:val="0"/>
          <w:position w:val="6"/>
          <w:sz w:val="28"/>
          <w:szCs w:val="28"/>
          <w:lang w:eastAsia="es-ES"/>
        </w:rPr>
        <w:t>.</w:t>
      </w:r>
    </w:p>
    <w:p w:rsidR="000E6BF6" w:rsidRPr="006671C3" w:rsidRDefault="006671C3" w:rsidP="000E6BF6">
      <w:pPr>
        <w:shd w:val="clear" w:color="auto" w:fill="FFFFFF"/>
        <w:spacing w:after="0" w:line="240" w:lineRule="auto"/>
        <w:jc w:val="both"/>
        <w:rPr>
          <w:rFonts w:ascii="Times New Roman" w:eastAsia="Times New Roman" w:hAnsi="Times New Roman" w:cs="Times New Roman"/>
          <w:snapToGrid w:val="0"/>
          <w:position w:val="6"/>
          <w:sz w:val="28"/>
          <w:szCs w:val="28"/>
          <w:lang w:eastAsia="es-ES"/>
        </w:rPr>
      </w:pPr>
    </w:p>
    <w:p w:rsidR="000E6BF6" w:rsidRPr="006671C3" w:rsidRDefault="006671C3" w:rsidP="000E6BF6">
      <w:pPr>
        <w:shd w:val="clear" w:color="auto" w:fill="FFFFFF"/>
        <w:spacing w:after="0" w:line="240" w:lineRule="auto"/>
        <w:jc w:val="both"/>
        <w:rPr>
          <w:rFonts w:ascii="Times New Roman" w:eastAsia="Times New Roman" w:hAnsi="Times New Roman" w:cs="Times New Roman"/>
          <w:snapToGrid w:val="0"/>
          <w:position w:val="6"/>
          <w:sz w:val="28"/>
          <w:szCs w:val="28"/>
          <w:lang w:val="es-ES" w:eastAsia="es-ES"/>
        </w:rPr>
      </w:pPr>
      <w:r w:rsidRPr="006671C3">
        <w:rPr>
          <w:rFonts w:ascii="Times New Roman" w:eastAsia="Times New Roman" w:hAnsi="Times New Roman" w:cs="Times New Roman"/>
          <w:b/>
          <w:snapToGrid w:val="0"/>
          <w:position w:val="6"/>
          <w:sz w:val="28"/>
          <w:szCs w:val="28"/>
          <w:lang w:val="es-ES" w:eastAsia="es-ES"/>
        </w:rPr>
        <w:t>Tercer cargo</w:t>
      </w:r>
      <w:r w:rsidRPr="006671C3">
        <w:rPr>
          <w:rFonts w:ascii="Times New Roman" w:eastAsia="Times New Roman" w:hAnsi="Times New Roman" w:cs="Times New Roman"/>
          <w:snapToGrid w:val="0"/>
          <w:position w:val="6"/>
          <w:sz w:val="28"/>
          <w:szCs w:val="28"/>
          <w:lang w:val="es-ES" w:eastAsia="es-ES"/>
        </w:rPr>
        <w:t>. El actor señala que el inciso cuarto del art 72 del Decreto Ley 920 de 2023, el cual se resalta seguidamente, desconoce los artículos 6 y 29 de la Constitución:</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b/>
          <w:snapToGrid w:val="0"/>
          <w:position w:val="6"/>
          <w:sz w:val="28"/>
          <w:szCs w:val="24"/>
          <w:lang w:eastAsia="es-ES"/>
        </w:rPr>
      </w:pP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b/>
          <w:snapToGrid w:val="0"/>
          <w:position w:val="6"/>
          <w:sz w:val="28"/>
          <w:lang w:eastAsia="es-ES"/>
        </w:rPr>
        <w:t>Artículo 72.</w:t>
      </w:r>
      <w:r w:rsidRPr="006671C3">
        <w:rPr>
          <w:rFonts w:ascii="Times New Roman" w:eastAsia="Times New Roman" w:hAnsi="Times New Roman" w:cs="Times New Roman"/>
          <w:snapToGrid w:val="0"/>
          <w:position w:val="6"/>
          <w:sz w:val="28"/>
          <w:lang w:eastAsia="es-ES"/>
        </w:rPr>
        <w:t xml:space="preserve"> </w:t>
      </w:r>
      <w:r w:rsidRPr="006671C3">
        <w:rPr>
          <w:rFonts w:ascii="Times New Roman" w:eastAsia="Times New Roman" w:hAnsi="Times New Roman" w:cs="Times New Roman"/>
          <w:i/>
          <w:snapToGrid w:val="0"/>
          <w:position w:val="6"/>
          <w:sz w:val="28"/>
          <w:lang w:eastAsia="es-ES"/>
        </w:rPr>
        <w:t xml:space="preserve">Sanción a aplicar cuando no sea posible aprehender la </w:t>
      </w:r>
      <w:r w:rsidRPr="006671C3">
        <w:rPr>
          <w:rFonts w:ascii="Times New Roman" w:eastAsia="Times New Roman" w:hAnsi="Times New Roman" w:cs="Times New Roman"/>
          <w:i/>
          <w:snapToGrid w:val="0"/>
          <w:position w:val="6"/>
          <w:sz w:val="28"/>
          <w:lang w:eastAsia="es-ES"/>
        </w:rPr>
        <w:t>mercancía</w:t>
      </w:r>
      <w:r w:rsidRPr="006671C3">
        <w:rPr>
          <w:rFonts w:ascii="Times New Roman" w:eastAsia="Times New Roman" w:hAnsi="Times New Roman" w:cs="Times New Roman"/>
          <w:snapToGrid w:val="0"/>
          <w:position w:val="6"/>
          <w:sz w:val="28"/>
          <w:lang w:eastAsia="es-ES"/>
        </w:rPr>
        <w:t xml:space="preserve">. Cuando no sea posible aprehender la mercancía porque no fue puesta a disposición de la autoridad aduanera y no se probó su legal introducción y permanencia en el territorio aduanero nacional, la autoridad aduanera procederá con la aplicación de </w:t>
      </w:r>
      <w:r w:rsidRPr="006671C3">
        <w:rPr>
          <w:rFonts w:ascii="Times New Roman" w:eastAsia="Times New Roman" w:hAnsi="Times New Roman" w:cs="Times New Roman"/>
          <w:snapToGrid w:val="0"/>
          <w:position w:val="6"/>
          <w:sz w:val="28"/>
          <w:lang w:eastAsia="es-ES"/>
        </w:rPr>
        <w:t>una sanción de multa equivalente al doscientos por ciento (200%) del valor en aduanas, o, en su defecto, de su avalúo, que se impondrá al importador y al poseedor o tenedor, según corresponda.</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w:t>
      </w:r>
    </w:p>
    <w:p w:rsidR="000E6BF6" w:rsidRPr="006671C3" w:rsidRDefault="006671C3" w:rsidP="000E6BF6">
      <w:pPr>
        <w:shd w:val="clear" w:color="auto" w:fill="FFFFFF"/>
        <w:spacing w:after="0" w:line="240" w:lineRule="auto"/>
        <w:ind w:left="284"/>
        <w:contextualSpacing/>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b/>
          <w:snapToGrid w:val="0"/>
          <w:position w:val="6"/>
          <w:sz w:val="28"/>
          <w:lang w:eastAsia="es-ES"/>
        </w:rPr>
        <w:t>Cuando no sea posible ubicar al importador, poseedor o tene</w:t>
      </w:r>
      <w:r w:rsidRPr="006671C3">
        <w:rPr>
          <w:rFonts w:ascii="Times New Roman" w:eastAsia="Times New Roman" w:hAnsi="Times New Roman" w:cs="Times New Roman"/>
          <w:b/>
          <w:snapToGrid w:val="0"/>
          <w:position w:val="6"/>
          <w:sz w:val="28"/>
          <w:lang w:eastAsia="es-ES"/>
        </w:rPr>
        <w:t xml:space="preserve">dor, también se podrá imponer la sanción prevista en el inciso anterior, a quien de alguna manera intervino en la introducción de las mercancías al país; o en el transporte, el almacenamiento, el agenciamiento aduanero o comercialización, salvo que alguno </w:t>
      </w:r>
      <w:r w:rsidRPr="006671C3">
        <w:rPr>
          <w:rFonts w:ascii="Times New Roman" w:eastAsia="Times New Roman" w:hAnsi="Times New Roman" w:cs="Times New Roman"/>
          <w:b/>
          <w:snapToGrid w:val="0"/>
          <w:position w:val="6"/>
          <w:sz w:val="28"/>
          <w:lang w:eastAsia="es-ES"/>
        </w:rPr>
        <w:t>de estos últimos suministre información que conduzca a la aprehensión de las mercancías, o a la ubicación del importador, o poseedor o tenedor de las mismas</w:t>
      </w:r>
      <w:r w:rsidRPr="006671C3">
        <w:rPr>
          <w:rFonts w:ascii="Times New Roman" w:eastAsia="Times New Roman" w:hAnsi="Times New Roman" w:cs="Times New Roman"/>
          <w:snapToGrid w:val="0"/>
          <w:position w:val="6"/>
          <w:sz w:val="28"/>
          <w:lang w:eastAsia="es-ES"/>
        </w:rPr>
        <w:t>”.</w:t>
      </w:r>
    </w:p>
    <w:p w:rsidR="000E6BF6" w:rsidRPr="006671C3" w:rsidRDefault="006671C3" w:rsidP="000E6BF6">
      <w:pPr>
        <w:shd w:val="clear" w:color="auto" w:fill="FFFFFF"/>
        <w:spacing w:after="0" w:line="240" w:lineRule="auto"/>
        <w:contextualSpacing/>
        <w:jc w:val="both"/>
        <w:rPr>
          <w:rFonts w:ascii="Times New Roman" w:eastAsia="Times New Roman" w:hAnsi="Times New Roman" w:cs="Times New Roman"/>
          <w:i/>
          <w:snapToGrid w:val="0"/>
          <w:position w:val="6"/>
          <w:sz w:val="28"/>
          <w:szCs w:val="28"/>
          <w:lang w:val="es-ES" w:eastAsia="es-ES"/>
        </w:rPr>
      </w:pPr>
    </w:p>
    <w:p w:rsidR="000E6BF6" w:rsidRPr="006671C3" w:rsidRDefault="006671C3" w:rsidP="000E6BF6">
      <w:pPr>
        <w:numPr>
          <w:ilvl w:val="0"/>
          <w:numId w:val="11"/>
        </w:numPr>
        <w:shd w:val="clear" w:color="auto" w:fill="FFFFFF"/>
        <w:spacing w:after="0" w:line="240" w:lineRule="auto"/>
        <w:ind w:left="0" w:firstLine="0"/>
        <w:contextualSpacing/>
        <w:jc w:val="both"/>
        <w:rPr>
          <w:rFonts w:ascii="Times New Roman" w:eastAsia="Times New Roman" w:hAnsi="Times New Roman" w:cs="Times New Roman"/>
          <w:snapToGrid w:val="0"/>
          <w:position w:val="6"/>
          <w:sz w:val="28"/>
          <w:szCs w:val="28"/>
          <w:lang w:eastAsia="es-ES"/>
        </w:rPr>
      </w:pPr>
      <w:r w:rsidRPr="006671C3">
        <w:rPr>
          <w:rFonts w:ascii="Times New Roman" w:eastAsia="Times New Roman" w:hAnsi="Times New Roman" w:cs="Times New Roman"/>
          <w:snapToGrid w:val="0"/>
          <w:position w:val="6"/>
          <w:sz w:val="28"/>
          <w:szCs w:val="28"/>
          <w:lang w:eastAsia="es-ES"/>
        </w:rPr>
        <w:t xml:space="preserve">Como fundamento de su pretensión aduce el (i) </w:t>
      </w:r>
      <w:r w:rsidRPr="006671C3">
        <w:rPr>
          <w:rFonts w:ascii="Times New Roman" w:eastAsia="Times New Roman" w:hAnsi="Times New Roman" w:cs="Times New Roman"/>
          <w:i/>
          <w:snapToGrid w:val="0"/>
          <w:position w:val="6"/>
          <w:sz w:val="28"/>
          <w:szCs w:val="28"/>
          <w:lang w:eastAsia="es-ES"/>
        </w:rPr>
        <w:t xml:space="preserve">desconocimiento del debido proceso administrativo </w:t>
      </w:r>
      <w:r w:rsidRPr="006671C3">
        <w:rPr>
          <w:rFonts w:ascii="Times New Roman" w:eastAsia="Times New Roman" w:hAnsi="Times New Roman" w:cs="Times New Roman"/>
          <w:i/>
          <w:snapToGrid w:val="0"/>
          <w:position w:val="6"/>
          <w:sz w:val="28"/>
          <w:szCs w:val="28"/>
          <w:lang w:eastAsia="es-ES"/>
        </w:rPr>
        <w:t>y del principio de responsabilidad personal</w:t>
      </w:r>
      <w:r w:rsidRPr="006671C3">
        <w:rPr>
          <w:rFonts w:ascii="Times New Roman" w:eastAsia="Times New Roman" w:hAnsi="Times New Roman" w:cs="Times New Roman"/>
          <w:snapToGrid w:val="0"/>
          <w:position w:val="6"/>
          <w:sz w:val="28"/>
          <w:szCs w:val="28"/>
          <w:lang w:eastAsia="es-ES"/>
        </w:rPr>
        <w:t>, ya que se sanciona por el hecho de un tercero y por omisiones atribuibles a la administración. Informa que la extensión a los intervinientes, en la cadena de comercialización de la mercancía, de la sanción previ</w:t>
      </w:r>
      <w:r w:rsidRPr="006671C3">
        <w:rPr>
          <w:rFonts w:ascii="Times New Roman" w:eastAsia="Times New Roman" w:hAnsi="Times New Roman" w:cs="Times New Roman"/>
          <w:snapToGrid w:val="0"/>
          <w:position w:val="6"/>
          <w:sz w:val="28"/>
          <w:szCs w:val="28"/>
          <w:lang w:eastAsia="es-ES"/>
        </w:rPr>
        <w:t xml:space="preserve">sta en el inciso primero por omisión en el suministro del paradero del importador, contraviene el derecho de defensa en relación con la conducta omisiva, al aplicarse una consecuencia para conductas distintas a las desplegadas en su actividad empresarial. </w:t>
      </w:r>
      <w:r w:rsidRPr="006671C3">
        <w:rPr>
          <w:rFonts w:ascii="Times New Roman" w:eastAsia="Times New Roman" w:hAnsi="Times New Roman" w:cs="Times New Roman"/>
          <w:snapToGrid w:val="0"/>
          <w:position w:val="6"/>
          <w:sz w:val="28"/>
          <w:szCs w:val="28"/>
          <w:lang w:eastAsia="es-ES"/>
        </w:rPr>
        <w:t>Igualmente, resalta que la administración es quien tiene a cargo la obligación de ubicar al importador, poseedor o tenedor de la mercancía que no ha sido puesta a disposición, ni introducida legalmente al territorio aduanero</w:t>
      </w:r>
      <w:r w:rsidRPr="006671C3">
        <w:rPr>
          <w:rFonts w:ascii="Times New Roman" w:eastAsia="Times New Roman" w:hAnsi="Times New Roman" w:cs="Times New Roman"/>
          <w:snapToGrid w:val="0"/>
          <w:position w:val="6"/>
          <w:sz w:val="28"/>
          <w:szCs w:val="28"/>
          <w:vertAlign w:val="superscript"/>
          <w:lang w:eastAsia="es-ES"/>
        </w:rPr>
        <w:footnoteReference w:id="18"/>
      </w:r>
      <w:r w:rsidRPr="006671C3">
        <w:rPr>
          <w:rFonts w:ascii="Times New Roman" w:eastAsia="Times New Roman" w:hAnsi="Times New Roman" w:cs="Times New Roman"/>
          <w:snapToGrid w:val="0"/>
          <w:position w:val="6"/>
          <w:sz w:val="28"/>
          <w:szCs w:val="28"/>
          <w:lang w:eastAsia="es-ES"/>
        </w:rPr>
        <w:t xml:space="preserve">. </w:t>
      </w:r>
    </w:p>
    <w:p w:rsidR="000E6BF6" w:rsidRPr="006671C3" w:rsidRDefault="006671C3" w:rsidP="000E6BF6">
      <w:pPr>
        <w:shd w:val="clear" w:color="auto" w:fill="FFFFFF"/>
        <w:spacing w:after="0" w:line="240" w:lineRule="auto"/>
        <w:contextualSpacing/>
        <w:jc w:val="both"/>
        <w:rPr>
          <w:rFonts w:ascii="Times New Roman" w:eastAsia="Times New Roman" w:hAnsi="Times New Roman" w:cs="Times New Roman"/>
          <w:snapToGrid w:val="0"/>
          <w:position w:val="6"/>
          <w:sz w:val="28"/>
          <w:szCs w:val="28"/>
          <w:lang w:eastAsia="es-ES"/>
        </w:rPr>
      </w:pPr>
    </w:p>
    <w:p w:rsidR="000E6BF6" w:rsidRPr="006671C3" w:rsidRDefault="006671C3" w:rsidP="000E6BF6">
      <w:pPr>
        <w:numPr>
          <w:ilvl w:val="0"/>
          <w:numId w:val="11"/>
        </w:numPr>
        <w:shd w:val="clear" w:color="auto" w:fill="FFFFFF"/>
        <w:spacing w:after="0" w:line="240" w:lineRule="auto"/>
        <w:ind w:left="0" w:firstLine="0"/>
        <w:contextualSpacing/>
        <w:jc w:val="both"/>
        <w:rPr>
          <w:rFonts w:ascii="Times New Roman" w:eastAsia="Times New Roman" w:hAnsi="Times New Roman" w:cs="Times New Roman"/>
          <w:snapToGrid w:val="0"/>
          <w:position w:val="6"/>
          <w:sz w:val="28"/>
          <w:szCs w:val="28"/>
          <w:lang w:eastAsia="es-ES"/>
        </w:rPr>
      </w:pPr>
      <w:r w:rsidRPr="006671C3">
        <w:rPr>
          <w:rFonts w:ascii="Times New Roman" w:eastAsia="Times New Roman" w:hAnsi="Times New Roman" w:cs="Times New Roman"/>
          <w:snapToGrid w:val="0"/>
          <w:position w:val="6"/>
          <w:sz w:val="28"/>
          <w:szCs w:val="28"/>
          <w:lang w:eastAsia="es-ES"/>
        </w:rPr>
        <w:t xml:space="preserve">También predica la (ii) </w:t>
      </w:r>
      <w:r w:rsidRPr="006671C3">
        <w:rPr>
          <w:rFonts w:ascii="Times New Roman" w:eastAsia="Times New Roman" w:hAnsi="Times New Roman" w:cs="Times New Roman"/>
          <w:i/>
          <w:snapToGrid w:val="0"/>
          <w:position w:val="6"/>
          <w:sz w:val="28"/>
          <w:szCs w:val="28"/>
          <w:lang w:eastAsia="es-ES"/>
        </w:rPr>
        <w:t>afectación de la presunción de inocencia</w:t>
      </w:r>
      <w:r w:rsidRPr="006671C3">
        <w:rPr>
          <w:rFonts w:ascii="Times New Roman" w:eastAsia="Times New Roman" w:hAnsi="Times New Roman" w:cs="Times New Roman"/>
          <w:snapToGrid w:val="0"/>
          <w:position w:val="6"/>
          <w:sz w:val="28"/>
          <w:szCs w:val="28"/>
          <w:lang w:eastAsia="es-ES"/>
        </w:rPr>
        <w:t>, por cuanto la autoridad aduanera impone una sanción a quien haya intervenido en la introducción, transporte, almacenamiento, agenciamiento aduanero o comercialización de las mercancías “sin que se exija a esa autor</w:t>
      </w:r>
      <w:r w:rsidRPr="006671C3">
        <w:rPr>
          <w:rFonts w:ascii="Times New Roman" w:eastAsia="Times New Roman" w:hAnsi="Times New Roman" w:cs="Times New Roman"/>
          <w:snapToGrid w:val="0"/>
          <w:position w:val="6"/>
          <w:sz w:val="28"/>
          <w:szCs w:val="28"/>
          <w:lang w:eastAsia="es-ES"/>
        </w:rPr>
        <w:t>idad demostrar su responsabilidad frente a la conducta del inciso primero, esto es, sin que esté acreditado que la administración no pudo aprehender la mercancía a causa de la no puesta a disposición de aquella, o la falta de prueba de la legal introducció</w:t>
      </w:r>
      <w:r w:rsidRPr="006671C3">
        <w:rPr>
          <w:rFonts w:ascii="Times New Roman" w:eastAsia="Times New Roman" w:hAnsi="Times New Roman" w:cs="Times New Roman"/>
          <w:snapToGrid w:val="0"/>
          <w:position w:val="6"/>
          <w:sz w:val="28"/>
          <w:szCs w:val="28"/>
          <w:lang w:eastAsia="es-ES"/>
        </w:rPr>
        <w:t>n (…). En otras palabras, se releva a la autoridad de la carga de desvirtuar la presunción de inocencia”</w:t>
      </w:r>
      <w:r w:rsidRPr="006671C3">
        <w:rPr>
          <w:rFonts w:ascii="Times New Roman" w:eastAsia="Times New Roman" w:hAnsi="Times New Roman" w:cs="Times New Roman"/>
          <w:snapToGrid w:val="0"/>
          <w:position w:val="6"/>
          <w:sz w:val="28"/>
          <w:szCs w:val="28"/>
          <w:vertAlign w:val="superscript"/>
          <w:lang w:eastAsia="es-ES"/>
        </w:rPr>
        <w:footnoteReference w:id="19"/>
      </w:r>
      <w:r w:rsidRPr="006671C3">
        <w:rPr>
          <w:rFonts w:ascii="Times New Roman" w:eastAsia="Times New Roman" w:hAnsi="Times New Roman" w:cs="Times New Roman"/>
          <w:snapToGrid w:val="0"/>
          <w:position w:val="6"/>
          <w:sz w:val="28"/>
          <w:szCs w:val="28"/>
          <w:lang w:eastAsia="es-ES"/>
        </w:rPr>
        <w:t>. Por último, asevera que “la gravedad de la sanción no podría ser equiparable a aquella prevista para quien impida que la autoridad aprehenda la merca</w:t>
      </w:r>
      <w:r w:rsidRPr="006671C3">
        <w:rPr>
          <w:rFonts w:ascii="Times New Roman" w:eastAsia="Times New Roman" w:hAnsi="Times New Roman" w:cs="Times New Roman"/>
          <w:snapToGrid w:val="0"/>
          <w:position w:val="6"/>
          <w:sz w:val="28"/>
          <w:szCs w:val="28"/>
          <w:lang w:eastAsia="es-ES"/>
        </w:rPr>
        <w:t>ncía por no ponerla a su disposición y no probar su legal introducción al territorio aduanero (…). En todo caso, (…) lo que resulta (…) es el traslado a un particular de las funciones propias de la autoridad como lo son la de investigar y ubicar y sanciona</w:t>
      </w:r>
      <w:r w:rsidRPr="006671C3">
        <w:rPr>
          <w:rFonts w:ascii="Times New Roman" w:eastAsia="Times New Roman" w:hAnsi="Times New Roman" w:cs="Times New Roman"/>
          <w:snapToGrid w:val="0"/>
          <w:position w:val="6"/>
          <w:sz w:val="28"/>
          <w:szCs w:val="28"/>
          <w:lang w:eastAsia="es-ES"/>
        </w:rPr>
        <w:t>r a los presuntos infractores del régimen aduanero”</w:t>
      </w:r>
      <w:r w:rsidRPr="006671C3">
        <w:rPr>
          <w:rFonts w:ascii="Times New Roman" w:eastAsia="Times New Roman" w:hAnsi="Times New Roman" w:cs="Times New Roman"/>
          <w:snapToGrid w:val="0"/>
          <w:position w:val="6"/>
          <w:sz w:val="28"/>
          <w:szCs w:val="28"/>
          <w:vertAlign w:val="superscript"/>
          <w:lang w:eastAsia="es-ES"/>
        </w:rPr>
        <w:footnoteReference w:id="20"/>
      </w:r>
      <w:r w:rsidRPr="006671C3">
        <w:rPr>
          <w:rFonts w:ascii="Times New Roman" w:eastAsia="Times New Roman" w:hAnsi="Times New Roman" w:cs="Times New Roman"/>
          <w:snapToGrid w:val="0"/>
          <w:position w:val="6"/>
          <w:sz w:val="28"/>
          <w:szCs w:val="28"/>
          <w:lang w:eastAsia="es-ES"/>
        </w:rPr>
        <w:t>.</w:t>
      </w:r>
    </w:p>
    <w:bookmarkEnd w:id="16"/>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b/>
          <w:snapToGrid w:val="0"/>
          <w:position w:val="6"/>
          <w:sz w:val="28"/>
          <w:szCs w:val="24"/>
          <w:lang w:eastAsia="es-ES"/>
        </w:rPr>
      </w:pPr>
    </w:p>
    <w:p w:rsidR="000E6BF6" w:rsidRPr="006671C3" w:rsidRDefault="006671C3" w:rsidP="000E6BF6">
      <w:pPr>
        <w:shd w:val="clear" w:color="auto" w:fill="FFFFFF"/>
        <w:spacing w:after="0" w:line="240" w:lineRule="auto"/>
        <w:jc w:val="both"/>
        <w:rPr>
          <w:rFonts w:ascii="Times New Roman" w:eastAsia="Times New Roman" w:hAnsi="Times New Roman" w:cs="Times New Roman"/>
          <w:snapToGrid w:val="0"/>
          <w:position w:val="6"/>
          <w:sz w:val="28"/>
          <w:szCs w:val="28"/>
          <w:lang w:val="es-ES" w:eastAsia="es-ES"/>
        </w:rPr>
      </w:pPr>
      <w:bookmarkStart w:id="17" w:name="_Hlk165968463"/>
      <w:r w:rsidRPr="006671C3">
        <w:rPr>
          <w:rFonts w:ascii="Times New Roman" w:eastAsia="Times New Roman" w:hAnsi="Times New Roman" w:cs="Times New Roman"/>
          <w:b/>
          <w:snapToGrid w:val="0"/>
          <w:position w:val="6"/>
          <w:sz w:val="28"/>
          <w:szCs w:val="28"/>
          <w:lang w:val="es-ES" w:eastAsia="es-ES"/>
        </w:rPr>
        <w:t>Cuarto cargo</w:t>
      </w:r>
      <w:r w:rsidRPr="006671C3">
        <w:rPr>
          <w:rFonts w:ascii="Times New Roman" w:eastAsia="Times New Roman" w:hAnsi="Times New Roman" w:cs="Times New Roman"/>
          <w:snapToGrid w:val="0"/>
          <w:position w:val="6"/>
          <w:sz w:val="28"/>
          <w:szCs w:val="28"/>
          <w:lang w:val="es-ES" w:eastAsia="es-ES"/>
        </w:rPr>
        <w:t>. En opinión del accionante el numeral 1.2. del artículo 36 del Decreto Ley 920 de 2023, que se destaca a continuación, quebranta los artículos 6 y 29 de la Constitución:</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b/>
          <w:snapToGrid w:val="0"/>
          <w:position w:val="6"/>
          <w:sz w:val="28"/>
          <w:szCs w:val="24"/>
          <w:lang w:eastAsia="es-ES"/>
        </w:rPr>
      </w:pP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b/>
          <w:snapToGrid w:val="0"/>
          <w:position w:val="6"/>
          <w:sz w:val="28"/>
          <w:lang w:eastAsia="es-ES"/>
        </w:rPr>
        <w:t>Artículo 36.</w:t>
      </w:r>
      <w:r w:rsidRPr="006671C3">
        <w:rPr>
          <w:rFonts w:ascii="Times New Roman" w:eastAsia="Times New Roman" w:hAnsi="Times New Roman" w:cs="Times New Roman"/>
          <w:snapToGrid w:val="0"/>
          <w:position w:val="6"/>
          <w:sz w:val="28"/>
          <w:lang w:eastAsia="es-ES"/>
        </w:rPr>
        <w:t xml:space="preserve"> </w:t>
      </w:r>
      <w:r w:rsidRPr="006671C3">
        <w:rPr>
          <w:rFonts w:ascii="Times New Roman" w:eastAsia="Times New Roman" w:hAnsi="Times New Roman" w:cs="Times New Roman"/>
          <w:i/>
          <w:snapToGrid w:val="0"/>
          <w:position w:val="6"/>
          <w:sz w:val="28"/>
          <w:lang w:eastAsia="es-ES"/>
        </w:rPr>
        <w:t>Infracciones aduaneras de las agencias de aduanas y sanciones aplicables</w:t>
      </w:r>
      <w:r w:rsidRPr="006671C3">
        <w:rPr>
          <w:rFonts w:ascii="Times New Roman" w:eastAsia="Times New Roman" w:hAnsi="Times New Roman" w:cs="Times New Roman"/>
          <w:snapToGrid w:val="0"/>
          <w:position w:val="6"/>
          <w:sz w:val="28"/>
          <w:lang w:eastAsia="es-ES"/>
        </w:rPr>
        <w:t>. Además de las infracciones aduaneras y sanciones previstas en los artículos 29, 31 y 33 del presente decreto, las agencias de aduanas y los almacenes generales de depósito, cuando ac</w:t>
      </w:r>
      <w:r w:rsidRPr="006671C3">
        <w:rPr>
          <w:rFonts w:ascii="Times New Roman" w:eastAsia="Times New Roman" w:hAnsi="Times New Roman" w:cs="Times New Roman"/>
          <w:snapToGrid w:val="0"/>
          <w:position w:val="6"/>
          <w:sz w:val="28"/>
          <w:lang w:eastAsia="es-ES"/>
        </w:rPr>
        <w:t xml:space="preserve">túen como agencias de aduanas, serán sancionados por la comisión de las siguientes infracciones aduaneras: </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1. Gravísimas.</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 xml:space="preserve">1.2. </w:t>
      </w:r>
      <w:r w:rsidRPr="006671C3">
        <w:rPr>
          <w:rFonts w:ascii="Times New Roman" w:eastAsia="Times New Roman" w:hAnsi="Times New Roman" w:cs="Times New Roman"/>
          <w:b/>
          <w:snapToGrid w:val="0"/>
          <w:position w:val="6"/>
          <w:sz w:val="28"/>
          <w:lang w:eastAsia="es-ES"/>
        </w:rPr>
        <w:t>Prestar los servicios de agenciamiento aduanero a personas naturales o jurídicas respecto de las cuales se determine la ocu</w:t>
      </w:r>
      <w:r w:rsidRPr="006671C3">
        <w:rPr>
          <w:rFonts w:ascii="Times New Roman" w:eastAsia="Times New Roman" w:hAnsi="Times New Roman" w:cs="Times New Roman"/>
          <w:b/>
          <w:snapToGrid w:val="0"/>
          <w:position w:val="6"/>
          <w:sz w:val="28"/>
          <w:lang w:eastAsia="es-ES"/>
        </w:rPr>
        <w:t>rrencia de alguna de las circunstancias consagradas en el numeral 10 del artículo 7° del presente decreto. La sanción aplicable será la de cancelación de la autorización como agencia de aduanas</w:t>
      </w:r>
      <w:r w:rsidRPr="006671C3">
        <w:rPr>
          <w:rFonts w:ascii="Times New Roman" w:eastAsia="Times New Roman" w:hAnsi="Times New Roman" w:cs="Times New Roman"/>
          <w:snapToGrid w:val="0"/>
          <w:position w:val="6"/>
          <w:sz w:val="28"/>
          <w:lang w:eastAsia="es-ES"/>
        </w:rPr>
        <w:t>”.</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szCs w:val="24"/>
          <w:lang w:eastAsia="es-ES"/>
        </w:rPr>
      </w:pPr>
    </w:p>
    <w:p w:rsidR="000E6BF6" w:rsidRPr="006671C3" w:rsidRDefault="006671C3" w:rsidP="000E6BF6">
      <w:pPr>
        <w:numPr>
          <w:ilvl w:val="0"/>
          <w:numId w:val="11"/>
        </w:numPr>
        <w:shd w:val="clear" w:color="auto" w:fill="FFFFFF"/>
        <w:spacing w:after="0" w:line="240" w:lineRule="auto"/>
        <w:ind w:left="0" w:firstLine="0"/>
        <w:contextualSpacing/>
        <w:jc w:val="both"/>
        <w:rPr>
          <w:rFonts w:ascii="Times New Roman" w:eastAsia="Times New Roman" w:hAnsi="Times New Roman" w:cs="Times New Roman"/>
          <w:snapToGrid w:val="0"/>
          <w:position w:val="6"/>
          <w:sz w:val="28"/>
          <w:szCs w:val="28"/>
          <w:lang w:eastAsia="es-ES"/>
        </w:rPr>
      </w:pPr>
      <w:r w:rsidRPr="006671C3">
        <w:rPr>
          <w:rFonts w:ascii="Times New Roman" w:eastAsia="Times New Roman" w:hAnsi="Times New Roman" w:cs="Times New Roman"/>
          <w:snapToGrid w:val="0"/>
          <w:position w:val="6"/>
          <w:sz w:val="28"/>
          <w:szCs w:val="28"/>
          <w:lang w:eastAsia="es-ES"/>
        </w:rPr>
        <w:t xml:space="preserve">Como contexto normativo trae a colación </w:t>
      </w:r>
      <w:bookmarkEnd w:id="17"/>
      <w:r w:rsidRPr="006671C3">
        <w:rPr>
          <w:rFonts w:ascii="Times New Roman" w:eastAsia="Times New Roman" w:hAnsi="Times New Roman" w:cs="Times New Roman"/>
          <w:snapToGrid w:val="0"/>
          <w:position w:val="6"/>
          <w:sz w:val="28"/>
          <w:szCs w:val="28"/>
          <w:lang w:eastAsia="es-ES"/>
        </w:rPr>
        <w:t>el numeral 10</w:t>
      </w:r>
      <w:r w:rsidRPr="006671C3">
        <w:rPr>
          <w:rFonts w:ascii="Times New Roman" w:eastAsia="Times New Roman" w:hAnsi="Times New Roman" w:cs="Times New Roman"/>
          <w:snapToGrid w:val="0"/>
          <w:position w:val="6"/>
          <w:sz w:val="28"/>
          <w:szCs w:val="28"/>
          <w:vertAlign w:val="superscript"/>
          <w:lang w:eastAsia="es-ES"/>
        </w:rPr>
        <w:footnoteReference w:id="21"/>
      </w:r>
      <w:r w:rsidRPr="006671C3">
        <w:rPr>
          <w:rFonts w:ascii="Times New Roman" w:eastAsia="Times New Roman" w:hAnsi="Times New Roman" w:cs="Times New Roman"/>
          <w:snapToGrid w:val="0"/>
          <w:position w:val="6"/>
          <w:sz w:val="28"/>
          <w:szCs w:val="28"/>
          <w:lang w:eastAsia="es-ES"/>
        </w:rPr>
        <w:t xml:space="preserve"> del </w:t>
      </w:r>
      <w:r w:rsidRPr="006671C3">
        <w:rPr>
          <w:rFonts w:ascii="Times New Roman" w:eastAsia="Times New Roman" w:hAnsi="Times New Roman" w:cs="Times New Roman"/>
          <w:snapToGrid w:val="0"/>
          <w:position w:val="6"/>
          <w:sz w:val="28"/>
          <w:szCs w:val="28"/>
          <w:lang w:eastAsia="es-ES"/>
        </w:rPr>
        <w:t>artículo 7 (que cita el aparte impugnado) y el artículo 3</w:t>
      </w:r>
      <w:r w:rsidRPr="006671C3">
        <w:rPr>
          <w:rFonts w:ascii="Times New Roman" w:eastAsia="Times New Roman" w:hAnsi="Times New Roman" w:cs="Times New Roman"/>
          <w:snapToGrid w:val="0"/>
          <w:position w:val="6"/>
          <w:sz w:val="28"/>
          <w:szCs w:val="28"/>
          <w:vertAlign w:val="superscript"/>
          <w:lang w:eastAsia="es-ES"/>
        </w:rPr>
        <w:footnoteReference w:id="22"/>
      </w:r>
      <w:r w:rsidRPr="006671C3">
        <w:rPr>
          <w:rFonts w:ascii="Times New Roman" w:eastAsia="Times New Roman" w:hAnsi="Times New Roman" w:cs="Times New Roman"/>
          <w:snapToGrid w:val="0"/>
          <w:position w:val="6"/>
          <w:sz w:val="28"/>
          <w:szCs w:val="28"/>
          <w:lang w:eastAsia="es-ES"/>
        </w:rPr>
        <w:t xml:space="preserve"> del Decreto Ley 920 de 2023, de lo cual desprende los elementos del tipo sancionatorio: (i) autoridad competencia para aplicar la sanción: Unidad Administrativa Especial DIAN; (ii) sujeto activo de</w:t>
      </w:r>
      <w:r w:rsidRPr="006671C3">
        <w:rPr>
          <w:rFonts w:ascii="Times New Roman" w:eastAsia="Times New Roman" w:hAnsi="Times New Roman" w:cs="Times New Roman"/>
          <w:snapToGrid w:val="0"/>
          <w:position w:val="6"/>
          <w:sz w:val="28"/>
          <w:szCs w:val="28"/>
          <w:lang w:eastAsia="es-ES"/>
        </w:rPr>
        <w:t xml:space="preserve"> la conducta: las agencias de aduanas y los almacenes generales de depósito; (iii) conducta reprochable: prestar los servicios de agenciamiento aduanero a consignatarios, destinatarios o importadores (a) que no se ubiquen en la dirección principal informad</w:t>
      </w:r>
      <w:r w:rsidRPr="006671C3">
        <w:rPr>
          <w:rFonts w:ascii="Times New Roman" w:eastAsia="Times New Roman" w:hAnsi="Times New Roman" w:cs="Times New Roman"/>
          <w:snapToGrid w:val="0"/>
          <w:position w:val="6"/>
          <w:sz w:val="28"/>
          <w:szCs w:val="28"/>
          <w:lang w:eastAsia="es-ES"/>
        </w:rPr>
        <w:t>a en el RUT, (b) respecto de los que no sea posible determinar la solvencia económica o el origen de los fondos para desarrollar la operación de comercio exterior, (c) que se trate de personas jurídicas disueltas o liquidadas o de personas naturales fallec</w:t>
      </w:r>
      <w:r w:rsidRPr="006671C3">
        <w:rPr>
          <w:rFonts w:ascii="Times New Roman" w:eastAsia="Times New Roman" w:hAnsi="Times New Roman" w:cs="Times New Roman"/>
          <w:snapToGrid w:val="0"/>
          <w:position w:val="6"/>
          <w:sz w:val="28"/>
          <w:szCs w:val="28"/>
          <w:lang w:eastAsia="es-ES"/>
        </w:rPr>
        <w:t>idas, o (d) que hayan utilizado el nombre e identificación de personas naturales o jurídicas sin su autorización en operaciones de comercio exterior</w:t>
      </w:r>
      <w:r w:rsidRPr="006671C3">
        <w:rPr>
          <w:rFonts w:ascii="Times New Roman" w:eastAsia="Times New Roman" w:hAnsi="Times New Roman" w:cs="Times New Roman"/>
          <w:snapToGrid w:val="0"/>
          <w:position w:val="6"/>
          <w:sz w:val="28"/>
          <w:szCs w:val="28"/>
          <w:vertAlign w:val="superscript"/>
          <w:lang w:eastAsia="es-ES"/>
        </w:rPr>
        <w:footnoteReference w:id="23"/>
      </w:r>
      <w:r w:rsidRPr="006671C3">
        <w:rPr>
          <w:rFonts w:ascii="Times New Roman" w:eastAsia="Times New Roman" w:hAnsi="Times New Roman" w:cs="Times New Roman"/>
          <w:snapToGrid w:val="0"/>
          <w:position w:val="6"/>
          <w:sz w:val="28"/>
          <w:szCs w:val="28"/>
          <w:lang w:eastAsia="es-ES"/>
        </w:rPr>
        <w:t>.</w:t>
      </w:r>
    </w:p>
    <w:p w:rsidR="000E6BF6" w:rsidRPr="006671C3" w:rsidRDefault="006671C3" w:rsidP="000E6BF6">
      <w:pPr>
        <w:shd w:val="clear" w:color="auto" w:fill="FFFFFF"/>
        <w:spacing w:after="0" w:line="240" w:lineRule="auto"/>
        <w:contextualSpacing/>
        <w:jc w:val="both"/>
        <w:rPr>
          <w:rFonts w:ascii="Times New Roman" w:eastAsia="Times New Roman" w:hAnsi="Times New Roman" w:cs="Times New Roman"/>
          <w:snapToGrid w:val="0"/>
          <w:position w:val="6"/>
          <w:sz w:val="28"/>
          <w:szCs w:val="28"/>
          <w:lang w:eastAsia="es-ES"/>
        </w:rPr>
      </w:pPr>
    </w:p>
    <w:p w:rsidR="000E6BF6" w:rsidRPr="006671C3" w:rsidRDefault="006671C3" w:rsidP="000E6BF6">
      <w:pPr>
        <w:numPr>
          <w:ilvl w:val="0"/>
          <w:numId w:val="11"/>
        </w:numPr>
        <w:shd w:val="clear" w:color="auto" w:fill="FFFFFF"/>
        <w:spacing w:after="0" w:line="240" w:lineRule="auto"/>
        <w:ind w:left="0" w:firstLine="0"/>
        <w:contextualSpacing/>
        <w:jc w:val="both"/>
        <w:rPr>
          <w:rFonts w:ascii="Times New Roman" w:eastAsia="Times New Roman" w:hAnsi="Times New Roman" w:cs="Times New Roman"/>
          <w:snapToGrid w:val="0"/>
          <w:position w:val="6"/>
          <w:sz w:val="28"/>
          <w:szCs w:val="28"/>
          <w:lang w:eastAsia="es-ES"/>
        </w:rPr>
      </w:pPr>
      <w:r w:rsidRPr="006671C3">
        <w:rPr>
          <w:rFonts w:ascii="Times New Roman" w:eastAsia="Times New Roman" w:hAnsi="Times New Roman" w:cs="Times New Roman"/>
          <w:snapToGrid w:val="0"/>
          <w:position w:val="6"/>
          <w:sz w:val="28"/>
          <w:szCs w:val="28"/>
          <w:lang w:eastAsia="es-ES"/>
        </w:rPr>
        <w:t>Entiende que si bien se impone a los usuarios aduaneros establecer mecanismos y procedimientos para evit</w:t>
      </w:r>
      <w:r w:rsidRPr="006671C3">
        <w:rPr>
          <w:rFonts w:ascii="Times New Roman" w:eastAsia="Times New Roman" w:hAnsi="Times New Roman" w:cs="Times New Roman"/>
          <w:snapToGrid w:val="0"/>
          <w:position w:val="6"/>
          <w:sz w:val="28"/>
          <w:szCs w:val="28"/>
          <w:lang w:eastAsia="es-ES"/>
        </w:rPr>
        <w:t>ar que su actividad se instrumentalice para el lavado de activos, lo cierto es que el cumplimiento o no de sus obligaciones se mide por la adopción y aplicación de tales mecanismos de control y no por la ocurrencia o no de alguna situación de lavado de act</w:t>
      </w:r>
      <w:r w:rsidRPr="006671C3">
        <w:rPr>
          <w:rFonts w:ascii="Times New Roman" w:eastAsia="Times New Roman" w:hAnsi="Times New Roman" w:cs="Times New Roman"/>
          <w:snapToGrid w:val="0"/>
          <w:position w:val="6"/>
          <w:sz w:val="28"/>
          <w:szCs w:val="28"/>
          <w:lang w:eastAsia="es-ES"/>
        </w:rPr>
        <w:t xml:space="preserve">ivos, “por cuanto la responsabilidad de la carga que se les impone radica en colaborar con el Estado en la implementación de protocolos, procedimientos, mecanismos o sistemas de control, con el cumplimiento de estándares específicos, sin que en todo caso, </w:t>
      </w:r>
      <w:r w:rsidRPr="006671C3">
        <w:rPr>
          <w:rFonts w:ascii="Times New Roman" w:eastAsia="Times New Roman" w:hAnsi="Times New Roman" w:cs="Times New Roman"/>
          <w:snapToGrid w:val="0"/>
          <w:position w:val="6"/>
          <w:sz w:val="28"/>
          <w:szCs w:val="28"/>
          <w:lang w:eastAsia="es-ES"/>
        </w:rPr>
        <w:t>puedan asumir directa o solidariamente la responsabilidad de terceros que incurre en ese tipo de actividades”</w:t>
      </w:r>
      <w:r w:rsidRPr="006671C3">
        <w:rPr>
          <w:rFonts w:ascii="Times New Roman" w:eastAsia="Times New Roman" w:hAnsi="Times New Roman" w:cs="Times New Roman"/>
          <w:snapToGrid w:val="0"/>
          <w:position w:val="6"/>
          <w:sz w:val="28"/>
          <w:szCs w:val="28"/>
          <w:vertAlign w:val="superscript"/>
          <w:lang w:eastAsia="es-ES"/>
        </w:rPr>
        <w:footnoteReference w:id="24"/>
      </w:r>
      <w:r w:rsidRPr="006671C3">
        <w:rPr>
          <w:rFonts w:ascii="Times New Roman" w:eastAsia="Times New Roman" w:hAnsi="Times New Roman" w:cs="Times New Roman"/>
          <w:snapToGrid w:val="0"/>
          <w:position w:val="6"/>
          <w:sz w:val="28"/>
          <w:szCs w:val="28"/>
          <w:lang w:eastAsia="es-ES"/>
        </w:rPr>
        <w:t>.</w:t>
      </w:r>
    </w:p>
    <w:p w:rsidR="000E6BF6" w:rsidRPr="006671C3" w:rsidRDefault="006671C3" w:rsidP="000E6BF6">
      <w:pPr>
        <w:contextualSpacing/>
        <w:rPr>
          <w:rFonts w:ascii="Times New Roman" w:eastAsia="Times New Roman" w:hAnsi="Times New Roman" w:cs="Times New Roman"/>
          <w:snapToGrid w:val="0"/>
          <w:position w:val="6"/>
          <w:sz w:val="28"/>
          <w:szCs w:val="28"/>
          <w:lang w:eastAsia="es-ES"/>
        </w:rPr>
      </w:pPr>
    </w:p>
    <w:p w:rsidR="000E6BF6" w:rsidRPr="006671C3" w:rsidRDefault="006671C3" w:rsidP="000E6BF6">
      <w:pPr>
        <w:numPr>
          <w:ilvl w:val="0"/>
          <w:numId w:val="11"/>
        </w:numPr>
        <w:shd w:val="clear" w:color="auto" w:fill="FFFFFF"/>
        <w:spacing w:after="0" w:line="240" w:lineRule="auto"/>
        <w:ind w:left="0" w:firstLine="0"/>
        <w:contextualSpacing/>
        <w:jc w:val="both"/>
        <w:rPr>
          <w:rFonts w:ascii="Times New Roman" w:eastAsia="Times New Roman" w:hAnsi="Times New Roman" w:cs="Times New Roman"/>
          <w:snapToGrid w:val="0"/>
          <w:position w:val="6"/>
          <w:sz w:val="28"/>
          <w:szCs w:val="28"/>
          <w:lang w:eastAsia="es-ES"/>
        </w:rPr>
      </w:pPr>
      <w:r w:rsidRPr="006671C3">
        <w:rPr>
          <w:rFonts w:ascii="Times New Roman" w:eastAsia="Times New Roman" w:hAnsi="Times New Roman" w:cs="Times New Roman"/>
          <w:snapToGrid w:val="0"/>
          <w:position w:val="6"/>
          <w:sz w:val="28"/>
          <w:szCs w:val="28"/>
          <w:lang w:eastAsia="es-ES"/>
        </w:rPr>
        <w:t xml:space="preserve">Así encuentra que el numeral acusado es inexequible al establecer una situación de responsabilidad por el hecho de terceros, sin reparar en la </w:t>
      </w:r>
      <w:r w:rsidRPr="006671C3">
        <w:rPr>
          <w:rFonts w:ascii="Times New Roman" w:eastAsia="Times New Roman" w:hAnsi="Times New Roman" w:cs="Times New Roman"/>
          <w:snapToGrid w:val="0"/>
          <w:position w:val="6"/>
          <w:sz w:val="28"/>
          <w:szCs w:val="28"/>
          <w:lang w:eastAsia="es-ES"/>
        </w:rPr>
        <w:t>conducta del sancionado, lo cual vulnera el principio de responsabilidad personal. Enfatiza en que la norma demandada dispone que la agencia de aduanas y los almacenes generales de depósito serán sancionados con la cancelación de su autorización por la sol</w:t>
      </w:r>
      <w:r w:rsidRPr="006671C3">
        <w:rPr>
          <w:rFonts w:ascii="Times New Roman" w:eastAsia="Times New Roman" w:hAnsi="Times New Roman" w:cs="Times New Roman"/>
          <w:snapToGrid w:val="0"/>
          <w:position w:val="6"/>
          <w:sz w:val="28"/>
          <w:szCs w:val="28"/>
          <w:lang w:eastAsia="es-ES"/>
        </w:rPr>
        <w:t>a circunstancia de prestar sus servicios a consignatarios, destinatarios o importadores que incurran en las conductas prevista en el artículo 7 (numeral 10) del mismo régimen, sin reparar en el carácter personal de la conducta ni en el grado de culpabilida</w:t>
      </w:r>
      <w:r w:rsidRPr="006671C3">
        <w:rPr>
          <w:rFonts w:ascii="Times New Roman" w:eastAsia="Times New Roman" w:hAnsi="Times New Roman" w:cs="Times New Roman"/>
          <w:snapToGrid w:val="0"/>
          <w:position w:val="6"/>
          <w:sz w:val="28"/>
          <w:szCs w:val="28"/>
          <w:lang w:eastAsia="es-ES"/>
        </w:rPr>
        <w:t>d que les asista</w:t>
      </w:r>
      <w:r w:rsidRPr="006671C3">
        <w:rPr>
          <w:rFonts w:ascii="Times New Roman" w:eastAsia="Times New Roman" w:hAnsi="Times New Roman" w:cs="Times New Roman"/>
          <w:snapToGrid w:val="0"/>
          <w:position w:val="6"/>
          <w:sz w:val="28"/>
          <w:szCs w:val="28"/>
          <w:vertAlign w:val="superscript"/>
          <w:lang w:eastAsia="es-ES"/>
        </w:rPr>
        <w:footnoteReference w:id="25"/>
      </w:r>
      <w:r w:rsidRPr="006671C3">
        <w:rPr>
          <w:rFonts w:ascii="Times New Roman" w:eastAsia="Times New Roman" w:hAnsi="Times New Roman" w:cs="Times New Roman"/>
          <w:snapToGrid w:val="0"/>
          <w:position w:val="6"/>
          <w:sz w:val="28"/>
          <w:szCs w:val="28"/>
          <w:lang w:eastAsia="es-ES"/>
        </w:rPr>
        <w:t>.</w:t>
      </w:r>
    </w:p>
    <w:p w:rsidR="000E6BF6" w:rsidRPr="006671C3" w:rsidRDefault="006671C3" w:rsidP="000E6BF6">
      <w:pPr>
        <w:contextualSpacing/>
        <w:rPr>
          <w:rFonts w:ascii="Times New Roman" w:eastAsia="Times New Roman" w:hAnsi="Times New Roman" w:cs="Times New Roman"/>
          <w:snapToGrid w:val="0"/>
          <w:position w:val="6"/>
          <w:sz w:val="28"/>
          <w:szCs w:val="28"/>
          <w:lang w:eastAsia="es-ES"/>
        </w:rPr>
      </w:pPr>
    </w:p>
    <w:p w:rsidR="000E6BF6" w:rsidRPr="006671C3" w:rsidRDefault="006671C3" w:rsidP="000E6BF6">
      <w:pPr>
        <w:numPr>
          <w:ilvl w:val="0"/>
          <w:numId w:val="11"/>
        </w:numPr>
        <w:shd w:val="clear" w:color="auto" w:fill="FFFFFF"/>
        <w:spacing w:after="0" w:line="240" w:lineRule="auto"/>
        <w:ind w:left="0" w:firstLine="0"/>
        <w:contextualSpacing/>
        <w:jc w:val="both"/>
        <w:rPr>
          <w:rFonts w:ascii="Times New Roman" w:eastAsia="Times New Roman" w:hAnsi="Times New Roman" w:cs="Times New Roman"/>
          <w:snapToGrid w:val="0"/>
          <w:position w:val="6"/>
          <w:sz w:val="28"/>
          <w:szCs w:val="28"/>
          <w:lang w:eastAsia="es-ES"/>
        </w:rPr>
      </w:pPr>
      <w:r w:rsidRPr="006671C3">
        <w:rPr>
          <w:rFonts w:ascii="Times New Roman" w:eastAsia="Times New Roman" w:hAnsi="Times New Roman" w:cs="Times New Roman"/>
          <w:snapToGrid w:val="0"/>
          <w:position w:val="6"/>
          <w:sz w:val="28"/>
          <w:szCs w:val="28"/>
          <w:lang w:eastAsia="es-ES"/>
        </w:rPr>
        <w:t>Adicionalmente, considera que lo demandado “pretermite cualquier calificativo del verbo rector constitutivo del tipo sancionatorio, esto es, para el legislador extraordinario basta con la mera prestación del servicio a sujetos incursos en alguna irregulari</w:t>
      </w:r>
      <w:r w:rsidRPr="006671C3">
        <w:rPr>
          <w:rFonts w:ascii="Times New Roman" w:eastAsia="Times New Roman" w:hAnsi="Times New Roman" w:cs="Times New Roman"/>
          <w:snapToGrid w:val="0"/>
          <w:position w:val="6"/>
          <w:sz w:val="28"/>
          <w:szCs w:val="28"/>
          <w:lang w:eastAsia="es-ES"/>
        </w:rPr>
        <w:t xml:space="preserve">dad para que se configure la sanción en cabeza de los operadores de comercio exterior, en reparar en el grado de culpabilidad de la conducta, esto es, sin determinar si hubo pretermisión de algún deber </w:t>
      </w:r>
      <w:r w:rsidRPr="006671C3">
        <w:rPr>
          <w:rFonts w:ascii="Times New Roman" w:eastAsia="Times New Roman" w:hAnsi="Times New Roman" w:cs="Times New Roman"/>
          <w:i/>
          <w:snapToGrid w:val="0"/>
          <w:position w:val="6"/>
          <w:sz w:val="28"/>
          <w:szCs w:val="28"/>
          <w:lang w:eastAsia="es-ES"/>
        </w:rPr>
        <w:t xml:space="preserve">in vigilando </w:t>
      </w:r>
      <w:r w:rsidRPr="006671C3">
        <w:rPr>
          <w:rFonts w:ascii="Times New Roman" w:eastAsia="Times New Roman" w:hAnsi="Times New Roman" w:cs="Times New Roman"/>
          <w:snapToGrid w:val="0"/>
          <w:position w:val="6"/>
          <w:sz w:val="28"/>
          <w:szCs w:val="28"/>
          <w:lang w:eastAsia="es-ES"/>
        </w:rPr>
        <w:t>que les fuera asignado legalmente a las a</w:t>
      </w:r>
      <w:r w:rsidRPr="006671C3">
        <w:rPr>
          <w:rFonts w:ascii="Times New Roman" w:eastAsia="Times New Roman" w:hAnsi="Times New Roman" w:cs="Times New Roman"/>
          <w:snapToGrid w:val="0"/>
          <w:position w:val="6"/>
          <w:sz w:val="28"/>
          <w:szCs w:val="28"/>
          <w:lang w:eastAsia="es-ES"/>
        </w:rPr>
        <w:t>gencias de aduana o almacenes generales de depósito”. Ello, estima que viola el principio de presunción de inocencia</w:t>
      </w:r>
      <w:r w:rsidRPr="006671C3">
        <w:rPr>
          <w:rFonts w:ascii="Times New Roman" w:eastAsia="Times New Roman" w:hAnsi="Times New Roman" w:cs="Times New Roman"/>
          <w:snapToGrid w:val="0"/>
          <w:position w:val="6"/>
          <w:sz w:val="28"/>
          <w:szCs w:val="28"/>
          <w:vertAlign w:val="superscript"/>
          <w:lang w:eastAsia="es-ES"/>
        </w:rPr>
        <w:footnoteReference w:id="26"/>
      </w:r>
      <w:r w:rsidRPr="006671C3">
        <w:rPr>
          <w:rFonts w:ascii="Times New Roman" w:eastAsia="Times New Roman" w:hAnsi="Times New Roman" w:cs="Times New Roman"/>
          <w:snapToGrid w:val="0"/>
          <w:position w:val="6"/>
          <w:sz w:val="28"/>
          <w:szCs w:val="28"/>
          <w:lang w:eastAsia="es-ES"/>
        </w:rPr>
        <w:t>.</w:t>
      </w:r>
    </w:p>
    <w:p w:rsidR="000E6BF6" w:rsidRPr="006671C3" w:rsidRDefault="006671C3" w:rsidP="000E6BF6">
      <w:pPr>
        <w:shd w:val="clear" w:color="auto" w:fill="FFFFFF"/>
        <w:spacing w:after="0" w:line="240" w:lineRule="auto"/>
        <w:jc w:val="both"/>
        <w:rPr>
          <w:rFonts w:ascii="Times New Roman" w:eastAsia="Times New Roman" w:hAnsi="Times New Roman" w:cs="Times New Roman"/>
          <w:snapToGrid w:val="0"/>
          <w:position w:val="6"/>
          <w:sz w:val="28"/>
          <w:szCs w:val="28"/>
          <w:lang w:eastAsia="es-ES"/>
        </w:rPr>
      </w:pPr>
    </w:p>
    <w:p w:rsidR="000E6BF6" w:rsidRPr="006671C3" w:rsidRDefault="006671C3" w:rsidP="000E6BF6">
      <w:pPr>
        <w:shd w:val="clear" w:color="auto" w:fill="FFFFFF"/>
        <w:spacing w:after="0" w:line="240" w:lineRule="auto"/>
        <w:jc w:val="both"/>
        <w:rPr>
          <w:rFonts w:ascii="Times New Roman" w:eastAsia="Times New Roman" w:hAnsi="Times New Roman" w:cs="Times New Roman"/>
          <w:snapToGrid w:val="0"/>
          <w:position w:val="6"/>
          <w:sz w:val="28"/>
          <w:szCs w:val="28"/>
          <w:lang w:eastAsia="es-ES"/>
        </w:rPr>
      </w:pPr>
      <w:r w:rsidRPr="006671C3">
        <w:rPr>
          <w:rFonts w:ascii="Times New Roman" w:eastAsia="Times New Roman" w:hAnsi="Times New Roman" w:cs="Times New Roman"/>
          <w:b/>
          <w:snapToGrid w:val="0"/>
          <w:position w:val="6"/>
          <w:sz w:val="28"/>
          <w:szCs w:val="28"/>
          <w:lang w:eastAsia="es-ES"/>
        </w:rPr>
        <w:t>Quinto cargo</w:t>
      </w:r>
      <w:r w:rsidRPr="006671C3">
        <w:rPr>
          <w:rFonts w:ascii="Times New Roman" w:eastAsia="Times New Roman" w:hAnsi="Times New Roman" w:cs="Times New Roman"/>
          <w:snapToGrid w:val="0"/>
          <w:position w:val="6"/>
          <w:sz w:val="28"/>
          <w:szCs w:val="28"/>
          <w:lang w:eastAsia="es-ES"/>
        </w:rPr>
        <w:t xml:space="preserve">. Para el actor el numeral 8, parcial, del artículo 69 del Decreto Ley 920 de 2023, que se resalta enseguida, desconoce los </w:t>
      </w:r>
      <w:r w:rsidRPr="006671C3">
        <w:rPr>
          <w:rFonts w:ascii="Times New Roman" w:eastAsia="Times New Roman" w:hAnsi="Times New Roman" w:cs="Times New Roman"/>
          <w:snapToGrid w:val="0"/>
          <w:position w:val="6"/>
          <w:sz w:val="28"/>
          <w:szCs w:val="28"/>
          <w:lang w:eastAsia="es-ES"/>
        </w:rPr>
        <w:t>artículos 1, 2, 5, 6, 29, 58 y 214 de la Constitución:</w:t>
      </w:r>
    </w:p>
    <w:p w:rsidR="000E6BF6" w:rsidRPr="006671C3" w:rsidRDefault="006671C3" w:rsidP="000E6BF6">
      <w:pPr>
        <w:shd w:val="clear" w:color="auto" w:fill="FFFFFF"/>
        <w:spacing w:after="0" w:line="240" w:lineRule="auto"/>
        <w:jc w:val="both"/>
        <w:rPr>
          <w:rFonts w:ascii="Times New Roman" w:eastAsia="Times New Roman" w:hAnsi="Times New Roman" w:cs="Times New Roman"/>
          <w:snapToGrid w:val="0"/>
          <w:position w:val="6"/>
          <w:sz w:val="28"/>
          <w:szCs w:val="28"/>
          <w:lang w:eastAsia="es-ES"/>
        </w:rPr>
      </w:pP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b/>
          <w:snapToGrid w:val="0"/>
          <w:position w:val="6"/>
          <w:sz w:val="28"/>
          <w:lang w:eastAsia="es-ES"/>
        </w:rPr>
        <w:t>Artículo 69.</w:t>
      </w:r>
      <w:r w:rsidRPr="006671C3">
        <w:rPr>
          <w:rFonts w:ascii="Times New Roman" w:eastAsia="Times New Roman" w:hAnsi="Times New Roman" w:cs="Times New Roman"/>
          <w:snapToGrid w:val="0"/>
          <w:position w:val="6"/>
          <w:sz w:val="28"/>
          <w:lang w:eastAsia="es-ES"/>
        </w:rPr>
        <w:t xml:space="preserve"> </w:t>
      </w:r>
      <w:r w:rsidRPr="006671C3">
        <w:rPr>
          <w:rFonts w:ascii="Times New Roman" w:eastAsia="Times New Roman" w:hAnsi="Times New Roman" w:cs="Times New Roman"/>
          <w:i/>
          <w:snapToGrid w:val="0"/>
          <w:position w:val="6"/>
          <w:sz w:val="28"/>
          <w:lang w:eastAsia="es-ES"/>
        </w:rPr>
        <w:t>Causales de aprehensión y decomiso de mercancías</w:t>
      </w:r>
      <w:r w:rsidRPr="006671C3">
        <w:rPr>
          <w:rFonts w:ascii="Times New Roman" w:eastAsia="Times New Roman" w:hAnsi="Times New Roman" w:cs="Times New Roman"/>
          <w:snapToGrid w:val="0"/>
          <w:position w:val="6"/>
          <w:sz w:val="28"/>
          <w:lang w:eastAsia="es-ES"/>
        </w:rPr>
        <w:t>. Dará lugar a la aprehensión y decomiso de las mercancías, la ocurrencia de cualquiera de los siguientes eventos:</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w:t>
      </w:r>
    </w:p>
    <w:p w:rsidR="000E6BF6" w:rsidRPr="006671C3" w:rsidRDefault="006671C3" w:rsidP="000E6BF6">
      <w:pPr>
        <w:shd w:val="clear" w:color="auto" w:fill="FFFFFF"/>
        <w:spacing w:after="0" w:line="240" w:lineRule="auto"/>
        <w:ind w:left="284"/>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 xml:space="preserve">8. </w:t>
      </w:r>
      <w:r w:rsidRPr="006671C3">
        <w:rPr>
          <w:rFonts w:ascii="Times New Roman" w:eastAsia="Times New Roman" w:hAnsi="Times New Roman" w:cs="Times New Roman"/>
          <w:b/>
          <w:snapToGrid w:val="0"/>
          <w:position w:val="6"/>
          <w:sz w:val="28"/>
          <w:lang w:eastAsia="es-ES"/>
        </w:rPr>
        <w:t xml:space="preserve">Cuando se </w:t>
      </w:r>
      <w:r w:rsidRPr="006671C3">
        <w:rPr>
          <w:rFonts w:ascii="Times New Roman" w:eastAsia="Times New Roman" w:hAnsi="Times New Roman" w:cs="Times New Roman"/>
          <w:b/>
          <w:snapToGrid w:val="0"/>
          <w:position w:val="6"/>
          <w:sz w:val="28"/>
          <w:lang w:eastAsia="es-ES"/>
        </w:rPr>
        <w:t>hubieren introducido al territorio aduanero nacional mercancías respecto de las cuales se determine la ocurrencia de alguna de las circunstancias consagradas en el numeral 10 del artículo 7° del presente decreto</w:t>
      </w:r>
      <w:r w:rsidRPr="006671C3">
        <w:rPr>
          <w:rFonts w:ascii="Times New Roman" w:eastAsia="Times New Roman" w:hAnsi="Times New Roman" w:cs="Times New Roman"/>
          <w:snapToGrid w:val="0"/>
          <w:position w:val="6"/>
          <w:sz w:val="28"/>
          <w:lang w:eastAsia="es-ES"/>
        </w:rPr>
        <w:t>, o cuando no se solicite el reembarque en lo</w:t>
      </w:r>
      <w:r w:rsidRPr="006671C3">
        <w:rPr>
          <w:rFonts w:ascii="Times New Roman" w:eastAsia="Times New Roman" w:hAnsi="Times New Roman" w:cs="Times New Roman"/>
          <w:snapToGrid w:val="0"/>
          <w:position w:val="6"/>
          <w:sz w:val="28"/>
          <w:lang w:eastAsia="es-ES"/>
        </w:rPr>
        <w:t xml:space="preserve">s términos y condiciones previstos en el numeral 1 del artículo 383 del Decreto número 1165 de 2019, o el que lo modifique, adicione o sustituya”. </w:t>
      </w:r>
    </w:p>
    <w:p w:rsidR="000E6BF6" w:rsidRPr="006671C3" w:rsidRDefault="006671C3" w:rsidP="000E6BF6">
      <w:pPr>
        <w:shd w:val="clear" w:color="auto" w:fill="FFFFFF"/>
        <w:spacing w:after="0" w:line="240" w:lineRule="auto"/>
        <w:jc w:val="both"/>
        <w:rPr>
          <w:rFonts w:ascii="Times New Roman" w:eastAsia="Times New Roman" w:hAnsi="Times New Roman" w:cs="Times New Roman"/>
          <w:snapToGrid w:val="0"/>
          <w:position w:val="6"/>
          <w:sz w:val="28"/>
          <w:szCs w:val="24"/>
          <w:lang w:eastAsia="es-ES"/>
        </w:rPr>
      </w:pPr>
    </w:p>
    <w:p w:rsidR="000E6BF6" w:rsidRPr="006671C3" w:rsidRDefault="006671C3" w:rsidP="000E6BF6">
      <w:pPr>
        <w:numPr>
          <w:ilvl w:val="0"/>
          <w:numId w:val="11"/>
        </w:numPr>
        <w:shd w:val="clear" w:color="auto" w:fill="FFFFFF"/>
        <w:spacing w:after="0" w:line="240" w:lineRule="auto"/>
        <w:ind w:left="0" w:firstLine="0"/>
        <w:contextualSpacing/>
        <w:jc w:val="both"/>
        <w:rPr>
          <w:rFonts w:ascii="Times New Roman" w:eastAsia="Times New Roman" w:hAnsi="Times New Roman" w:cs="Times New Roman"/>
          <w:snapToGrid w:val="0"/>
          <w:position w:val="6"/>
          <w:sz w:val="28"/>
          <w:szCs w:val="28"/>
          <w:lang w:eastAsia="es-ES"/>
        </w:rPr>
      </w:pPr>
      <w:r w:rsidRPr="006671C3">
        <w:rPr>
          <w:rFonts w:ascii="Times New Roman" w:eastAsia="Times New Roman" w:hAnsi="Times New Roman" w:cs="Times New Roman"/>
          <w:snapToGrid w:val="0"/>
          <w:position w:val="6"/>
          <w:sz w:val="28"/>
          <w:szCs w:val="28"/>
          <w:lang w:eastAsia="es-ES"/>
        </w:rPr>
        <w:t>A partir de la remisión al numeral 10 del artículo 7</w:t>
      </w:r>
      <w:r w:rsidRPr="006671C3">
        <w:rPr>
          <w:rFonts w:ascii="Times New Roman" w:eastAsia="Times New Roman" w:hAnsi="Times New Roman" w:cs="Times New Roman"/>
          <w:snapToGrid w:val="0"/>
          <w:position w:val="6"/>
          <w:sz w:val="28"/>
          <w:szCs w:val="28"/>
          <w:vertAlign w:val="superscript"/>
          <w:lang w:eastAsia="es-ES"/>
        </w:rPr>
        <w:footnoteReference w:id="27"/>
      </w:r>
      <w:r w:rsidRPr="006671C3">
        <w:rPr>
          <w:rFonts w:ascii="Times New Roman" w:eastAsia="Times New Roman" w:hAnsi="Times New Roman" w:cs="Times New Roman"/>
          <w:snapToGrid w:val="0"/>
          <w:position w:val="6"/>
          <w:sz w:val="28"/>
          <w:szCs w:val="28"/>
          <w:lang w:eastAsia="es-ES"/>
        </w:rPr>
        <w:t xml:space="preserve">, endilga la (i) </w:t>
      </w:r>
      <w:r w:rsidRPr="006671C3">
        <w:rPr>
          <w:rFonts w:ascii="Times New Roman" w:eastAsia="Times New Roman" w:hAnsi="Times New Roman" w:cs="Times New Roman"/>
          <w:i/>
          <w:snapToGrid w:val="0"/>
          <w:position w:val="6"/>
          <w:sz w:val="28"/>
          <w:szCs w:val="28"/>
          <w:lang w:eastAsia="es-ES"/>
        </w:rPr>
        <w:t>violación del principio de proporcion</w:t>
      </w:r>
      <w:r w:rsidRPr="006671C3">
        <w:rPr>
          <w:rFonts w:ascii="Times New Roman" w:eastAsia="Times New Roman" w:hAnsi="Times New Roman" w:cs="Times New Roman"/>
          <w:i/>
          <w:snapToGrid w:val="0"/>
          <w:position w:val="6"/>
          <w:sz w:val="28"/>
          <w:szCs w:val="28"/>
          <w:lang w:eastAsia="es-ES"/>
        </w:rPr>
        <w:t>alidad en materia sancionatoria administrativa</w:t>
      </w:r>
      <w:r w:rsidRPr="006671C3">
        <w:rPr>
          <w:rFonts w:ascii="Times New Roman" w:eastAsia="Times New Roman" w:hAnsi="Times New Roman" w:cs="Times New Roman"/>
          <w:snapToGrid w:val="0"/>
          <w:position w:val="6"/>
          <w:sz w:val="28"/>
          <w:szCs w:val="28"/>
          <w:lang w:eastAsia="es-ES"/>
        </w:rPr>
        <w:t>, en relación con las siguientes conductas. Respecto a que (a) la autoridad no logre verificar que el importador, destinatario o consignatario está ubicado en la dirección informada en el RUT bien porque no exi</w:t>
      </w:r>
      <w:r w:rsidRPr="006671C3">
        <w:rPr>
          <w:rFonts w:ascii="Times New Roman" w:eastAsia="Times New Roman" w:hAnsi="Times New Roman" w:cs="Times New Roman"/>
          <w:snapToGrid w:val="0"/>
          <w:position w:val="6"/>
          <w:sz w:val="28"/>
          <w:szCs w:val="28"/>
          <w:lang w:eastAsia="es-ES"/>
        </w:rPr>
        <w:t>ste o no corresponde a su localización, estima que resulta desproporcionado por constituir “un simple error tipográfico o la desactualización de un documento como el RUT. Más aún cuando ello es inocuo y no implica vulneración significativa al fisco, al int</w:t>
      </w:r>
      <w:r w:rsidRPr="006671C3">
        <w:rPr>
          <w:rFonts w:ascii="Times New Roman" w:eastAsia="Times New Roman" w:hAnsi="Times New Roman" w:cs="Times New Roman"/>
          <w:snapToGrid w:val="0"/>
          <w:position w:val="6"/>
          <w:sz w:val="28"/>
          <w:szCs w:val="28"/>
          <w:lang w:eastAsia="es-ES"/>
        </w:rPr>
        <w:t xml:space="preserve">erés o a la moralidad pública”. En su sentir se contempla el decomiso por la simple falta de coincidencia de la dirección, sin referencia a ninguna conducta que lesione algún bien jurídico tutelado, aunque se hubiere importado con el cabal cumplimiento de </w:t>
      </w:r>
      <w:r w:rsidRPr="006671C3">
        <w:rPr>
          <w:rFonts w:ascii="Times New Roman" w:eastAsia="Times New Roman" w:hAnsi="Times New Roman" w:cs="Times New Roman"/>
          <w:snapToGrid w:val="0"/>
          <w:position w:val="6"/>
          <w:sz w:val="28"/>
          <w:szCs w:val="28"/>
          <w:lang w:eastAsia="es-ES"/>
        </w:rPr>
        <w:t>los requisitos legales</w:t>
      </w:r>
      <w:r w:rsidRPr="006671C3">
        <w:rPr>
          <w:rFonts w:ascii="Times New Roman" w:eastAsia="Times New Roman" w:hAnsi="Times New Roman" w:cs="Times New Roman"/>
          <w:snapToGrid w:val="0"/>
          <w:position w:val="6"/>
          <w:sz w:val="28"/>
          <w:szCs w:val="28"/>
          <w:vertAlign w:val="superscript"/>
          <w:lang w:eastAsia="es-ES"/>
        </w:rPr>
        <w:footnoteReference w:id="28"/>
      </w:r>
      <w:r w:rsidRPr="006671C3">
        <w:rPr>
          <w:rFonts w:ascii="Times New Roman" w:eastAsia="Times New Roman" w:hAnsi="Times New Roman" w:cs="Times New Roman"/>
          <w:snapToGrid w:val="0"/>
          <w:position w:val="6"/>
          <w:sz w:val="28"/>
          <w:szCs w:val="28"/>
          <w:lang w:eastAsia="es-ES"/>
        </w:rPr>
        <w:t>.</w:t>
      </w:r>
    </w:p>
    <w:p w:rsidR="000E6BF6" w:rsidRPr="006671C3" w:rsidRDefault="006671C3" w:rsidP="000E6BF6">
      <w:pPr>
        <w:shd w:val="clear" w:color="auto" w:fill="FFFFFF"/>
        <w:spacing w:after="0" w:line="240" w:lineRule="auto"/>
        <w:contextualSpacing/>
        <w:jc w:val="both"/>
        <w:rPr>
          <w:rFonts w:ascii="Times New Roman" w:eastAsia="Times New Roman" w:hAnsi="Times New Roman" w:cs="Times New Roman"/>
          <w:snapToGrid w:val="0"/>
          <w:position w:val="6"/>
          <w:sz w:val="28"/>
          <w:szCs w:val="28"/>
          <w:lang w:eastAsia="es-ES"/>
        </w:rPr>
      </w:pPr>
    </w:p>
    <w:p w:rsidR="000E6BF6" w:rsidRPr="006671C3" w:rsidRDefault="006671C3" w:rsidP="000E6BF6">
      <w:pPr>
        <w:numPr>
          <w:ilvl w:val="0"/>
          <w:numId w:val="11"/>
        </w:numPr>
        <w:shd w:val="clear" w:color="auto" w:fill="FFFFFF"/>
        <w:spacing w:after="0" w:line="240" w:lineRule="auto"/>
        <w:ind w:left="0" w:firstLine="0"/>
        <w:contextualSpacing/>
        <w:jc w:val="both"/>
        <w:rPr>
          <w:rFonts w:ascii="Times New Roman" w:eastAsia="Times New Roman" w:hAnsi="Times New Roman" w:cs="Times New Roman"/>
          <w:snapToGrid w:val="0"/>
          <w:position w:val="6"/>
          <w:sz w:val="28"/>
          <w:szCs w:val="28"/>
          <w:lang w:eastAsia="es-ES"/>
        </w:rPr>
      </w:pPr>
      <w:r w:rsidRPr="006671C3">
        <w:rPr>
          <w:rFonts w:ascii="Times New Roman" w:eastAsia="Times New Roman" w:hAnsi="Times New Roman" w:cs="Times New Roman"/>
          <w:snapToGrid w:val="0"/>
          <w:position w:val="6"/>
          <w:sz w:val="28"/>
          <w:szCs w:val="28"/>
          <w:lang w:eastAsia="es-ES"/>
        </w:rPr>
        <w:t xml:space="preserve">En cuanto a que (b) la autoridad no pueda determinar la solvencia económica ni el origen de los fondos de los obligados aduaneros, considera inadmisible que por el hecho de padecer un estado de penuria económica o entrar en </w:t>
      </w:r>
      <w:r w:rsidRPr="006671C3">
        <w:rPr>
          <w:rFonts w:ascii="Times New Roman" w:eastAsia="Times New Roman" w:hAnsi="Times New Roman" w:cs="Times New Roman"/>
          <w:snapToGrid w:val="0"/>
          <w:position w:val="6"/>
          <w:sz w:val="28"/>
          <w:szCs w:val="28"/>
          <w:lang w:eastAsia="es-ES"/>
        </w:rPr>
        <w:t>insolvencia configure una infracción administrativa que ocasione la pérdida del derecho de dominio, cuando no se ha incurrido en ninguna conducta ilícita y la mercancía se ha importado cumpliendo con todos los trámites aduaneros. Anota que similar situació</w:t>
      </w:r>
      <w:r w:rsidRPr="006671C3">
        <w:rPr>
          <w:rFonts w:ascii="Times New Roman" w:eastAsia="Times New Roman" w:hAnsi="Times New Roman" w:cs="Times New Roman"/>
          <w:snapToGrid w:val="0"/>
          <w:position w:val="6"/>
          <w:sz w:val="28"/>
          <w:szCs w:val="28"/>
          <w:lang w:eastAsia="es-ES"/>
        </w:rPr>
        <w:t>n ocurre con la verificación de origen de los fondos, ya que si la autoridad, bajo su criterio, no logra verificarlo -no atribuible al administrado-, procede en contra del importador, destinatario o consignatario la pérdida del derecho de dominio</w:t>
      </w:r>
      <w:r w:rsidRPr="006671C3">
        <w:rPr>
          <w:rFonts w:ascii="Times New Roman" w:eastAsia="Times New Roman" w:hAnsi="Times New Roman" w:cs="Times New Roman"/>
          <w:snapToGrid w:val="0"/>
          <w:position w:val="6"/>
          <w:sz w:val="28"/>
          <w:szCs w:val="28"/>
          <w:vertAlign w:val="superscript"/>
          <w:lang w:eastAsia="es-ES"/>
        </w:rPr>
        <w:footnoteReference w:id="29"/>
      </w:r>
      <w:r w:rsidRPr="006671C3">
        <w:rPr>
          <w:rFonts w:ascii="Times New Roman" w:eastAsia="Times New Roman" w:hAnsi="Times New Roman" w:cs="Times New Roman"/>
          <w:snapToGrid w:val="0"/>
          <w:position w:val="6"/>
          <w:sz w:val="28"/>
          <w:szCs w:val="28"/>
          <w:lang w:eastAsia="es-ES"/>
        </w:rPr>
        <w:t xml:space="preserve">. </w:t>
      </w:r>
    </w:p>
    <w:p w:rsidR="000E6BF6" w:rsidRPr="006671C3" w:rsidRDefault="006671C3" w:rsidP="000E6BF6">
      <w:pPr>
        <w:contextualSpacing/>
        <w:rPr>
          <w:rFonts w:ascii="Times New Roman" w:eastAsia="Times New Roman" w:hAnsi="Times New Roman" w:cs="Times New Roman"/>
          <w:snapToGrid w:val="0"/>
          <w:position w:val="6"/>
          <w:sz w:val="28"/>
          <w:szCs w:val="28"/>
          <w:lang w:eastAsia="es-ES"/>
        </w:rPr>
      </w:pPr>
    </w:p>
    <w:p w:rsidR="000E6BF6" w:rsidRPr="006671C3" w:rsidRDefault="006671C3" w:rsidP="000E6BF6">
      <w:pPr>
        <w:numPr>
          <w:ilvl w:val="0"/>
          <w:numId w:val="11"/>
        </w:numPr>
        <w:shd w:val="clear" w:color="auto" w:fill="FFFFFF"/>
        <w:spacing w:after="0" w:line="240" w:lineRule="auto"/>
        <w:ind w:left="0" w:firstLine="0"/>
        <w:contextualSpacing/>
        <w:jc w:val="both"/>
        <w:rPr>
          <w:rFonts w:ascii="Times New Roman" w:eastAsia="Times New Roman" w:hAnsi="Times New Roman" w:cs="Times New Roman"/>
          <w:snapToGrid w:val="0"/>
          <w:position w:val="6"/>
          <w:sz w:val="28"/>
          <w:szCs w:val="28"/>
          <w:lang w:eastAsia="es-ES"/>
        </w:rPr>
      </w:pPr>
      <w:r w:rsidRPr="006671C3">
        <w:rPr>
          <w:rFonts w:ascii="Times New Roman" w:eastAsia="Times New Roman" w:hAnsi="Times New Roman" w:cs="Times New Roman"/>
          <w:snapToGrid w:val="0"/>
          <w:position w:val="6"/>
          <w:sz w:val="28"/>
          <w:szCs w:val="28"/>
          <w:lang w:eastAsia="es-ES"/>
        </w:rPr>
        <w:t xml:space="preserve">Y en </w:t>
      </w:r>
      <w:r w:rsidRPr="006671C3">
        <w:rPr>
          <w:rFonts w:ascii="Times New Roman" w:eastAsia="Times New Roman" w:hAnsi="Times New Roman" w:cs="Times New Roman"/>
          <w:snapToGrid w:val="0"/>
          <w:position w:val="6"/>
          <w:sz w:val="28"/>
          <w:szCs w:val="28"/>
          <w:lang w:eastAsia="es-ES"/>
        </w:rPr>
        <w:t>torno a que (c) la autoridad identifique que la persona jurídica se encuentra disuelta y liquidada o que tratándose de una persona natural haya fallecido, afirma que constituyen circunstancias que no tienen relación con una operación de comercio exterior o</w:t>
      </w:r>
      <w:r w:rsidRPr="006671C3">
        <w:rPr>
          <w:rFonts w:ascii="Times New Roman" w:eastAsia="Times New Roman" w:hAnsi="Times New Roman" w:cs="Times New Roman"/>
          <w:snapToGrid w:val="0"/>
          <w:position w:val="6"/>
          <w:sz w:val="28"/>
          <w:szCs w:val="28"/>
          <w:lang w:eastAsia="es-ES"/>
        </w:rPr>
        <w:t xml:space="preserve"> lesione algún bien jurídico tutelado</w:t>
      </w:r>
      <w:r w:rsidRPr="006671C3">
        <w:rPr>
          <w:rFonts w:ascii="Times New Roman" w:eastAsia="Times New Roman" w:hAnsi="Times New Roman" w:cs="Times New Roman"/>
          <w:snapToGrid w:val="0"/>
          <w:position w:val="6"/>
          <w:sz w:val="28"/>
          <w:szCs w:val="28"/>
          <w:vertAlign w:val="superscript"/>
          <w:lang w:eastAsia="es-ES"/>
        </w:rPr>
        <w:footnoteReference w:id="30"/>
      </w:r>
      <w:r w:rsidRPr="006671C3">
        <w:rPr>
          <w:rFonts w:ascii="Times New Roman" w:eastAsia="Times New Roman" w:hAnsi="Times New Roman" w:cs="Times New Roman"/>
          <w:snapToGrid w:val="0"/>
          <w:position w:val="6"/>
          <w:sz w:val="28"/>
          <w:szCs w:val="28"/>
          <w:lang w:eastAsia="es-ES"/>
        </w:rPr>
        <w:t>.</w:t>
      </w:r>
    </w:p>
    <w:p w:rsidR="000E6BF6" w:rsidRPr="006671C3" w:rsidRDefault="006671C3" w:rsidP="000E6BF6">
      <w:pPr>
        <w:contextualSpacing/>
        <w:rPr>
          <w:rFonts w:ascii="Times New Roman" w:eastAsia="Times New Roman" w:hAnsi="Times New Roman" w:cs="Times New Roman"/>
          <w:snapToGrid w:val="0"/>
          <w:position w:val="6"/>
          <w:sz w:val="28"/>
          <w:szCs w:val="28"/>
          <w:lang w:eastAsia="es-ES"/>
        </w:rPr>
      </w:pPr>
    </w:p>
    <w:p w:rsidR="000E6BF6" w:rsidRPr="006671C3" w:rsidRDefault="006671C3" w:rsidP="000E6BF6">
      <w:pPr>
        <w:numPr>
          <w:ilvl w:val="0"/>
          <w:numId w:val="11"/>
        </w:numPr>
        <w:shd w:val="clear" w:color="auto" w:fill="FFFFFF"/>
        <w:spacing w:after="0" w:line="240" w:lineRule="auto"/>
        <w:ind w:left="0" w:firstLine="0"/>
        <w:contextualSpacing/>
        <w:jc w:val="both"/>
        <w:rPr>
          <w:rFonts w:ascii="Times New Roman" w:eastAsia="Times New Roman" w:hAnsi="Times New Roman" w:cs="Times New Roman"/>
          <w:snapToGrid w:val="0"/>
          <w:position w:val="6"/>
          <w:sz w:val="28"/>
          <w:szCs w:val="28"/>
          <w:lang w:eastAsia="es-ES"/>
        </w:rPr>
      </w:pPr>
      <w:r w:rsidRPr="006671C3">
        <w:rPr>
          <w:rFonts w:ascii="Times New Roman" w:eastAsia="Times New Roman" w:hAnsi="Times New Roman" w:cs="Times New Roman"/>
          <w:snapToGrid w:val="0"/>
          <w:position w:val="6"/>
          <w:sz w:val="28"/>
          <w:szCs w:val="28"/>
          <w:lang w:eastAsia="es-ES"/>
        </w:rPr>
        <w:t xml:space="preserve">De otra parte, sostiene el (ii) </w:t>
      </w:r>
      <w:r w:rsidRPr="006671C3">
        <w:rPr>
          <w:rFonts w:ascii="Times New Roman" w:eastAsia="Times New Roman" w:hAnsi="Times New Roman" w:cs="Times New Roman"/>
          <w:i/>
          <w:snapToGrid w:val="0"/>
          <w:position w:val="6"/>
          <w:sz w:val="28"/>
          <w:szCs w:val="28"/>
          <w:lang w:eastAsia="es-ES"/>
        </w:rPr>
        <w:t>desconocimiento del principio de responsabilidad personal</w:t>
      </w:r>
      <w:r w:rsidRPr="006671C3">
        <w:rPr>
          <w:rFonts w:ascii="Times New Roman" w:eastAsia="Times New Roman" w:hAnsi="Times New Roman" w:cs="Times New Roman"/>
          <w:snapToGrid w:val="0"/>
          <w:position w:val="6"/>
          <w:sz w:val="28"/>
          <w:szCs w:val="28"/>
          <w:lang w:eastAsia="es-ES"/>
        </w:rPr>
        <w:t>, al resultar inverosímil que los particulares deban afrontar la pérdida del derecho de propiedad por un acto que no les es at</w:t>
      </w:r>
      <w:r w:rsidRPr="006671C3">
        <w:rPr>
          <w:rFonts w:ascii="Times New Roman" w:eastAsia="Times New Roman" w:hAnsi="Times New Roman" w:cs="Times New Roman"/>
          <w:snapToGrid w:val="0"/>
          <w:position w:val="6"/>
          <w:sz w:val="28"/>
          <w:szCs w:val="28"/>
          <w:lang w:eastAsia="es-ES"/>
        </w:rPr>
        <w:t>ribuible, como sería el incumplimiento de la obligación señalada por parte de la autoridad. Así mismo, determina que mal podría la norma imponer la carga en cabeza de los ciudadanos, toda vez que ellos no tienen herramientas jurídicas ni funciones de polic</w:t>
      </w:r>
      <w:r w:rsidRPr="006671C3">
        <w:rPr>
          <w:rFonts w:ascii="Times New Roman" w:eastAsia="Times New Roman" w:hAnsi="Times New Roman" w:cs="Times New Roman"/>
          <w:snapToGrid w:val="0"/>
          <w:position w:val="6"/>
          <w:sz w:val="28"/>
          <w:szCs w:val="28"/>
          <w:lang w:eastAsia="es-ES"/>
        </w:rPr>
        <w:t>ía para ingresar en la contabilidad de otros usuarios. Insiste que se trata de una carga imposible de cumplir, ya que se sanciona al administrado con la pérdida de su derecho de dominio por el incumplimiento de la autoridad</w:t>
      </w:r>
      <w:r w:rsidRPr="006671C3">
        <w:rPr>
          <w:rFonts w:ascii="Times New Roman" w:eastAsia="Times New Roman" w:hAnsi="Times New Roman" w:cs="Times New Roman"/>
          <w:snapToGrid w:val="0"/>
          <w:position w:val="6"/>
          <w:sz w:val="28"/>
          <w:szCs w:val="28"/>
          <w:vertAlign w:val="superscript"/>
          <w:lang w:eastAsia="es-ES"/>
        </w:rPr>
        <w:footnoteReference w:id="31"/>
      </w:r>
      <w:r w:rsidRPr="006671C3">
        <w:rPr>
          <w:rFonts w:ascii="Times New Roman" w:eastAsia="Times New Roman" w:hAnsi="Times New Roman" w:cs="Times New Roman"/>
          <w:snapToGrid w:val="0"/>
          <w:position w:val="6"/>
          <w:sz w:val="28"/>
          <w:szCs w:val="28"/>
          <w:lang w:eastAsia="es-ES"/>
        </w:rPr>
        <w:t xml:space="preserve">.  </w:t>
      </w:r>
    </w:p>
    <w:p w:rsidR="000E6BF6" w:rsidRPr="006671C3" w:rsidRDefault="006671C3" w:rsidP="000E6BF6">
      <w:pPr>
        <w:shd w:val="clear" w:color="auto" w:fill="FFFFFF"/>
        <w:spacing w:after="0" w:line="240" w:lineRule="auto"/>
        <w:contextualSpacing/>
        <w:jc w:val="both"/>
        <w:rPr>
          <w:rFonts w:ascii="Times New Roman" w:eastAsia="Times New Roman" w:hAnsi="Times New Roman" w:cs="Times New Roman"/>
          <w:snapToGrid w:val="0"/>
          <w:position w:val="6"/>
          <w:sz w:val="28"/>
          <w:szCs w:val="28"/>
          <w:lang w:eastAsia="es-ES"/>
        </w:rPr>
      </w:pPr>
    </w:p>
    <w:bookmarkEnd w:id="15"/>
    <w:p w:rsidR="000E6BF6" w:rsidRPr="006671C3" w:rsidRDefault="006671C3" w:rsidP="000E6BF6">
      <w:pPr>
        <w:shd w:val="clear" w:color="auto" w:fill="FFFFFF"/>
        <w:spacing w:after="0" w:line="240" w:lineRule="auto"/>
        <w:contextualSpacing/>
        <w:jc w:val="both"/>
        <w:rPr>
          <w:rFonts w:ascii="Times New Roman" w:eastAsia="Times New Roman" w:hAnsi="Times New Roman" w:cs="Times New Roman"/>
          <w:b/>
          <w:snapToGrid w:val="0"/>
          <w:position w:val="6"/>
          <w:sz w:val="28"/>
          <w:szCs w:val="28"/>
          <w:lang w:val="es-ES" w:eastAsia="es-ES"/>
        </w:rPr>
      </w:pPr>
      <w:r w:rsidRPr="006671C3">
        <w:rPr>
          <w:rFonts w:ascii="Times New Roman" w:eastAsia="Times New Roman" w:hAnsi="Times New Roman" w:cs="Times New Roman"/>
          <w:b/>
          <w:snapToGrid w:val="0"/>
          <w:position w:val="6"/>
          <w:sz w:val="28"/>
          <w:szCs w:val="28"/>
          <w:lang w:val="es-ES" w:eastAsia="es-ES"/>
        </w:rPr>
        <w:t xml:space="preserve">III. </w:t>
      </w:r>
      <w:bookmarkStart w:id="19" w:name="_Hlk63753013"/>
      <w:r w:rsidRPr="006671C3">
        <w:rPr>
          <w:rFonts w:ascii="Times New Roman" w:eastAsia="Times New Roman" w:hAnsi="Times New Roman" w:cs="Times New Roman"/>
          <w:b/>
          <w:snapToGrid w:val="0"/>
          <w:position w:val="6"/>
          <w:sz w:val="28"/>
          <w:szCs w:val="28"/>
          <w:lang w:val="es-ES" w:eastAsia="es-ES"/>
        </w:rPr>
        <w:t xml:space="preserve">  INTERVENCIONES, INVITACIONES Y CONCEPTO DE LA PROCURADURÍA GENERAL DE LA NACIÓN</w:t>
      </w:r>
      <w:r w:rsidRPr="006671C3">
        <w:rPr>
          <w:rFonts w:ascii="Times New Roman" w:eastAsia="Times New Roman" w:hAnsi="Times New Roman" w:cs="Times New Roman"/>
          <w:snapToGrid w:val="0"/>
          <w:position w:val="6"/>
          <w:sz w:val="28"/>
          <w:szCs w:val="28"/>
          <w:vertAlign w:val="superscript"/>
          <w:lang w:val="es-ES" w:eastAsia="es-ES"/>
        </w:rPr>
        <w:footnoteReference w:id="32"/>
      </w:r>
    </w:p>
    <w:p w:rsidR="000E6BF6" w:rsidRPr="006671C3" w:rsidRDefault="006671C3" w:rsidP="000E6BF6">
      <w:pPr>
        <w:spacing w:after="0" w:line="240" w:lineRule="auto"/>
        <w:contextualSpacing/>
        <w:jc w:val="both"/>
        <w:rPr>
          <w:rFonts w:ascii="Times New Roman" w:eastAsia="Times New Roman" w:hAnsi="Times New Roman" w:cs="Times New Roman"/>
          <w:b/>
          <w:snapToGrid w:val="0"/>
          <w:position w:val="6"/>
          <w:sz w:val="28"/>
          <w:szCs w:val="28"/>
          <w:lang w:val="es-ES" w:eastAsia="es-ES"/>
        </w:rPr>
      </w:pPr>
    </w:p>
    <w:p w:rsidR="000E6BF6" w:rsidRPr="006671C3" w:rsidRDefault="006671C3" w:rsidP="000E6BF6">
      <w:pPr>
        <w:numPr>
          <w:ilvl w:val="0"/>
          <w:numId w:val="11"/>
        </w:numPr>
        <w:spacing w:after="0" w:line="240" w:lineRule="auto"/>
        <w:ind w:left="0" w:firstLine="0"/>
        <w:contextualSpacing/>
        <w:jc w:val="both"/>
        <w:rPr>
          <w:rFonts w:ascii="Times New Roman" w:eastAsia="Times New Roman" w:hAnsi="Times New Roman" w:cs="Times New Roman"/>
          <w:snapToGrid w:val="0"/>
          <w:position w:val="6"/>
          <w:sz w:val="28"/>
          <w:szCs w:val="28"/>
          <w:lang w:val="es-ES" w:eastAsia="es-ES"/>
        </w:rPr>
      </w:pPr>
      <w:bookmarkStart w:id="20" w:name="_Hlk135211765"/>
      <w:r w:rsidRPr="006671C3">
        <w:rPr>
          <w:rFonts w:ascii="Times New Roman" w:eastAsia="Times New Roman" w:hAnsi="Times New Roman" w:cs="Times New Roman"/>
          <w:snapToGrid w:val="0"/>
          <w:position w:val="6"/>
          <w:sz w:val="28"/>
          <w:szCs w:val="28"/>
          <w:lang w:val="es-ES" w:eastAsia="es-ES"/>
        </w:rPr>
        <w:t xml:space="preserve"> A continuación, se procede a agrupar y sintetizar las intervenciones ciudadanas</w:t>
      </w:r>
      <w:r w:rsidRPr="006671C3">
        <w:rPr>
          <w:rFonts w:ascii="Times New Roman" w:eastAsia="Times New Roman" w:hAnsi="Times New Roman" w:cs="Times New Roman"/>
          <w:snapToGrid w:val="0"/>
          <w:position w:val="6"/>
          <w:sz w:val="28"/>
          <w:szCs w:val="28"/>
          <w:vertAlign w:val="superscript"/>
          <w:lang w:val="es-ES" w:eastAsia="es-ES"/>
        </w:rPr>
        <w:footnoteReference w:id="33"/>
      </w:r>
      <w:r w:rsidRPr="006671C3">
        <w:rPr>
          <w:rFonts w:ascii="Times New Roman" w:eastAsia="Times New Roman" w:hAnsi="Times New Roman" w:cs="Times New Roman"/>
          <w:snapToGrid w:val="0"/>
          <w:position w:val="6"/>
          <w:sz w:val="28"/>
          <w:szCs w:val="28"/>
          <w:lang w:val="es-ES" w:eastAsia="es-ES"/>
        </w:rPr>
        <w:t>, invitaciones presentadas</w:t>
      </w:r>
      <w:r w:rsidRPr="006671C3">
        <w:rPr>
          <w:rFonts w:ascii="Times New Roman" w:eastAsia="Times New Roman" w:hAnsi="Times New Roman" w:cs="Times New Roman"/>
          <w:snapToGrid w:val="0"/>
          <w:position w:val="6"/>
          <w:sz w:val="28"/>
          <w:szCs w:val="28"/>
          <w:vertAlign w:val="superscript"/>
          <w:lang w:val="es-ES" w:eastAsia="es-ES"/>
        </w:rPr>
        <w:footnoteReference w:id="34"/>
      </w:r>
      <w:r w:rsidRPr="006671C3">
        <w:rPr>
          <w:rFonts w:ascii="Times New Roman" w:eastAsia="Times New Roman" w:hAnsi="Times New Roman" w:cs="Times New Roman"/>
          <w:snapToGrid w:val="0"/>
          <w:position w:val="6"/>
          <w:sz w:val="28"/>
          <w:szCs w:val="28"/>
          <w:lang w:val="es-ES" w:eastAsia="es-ES"/>
        </w:rPr>
        <w:t xml:space="preserve"> y el concepto del Ministerio Público, desde la coadyuvancia de la demanda, su oposición a la pretensión de inexequibilidad y las solicitudes de inhibición por ineptitud sustantiva.</w:t>
      </w:r>
      <w:bookmarkStart w:id="21" w:name="_Hlk126819724"/>
      <w:bookmarkStart w:id="22" w:name="_Hlk70576935"/>
      <w:bookmarkEnd w:id="19"/>
    </w:p>
    <w:p w:rsidR="000E6BF6" w:rsidRPr="006671C3" w:rsidRDefault="006671C3" w:rsidP="000E6BF6">
      <w:pPr>
        <w:spacing w:after="0" w:line="240" w:lineRule="auto"/>
        <w:contextualSpacing/>
        <w:jc w:val="both"/>
        <w:rPr>
          <w:rFonts w:ascii="Times New Roman" w:eastAsia="Times New Roman" w:hAnsi="Times New Roman" w:cs="Times New Roman"/>
          <w:snapToGrid w:val="0"/>
          <w:position w:val="6"/>
          <w:sz w:val="28"/>
          <w:szCs w:val="28"/>
          <w:lang w:val="es-ES" w:eastAsia="es-ES"/>
        </w:rPr>
      </w:pPr>
    </w:p>
    <w:tbl>
      <w:tblPr>
        <w:tblStyle w:val="Tablaconcuadrcula"/>
        <w:tblW w:w="5000" w:type="pct"/>
        <w:tblLook w:val="04A0" w:firstRow="1" w:lastRow="0" w:firstColumn="1" w:lastColumn="0" w:noHBand="0" w:noVBand="1"/>
      </w:tblPr>
      <w:tblGrid>
        <w:gridCol w:w="1390"/>
        <w:gridCol w:w="7144"/>
        <w:gridCol w:w="974"/>
      </w:tblGrid>
      <w:tr w:rsidR="000E6BF6" w:rsidRPr="006671C3" w:rsidTr="00D1315E">
        <w:tc>
          <w:tcPr>
            <w:tcW w:w="715" w:type="pct"/>
          </w:tcPr>
          <w:p w:rsidR="000E6BF6" w:rsidRPr="006671C3" w:rsidRDefault="006671C3" w:rsidP="000E6BF6">
            <w:pPr>
              <w:tabs>
                <w:tab w:val="left" w:pos="426"/>
              </w:tabs>
              <w:contextualSpacing/>
              <w:jc w:val="both"/>
              <w:rPr>
                <w:rFonts w:ascii="Times New Roman" w:eastAsia="Times New Roman" w:hAnsi="Times New Roman" w:cs="Times New Roman"/>
                <w:b/>
                <w:snapToGrid w:val="0"/>
                <w:position w:val="6"/>
                <w:sz w:val="28"/>
                <w:lang w:eastAsia="es-ES"/>
              </w:rPr>
            </w:pPr>
            <w:r w:rsidRPr="006671C3">
              <w:rPr>
                <w:rFonts w:ascii="Times New Roman" w:eastAsia="Times New Roman" w:hAnsi="Times New Roman" w:cs="Times New Roman"/>
                <w:b/>
                <w:snapToGrid w:val="0"/>
                <w:position w:val="6"/>
                <w:sz w:val="28"/>
                <w:lang w:eastAsia="es-ES"/>
              </w:rPr>
              <w:t>Participante</w:t>
            </w:r>
          </w:p>
        </w:tc>
        <w:tc>
          <w:tcPr>
            <w:tcW w:w="3786" w:type="pct"/>
          </w:tcPr>
          <w:p w:rsidR="000E6BF6" w:rsidRPr="006671C3" w:rsidRDefault="006671C3" w:rsidP="000E6BF6">
            <w:pPr>
              <w:tabs>
                <w:tab w:val="left" w:pos="426"/>
              </w:tabs>
              <w:contextualSpacing/>
              <w:jc w:val="center"/>
              <w:rPr>
                <w:rFonts w:ascii="Times New Roman" w:eastAsia="Times New Roman" w:hAnsi="Times New Roman" w:cs="Times New Roman"/>
                <w:b/>
                <w:snapToGrid w:val="0"/>
                <w:position w:val="6"/>
                <w:sz w:val="28"/>
                <w:lang w:eastAsia="es-ES"/>
              </w:rPr>
            </w:pPr>
            <w:r w:rsidRPr="006671C3">
              <w:rPr>
                <w:rFonts w:ascii="Times New Roman" w:eastAsia="Times New Roman" w:hAnsi="Times New Roman" w:cs="Times New Roman"/>
                <w:b/>
                <w:snapToGrid w:val="0"/>
                <w:position w:val="6"/>
                <w:sz w:val="28"/>
                <w:lang w:eastAsia="es-ES"/>
              </w:rPr>
              <w:t>Argumento central</w:t>
            </w:r>
          </w:p>
        </w:tc>
        <w:tc>
          <w:tcPr>
            <w:tcW w:w="500" w:type="pct"/>
          </w:tcPr>
          <w:p w:rsidR="000E6BF6" w:rsidRPr="006671C3" w:rsidRDefault="006671C3" w:rsidP="000E6BF6">
            <w:pPr>
              <w:tabs>
                <w:tab w:val="left" w:pos="426"/>
              </w:tabs>
              <w:contextualSpacing/>
              <w:jc w:val="both"/>
              <w:rPr>
                <w:rFonts w:ascii="Times New Roman" w:eastAsia="Times New Roman" w:hAnsi="Times New Roman" w:cs="Times New Roman"/>
                <w:b/>
                <w:snapToGrid w:val="0"/>
                <w:position w:val="6"/>
                <w:sz w:val="28"/>
                <w:lang w:eastAsia="es-ES"/>
              </w:rPr>
            </w:pPr>
            <w:r w:rsidRPr="006671C3">
              <w:rPr>
                <w:rFonts w:ascii="Times New Roman" w:eastAsia="Times New Roman" w:hAnsi="Times New Roman" w:cs="Times New Roman"/>
                <w:b/>
                <w:snapToGrid w:val="0"/>
                <w:position w:val="6"/>
                <w:sz w:val="28"/>
                <w:lang w:eastAsia="es-ES"/>
              </w:rPr>
              <w:t>Petición</w:t>
            </w:r>
          </w:p>
        </w:tc>
      </w:tr>
      <w:tr w:rsidR="000E6BF6" w:rsidRPr="006671C3" w:rsidTr="00D1315E">
        <w:tc>
          <w:tcPr>
            <w:tcW w:w="715" w:type="pct"/>
          </w:tcPr>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bookmarkStart w:id="23" w:name="_Hlk126762944"/>
            <w:bookmarkEnd w:id="21"/>
            <w:r w:rsidRPr="006671C3">
              <w:rPr>
                <w:rFonts w:ascii="Times New Roman" w:eastAsia="Times New Roman" w:hAnsi="Times New Roman" w:cs="Times New Roman"/>
                <w:snapToGrid w:val="0"/>
                <w:position w:val="6"/>
                <w:sz w:val="28"/>
                <w:lang w:eastAsia="es-ES"/>
              </w:rPr>
              <w:t>Ramiro Araujo, Luis López, Catal</w:t>
            </w:r>
            <w:r w:rsidRPr="006671C3">
              <w:rPr>
                <w:rFonts w:ascii="Times New Roman" w:eastAsia="Times New Roman" w:hAnsi="Times New Roman" w:cs="Times New Roman"/>
                <w:snapToGrid w:val="0"/>
                <w:position w:val="6"/>
                <w:sz w:val="28"/>
                <w:lang w:eastAsia="es-ES"/>
              </w:rPr>
              <w:t>ina Quevedo, Marlén Ortiz, Maicol Jiménez, Catalina Neisa, Daniel Chungana, Fernando Herrera, Felipe Hernández, Freddy Ospina y Ofir Suárez</w:t>
            </w:r>
          </w:p>
        </w:tc>
        <w:tc>
          <w:tcPr>
            <w:tcW w:w="3786" w:type="pct"/>
          </w:tcPr>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 xml:space="preserve">Coadyuvan la demanda, desarrollan argumentos adicionales y exponen situaciones particulares. </w:t>
            </w: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w:t>
            </w:r>
            <w:r w:rsidRPr="006671C3">
              <w:rPr>
                <w:rFonts w:ascii="Times New Roman" w:eastAsia="Times New Roman" w:hAnsi="Times New Roman" w:cs="Times New Roman"/>
                <w:i/>
                <w:snapToGrid w:val="0"/>
                <w:position w:val="6"/>
                <w:sz w:val="28"/>
                <w:lang w:eastAsia="es-ES"/>
              </w:rPr>
              <w:t>Primer carg</w:t>
            </w:r>
            <w:r w:rsidRPr="006671C3">
              <w:rPr>
                <w:rFonts w:ascii="Times New Roman" w:eastAsia="Times New Roman" w:hAnsi="Times New Roman" w:cs="Times New Roman"/>
                <w:snapToGrid w:val="0"/>
                <w:position w:val="6"/>
                <w:sz w:val="28"/>
                <w:lang w:eastAsia="es-ES"/>
              </w:rPr>
              <w:t xml:space="preserve">o: el </w:t>
            </w:r>
            <w:r w:rsidRPr="006671C3">
              <w:rPr>
                <w:rFonts w:ascii="Times New Roman" w:eastAsia="Times New Roman" w:hAnsi="Times New Roman" w:cs="Times New Roman"/>
                <w:snapToGrid w:val="0"/>
                <w:position w:val="6"/>
                <w:sz w:val="28"/>
                <w:lang w:eastAsia="es-ES"/>
              </w:rPr>
              <w:t>artículo 7 (medidas cautelares) implica la imposibilidad de operar en los negocios de comercio exterior hasta tanto se resuelvan las mismas. Los artículos 29 (infracciones de los declarantes</w:t>
            </w:r>
            <w:r w:rsidRPr="006671C3">
              <w:rPr>
                <w:rFonts w:ascii="Times New Roman" w:hAnsi="Times New Roman" w:cs="Times New Roman"/>
                <w:sz w:val="28"/>
              </w:rPr>
              <w:t xml:space="preserve"> </w:t>
            </w:r>
            <w:r w:rsidRPr="006671C3">
              <w:rPr>
                <w:rFonts w:ascii="Times New Roman" w:eastAsia="Times New Roman" w:hAnsi="Times New Roman" w:cs="Times New Roman"/>
                <w:snapToGrid w:val="0"/>
                <w:position w:val="6"/>
                <w:sz w:val="28"/>
                <w:lang w:eastAsia="es-ES"/>
              </w:rPr>
              <w:t>en el régimen de importación), 31 (infracciones de los declarante</w:t>
            </w:r>
            <w:r w:rsidRPr="006671C3">
              <w:rPr>
                <w:rFonts w:ascii="Times New Roman" w:eastAsia="Times New Roman" w:hAnsi="Times New Roman" w:cs="Times New Roman"/>
                <w:snapToGrid w:val="0"/>
                <w:position w:val="6"/>
                <w:sz w:val="28"/>
                <w:lang w:eastAsia="es-ES"/>
              </w:rPr>
              <w:t>s en el régimen de exportación), 35 (infracciones de los beneficiarios de PEX) y 48 (infracciones por uso de servicios informáticos electrónicos), al quedar la pena en cabeza del fallador, con base en los criterios del numeral 5 del artículo 22</w:t>
            </w:r>
            <w:r w:rsidRPr="006671C3">
              <w:rPr>
                <w:rFonts w:ascii="Times New Roman" w:eastAsia="Times New Roman" w:hAnsi="Times New Roman" w:cs="Times New Roman"/>
                <w:snapToGrid w:val="0"/>
                <w:position w:val="6"/>
                <w:sz w:val="28"/>
                <w:vertAlign w:val="superscript"/>
                <w:lang w:eastAsia="es-ES"/>
              </w:rPr>
              <w:footnoteReference w:id="35"/>
            </w:r>
            <w:r w:rsidRPr="006671C3">
              <w:rPr>
                <w:rFonts w:ascii="Times New Roman" w:eastAsia="Times New Roman" w:hAnsi="Times New Roman" w:cs="Times New Roman"/>
                <w:snapToGrid w:val="0"/>
                <w:position w:val="6"/>
                <w:sz w:val="28"/>
                <w:lang w:eastAsia="es-ES"/>
              </w:rPr>
              <w:t xml:space="preserve"> del DL 920</w:t>
            </w:r>
            <w:r w:rsidRPr="006671C3">
              <w:rPr>
                <w:rFonts w:ascii="Times New Roman" w:eastAsia="Times New Roman" w:hAnsi="Times New Roman" w:cs="Times New Roman"/>
                <w:snapToGrid w:val="0"/>
                <w:position w:val="6"/>
                <w:sz w:val="28"/>
                <w:lang w:eastAsia="es-ES"/>
              </w:rPr>
              <w:t xml:space="preserve"> de 2023, abre un abanico de interpretaciones que vulnera el principio de legalidad. Citan como fundamento el artículo 3</w:t>
            </w:r>
            <w:r w:rsidRPr="006671C3">
              <w:rPr>
                <w:rFonts w:ascii="Times New Roman" w:eastAsia="Times New Roman" w:hAnsi="Times New Roman" w:cs="Times New Roman"/>
                <w:snapToGrid w:val="0"/>
                <w:position w:val="6"/>
                <w:sz w:val="28"/>
                <w:vertAlign w:val="superscript"/>
                <w:lang w:eastAsia="es-ES"/>
              </w:rPr>
              <w:footnoteReference w:id="36"/>
            </w:r>
            <w:r w:rsidRPr="006671C3">
              <w:rPr>
                <w:rFonts w:ascii="Times New Roman" w:eastAsia="Times New Roman" w:hAnsi="Times New Roman" w:cs="Times New Roman"/>
                <w:snapToGrid w:val="0"/>
                <w:position w:val="6"/>
                <w:sz w:val="28"/>
                <w:lang w:eastAsia="es-ES"/>
              </w:rPr>
              <w:t xml:space="preserve"> del </w:t>
            </w:r>
            <w:r w:rsidRPr="006671C3">
              <w:rPr>
                <w:rFonts w:ascii="Times New Roman" w:eastAsia="Times New Roman" w:hAnsi="Times New Roman" w:cs="Times New Roman"/>
                <w:i/>
                <w:snapToGrid w:val="0"/>
                <w:position w:val="6"/>
                <w:sz w:val="28"/>
                <w:lang w:eastAsia="es-ES"/>
              </w:rPr>
              <w:t>Decreto ejecutivo 1165 de 2019</w:t>
            </w:r>
            <w:r w:rsidRPr="006671C3">
              <w:rPr>
                <w:rFonts w:ascii="Times New Roman" w:eastAsia="Times New Roman" w:hAnsi="Times New Roman" w:cs="Times New Roman"/>
                <w:snapToGrid w:val="0"/>
                <w:position w:val="6"/>
                <w:sz w:val="28"/>
                <w:vertAlign w:val="superscript"/>
                <w:lang w:eastAsia="es-ES"/>
              </w:rPr>
              <w:footnoteReference w:id="37"/>
            </w:r>
            <w:r w:rsidRPr="006671C3">
              <w:rPr>
                <w:rFonts w:ascii="Times New Roman" w:eastAsia="Times New Roman" w:hAnsi="Times New Roman" w:cs="Times New Roman"/>
                <w:snapToGrid w:val="0"/>
                <w:position w:val="6"/>
                <w:sz w:val="28"/>
                <w:lang w:eastAsia="es-ES"/>
              </w:rPr>
              <w:t xml:space="preserve">, señalando que las expresiones de los artículos 7, 9 (procedimiento para medidas cautelares), 29, </w:t>
            </w:r>
            <w:r w:rsidRPr="006671C3">
              <w:rPr>
                <w:rFonts w:ascii="Times New Roman" w:eastAsia="Times New Roman" w:hAnsi="Times New Roman" w:cs="Times New Roman"/>
                <w:snapToGrid w:val="0"/>
                <w:position w:val="6"/>
                <w:sz w:val="28"/>
                <w:lang w:eastAsia="es-ES"/>
              </w:rPr>
              <w:t xml:space="preserve">31, 35 y 48 desconocen los derechos de terceros, la libertad de empresa, el debido proceso y el principio de legalidad. </w:t>
            </w: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w:t>
            </w:r>
            <w:r w:rsidRPr="006671C3">
              <w:rPr>
                <w:rFonts w:ascii="Times New Roman" w:eastAsia="Times New Roman" w:hAnsi="Times New Roman" w:cs="Times New Roman"/>
                <w:i/>
                <w:snapToGrid w:val="0"/>
                <w:position w:val="6"/>
                <w:sz w:val="28"/>
                <w:lang w:eastAsia="es-ES"/>
              </w:rPr>
              <w:t>Segundo cargo</w:t>
            </w:r>
            <w:r w:rsidRPr="006671C3">
              <w:rPr>
                <w:rFonts w:ascii="Times New Roman" w:eastAsia="Times New Roman" w:hAnsi="Times New Roman" w:cs="Times New Roman"/>
                <w:snapToGrid w:val="0"/>
                <w:position w:val="6"/>
                <w:sz w:val="28"/>
                <w:lang w:eastAsia="es-ES"/>
              </w:rPr>
              <w:t>: el artículo 25 (caducidad de la acción sancionatoria) en la práctica conlleva a una pena imprescriptible ya que la sola</w:t>
            </w:r>
            <w:r w:rsidRPr="006671C3">
              <w:rPr>
                <w:rFonts w:ascii="Times New Roman" w:eastAsia="Times New Roman" w:hAnsi="Times New Roman" w:cs="Times New Roman"/>
                <w:snapToGrid w:val="0"/>
                <w:position w:val="6"/>
                <w:sz w:val="28"/>
                <w:lang w:eastAsia="es-ES"/>
              </w:rPr>
              <w:t xml:space="preserve"> afirmación de que no se tuvo conocimiento de la ocurrencia de los hechos u omisiones puede abrir la investigación en cualquier momento.</w:t>
            </w: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i/>
                <w:snapToGrid w:val="0"/>
                <w:position w:val="6"/>
                <w:sz w:val="28"/>
                <w:lang w:eastAsia="es-ES"/>
              </w:rPr>
              <w:t>-Tercer cargo</w:t>
            </w:r>
            <w:r w:rsidRPr="006671C3">
              <w:rPr>
                <w:rFonts w:ascii="Times New Roman" w:eastAsia="Times New Roman" w:hAnsi="Times New Roman" w:cs="Times New Roman"/>
                <w:snapToGrid w:val="0"/>
                <w:position w:val="6"/>
                <w:sz w:val="28"/>
                <w:lang w:eastAsia="es-ES"/>
              </w:rPr>
              <w:t>: el artículo 72 (sanción cuando no es posible aprehender la mercancía) viola el debido proceso al sancion</w:t>
            </w:r>
            <w:r w:rsidRPr="006671C3">
              <w:rPr>
                <w:rFonts w:ascii="Times New Roman" w:eastAsia="Times New Roman" w:hAnsi="Times New Roman" w:cs="Times New Roman"/>
                <w:snapToGrid w:val="0"/>
                <w:position w:val="6"/>
                <w:sz w:val="28"/>
                <w:lang w:eastAsia="es-ES"/>
              </w:rPr>
              <w:t xml:space="preserve">ar por unos hechos y omisiones del resorte del importador, sin que haya apertura de un procedimiento sancionatorio. </w:t>
            </w: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i/>
                <w:snapToGrid w:val="0"/>
                <w:position w:val="6"/>
                <w:sz w:val="28"/>
                <w:lang w:eastAsia="es-ES"/>
              </w:rPr>
              <w:t>-Cuarto cargo</w:t>
            </w:r>
            <w:r w:rsidRPr="006671C3">
              <w:rPr>
                <w:rFonts w:ascii="Times New Roman" w:eastAsia="Times New Roman" w:hAnsi="Times New Roman" w:cs="Times New Roman"/>
                <w:snapToGrid w:val="0"/>
                <w:position w:val="6"/>
                <w:sz w:val="28"/>
                <w:lang w:eastAsia="es-ES"/>
              </w:rPr>
              <w:t>: el artículo 36 (infracciones de las agencias de aduanas), luego de citar el artículo 50</w:t>
            </w:r>
            <w:r w:rsidRPr="006671C3">
              <w:rPr>
                <w:rFonts w:ascii="Times New Roman" w:eastAsia="Times New Roman" w:hAnsi="Times New Roman" w:cs="Times New Roman"/>
                <w:snapToGrid w:val="0"/>
                <w:position w:val="6"/>
                <w:sz w:val="28"/>
                <w:vertAlign w:val="superscript"/>
                <w:lang w:eastAsia="es-ES"/>
              </w:rPr>
              <w:footnoteReference w:id="38"/>
            </w:r>
            <w:r w:rsidRPr="006671C3">
              <w:rPr>
                <w:rFonts w:ascii="Times New Roman" w:eastAsia="Times New Roman" w:hAnsi="Times New Roman" w:cs="Times New Roman"/>
                <w:snapToGrid w:val="0"/>
                <w:position w:val="6"/>
                <w:sz w:val="28"/>
                <w:lang w:eastAsia="es-ES"/>
              </w:rPr>
              <w:t xml:space="preserve"> del Decreto 1165 de 2019, crea una </w:t>
            </w:r>
            <w:r w:rsidRPr="006671C3">
              <w:rPr>
                <w:rFonts w:ascii="Times New Roman" w:eastAsia="Times New Roman" w:hAnsi="Times New Roman" w:cs="Times New Roman"/>
                <w:snapToGrid w:val="0"/>
                <w:position w:val="6"/>
                <w:sz w:val="28"/>
                <w:lang w:eastAsia="es-ES"/>
              </w:rPr>
              <w:t>sanción gravísima para un intermediario, por unos hechos que se predican de un tercero.</w:t>
            </w: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i/>
                <w:snapToGrid w:val="0"/>
                <w:position w:val="6"/>
                <w:sz w:val="28"/>
                <w:lang w:eastAsia="es-ES"/>
              </w:rPr>
              <w:t>-Quinto cargo</w:t>
            </w:r>
            <w:r w:rsidRPr="006671C3">
              <w:rPr>
                <w:rFonts w:ascii="Times New Roman" w:eastAsia="Times New Roman" w:hAnsi="Times New Roman" w:cs="Times New Roman"/>
                <w:snapToGrid w:val="0"/>
                <w:position w:val="6"/>
                <w:sz w:val="28"/>
                <w:lang w:eastAsia="es-ES"/>
              </w:rPr>
              <w:t>: el artículo 69 (causales de aprehensión y decomiso de mercancías) afecta el debido proceso al hacer referencia a circunstancias relacionadas con quien hi</w:t>
            </w:r>
            <w:r w:rsidRPr="006671C3">
              <w:rPr>
                <w:rFonts w:ascii="Times New Roman" w:eastAsia="Times New Roman" w:hAnsi="Times New Roman" w:cs="Times New Roman"/>
                <w:snapToGrid w:val="0"/>
                <w:position w:val="6"/>
                <w:sz w:val="28"/>
                <w:lang w:eastAsia="es-ES"/>
              </w:rPr>
              <w:t>zo la importación que no tienen relación con la legalidad de ésta, sin que se justifique la pérdida del derecho a la propiedad.</w:t>
            </w: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-Se exponen varias situaciones de cierre de empresas en los años 2019 y 2020 que generaron pérdida de empleos.</w:t>
            </w:r>
          </w:p>
        </w:tc>
        <w:tc>
          <w:tcPr>
            <w:tcW w:w="500" w:type="pct"/>
          </w:tcPr>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Inexeq.</w:t>
            </w:r>
          </w:p>
        </w:tc>
      </w:tr>
      <w:tr w:rsidR="000E6BF6" w:rsidRPr="006671C3" w:rsidTr="00D1315E">
        <w:trPr>
          <w:trHeight w:val="532"/>
        </w:trPr>
        <w:tc>
          <w:tcPr>
            <w:tcW w:w="715" w:type="pct"/>
          </w:tcPr>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Cámara d</w:t>
            </w:r>
            <w:r w:rsidRPr="006671C3">
              <w:rPr>
                <w:rFonts w:ascii="Times New Roman" w:eastAsia="Times New Roman" w:hAnsi="Times New Roman" w:cs="Times New Roman"/>
                <w:snapToGrid w:val="0"/>
                <w:position w:val="6"/>
                <w:sz w:val="28"/>
                <w:lang w:eastAsia="es-ES"/>
              </w:rPr>
              <w:t>e Comercio Colombo Americana -AMCHAM COLOMBIA y Federación Colombiana de Agentes Logísticos en Comercio Internacional -FITAC</w:t>
            </w:r>
          </w:p>
        </w:tc>
        <w:tc>
          <w:tcPr>
            <w:tcW w:w="3786" w:type="pct"/>
          </w:tcPr>
          <w:p w:rsidR="000E6BF6" w:rsidRPr="006671C3" w:rsidRDefault="006671C3" w:rsidP="000E6BF6">
            <w:pPr>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w:t>
            </w:r>
            <w:r w:rsidRPr="006671C3">
              <w:rPr>
                <w:rFonts w:ascii="Times New Roman" w:eastAsia="Times New Roman" w:hAnsi="Times New Roman" w:cs="Times New Roman"/>
                <w:i/>
                <w:snapToGrid w:val="0"/>
                <w:position w:val="6"/>
                <w:sz w:val="28"/>
                <w:lang w:eastAsia="es-ES"/>
              </w:rPr>
              <w:t>Primer cargo</w:t>
            </w:r>
            <w:r w:rsidRPr="006671C3">
              <w:rPr>
                <w:rFonts w:ascii="Times New Roman" w:eastAsia="Times New Roman" w:hAnsi="Times New Roman" w:cs="Times New Roman"/>
                <w:snapToGrid w:val="0"/>
                <w:position w:val="6"/>
                <w:sz w:val="28"/>
                <w:lang w:eastAsia="es-ES"/>
              </w:rPr>
              <w:t>: el artículo 7 (medidas cautelares) viola el principio de proporcionalidad entre la falta y la sanción (cita el Decre</w:t>
            </w:r>
            <w:r w:rsidRPr="006671C3">
              <w:rPr>
                <w:rFonts w:ascii="Times New Roman" w:eastAsia="Times New Roman" w:hAnsi="Times New Roman" w:cs="Times New Roman"/>
                <w:snapToGrid w:val="0"/>
                <w:position w:val="6"/>
                <w:sz w:val="28"/>
                <w:lang w:eastAsia="es-ES"/>
              </w:rPr>
              <w:t>to 1165 de 2019). La medida permite la suspensión de la calidad en el Registro Único Tributario (RUT) y la desconexión del servicio informático electrónico, con las consecuencias del daño reputacional y sin la capacidad de reacción con los contratos suscri</w:t>
            </w:r>
            <w:r w:rsidRPr="006671C3">
              <w:rPr>
                <w:rFonts w:ascii="Times New Roman" w:eastAsia="Times New Roman" w:hAnsi="Times New Roman" w:cs="Times New Roman"/>
                <w:snapToGrid w:val="0"/>
                <w:position w:val="6"/>
                <w:sz w:val="28"/>
                <w:lang w:eastAsia="es-ES"/>
              </w:rPr>
              <w:t>tos con los clientes. Se está ante una sanción anticipada sumaria, donde el administrado no se le permite defenderse.</w:t>
            </w:r>
          </w:p>
          <w:p w:rsidR="000E6BF6" w:rsidRPr="006671C3" w:rsidRDefault="006671C3" w:rsidP="000E6BF6">
            <w:pPr>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i/>
                <w:snapToGrid w:val="0"/>
                <w:position w:val="6"/>
                <w:sz w:val="28"/>
                <w:lang w:eastAsia="es-ES"/>
              </w:rPr>
              <w:t>-Segundo cargo</w:t>
            </w:r>
            <w:r w:rsidRPr="006671C3">
              <w:rPr>
                <w:rFonts w:ascii="Times New Roman" w:eastAsia="Times New Roman" w:hAnsi="Times New Roman" w:cs="Times New Roman"/>
                <w:snapToGrid w:val="0"/>
                <w:position w:val="6"/>
                <w:sz w:val="28"/>
                <w:lang w:eastAsia="es-ES"/>
              </w:rPr>
              <w:t>: el artículo 25 (caducidad de la acción sancionatoria) quebranta el debido proceso y la seguridad jurídica al no proporcion</w:t>
            </w:r>
            <w:r w:rsidRPr="006671C3">
              <w:rPr>
                <w:rFonts w:ascii="Times New Roman" w:eastAsia="Times New Roman" w:hAnsi="Times New Roman" w:cs="Times New Roman"/>
                <w:snapToGrid w:val="0"/>
                <w:position w:val="6"/>
                <w:sz w:val="28"/>
                <w:lang w:eastAsia="es-ES"/>
              </w:rPr>
              <w:t xml:space="preserve">ar a los usuarios aduaneros de certeza y omitir un término preciso para el inicio de las investigaciones (menciona el Decreto 1165 de 2019). </w:t>
            </w:r>
          </w:p>
          <w:p w:rsidR="000E6BF6" w:rsidRPr="006671C3" w:rsidRDefault="006671C3" w:rsidP="000E6BF6">
            <w:pPr>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i/>
                <w:snapToGrid w:val="0"/>
                <w:position w:val="6"/>
                <w:sz w:val="28"/>
                <w:lang w:eastAsia="es-ES"/>
              </w:rPr>
              <w:t>-Tercer cargo</w:t>
            </w:r>
            <w:r w:rsidRPr="006671C3">
              <w:rPr>
                <w:rFonts w:ascii="Times New Roman" w:eastAsia="Times New Roman" w:hAnsi="Times New Roman" w:cs="Times New Roman"/>
                <w:snapToGrid w:val="0"/>
                <w:position w:val="6"/>
                <w:sz w:val="28"/>
                <w:lang w:eastAsia="es-ES"/>
              </w:rPr>
              <w:t>: el artículo 72 (sanción cuando no es posible aprehender la mercancía) desconoce los principios de r</w:t>
            </w:r>
            <w:r w:rsidRPr="006671C3">
              <w:rPr>
                <w:rFonts w:ascii="Times New Roman" w:eastAsia="Times New Roman" w:hAnsi="Times New Roman" w:cs="Times New Roman"/>
                <w:snapToGrid w:val="0"/>
                <w:position w:val="6"/>
                <w:sz w:val="28"/>
                <w:lang w:eastAsia="es-ES"/>
              </w:rPr>
              <w:t>esponsabilidad personal y presunción de inocencia, porque la autoridad aduanera no puede sancionar a otras personas jurídicas que si bien participaron en la cadena de abastecimiento lo hicieron bajo una calidad diferente, sancionando a cualquiera que hubie</w:t>
            </w:r>
            <w:r w:rsidRPr="006671C3">
              <w:rPr>
                <w:rFonts w:ascii="Times New Roman" w:eastAsia="Times New Roman" w:hAnsi="Times New Roman" w:cs="Times New Roman"/>
                <w:snapToGrid w:val="0"/>
                <w:position w:val="6"/>
                <w:sz w:val="28"/>
                <w:lang w:eastAsia="es-ES"/>
              </w:rPr>
              <w:t>re participado en la cadena logística.</w:t>
            </w:r>
          </w:p>
        </w:tc>
        <w:tc>
          <w:tcPr>
            <w:tcW w:w="500" w:type="pct"/>
          </w:tcPr>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Inexeq.</w:t>
            </w:r>
          </w:p>
        </w:tc>
      </w:tr>
      <w:tr w:rsidR="000E6BF6" w:rsidRPr="006671C3" w:rsidTr="00D1315E">
        <w:tc>
          <w:tcPr>
            <w:tcW w:w="715" w:type="pct"/>
          </w:tcPr>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Asociación Nacional de Comercio Exterior -ANALDEX</w:t>
            </w:r>
          </w:p>
        </w:tc>
        <w:tc>
          <w:tcPr>
            <w:tcW w:w="3786" w:type="pct"/>
          </w:tcPr>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w:t>
            </w:r>
            <w:r w:rsidRPr="006671C3">
              <w:rPr>
                <w:rFonts w:ascii="Times New Roman" w:eastAsia="Times New Roman" w:hAnsi="Times New Roman" w:cs="Times New Roman"/>
                <w:i/>
                <w:snapToGrid w:val="0"/>
                <w:position w:val="6"/>
                <w:sz w:val="28"/>
                <w:lang w:eastAsia="es-ES"/>
              </w:rPr>
              <w:t>Primer cargo</w:t>
            </w:r>
            <w:r w:rsidRPr="006671C3">
              <w:rPr>
                <w:rFonts w:ascii="Times New Roman" w:eastAsia="Times New Roman" w:hAnsi="Times New Roman" w:cs="Times New Roman"/>
                <w:snapToGrid w:val="0"/>
                <w:position w:val="6"/>
                <w:sz w:val="28"/>
                <w:lang w:eastAsia="es-ES"/>
              </w:rPr>
              <w:t xml:space="preserve">: el artículo 7 (medidas cautelares) implica una restricción total al ejercicio de las actividades del usuario, operando como una infracción </w:t>
            </w:r>
            <w:r w:rsidRPr="006671C3">
              <w:rPr>
                <w:rFonts w:ascii="Times New Roman" w:eastAsia="Times New Roman" w:hAnsi="Times New Roman" w:cs="Times New Roman"/>
                <w:snapToGrid w:val="0"/>
                <w:position w:val="6"/>
                <w:sz w:val="28"/>
                <w:lang w:eastAsia="es-ES"/>
              </w:rPr>
              <w:t>anticipada sin mediar una declaratoria de responsabilidad, además de impedir generar ingresos y cumplir con las obligaciones financieras. La suspensión como sanción (29, 31, 35 y 48) infringe los fines de prevención y corrección de la pena, pues es posible</w:t>
            </w:r>
            <w:r w:rsidRPr="006671C3">
              <w:rPr>
                <w:rFonts w:ascii="Times New Roman" w:eastAsia="Times New Roman" w:hAnsi="Times New Roman" w:cs="Times New Roman"/>
                <w:snapToGrid w:val="0"/>
                <w:position w:val="6"/>
                <w:sz w:val="28"/>
                <w:lang w:eastAsia="es-ES"/>
              </w:rPr>
              <w:t xml:space="preserve"> que la empresa deje de existir a causa de la misma suspensión, no permitiendo generar los ingresos necesarios.</w:t>
            </w: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w:t>
            </w:r>
            <w:r w:rsidRPr="006671C3">
              <w:rPr>
                <w:rFonts w:ascii="Times New Roman" w:eastAsia="Times New Roman" w:hAnsi="Times New Roman" w:cs="Times New Roman"/>
                <w:i/>
                <w:snapToGrid w:val="0"/>
                <w:position w:val="6"/>
                <w:sz w:val="28"/>
                <w:lang w:eastAsia="es-ES"/>
              </w:rPr>
              <w:t>Segundo cargo</w:t>
            </w:r>
            <w:r w:rsidRPr="006671C3">
              <w:rPr>
                <w:rFonts w:ascii="Times New Roman" w:eastAsia="Times New Roman" w:hAnsi="Times New Roman" w:cs="Times New Roman"/>
                <w:snapToGrid w:val="0"/>
                <w:position w:val="6"/>
                <w:sz w:val="28"/>
                <w:lang w:eastAsia="es-ES"/>
              </w:rPr>
              <w:t>: el artículo 25 (caducidad de la acción sancionatoria) afecta la seguridad jurídica porque en cualquier momento la autoridad podr</w:t>
            </w:r>
            <w:r w:rsidRPr="006671C3">
              <w:rPr>
                <w:rFonts w:ascii="Times New Roman" w:eastAsia="Times New Roman" w:hAnsi="Times New Roman" w:cs="Times New Roman"/>
                <w:snapToGrid w:val="0"/>
                <w:position w:val="6"/>
                <w:sz w:val="28"/>
                <w:lang w:eastAsia="es-ES"/>
              </w:rPr>
              <w:t>á ejercer la potestad sancionatoria bajo el argumento del conocimiento imprevisto.</w:t>
            </w: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w:t>
            </w:r>
            <w:r w:rsidRPr="006671C3">
              <w:rPr>
                <w:rFonts w:ascii="Times New Roman" w:eastAsia="Times New Roman" w:hAnsi="Times New Roman" w:cs="Times New Roman"/>
                <w:i/>
                <w:snapToGrid w:val="0"/>
                <w:position w:val="6"/>
                <w:sz w:val="28"/>
                <w:lang w:eastAsia="es-ES"/>
              </w:rPr>
              <w:t>Tercer cargo</w:t>
            </w:r>
            <w:r w:rsidRPr="006671C3">
              <w:rPr>
                <w:rFonts w:ascii="Times New Roman" w:eastAsia="Times New Roman" w:hAnsi="Times New Roman" w:cs="Times New Roman"/>
                <w:snapToGrid w:val="0"/>
                <w:position w:val="6"/>
                <w:sz w:val="28"/>
                <w:lang w:eastAsia="es-ES"/>
              </w:rPr>
              <w:t>:</w:t>
            </w:r>
            <w:r w:rsidRPr="006671C3">
              <w:rPr>
                <w:rFonts w:ascii="Times New Roman" w:hAnsi="Times New Roman" w:cs="Times New Roman"/>
                <w:sz w:val="28"/>
              </w:rPr>
              <w:t xml:space="preserve"> </w:t>
            </w:r>
            <w:r w:rsidRPr="006671C3">
              <w:rPr>
                <w:rFonts w:ascii="Times New Roman" w:eastAsia="Times New Roman" w:hAnsi="Times New Roman" w:cs="Times New Roman"/>
                <w:snapToGrid w:val="0"/>
                <w:position w:val="6"/>
                <w:sz w:val="28"/>
                <w:lang w:eastAsia="es-ES"/>
              </w:rPr>
              <w:t xml:space="preserve">el artículo 72 (sanción cuando no es posible aprehender la mercancía) vulnera el principio de proporcionalidad al sancionar por las acciones de otros y crear </w:t>
            </w:r>
            <w:r w:rsidRPr="006671C3">
              <w:rPr>
                <w:rFonts w:ascii="Times New Roman" w:eastAsia="Times New Roman" w:hAnsi="Times New Roman" w:cs="Times New Roman"/>
                <w:snapToGrid w:val="0"/>
                <w:position w:val="6"/>
                <w:sz w:val="28"/>
                <w:lang w:eastAsia="es-ES"/>
              </w:rPr>
              <w:t>incertidumbre sobre las responsabilidades en las operaciones financieras (alude al art. 11</w:t>
            </w:r>
            <w:r w:rsidRPr="006671C3">
              <w:rPr>
                <w:rFonts w:ascii="Times New Roman" w:eastAsia="Times New Roman" w:hAnsi="Times New Roman" w:cs="Times New Roman"/>
                <w:snapToGrid w:val="0"/>
                <w:position w:val="6"/>
                <w:sz w:val="28"/>
                <w:vertAlign w:val="superscript"/>
                <w:lang w:eastAsia="es-ES"/>
              </w:rPr>
              <w:footnoteReference w:id="39"/>
            </w:r>
            <w:r w:rsidRPr="006671C3">
              <w:rPr>
                <w:rFonts w:ascii="Times New Roman" w:eastAsia="Times New Roman" w:hAnsi="Times New Roman" w:cs="Times New Roman"/>
                <w:snapToGrid w:val="0"/>
                <w:position w:val="6"/>
                <w:sz w:val="28"/>
                <w:lang w:eastAsia="es-ES"/>
              </w:rPr>
              <w:t xml:space="preserve"> del Decreto 1165 de 2019).</w:t>
            </w: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w:t>
            </w:r>
            <w:r w:rsidRPr="006671C3">
              <w:rPr>
                <w:rFonts w:ascii="Times New Roman" w:eastAsia="Times New Roman" w:hAnsi="Times New Roman" w:cs="Times New Roman"/>
                <w:i/>
                <w:snapToGrid w:val="0"/>
                <w:position w:val="6"/>
                <w:sz w:val="28"/>
                <w:lang w:eastAsia="es-ES"/>
              </w:rPr>
              <w:t>Cuarto cargo</w:t>
            </w:r>
            <w:r w:rsidRPr="006671C3">
              <w:rPr>
                <w:rFonts w:ascii="Times New Roman" w:eastAsia="Times New Roman" w:hAnsi="Times New Roman" w:cs="Times New Roman"/>
                <w:snapToGrid w:val="0"/>
                <w:position w:val="6"/>
                <w:sz w:val="28"/>
                <w:lang w:eastAsia="es-ES"/>
              </w:rPr>
              <w:t xml:space="preserve">: el artículo 36 (infracciones de las agencias de aduanas), impone sanciones a quienes no son responsables de las actuaciones que se le imputan, ocasionando un impacto negativo en las operaciones. </w:t>
            </w: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w:t>
            </w:r>
            <w:r w:rsidRPr="006671C3">
              <w:rPr>
                <w:rFonts w:ascii="Times New Roman" w:eastAsia="Times New Roman" w:hAnsi="Times New Roman" w:cs="Times New Roman"/>
                <w:i/>
                <w:snapToGrid w:val="0"/>
                <w:position w:val="6"/>
                <w:sz w:val="28"/>
                <w:lang w:eastAsia="es-ES"/>
              </w:rPr>
              <w:t>Quinto cargo</w:t>
            </w:r>
            <w:r w:rsidRPr="006671C3">
              <w:rPr>
                <w:rFonts w:ascii="Times New Roman" w:eastAsia="Times New Roman" w:hAnsi="Times New Roman" w:cs="Times New Roman"/>
                <w:snapToGrid w:val="0"/>
                <w:position w:val="6"/>
                <w:sz w:val="28"/>
                <w:lang w:eastAsia="es-ES"/>
              </w:rPr>
              <w:t>: el artículo 69 (causales de aprehensión y d</w:t>
            </w:r>
            <w:r w:rsidRPr="006671C3">
              <w:rPr>
                <w:rFonts w:ascii="Times New Roman" w:eastAsia="Times New Roman" w:hAnsi="Times New Roman" w:cs="Times New Roman"/>
                <w:snapToGrid w:val="0"/>
                <w:position w:val="6"/>
                <w:sz w:val="28"/>
                <w:lang w:eastAsia="es-ES"/>
              </w:rPr>
              <w:t>ecomiso de mercancías) desconoce la realidad y propósito de las medidas cautelares (principios de proporcionalidad y legalidad) al extender las definiciones previstas en el Decreto 1165 de 2019, como la importación. La retención afecta los derechos adquiri</w:t>
            </w:r>
            <w:r w:rsidRPr="006671C3">
              <w:rPr>
                <w:rFonts w:ascii="Times New Roman" w:eastAsia="Times New Roman" w:hAnsi="Times New Roman" w:cs="Times New Roman"/>
                <w:snapToGrid w:val="0"/>
                <w:position w:val="6"/>
                <w:sz w:val="28"/>
                <w:lang w:eastAsia="es-ES"/>
              </w:rPr>
              <w:t xml:space="preserve">dos como la libre disposición de la mercancía y hace incurrir en gastos adicionales. </w:t>
            </w:r>
          </w:p>
        </w:tc>
        <w:tc>
          <w:tcPr>
            <w:tcW w:w="500" w:type="pct"/>
          </w:tcPr>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Inexeq.</w:t>
            </w:r>
          </w:p>
        </w:tc>
      </w:tr>
      <w:tr w:rsidR="000E6BF6" w:rsidRPr="006671C3" w:rsidTr="00D1315E">
        <w:tc>
          <w:tcPr>
            <w:tcW w:w="715" w:type="pct"/>
          </w:tcPr>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Instituto Colombiano de Derecho Tributario y Aduanero -ICDT</w:t>
            </w:r>
          </w:p>
        </w:tc>
        <w:tc>
          <w:tcPr>
            <w:tcW w:w="3786" w:type="pct"/>
          </w:tcPr>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w:t>
            </w:r>
            <w:r w:rsidRPr="006671C3">
              <w:rPr>
                <w:rFonts w:ascii="Times New Roman" w:eastAsia="Times New Roman" w:hAnsi="Times New Roman" w:cs="Times New Roman"/>
                <w:i/>
                <w:snapToGrid w:val="0"/>
                <w:position w:val="6"/>
                <w:sz w:val="28"/>
                <w:lang w:eastAsia="es-ES"/>
              </w:rPr>
              <w:t>Primer cargo</w:t>
            </w:r>
            <w:r w:rsidRPr="006671C3">
              <w:rPr>
                <w:rFonts w:ascii="Times New Roman" w:eastAsia="Times New Roman" w:hAnsi="Times New Roman" w:cs="Times New Roman"/>
                <w:snapToGrid w:val="0"/>
                <w:position w:val="6"/>
                <w:sz w:val="28"/>
                <w:lang w:eastAsia="es-ES"/>
              </w:rPr>
              <w:t>: los apartes de los artículos 7, 9, 29, 31, 35 y 48 son contrarios al principio de prop</w:t>
            </w:r>
            <w:r w:rsidRPr="006671C3">
              <w:rPr>
                <w:rFonts w:ascii="Times New Roman" w:eastAsia="Times New Roman" w:hAnsi="Times New Roman" w:cs="Times New Roman"/>
                <w:snapToGrid w:val="0"/>
                <w:position w:val="6"/>
                <w:sz w:val="28"/>
                <w:lang w:eastAsia="es-ES"/>
              </w:rPr>
              <w:t>orcionalidad que debe existir entre la falta y la sanción (hasta por 3 meses) al resultar excesivas ya que no existe un criterio mínimo y máximo para su determinación, además que las medidas cautelares (art. 7) suponen una sanción anticipada y sin permitir</w:t>
            </w:r>
            <w:r w:rsidRPr="006671C3">
              <w:rPr>
                <w:rFonts w:ascii="Times New Roman" w:eastAsia="Times New Roman" w:hAnsi="Times New Roman" w:cs="Times New Roman"/>
                <w:snapToGrid w:val="0"/>
                <w:position w:val="6"/>
                <w:sz w:val="28"/>
                <w:lang w:eastAsia="es-ES"/>
              </w:rPr>
              <w:t xml:space="preserve"> la defensa. Los artículos 29 (infracciones de los declarantes en el régimen de importación), 31 (infracciones de los declarantes en el régimen de exportación), 35 (infracciones de los beneficiarios de PEX) y 48 (infracciones por uso de servicios informáti</w:t>
            </w:r>
            <w:r w:rsidRPr="006671C3">
              <w:rPr>
                <w:rFonts w:ascii="Times New Roman" w:eastAsia="Times New Roman" w:hAnsi="Times New Roman" w:cs="Times New Roman"/>
                <w:snapToGrid w:val="0"/>
                <w:position w:val="6"/>
                <w:sz w:val="28"/>
                <w:lang w:eastAsia="es-ES"/>
              </w:rPr>
              <w:t xml:space="preserve">cos electrónicos), establecen una discrecionalidad de la autoridad administrativa para determinar la graduación de la falta cometida sin la existencia de criterios objetivos que orienten frente a la medida a adjudicar, lo cual transgrede los principios de </w:t>
            </w:r>
            <w:r w:rsidRPr="006671C3">
              <w:rPr>
                <w:rFonts w:ascii="Times New Roman" w:eastAsia="Times New Roman" w:hAnsi="Times New Roman" w:cs="Times New Roman"/>
                <w:snapToGrid w:val="0"/>
                <w:position w:val="6"/>
                <w:sz w:val="28"/>
                <w:lang w:eastAsia="es-ES"/>
              </w:rPr>
              <w:t>tipicidad y legalidad.</w:t>
            </w: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w:t>
            </w:r>
            <w:r w:rsidRPr="006671C3">
              <w:rPr>
                <w:rFonts w:ascii="Times New Roman" w:eastAsia="Times New Roman" w:hAnsi="Times New Roman" w:cs="Times New Roman"/>
                <w:i/>
                <w:snapToGrid w:val="0"/>
                <w:position w:val="6"/>
                <w:sz w:val="28"/>
                <w:lang w:eastAsia="es-ES"/>
              </w:rPr>
              <w:t>Segundo cargo</w:t>
            </w:r>
            <w:r w:rsidRPr="006671C3">
              <w:rPr>
                <w:rFonts w:ascii="Times New Roman" w:eastAsia="Times New Roman" w:hAnsi="Times New Roman" w:cs="Times New Roman"/>
                <w:snapToGrid w:val="0"/>
                <w:position w:val="6"/>
                <w:sz w:val="28"/>
                <w:lang w:eastAsia="es-ES"/>
              </w:rPr>
              <w:t xml:space="preserve">: el artículo 25 (caducidad de la acción sancionatoria) vulnera el principio de tipicidad dado que el plazo establecido no es preciso ni claro, lo cual puede generar abusos y la prolongación de procesos sancionatorios. </w:t>
            </w: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w:t>
            </w:r>
            <w:r w:rsidRPr="006671C3">
              <w:rPr>
                <w:rFonts w:ascii="Times New Roman" w:eastAsia="Times New Roman" w:hAnsi="Times New Roman" w:cs="Times New Roman"/>
                <w:i/>
                <w:snapToGrid w:val="0"/>
                <w:position w:val="6"/>
                <w:sz w:val="28"/>
                <w:lang w:eastAsia="es-ES"/>
              </w:rPr>
              <w:t>Tercer cargo</w:t>
            </w:r>
            <w:r w:rsidRPr="006671C3">
              <w:rPr>
                <w:rFonts w:ascii="Times New Roman" w:eastAsia="Times New Roman" w:hAnsi="Times New Roman" w:cs="Times New Roman"/>
                <w:snapToGrid w:val="0"/>
                <w:position w:val="6"/>
                <w:sz w:val="28"/>
                <w:lang w:eastAsia="es-ES"/>
              </w:rPr>
              <w:t>: sobre el artículo 72 (sanción cuando no es posible aprehender la mercancía) instituye una sanción por extensión a los participantes en la cadena de comercialización, cuando estos se deben desarrollar dentro del principio de la buena fe.</w:t>
            </w: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w:t>
            </w:r>
            <w:r w:rsidRPr="006671C3">
              <w:rPr>
                <w:rFonts w:ascii="Times New Roman" w:eastAsia="Times New Roman" w:hAnsi="Times New Roman" w:cs="Times New Roman"/>
                <w:i/>
                <w:snapToGrid w:val="0"/>
                <w:position w:val="6"/>
                <w:sz w:val="28"/>
                <w:lang w:eastAsia="es-ES"/>
              </w:rPr>
              <w:t>Cu</w:t>
            </w:r>
            <w:r w:rsidRPr="006671C3">
              <w:rPr>
                <w:rFonts w:ascii="Times New Roman" w:eastAsia="Times New Roman" w:hAnsi="Times New Roman" w:cs="Times New Roman"/>
                <w:i/>
                <w:snapToGrid w:val="0"/>
                <w:position w:val="6"/>
                <w:sz w:val="28"/>
                <w:lang w:eastAsia="es-ES"/>
              </w:rPr>
              <w:t>arto cargo</w:t>
            </w:r>
            <w:r w:rsidRPr="006671C3">
              <w:rPr>
                <w:rFonts w:ascii="Times New Roman" w:eastAsia="Times New Roman" w:hAnsi="Times New Roman" w:cs="Times New Roman"/>
                <w:snapToGrid w:val="0"/>
                <w:position w:val="6"/>
                <w:sz w:val="28"/>
                <w:lang w:eastAsia="es-ES"/>
              </w:rPr>
              <w:t>: el artículo 36 (infracciones de las agencias de aduanas) quebranta los principios de legalidad y responsabilidad personal toda vez que a los obligados aduaneros no se les puede exigir más de lo que la misma ley pretende, no siendo factible adsc</w:t>
            </w:r>
            <w:r w:rsidRPr="006671C3">
              <w:rPr>
                <w:rFonts w:ascii="Times New Roman" w:eastAsia="Times New Roman" w:hAnsi="Times New Roman" w:cs="Times New Roman"/>
                <w:snapToGrid w:val="0"/>
                <w:position w:val="6"/>
                <w:sz w:val="28"/>
                <w:lang w:eastAsia="es-ES"/>
              </w:rPr>
              <w:t>ribir sanciones por conductas que exceden el ámbito razonable de los deberes y funciones de los destinatarios.</w:t>
            </w: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w:t>
            </w:r>
            <w:r w:rsidRPr="006671C3">
              <w:rPr>
                <w:rFonts w:ascii="Times New Roman" w:eastAsia="Times New Roman" w:hAnsi="Times New Roman" w:cs="Times New Roman"/>
                <w:i/>
                <w:snapToGrid w:val="0"/>
                <w:position w:val="6"/>
                <w:sz w:val="28"/>
                <w:lang w:eastAsia="es-ES"/>
              </w:rPr>
              <w:t>Quinto cargo</w:t>
            </w:r>
            <w:r w:rsidRPr="006671C3">
              <w:rPr>
                <w:rFonts w:ascii="Times New Roman" w:eastAsia="Times New Roman" w:hAnsi="Times New Roman" w:cs="Times New Roman"/>
                <w:snapToGrid w:val="0"/>
                <w:position w:val="6"/>
                <w:sz w:val="28"/>
                <w:lang w:eastAsia="es-ES"/>
              </w:rPr>
              <w:t>: el artículo 69 (causales de aprehensión y decomiso de mercancías) desconoce el debido proceso dado que las sanciones y los trámite</w:t>
            </w:r>
            <w:r w:rsidRPr="006671C3">
              <w:rPr>
                <w:rFonts w:ascii="Times New Roman" w:eastAsia="Times New Roman" w:hAnsi="Times New Roman" w:cs="Times New Roman"/>
                <w:snapToGrid w:val="0"/>
                <w:position w:val="6"/>
                <w:sz w:val="28"/>
                <w:lang w:eastAsia="es-ES"/>
              </w:rPr>
              <w:t xml:space="preserve">s a seguir deben contar con un criterio objetivo para determinar la graduación de la responsabilidad de los administrados. </w:t>
            </w:r>
          </w:p>
        </w:tc>
        <w:tc>
          <w:tcPr>
            <w:tcW w:w="500" w:type="pct"/>
          </w:tcPr>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Inexeq.</w:t>
            </w:r>
          </w:p>
        </w:tc>
      </w:tr>
      <w:tr w:rsidR="000E6BF6" w:rsidRPr="006671C3" w:rsidTr="00D1315E">
        <w:tc>
          <w:tcPr>
            <w:tcW w:w="715" w:type="pct"/>
          </w:tcPr>
          <w:p w:rsidR="000E6BF6" w:rsidRPr="006671C3" w:rsidRDefault="006671C3" w:rsidP="000E6BF6">
            <w:pPr>
              <w:jc w:val="both"/>
              <w:rPr>
                <w:rFonts w:ascii="Times New Roman" w:hAnsi="Times New Roman" w:cs="Times New Roman"/>
                <w:sz w:val="28"/>
              </w:rPr>
            </w:pPr>
            <w:r w:rsidRPr="006671C3">
              <w:rPr>
                <w:rFonts w:ascii="Times New Roman" w:hAnsi="Times New Roman" w:cs="Times New Roman"/>
                <w:sz w:val="28"/>
              </w:rPr>
              <w:t>Universidad Externado de Colombia</w:t>
            </w:r>
          </w:p>
        </w:tc>
        <w:tc>
          <w:tcPr>
            <w:tcW w:w="3786" w:type="pct"/>
          </w:tcPr>
          <w:p w:rsidR="000E6BF6" w:rsidRPr="006671C3" w:rsidRDefault="006671C3" w:rsidP="000E6BF6">
            <w:pPr>
              <w:jc w:val="both"/>
              <w:rPr>
                <w:rFonts w:ascii="Times New Roman" w:hAnsi="Times New Roman" w:cs="Times New Roman"/>
                <w:sz w:val="28"/>
              </w:rPr>
            </w:pPr>
            <w:r w:rsidRPr="006671C3">
              <w:rPr>
                <w:rFonts w:ascii="Times New Roman" w:hAnsi="Times New Roman" w:cs="Times New Roman"/>
                <w:i/>
                <w:sz w:val="28"/>
              </w:rPr>
              <w:t>-Segundo cargo</w:t>
            </w:r>
            <w:r w:rsidRPr="006671C3">
              <w:rPr>
                <w:rFonts w:ascii="Times New Roman" w:hAnsi="Times New Roman" w:cs="Times New Roman"/>
                <w:sz w:val="28"/>
              </w:rPr>
              <w:t>: el artículo 25 (caducidad de la acción sancionatoria) puede resultar lesi</w:t>
            </w:r>
            <w:r w:rsidRPr="006671C3">
              <w:rPr>
                <w:rFonts w:ascii="Times New Roman" w:hAnsi="Times New Roman" w:cs="Times New Roman"/>
                <w:sz w:val="28"/>
              </w:rPr>
              <w:t>vo del debido proceso y la seguridad jurídica al establecer un término adicional condicionado no al paso del tiempo sino al conocimiento potestativo de la administración.</w:t>
            </w:r>
          </w:p>
          <w:p w:rsidR="000E6BF6" w:rsidRPr="006671C3" w:rsidRDefault="006671C3" w:rsidP="000E6BF6">
            <w:pPr>
              <w:jc w:val="both"/>
              <w:rPr>
                <w:rFonts w:ascii="Times New Roman" w:hAnsi="Times New Roman" w:cs="Times New Roman"/>
                <w:sz w:val="28"/>
              </w:rPr>
            </w:pPr>
            <w:r w:rsidRPr="006671C3">
              <w:rPr>
                <w:rFonts w:ascii="Times New Roman" w:hAnsi="Times New Roman" w:cs="Times New Roman"/>
                <w:sz w:val="28"/>
              </w:rPr>
              <w:t>-</w:t>
            </w:r>
            <w:r w:rsidRPr="006671C3">
              <w:rPr>
                <w:rFonts w:ascii="Times New Roman" w:hAnsi="Times New Roman" w:cs="Times New Roman"/>
                <w:i/>
                <w:sz w:val="28"/>
              </w:rPr>
              <w:t>Tercer cargo</w:t>
            </w:r>
            <w:r w:rsidRPr="006671C3">
              <w:rPr>
                <w:rFonts w:ascii="Times New Roman" w:hAnsi="Times New Roman" w:cs="Times New Roman"/>
                <w:sz w:val="28"/>
              </w:rPr>
              <w:t xml:space="preserve">: el artículo 72 (sanción cuando no es posible aprehender la mercancía) </w:t>
            </w:r>
            <w:r w:rsidRPr="006671C3">
              <w:rPr>
                <w:rFonts w:ascii="Times New Roman" w:hAnsi="Times New Roman" w:cs="Times New Roman"/>
                <w:sz w:val="28"/>
              </w:rPr>
              <w:t xml:space="preserve">contempla una responsabilidad personal por el hecho ajeno, que podría ser incluso objetiva si no se tuvieran en cuenta circunstancias como la culpa. </w:t>
            </w:r>
          </w:p>
          <w:p w:rsidR="000E6BF6" w:rsidRPr="006671C3" w:rsidRDefault="006671C3" w:rsidP="000E6BF6">
            <w:pPr>
              <w:jc w:val="both"/>
              <w:rPr>
                <w:rFonts w:ascii="Times New Roman" w:hAnsi="Times New Roman" w:cs="Times New Roman"/>
                <w:sz w:val="28"/>
              </w:rPr>
            </w:pPr>
            <w:r w:rsidRPr="006671C3">
              <w:rPr>
                <w:rFonts w:ascii="Times New Roman" w:hAnsi="Times New Roman" w:cs="Times New Roman"/>
                <w:sz w:val="28"/>
              </w:rPr>
              <w:t>-</w:t>
            </w:r>
            <w:r w:rsidRPr="006671C3">
              <w:rPr>
                <w:rFonts w:ascii="Times New Roman" w:hAnsi="Times New Roman" w:cs="Times New Roman"/>
                <w:i/>
                <w:sz w:val="28"/>
              </w:rPr>
              <w:t>Cuarto cargo</w:t>
            </w:r>
            <w:r w:rsidRPr="006671C3">
              <w:rPr>
                <w:rFonts w:ascii="Times New Roman" w:hAnsi="Times New Roman" w:cs="Times New Roman"/>
                <w:sz w:val="28"/>
              </w:rPr>
              <w:t xml:space="preserve">: en cuanto el artículo 36 (infracciones de las agencias de aduanas), trae a colación otras </w:t>
            </w:r>
            <w:r w:rsidRPr="006671C3">
              <w:rPr>
                <w:rFonts w:ascii="Times New Roman" w:hAnsi="Times New Roman" w:cs="Times New Roman"/>
                <w:sz w:val="28"/>
              </w:rPr>
              <w:t>disposiciones como son los artículos 50</w:t>
            </w:r>
            <w:r w:rsidRPr="006671C3">
              <w:rPr>
                <w:rFonts w:ascii="Times New Roman" w:hAnsi="Times New Roman" w:cs="Times New Roman"/>
                <w:sz w:val="28"/>
                <w:vertAlign w:val="superscript"/>
              </w:rPr>
              <w:footnoteReference w:id="40"/>
            </w:r>
            <w:r w:rsidRPr="006671C3">
              <w:rPr>
                <w:rFonts w:ascii="Times New Roman" w:hAnsi="Times New Roman" w:cs="Times New Roman"/>
                <w:sz w:val="28"/>
              </w:rPr>
              <w:t xml:space="preserve"> del Decreto 1165 de 2019, 75</w:t>
            </w:r>
            <w:r w:rsidRPr="006671C3">
              <w:rPr>
                <w:rFonts w:ascii="Times New Roman" w:hAnsi="Times New Roman" w:cs="Times New Roman"/>
                <w:sz w:val="28"/>
                <w:vertAlign w:val="superscript"/>
              </w:rPr>
              <w:footnoteReference w:id="41"/>
            </w:r>
            <w:r w:rsidRPr="006671C3">
              <w:rPr>
                <w:rFonts w:ascii="Times New Roman" w:hAnsi="Times New Roman" w:cs="Times New Roman"/>
                <w:sz w:val="28"/>
              </w:rPr>
              <w:t xml:space="preserve"> de la Resolución 46 de 2019 y 7.10 del decreto impugnado, señalando que las agencias de aduanas y los almacenes generales de depósitos cumplen el rol de auxiliares de la función pública</w:t>
            </w:r>
            <w:r w:rsidRPr="006671C3">
              <w:rPr>
                <w:rFonts w:ascii="Times New Roman" w:hAnsi="Times New Roman" w:cs="Times New Roman"/>
                <w:sz w:val="28"/>
              </w:rPr>
              <w:t xml:space="preserve"> que imponen la obligación del conocimiento del cliente en aras de prevenir la comisión de ilícitos. El numeral 10.2 del artículo 7 del decreto en cuestión, es exequible siempre que se entienda que la agencia de aduanas no haya podido determinar la solvenc</w:t>
            </w:r>
            <w:r w:rsidRPr="006671C3">
              <w:rPr>
                <w:rFonts w:ascii="Times New Roman" w:hAnsi="Times New Roman" w:cs="Times New Roman"/>
                <w:sz w:val="28"/>
              </w:rPr>
              <w:t>ia o el origen de los fondos y haya decidido prestar el servicio o que no haya aplicado los mecanismos de control para conocer el cliente.</w:t>
            </w:r>
          </w:p>
          <w:p w:rsidR="000E6BF6" w:rsidRPr="006671C3" w:rsidRDefault="006671C3" w:rsidP="000E6BF6">
            <w:pPr>
              <w:jc w:val="both"/>
              <w:rPr>
                <w:rFonts w:ascii="Times New Roman" w:hAnsi="Times New Roman" w:cs="Times New Roman"/>
                <w:sz w:val="28"/>
              </w:rPr>
            </w:pPr>
            <w:r w:rsidRPr="006671C3">
              <w:rPr>
                <w:rFonts w:ascii="Times New Roman" w:hAnsi="Times New Roman" w:cs="Times New Roman"/>
                <w:sz w:val="28"/>
              </w:rPr>
              <w:t>-</w:t>
            </w:r>
            <w:r w:rsidRPr="006671C3">
              <w:rPr>
                <w:rFonts w:ascii="Times New Roman" w:hAnsi="Times New Roman" w:cs="Times New Roman"/>
                <w:i/>
                <w:sz w:val="28"/>
              </w:rPr>
              <w:t>Quinto cargo</w:t>
            </w:r>
            <w:r w:rsidRPr="006671C3">
              <w:rPr>
                <w:rFonts w:ascii="Times New Roman" w:hAnsi="Times New Roman" w:cs="Times New Roman"/>
                <w:sz w:val="28"/>
              </w:rPr>
              <w:t>:</w:t>
            </w:r>
            <w:r w:rsidRPr="006671C3">
              <w:rPr>
                <w:rFonts w:ascii="Times New Roman" w:hAnsi="Times New Roman" w:cs="Times New Roman"/>
                <w:sz w:val="28"/>
              </w:rPr>
              <w:t xml:space="preserve"> </w:t>
            </w:r>
            <w:r w:rsidRPr="006671C3">
              <w:rPr>
                <w:rFonts w:ascii="Times New Roman" w:hAnsi="Times New Roman" w:cs="Times New Roman"/>
                <w:sz w:val="28"/>
              </w:rPr>
              <w:t>el artículo 69 (causales de aprehensión y decomiso de mercancías) tiene relación directa con la infrac</w:t>
            </w:r>
            <w:r w:rsidRPr="006671C3">
              <w:rPr>
                <w:rFonts w:ascii="Times New Roman" w:hAnsi="Times New Roman" w:cs="Times New Roman"/>
                <w:sz w:val="28"/>
              </w:rPr>
              <w:t>ción administrativa, al responder a un interés público de protección de los intereses del Estado como es combatir las operaciones de personas inexistentes y proclives a la comisión del delito de lavado de activos. En cuanto al numeral 10.2 del artículo 7 d</w:t>
            </w:r>
            <w:r w:rsidRPr="006671C3">
              <w:rPr>
                <w:rFonts w:ascii="Times New Roman" w:hAnsi="Times New Roman" w:cs="Times New Roman"/>
                <w:sz w:val="28"/>
              </w:rPr>
              <w:t xml:space="preserve">el decreto acusado, es exequible siempre que se entienda que la agencia de aduanas, el depósito que actúa como agente de aduanas y el importador no son responsables en los eventos en que la administración tributaria </w:t>
            </w:r>
            <w:r w:rsidRPr="006671C3">
              <w:rPr>
                <w:rFonts w:ascii="Times New Roman" w:hAnsi="Times New Roman" w:cs="Times New Roman"/>
                <w:i/>
                <w:sz w:val="28"/>
              </w:rPr>
              <w:t>a posteriori</w:t>
            </w:r>
            <w:r w:rsidRPr="006671C3">
              <w:rPr>
                <w:rFonts w:ascii="Times New Roman" w:hAnsi="Times New Roman" w:cs="Times New Roman"/>
                <w:sz w:val="28"/>
              </w:rPr>
              <w:t xml:space="preserve"> determine que el cliente no</w:t>
            </w:r>
            <w:r w:rsidRPr="006671C3">
              <w:rPr>
                <w:rFonts w:ascii="Times New Roman" w:hAnsi="Times New Roman" w:cs="Times New Roman"/>
                <w:sz w:val="28"/>
              </w:rPr>
              <w:t xml:space="preserve"> era solvente debido al uso. </w:t>
            </w:r>
          </w:p>
          <w:p w:rsidR="000E6BF6" w:rsidRPr="006671C3" w:rsidRDefault="006671C3" w:rsidP="000E6BF6">
            <w:pPr>
              <w:jc w:val="both"/>
              <w:rPr>
                <w:rFonts w:ascii="Times New Roman" w:hAnsi="Times New Roman" w:cs="Times New Roman"/>
                <w:sz w:val="28"/>
              </w:rPr>
            </w:pPr>
            <w:r w:rsidRPr="006671C3">
              <w:rPr>
                <w:rFonts w:ascii="Times New Roman" w:hAnsi="Times New Roman" w:cs="Times New Roman"/>
                <w:sz w:val="28"/>
              </w:rPr>
              <w:t>-</w:t>
            </w:r>
            <w:r w:rsidRPr="006671C3">
              <w:rPr>
                <w:rFonts w:ascii="Times New Roman" w:hAnsi="Times New Roman" w:cs="Times New Roman"/>
                <w:i/>
                <w:sz w:val="28"/>
              </w:rPr>
              <w:t>Primer cargo</w:t>
            </w:r>
            <w:r w:rsidRPr="006671C3">
              <w:rPr>
                <w:rFonts w:ascii="Times New Roman" w:hAnsi="Times New Roman" w:cs="Times New Roman"/>
                <w:sz w:val="28"/>
              </w:rPr>
              <w:t xml:space="preserve">: sobre los artículos 7 (medidas cautelares) y 9 (procedimiento para adoptar medidas cautelares), contextualiza su alcance a partir de los artículos 3 , 7 (apartes no acusados), 18  y 19  del decreto acusado, que </w:t>
            </w:r>
            <w:r w:rsidRPr="006671C3">
              <w:rPr>
                <w:rFonts w:ascii="Times New Roman" w:hAnsi="Times New Roman" w:cs="Times New Roman"/>
                <w:sz w:val="28"/>
              </w:rPr>
              <w:t>permite concluir la no violación del debido proceso al establecerse un procedimiento claro para la imposición de la medida e incluso el aval por el Comité de Fiscalización Aduanera, mientras que a su vez salvaguarda los intereses del Estado evitando que el</w:t>
            </w:r>
            <w:r w:rsidRPr="006671C3">
              <w:rPr>
                <w:rFonts w:ascii="Times New Roman" w:hAnsi="Times New Roman" w:cs="Times New Roman"/>
                <w:sz w:val="28"/>
              </w:rPr>
              <w:t xml:space="preserve"> infractor continúe cometiendo las conductas y se materialice la inviabilidad de la decisión. Los artículos 29 (infracciones de los declarantes en el régimen de importación), 31 (infracciones de los declarantes en el régimen de exportación), 35 (infraccion</w:t>
            </w:r>
            <w:r w:rsidRPr="006671C3">
              <w:rPr>
                <w:rFonts w:ascii="Times New Roman" w:hAnsi="Times New Roman" w:cs="Times New Roman"/>
                <w:sz w:val="28"/>
              </w:rPr>
              <w:t>es de los beneficiarios de PEX) y 48 (infracciones por uso de servicios informáticos electrónicos), se deben analizar en concordancia con el artículo 22.5 del decreto demandado, por lo que no son desproporcionadas y responden a la tipicidad y gradualidad f</w:t>
            </w:r>
            <w:r w:rsidRPr="006671C3">
              <w:rPr>
                <w:rFonts w:ascii="Times New Roman" w:hAnsi="Times New Roman" w:cs="Times New Roman"/>
                <w:sz w:val="28"/>
              </w:rPr>
              <w:t>rente a la salvaguarda de los intereses del Estado.</w:t>
            </w:r>
          </w:p>
        </w:tc>
        <w:tc>
          <w:tcPr>
            <w:tcW w:w="500" w:type="pct"/>
          </w:tcPr>
          <w:p w:rsidR="000E6BF6" w:rsidRPr="006671C3" w:rsidRDefault="006671C3" w:rsidP="000E6BF6">
            <w:pPr>
              <w:jc w:val="both"/>
              <w:rPr>
                <w:rFonts w:ascii="Times New Roman" w:hAnsi="Times New Roman" w:cs="Times New Roman"/>
                <w:sz w:val="28"/>
              </w:rPr>
            </w:pPr>
            <w:r w:rsidRPr="006671C3">
              <w:rPr>
                <w:rFonts w:ascii="Times New Roman" w:hAnsi="Times New Roman" w:cs="Times New Roman"/>
                <w:sz w:val="28"/>
              </w:rPr>
              <w:t>Inexeq.</w:t>
            </w:r>
          </w:p>
          <w:p w:rsidR="000E6BF6" w:rsidRPr="006671C3" w:rsidRDefault="006671C3" w:rsidP="000E6BF6">
            <w:pPr>
              <w:jc w:val="both"/>
              <w:rPr>
                <w:rFonts w:ascii="Times New Roman" w:hAnsi="Times New Roman" w:cs="Times New Roman"/>
                <w:sz w:val="28"/>
              </w:rPr>
            </w:pPr>
          </w:p>
          <w:p w:rsidR="000E6BF6" w:rsidRPr="006671C3" w:rsidRDefault="006671C3" w:rsidP="000E6BF6">
            <w:pPr>
              <w:jc w:val="both"/>
              <w:rPr>
                <w:rFonts w:ascii="Times New Roman" w:hAnsi="Times New Roman" w:cs="Times New Roman"/>
                <w:sz w:val="28"/>
              </w:rPr>
            </w:pPr>
          </w:p>
          <w:p w:rsidR="000E6BF6" w:rsidRPr="006671C3" w:rsidRDefault="006671C3" w:rsidP="000E6BF6">
            <w:pPr>
              <w:jc w:val="both"/>
              <w:rPr>
                <w:rFonts w:ascii="Times New Roman" w:hAnsi="Times New Roman" w:cs="Times New Roman"/>
                <w:sz w:val="28"/>
              </w:rPr>
            </w:pPr>
          </w:p>
          <w:p w:rsidR="000E6BF6" w:rsidRPr="006671C3" w:rsidRDefault="006671C3" w:rsidP="000E6BF6">
            <w:pPr>
              <w:jc w:val="both"/>
              <w:rPr>
                <w:rFonts w:ascii="Times New Roman" w:hAnsi="Times New Roman" w:cs="Times New Roman"/>
                <w:sz w:val="28"/>
              </w:rPr>
            </w:pPr>
          </w:p>
          <w:p w:rsidR="000E6BF6" w:rsidRPr="006671C3" w:rsidRDefault="006671C3" w:rsidP="000E6BF6">
            <w:pPr>
              <w:jc w:val="both"/>
              <w:rPr>
                <w:rFonts w:ascii="Times New Roman" w:hAnsi="Times New Roman" w:cs="Times New Roman"/>
                <w:sz w:val="28"/>
              </w:rPr>
            </w:pPr>
          </w:p>
          <w:p w:rsidR="000E6BF6" w:rsidRPr="006671C3" w:rsidRDefault="006671C3" w:rsidP="000E6BF6">
            <w:pPr>
              <w:jc w:val="both"/>
              <w:rPr>
                <w:rFonts w:ascii="Times New Roman" w:hAnsi="Times New Roman" w:cs="Times New Roman"/>
                <w:sz w:val="28"/>
              </w:rPr>
            </w:pPr>
          </w:p>
          <w:p w:rsidR="000E6BF6" w:rsidRPr="006671C3" w:rsidRDefault="006671C3" w:rsidP="000E6BF6">
            <w:pPr>
              <w:jc w:val="both"/>
              <w:rPr>
                <w:rFonts w:ascii="Times New Roman" w:hAnsi="Times New Roman" w:cs="Times New Roman"/>
                <w:sz w:val="28"/>
              </w:rPr>
            </w:pPr>
            <w:r w:rsidRPr="006671C3">
              <w:rPr>
                <w:rFonts w:ascii="Times New Roman" w:hAnsi="Times New Roman" w:cs="Times New Roman"/>
                <w:sz w:val="28"/>
              </w:rPr>
              <w:t>Exeq. y</w:t>
            </w:r>
          </w:p>
          <w:p w:rsidR="000E6BF6" w:rsidRPr="006671C3" w:rsidRDefault="006671C3" w:rsidP="000E6BF6">
            <w:pPr>
              <w:jc w:val="both"/>
              <w:rPr>
                <w:rFonts w:ascii="Times New Roman" w:hAnsi="Times New Roman" w:cs="Times New Roman"/>
                <w:sz w:val="28"/>
              </w:rPr>
            </w:pPr>
            <w:r w:rsidRPr="006671C3">
              <w:rPr>
                <w:rFonts w:ascii="Times New Roman" w:hAnsi="Times New Roman" w:cs="Times New Roman"/>
                <w:sz w:val="28"/>
              </w:rPr>
              <w:t>exeq. condic.</w:t>
            </w:r>
          </w:p>
          <w:p w:rsidR="000E6BF6" w:rsidRPr="006671C3" w:rsidRDefault="006671C3" w:rsidP="000E6BF6">
            <w:pPr>
              <w:jc w:val="both"/>
              <w:rPr>
                <w:rFonts w:ascii="Times New Roman" w:hAnsi="Times New Roman" w:cs="Times New Roman"/>
                <w:sz w:val="28"/>
              </w:rPr>
            </w:pPr>
          </w:p>
          <w:p w:rsidR="000E6BF6" w:rsidRPr="006671C3" w:rsidRDefault="006671C3" w:rsidP="000E6BF6">
            <w:pPr>
              <w:jc w:val="both"/>
              <w:rPr>
                <w:rFonts w:ascii="Times New Roman" w:hAnsi="Times New Roman" w:cs="Times New Roman"/>
                <w:sz w:val="28"/>
              </w:rPr>
            </w:pPr>
          </w:p>
          <w:p w:rsidR="000E6BF6" w:rsidRPr="006671C3" w:rsidRDefault="006671C3" w:rsidP="000E6BF6">
            <w:pPr>
              <w:jc w:val="both"/>
              <w:rPr>
                <w:rFonts w:ascii="Times New Roman" w:hAnsi="Times New Roman" w:cs="Times New Roman"/>
                <w:sz w:val="28"/>
              </w:rPr>
            </w:pPr>
          </w:p>
          <w:p w:rsidR="000E6BF6" w:rsidRPr="006671C3" w:rsidRDefault="006671C3" w:rsidP="000E6BF6">
            <w:pPr>
              <w:jc w:val="both"/>
              <w:rPr>
                <w:rFonts w:ascii="Times New Roman" w:hAnsi="Times New Roman" w:cs="Times New Roman"/>
                <w:sz w:val="28"/>
              </w:rPr>
            </w:pPr>
          </w:p>
          <w:p w:rsidR="000E6BF6" w:rsidRPr="006671C3" w:rsidRDefault="006671C3" w:rsidP="000E6BF6">
            <w:pPr>
              <w:jc w:val="both"/>
              <w:rPr>
                <w:rFonts w:ascii="Times New Roman" w:hAnsi="Times New Roman" w:cs="Times New Roman"/>
                <w:sz w:val="28"/>
              </w:rPr>
            </w:pPr>
          </w:p>
          <w:p w:rsidR="000E6BF6" w:rsidRPr="006671C3" w:rsidRDefault="006671C3" w:rsidP="000E6BF6">
            <w:pPr>
              <w:jc w:val="both"/>
              <w:rPr>
                <w:rFonts w:ascii="Times New Roman" w:hAnsi="Times New Roman" w:cs="Times New Roman"/>
                <w:sz w:val="28"/>
              </w:rPr>
            </w:pPr>
          </w:p>
          <w:p w:rsidR="000E6BF6" w:rsidRPr="006671C3" w:rsidRDefault="006671C3" w:rsidP="000E6BF6">
            <w:pPr>
              <w:jc w:val="both"/>
              <w:rPr>
                <w:rFonts w:ascii="Times New Roman" w:hAnsi="Times New Roman" w:cs="Times New Roman"/>
                <w:sz w:val="28"/>
              </w:rPr>
            </w:pPr>
          </w:p>
          <w:p w:rsidR="000E6BF6" w:rsidRPr="006671C3" w:rsidRDefault="006671C3" w:rsidP="000E6BF6">
            <w:pPr>
              <w:jc w:val="both"/>
              <w:rPr>
                <w:rFonts w:ascii="Times New Roman" w:hAnsi="Times New Roman" w:cs="Times New Roman"/>
                <w:sz w:val="28"/>
              </w:rPr>
            </w:pPr>
          </w:p>
          <w:p w:rsidR="000E6BF6" w:rsidRPr="006671C3" w:rsidRDefault="006671C3" w:rsidP="000E6BF6">
            <w:pPr>
              <w:jc w:val="both"/>
              <w:rPr>
                <w:rFonts w:ascii="Times New Roman" w:hAnsi="Times New Roman" w:cs="Times New Roman"/>
                <w:sz w:val="28"/>
              </w:rPr>
            </w:pPr>
          </w:p>
          <w:p w:rsidR="000E6BF6" w:rsidRPr="006671C3" w:rsidRDefault="006671C3" w:rsidP="000E6BF6">
            <w:pPr>
              <w:jc w:val="both"/>
              <w:rPr>
                <w:rFonts w:ascii="Times New Roman" w:hAnsi="Times New Roman" w:cs="Times New Roman"/>
                <w:sz w:val="28"/>
              </w:rPr>
            </w:pPr>
          </w:p>
          <w:p w:rsidR="000E6BF6" w:rsidRPr="006671C3" w:rsidRDefault="006671C3" w:rsidP="000E6BF6">
            <w:pPr>
              <w:jc w:val="both"/>
              <w:rPr>
                <w:rFonts w:ascii="Times New Roman" w:hAnsi="Times New Roman" w:cs="Times New Roman"/>
                <w:sz w:val="28"/>
              </w:rPr>
            </w:pPr>
          </w:p>
          <w:p w:rsidR="000E6BF6" w:rsidRPr="006671C3" w:rsidRDefault="006671C3" w:rsidP="000E6BF6">
            <w:pPr>
              <w:jc w:val="both"/>
              <w:rPr>
                <w:rFonts w:ascii="Times New Roman" w:hAnsi="Times New Roman" w:cs="Times New Roman"/>
                <w:sz w:val="28"/>
              </w:rPr>
            </w:pPr>
          </w:p>
          <w:p w:rsidR="000E6BF6" w:rsidRPr="006671C3" w:rsidRDefault="006671C3" w:rsidP="000E6BF6">
            <w:pPr>
              <w:jc w:val="both"/>
              <w:rPr>
                <w:rFonts w:ascii="Times New Roman" w:hAnsi="Times New Roman" w:cs="Times New Roman"/>
                <w:sz w:val="28"/>
              </w:rPr>
            </w:pPr>
          </w:p>
          <w:p w:rsidR="000E6BF6" w:rsidRPr="006671C3" w:rsidRDefault="006671C3" w:rsidP="000E6BF6">
            <w:pPr>
              <w:jc w:val="both"/>
              <w:rPr>
                <w:rFonts w:ascii="Times New Roman" w:hAnsi="Times New Roman" w:cs="Times New Roman"/>
                <w:sz w:val="28"/>
              </w:rPr>
            </w:pPr>
          </w:p>
          <w:p w:rsidR="000E6BF6" w:rsidRPr="006671C3" w:rsidRDefault="006671C3" w:rsidP="000E6BF6">
            <w:pPr>
              <w:jc w:val="both"/>
              <w:rPr>
                <w:rFonts w:ascii="Times New Roman" w:hAnsi="Times New Roman" w:cs="Times New Roman"/>
                <w:sz w:val="28"/>
              </w:rPr>
            </w:pPr>
          </w:p>
          <w:p w:rsidR="000E6BF6" w:rsidRPr="006671C3" w:rsidRDefault="006671C3" w:rsidP="000E6BF6">
            <w:pPr>
              <w:jc w:val="both"/>
              <w:rPr>
                <w:rFonts w:ascii="Times New Roman" w:hAnsi="Times New Roman" w:cs="Times New Roman"/>
                <w:sz w:val="28"/>
              </w:rPr>
            </w:pPr>
            <w:r w:rsidRPr="006671C3">
              <w:rPr>
                <w:rFonts w:ascii="Times New Roman" w:hAnsi="Times New Roman" w:cs="Times New Roman"/>
                <w:sz w:val="28"/>
              </w:rPr>
              <w:t>Exeq.</w:t>
            </w:r>
          </w:p>
        </w:tc>
      </w:tr>
      <w:tr w:rsidR="000E6BF6" w:rsidRPr="006671C3" w:rsidTr="00D1315E">
        <w:tc>
          <w:tcPr>
            <w:tcW w:w="715" w:type="pct"/>
          </w:tcPr>
          <w:p w:rsidR="000E6BF6" w:rsidRPr="006671C3" w:rsidRDefault="006671C3" w:rsidP="000E6BF6">
            <w:pPr>
              <w:jc w:val="both"/>
              <w:rPr>
                <w:rFonts w:ascii="Times New Roman" w:hAnsi="Times New Roman" w:cs="Times New Roman"/>
                <w:sz w:val="28"/>
              </w:rPr>
            </w:pPr>
            <w:r w:rsidRPr="006671C3">
              <w:rPr>
                <w:rFonts w:ascii="Times New Roman" w:hAnsi="Times New Roman" w:cs="Times New Roman"/>
                <w:sz w:val="28"/>
              </w:rPr>
              <w:t>Instituto Colombiano de Derecho Procesal -ICDP</w:t>
            </w:r>
          </w:p>
        </w:tc>
        <w:tc>
          <w:tcPr>
            <w:tcW w:w="3786" w:type="pct"/>
          </w:tcPr>
          <w:p w:rsidR="000E6BF6" w:rsidRPr="006671C3" w:rsidRDefault="006671C3" w:rsidP="000E6BF6">
            <w:pPr>
              <w:jc w:val="both"/>
              <w:rPr>
                <w:rFonts w:ascii="Times New Roman" w:hAnsi="Times New Roman" w:cs="Times New Roman"/>
                <w:sz w:val="28"/>
              </w:rPr>
            </w:pPr>
            <w:r w:rsidRPr="006671C3">
              <w:rPr>
                <w:rFonts w:ascii="Times New Roman" w:hAnsi="Times New Roman" w:cs="Times New Roman"/>
                <w:i/>
                <w:sz w:val="28"/>
              </w:rPr>
              <w:t>Primer cargo</w:t>
            </w:r>
            <w:r w:rsidRPr="006671C3">
              <w:rPr>
                <w:rFonts w:ascii="Times New Roman" w:hAnsi="Times New Roman" w:cs="Times New Roman"/>
                <w:sz w:val="28"/>
              </w:rPr>
              <w:t xml:space="preserve">: en relación con los artículos 7 (medidas cautelares) y 9 (procedimiento para adoptar </w:t>
            </w:r>
            <w:r w:rsidRPr="006671C3">
              <w:rPr>
                <w:rFonts w:ascii="Times New Roman" w:hAnsi="Times New Roman" w:cs="Times New Roman"/>
                <w:sz w:val="28"/>
              </w:rPr>
              <w:t>medidas cautelares), contextualiza su alcance a partir de los artículos 36 (num. 1.1.)</w:t>
            </w:r>
            <w:r w:rsidRPr="006671C3">
              <w:rPr>
                <w:rFonts w:ascii="Times New Roman" w:hAnsi="Times New Roman" w:cs="Times New Roman"/>
                <w:sz w:val="28"/>
                <w:vertAlign w:val="superscript"/>
              </w:rPr>
              <w:footnoteReference w:id="42"/>
            </w:r>
            <w:r w:rsidRPr="006671C3">
              <w:rPr>
                <w:rFonts w:ascii="Times New Roman" w:hAnsi="Times New Roman" w:cs="Times New Roman"/>
                <w:sz w:val="28"/>
              </w:rPr>
              <w:t>, 39 (num. 1.1.)</w:t>
            </w:r>
            <w:r w:rsidRPr="006671C3">
              <w:rPr>
                <w:rFonts w:ascii="Times New Roman" w:hAnsi="Times New Roman" w:cs="Times New Roman"/>
                <w:sz w:val="28"/>
                <w:vertAlign w:val="superscript"/>
              </w:rPr>
              <w:footnoteReference w:id="43"/>
            </w:r>
            <w:r w:rsidRPr="006671C3">
              <w:rPr>
                <w:rFonts w:ascii="Times New Roman" w:hAnsi="Times New Roman" w:cs="Times New Roman"/>
                <w:sz w:val="28"/>
              </w:rPr>
              <w:t>, 18</w:t>
            </w:r>
            <w:r w:rsidRPr="006671C3">
              <w:rPr>
                <w:rFonts w:ascii="Times New Roman" w:hAnsi="Times New Roman" w:cs="Times New Roman"/>
                <w:sz w:val="28"/>
                <w:vertAlign w:val="superscript"/>
              </w:rPr>
              <w:footnoteReference w:id="44"/>
            </w:r>
            <w:r w:rsidRPr="006671C3">
              <w:rPr>
                <w:rFonts w:ascii="Times New Roman" w:hAnsi="Times New Roman" w:cs="Times New Roman"/>
                <w:sz w:val="28"/>
              </w:rPr>
              <w:t>, 19 (incs. 1 y 7)</w:t>
            </w:r>
            <w:r w:rsidRPr="006671C3">
              <w:rPr>
                <w:rFonts w:ascii="Times New Roman" w:hAnsi="Times New Roman" w:cs="Times New Roman"/>
                <w:sz w:val="28"/>
                <w:vertAlign w:val="superscript"/>
              </w:rPr>
              <w:footnoteReference w:id="45"/>
            </w:r>
            <w:r w:rsidRPr="006671C3">
              <w:rPr>
                <w:rFonts w:ascii="Times New Roman" w:hAnsi="Times New Roman" w:cs="Times New Roman"/>
                <w:sz w:val="28"/>
              </w:rPr>
              <w:t xml:space="preserve"> y 20</w:t>
            </w:r>
            <w:r w:rsidRPr="006671C3">
              <w:rPr>
                <w:rFonts w:ascii="Times New Roman" w:hAnsi="Times New Roman" w:cs="Times New Roman"/>
                <w:sz w:val="28"/>
                <w:vertAlign w:val="superscript"/>
              </w:rPr>
              <w:footnoteReference w:id="46"/>
            </w:r>
            <w:r w:rsidRPr="006671C3">
              <w:rPr>
                <w:rFonts w:ascii="Times New Roman" w:hAnsi="Times New Roman" w:cs="Times New Roman"/>
                <w:sz w:val="28"/>
              </w:rPr>
              <w:t xml:space="preserve"> del decreto demandado, no afectando el principio de proporcionalidad, ya que solo está permitida por infracciones que den</w:t>
            </w:r>
            <w:r w:rsidRPr="006671C3">
              <w:rPr>
                <w:rFonts w:ascii="Times New Roman" w:hAnsi="Times New Roman" w:cs="Times New Roman"/>
                <w:sz w:val="28"/>
              </w:rPr>
              <w:t xml:space="preserve"> lugar a la sanción de cancelación de la autorización o habilitación (faltas gravísimas). Se garantiza el debido proceso al ser escuchado dentro del trámite sancionatorio, no puede decretarse ante cualquier situación, ni tampoco sin pasar por un riguroso a</w:t>
            </w:r>
            <w:r w:rsidRPr="006671C3">
              <w:rPr>
                <w:rFonts w:ascii="Times New Roman" w:hAnsi="Times New Roman" w:cs="Times New Roman"/>
                <w:sz w:val="28"/>
              </w:rPr>
              <w:t xml:space="preserve">nálisis, cuenta con un sustento conocido por el afectado, debe tener el visto bueno del Comité de Fiscalización Aduanero y cuenta con la posibilidad de que el funcionario que adopta la medida la revoque después de revisar las objeciones presentadas.    </w:t>
            </w:r>
          </w:p>
        </w:tc>
        <w:tc>
          <w:tcPr>
            <w:tcW w:w="500" w:type="pct"/>
          </w:tcPr>
          <w:p w:rsidR="000E6BF6" w:rsidRPr="006671C3" w:rsidRDefault="006671C3" w:rsidP="000E6BF6">
            <w:pPr>
              <w:jc w:val="both"/>
              <w:rPr>
                <w:rFonts w:ascii="Times New Roman" w:hAnsi="Times New Roman" w:cs="Times New Roman"/>
                <w:sz w:val="28"/>
              </w:rPr>
            </w:pPr>
            <w:r w:rsidRPr="006671C3">
              <w:rPr>
                <w:rFonts w:ascii="Times New Roman" w:hAnsi="Times New Roman" w:cs="Times New Roman"/>
                <w:sz w:val="28"/>
              </w:rPr>
              <w:t>Ex</w:t>
            </w:r>
            <w:r w:rsidRPr="006671C3">
              <w:rPr>
                <w:rFonts w:ascii="Times New Roman" w:hAnsi="Times New Roman" w:cs="Times New Roman"/>
                <w:sz w:val="28"/>
              </w:rPr>
              <w:t>eq.</w:t>
            </w:r>
          </w:p>
        </w:tc>
      </w:tr>
      <w:tr w:rsidR="000E6BF6" w:rsidRPr="006671C3" w:rsidTr="00D1315E">
        <w:tc>
          <w:tcPr>
            <w:tcW w:w="715" w:type="pct"/>
          </w:tcPr>
          <w:p w:rsidR="000E6BF6" w:rsidRPr="006671C3" w:rsidRDefault="006671C3" w:rsidP="000E6BF6">
            <w:pPr>
              <w:jc w:val="both"/>
              <w:rPr>
                <w:rFonts w:ascii="Times New Roman" w:hAnsi="Times New Roman" w:cs="Times New Roman"/>
                <w:sz w:val="28"/>
              </w:rPr>
            </w:pPr>
            <w:r w:rsidRPr="006671C3">
              <w:rPr>
                <w:rFonts w:ascii="Times New Roman" w:hAnsi="Times New Roman" w:cs="Times New Roman"/>
                <w:sz w:val="28"/>
              </w:rPr>
              <w:t>Dirección de Impuestos y Aduanas Nacionales -DIAN y Presidencia de la República</w:t>
            </w:r>
          </w:p>
        </w:tc>
        <w:tc>
          <w:tcPr>
            <w:tcW w:w="3786" w:type="pct"/>
          </w:tcPr>
          <w:p w:rsidR="000E6BF6" w:rsidRPr="006671C3" w:rsidRDefault="006671C3" w:rsidP="000E6BF6">
            <w:pPr>
              <w:jc w:val="both"/>
              <w:rPr>
                <w:rFonts w:ascii="Times New Roman" w:hAnsi="Times New Roman" w:cs="Times New Roman"/>
                <w:sz w:val="28"/>
              </w:rPr>
            </w:pPr>
            <w:r w:rsidRPr="006671C3">
              <w:rPr>
                <w:rFonts w:ascii="Times New Roman" w:hAnsi="Times New Roman" w:cs="Times New Roman"/>
                <w:sz w:val="28"/>
              </w:rPr>
              <w:t>La demanda incumple fundamentalmente el requisito de certeza (también refieren a la falta de claridad, especificidad y suficiencia), aun cuando haya sido admitida, toda ve</w:t>
            </w:r>
            <w:r w:rsidRPr="006671C3">
              <w:rPr>
                <w:rFonts w:ascii="Times New Roman" w:hAnsi="Times New Roman" w:cs="Times New Roman"/>
                <w:sz w:val="28"/>
              </w:rPr>
              <w:t>z que “omite realizar una lectura sistemática de los artículos atacados, analizándolos de forma aislada, lo cual lleva al actor a construir un reproche de inconstitucionalidad basado exclusivamente en los apartes normativos que demanda, sin considerar el s</w:t>
            </w:r>
            <w:r w:rsidRPr="006671C3">
              <w:rPr>
                <w:rFonts w:ascii="Times New Roman" w:hAnsi="Times New Roman" w:cs="Times New Roman"/>
                <w:sz w:val="28"/>
              </w:rPr>
              <w:t>entido y alcance que encuentran dichos apartes cuando se leen de forma concordante con la restante legislación aduanera” (decretos 920/23 y 1165/19)</w:t>
            </w:r>
            <w:r w:rsidRPr="006671C3">
              <w:rPr>
                <w:rFonts w:ascii="Times New Roman" w:hAnsi="Times New Roman" w:cs="Times New Roman"/>
                <w:sz w:val="28"/>
                <w:vertAlign w:val="superscript"/>
              </w:rPr>
              <w:footnoteReference w:id="47"/>
            </w:r>
            <w:r w:rsidRPr="006671C3">
              <w:rPr>
                <w:rFonts w:ascii="Times New Roman" w:hAnsi="Times New Roman" w:cs="Times New Roman"/>
                <w:sz w:val="28"/>
              </w:rPr>
              <w:t xml:space="preserve">. En su defecto, dado que el accionante propone una lectura que desatiende el marco normativo aduanero los </w:t>
            </w:r>
            <w:r w:rsidRPr="006671C3">
              <w:rPr>
                <w:rFonts w:ascii="Times New Roman" w:hAnsi="Times New Roman" w:cs="Times New Roman"/>
                <w:sz w:val="28"/>
              </w:rPr>
              <w:t>apartes acusados resultan exequibles.</w:t>
            </w:r>
          </w:p>
          <w:p w:rsidR="000E6BF6" w:rsidRPr="006671C3" w:rsidRDefault="006671C3" w:rsidP="000E6BF6">
            <w:pPr>
              <w:jc w:val="both"/>
              <w:rPr>
                <w:rFonts w:ascii="Times New Roman" w:hAnsi="Times New Roman" w:cs="Times New Roman"/>
                <w:sz w:val="28"/>
              </w:rPr>
            </w:pPr>
            <w:r w:rsidRPr="006671C3">
              <w:rPr>
                <w:rFonts w:ascii="Times New Roman" w:hAnsi="Times New Roman" w:cs="Times New Roman"/>
                <w:sz w:val="28"/>
              </w:rPr>
              <w:t>-</w:t>
            </w:r>
            <w:r w:rsidRPr="006671C3">
              <w:rPr>
                <w:rFonts w:ascii="Times New Roman" w:hAnsi="Times New Roman" w:cs="Times New Roman"/>
                <w:i/>
                <w:sz w:val="28"/>
              </w:rPr>
              <w:t>Primer cargo</w:t>
            </w:r>
            <w:r w:rsidRPr="006671C3">
              <w:rPr>
                <w:rFonts w:ascii="Times New Roman" w:hAnsi="Times New Roman" w:cs="Times New Roman"/>
                <w:sz w:val="28"/>
              </w:rPr>
              <w:t>: en relación con los artículos 7 (medidas cautelares) y 9 (procedimiento para adoptar medidas cautelares) del decreto acusado, omite considerar otras disposiciones interrelacionadas de la legislación adua</w:t>
            </w:r>
            <w:r w:rsidRPr="006671C3">
              <w:rPr>
                <w:rFonts w:ascii="Times New Roman" w:hAnsi="Times New Roman" w:cs="Times New Roman"/>
                <w:sz w:val="28"/>
              </w:rPr>
              <w:t>nera que permiten garantizar el debido proceso, la libertad económica y los principios de proporcionalidad, legalidad y tipicidad, como son: artículos 18</w:t>
            </w:r>
            <w:r w:rsidRPr="006671C3">
              <w:rPr>
                <w:rFonts w:ascii="Times New Roman" w:hAnsi="Times New Roman" w:cs="Times New Roman"/>
                <w:sz w:val="28"/>
                <w:vertAlign w:val="superscript"/>
              </w:rPr>
              <w:footnoteReference w:id="48"/>
            </w:r>
            <w:r w:rsidRPr="006671C3">
              <w:rPr>
                <w:rFonts w:ascii="Times New Roman" w:hAnsi="Times New Roman" w:cs="Times New Roman"/>
                <w:sz w:val="28"/>
              </w:rPr>
              <w:t xml:space="preserve"> (medidas cautelares solo proceden excepcionalmente y siempre que existan graves elementos probatorios</w:t>
            </w:r>
            <w:r w:rsidRPr="006671C3">
              <w:rPr>
                <w:rFonts w:ascii="Times New Roman" w:hAnsi="Times New Roman" w:cs="Times New Roman"/>
                <w:sz w:val="28"/>
              </w:rPr>
              <w:t>), 19</w:t>
            </w:r>
            <w:r w:rsidRPr="006671C3">
              <w:rPr>
                <w:rFonts w:ascii="Times New Roman" w:hAnsi="Times New Roman" w:cs="Times New Roman"/>
                <w:sz w:val="28"/>
                <w:vertAlign w:val="superscript"/>
              </w:rPr>
              <w:footnoteReference w:id="49"/>
            </w:r>
            <w:r w:rsidRPr="006671C3">
              <w:rPr>
                <w:rFonts w:ascii="Times New Roman" w:hAnsi="Times New Roman" w:cs="Times New Roman"/>
                <w:sz w:val="28"/>
              </w:rPr>
              <w:t xml:space="preserve"> (intervención previa a la suspensión provisional del presunto responsable, presentación de objeciones y existencia de Comité de Fiscalización Aduanero que aprueba o no la medida) y 20</w:t>
            </w:r>
            <w:r w:rsidRPr="006671C3">
              <w:rPr>
                <w:rFonts w:ascii="Times New Roman" w:hAnsi="Times New Roman" w:cs="Times New Roman"/>
                <w:sz w:val="28"/>
                <w:vertAlign w:val="superscript"/>
              </w:rPr>
              <w:footnoteReference w:id="50"/>
            </w:r>
            <w:r w:rsidRPr="006671C3">
              <w:rPr>
                <w:rFonts w:ascii="Times New Roman" w:hAnsi="Times New Roman" w:cs="Times New Roman"/>
                <w:sz w:val="28"/>
              </w:rPr>
              <w:t xml:space="preserve"> (instancia de alto nivel directivo, del cual hace parte el defen</w:t>
            </w:r>
            <w:r w:rsidRPr="006671C3">
              <w:rPr>
                <w:rFonts w:ascii="Times New Roman" w:hAnsi="Times New Roman" w:cs="Times New Roman"/>
                <w:sz w:val="28"/>
              </w:rPr>
              <w:t xml:space="preserve">sor del contribuyente y del usuario aduanero con voz y voto).  </w:t>
            </w:r>
          </w:p>
          <w:p w:rsidR="000E6BF6" w:rsidRPr="006671C3" w:rsidRDefault="006671C3" w:rsidP="000E6BF6">
            <w:pPr>
              <w:jc w:val="both"/>
              <w:rPr>
                <w:rFonts w:ascii="Times New Roman" w:hAnsi="Times New Roman" w:cs="Times New Roman"/>
                <w:sz w:val="28"/>
              </w:rPr>
            </w:pPr>
            <w:r w:rsidRPr="006671C3">
              <w:rPr>
                <w:rFonts w:ascii="Times New Roman" w:hAnsi="Times New Roman" w:cs="Times New Roman"/>
                <w:sz w:val="28"/>
              </w:rPr>
              <w:t>En torno a los artículos 29 (infracciones de los declarantes en el régimen de importación), 31 (infracciones de los declarantes en el régimen de exportación), 35 (infracciones de los beneficia</w:t>
            </w:r>
            <w:r w:rsidRPr="006671C3">
              <w:rPr>
                <w:rFonts w:ascii="Times New Roman" w:hAnsi="Times New Roman" w:cs="Times New Roman"/>
                <w:sz w:val="28"/>
              </w:rPr>
              <w:t>rios de PEX) y 48 (infracciones por uso de servicios informáticos electrónicos) del decreto demandado, omite tener en cuenta el artículo 22.5</w:t>
            </w:r>
            <w:r w:rsidRPr="006671C3">
              <w:rPr>
                <w:rFonts w:ascii="Times New Roman" w:hAnsi="Times New Roman" w:cs="Times New Roman"/>
                <w:sz w:val="28"/>
                <w:vertAlign w:val="superscript"/>
              </w:rPr>
              <w:footnoteReference w:id="51"/>
            </w:r>
            <w:r w:rsidRPr="006671C3">
              <w:rPr>
                <w:rFonts w:ascii="Times New Roman" w:hAnsi="Times New Roman" w:cs="Times New Roman"/>
                <w:sz w:val="28"/>
              </w:rPr>
              <w:t xml:space="preserve"> (criterios taxativos aplicables para imponer en lugar de la sanción de multa la de cancelación o suspensión)</w:t>
            </w:r>
            <w:r w:rsidRPr="006671C3">
              <w:rPr>
                <w:rFonts w:ascii="Times New Roman" w:hAnsi="Times New Roman" w:cs="Times New Roman"/>
                <w:sz w:val="28"/>
                <w:vertAlign w:val="superscript"/>
              </w:rPr>
              <w:footnoteReference w:id="52"/>
            </w:r>
            <w:r w:rsidRPr="006671C3">
              <w:rPr>
                <w:rFonts w:ascii="Times New Roman" w:hAnsi="Times New Roman" w:cs="Times New Roman"/>
                <w:sz w:val="28"/>
              </w:rPr>
              <w:t>, ad</w:t>
            </w:r>
            <w:r w:rsidRPr="006671C3">
              <w:rPr>
                <w:rFonts w:ascii="Times New Roman" w:hAnsi="Times New Roman" w:cs="Times New Roman"/>
                <w:sz w:val="28"/>
              </w:rPr>
              <w:t>emás que las sanciones están previstas para conductas de usuarios que por su rol e importancia generar un alto riesgo para el ejercicio legal del comercio. Por tanto, de observarse por el actor las disposiciones omitidas (sujeción a mecanismos y procedimie</w:t>
            </w:r>
            <w:r w:rsidRPr="006671C3">
              <w:rPr>
                <w:rFonts w:ascii="Times New Roman" w:hAnsi="Times New Roman" w:cs="Times New Roman"/>
                <w:sz w:val="28"/>
              </w:rPr>
              <w:t>ntos) bajo un análisis integral permitiría evidenciar que son respetuosos de los mandatos constitucionales.</w:t>
            </w:r>
          </w:p>
          <w:p w:rsidR="000E6BF6" w:rsidRPr="006671C3" w:rsidRDefault="006671C3" w:rsidP="000E6BF6">
            <w:pPr>
              <w:jc w:val="both"/>
              <w:rPr>
                <w:rFonts w:ascii="Times New Roman" w:hAnsi="Times New Roman" w:cs="Times New Roman"/>
                <w:sz w:val="28"/>
              </w:rPr>
            </w:pPr>
            <w:r w:rsidRPr="006671C3">
              <w:rPr>
                <w:rFonts w:ascii="Times New Roman" w:hAnsi="Times New Roman" w:cs="Times New Roman"/>
                <w:sz w:val="28"/>
              </w:rPr>
              <w:t>-</w:t>
            </w:r>
            <w:r w:rsidRPr="006671C3">
              <w:rPr>
                <w:rFonts w:ascii="Times New Roman" w:hAnsi="Times New Roman" w:cs="Times New Roman"/>
                <w:i/>
                <w:sz w:val="28"/>
              </w:rPr>
              <w:t>Segundo cargo</w:t>
            </w:r>
            <w:r w:rsidRPr="006671C3">
              <w:rPr>
                <w:rFonts w:ascii="Times New Roman" w:hAnsi="Times New Roman" w:cs="Times New Roman"/>
                <w:sz w:val="28"/>
              </w:rPr>
              <w:t>: respecto al artículo 25 (caducidad de la acción sancionatoria) no se tiene en cuenta que al interior de la misma disposición (inciso</w:t>
            </w:r>
            <w:r w:rsidRPr="006671C3">
              <w:rPr>
                <w:rFonts w:ascii="Times New Roman" w:hAnsi="Times New Roman" w:cs="Times New Roman"/>
                <w:sz w:val="28"/>
              </w:rPr>
              <w:t xml:space="preserve"> primero) se establece el término de 3 años a partir de la comisión del hecho o de la omisión constitutiva de la infracción que impide que la potestad sancionadora sea indefinida, por lo que lo acusado es una circunstancia subsidiaria. Además, una lectura </w:t>
            </w:r>
            <w:r w:rsidRPr="006671C3">
              <w:rPr>
                <w:rFonts w:ascii="Times New Roman" w:hAnsi="Times New Roman" w:cs="Times New Roman"/>
                <w:sz w:val="28"/>
              </w:rPr>
              <w:t>concordante con los artículos 576 a 581</w:t>
            </w:r>
            <w:r w:rsidRPr="006671C3">
              <w:rPr>
                <w:rFonts w:ascii="Times New Roman" w:hAnsi="Times New Roman" w:cs="Times New Roman"/>
                <w:sz w:val="28"/>
                <w:vertAlign w:val="superscript"/>
              </w:rPr>
              <w:footnoteReference w:id="53"/>
            </w:r>
            <w:r w:rsidRPr="006671C3">
              <w:rPr>
                <w:rFonts w:ascii="Times New Roman" w:hAnsi="Times New Roman" w:cs="Times New Roman"/>
                <w:sz w:val="28"/>
              </w:rPr>
              <w:t xml:space="preserve"> del Decreto 1165 de 2019 y 106 y ss.</w:t>
            </w:r>
            <w:r w:rsidRPr="006671C3">
              <w:rPr>
                <w:rFonts w:ascii="Times New Roman" w:hAnsi="Times New Roman" w:cs="Times New Roman"/>
                <w:sz w:val="28"/>
                <w:vertAlign w:val="superscript"/>
              </w:rPr>
              <w:footnoteReference w:id="54"/>
            </w:r>
            <w:r w:rsidRPr="006671C3">
              <w:rPr>
                <w:rFonts w:ascii="Times New Roman" w:hAnsi="Times New Roman" w:cs="Times New Roman"/>
                <w:sz w:val="28"/>
              </w:rPr>
              <w:t xml:space="preserve"> del Decreto 920 de 2023, permite señalar que (i) el supuesto previsto en el aparte impugnado solo es aplicable luego de surtirse la investigación (derivada de acciones de contro</w:t>
            </w:r>
            <w:r w:rsidRPr="006671C3">
              <w:rPr>
                <w:rFonts w:ascii="Times New Roman" w:hAnsi="Times New Roman" w:cs="Times New Roman"/>
                <w:sz w:val="28"/>
              </w:rPr>
              <w:t>l posterior) mediante un procedimiento en el cual se cuenta con todas las garantías procesales, que tiene entre sus finalidades establecer la fecha de ocurrencia de los hechos o de su omisión; y (ii) conforme a las modalidades establecidas de control aduan</w:t>
            </w:r>
            <w:r w:rsidRPr="006671C3">
              <w:rPr>
                <w:rFonts w:ascii="Times New Roman" w:hAnsi="Times New Roman" w:cs="Times New Roman"/>
                <w:sz w:val="28"/>
              </w:rPr>
              <w:t>ero (previo y simultáneo) la administración puede determinar con certeza e inmediatez la fecha de ocurrencia del hecho u omisión, por lo que lo acusado solo es aplicable cuando se adelanta actividades propias del control posterior (operaciones no estuviero</w:t>
            </w:r>
            <w:r w:rsidRPr="006671C3">
              <w:rPr>
                <w:rFonts w:ascii="Times New Roman" w:hAnsi="Times New Roman" w:cs="Times New Roman"/>
                <w:sz w:val="28"/>
              </w:rPr>
              <w:t>n bajo control de la administración). Lo anterior, le permite concluir en la exequibilidad de lo demandado al permitir a la administración que, en ejercicio de las funciones de fiscalización, identifique incumplimientos que no tuvo bajo su control</w:t>
            </w:r>
            <w:r w:rsidRPr="006671C3">
              <w:rPr>
                <w:rFonts w:ascii="Times New Roman" w:hAnsi="Times New Roman" w:cs="Times New Roman"/>
                <w:sz w:val="28"/>
                <w:vertAlign w:val="superscript"/>
              </w:rPr>
              <w:footnoteReference w:id="55"/>
            </w:r>
            <w:r w:rsidRPr="006671C3">
              <w:rPr>
                <w:rFonts w:ascii="Times New Roman" w:hAnsi="Times New Roman" w:cs="Times New Roman"/>
                <w:sz w:val="28"/>
              </w:rPr>
              <w:t xml:space="preserve">.  </w:t>
            </w:r>
          </w:p>
          <w:p w:rsidR="000E6BF6" w:rsidRPr="006671C3" w:rsidRDefault="006671C3" w:rsidP="000E6BF6">
            <w:pPr>
              <w:jc w:val="both"/>
              <w:rPr>
                <w:rFonts w:ascii="Times New Roman" w:hAnsi="Times New Roman" w:cs="Times New Roman"/>
                <w:sz w:val="28"/>
              </w:rPr>
            </w:pPr>
            <w:r w:rsidRPr="006671C3">
              <w:rPr>
                <w:rFonts w:ascii="Times New Roman" w:hAnsi="Times New Roman" w:cs="Times New Roman"/>
                <w:sz w:val="28"/>
              </w:rPr>
              <w:t>-</w:t>
            </w:r>
            <w:r w:rsidRPr="006671C3">
              <w:rPr>
                <w:rFonts w:ascii="Times New Roman" w:hAnsi="Times New Roman" w:cs="Times New Roman"/>
                <w:i/>
                <w:sz w:val="28"/>
              </w:rPr>
              <w:t>Ter</w:t>
            </w:r>
            <w:r w:rsidRPr="006671C3">
              <w:rPr>
                <w:rFonts w:ascii="Times New Roman" w:hAnsi="Times New Roman" w:cs="Times New Roman"/>
                <w:i/>
                <w:sz w:val="28"/>
              </w:rPr>
              <w:t>cer cargo</w:t>
            </w:r>
            <w:r w:rsidRPr="006671C3">
              <w:rPr>
                <w:rFonts w:ascii="Times New Roman" w:hAnsi="Times New Roman" w:cs="Times New Roman"/>
                <w:sz w:val="28"/>
              </w:rPr>
              <w:t>: en cuanto al artículo 72 (sanción cuando no es posible aprehender la mercancía)</w:t>
            </w:r>
            <w:r w:rsidRPr="006671C3">
              <w:rPr>
                <w:rFonts w:ascii="Times New Roman" w:hAnsi="Times New Roman" w:cs="Times New Roman"/>
                <w:sz w:val="28"/>
                <w:vertAlign w:val="superscript"/>
              </w:rPr>
              <w:footnoteReference w:id="56"/>
            </w:r>
            <w:r w:rsidRPr="006671C3">
              <w:rPr>
                <w:rFonts w:ascii="Times New Roman" w:hAnsi="Times New Roman" w:cs="Times New Roman"/>
                <w:sz w:val="28"/>
              </w:rPr>
              <w:t xml:space="preserve"> no se tuvieron en cuenta para la configuración del cargo los artículos 4 a 8</w:t>
            </w:r>
            <w:r w:rsidRPr="006671C3">
              <w:rPr>
                <w:rFonts w:ascii="Times New Roman" w:hAnsi="Times New Roman" w:cs="Times New Roman"/>
                <w:sz w:val="28"/>
                <w:vertAlign w:val="superscript"/>
              </w:rPr>
              <w:footnoteReference w:id="57"/>
            </w:r>
            <w:r w:rsidRPr="006671C3">
              <w:rPr>
                <w:rFonts w:ascii="Times New Roman" w:hAnsi="Times New Roman" w:cs="Times New Roman"/>
                <w:sz w:val="28"/>
              </w:rPr>
              <w:t xml:space="preserve"> del Decreto 1165 de 2019 y 72 (inc. sexto)</w:t>
            </w:r>
            <w:r w:rsidRPr="006671C3">
              <w:rPr>
                <w:rFonts w:ascii="Times New Roman" w:hAnsi="Times New Roman" w:cs="Times New Roman"/>
                <w:sz w:val="28"/>
                <w:vertAlign w:val="superscript"/>
              </w:rPr>
              <w:footnoteReference w:id="58"/>
            </w:r>
            <w:r w:rsidRPr="006671C3">
              <w:rPr>
                <w:rFonts w:ascii="Times New Roman" w:hAnsi="Times New Roman" w:cs="Times New Roman"/>
                <w:sz w:val="28"/>
              </w:rPr>
              <w:t>, 106 y ss. del Decreto 920 de 2023, que ll</w:t>
            </w:r>
            <w:r w:rsidRPr="006671C3">
              <w:rPr>
                <w:rFonts w:ascii="Times New Roman" w:hAnsi="Times New Roman" w:cs="Times New Roman"/>
                <w:sz w:val="28"/>
              </w:rPr>
              <w:t>eva a establecer que de acuerdo al rol que tenga cada interviniente en la operación de comercio exterior se es responsable en el marco de la actividad realizada, además estará sujeta a las garantías previstas para la definición de la sanción</w:t>
            </w:r>
            <w:r w:rsidRPr="006671C3">
              <w:rPr>
                <w:rFonts w:ascii="Times New Roman" w:hAnsi="Times New Roman" w:cs="Times New Roman"/>
                <w:sz w:val="28"/>
                <w:vertAlign w:val="superscript"/>
              </w:rPr>
              <w:footnoteReference w:id="59"/>
            </w:r>
            <w:r w:rsidRPr="006671C3">
              <w:rPr>
                <w:rFonts w:ascii="Times New Roman" w:hAnsi="Times New Roman" w:cs="Times New Roman"/>
                <w:sz w:val="28"/>
              </w:rPr>
              <w:t>. De esta form</w:t>
            </w:r>
            <w:r w:rsidRPr="006671C3">
              <w:rPr>
                <w:rFonts w:ascii="Times New Roman" w:hAnsi="Times New Roman" w:cs="Times New Roman"/>
                <w:sz w:val="28"/>
              </w:rPr>
              <w:t xml:space="preserve">a, lo acusado resulta ajustado a la Constitución al responder cada interviniente por sus actuaciones en el marco de la responsabilidad sobre la mercancía. </w:t>
            </w:r>
          </w:p>
          <w:p w:rsidR="000E6BF6" w:rsidRPr="006671C3" w:rsidRDefault="006671C3" w:rsidP="000E6BF6">
            <w:pPr>
              <w:jc w:val="both"/>
              <w:rPr>
                <w:rFonts w:ascii="Times New Roman" w:hAnsi="Times New Roman" w:cs="Times New Roman"/>
                <w:sz w:val="28"/>
              </w:rPr>
            </w:pPr>
            <w:r w:rsidRPr="006671C3">
              <w:rPr>
                <w:rFonts w:ascii="Times New Roman" w:hAnsi="Times New Roman" w:cs="Times New Roman"/>
                <w:sz w:val="28"/>
              </w:rPr>
              <w:t>-</w:t>
            </w:r>
            <w:r w:rsidRPr="006671C3">
              <w:rPr>
                <w:rFonts w:ascii="Times New Roman" w:hAnsi="Times New Roman" w:cs="Times New Roman"/>
                <w:i/>
                <w:sz w:val="28"/>
              </w:rPr>
              <w:t>Cuarto y quinto cargo</w:t>
            </w:r>
            <w:r w:rsidRPr="006671C3">
              <w:rPr>
                <w:rFonts w:ascii="Times New Roman" w:hAnsi="Times New Roman" w:cs="Times New Roman"/>
                <w:sz w:val="28"/>
              </w:rPr>
              <w:t xml:space="preserve">: sobre el </w:t>
            </w:r>
            <w:r w:rsidRPr="006671C3">
              <w:rPr>
                <w:rFonts w:ascii="Times New Roman" w:hAnsi="Times New Roman" w:cs="Times New Roman"/>
                <w:i/>
                <w:sz w:val="28"/>
              </w:rPr>
              <w:t>artículo 36 (infracciones de las agencias de aduanas)</w:t>
            </w:r>
            <w:r w:rsidRPr="006671C3">
              <w:rPr>
                <w:rFonts w:ascii="Times New Roman" w:hAnsi="Times New Roman" w:cs="Times New Roman"/>
                <w:sz w:val="28"/>
              </w:rPr>
              <w:t>, no se hace u</w:t>
            </w:r>
            <w:r w:rsidRPr="006671C3">
              <w:rPr>
                <w:rFonts w:ascii="Times New Roman" w:hAnsi="Times New Roman" w:cs="Times New Roman"/>
                <w:sz w:val="28"/>
              </w:rPr>
              <w:t>n análisis concordante e integral con los artículos 50</w:t>
            </w:r>
            <w:r w:rsidRPr="006671C3">
              <w:rPr>
                <w:rFonts w:ascii="Times New Roman" w:hAnsi="Times New Roman" w:cs="Times New Roman"/>
                <w:sz w:val="28"/>
                <w:vertAlign w:val="superscript"/>
              </w:rPr>
              <w:footnoteReference w:id="60"/>
            </w:r>
            <w:r w:rsidRPr="006671C3">
              <w:rPr>
                <w:rFonts w:ascii="Times New Roman" w:hAnsi="Times New Roman" w:cs="Times New Roman"/>
                <w:sz w:val="28"/>
              </w:rPr>
              <w:t xml:space="preserve"> y 53</w:t>
            </w:r>
            <w:r w:rsidRPr="006671C3">
              <w:rPr>
                <w:rFonts w:ascii="Times New Roman" w:hAnsi="Times New Roman" w:cs="Times New Roman"/>
                <w:sz w:val="28"/>
                <w:vertAlign w:val="superscript"/>
              </w:rPr>
              <w:footnoteReference w:id="61"/>
            </w:r>
            <w:r w:rsidRPr="006671C3">
              <w:rPr>
                <w:rFonts w:ascii="Times New Roman" w:hAnsi="Times New Roman" w:cs="Times New Roman"/>
                <w:sz w:val="28"/>
              </w:rPr>
              <w:t xml:space="preserve"> del Decreto 1165 de 2019, que hubiere permitido comprender la importancia de tales agencias por su condición de auxiliares de la función pública aduanera y el papel que desempeñan en las operaci</w:t>
            </w:r>
            <w:r w:rsidRPr="006671C3">
              <w:rPr>
                <w:rFonts w:ascii="Times New Roman" w:hAnsi="Times New Roman" w:cs="Times New Roman"/>
                <w:sz w:val="28"/>
              </w:rPr>
              <w:t>ones de comercio exterior, por lo que se les asigna un alto grado de responsabilidad administrativa (deber de cuidado), además de proteger el comercio legal de prácticas relacionadas con el lavado de activos, contrabando, evasión u otra conducta irregular.</w:t>
            </w:r>
            <w:r w:rsidRPr="006671C3">
              <w:rPr>
                <w:rFonts w:ascii="Times New Roman" w:hAnsi="Times New Roman" w:cs="Times New Roman"/>
                <w:sz w:val="28"/>
              </w:rPr>
              <w:t xml:space="preserve"> Conforme a los artículos 8</w:t>
            </w:r>
            <w:r w:rsidRPr="006671C3">
              <w:rPr>
                <w:rFonts w:ascii="Times New Roman" w:hAnsi="Times New Roman" w:cs="Times New Roman"/>
                <w:sz w:val="28"/>
                <w:vertAlign w:val="superscript"/>
              </w:rPr>
              <w:footnoteReference w:id="62"/>
            </w:r>
            <w:r w:rsidRPr="006671C3">
              <w:rPr>
                <w:rFonts w:ascii="Times New Roman" w:hAnsi="Times New Roman" w:cs="Times New Roman"/>
                <w:sz w:val="28"/>
              </w:rPr>
              <w:t xml:space="preserve"> y 88</w:t>
            </w:r>
            <w:r w:rsidRPr="006671C3">
              <w:rPr>
                <w:rFonts w:ascii="Times New Roman" w:hAnsi="Times New Roman" w:cs="Times New Roman"/>
                <w:sz w:val="28"/>
                <w:vertAlign w:val="superscript"/>
              </w:rPr>
              <w:footnoteReference w:id="63"/>
            </w:r>
            <w:r w:rsidRPr="006671C3">
              <w:rPr>
                <w:rFonts w:ascii="Times New Roman" w:hAnsi="Times New Roman" w:cs="Times New Roman"/>
                <w:sz w:val="28"/>
              </w:rPr>
              <w:t xml:space="preserve"> y ss. del decreto demandado, las agencias participan con todas las garantías y derechos en el proceso de decomiso de mercancías además de contemplarse el mecanismo del Comité de Revisión de Aprehensiones como instancia de</w:t>
            </w:r>
            <w:r w:rsidRPr="006671C3">
              <w:rPr>
                <w:rFonts w:ascii="Times New Roman" w:hAnsi="Times New Roman" w:cs="Times New Roman"/>
                <w:sz w:val="28"/>
              </w:rPr>
              <w:t xml:space="preserve"> alto nivel que analiza los casos y recomienda la adopción o no de la medida de aprehensión. Por consiguiente, desprende que lo acusado resulta exequible dado que es incorrecto afirmar que la norma traslada la responsabilidad de los clientes a las agencias</w:t>
            </w:r>
            <w:r w:rsidRPr="006671C3">
              <w:rPr>
                <w:rFonts w:ascii="Times New Roman" w:hAnsi="Times New Roman" w:cs="Times New Roman"/>
                <w:sz w:val="28"/>
              </w:rPr>
              <w:t xml:space="preserve"> de aduanas.</w:t>
            </w:r>
          </w:p>
          <w:p w:rsidR="000E6BF6" w:rsidRPr="006671C3" w:rsidRDefault="006671C3" w:rsidP="000E6BF6">
            <w:pPr>
              <w:jc w:val="both"/>
              <w:rPr>
                <w:rFonts w:ascii="Times New Roman" w:hAnsi="Times New Roman" w:cs="Times New Roman"/>
                <w:sz w:val="28"/>
              </w:rPr>
            </w:pPr>
            <w:r w:rsidRPr="006671C3">
              <w:rPr>
                <w:rFonts w:ascii="Times New Roman" w:hAnsi="Times New Roman" w:cs="Times New Roman"/>
                <w:sz w:val="28"/>
              </w:rPr>
              <w:t xml:space="preserve">En torno al </w:t>
            </w:r>
            <w:r w:rsidRPr="006671C3">
              <w:rPr>
                <w:rFonts w:ascii="Times New Roman" w:hAnsi="Times New Roman" w:cs="Times New Roman"/>
                <w:i/>
                <w:sz w:val="28"/>
              </w:rPr>
              <w:t>artículo 69 (causales de aprehensión y decomiso de mercancías)</w:t>
            </w:r>
            <w:r w:rsidRPr="006671C3">
              <w:rPr>
                <w:rFonts w:ascii="Times New Roman" w:hAnsi="Times New Roman" w:cs="Times New Roman"/>
                <w:sz w:val="28"/>
              </w:rPr>
              <w:t>, no se efectúa un estudio concordante e integral con los artículos 7 (num. 10), 8, 69 (num. 8), 88 y ss. y 109</w:t>
            </w:r>
            <w:r w:rsidRPr="006671C3">
              <w:rPr>
                <w:rFonts w:ascii="Times New Roman" w:hAnsi="Times New Roman" w:cs="Times New Roman"/>
                <w:sz w:val="28"/>
                <w:vertAlign w:val="superscript"/>
              </w:rPr>
              <w:footnoteReference w:id="64"/>
            </w:r>
            <w:r w:rsidRPr="006671C3">
              <w:rPr>
                <w:rFonts w:ascii="Times New Roman" w:hAnsi="Times New Roman" w:cs="Times New Roman"/>
                <w:sz w:val="28"/>
              </w:rPr>
              <w:t xml:space="preserve"> del decreto cuestionado, que lleva a entender que requie</w:t>
            </w:r>
            <w:r w:rsidRPr="006671C3">
              <w:rPr>
                <w:rFonts w:ascii="Times New Roman" w:hAnsi="Times New Roman" w:cs="Times New Roman"/>
                <w:sz w:val="28"/>
              </w:rPr>
              <w:t xml:space="preserve">re que se surtan instancias y procedimientos (otorga un término para verificar posible situación irregular, puede solicitar una segunda visita para corroborar su ubicación y aportar pruebas para demostrar su solvencia económica y el origen de los recursos </w:t>
            </w:r>
            <w:r w:rsidRPr="006671C3">
              <w:rPr>
                <w:rFonts w:ascii="Times New Roman" w:hAnsi="Times New Roman" w:cs="Times New Roman"/>
                <w:sz w:val="28"/>
              </w:rPr>
              <w:t>y se vinculen terceros para establecer grados de responsabilidad). Según los artículos 8 y 88 y ss. del decreto demandado, los importadores participan con todas las garantías y derechos en procura de desvirtuar la tipificación de la infracción o controvert</w:t>
            </w:r>
            <w:r w:rsidRPr="006671C3">
              <w:rPr>
                <w:rFonts w:ascii="Times New Roman" w:hAnsi="Times New Roman" w:cs="Times New Roman"/>
                <w:sz w:val="28"/>
              </w:rPr>
              <w:t>ir la aprehensión de la mercancía. Finalmente, se requiere que se prueben las circunstancias previstas por el numeral 10 del artículo 7 del decreto en cuestión (usuarios que no existen, inexistencia de domicilio real, falta de capacidad financiera, no acre</w:t>
            </w:r>
            <w:r w:rsidRPr="006671C3">
              <w:rPr>
                <w:rFonts w:ascii="Times New Roman" w:hAnsi="Times New Roman" w:cs="Times New Roman"/>
                <w:sz w:val="28"/>
              </w:rPr>
              <w:t>ditar legalidad de recursos y conductas asociadas al lavado de activos, contrabando, evasión, etc.). Así se garantiza el principio de responsabilidad personal y el debido proceso, siendo exequible lo acusado.</w:t>
            </w:r>
          </w:p>
        </w:tc>
        <w:tc>
          <w:tcPr>
            <w:tcW w:w="500" w:type="pct"/>
          </w:tcPr>
          <w:p w:rsidR="000E6BF6" w:rsidRPr="006671C3" w:rsidRDefault="006671C3" w:rsidP="000E6BF6">
            <w:pPr>
              <w:jc w:val="both"/>
              <w:rPr>
                <w:rFonts w:ascii="Times New Roman" w:hAnsi="Times New Roman" w:cs="Times New Roman"/>
                <w:sz w:val="28"/>
              </w:rPr>
            </w:pPr>
            <w:r w:rsidRPr="006671C3">
              <w:rPr>
                <w:rFonts w:ascii="Times New Roman" w:hAnsi="Times New Roman" w:cs="Times New Roman"/>
                <w:sz w:val="28"/>
              </w:rPr>
              <w:t>Inhib. o exeq.</w:t>
            </w:r>
          </w:p>
        </w:tc>
      </w:tr>
      <w:tr w:rsidR="000E6BF6" w:rsidRPr="006671C3" w:rsidTr="00D1315E">
        <w:tc>
          <w:tcPr>
            <w:tcW w:w="715" w:type="pct"/>
          </w:tcPr>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Procuradora General de la Nació</w:t>
            </w:r>
            <w:r w:rsidRPr="006671C3">
              <w:rPr>
                <w:rFonts w:ascii="Times New Roman" w:eastAsia="Times New Roman" w:hAnsi="Times New Roman" w:cs="Times New Roman"/>
                <w:snapToGrid w:val="0"/>
                <w:position w:val="6"/>
                <w:sz w:val="28"/>
                <w:lang w:eastAsia="es-ES"/>
              </w:rPr>
              <w:t>n</w:t>
            </w:r>
          </w:p>
        </w:tc>
        <w:tc>
          <w:tcPr>
            <w:tcW w:w="3786" w:type="pct"/>
          </w:tcPr>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i/>
                <w:snapToGrid w:val="0"/>
                <w:position w:val="6"/>
                <w:sz w:val="28"/>
                <w:lang w:eastAsia="es-ES"/>
              </w:rPr>
              <w:t>-Primer cargo</w:t>
            </w:r>
            <w:r w:rsidRPr="006671C3">
              <w:rPr>
                <w:rFonts w:ascii="Times New Roman" w:eastAsia="Times New Roman" w:hAnsi="Times New Roman" w:cs="Times New Roman"/>
                <w:snapToGrid w:val="0"/>
                <w:position w:val="6"/>
                <w:sz w:val="28"/>
                <w:lang w:eastAsia="es-ES"/>
              </w:rPr>
              <w:t xml:space="preserve">: los artículos 7 (medidas cautelares) y 9 (procedimiento para adoptar medidas cautelares) no desconocen la Constitución, toda vez que los artículos 18 y 19 del mismo decreto acusado precisan que las medida cautelares proceden </w:t>
            </w:r>
            <w:r w:rsidRPr="006671C3">
              <w:rPr>
                <w:rFonts w:ascii="Times New Roman" w:eastAsia="Times New Roman" w:hAnsi="Times New Roman" w:cs="Times New Roman"/>
                <w:snapToGrid w:val="0"/>
                <w:position w:val="6"/>
                <w:sz w:val="28"/>
                <w:lang w:eastAsia="es-ES"/>
              </w:rPr>
              <w:t>excepcionalmente y cuando existan graves elementos probatorios (faltas gravísimas), cuyo resolución exige la motivación de los hechos, las normas y pruebas,  así como a la revisión del Comité de Fiscalización Aduanero, y aunque no proceden recursos el pres</w:t>
            </w:r>
            <w:r w:rsidRPr="006671C3">
              <w:rPr>
                <w:rFonts w:ascii="Times New Roman" w:eastAsia="Times New Roman" w:hAnsi="Times New Roman" w:cs="Times New Roman"/>
                <w:snapToGrid w:val="0"/>
                <w:position w:val="6"/>
                <w:sz w:val="28"/>
                <w:lang w:eastAsia="es-ES"/>
              </w:rPr>
              <w:t>unto responsable podrá presentar objeciones</w:t>
            </w:r>
            <w:r w:rsidRPr="006671C3">
              <w:rPr>
                <w:rFonts w:ascii="Times New Roman" w:eastAsia="Times New Roman" w:hAnsi="Times New Roman" w:cs="Times New Roman"/>
                <w:snapToGrid w:val="0"/>
                <w:position w:val="6"/>
                <w:sz w:val="28"/>
                <w:vertAlign w:val="superscript"/>
                <w:lang w:eastAsia="es-ES"/>
              </w:rPr>
              <w:footnoteReference w:id="65"/>
            </w:r>
            <w:r w:rsidRPr="006671C3">
              <w:rPr>
                <w:rFonts w:ascii="Times New Roman" w:eastAsia="Times New Roman" w:hAnsi="Times New Roman" w:cs="Times New Roman"/>
                <w:snapToGrid w:val="0"/>
                <w:position w:val="6"/>
                <w:sz w:val="28"/>
                <w:lang w:eastAsia="es-ES"/>
              </w:rPr>
              <w:t xml:space="preserve">. Respecto a los artículos 29 (infracciones de los declarantes en el régimen de importación), 31 (infracciones de los declarantes en el régimen de exportación), 35 (infracciones de los beneficiarios de PEX) y 48 </w:t>
            </w:r>
            <w:r w:rsidRPr="006671C3">
              <w:rPr>
                <w:rFonts w:ascii="Times New Roman" w:eastAsia="Times New Roman" w:hAnsi="Times New Roman" w:cs="Times New Roman"/>
                <w:snapToGrid w:val="0"/>
                <w:position w:val="6"/>
                <w:sz w:val="28"/>
                <w:lang w:eastAsia="es-ES"/>
              </w:rPr>
              <w:t>(infracciones por uso de servicios informáticos electrónicos) del decreto demandado, destaca el artículo 22 de esa normatividad que establece las faltas frente a las cuales procede la sanción de multa y los eventos de conversión a suspensión (operación últ</w:t>
            </w:r>
            <w:r w:rsidRPr="006671C3">
              <w:rPr>
                <w:rFonts w:ascii="Times New Roman" w:eastAsia="Times New Roman" w:hAnsi="Times New Roman" w:cs="Times New Roman"/>
                <w:snapToGrid w:val="0"/>
                <w:position w:val="6"/>
                <w:sz w:val="28"/>
                <w:lang w:eastAsia="es-ES"/>
              </w:rPr>
              <w:t>ima que se encuentra reglada), según la cual la sustitución de la medida punitiva depende de la gravedad del perjuicio causado a los intereses del Estado, exigiendo la fundamentación del acto administrativo con base en algunos de los criterios establecidos</w:t>
            </w:r>
            <w:r w:rsidRPr="006671C3">
              <w:rPr>
                <w:rFonts w:ascii="Times New Roman" w:eastAsia="Times New Roman" w:hAnsi="Times New Roman" w:cs="Times New Roman"/>
                <w:snapToGrid w:val="0"/>
                <w:position w:val="6"/>
                <w:sz w:val="28"/>
                <w:lang w:eastAsia="es-ES"/>
              </w:rPr>
              <w:t xml:space="preserve"> (seguridad nacional, salud o salubridad pública, intereses económicos del Estado, etc.). Es una determinación orientada por siete criterios que optimizan bienes jurídicos protegidos de alto valor</w:t>
            </w:r>
            <w:r w:rsidRPr="006671C3">
              <w:rPr>
                <w:rFonts w:ascii="Times New Roman" w:eastAsia="Times New Roman" w:hAnsi="Times New Roman" w:cs="Times New Roman"/>
                <w:snapToGrid w:val="0"/>
                <w:position w:val="6"/>
                <w:sz w:val="28"/>
                <w:vertAlign w:val="superscript"/>
                <w:lang w:eastAsia="es-ES"/>
              </w:rPr>
              <w:footnoteReference w:id="66"/>
            </w:r>
            <w:r w:rsidRPr="006671C3">
              <w:rPr>
                <w:rFonts w:ascii="Times New Roman" w:eastAsia="Times New Roman" w:hAnsi="Times New Roman" w:cs="Times New Roman"/>
                <w:snapToGrid w:val="0"/>
                <w:position w:val="6"/>
                <w:sz w:val="28"/>
                <w:lang w:eastAsia="es-ES"/>
              </w:rPr>
              <w:t>.</w:t>
            </w: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w:t>
            </w:r>
            <w:r w:rsidRPr="006671C3">
              <w:rPr>
                <w:rFonts w:ascii="Times New Roman" w:eastAsia="Times New Roman" w:hAnsi="Times New Roman" w:cs="Times New Roman"/>
                <w:i/>
                <w:snapToGrid w:val="0"/>
                <w:position w:val="6"/>
                <w:sz w:val="28"/>
                <w:lang w:eastAsia="es-ES"/>
              </w:rPr>
              <w:t>Segundo cargo</w:t>
            </w:r>
            <w:r w:rsidRPr="006671C3">
              <w:rPr>
                <w:rFonts w:ascii="Times New Roman" w:eastAsia="Times New Roman" w:hAnsi="Times New Roman" w:cs="Times New Roman"/>
                <w:snapToGrid w:val="0"/>
                <w:position w:val="6"/>
                <w:sz w:val="28"/>
                <w:lang w:eastAsia="es-ES"/>
              </w:rPr>
              <w:t>: el artículo 25 (caducidad de la acción sa</w:t>
            </w:r>
            <w:r w:rsidRPr="006671C3">
              <w:rPr>
                <w:rFonts w:ascii="Times New Roman" w:eastAsia="Times New Roman" w:hAnsi="Times New Roman" w:cs="Times New Roman"/>
                <w:snapToGrid w:val="0"/>
                <w:position w:val="6"/>
                <w:sz w:val="28"/>
                <w:lang w:eastAsia="es-ES"/>
              </w:rPr>
              <w:t xml:space="preserve">ncionatoria) establece un término de carácter subjetivo que en la práctica permite al Estado ejercer en cualquier momento el </w:t>
            </w:r>
            <w:r w:rsidRPr="006671C3">
              <w:rPr>
                <w:rFonts w:ascii="Times New Roman" w:eastAsia="Times New Roman" w:hAnsi="Times New Roman" w:cs="Times New Roman"/>
                <w:i/>
                <w:snapToGrid w:val="0"/>
                <w:position w:val="6"/>
                <w:sz w:val="28"/>
                <w:lang w:eastAsia="es-ES"/>
              </w:rPr>
              <w:t>ius puniendi</w:t>
            </w:r>
            <w:r w:rsidRPr="006671C3">
              <w:rPr>
                <w:rFonts w:ascii="Times New Roman" w:eastAsia="Times New Roman" w:hAnsi="Times New Roman" w:cs="Times New Roman"/>
                <w:snapToGrid w:val="0"/>
                <w:position w:val="6"/>
                <w:sz w:val="28"/>
                <w:lang w:eastAsia="es-ES"/>
              </w:rPr>
              <w:t>. Se establece un término adicional condicionado al conocimiento potestativo de la administración, premiando la falta d</w:t>
            </w:r>
            <w:r w:rsidRPr="006671C3">
              <w:rPr>
                <w:rFonts w:ascii="Times New Roman" w:eastAsia="Times New Roman" w:hAnsi="Times New Roman" w:cs="Times New Roman"/>
                <w:snapToGrid w:val="0"/>
                <w:position w:val="6"/>
                <w:sz w:val="28"/>
                <w:lang w:eastAsia="es-ES"/>
              </w:rPr>
              <w:t>e diligencia para expedir el acto sancionatorio</w:t>
            </w:r>
            <w:r w:rsidRPr="006671C3">
              <w:rPr>
                <w:rFonts w:ascii="Times New Roman" w:eastAsia="Times New Roman" w:hAnsi="Times New Roman" w:cs="Times New Roman"/>
                <w:snapToGrid w:val="0"/>
                <w:position w:val="6"/>
                <w:sz w:val="28"/>
                <w:vertAlign w:val="superscript"/>
                <w:lang w:eastAsia="es-ES"/>
              </w:rPr>
              <w:footnoteReference w:id="67"/>
            </w:r>
            <w:r w:rsidRPr="006671C3">
              <w:rPr>
                <w:rFonts w:ascii="Times New Roman" w:eastAsia="Times New Roman" w:hAnsi="Times New Roman" w:cs="Times New Roman"/>
                <w:snapToGrid w:val="0"/>
                <w:position w:val="6"/>
                <w:sz w:val="28"/>
                <w:lang w:eastAsia="es-ES"/>
              </w:rPr>
              <w:t xml:space="preserve">.  </w:t>
            </w: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w:t>
            </w:r>
            <w:r w:rsidRPr="006671C3">
              <w:rPr>
                <w:rFonts w:ascii="Times New Roman" w:eastAsia="Times New Roman" w:hAnsi="Times New Roman" w:cs="Times New Roman"/>
                <w:i/>
                <w:snapToGrid w:val="0"/>
                <w:position w:val="6"/>
                <w:sz w:val="28"/>
                <w:lang w:eastAsia="es-ES"/>
              </w:rPr>
              <w:t>Tercer y cuarto cargo</w:t>
            </w:r>
            <w:r w:rsidRPr="006671C3">
              <w:rPr>
                <w:rFonts w:ascii="Times New Roman" w:eastAsia="Times New Roman" w:hAnsi="Times New Roman" w:cs="Times New Roman"/>
                <w:snapToGrid w:val="0"/>
                <w:position w:val="6"/>
                <w:sz w:val="28"/>
                <w:lang w:eastAsia="es-ES"/>
              </w:rPr>
              <w:t xml:space="preserve">: los artículos 72 (sanción cuando no es posible aprehender la mercancía) y 36 (infracciones de las agencias de aduanas) violan el principio de responsabilidad personal al imponer </w:t>
            </w:r>
            <w:r w:rsidRPr="006671C3">
              <w:rPr>
                <w:rFonts w:ascii="Times New Roman" w:eastAsia="Times New Roman" w:hAnsi="Times New Roman" w:cs="Times New Roman"/>
                <w:snapToGrid w:val="0"/>
                <w:position w:val="6"/>
                <w:sz w:val="28"/>
                <w:lang w:eastAsia="es-ES"/>
              </w:rPr>
              <w:t>sanciones que afectan a los usuarios aduaneros que no son responsables de las actuaciones que se les imputan (hecho de terceros), sin reparar en la conducta del sancionado</w:t>
            </w:r>
            <w:r w:rsidRPr="006671C3">
              <w:rPr>
                <w:rFonts w:ascii="Times New Roman" w:eastAsia="Times New Roman" w:hAnsi="Times New Roman" w:cs="Times New Roman"/>
                <w:snapToGrid w:val="0"/>
                <w:position w:val="6"/>
                <w:sz w:val="28"/>
                <w:vertAlign w:val="superscript"/>
                <w:lang w:eastAsia="es-ES"/>
              </w:rPr>
              <w:footnoteReference w:id="68"/>
            </w:r>
            <w:r w:rsidRPr="006671C3">
              <w:rPr>
                <w:rFonts w:ascii="Times New Roman" w:eastAsia="Times New Roman" w:hAnsi="Times New Roman" w:cs="Times New Roman"/>
                <w:snapToGrid w:val="0"/>
                <w:position w:val="6"/>
                <w:sz w:val="28"/>
                <w:lang w:eastAsia="es-ES"/>
              </w:rPr>
              <w:t xml:space="preserve">. </w:t>
            </w: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w:t>
            </w:r>
            <w:r w:rsidRPr="006671C3">
              <w:rPr>
                <w:rFonts w:ascii="Times New Roman" w:eastAsia="Times New Roman" w:hAnsi="Times New Roman" w:cs="Times New Roman"/>
                <w:i/>
                <w:snapToGrid w:val="0"/>
                <w:position w:val="6"/>
                <w:sz w:val="28"/>
                <w:lang w:eastAsia="es-ES"/>
              </w:rPr>
              <w:t>Quinto cargo</w:t>
            </w:r>
            <w:r w:rsidRPr="006671C3">
              <w:rPr>
                <w:rFonts w:ascii="Times New Roman" w:eastAsia="Times New Roman" w:hAnsi="Times New Roman" w:cs="Times New Roman"/>
                <w:snapToGrid w:val="0"/>
                <w:position w:val="6"/>
                <w:sz w:val="28"/>
                <w:lang w:eastAsia="es-ES"/>
              </w:rPr>
              <w:t xml:space="preserve">: el artículo 69 (causales de aprehensión y decomiso de mercancías) </w:t>
            </w:r>
            <w:r w:rsidRPr="006671C3">
              <w:rPr>
                <w:rFonts w:ascii="Times New Roman" w:eastAsia="Times New Roman" w:hAnsi="Times New Roman" w:cs="Times New Roman"/>
                <w:snapToGrid w:val="0"/>
                <w:position w:val="6"/>
                <w:sz w:val="28"/>
                <w:lang w:eastAsia="es-ES"/>
              </w:rPr>
              <w:t>no es proporcional porque solo resultaría válido frente a conductas graves contra bienes colectivos, pero no tratándose de infracciones menores o simples indicios de conductas ilícitas, a pesar de cumplir con toda la documentación, pago de tributos e ingre</w:t>
            </w:r>
            <w:r w:rsidRPr="006671C3">
              <w:rPr>
                <w:rFonts w:ascii="Times New Roman" w:eastAsia="Times New Roman" w:hAnsi="Times New Roman" w:cs="Times New Roman"/>
                <w:snapToGrid w:val="0"/>
                <w:position w:val="6"/>
                <w:sz w:val="28"/>
                <w:lang w:eastAsia="es-ES"/>
              </w:rPr>
              <w:t>so legal al país</w:t>
            </w:r>
            <w:r w:rsidRPr="006671C3">
              <w:rPr>
                <w:rFonts w:ascii="Times New Roman" w:eastAsia="Times New Roman" w:hAnsi="Times New Roman" w:cs="Times New Roman"/>
                <w:snapToGrid w:val="0"/>
                <w:position w:val="6"/>
                <w:sz w:val="28"/>
                <w:vertAlign w:val="superscript"/>
                <w:lang w:eastAsia="es-ES"/>
              </w:rPr>
              <w:footnoteReference w:id="69"/>
            </w:r>
            <w:r w:rsidRPr="006671C3">
              <w:rPr>
                <w:rFonts w:ascii="Times New Roman" w:eastAsia="Times New Roman" w:hAnsi="Times New Roman" w:cs="Times New Roman"/>
                <w:snapToGrid w:val="0"/>
                <w:position w:val="6"/>
                <w:sz w:val="28"/>
                <w:lang w:eastAsia="es-ES"/>
              </w:rPr>
              <w:t>.</w:t>
            </w:r>
          </w:p>
        </w:tc>
        <w:tc>
          <w:tcPr>
            <w:tcW w:w="500" w:type="pct"/>
          </w:tcPr>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Exeq.</w:t>
            </w: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Inexeq.</w:t>
            </w: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p>
          <w:p w:rsidR="000E6BF6" w:rsidRPr="006671C3" w:rsidRDefault="006671C3" w:rsidP="000E6BF6">
            <w:pPr>
              <w:tabs>
                <w:tab w:val="left" w:pos="426"/>
              </w:tabs>
              <w:contextualSpacing/>
              <w:jc w:val="both"/>
              <w:rPr>
                <w:rFonts w:ascii="Times New Roman" w:eastAsia="Times New Roman" w:hAnsi="Times New Roman" w:cs="Times New Roman"/>
                <w:snapToGrid w:val="0"/>
                <w:position w:val="6"/>
                <w:sz w:val="28"/>
                <w:lang w:eastAsia="es-ES"/>
              </w:rPr>
            </w:pPr>
          </w:p>
        </w:tc>
      </w:tr>
    </w:tbl>
    <w:p w:rsidR="000E6BF6" w:rsidRPr="006671C3" w:rsidRDefault="006671C3" w:rsidP="000E6BF6">
      <w:pPr>
        <w:shd w:val="clear" w:color="auto" w:fill="FFFFFF"/>
        <w:spacing w:after="0" w:line="240" w:lineRule="auto"/>
        <w:contextualSpacing/>
        <w:jc w:val="both"/>
        <w:rPr>
          <w:rFonts w:ascii="Times New Roman" w:eastAsia="Times New Roman" w:hAnsi="Times New Roman" w:cs="Times New Roman"/>
          <w:i/>
          <w:snapToGrid w:val="0"/>
          <w:position w:val="6"/>
          <w:sz w:val="28"/>
          <w:szCs w:val="28"/>
          <w:lang w:eastAsia="es-ES"/>
        </w:rPr>
      </w:pPr>
    </w:p>
    <w:bookmarkEnd w:id="20"/>
    <w:bookmarkEnd w:id="22"/>
    <w:bookmarkEnd w:id="23"/>
    <w:p w:rsidR="000E6BF6" w:rsidRPr="006671C3" w:rsidRDefault="006671C3" w:rsidP="000E6BF6">
      <w:pPr>
        <w:shd w:val="clear" w:color="auto" w:fill="FFFFFF"/>
        <w:tabs>
          <w:tab w:val="left" w:pos="284"/>
        </w:tabs>
        <w:spacing w:after="0" w:line="240" w:lineRule="auto"/>
        <w:jc w:val="both"/>
        <w:rPr>
          <w:rFonts w:ascii="Times New Roman" w:eastAsia="Times New Roman" w:hAnsi="Times New Roman" w:cs="Times New Roman"/>
          <w:b/>
          <w:snapToGrid w:val="0"/>
          <w:position w:val="6"/>
          <w:sz w:val="28"/>
          <w:szCs w:val="28"/>
          <w:lang w:val="es-ES" w:eastAsia="es-ES"/>
        </w:rPr>
      </w:pPr>
      <w:r w:rsidRPr="006671C3">
        <w:rPr>
          <w:rFonts w:ascii="Times New Roman" w:eastAsia="Times New Roman" w:hAnsi="Times New Roman" w:cs="Times New Roman"/>
          <w:b/>
          <w:snapToGrid w:val="0"/>
          <w:position w:val="6"/>
          <w:sz w:val="28"/>
          <w:szCs w:val="28"/>
          <w:lang w:val="es-ES" w:eastAsia="es-ES"/>
        </w:rPr>
        <w:t xml:space="preserve">IV.    CONSIDERACIONES </w:t>
      </w:r>
    </w:p>
    <w:p w:rsidR="000E6BF6" w:rsidRPr="006671C3" w:rsidRDefault="006671C3" w:rsidP="000E6BF6">
      <w:pPr>
        <w:shd w:val="clear" w:color="auto" w:fill="FFFFFF"/>
        <w:tabs>
          <w:tab w:val="left" w:pos="284"/>
        </w:tabs>
        <w:spacing w:after="0" w:line="240" w:lineRule="auto"/>
        <w:jc w:val="both"/>
        <w:rPr>
          <w:rFonts w:ascii="Times New Roman" w:eastAsia="Times New Roman" w:hAnsi="Times New Roman" w:cs="Times New Roman"/>
          <w:b/>
          <w:snapToGrid w:val="0"/>
          <w:position w:val="6"/>
          <w:sz w:val="28"/>
          <w:szCs w:val="28"/>
          <w:lang w:val="es-ES" w:eastAsia="es-ES"/>
        </w:rPr>
      </w:pPr>
    </w:p>
    <w:p w:rsidR="000E6BF6" w:rsidRPr="006671C3" w:rsidRDefault="006671C3" w:rsidP="000E6BF6">
      <w:pPr>
        <w:shd w:val="clear" w:color="auto" w:fill="FFFFFF"/>
        <w:tabs>
          <w:tab w:val="left" w:pos="284"/>
        </w:tabs>
        <w:spacing w:after="0" w:line="240" w:lineRule="auto"/>
        <w:jc w:val="both"/>
        <w:rPr>
          <w:rFonts w:ascii="Times New Roman" w:eastAsia="Times New Roman" w:hAnsi="Times New Roman" w:cs="Times New Roman"/>
          <w:b/>
          <w:snapToGrid w:val="0"/>
          <w:position w:val="6"/>
          <w:sz w:val="28"/>
          <w:szCs w:val="28"/>
          <w:lang w:val="es-ES" w:eastAsia="es-ES"/>
        </w:rPr>
      </w:pPr>
      <w:r w:rsidRPr="006671C3">
        <w:rPr>
          <w:rFonts w:ascii="Times New Roman" w:eastAsia="Times New Roman" w:hAnsi="Times New Roman" w:cs="Times New Roman"/>
          <w:b/>
          <w:snapToGrid w:val="0"/>
          <w:position w:val="6"/>
          <w:sz w:val="28"/>
          <w:szCs w:val="28"/>
          <w:lang w:val="es-ES" w:eastAsia="es-ES"/>
        </w:rPr>
        <w:t>Competencia</w:t>
      </w:r>
    </w:p>
    <w:p w:rsidR="000E6BF6" w:rsidRPr="006671C3" w:rsidRDefault="006671C3" w:rsidP="000E6BF6">
      <w:pPr>
        <w:shd w:val="clear" w:color="auto" w:fill="FFFFFF"/>
        <w:tabs>
          <w:tab w:val="left" w:pos="284"/>
        </w:tabs>
        <w:spacing w:after="0" w:line="240" w:lineRule="auto"/>
        <w:jc w:val="both"/>
        <w:rPr>
          <w:rFonts w:ascii="Times New Roman" w:eastAsia="Times New Roman" w:hAnsi="Times New Roman" w:cs="Times New Roman"/>
          <w:b/>
          <w:snapToGrid w:val="0"/>
          <w:position w:val="6"/>
          <w:sz w:val="28"/>
          <w:szCs w:val="28"/>
          <w:lang w:val="es-ES" w:eastAsia="es-ES"/>
        </w:rPr>
      </w:pPr>
    </w:p>
    <w:p w:rsidR="000E6BF6" w:rsidRPr="006671C3" w:rsidRDefault="006671C3" w:rsidP="000E6BF6">
      <w:pPr>
        <w:numPr>
          <w:ilvl w:val="0"/>
          <w:numId w:val="11"/>
        </w:numPr>
        <w:shd w:val="clear" w:color="auto" w:fill="FFFFFF"/>
        <w:spacing w:after="0" w:line="240" w:lineRule="auto"/>
        <w:ind w:left="0" w:firstLine="0"/>
        <w:contextualSpacing/>
        <w:jc w:val="both"/>
        <w:rPr>
          <w:rFonts w:ascii="Times New Roman" w:eastAsia="Times New Roman" w:hAnsi="Times New Roman" w:cs="Times New Roman"/>
          <w:snapToGrid w:val="0"/>
          <w:position w:val="6"/>
          <w:sz w:val="28"/>
          <w:szCs w:val="28"/>
          <w:lang w:eastAsia="es-ES"/>
        </w:rPr>
      </w:pPr>
      <w:r w:rsidRPr="006671C3">
        <w:rPr>
          <w:rFonts w:ascii="Times New Roman" w:eastAsia="Times New Roman" w:hAnsi="Times New Roman" w:cs="Times New Roman"/>
          <w:snapToGrid w:val="0"/>
          <w:position w:val="6"/>
          <w:sz w:val="28"/>
          <w:szCs w:val="28"/>
          <w:lang w:eastAsia="es-ES"/>
        </w:rPr>
        <w:t xml:space="preserve">La Corte Constitucional es competente para conocer de la demanda de inconstitucionalidad presentada contra disposiciones que hacen parte de un decreto </w:t>
      </w:r>
      <w:r w:rsidRPr="006671C3">
        <w:rPr>
          <w:rFonts w:ascii="Times New Roman" w:eastAsia="Times New Roman" w:hAnsi="Times New Roman" w:cs="Times New Roman"/>
          <w:snapToGrid w:val="0"/>
          <w:position w:val="6"/>
          <w:sz w:val="28"/>
          <w:szCs w:val="28"/>
          <w:lang w:eastAsia="es-ES"/>
        </w:rPr>
        <w:t>ley, en virtud del numeral 5 del artículo 241 de la Constitución.</w:t>
      </w:r>
    </w:p>
    <w:p w:rsidR="000E6BF6" w:rsidRPr="006671C3" w:rsidRDefault="006671C3" w:rsidP="000E6BF6">
      <w:pPr>
        <w:tabs>
          <w:tab w:val="left" w:pos="284"/>
        </w:tabs>
        <w:spacing w:after="0" w:line="240" w:lineRule="auto"/>
        <w:jc w:val="both"/>
        <w:rPr>
          <w:rFonts w:ascii="Times New Roman" w:hAnsi="Times New Roman" w:cs="Times New Roman"/>
          <w:b/>
          <w:sz w:val="28"/>
          <w:szCs w:val="28"/>
        </w:rPr>
      </w:pPr>
    </w:p>
    <w:p w:rsidR="000E6BF6" w:rsidRPr="006671C3" w:rsidRDefault="006671C3" w:rsidP="000E6BF6">
      <w:pPr>
        <w:tabs>
          <w:tab w:val="left" w:pos="284"/>
        </w:tabs>
        <w:spacing w:after="0" w:line="240" w:lineRule="auto"/>
        <w:jc w:val="both"/>
        <w:rPr>
          <w:rFonts w:ascii="Times New Roman" w:hAnsi="Times New Roman" w:cs="Times New Roman"/>
          <w:sz w:val="28"/>
          <w:szCs w:val="28"/>
        </w:rPr>
      </w:pPr>
      <w:r w:rsidRPr="006671C3">
        <w:rPr>
          <w:rFonts w:ascii="Times New Roman" w:hAnsi="Times New Roman" w:cs="Times New Roman"/>
          <w:b/>
          <w:sz w:val="28"/>
          <w:szCs w:val="28"/>
        </w:rPr>
        <w:t xml:space="preserve">Metodología de la decisión </w:t>
      </w:r>
    </w:p>
    <w:p w:rsidR="000E6BF6" w:rsidRPr="006671C3" w:rsidRDefault="006671C3" w:rsidP="000E6BF6">
      <w:pPr>
        <w:tabs>
          <w:tab w:val="left" w:pos="426"/>
        </w:tabs>
        <w:spacing w:after="0" w:line="240" w:lineRule="auto"/>
        <w:jc w:val="both"/>
        <w:rPr>
          <w:rFonts w:ascii="Times New Roman" w:hAnsi="Times New Roman" w:cs="Times New Roman"/>
          <w:b/>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bookmarkStart w:id="24" w:name="_Hlk136441428"/>
      <w:bookmarkStart w:id="25" w:name="_Hlk126393572"/>
      <w:r w:rsidRPr="006671C3">
        <w:rPr>
          <w:rFonts w:ascii="Times New Roman" w:hAnsi="Times New Roman" w:cs="Times New Roman"/>
          <w:sz w:val="28"/>
          <w:szCs w:val="28"/>
        </w:rPr>
        <w:t xml:space="preserve">Dada la solicitud de inhibición presentada por la DIAN y la Presidencia de la República </w:t>
      </w:r>
      <w:r w:rsidRPr="006671C3">
        <w:rPr>
          <w:rFonts w:ascii="Times New Roman" w:hAnsi="Times New Roman" w:cs="Times New Roman"/>
          <w:i/>
          <w:iCs/>
          <w:sz w:val="28"/>
          <w:szCs w:val="28"/>
        </w:rPr>
        <w:t xml:space="preserve">al no haber el accionante atendido principalmente el contenido integral </w:t>
      </w:r>
      <w:r w:rsidRPr="006671C3">
        <w:rPr>
          <w:rFonts w:ascii="Times New Roman" w:hAnsi="Times New Roman" w:cs="Times New Roman"/>
          <w:i/>
          <w:iCs/>
          <w:sz w:val="28"/>
          <w:szCs w:val="28"/>
        </w:rPr>
        <w:t xml:space="preserve">de las normas parcialmente acusadas </w:t>
      </w:r>
      <w:r w:rsidRPr="006671C3">
        <w:rPr>
          <w:rFonts w:ascii="Times New Roman" w:hAnsi="Times New Roman" w:cs="Times New Roman"/>
          <w:sz w:val="28"/>
          <w:szCs w:val="28"/>
        </w:rPr>
        <w:t>y otras disposiciones previstas en el Decreto Ley 920 de 2023 (régimen sancionatorio de aduanas) y del Decreto 1165 de 2019 (régimen de aduanas); la Corte habrá de establecer si se configura la ineptitud sustantiva de la</w:t>
      </w:r>
      <w:r w:rsidRPr="006671C3">
        <w:rPr>
          <w:rFonts w:ascii="Times New Roman" w:hAnsi="Times New Roman" w:cs="Times New Roman"/>
          <w:sz w:val="28"/>
          <w:szCs w:val="28"/>
        </w:rPr>
        <w:t xml:space="preserve"> demanda</w:t>
      </w:r>
      <w:bookmarkEnd w:id="24"/>
      <w:r w:rsidRPr="006671C3">
        <w:rPr>
          <w:rFonts w:ascii="Times New Roman" w:hAnsi="Times New Roman" w:cs="Times New Roman"/>
          <w:sz w:val="28"/>
          <w:szCs w:val="28"/>
        </w:rPr>
        <w:t xml:space="preserve"> a partir de un análisis independiente con base en los criterios establecidos por la jurisprudencia constitucional. Solo en el evento de llegar a una respuesta contraria, como lo sería habilitar una decisión de fondo, ingresará a determinar los pro</w:t>
      </w:r>
      <w:r w:rsidRPr="006671C3">
        <w:rPr>
          <w:rFonts w:ascii="Times New Roman" w:hAnsi="Times New Roman" w:cs="Times New Roman"/>
          <w:sz w:val="28"/>
          <w:szCs w:val="28"/>
        </w:rPr>
        <w:t>blemas jurídicos respecto de los cinco cargos formulados.</w:t>
      </w:r>
    </w:p>
    <w:bookmarkEnd w:id="25"/>
    <w:p w:rsidR="000E6BF6" w:rsidRPr="006671C3" w:rsidRDefault="006671C3" w:rsidP="000E6BF6">
      <w:pPr>
        <w:spacing w:after="0" w:line="240" w:lineRule="auto"/>
        <w:jc w:val="both"/>
        <w:rPr>
          <w:rFonts w:ascii="Times New Roman" w:hAnsi="Times New Roman" w:cs="Times New Roman"/>
          <w:sz w:val="28"/>
          <w:szCs w:val="28"/>
        </w:rPr>
      </w:pPr>
    </w:p>
    <w:p w:rsidR="000E6BF6" w:rsidRPr="006671C3" w:rsidRDefault="006671C3" w:rsidP="000E6BF6">
      <w:pPr>
        <w:spacing w:after="0" w:line="240" w:lineRule="auto"/>
        <w:ind w:right="51"/>
        <w:jc w:val="both"/>
        <w:rPr>
          <w:rFonts w:ascii="Times New Roman" w:eastAsia="Times New Roman" w:hAnsi="Times New Roman" w:cs="Times New Roman"/>
          <w:b/>
          <w:snapToGrid w:val="0"/>
          <w:sz w:val="28"/>
          <w:szCs w:val="28"/>
          <w:lang w:val="es-ES" w:eastAsia="es-ES"/>
        </w:rPr>
      </w:pPr>
      <w:r w:rsidRPr="006671C3">
        <w:rPr>
          <w:rFonts w:ascii="Times New Roman" w:eastAsia="Times New Roman" w:hAnsi="Times New Roman" w:cs="Times New Roman"/>
          <w:b/>
          <w:snapToGrid w:val="0"/>
          <w:sz w:val="28"/>
          <w:szCs w:val="28"/>
          <w:lang w:val="es-ES" w:eastAsia="es-ES"/>
        </w:rPr>
        <w:t>Cuestión preliminar: condiciones argumentativas mínimas que debe contener toda demanda de inconstitucionalidad. Reiteración de jurisprudencia</w:t>
      </w:r>
      <w:r w:rsidRPr="006671C3">
        <w:rPr>
          <w:rFonts w:ascii="Times New Roman" w:eastAsia="Times New Roman" w:hAnsi="Times New Roman" w:cs="Times New Roman"/>
          <w:b/>
          <w:snapToGrid w:val="0"/>
          <w:sz w:val="28"/>
          <w:szCs w:val="28"/>
          <w:vertAlign w:val="superscript"/>
          <w:lang w:val="es-ES" w:eastAsia="es-ES"/>
        </w:rPr>
        <w:footnoteReference w:id="70"/>
      </w:r>
    </w:p>
    <w:p w:rsidR="000E6BF6" w:rsidRPr="006671C3" w:rsidRDefault="006671C3" w:rsidP="000E6BF6">
      <w:pPr>
        <w:spacing w:after="0" w:line="240" w:lineRule="auto"/>
        <w:ind w:right="51"/>
        <w:jc w:val="both"/>
        <w:rPr>
          <w:rFonts w:ascii="Times New Roman" w:eastAsia="Times New Roman" w:hAnsi="Times New Roman" w:cs="Times New Roman"/>
          <w:b/>
          <w:snapToGrid w:val="0"/>
          <w:sz w:val="28"/>
          <w:szCs w:val="28"/>
          <w:lang w:val="es-ES" w:eastAsia="es-ES"/>
        </w:rPr>
      </w:pPr>
    </w:p>
    <w:p w:rsidR="000E6BF6" w:rsidRPr="006671C3" w:rsidRDefault="006671C3" w:rsidP="000E6BF6">
      <w:pPr>
        <w:numPr>
          <w:ilvl w:val="0"/>
          <w:numId w:val="11"/>
        </w:numPr>
        <w:spacing w:after="0" w:line="240" w:lineRule="auto"/>
        <w:ind w:left="0" w:right="51" w:firstLine="0"/>
        <w:jc w:val="both"/>
        <w:rPr>
          <w:rFonts w:ascii="Times New Roman" w:eastAsia="Times New Roman" w:hAnsi="Times New Roman" w:cs="Times New Roman"/>
          <w:snapToGrid w:val="0"/>
          <w:sz w:val="28"/>
          <w:szCs w:val="28"/>
          <w:lang w:val="es-ES" w:eastAsia="es-ES"/>
        </w:rPr>
      </w:pPr>
      <w:r w:rsidRPr="006671C3">
        <w:rPr>
          <w:rFonts w:ascii="Times New Roman" w:eastAsia="Times New Roman" w:hAnsi="Times New Roman" w:cs="Times New Roman"/>
          <w:snapToGrid w:val="0"/>
          <w:sz w:val="28"/>
          <w:szCs w:val="28"/>
          <w:lang w:val="es-ES" w:eastAsia="es-ES"/>
        </w:rPr>
        <w:t xml:space="preserve">La Corte ha señalado que la acción de </w:t>
      </w:r>
      <w:r w:rsidRPr="006671C3">
        <w:rPr>
          <w:rFonts w:ascii="Times New Roman" w:eastAsia="Times New Roman" w:hAnsi="Times New Roman" w:cs="Times New Roman"/>
          <w:snapToGrid w:val="0"/>
          <w:sz w:val="28"/>
          <w:szCs w:val="28"/>
          <w:lang w:val="es-ES" w:eastAsia="es-ES"/>
        </w:rPr>
        <w:t>inconstitucionalidad se caracteriza por ser una herramienta de naturaleza pública e informal y, por tanto, que abandona los excesivos formalismos técnicos y rigorismos procesales en virtud de la prevalencia del derecho sustancial y del interés general (art</w:t>
      </w:r>
      <w:r w:rsidRPr="006671C3">
        <w:rPr>
          <w:rFonts w:ascii="Times New Roman" w:eastAsia="Times New Roman" w:hAnsi="Times New Roman" w:cs="Times New Roman"/>
          <w:snapToGrid w:val="0"/>
          <w:sz w:val="28"/>
          <w:szCs w:val="28"/>
          <w:lang w:val="es-ES" w:eastAsia="es-ES"/>
        </w:rPr>
        <w:t>s. 1 y 228 superiores)</w:t>
      </w:r>
      <w:r w:rsidRPr="006671C3">
        <w:rPr>
          <w:rFonts w:ascii="Times New Roman" w:eastAsia="Times New Roman" w:hAnsi="Times New Roman" w:cs="Times New Roman"/>
          <w:snapToGrid w:val="0"/>
          <w:sz w:val="28"/>
          <w:szCs w:val="28"/>
          <w:vertAlign w:val="superscript"/>
          <w:lang w:val="es-ES" w:eastAsia="es-ES"/>
        </w:rPr>
        <w:footnoteReference w:id="71"/>
      </w:r>
      <w:r w:rsidRPr="006671C3">
        <w:rPr>
          <w:rFonts w:ascii="Times New Roman" w:eastAsia="Times New Roman" w:hAnsi="Times New Roman" w:cs="Times New Roman"/>
          <w:snapToGrid w:val="0"/>
          <w:sz w:val="28"/>
          <w:szCs w:val="28"/>
          <w:lang w:val="es-ES" w:eastAsia="es-ES"/>
        </w:rPr>
        <w:t>. No obstante, como lo ha denotado la jurisprudencia constitucional, el procedimiento de revisión abstracta rogada consta, por regla general, de una serie de requisitos formales y filtros tratándose del acceso individual directo a la</w:t>
      </w:r>
      <w:r w:rsidRPr="006671C3">
        <w:rPr>
          <w:rFonts w:ascii="Times New Roman" w:eastAsia="Times New Roman" w:hAnsi="Times New Roman" w:cs="Times New Roman"/>
          <w:snapToGrid w:val="0"/>
          <w:sz w:val="28"/>
          <w:szCs w:val="28"/>
          <w:lang w:val="es-ES" w:eastAsia="es-ES"/>
        </w:rPr>
        <w:t xml:space="preserve"> justicia constitucional</w:t>
      </w:r>
      <w:r w:rsidRPr="006671C3">
        <w:rPr>
          <w:rFonts w:ascii="Times New Roman" w:eastAsia="Times New Roman" w:hAnsi="Times New Roman" w:cs="Times New Roman"/>
          <w:snapToGrid w:val="0"/>
          <w:sz w:val="28"/>
          <w:szCs w:val="28"/>
          <w:vertAlign w:val="superscript"/>
          <w:lang w:val="es-ES" w:eastAsia="es-ES"/>
        </w:rPr>
        <w:footnoteReference w:id="72"/>
      </w:r>
      <w:r w:rsidRPr="006671C3">
        <w:rPr>
          <w:rFonts w:ascii="Times New Roman" w:eastAsia="Times New Roman" w:hAnsi="Times New Roman" w:cs="Times New Roman"/>
          <w:snapToGrid w:val="0"/>
          <w:sz w:val="28"/>
          <w:szCs w:val="28"/>
          <w:lang w:val="es-ES" w:eastAsia="es-ES"/>
        </w:rPr>
        <w:t xml:space="preserve">. La forma como se aplica ese baremo de acceso es una vía de equilibrio entre la presunción de constitucionalidad de las leyes que deriva del principio democrático y </w:t>
      </w:r>
      <w:r w:rsidRPr="006671C3">
        <w:rPr>
          <w:rFonts w:ascii="Times New Roman" w:eastAsia="Times New Roman" w:hAnsi="Times New Roman" w:cs="Times New Roman"/>
          <w:i/>
          <w:snapToGrid w:val="0"/>
          <w:sz w:val="28"/>
          <w:szCs w:val="28"/>
          <w:lang w:val="es-ES" w:eastAsia="es-ES"/>
        </w:rPr>
        <w:t>el derecho político a proteger la supremacía constitucional</w:t>
      </w:r>
      <w:r w:rsidRPr="006671C3">
        <w:rPr>
          <w:rFonts w:ascii="Times New Roman" w:eastAsia="Times New Roman" w:hAnsi="Times New Roman" w:cs="Times New Roman"/>
          <w:snapToGrid w:val="0"/>
          <w:sz w:val="28"/>
          <w:szCs w:val="28"/>
          <w:lang w:val="es-ES" w:eastAsia="es-ES"/>
        </w:rPr>
        <w:t xml:space="preserve">. </w:t>
      </w:r>
    </w:p>
    <w:p w:rsidR="000E6BF6" w:rsidRPr="006671C3" w:rsidRDefault="006671C3" w:rsidP="000E6BF6">
      <w:pPr>
        <w:spacing w:after="0" w:line="240" w:lineRule="auto"/>
        <w:ind w:right="51"/>
        <w:jc w:val="both"/>
        <w:rPr>
          <w:rFonts w:ascii="Times New Roman" w:eastAsia="Times New Roman" w:hAnsi="Times New Roman" w:cs="Times New Roman"/>
          <w:snapToGrid w:val="0"/>
          <w:sz w:val="28"/>
          <w:szCs w:val="28"/>
          <w:lang w:val="es-ES" w:eastAsia="es-ES"/>
        </w:rPr>
      </w:pPr>
    </w:p>
    <w:p w:rsidR="000E6BF6" w:rsidRPr="006671C3" w:rsidRDefault="006671C3" w:rsidP="000E6BF6">
      <w:pPr>
        <w:numPr>
          <w:ilvl w:val="0"/>
          <w:numId w:val="11"/>
        </w:numPr>
        <w:spacing w:after="0" w:line="240" w:lineRule="auto"/>
        <w:ind w:left="0" w:right="51" w:firstLine="0"/>
        <w:jc w:val="both"/>
        <w:rPr>
          <w:rFonts w:ascii="Times New Roman" w:eastAsia="Times New Roman" w:hAnsi="Times New Roman" w:cs="Times New Roman"/>
          <w:snapToGrid w:val="0"/>
          <w:sz w:val="28"/>
          <w:szCs w:val="28"/>
          <w:lang w:val="es-ES" w:eastAsia="es-ES"/>
        </w:rPr>
      </w:pPr>
      <w:r w:rsidRPr="006671C3">
        <w:rPr>
          <w:rFonts w:ascii="Times New Roman" w:eastAsia="Times New Roman" w:hAnsi="Times New Roman" w:cs="Times New Roman"/>
          <w:snapToGrid w:val="0"/>
          <w:sz w:val="28"/>
          <w:szCs w:val="28"/>
          <w:lang w:val="es-ES" w:eastAsia="es-ES"/>
        </w:rPr>
        <w:t>As</w:t>
      </w:r>
      <w:r w:rsidRPr="006671C3">
        <w:rPr>
          <w:rFonts w:ascii="Times New Roman" w:eastAsia="Times New Roman" w:hAnsi="Times New Roman" w:cs="Times New Roman"/>
          <w:snapToGrid w:val="0"/>
          <w:sz w:val="28"/>
          <w:szCs w:val="28"/>
          <w:lang w:val="es-ES" w:eastAsia="es-ES"/>
        </w:rPr>
        <w:t>í, el artículo 2</w:t>
      </w:r>
      <w:r w:rsidRPr="006671C3">
        <w:rPr>
          <w:rFonts w:ascii="Times New Roman" w:eastAsia="Times New Roman" w:hAnsi="Times New Roman" w:cs="Times New Roman"/>
          <w:snapToGrid w:val="0"/>
          <w:sz w:val="28"/>
          <w:szCs w:val="28"/>
          <w:vertAlign w:val="superscript"/>
          <w:lang w:val="es-ES" w:eastAsia="es-ES"/>
        </w:rPr>
        <w:footnoteReference w:id="73"/>
      </w:r>
      <w:r w:rsidRPr="006671C3">
        <w:rPr>
          <w:rFonts w:ascii="Times New Roman" w:eastAsia="Times New Roman" w:hAnsi="Times New Roman" w:cs="Times New Roman"/>
          <w:snapToGrid w:val="0"/>
          <w:sz w:val="28"/>
          <w:szCs w:val="28"/>
          <w:lang w:val="es-ES" w:eastAsia="es-ES"/>
        </w:rPr>
        <w:t xml:space="preserve"> del Decreto Ley 2067 de 1991</w:t>
      </w:r>
      <w:r w:rsidRPr="006671C3">
        <w:rPr>
          <w:rFonts w:ascii="Times New Roman" w:eastAsia="Times New Roman" w:hAnsi="Times New Roman" w:cs="Times New Roman"/>
          <w:snapToGrid w:val="0"/>
          <w:sz w:val="28"/>
          <w:szCs w:val="28"/>
          <w:vertAlign w:val="superscript"/>
          <w:lang w:val="es-ES" w:eastAsia="es-ES"/>
        </w:rPr>
        <w:footnoteReference w:id="74"/>
      </w:r>
      <w:r w:rsidRPr="006671C3">
        <w:rPr>
          <w:rFonts w:ascii="Times New Roman" w:eastAsia="Times New Roman" w:hAnsi="Times New Roman" w:cs="Times New Roman"/>
          <w:snapToGrid w:val="0"/>
          <w:sz w:val="28"/>
          <w:szCs w:val="28"/>
          <w:lang w:val="es-ES" w:eastAsia="es-ES"/>
        </w:rPr>
        <w:t xml:space="preserve"> señala los requisitos indispensables que debe contener toda demanda de inconstitucionalidad amparada en el numeral 6</w:t>
      </w:r>
      <w:r w:rsidRPr="006671C3">
        <w:rPr>
          <w:rFonts w:ascii="Times New Roman" w:eastAsia="Times New Roman" w:hAnsi="Times New Roman" w:cs="Times New Roman"/>
          <w:snapToGrid w:val="0"/>
          <w:sz w:val="28"/>
          <w:szCs w:val="28"/>
          <w:vertAlign w:val="superscript"/>
          <w:lang w:val="es-ES" w:eastAsia="es-ES"/>
        </w:rPr>
        <w:footnoteReference w:id="75"/>
      </w:r>
      <w:r w:rsidRPr="006671C3">
        <w:rPr>
          <w:rFonts w:ascii="Times New Roman" w:eastAsia="Times New Roman" w:hAnsi="Times New Roman" w:cs="Times New Roman"/>
          <w:snapToGrid w:val="0"/>
          <w:sz w:val="28"/>
          <w:szCs w:val="28"/>
          <w:lang w:val="es-ES" w:eastAsia="es-ES"/>
        </w:rPr>
        <w:t xml:space="preserve"> del artículo 40 de la Constitución. Se trata de unos </w:t>
      </w:r>
      <w:r w:rsidRPr="006671C3">
        <w:rPr>
          <w:rFonts w:ascii="Times New Roman" w:eastAsia="Times New Roman" w:hAnsi="Times New Roman" w:cs="Times New Roman"/>
          <w:i/>
          <w:snapToGrid w:val="0"/>
          <w:sz w:val="28"/>
          <w:szCs w:val="28"/>
          <w:lang w:val="es-ES" w:eastAsia="es-ES"/>
        </w:rPr>
        <w:t>requisitos mínimos razonables</w:t>
      </w:r>
      <w:r w:rsidRPr="006671C3">
        <w:rPr>
          <w:rFonts w:ascii="Times New Roman" w:eastAsia="Times New Roman" w:hAnsi="Times New Roman" w:cs="Times New Roman"/>
          <w:snapToGrid w:val="0"/>
          <w:sz w:val="28"/>
          <w:szCs w:val="28"/>
          <w:lang w:val="es-ES" w:eastAsia="es-ES"/>
        </w:rPr>
        <w:t xml:space="preserve"> que bus</w:t>
      </w:r>
      <w:r w:rsidRPr="006671C3">
        <w:rPr>
          <w:rFonts w:ascii="Times New Roman" w:eastAsia="Times New Roman" w:hAnsi="Times New Roman" w:cs="Times New Roman"/>
          <w:snapToGrid w:val="0"/>
          <w:sz w:val="28"/>
          <w:szCs w:val="28"/>
          <w:lang w:val="es-ES" w:eastAsia="es-ES"/>
        </w:rPr>
        <w:t>can hacer viable el derecho de participación política sin transgredir su contenido esencial, pues si no se observan habría lugar a una ineptitud sustantiva de la demanda por ausencia de cargo</w:t>
      </w:r>
      <w:r w:rsidRPr="006671C3">
        <w:rPr>
          <w:rFonts w:ascii="Times New Roman" w:eastAsia="Times New Roman" w:hAnsi="Times New Roman" w:cs="Times New Roman"/>
          <w:snapToGrid w:val="0"/>
          <w:sz w:val="28"/>
          <w:szCs w:val="28"/>
          <w:vertAlign w:val="superscript"/>
          <w:lang w:val="es-ES" w:eastAsia="es-ES"/>
        </w:rPr>
        <w:footnoteReference w:id="76"/>
      </w:r>
      <w:r w:rsidRPr="006671C3">
        <w:rPr>
          <w:rFonts w:ascii="Times New Roman" w:eastAsia="Times New Roman" w:hAnsi="Times New Roman" w:cs="Times New Roman"/>
          <w:snapToGrid w:val="0"/>
          <w:sz w:val="28"/>
          <w:szCs w:val="28"/>
          <w:lang w:val="es-ES" w:eastAsia="es-ES"/>
        </w:rPr>
        <w:t>. En esa medida, la tarea de este tribunal</w:t>
      </w:r>
      <w:r w:rsidRPr="006671C3">
        <w:rPr>
          <w:rFonts w:ascii="Times New Roman" w:hAnsi="Times New Roman" w:cs="Times New Roman"/>
          <w:sz w:val="28"/>
        </w:rPr>
        <w:t xml:space="preserve"> </w:t>
      </w:r>
      <w:r w:rsidRPr="006671C3">
        <w:rPr>
          <w:rFonts w:ascii="Times New Roman" w:hAnsi="Times New Roman" w:cs="Times New Roman"/>
          <w:sz w:val="28"/>
          <w:szCs w:val="28"/>
        </w:rPr>
        <w:t>“</w:t>
      </w:r>
      <w:r w:rsidRPr="006671C3">
        <w:rPr>
          <w:rFonts w:ascii="Times New Roman" w:eastAsia="Times New Roman" w:hAnsi="Times New Roman" w:cs="Times New Roman"/>
          <w:snapToGrid w:val="0"/>
          <w:sz w:val="28"/>
          <w:szCs w:val="28"/>
          <w:lang w:val="es-ES" w:eastAsia="es-ES"/>
        </w:rPr>
        <w:t xml:space="preserve">no consiste en </w:t>
      </w:r>
      <w:r w:rsidRPr="006671C3">
        <w:rPr>
          <w:rFonts w:ascii="Times New Roman" w:eastAsia="Times New Roman" w:hAnsi="Times New Roman" w:cs="Times New Roman"/>
          <w:snapToGrid w:val="0"/>
          <w:sz w:val="28"/>
          <w:szCs w:val="28"/>
          <w:lang w:val="es-ES" w:eastAsia="es-ES"/>
        </w:rPr>
        <w:t>construir oficiosa, aislada y unilateralmente las decisiones sobre la constitucionalidad del sistema jurídico, sino en liderar un proceso de construcción colectiva en un asunto esencialmente público, precisando y orientando el debate y la deliberación (…),</w:t>
      </w:r>
      <w:r w:rsidRPr="006671C3">
        <w:rPr>
          <w:rFonts w:ascii="Times New Roman" w:eastAsia="Times New Roman" w:hAnsi="Times New Roman" w:cs="Times New Roman"/>
          <w:snapToGrid w:val="0"/>
          <w:sz w:val="28"/>
          <w:szCs w:val="28"/>
          <w:lang w:val="es-ES" w:eastAsia="es-ES"/>
        </w:rPr>
        <w:t xml:space="preserve"> organizando y sistematizando los insumos que resulten de este proceso de reflexión colectiva, valorando y sopesando las distintas opciones y alternativas que surgen (…) y, finalmente, adoptando una decisión”</w:t>
      </w:r>
      <w:r w:rsidRPr="006671C3">
        <w:rPr>
          <w:rFonts w:ascii="Times New Roman" w:eastAsia="Times New Roman" w:hAnsi="Times New Roman" w:cs="Times New Roman"/>
          <w:snapToGrid w:val="0"/>
          <w:sz w:val="28"/>
          <w:szCs w:val="28"/>
          <w:vertAlign w:val="superscript"/>
          <w:lang w:val="es-ES" w:eastAsia="es-ES"/>
        </w:rPr>
        <w:footnoteReference w:id="77"/>
      </w:r>
      <w:r w:rsidRPr="006671C3">
        <w:rPr>
          <w:rFonts w:ascii="Times New Roman" w:eastAsia="Times New Roman" w:hAnsi="Times New Roman" w:cs="Times New Roman"/>
          <w:snapToGrid w:val="0"/>
          <w:sz w:val="28"/>
          <w:szCs w:val="28"/>
          <w:lang w:val="es-ES" w:eastAsia="es-ES"/>
        </w:rPr>
        <w:t>.</w:t>
      </w:r>
    </w:p>
    <w:p w:rsidR="000E6BF6" w:rsidRPr="006671C3" w:rsidRDefault="006671C3" w:rsidP="000E6BF6">
      <w:pPr>
        <w:spacing w:after="0" w:line="240" w:lineRule="auto"/>
        <w:contextualSpacing/>
        <w:rPr>
          <w:rFonts w:ascii="Times New Roman" w:eastAsia="Times New Roman" w:hAnsi="Times New Roman" w:cs="Times New Roman"/>
          <w:snapToGrid w:val="0"/>
          <w:sz w:val="28"/>
          <w:szCs w:val="28"/>
          <w:lang w:val="es-ES" w:eastAsia="es-ES"/>
        </w:rPr>
      </w:pPr>
    </w:p>
    <w:p w:rsidR="000E6BF6" w:rsidRPr="006671C3" w:rsidRDefault="006671C3" w:rsidP="000E6BF6">
      <w:pPr>
        <w:numPr>
          <w:ilvl w:val="0"/>
          <w:numId w:val="11"/>
        </w:numPr>
        <w:spacing w:after="0" w:line="240" w:lineRule="auto"/>
        <w:ind w:left="0" w:right="51" w:firstLine="0"/>
        <w:jc w:val="both"/>
        <w:rPr>
          <w:rFonts w:ascii="Times New Roman" w:eastAsia="Times New Roman" w:hAnsi="Times New Roman" w:cs="Times New Roman"/>
          <w:snapToGrid w:val="0"/>
          <w:sz w:val="28"/>
          <w:szCs w:val="28"/>
          <w:lang w:val="es-ES" w:eastAsia="es-ES"/>
        </w:rPr>
      </w:pPr>
      <w:r w:rsidRPr="006671C3">
        <w:rPr>
          <w:rFonts w:ascii="Times New Roman" w:eastAsia="Times New Roman" w:hAnsi="Times New Roman" w:cs="Times New Roman"/>
          <w:snapToGrid w:val="0"/>
          <w:sz w:val="28"/>
          <w:szCs w:val="28"/>
          <w:lang w:val="es-ES" w:eastAsia="es-ES"/>
        </w:rPr>
        <w:t xml:space="preserve">De esta forma, a partir de la democracia </w:t>
      </w:r>
      <w:r w:rsidRPr="006671C3">
        <w:rPr>
          <w:rFonts w:ascii="Times New Roman" w:eastAsia="Times New Roman" w:hAnsi="Times New Roman" w:cs="Times New Roman"/>
          <w:snapToGrid w:val="0"/>
          <w:sz w:val="28"/>
          <w:szCs w:val="28"/>
          <w:lang w:val="es-ES" w:eastAsia="es-ES"/>
        </w:rPr>
        <w:t>participativa que anima la Constitución</w:t>
      </w:r>
      <w:r w:rsidRPr="006671C3">
        <w:rPr>
          <w:rFonts w:ascii="Times New Roman" w:eastAsia="Times New Roman" w:hAnsi="Times New Roman" w:cs="Times New Roman"/>
          <w:snapToGrid w:val="0"/>
          <w:sz w:val="28"/>
          <w:szCs w:val="28"/>
          <w:vertAlign w:val="superscript"/>
          <w:lang w:val="es-ES" w:eastAsia="es-ES"/>
        </w:rPr>
        <w:footnoteReference w:id="78"/>
      </w:r>
      <w:r w:rsidRPr="006671C3">
        <w:rPr>
          <w:rFonts w:ascii="Times New Roman" w:eastAsia="Times New Roman" w:hAnsi="Times New Roman" w:cs="Times New Roman"/>
          <w:snapToGrid w:val="0"/>
          <w:sz w:val="28"/>
          <w:szCs w:val="28"/>
          <w:lang w:val="es-ES" w:eastAsia="es-ES"/>
        </w:rPr>
        <w:t xml:space="preserve">, la exigencia de unas </w:t>
      </w:r>
      <w:r w:rsidRPr="006671C3">
        <w:rPr>
          <w:rFonts w:ascii="Times New Roman" w:eastAsia="Times New Roman" w:hAnsi="Times New Roman" w:cs="Times New Roman"/>
          <w:i/>
          <w:snapToGrid w:val="0"/>
          <w:sz w:val="28"/>
          <w:szCs w:val="28"/>
          <w:lang w:val="es-ES" w:eastAsia="es-ES"/>
        </w:rPr>
        <w:t>condiciones argumentativas mínimas</w:t>
      </w:r>
      <w:r w:rsidRPr="006671C3">
        <w:rPr>
          <w:rFonts w:ascii="Times New Roman" w:eastAsia="Times New Roman" w:hAnsi="Times New Roman" w:cs="Times New Roman"/>
          <w:snapToGrid w:val="0"/>
          <w:sz w:val="28"/>
          <w:szCs w:val="28"/>
          <w:lang w:val="es-ES" w:eastAsia="es-ES"/>
        </w:rPr>
        <w:t xml:space="preserve"> no puede entenderse como una limitación a los derechos políticos del ciudadano, por cuanto “lo que se persigue al identificar el contenido de la demanda de in</w:t>
      </w:r>
      <w:r w:rsidRPr="006671C3">
        <w:rPr>
          <w:rFonts w:ascii="Times New Roman" w:eastAsia="Times New Roman" w:hAnsi="Times New Roman" w:cs="Times New Roman"/>
          <w:snapToGrid w:val="0"/>
          <w:sz w:val="28"/>
          <w:szCs w:val="28"/>
          <w:lang w:val="es-ES" w:eastAsia="es-ES"/>
        </w:rPr>
        <w:t>constitucionalidad, es fijar unos elementos que informen adecuadamente al juez para poder proferir un pronunciamiento de fondo”</w:t>
      </w:r>
      <w:r w:rsidRPr="006671C3">
        <w:rPr>
          <w:rFonts w:ascii="Times New Roman" w:eastAsia="Times New Roman" w:hAnsi="Times New Roman" w:cs="Times New Roman"/>
          <w:snapToGrid w:val="0"/>
          <w:sz w:val="28"/>
          <w:szCs w:val="28"/>
          <w:vertAlign w:val="superscript"/>
          <w:lang w:val="es-ES" w:eastAsia="es-ES"/>
        </w:rPr>
        <w:footnoteReference w:id="79"/>
      </w:r>
      <w:r w:rsidRPr="006671C3">
        <w:rPr>
          <w:rFonts w:ascii="Times New Roman" w:eastAsia="Times New Roman" w:hAnsi="Times New Roman" w:cs="Times New Roman"/>
          <w:snapToGrid w:val="0"/>
          <w:sz w:val="28"/>
          <w:szCs w:val="28"/>
          <w:lang w:val="es-ES" w:eastAsia="es-ES"/>
        </w:rPr>
        <w:t>, lo cual “supone como mínimo la exposición de razones conducentes para hacer posible el debate”</w:t>
      </w:r>
      <w:r w:rsidRPr="006671C3">
        <w:rPr>
          <w:rFonts w:ascii="Times New Roman" w:eastAsia="Times New Roman" w:hAnsi="Times New Roman" w:cs="Times New Roman"/>
          <w:snapToGrid w:val="0"/>
          <w:sz w:val="28"/>
          <w:szCs w:val="28"/>
          <w:vertAlign w:val="superscript"/>
          <w:lang w:val="es-ES" w:eastAsia="es-ES"/>
        </w:rPr>
        <w:footnoteReference w:id="80"/>
      </w:r>
      <w:r w:rsidRPr="006671C3">
        <w:rPr>
          <w:rFonts w:ascii="Times New Roman" w:eastAsia="Times New Roman" w:hAnsi="Times New Roman" w:cs="Times New Roman"/>
          <w:snapToGrid w:val="0"/>
          <w:sz w:val="28"/>
          <w:szCs w:val="28"/>
          <w:lang w:val="es-ES" w:eastAsia="es-ES"/>
        </w:rPr>
        <w:t xml:space="preserve">. </w:t>
      </w:r>
    </w:p>
    <w:p w:rsidR="000E6BF6" w:rsidRPr="006671C3" w:rsidRDefault="006671C3" w:rsidP="000E6BF6">
      <w:pPr>
        <w:spacing w:after="0" w:line="240" w:lineRule="auto"/>
        <w:contextualSpacing/>
        <w:rPr>
          <w:rFonts w:ascii="Times New Roman" w:eastAsia="Times New Roman" w:hAnsi="Times New Roman" w:cs="Times New Roman"/>
          <w:snapToGrid w:val="0"/>
          <w:sz w:val="28"/>
          <w:szCs w:val="28"/>
          <w:lang w:val="es-ES" w:eastAsia="es-ES"/>
        </w:rPr>
      </w:pPr>
    </w:p>
    <w:p w:rsidR="000E6BF6" w:rsidRPr="006671C3" w:rsidRDefault="006671C3" w:rsidP="000E6BF6">
      <w:pPr>
        <w:numPr>
          <w:ilvl w:val="0"/>
          <w:numId w:val="11"/>
        </w:numPr>
        <w:spacing w:after="0" w:line="240" w:lineRule="auto"/>
        <w:ind w:left="0" w:right="51" w:firstLine="0"/>
        <w:jc w:val="both"/>
        <w:rPr>
          <w:rFonts w:ascii="Times New Roman" w:eastAsia="Times New Roman" w:hAnsi="Times New Roman" w:cs="Times New Roman"/>
          <w:snapToGrid w:val="0"/>
          <w:sz w:val="28"/>
          <w:szCs w:val="28"/>
          <w:lang w:val="es-ES" w:eastAsia="es-ES"/>
        </w:rPr>
      </w:pPr>
      <w:r w:rsidRPr="006671C3">
        <w:rPr>
          <w:rFonts w:ascii="Times New Roman" w:eastAsia="Times New Roman" w:hAnsi="Times New Roman" w:cs="Times New Roman"/>
          <w:snapToGrid w:val="0"/>
          <w:sz w:val="28"/>
          <w:szCs w:val="28"/>
          <w:lang w:val="es-ES" w:eastAsia="es-ES"/>
        </w:rPr>
        <w:t>Según el régimen procedimen</w:t>
      </w:r>
      <w:r w:rsidRPr="006671C3">
        <w:rPr>
          <w:rFonts w:ascii="Times New Roman" w:eastAsia="Times New Roman" w:hAnsi="Times New Roman" w:cs="Times New Roman"/>
          <w:snapToGrid w:val="0"/>
          <w:sz w:val="28"/>
          <w:szCs w:val="28"/>
          <w:lang w:val="es-ES" w:eastAsia="es-ES"/>
        </w:rPr>
        <w:t>tal constitucional, son tres los elementos que cualquier ciudadano debe cumplir con precisión al ejercer la acción de inconstitucionalidad</w:t>
      </w:r>
      <w:r w:rsidRPr="006671C3">
        <w:rPr>
          <w:rFonts w:ascii="Times New Roman" w:eastAsia="Times New Roman" w:hAnsi="Times New Roman" w:cs="Times New Roman"/>
          <w:snapToGrid w:val="0"/>
          <w:sz w:val="28"/>
          <w:szCs w:val="28"/>
          <w:vertAlign w:val="superscript"/>
          <w:lang w:val="es-ES" w:eastAsia="es-ES"/>
        </w:rPr>
        <w:footnoteReference w:id="81"/>
      </w:r>
      <w:r w:rsidRPr="006671C3">
        <w:rPr>
          <w:rFonts w:ascii="Times New Roman" w:eastAsia="Times New Roman" w:hAnsi="Times New Roman" w:cs="Times New Roman"/>
          <w:snapToGrid w:val="0"/>
          <w:sz w:val="28"/>
          <w:szCs w:val="28"/>
          <w:lang w:val="es-ES" w:eastAsia="es-ES"/>
        </w:rPr>
        <w:t>:</w:t>
      </w:r>
    </w:p>
    <w:p w:rsidR="000E6BF6" w:rsidRPr="006671C3" w:rsidRDefault="006671C3" w:rsidP="000E6BF6">
      <w:pPr>
        <w:spacing w:after="0" w:line="240" w:lineRule="auto"/>
        <w:ind w:right="51"/>
        <w:jc w:val="both"/>
        <w:rPr>
          <w:rFonts w:ascii="Times New Roman" w:eastAsia="Times New Roman" w:hAnsi="Times New Roman" w:cs="Times New Roman"/>
          <w:snapToGrid w:val="0"/>
          <w:sz w:val="28"/>
          <w:lang w:val="es-ES" w:eastAsia="es-ES"/>
        </w:rPr>
      </w:pPr>
      <w:bookmarkStart w:id="26" w:name="_Hlk134606152"/>
    </w:p>
    <w:tbl>
      <w:tblPr>
        <w:tblStyle w:val="Tablaconcuadrcula"/>
        <w:tblW w:w="5000" w:type="pct"/>
        <w:tblLook w:val="04A0" w:firstRow="1" w:lastRow="0" w:firstColumn="1" w:lastColumn="0" w:noHBand="0" w:noVBand="1"/>
      </w:tblPr>
      <w:tblGrid>
        <w:gridCol w:w="1323"/>
        <w:gridCol w:w="8185"/>
      </w:tblGrid>
      <w:tr w:rsidR="000E6BF6" w:rsidRPr="006671C3" w:rsidTr="00D1315E">
        <w:tc>
          <w:tcPr>
            <w:tcW w:w="667" w:type="pct"/>
          </w:tcPr>
          <w:p w:rsidR="000E6BF6" w:rsidRPr="006671C3" w:rsidRDefault="006671C3" w:rsidP="000E6BF6">
            <w:pPr>
              <w:ind w:right="51"/>
              <w:jc w:val="both"/>
              <w:rPr>
                <w:rFonts w:ascii="Times New Roman" w:eastAsia="Times New Roman" w:hAnsi="Times New Roman" w:cs="Times New Roman"/>
                <w:snapToGrid w:val="0"/>
                <w:sz w:val="28"/>
                <w:szCs w:val="20"/>
                <w:lang w:val="es-ES" w:eastAsia="es-ES"/>
              </w:rPr>
            </w:pPr>
            <w:r w:rsidRPr="006671C3">
              <w:rPr>
                <w:rFonts w:ascii="Times New Roman" w:eastAsia="Times New Roman" w:hAnsi="Times New Roman" w:cs="Times New Roman"/>
                <w:snapToGrid w:val="0"/>
                <w:sz w:val="28"/>
                <w:szCs w:val="20"/>
                <w:lang w:val="es-ES" w:eastAsia="es-ES"/>
              </w:rPr>
              <w:t>Competencia</w:t>
            </w:r>
          </w:p>
        </w:tc>
        <w:tc>
          <w:tcPr>
            <w:tcW w:w="4333" w:type="pct"/>
          </w:tcPr>
          <w:p w:rsidR="000E6BF6" w:rsidRPr="006671C3" w:rsidRDefault="006671C3" w:rsidP="000E6BF6">
            <w:pPr>
              <w:ind w:right="51"/>
              <w:jc w:val="both"/>
              <w:rPr>
                <w:rFonts w:ascii="Times New Roman" w:eastAsia="Times New Roman" w:hAnsi="Times New Roman" w:cs="Times New Roman"/>
                <w:snapToGrid w:val="0"/>
                <w:sz w:val="28"/>
                <w:szCs w:val="20"/>
                <w:lang w:val="es-ES" w:eastAsia="es-ES"/>
              </w:rPr>
            </w:pPr>
            <w:r w:rsidRPr="006671C3">
              <w:rPr>
                <w:rFonts w:ascii="Times New Roman" w:eastAsia="Times New Roman" w:hAnsi="Times New Roman" w:cs="Times New Roman"/>
                <w:snapToGrid w:val="0"/>
                <w:sz w:val="28"/>
                <w:szCs w:val="20"/>
                <w:lang w:val="es-ES" w:eastAsia="es-ES"/>
              </w:rPr>
              <w:t xml:space="preserve">Motivo por los cuales a la Corte corresponde conocer de la demanda y estudiarla para adoptar una </w:t>
            </w:r>
            <w:r w:rsidRPr="006671C3">
              <w:rPr>
                <w:rFonts w:ascii="Times New Roman" w:eastAsia="Times New Roman" w:hAnsi="Times New Roman" w:cs="Times New Roman"/>
                <w:snapToGrid w:val="0"/>
                <w:sz w:val="28"/>
                <w:szCs w:val="20"/>
                <w:lang w:val="es-ES" w:eastAsia="es-ES"/>
              </w:rPr>
              <w:t>decisión.</w:t>
            </w:r>
          </w:p>
        </w:tc>
      </w:tr>
      <w:tr w:rsidR="000E6BF6" w:rsidRPr="006671C3" w:rsidTr="00D1315E">
        <w:tc>
          <w:tcPr>
            <w:tcW w:w="667" w:type="pct"/>
          </w:tcPr>
          <w:p w:rsidR="000E6BF6" w:rsidRPr="006671C3" w:rsidRDefault="006671C3" w:rsidP="000E6BF6">
            <w:pPr>
              <w:ind w:right="51"/>
              <w:jc w:val="both"/>
              <w:rPr>
                <w:rFonts w:ascii="Times New Roman" w:eastAsia="Times New Roman" w:hAnsi="Times New Roman" w:cs="Times New Roman"/>
                <w:snapToGrid w:val="0"/>
                <w:sz w:val="28"/>
                <w:szCs w:val="20"/>
                <w:lang w:val="es-ES" w:eastAsia="es-ES"/>
              </w:rPr>
            </w:pPr>
            <w:r w:rsidRPr="006671C3">
              <w:rPr>
                <w:rFonts w:ascii="Times New Roman" w:eastAsia="Times New Roman" w:hAnsi="Times New Roman" w:cs="Times New Roman"/>
                <w:snapToGrid w:val="0"/>
                <w:sz w:val="28"/>
                <w:szCs w:val="20"/>
                <w:lang w:val="es-ES" w:eastAsia="es-ES"/>
              </w:rPr>
              <w:t>Objeto demandado</w:t>
            </w:r>
          </w:p>
        </w:tc>
        <w:tc>
          <w:tcPr>
            <w:tcW w:w="4333" w:type="pct"/>
          </w:tcPr>
          <w:p w:rsidR="000E6BF6" w:rsidRPr="006671C3" w:rsidRDefault="006671C3" w:rsidP="000E6BF6">
            <w:pPr>
              <w:ind w:right="51"/>
              <w:jc w:val="both"/>
              <w:rPr>
                <w:rFonts w:ascii="Times New Roman" w:eastAsia="Times New Roman" w:hAnsi="Times New Roman" w:cs="Times New Roman"/>
                <w:snapToGrid w:val="0"/>
                <w:sz w:val="28"/>
                <w:szCs w:val="20"/>
                <w:lang w:val="es-ES" w:eastAsia="es-ES"/>
              </w:rPr>
            </w:pPr>
            <w:r w:rsidRPr="006671C3">
              <w:rPr>
                <w:rFonts w:ascii="Times New Roman" w:eastAsia="Times New Roman" w:hAnsi="Times New Roman" w:cs="Times New Roman"/>
                <w:snapToGrid w:val="0"/>
                <w:sz w:val="28"/>
                <w:szCs w:val="20"/>
                <w:lang w:val="es-ES" w:eastAsia="es-ES"/>
              </w:rPr>
              <w:t>Plena identificación de las disposiciones que resultan contrarias a la Constitución (transcripción literal o inclusión de ejemplar).</w:t>
            </w:r>
          </w:p>
        </w:tc>
      </w:tr>
      <w:tr w:rsidR="000E6BF6" w:rsidRPr="006671C3" w:rsidTr="00D1315E">
        <w:tc>
          <w:tcPr>
            <w:tcW w:w="667" w:type="pct"/>
          </w:tcPr>
          <w:p w:rsidR="000E6BF6" w:rsidRPr="006671C3" w:rsidRDefault="006671C3" w:rsidP="000E6BF6">
            <w:pPr>
              <w:ind w:right="51"/>
              <w:jc w:val="both"/>
              <w:rPr>
                <w:rFonts w:ascii="Times New Roman" w:eastAsia="Times New Roman" w:hAnsi="Times New Roman" w:cs="Times New Roman"/>
                <w:snapToGrid w:val="0"/>
                <w:sz w:val="28"/>
                <w:szCs w:val="20"/>
                <w:lang w:val="es-ES" w:eastAsia="es-ES"/>
              </w:rPr>
            </w:pPr>
            <w:r w:rsidRPr="006671C3">
              <w:rPr>
                <w:rFonts w:ascii="Times New Roman" w:eastAsia="Times New Roman" w:hAnsi="Times New Roman" w:cs="Times New Roman"/>
                <w:snapToGrid w:val="0"/>
                <w:sz w:val="28"/>
                <w:szCs w:val="20"/>
                <w:lang w:val="es-ES" w:eastAsia="es-ES"/>
              </w:rPr>
              <w:t>Concepto de la violación</w:t>
            </w:r>
          </w:p>
        </w:tc>
        <w:tc>
          <w:tcPr>
            <w:tcW w:w="4333" w:type="pct"/>
          </w:tcPr>
          <w:p w:rsidR="000E6BF6" w:rsidRPr="006671C3" w:rsidRDefault="006671C3" w:rsidP="000E6BF6">
            <w:pPr>
              <w:ind w:right="51"/>
              <w:jc w:val="both"/>
              <w:rPr>
                <w:rFonts w:ascii="Times New Roman" w:eastAsia="Times New Roman" w:hAnsi="Times New Roman" w:cs="Times New Roman"/>
                <w:snapToGrid w:val="0"/>
                <w:sz w:val="28"/>
                <w:szCs w:val="20"/>
                <w:lang w:val="es-ES" w:eastAsia="es-ES"/>
              </w:rPr>
            </w:pPr>
            <w:r w:rsidRPr="006671C3">
              <w:rPr>
                <w:rFonts w:ascii="Times New Roman" w:eastAsia="Times New Roman" w:hAnsi="Times New Roman" w:cs="Times New Roman"/>
                <w:snapToGrid w:val="0"/>
                <w:sz w:val="28"/>
                <w:szCs w:val="20"/>
                <w:lang w:val="es-ES" w:eastAsia="es-ES"/>
              </w:rPr>
              <w:t>Exposición de razones por las cuales se considera que las disposicion</w:t>
            </w:r>
            <w:r w:rsidRPr="006671C3">
              <w:rPr>
                <w:rFonts w:ascii="Times New Roman" w:eastAsia="Times New Roman" w:hAnsi="Times New Roman" w:cs="Times New Roman"/>
                <w:snapToGrid w:val="0"/>
                <w:sz w:val="28"/>
                <w:szCs w:val="20"/>
                <w:lang w:val="es-ES" w:eastAsia="es-ES"/>
              </w:rPr>
              <w:t>es constitucionales resultan vulneradas por el o los artículos objeto de la demanda. Ello implica: i) el señalamiento de las normas constitucionales infringidas, ii) la exposición del contenido normativo de la disposición constitucional que riñe con la nor</w:t>
            </w:r>
            <w:r w:rsidRPr="006671C3">
              <w:rPr>
                <w:rFonts w:ascii="Times New Roman" w:eastAsia="Times New Roman" w:hAnsi="Times New Roman" w:cs="Times New Roman"/>
                <w:snapToGrid w:val="0"/>
                <w:sz w:val="28"/>
                <w:szCs w:val="20"/>
                <w:lang w:val="es-ES" w:eastAsia="es-ES"/>
              </w:rPr>
              <w:t>ma demandada y iii) las razones por las cuales el texto normativo demandado viola la Constitución.</w:t>
            </w:r>
          </w:p>
        </w:tc>
      </w:tr>
    </w:tbl>
    <w:p w:rsidR="000E6BF6" w:rsidRPr="006671C3" w:rsidRDefault="006671C3" w:rsidP="000E6BF6">
      <w:pPr>
        <w:spacing w:after="0" w:line="240" w:lineRule="auto"/>
        <w:ind w:right="51"/>
        <w:jc w:val="both"/>
        <w:rPr>
          <w:rFonts w:ascii="Times New Roman" w:eastAsia="Times New Roman" w:hAnsi="Times New Roman" w:cs="Times New Roman"/>
          <w:snapToGrid w:val="0"/>
          <w:sz w:val="28"/>
          <w:lang w:val="es-ES" w:eastAsia="es-ES"/>
        </w:rPr>
      </w:pPr>
    </w:p>
    <w:bookmarkEnd w:id="26"/>
    <w:p w:rsidR="000E6BF6" w:rsidRPr="006671C3" w:rsidRDefault="006671C3" w:rsidP="000E6BF6">
      <w:pPr>
        <w:numPr>
          <w:ilvl w:val="0"/>
          <w:numId w:val="11"/>
        </w:numPr>
        <w:spacing w:after="0" w:line="240" w:lineRule="auto"/>
        <w:ind w:left="0" w:right="51" w:firstLine="0"/>
        <w:jc w:val="both"/>
        <w:rPr>
          <w:rFonts w:ascii="Times New Roman" w:eastAsia="Times New Roman" w:hAnsi="Times New Roman" w:cs="Times New Roman"/>
          <w:snapToGrid w:val="0"/>
          <w:sz w:val="28"/>
          <w:szCs w:val="28"/>
          <w:lang w:val="es-ES" w:eastAsia="es-ES"/>
        </w:rPr>
      </w:pPr>
      <w:r w:rsidRPr="006671C3">
        <w:rPr>
          <w:rFonts w:ascii="Times New Roman" w:eastAsia="Times New Roman" w:hAnsi="Times New Roman" w:cs="Times New Roman"/>
          <w:snapToGrid w:val="0"/>
          <w:sz w:val="28"/>
          <w:szCs w:val="28"/>
          <w:lang w:val="es-ES" w:eastAsia="es-ES"/>
        </w:rPr>
        <w:t>Sobre las</w:t>
      </w:r>
      <w:r w:rsidRPr="006671C3">
        <w:rPr>
          <w:rFonts w:ascii="Times New Roman" w:eastAsia="Times New Roman" w:hAnsi="Times New Roman" w:cs="Times New Roman"/>
          <w:i/>
          <w:snapToGrid w:val="0"/>
          <w:sz w:val="28"/>
          <w:szCs w:val="28"/>
          <w:lang w:val="es-ES" w:eastAsia="es-ES"/>
        </w:rPr>
        <w:t xml:space="preserve"> razones de la inconstitucionalidad</w:t>
      </w:r>
      <w:r w:rsidRPr="006671C3">
        <w:rPr>
          <w:rFonts w:ascii="Times New Roman" w:eastAsia="Times New Roman" w:hAnsi="Times New Roman" w:cs="Times New Roman"/>
          <w:snapToGrid w:val="0"/>
          <w:sz w:val="28"/>
          <w:szCs w:val="28"/>
          <w:lang w:val="es-ES" w:eastAsia="es-ES"/>
        </w:rPr>
        <w:t xml:space="preserve">, esta corporación ha interpretado que la efectividad del derecho político a interponer acciones públicas en </w:t>
      </w:r>
      <w:r w:rsidRPr="006671C3">
        <w:rPr>
          <w:rFonts w:ascii="Times New Roman" w:eastAsia="Times New Roman" w:hAnsi="Times New Roman" w:cs="Times New Roman"/>
          <w:snapToGrid w:val="0"/>
          <w:sz w:val="28"/>
          <w:szCs w:val="28"/>
          <w:lang w:val="es-ES" w:eastAsia="es-ES"/>
        </w:rPr>
        <w:t>defensa de la Constitución dependerá de que satisfagan los siguientes presupuestos básicos</w:t>
      </w:r>
      <w:r w:rsidRPr="006671C3">
        <w:rPr>
          <w:rFonts w:ascii="Times New Roman" w:eastAsia="Times New Roman" w:hAnsi="Times New Roman" w:cs="Times New Roman"/>
          <w:snapToGrid w:val="0"/>
          <w:sz w:val="28"/>
          <w:szCs w:val="28"/>
          <w:vertAlign w:val="superscript"/>
          <w:lang w:val="es-ES" w:eastAsia="es-ES"/>
        </w:rPr>
        <w:footnoteReference w:id="82"/>
      </w:r>
      <w:r w:rsidRPr="006671C3">
        <w:rPr>
          <w:rFonts w:ascii="Times New Roman" w:eastAsia="Times New Roman" w:hAnsi="Times New Roman" w:cs="Times New Roman"/>
          <w:snapToGrid w:val="0"/>
          <w:sz w:val="28"/>
          <w:szCs w:val="28"/>
          <w:lang w:val="es-ES" w:eastAsia="es-ES"/>
        </w:rPr>
        <w:t>:</w:t>
      </w:r>
    </w:p>
    <w:p w:rsidR="000E6BF6" w:rsidRPr="006671C3" w:rsidRDefault="006671C3" w:rsidP="000E6BF6">
      <w:pPr>
        <w:spacing w:after="0" w:line="240" w:lineRule="auto"/>
        <w:ind w:right="51"/>
        <w:jc w:val="both"/>
        <w:rPr>
          <w:rFonts w:ascii="Times New Roman" w:eastAsia="Times New Roman" w:hAnsi="Times New Roman" w:cs="Times New Roman"/>
          <w:snapToGrid w:val="0"/>
          <w:sz w:val="28"/>
          <w:szCs w:val="28"/>
          <w:lang w:val="es-ES" w:eastAsia="es-ES"/>
        </w:rPr>
      </w:pPr>
    </w:p>
    <w:tbl>
      <w:tblPr>
        <w:tblStyle w:val="Tablaconcuadrcula"/>
        <w:tblW w:w="5000" w:type="pct"/>
        <w:tblLook w:val="04A0" w:firstRow="1" w:lastRow="0" w:firstColumn="1" w:lastColumn="0" w:noHBand="0" w:noVBand="1"/>
      </w:tblPr>
      <w:tblGrid>
        <w:gridCol w:w="1405"/>
        <w:gridCol w:w="8103"/>
      </w:tblGrid>
      <w:tr w:rsidR="000E6BF6" w:rsidRPr="006671C3" w:rsidTr="00D1315E">
        <w:tc>
          <w:tcPr>
            <w:tcW w:w="739" w:type="pct"/>
          </w:tcPr>
          <w:p w:rsidR="000E6BF6" w:rsidRPr="006671C3" w:rsidRDefault="006671C3" w:rsidP="000E6BF6">
            <w:pPr>
              <w:ind w:right="51"/>
              <w:jc w:val="both"/>
              <w:rPr>
                <w:rFonts w:ascii="Times New Roman" w:eastAsia="Times New Roman" w:hAnsi="Times New Roman" w:cs="Times New Roman"/>
                <w:snapToGrid w:val="0"/>
                <w:sz w:val="28"/>
                <w:szCs w:val="20"/>
                <w:lang w:val="es-ES" w:eastAsia="es-ES"/>
              </w:rPr>
            </w:pPr>
            <w:r w:rsidRPr="006671C3">
              <w:rPr>
                <w:rFonts w:ascii="Times New Roman" w:eastAsia="Times New Roman" w:hAnsi="Times New Roman" w:cs="Times New Roman"/>
                <w:snapToGrid w:val="0"/>
                <w:sz w:val="28"/>
                <w:szCs w:val="20"/>
                <w:lang w:val="es-ES" w:eastAsia="es-ES"/>
              </w:rPr>
              <w:t>Claridad</w:t>
            </w:r>
          </w:p>
        </w:tc>
        <w:tc>
          <w:tcPr>
            <w:tcW w:w="4261" w:type="pct"/>
          </w:tcPr>
          <w:p w:rsidR="000E6BF6" w:rsidRPr="006671C3" w:rsidRDefault="006671C3" w:rsidP="000E6BF6">
            <w:pPr>
              <w:ind w:right="51"/>
              <w:jc w:val="both"/>
              <w:rPr>
                <w:rFonts w:ascii="Times New Roman" w:eastAsia="Times New Roman" w:hAnsi="Times New Roman" w:cs="Times New Roman"/>
                <w:snapToGrid w:val="0"/>
                <w:sz w:val="28"/>
                <w:szCs w:val="20"/>
                <w:lang w:val="es-ES" w:eastAsia="es-ES"/>
              </w:rPr>
            </w:pPr>
            <w:r w:rsidRPr="006671C3">
              <w:rPr>
                <w:rFonts w:ascii="Times New Roman" w:eastAsia="Times New Roman" w:hAnsi="Times New Roman" w:cs="Times New Roman"/>
                <w:color w:val="000000" w:themeColor="text1"/>
                <w:sz w:val="28"/>
                <w:szCs w:val="20"/>
                <w:lang w:val="es-ES_tradnl"/>
              </w:rPr>
              <w:t>Debe seguir un hilo conductor argumentativo que permita al lector comprender fácilmente el contenido de la demanda y las justificaciones inmersas en ella</w:t>
            </w:r>
            <w:r w:rsidRPr="006671C3">
              <w:rPr>
                <w:rFonts w:ascii="Times New Roman" w:eastAsia="Times New Roman" w:hAnsi="Times New Roman" w:cs="Times New Roman"/>
                <w:color w:val="000000" w:themeColor="text1"/>
                <w:sz w:val="28"/>
                <w:szCs w:val="20"/>
                <w:lang w:val="es-ES_tradnl"/>
              </w:rPr>
              <w:t>.</w:t>
            </w:r>
          </w:p>
        </w:tc>
      </w:tr>
      <w:tr w:rsidR="000E6BF6" w:rsidRPr="006671C3" w:rsidTr="00D1315E">
        <w:tc>
          <w:tcPr>
            <w:tcW w:w="739" w:type="pct"/>
          </w:tcPr>
          <w:p w:rsidR="000E6BF6" w:rsidRPr="006671C3" w:rsidRDefault="006671C3" w:rsidP="000E6BF6">
            <w:pPr>
              <w:ind w:right="51"/>
              <w:jc w:val="both"/>
              <w:rPr>
                <w:rFonts w:ascii="Times New Roman" w:eastAsia="Times New Roman" w:hAnsi="Times New Roman" w:cs="Times New Roman"/>
                <w:snapToGrid w:val="0"/>
                <w:sz w:val="28"/>
                <w:szCs w:val="20"/>
                <w:lang w:val="es-ES" w:eastAsia="es-ES"/>
              </w:rPr>
            </w:pPr>
            <w:r w:rsidRPr="006671C3">
              <w:rPr>
                <w:rFonts w:ascii="Times New Roman" w:eastAsia="Times New Roman" w:hAnsi="Times New Roman" w:cs="Times New Roman"/>
                <w:snapToGrid w:val="0"/>
                <w:sz w:val="28"/>
                <w:szCs w:val="20"/>
                <w:lang w:val="es-ES" w:eastAsia="es-ES"/>
              </w:rPr>
              <w:t>Certeza</w:t>
            </w:r>
          </w:p>
        </w:tc>
        <w:tc>
          <w:tcPr>
            <w:tcW w:w="4261" w:type="pct"/>
          </w:tcPr>
          <w:p w:rsidR="000E6BF6" w:rsidRPr="006671C3" w:rsidRDefault="006671C3" w:rsidP="000E6BF6">
            <w:pPr>
              <w:ind w:right="51"/>
              <w:jc w:val="both"/>
              <w:rPr>
                <w:rFonts w:ascii="Times New Roman" w:eastAsia="Times New Roman" w:hAnsi="Times New Roman" w:cs="Times New Roman"/>
                <w:snapToGrid w:val="0"/>
                <w:sz w:val="28"/>
                <w:szCs w:val="20"/>
                <w:lang w:val="es-ES" w:eastAsia="es-ES"/>
              </w:rPr>
            </w:pPr>
            <w:r w:rsidRPr="006671C3">
              <w:rPr>
                <w:rFonts w:ascii="Times New Roman" w:eastAsia="Times New Roman" w:hAnsi="Times New Roman" w:cs="Times New Roman"/>
                <w:snapToGrid w:val="0"/>
                <w:sz w:val="28"/>
                <w:szCs w:val="20"/>
                <w:lang w:val="es-ES_tradnl" w:eastAsia="es-ES"/>
              </w:rPr>
              <w:t xml:space="preserve">Ha de recaer sobre </w:t>
            </w:r>
            <w:r w:rsidRPr="006671C3">
              <w:rPr>
                <w:rFonts w:ascii="Times New Roman" w:eastAsia="Times New Roman" w:hAnsi="Times New Roman" w:cs="Times New Roman"/>
                <w:iCs/>
                <w:snapToGrid w:val="0"/>
                <w:sz w:val="28"/>
                <w:szCs w:val="20"/>
                <w:lang w:val="es-ES_tradnl" w:eastAsia="es-ES"/>
              </w:rPr>
              <w:t>una proposición jurídica real y existente</w:t>
            </w:r>
            <w:r w:rsidRPr="006671C3">
              <w:rPr>
                <w:rFonts w:ascii="Times New Roman" w:eastAsia="Times New Roman" w:hAnsi="Times New Roman" w:cs="Times New Roman"/>
                <w:snapToGrid w:val="0"/>
                <w:sz w:val="28"/>
                <w:szCs w:val="20"/>
                <w:lang w:val="es-ES_tradnl" w:eastAsia="es-ES"/>
              </w:rPr>
              <w:t xml:space="preserve"> y no simplemente sobre una deducida por el actor, implícita o normas vigentes que no son objeto de la demanda. Supone la confrontación con una norma legal que tiene un contenido verificable a partir de la interpretación de su propio texto, por lo que difi</w:t>
            </w:r>
            <w:r w:rsidRPr="006671C3">
              <w:rPr>
                <w:rFonts w:ascii="Times New Roman" w:eastAsia="Times New Roman" w:hAnsi="Times New Roman" w:cs="Times New Roman"/>
                <w:snapToGrid w:val="0"/>
                <w:sz w:val="28"/>
                <w:szCs w:val="20"/>
                <w:lang w:val="es-ES_tradnl" w:eastAsia="es-ES"/>
              </w:rPr>
              <w:t>ere de aquella encaminada a establecer proposiciones inexistentes, no suministradas por el legislador, para pretender deducir la inexequibilidad cuando del texto normativo no se desprenden.</w:t>
            </w:r>
          </w:p>
        </w:tc>
      </w:tr>
      <w:tr w:rsidR="000E6BF6" w:rsidRPr="006671C3" w:rsidTr="00D1315E">
        <w:tc>
          <w:tcPr>
            <w:tcW w:w="739" w:type="pct"/>
          </w:tcPr>
          <w:p w:rsidR="000E6BF6" w:rsidRPr="006671C3" w:rsidRDefault="006671C3" w:rsidP="000E6BF6">
            <w:pPr>
              <w:ind w:right="51"/>
              <w:jc w:val="both"/>
              <w:rPr>
                <w:rFonts w:ascii="Times New Roman" w:eastAsia="Times New Roman" w:hAnsi="Times New Roman" w:cs="Times New Roman"/>
                <w:snapToGrid w:val="0"/>
                <w:sz w:val="28"/>
                <w:szCs w:val="20"/>
                <w:lang w:val="es-ES" w:eastAsia="es-ES"/>
              </w:rPr>
            </w:pPr>
            <w:r w:rsidRPr="006671C3">
              <w:rPr>
                <w:rFonts w:ascii="Times New Roman" w:eastAsia="Times New Roman" w:hAnsi="Times New Roman" w:cs="Times New Roman"/>
                <w:snapToGrid w:val="0"/>
                <w:sz w:val="28"/>
                <w:szCs w:val="20"/>
                <w:lang w:val="es-ES" w:eastAsia="es-ES"/>
              </w:rPr>
              <w:t>Especificidad</w:t>
            </w:r>
          </w:p>
        </w:tc>
        <w:tc>
          <w:tcPr>
            <w:tcW w:w="4261" w:type="pct"/>
          </w:tcPr>
          <w:p w:rsidR="000E6BF6" w:rsidRPr="006671C3" w:rsidRDefault="006671C3" w:rsidP="000E6BF6">
            <w:pPr>
              <w:ind w:right="51"/>
              <w:jc w:val="both"/>
              <w:rPr>
                <w:rFonts w:ascii="Times New Roman" w:eastAsia="Times New Roman" w:hAnsi="Times New Roman" w:cs="Times New Roman"/>
                <w:snapToGrid w:val="0"/>
                <w:sz w:val="28"/>
                <w:szCs w:val="20"/>
                <w:lang w:val="es-ES" w:eastAsia="es-ES"/>
              </w:rPr>
            </w:pPr>
            <w:r w:rsidRPr="006671C3">
              <w:rPr>
                <w:rFonts w:ascii="Times New Roman" w:eastAsia="Times New Roman" w:hAnsi="Times New Roman" w:cs="Times New Roman"/>
                <w:snapToGrid w:val="0"/>
                <w:sz w:val="28"/>
                <w:szCs w:val="20"/>
                <w:lang w:val="es-ES_tradnl" w:eastAsia="es-ES"/>
              </w:rPr>
              <w:t xml:space="preserve">Debe definir la manera como la disposición acusada </w:t>
            </w:r>
            <w:r w:rsidRPr="006671C3">
              <w:rPr>
                <w:rFonts w:ascii="Times New Roman" w:eastAsia="Times New Roman" w:hAnsi="Times New Roman" w:cs="Times New Roman"/>
                <w:snapToGrid w:val="0"/>
                <w:sz w:val="28"/>
                <w:szCs w:val="20"/>
                <w:lang w:val="es-ES_tradnl" w:eastAsia="es-ES"/>
              </w:rPr>
              <w:t>vulnera la Constitución a través de la formulación de por lo menos un cargo concreto. Establecer si realmente existe una oposición objetiva y verificable entre el contenido de la ley y el texto constitucional. Resulta inadmisible argumentos vagos, indeterm</w:t>
            </w:r>
            <w:r w:rsidRPr="006671C3">
              <w:rPr>
                <w:rFonts w:ascii="Times New Roman" w:eastAsia="Times New Roman" w:hAnsi="Times New Roman" w:cs="Times New Roman"/>
                <w:snapToGrid w:val="0"/>
                <w:sz w:val="28"/>
                <w:szCs w:val="20"/>
                <w:lang w:val="es-ES_tradnl" w:eastAsia="es-ES"/>
              </w:rPr>
              <w:t>inados, abstractos y globales, que no se relacionan directa y concretamente con las disposiciones acusadas.</w:t>
            </w:r>
          </w:p>
        </w:tc>
      </w:tr>
      <w:tr w:rsidR="000E6BF6" w:rsidRPr="006671C3" w:rsidTr="00D1315E">
        <w:tc>
          <w:tcPr>
            <w:tcW w:w="739" w:type="pct"/>
          </w:tcPr>
          <w:p w:rsidR="000E6BF6" w:rsidRPr="006671C3" w:rsidRDefault="006671C3" w:rsidP="000E6BF6">
            <w:pPr>
              <w:ind w:right="51"/>
              <w:jc w:val="both"/>
              <w:rPr>
                <w:rFonts w:ascii="Times New Roman" w:eastAsia="Times New Roman" w:hAnsi="Times New Roman" w:cs="Times New Roman"/>
                <w:snapToGrid w:val="0"/>
                <w:sz w:val="28"/>
                <w:szCs w:val="20"/>
                <w:lang w:val="es-ES" w:eastAsia="es-ES"/>
              </w:rPr>
            </w:pPr>
            <w:r w:rsidRPr="006671C3">
              <w:rPr>
                <w:rFonts w:ascii="Times New Roman" w:eastAsia="Times New Roman" w:hAnsi="Times New Roman" w:cs="Times New Roman"/>
                <w:snapToGrid w:val="0"/>
                <w:sz w:val="28"/>
                <w:szCs w:val="20"/>
                <w:lang w:val="es-ES" w:eastAsia="es-ES"/>
              </w:rPr>
              <w:t>Pertinencia</w:t>
            </w:r>
          </w:p>
        </w:tc>
        <w:tc>
          <w:tcPr>
            <w:tcW w:w="4261" w:type="pct"/>
          </w:tcPr>
          <w:p w:rsidR="000E6BF6" w:rsidRPr="006671C3" w:rsidRDefault="006671C3" w:rsidP="000E6BF6">
            <w:pPr>
              <w:ind w:right="51"/>
              <w:jc w:val="both"/>
              <w:rPr>
                <w:rFonts w:ascii="Times New Roman" w:eastAsia="Times New Roman" w:hAnsi="Times New Roman" w:cs="Times New Roman"/>
                <w:snapToGrid w:val="0"/>
                <w:sz w:val="28"/>
                <w:szCs w:val="20"/>
                <w:lang w:val="es-ES" w:eastAsia="es-ES"/>
              </w:rPr>
            </w:pPr>
            <w:r w:rsidRPr="006671C3">
              <w:rPr>
                <w:rFonts w:ascii="Times New Roman" w:eastAsia="Times New Roman" w:hAnsi="Times New Roman" w:cs="Times New Roman"/>
                <w:snapToGrid w:val="0"/>
                <w:sz w:val="28"/>
                <w:szCs w:val="20"/>
                <w:lang w:val="es-ES_tradnl" w:eastAsia="es-ES"/>
              </w:rPr>
              <w:t>El reproche formulado debe ser de naturaleza constitucional. Son inaceptables argumentos que parten de consideraciones puramente legale</w:t>
            </w:r>
            <w:r w:rsidRPr="006671C3">
              <w:rPr>
                <w:rFonts w:ascii="Times New Roman" w:eastAsia="Times New Roman" w:hAnsi="Times New Roman" w:cs="Times New Roman"/>
                <w:snapToGrid w:val="0"/>
                <w:sz w:val="28"/>
                <w:szCs w:val="20"/>
                <w:lang w:val="es-ES_tradnl" w:eastAsia="es-ES"/>
              </w:rPr>
              <w:t>s; doctrinarias; que expresan puntos de vista subjetivos en los que no se está acusando el contenido de la norma legal sino utilizando la acción para resolver un problema particular como la indebida aplicación de la disposición en un caso específico; y que</w:t>
            </w:r>
            <w:r w:rsidRPr="006671C3">
              <w:rPr>
                <w:rFonts w:ascii="Times New Roman" w:eastAsia="Times New Roman" w:hAnsi="Times New Roman" w:cs="Times New Roman"/>
                <w:snapToGrid w:val="0"/>
                <w:sz w:val="28"/>
                <w:szCs w:val="20"/>
                <w:lang w:val="es-ES_tradnl" w:eastAsia="es-ES"/>
              </w:rPr>
              <w:t xml:space="preserve"> se fundan en un análisis de conveniencia, calificándola de inocua, innecesaria o reiterativa a partir de una valoración parcial de sus efectos.</w:t>
            </w:r>
          </w:p>
        </w:tc>
      </w:tr>
      <w:tr w:rsidR="000E6BF6" w:rsidRPr="006671C3" w:rsidTr="00D1315E">
        <w:tc>
          <w:tcPr>
            <w:tcW w:w="739" w:type="pct"/>
          </w:tcPr>
          <w:p w:rsidR="000E6BF6" w:rsidRPr="006671C3" w:rsidRDefault="006671C3" w:rsidP="000E6BF6">
            <w:pPr>
              <w:ind w:right="51"/>
              <w:jc w:val="both"/>
              <w:rPr>
                <w:rFonts w:ascii="Times New Roman" w:eastAsia="Times New Roman" w:hAnsi="Times New Roman" w:cs="Times New Roman"/>
                <w:snapToGrid w:val="0"/>
                <w:sz w:val="28"/>
                <w:szCs w:val="20"/>
                <w:lang w:val="es-ES" w:eastAsia="es-ES"/>
              </w:rPr>
            </w:pPr>
            <w:r w:rsidRPr="006671C3">
              <w:rPr>
                <w:rFonts w:ascii="Times New Roman" w:eastAsia="Times New Roman" w:hAnsi="Times New Roman" w:cs="Times New Roman"/>
                <w:snapToGrid w:val="0"/>
                <w:sz w:val="28"/>
                <w:szCs w:val="20"/>
                <w:lang w:val="es-ES" w:eastAsia="es-ES"/>
              </w:rPr>
              <w:t>Suficiencia</w:t>
            </w:r>
          </w:p>
        </w:tc>
        <w:tc>
          <w:tcPr>
            <w:tcW w:w="4261" w:type="pct"/>
          </w:tcPr>
          <w:p w:rsidR="000E6BF6" w:rsidRPr="006671C3" w:rsidRDefault="006671C3" w:rsidP="000E6BF6">
            <w:pPr>
              <w:ind w:right="51"/>
              <w:jc w:val="both"/>
              <w:rPr>
                <w:rFonts w:ascii="Times New Roman" w:eastAsia="Times New Roman" w:hAnsi="Times New Roman" w:cs="Times New Roman"/>
                <w:snapToGrid w:val="0"/>
                <w:sz w:val="28"/>
                <w:szCs w:val="20"/>
                <w:lang w:val="es-ES" w:eastAsia="es-ES"/>
              </w:rPr>
            </w:pPr>
            <w:r w:rsidRPr="006671C3">
              <w:rPr>
                <w:rFonts w:ascii="Times New Roman" w:eastAsia="Times New Roman" w:hAnsi="Times New Roman" w:cs="Times New Roman"/>
                <w:snapToGrid w:val="0"/>
                <w:sz w:val="28"/>
                <w:szCs w:val="20"/>
                <w:lang w:val="es-ES_tradnl" w:eastAsia="es-ES"/>
              </w:rPr>
              <w:t>Guarda relación, en primer lugar, con la exposición de todos los elementos de juicio (argumentativ</w:t>
            </w:r>
            <w:r w:rsidRPr="006671C3">
              <w:rPr>
                <w:rFonts w:ascii="Times New Roman" w:eastAsia="Times New Roman" w:hAnsi="Times New Roman" w:cs="Times New Roman"/>
                <w:snapToGrid w:val="0"/>
                <w:sz w:val="28"/>
                <w:szCs w:val="20"/>
                <w:lang w:val="es-ES_tradnl" w:eastAsia="es-ES"/>
              </w:rPr>
              <w:t>os y probatorios) necesarios para iniciar el juicio de constitucionalidad. En segundo lugar, apela directamente al alcance persuasivo de la demanda, es decir, a la presentación de argumentos que aun cuando no logren en principio convencer de la inconstituc</w:t>
            </w:r>
            <w:r w:rsidRPr="006671C3">
              <w:rPr>
                <w:rFonts w:ascii="Times New Roman" w:eastAsia="Times New Roman" w:hAnsi="Times New Roman" w:cs="Times New Roman"/>
                <w:snapToGrid w:val="0"/>
                <w:sz w:val="28"/>
                <w:szCs w:val="20"/>
                <w:lang w:val="es-ES_tradnl" w:eastAsia="es-ES"/>
              </w:rPr>
              <w:t>ionalidad de la norma legal, sí despiertan una duda mínima sobre su constitucionalidad, de manera que inicie un proceso dirigido a desvirtuar la presunción de constitucionalidad y haga necesario un pronunciamiento de la Corte.</w:t>
            </w:r>
          </w:p>
        </w:tc>
      </w:tr>
    </w:tbl>
    <w:p w:rsidR="000E6BF6" w:rsidRPr="006671C3" w:rsidRDefault="006671C3" w:rsidP="000E6BF6">
      <w:pPr>
        <w:spacing w:after="0" w:line="240" w:lineRule="auto"/>
        <w:ind w:right="51"/>
        <w:jc w:val="both"/>
        <w:rPr>
          <w:rFonts w:ascii="Times New Roman" w:eastAsia="Times New Roman" w:hAnsi="Times New Roman" w:cs="Times New Roman"/>
          <w:snapToGrid w:val="0"/>
          <w:sz w:val="28"/>
          <w:lang w:val="es-ES" w:eastAsia="es-ES"/>
        </w:rPr>
      </w:pPr>
    </w:p>
    <w:p w:rsidR="000E6BF6" w:rsidRPr="006671C3" w:rsidRDefault="006671C3" w:rsidP="000E6BF6">
      <w:pPr>
        <w:numPr>
          <w:ilvl w:val="0"/>
          <w:numId w:val="11"/>
        </w:numPr>
        <w:spacing w:after="0" w:line="240" w:lineRule="auto"/>
        <w:ind w:left="0" w:right="51" w:firstLine="0"/>
        <w:jc w:val="both"/>
        <w:rPr>
          <w:rFonts w:ascii="Times New Roman" w:eastAsia="Times New Roman" w:hAnsi="Times New Roman" w:cs="Times New Roman"/>
          <w:snapToGrid w:val="0"/>
          <w:sz w:val="28"/>
          <w:szCs w:val="28"/>
          <w:lang w:val="es-ES" w:eastAsia="es-ES"/>
        </w:rPr>
      </w:pPr>
      <w:r w:rsidRPr="006671C3">
        <w:rPr>
          <w:rFonts w:ascii="Times New Roman" w:eastAsia="Times New Roman" w:hAnsi="Times New Roman" w:cs="Times New Roman"/>
          <w:snapToGrid w:val="0"/>
          <w:sz w:val="28"/>
          <w:szCs w:val="28"/>
          <w:lang w:val="es-ES" w:eastAsia="es-ES"/>
        </w:rPr>
        <w:t>Ha dicho la Corte que</w:t>
      </w:r>
      <w:r w:rsidRPr="006671C3">
        <w:rPr>
          <w:rFonts w:ascii="Times New Roman" w:eastAsia="Times New Roman" w:hAnsi="Times New Roman" w:cs="Times New Roman"/>
          <w:snapToGrid w:val="0"/>
          <w:sz w:val="28"/>
          <w:szCs w:val="28"/>
          <w:vertAlign w:val="superscript"/>
          <w:lang w:val="es-ES" w:eastAsia="es-ES"/>
        </w:rPr>
        <w:footnoteReference w:id="83"/>
      </w:r>
      <w:r w:rsidRPr="006671C3">
        <w:rPr>
          <w:rFonts w:ascii="Times New Roman" w:eastAsia="Times New Roman" w:hAnsi="Times New Roman" w:cs="Times New Roman"/>
          <w:snapToGrid w:val="0"/>
          <w:sz w:val="28"/>
          <w:szCs w:val="28"/>
          <w:lang w:val="es-ES" w:eastAsia="es-ES"/>
        </w:rPr>
        <w:t xml:space="preserve"> “está fuera de su alcance ´tratar de reconducir el alegato del accionante hasta lograr estructurar un cargo dotado de la suficiente idoneidad para provocar un pronunciamiento de fondo´</w:t>
      </w:r>
      <w:r w:rsidRPr="006671C3">
        <w:rPr>
          <w:rFonts w:ascii="Times New Roman" w:eastAsia="Times New Roman" w:hAnsi="Times New Roman" w:cs="Times New Roman"/>
          <w:snapToGrid w:val="0"/>
          <w:sz w:val="28"/>
          <w:szCs w:val="28"/>
          <w:vertAlign w:val="superscript"/>
          <w:lang w:val="es-ES" w:eastAsia="es-ES"/>
        </w:rPr>
        <w:footnoteReference w:id="84"/>
      </w:r>
      <w:r w:rsidRPr="006671C3">
        <w:rPr>
          <w:rFonts w:ascii="Times New Roman" w:eastAsia="Times New Roman" w:hAnsi="Times New Roman" w:cs="Times New Roman"/>
          <w:snapToGrid w:val="0"/>
          <w:sz w:val="28"/>
          <w:szCs w:val="28"/>
          <w:lang w:val="es-ES" w:eastAsia="es-ES"/>
        </w:rPr>
        <w:t xml:space="preserve">  y, en ese sentido, no puede ´reelaborar, transformar, confeccionar o</w:t>
      </w:r>
      <w:r w:rsidRPr="006671C3">
        <w:rPr>
          <w:rFonts w:ascii="Times New Roman" w:eastAsia="Times New Roman" w:hAnsi="Times New Roman" w:cs="Times New Roman"/>
          <w:snapToGrid w:val="0"/>
          <w:sz w:val="28"/>
          <w:szCs w:val="28"/>
          <w:lang w:val="es-ES" w:eastAsia="es-ES"/>
        </w:rPr>
        <w:t xml:space="preserve"> construir los planteamientos esbozados en la demanda con el propósito de que cumplan los requisitos mínimos exigidos por la jurisprudencia constitucional para que la misma Corte se pronuncie de fondo´</w:t>
      </w:r>
      <w:r w:rsidRPr="006671C3">
        <w:rPr>
          <w:rFonts w:ascii="Times New Roman" w:eastAsia="Times New Roman" w:hAnsi="Times New Roman" w:cs="Times New Roman"/>
          <w:snapToGrid w:val="0"/>
          <w:sz w:val="28"/>
          <w:szCs w:val="28"/>
          <w:vertAlign w:val="superscript"/>
          <w:lang w:val="es-ES" w:eastAsia="es-ES"/>
        </w:rPr>
        <w:footnoteReference w:id="85"/>
      </w:r>
      <w:r w:rsidRPr="006671C3">
        <w:rPr>
          <w:rFonts w:ascii="Times New Roman" w:eastAsia="Times New Roman" w:hAnsi="Times New Roman" w:cs="Times New Roman"/>
          <w:snapToGrid w:val="0"/>
          <w:sz w:val="28"/>
          <w:szCs w:val="28"/>
          <w:lang w:val="es-ES" w:eastAsia="es-ES"/>
        </w:rPr>
        <w:t>”.</w:t>
      </w:r>
    </w:p>
    <w:p w:rsidR="000E6BF6" w:rsidRPr="006671C3" w:rsidRDefault="006671C3" w:rsidP="000E6BF6">
      <w:pPr>
        <w:spacing w:after="0" w:line="240" w:lineRule="auto"/>
        <w:ind w:right="51"/>
        <w:jc w:val="both"/>
        <w:rPr>
          <w:rFonts w:ascii="Times New Roman" w:eastAsia="Times New Roman" w:hAnsi="Times New Roman" w:cs="Times New Roman"/>
          <w:snapToGrid w:val="0"/>
          <w:sz w:val="28"/>
          <w:szCs w:val="28"/>
          <w:lang w:val="es-ES" w:eastAsia="es-ES"/>
        </w:rPr>
      </w:pPr>
    </w:p>
    <w:p w:rsidR="000E6BF6" w:rsidRPr="006671C3" w:rsidRDefault="006671C3" w:rsidP="000E6BF6">
      <w:pPr>
        <w:numPr>
          <w:ilvl w:val="0"/>
          <w:numId w:val="11"/>
        </w:numPr>
        <w:spacing w:after="0" w:line="240" w:lineRule="auto"/>
        <w:ind w:left="0" w:right="51" w:firstLine="0"/>
        <w:jc w:val="both"/>
        <w:rPr>
          <w:rFonts w:ascii="Times New Roman" w:eastAsia="Times New Roman" w:hAnsi="Times New Roman" w:cs="Times New Roman"/>
          <w:snapToGrid w:val="0"/>
          <w:sz w:val="28"/>
          <w:szCs w:val="28"/>
          <w:lang w:val="es-ES" w:eastAsia="es-ES"/>
        </w:rPr>
      </w:pPr>
      <w:r w:rsidRPr="006671C3">
        <w:rPr>
          <w:rFonts w:ascii="Times New Roman" w:eastAsia="Times New Roman" w:hAnsi="Times New Roman" w:cs="Times New Roman"/>
          <w:snapToGrid w:val="0"/>
          <w:sz w:val="28"/>
          <w:szCs w:val="28"/>
          <w:lang w:val="es-ES" w:eastAsia="es-ES"/>
        </w:rPr>
        <w:t>En todo caso, la apreciación del cumplimiento de t</w:t>
      </w:r>
      <w:r w:rsidRPr="006671C3">
        <w:rPr>
          <w:rFonts w:ascii="Times New Roman" w:eastAsia="Times New Roman" w:hAnsi="Times New Roman" w:cs="Times New Roman"/>
          <w:snapToGrid w:val="0"/>
          <w:sz w:val="28"/>
          <w:szCs w:val="28"/>
          <w:lang w:val="es-ES" w:eastAsia="es-ES"/>
        </w:rPr>
        <w:t xml:space="preserve">ales requerimientos debe hacerse con sujeción al principio </w:t>
      </w:r>
      <w:r w:rsidRPr="006671C3">
        <w:rPr>
          <w:rFonts w:ascii="Times New Roman" w:eastAsia="Times New Roman" w:hAnsi="Times New Roman" w:cs="Times New Roman"/>
          <w:i/>
          <w:snapToGrid w:val="0"/>
          <w:sz w:val="28"/>
          <w:szCs w:val="28"/>
          <w:lang w:val="es-ES" w:eastAsia="es-ES"/>
        </w:rPr>
        <w:t xml:space="preserve">pro actione </w:t>
      </w:r>
      <w:r w:rsidRPr="006671C3">
        <w:rPr>
          <w:rFonts w:ascii="Times New Roman" w:eastAsia="Times New Roman" w:hAnsi="Times New Roman" w:cs="Times New Roman"/>
          <w:snapToGrid w:val="0"/>
          <w:sz w:val="28"/>
          <w:szCs w:val="28"/>
          <w:lang w:val="es-ES" w:eastAsia="es-ES"/>
        </w:rPr>
        <w:t>(a favor de la acción)</w:t>
      </w:r>
      <w:r w:rsidRPr="006671C3">
        <w:rPr>
          <w:rFonts w:ascii="Times New Roman" w:eastAsia="Times New Roman" w:hAnsi="Times New Roman" w:cs="Times New Roman"/>
          <w:snapToGrid w:val="0"/>
          <w:sz w:val="28"/>
          <w:szCs w:val="28"/>
          <w:vertAlign w:val="superscript"/>
          <w:lang w:val="es-ES" w:eastAsia="es-ES"/>
        </w:rPr>
        <w:footnoteReference w:id="86"/>
      </w:r>
      <w:r w:rsidRPr="006671C3">
        <w:rPr>
          <w:rFonts w:ascii="Times New Roman" w:eastAsia="Times New Roman" w:hAnsi="Times New Roman" w:cs="Times New Roman"/>
          <w:snapToGrid w:val="0"/>
          <w:sz w:val="28"/>
          <w:szCs w:val="28"/>
          <w:lang w:val="es-ES" w:eastAsia="es-ES"/>
        </w:rPr>
        <w:t>, conforme al cual “el rigor en el juicio que aplica la Corte al examinar la demanda no puede convertirse en un método de apreciación tan estricto que haga nugato</w:t>
      </w:r>
      <w:r w:rsidRPr="006671C3">
        <w:rPr>
          <w:rFonts w:ascii="Times New Roman" w:eastAsia="Times New Roman" w:hAnsi="Times New Roman" w:cs="Times New Roman"/>
          <w:snapToGrid w:val="0"/>
          <w:sz w:val="28"/>
          <w:szCs w:val="28"/>
          <w:lang w:val="es-ES" w:eastAsia="es-ES"/>
        </w:rPr>
        <w:t>rio el derecho reconocido al actor y que la duda habrá de interpretarse a favor del demandante, es decir, admitiendo la demanda y fallando de fondo”</w:t>
      </w:r>
      <w:r w:rsidRPr="006671C3">
        <w:rPr>
          <w:rFonts w:ascii="Times New Roman" w:eastAsia="Times New Roman" w:hAnsi="Times New Roman" w:cs="Times New Roman"/>
          <w:snapToGrid w:val="0"/>
          <w:sz w:val="28"/>
          <w:szCs w:val="28"/>
          <w:vertAlign w:val="superscript"/>
          <w:lang w:val="es-ES" w:eastAsia="es-ES"/>
        </w:rPr>
        <w:footnoteReference w:id="87"/>
      </w:r>
      <w:r w:rsidRPr="006671C3">
        <w:rPr>
          <w:rFonts w:ascii="Times New Roman" w:eastAsia="Times New Roman" w:hAnsi="Times New Roman" w:cs="Times New Roman"/>
          <w:snapToGrid w:val="0"/>
          <w:sz w:val="28"/>
          <w:szCs w:val="28"/>
          <w:lang w:val="es-ES" w:eastAsia="es-ES"/>
        </w:rPr>
        <w:t xml:space="preserve">. </w:t>
      </w:r>
    </w:p>
    <w:p w:rsidR="000E6BF6" w:rsidRPr="006671C3" w:rsidRDefault="006671C3" w:rsidP="000E6BF6">
      <w:pPr>
        <w:spacing w:after="0" w:line="240" w:lineRule="auto"/>
        <w:contextualSpacing/>
        <w:rPr>
          <w:rFonts w:ascii="Times New Roman" w:eastAsia="Times New Roman" w:hAnsi="Times New Roman" w:cs="Times New Roman"/>
          <w:snapToGrid w:val="0"/>
          <w:sz w:val="28"/>
          <w:szCs w:val="28"/>
          <w:lang w:val="es-ES" w:eastAsia="es-ES"/>
        </w:rPr>
      </w:pPr>
    </w:p>
    <w:p w:rsidR="000E6BF6" w:rsidRPr="006671C3" w:rsidRDefault="006671C3" w:rsidP="000E6BF6">
      <w:pPr>
        <w:numPr>
          <w:ilvl w:val="0"/>
          <w:numId w:val="11"/>
        </w:numPr>
        <w:spacing w:after="0" w:line="240" w:lineRule="auto"/>
        <w:ind w:left="0" w:right="51" w:firstLine="0"/>
        <w:jc w:val="both"/>
        <w:rPr>
          <w:rFonts w:ascii="Times New Roman" w:eastAsia="Times New Roman" w:hAnsi="Times New Roman" w:cs="Times New Roman"/>
          <w:snapToGrid w:val="0"/>
          <w:sz w:val="28"/>
          <w:szCs w:val="28"/>
          <w:lang w:val="es-ES" w:eastAsia="es-ES"/>
        </w:rPr>
      </w:pPr>
      <w:r w:rsidRPr="006671C3">
        <w:rPr>
          <w:rFonts w:ascii="Times New Roman" w:eastAsia="Times New Roman" w:hAnsi="Times New Roman" w:cs="Times New Roman"/>
          <w:snapToGrid w:val="0"/>
          <w:sz w:val="28"/>
          <w:szCs w:val="28"/>
          <w:lang w:val="es-ES" w:eastAsia="es-ES"/>
        </w:rPr>
        <w:t xml:space="preserve">El empleo de tal principio </w:t>
      </w:r>
      <w:r w:rsidRPr="006671C3">
        <w:rPr>
          <w:rFonts w:ascii="Times New Roman" w:hAnsi="Times New Roman" w:cs="Times New Roman"/>
          <w:sz w:val="28"/>
          <w:szCs w:val="28"/>
        </w:rPr>
        <w:t xml:space="preserve">no habilita a esta corporación “para </w:t>
      </w:r>
      <w:r w:rsidRPr="006671C3">
        <w:rPr>
          <w:rFonts w:ascii="Times New Roman" w:hAnsi="Times New Roman" w:cs="Times New Roman"/>
          <w:sz w:val="28"/>
          <w:szCs w:val="28"/>
          <w:shd w:val="clear" w:color="auto" w:fill="FFFFFF"/>
        </w:rPr>
        <w:t xml:space="preserve">corregir o aclarar equívocos, aspectos </w:t>
      </w:r>
      <w:r w:rsidRPr="006671C3">
        <w:rPr>
          <w:rFonts w:ascii="Times New Roman" w:hAnsi="Times New Roman" w:cs="Times New Roman"/>
          <w:sz w:val="28"/>
          <w:szCs w:val="28"/>
          <w:shd w:val="clear" w:color="auto" w:fill="FFFFFF"/>
        </w:rPr>
        <w:t>confusos o ambigüedades que surjan de las demandas</w:t>
      </w:r>
      <w:r w:rsidRPr="006671C3">
        <w:rPr>
          <w:rFonts w:ascii="Times New Roman" w:hAnsi="Times New Roman" w:cs="Times New Roman"/>
          <w:sz w:val="28"/>
          <w:szCs w:val="28"/>
          <w:shd w:val="clear" w:color="auto" w:fill="FFFFFF"/>
          <w:vertAlign w:val="superscript"/>
        </w:rPr>
        <w:footnoteReference w:id="88"/>
      </w:r>
      <w:r w:rsidRPr="006671C3">
        <w:rPr>
          <w:rFonts w:ascii="Times New Roman" w:hAnsi="Times New Roman" w:cs="Times New Roman"/>
          <w:sz w:val="28"/>
          <w:szCs w:val="28"/>
          <w:shd w:val="clear" w:color="auto" w:fill="FFFFFF"/>
        </w:rPr>
        <w:t xml:space="preserve">”. Para este tribunal su aplicación </w:t>
      </w:r>
      <w:r w:rsidRPr="006671C3">
        <w:rPr>
          <w:rFonts w:ascii="Times New Roman" w:hAnsi="Times New Roman" w:cs="Times New Roman"/>
          <w:sz w:val="28"/>
          <w:szCs w:val="28"/>
          <w:bdr w:val="none" w:sz="0" w:space="0" w:color="auto" w:frame="1"/>
          <w:shd w:val="clear" w:color="auto" w:fill="FFFFFF"/>
        </w:rPr>
        <w:t xml:space="preserve">“no puede llevar a que se declare la exequibilidad ante una demanda que no presente suficientes argumentos, </w:t>
      </w:r>
      <w:r w:rsidRPr="006671C3">
        <w:rPr>
          <w:rFonts w:ascii="Times New Roman" w:hAnsi="Times New Roman" w:cs="Times New Roman"/>
          <w:i/>
          <w:sz w:val="28"/>
          <w:szCs w:val="28"/>
          <w:bdr w:val="none" w:sz="0" w:space="0" w:color="auto" w:frame="1"/>
          <w:shd w:val="clear" w:color="auto" w:fill="FFFFFF"/>
        </w:rPr>
        <w:t xml:space="preserve">cerrando la puerta para que otro ciudadano presente una </w:t>
      </w:r>
      <w:r w:rsidRPr="006671C3">
        <w:rPr>
          <w:rFonts w:ascii="Times New Roman" w:hAnsi="Times New Roman" w:cs="Times New Roman"/>
          <w:i/>
          <w:sz w:val="28"/>
          <w:szCs w:val="28"/>
          <w:bdr w:val="none" w:sz="0" w:space="0" w:color="auto" w:frame="1"/>
          <w:shd w:val="clear" w:color="auto" w:fill="FFFFFF"/>
        </w:rPr>
        <w:t>acción que sí cumpla con las condiciones para revisarla</w:t>
      </w:r>
      <w:r w:rsidRPr="006671C3">
        <w:rPr>
          <w:rFonts w:ascii="Times New Roman" w:hAnsi="Times New Roman" w:cs="Times New Roman"/>
          <w:sz w:val="28"/>
          <w:szCs w:val="28"/>
          <w:bdr w:val="none" w:sz="0" w:space="0" w:color="auto" w:frame="1"/>
          <w:shd w:val="clear" w:color="auto" w:fill="FFFFFF"/>
        </w:rPr>
        <w:t>”</w:t>
      </w:r>
      <w:r w:rsidRPr="006671C3">
        <w:rPr>
          <w:rFonts w:ascii="Times New Roman" w:hAnsi="Times New Roman" w:cs="Times New Roman"/>
          <w:sz w:val="28"/>
          <w:szCs w:val="28"/>
          <w:bdr w:val="none" w:sz="0" w:space="0" w:color="auto" w:frame="1"/>
          <w:shd w:val="clear" w:color="auto" w:fill="FFFFFF"/>
          <w:vertAlign w:val="superscript"/>
        </w:rPr>
        <w:footnoteReference w:id="89"/>
      </w:r>
      <w:r w:rsidRPr="006671C3">
        <w:rPr>
          <w:rFonts w:ascii="Times New Roman" w:hAnsi="Times New Roman" w:cs="Times New Roman"/>
          <w:sz w:val="28"/>
          <w:szCs w:val="28"/>
          <w:bdr w:val="none" w:sz="0" w:space="0" w:color="auto" w:frame="1"/>
          <w:shd w:val="clear" w:color="auto" w:fill="FFFFFF"/>
        </w:rPr>
        <w:t xml:space="preserve">. </w:t>
      </w:r>
      <w:r w:rsidRPr="006671C3">
        <w:rPr>
          <w:rFonts w:ascii="Times New Roman" w:hAnsi="Times New Roman" w:cs="Times New Roman"/>
          <w:sz w:val="28"/>
          <w:szCs w:val="28"/>
          <w:shd w:val="clear" w:color="auto" w:fill="FFFFFF"/>
        </w:rPr>
        <w:t xml:space="preserve">No es factible sustituir al accionante como si se tratara de un </w:t>
      </w:r>
      <w:r w:rsidRPr="006671C3">
        <w:rPr>
          <w:rFonts w:ascii="Times New Roman" w:hAnsi="Times New Roman" w:cs="Times New Roman"/>
          <w:i/>
          <w:sz w:val="28"/>
          <w:szCs w:val="28"/>
          <w:shd w:val="clear" w:color="auto" w:fill="FFFFFF"/>
        </w:rPr>
        <w:t>control de oficio</w:t>
      </w:r>
      <w:r w:rsidRPr="006671C3">
        <w:rPr>
          <w:rFonts w:ascii="Times New Roman" w:hAnsi="Times New Roman" w:cs="Times New Roman"/>
          <w:sz w:val="28"/>
          <w:szCs w:val="28"/>
          <w:shd w:val="clear" w:color="auto" w:fill="FFFFFF"/>
        </w:rPr>
        <w:t xml:space="preserve"> y, por tanto, “no puede llegar al extremo de suplantar al actor en la formulación de los cargos, ni de determinar p</w:t>
      </w:r>
      <w:r w:rsidRPr="006671C3">
        <w:rPr>
          <w:rFonts w:ascii="Times New Roman" w:hAnsi="Times New Roman" w:cs="Times New Roman"/>
          <w:sz w:val="28"/>
          <w:szCs w:val="28"/>
          <w:shd w:val="clear" w:color="auto" w:fill="FFFFFF"/>
        </w:rPr>
        <w:t>or sí misma (…) el concepto de la violación”</w:t>
      </w:r>
      <w:r w:rsidRPr="006671C3">
        <w:rPr>
          <w:rFonts w:ascii="Times New Roman" w:hAnsi="Times New Roman" w:cs="Times New Roman"/>
          <w:sz w:val="28"/>
          <w:szCs w:val="28"/>
          <w:shd w:val="clear" w:color="auto" w:fill="FFFFFF"/>
          <w:vertAlign w:val="superscript"/>
        </w:rPr>
        <w:footnoteReference w:id="90"/>
      </w:r>
      <w:r w:rsidRPr="006671C3">
        <w:rPr>
          <w:rFonts w:ascii="Times New Roman" w:hAnsi="Times New Roman" w:cs="Times New Roman"/>
          <w:sz w:val="28"/>
          <w:szCs w:val="28"/>
          <w:shd w:val="clear" w:color="auto" w:fill="FFFFFF"/>
        </w:rPr>
        <w:t xml:space="preserve">. </w:t>
      </w:r>
    </w:p>
    <w:p w:rsidR="000E6BF6" w:rsidRPr="006671C3" w:rsidRDefault="006671C3" w:rsidP="000E6BF6">
      <w:pPr>
        <w:spacing w:after="0" w:line="240" w:lineRule="auto"/>
        <w:contextualSpacing/>
        <w:rPr>
          <w:rFonts w:ascii="Times New Roman" w:hAnsi="Times New Roman" w:cs="Times New Roman"/>
          <w:sz w:val="28"/>
          <w:szCs w:val="28"/>
        </w:rPr>
      </w:pPr>
    </w:p>
    <w:p w:rsidR="000E6BF6" w:rsidRPr="006671C3" w:rsidRDefault="006671C3" w:rsidP="000E6BF6">
      <w:pPr>
        <w:numPr>
          <w:ilvl w:val="0"/>
          <w:numId w:val="11"/>
        </w:numPr>
        <w:spacing w:after="0" w:line="240" w:lineRule="auto"/>
        <w:ind w:left="0" w:right="51" w:firstLine="0"/>
        <w:jc w:val="both"/>
        <w:rPr>
          <w:rFonts w:ascii="Times New Roman" w:eastAsia="Times New Roman" w:hAnsi="Times New Roman" w:cs="Times New Roman"/>
          <w:snapToGrid w:val="0"/>
          <w:sz w:val="28"/>
          <w:szCs w:val="28"/>
          <w:lang w:val="es-ES" w:eastAsia="es-ES"/>
        </w:rPr>
      </w:pPr>
      <w:r w:rsidRPr="006671C3">
        <w:rPr>
          <w:rFonts w:ascii="Times New Roman" w:hAnsi="Times New Roman" w:cs="Times New Roman"/>
          <w:sz w:val="28"/>
          <w:szCs w:val="28"/>
        </w:rPr>
        <w:t xml:space="preserve">Ello tiene fundamento en la </w:t>
      </w:r>
      <w:r w:rsidRPr="006671C3">
        <w:rPr>
          <w:rFonts w:ascii="Times New Roman" w:hAnsi="Times New Roman" w:cs="Times New Roman"/>
          <w:i/>
          <w:sz w:val="28"/>
          <w:szCs w:val="28"/>
        </w:rPr>
        <w:t>naturaleza excepcional</w:t>
      </w:r>
      <w:r w:rsidRPr="006671C3">
        <w:rPr>
          <w:rFonts w:ascii="Times New Roman" w:hAnsi="Times New Roman" w:cs="Times New Roman"/>
          <w:sz w:val="28"/>
          <w:szCs w:val="28"/>
        </w:rPr>
        <w:t xml:space="preserve"> del control automático de constitucionalidad, que se ha reflejado también en el </w:t>
      </w:r>
      <w:r w:rsidRPr="006671C3">
        <w:rPr>
          <w:rFonts w:ascii="Times New Roman" w:hAnsi="Times New Roman" w:cs="Times New Roman"/>
          <w:i/>
          <w:sz w:val="28"/>
          <w:szCs w:val="28"/>
        </w:rPr>
        <w:t>carácter extraordinario</w:t>
      </w:r>
      <w:r w:rsidRPr="006671C3">
        <w:rPr>
          <w:rFonts w:ascii="Times New Roman" w:hAnsi="Times New Roman" w:cs="Times New Roman"/>
          <w:sz w:val="28"/>
          <w:szCs w:val="28"/>
        </w:rPr>
        <w:t xml:space="preserve"> de la integración de normativa</w:t>
      </w:r>
      <w:r w:rsidRPr="006671C3">
        <w:rPr>
          <w:rFonts w:ascii="Times New Roman" w:hAnsi="Times New Roman" w:cs="Times New Roman"/>
          <w:sz w:val="28"/>
          <w:szCs w:val="28"/>
          <w:vertAlign w:val="superscript"/>
        </w:rPr>
        <w:footnoteReference w:id="91"/>
      </w:r>
      <w:r w:rsidRPr="006671C3">
        <w:rPr>
          <w:rFonts w:ascii="Times New Roman" w:hAnsi="Times New Roman" w:cs="Times New Roman"/>
          <w:sz w:val="28"/>
          <w:szCs w:val="28"/>
        </w:rPr>
        <w:t xml:space="preserve">, así como en la </w:t>
      </w:r>
      <w:r w:rsidRPr="006671C3">
        <w:rPr>
          <w:rFonts w:ascii="Times New Roman" w:hAnsi="Times New Roman" w:cs="Times New Roman"/>
          <w:i/>
          <w:sz w:val="28"/>
          <w:szCs w:val="28"/>
        </w:rPr>
        <w:t>imposibilidad inicial de realizar un juicio</w:t>
      </w:r>
      <w:r w:rsidRPr="006671C3">
        <w:rPr>
          <w:rFonts w:ascii="Times New Roman" w:hAnsi="Times New Roman" w:cs="Times New Roman"/>
          <w:sz w:val="28"/>
          <w:szCs w:val="28"/>
        </w:rPr>
        <w:t xml:space="preserve"> a partir de </w:t>
      </w:r>
      <w:r w:rsidRPr="006671C3">
        <w:rPr>
          <w:rFonts w:ascii="Times New Roman" w:hAnsi="Times New Roman" w:cs="Times New Roman"/>
          <w:i/>
          <w:sz w:val="28"/>
          <w:szCs w:val="28"/>
        </w:rPr>
        <w:t>cargos independientes propuestos por los intervinientes</w:t>
      </w:r>
      <w:r w:rsidRPr="006671C3">
        <w:rPr>
          <w:rFonts w:ascii="Times New Roman" w:hAnsi="Times New Roman" w:cs="Times New Roman"/>
          <w:sz w:val="28"/>
          <w:szCs w:val="28"/>
        </w:rPr>
        <w:t xml:space="preserve"> en el proceso</w:t>
      </w:r>
      <w:r w:rsidRPr="006671C3">
        <w:rPr>
          <w:rFonts w:ascii="Times New Roman" w:hAnsi="Times New Roman" w:cs="Times New Roman"/>
          <w:sz w:val="28"/>
          <w:szCs w:val="28"/>
          <w:vertAlign w:val="superscript"/>
        </w:rPr>
        <w:footnoteReference w:id="92"/>
      </w:r>
      <w:r w:rsidRPr="006671C3">
        <w:rPr>
          <w:rFonts w:ascii="Times New Roman" w:hAnsi="Times New Roman" w:cs="Times New Roman"/>
          <w:sz w:val="28"/>
          <w:szCs w:val="28"/>
        </w:rPr>
        <w:t xml:space="preserve">. </w:t>
      </w:r>
    </w:p>
    <w:p w:rsidR="000E6BF6" w:rsidRPr="006671C3" w:rsidRDefault="006671C3" w:rsidP="000E6BF6">
      <w:pPr>
        <w:spacing w:after="0" w:line="240" w:lineRule="auto"/>
        <w:jc w:val="both"/>
        <w:rPr>
          <w:rFonts w:ascii="Times New Roman" w:hAnsi="Times New Roman" w:cs="Times New Roman"/>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La posibilidad de adoptar finalmente una decisión inhibitoria</w:t>
      </w:r>
      <w:r w:rsidRPr="006671C3">
        <w:rPr>
          <w:rFonts w:ascii="Times New Roman" w:hAnsi="Times New Roman" w:cs="Times New Roman"/>
          <w:sz w:val="28"/>
          <w:szCs w:val="28"/>
          <w:vertAlign w:val="superscript"/>
          <w:lang w:val="es-ES_tradnl"/>
        </w:rPr>
        <w:footnoteReference w:id="93"/>
      </w:r>
      <w:r w:rsidRPr="006671C3">
        <w:rPr>
          <w:rFonts w:ascii="Times New Roman" w:hAnsi="Times New Roman" w:cs="Times New Roman"/>
          <w:sz w:val="28"/>
          <w:szCs w:val="28"/>
        </w:rPr>
        <w:t xml:space="preserve"> respecto de una demanda que ha sido previamente admitida está p</w:t>
      </w:r>
      <w:r w:rsidRPr="006671C3">
        <w:rPr>
          <w:rFonts w:ascii="Times New Roman" w:hAnsi="Times New Roman" w:cs="Times New Roman"/>
          <w:sz w:val="28"/>
          <w:szCs w:val="28"/>
        </w:rPr>
        <w:t>resente y resulta válida, ya que “el hecho de que se supere esa primera mirada, que es sumaria, no impone un pronunciamiento de fondo, pues finalmente es en la Sala Plena, integrada por todos sus magistrados, en quien recae la competencia de proferir una s</w:t>
      </w:r>
      <w:r w:rsidRPr="006671C3">
        <w:rPr>
          <w:rFonts w:ascii="Times New Roman" w:hAnsi="Times New Roman" w:cs="Times New Roman"/>
          <w:sz w:val="28"/>
          <w:szCs w:val="28"/>
        </w:rPr>
        <w:t>entencia, en donde se determina, previo un debate deliberativo, si la demanda es apta o no, contando con la intervención además de quienes hayan sido convocados y del Ministerio Público”</w:t>
      </w:r>
      <w:r w:rsidRPr="006671C3">
        <w:rPr>
          <w:rFonts w:ascii="Times New Roman" w:hAnsi="Times New Roman" w:cs="Times New Roman"/>
          <w:sz w:val="28"/>
          <w:szCs w:val="28"/>
          <w:vertAlign w:val="superscript"/>
        </w:rPr>
        <w:footnoteReference w:id="94"/>
      </w:r>
      <w:r w:rsidRPr="006671C3">
        <w:rPr>
          <w:rFonts w:ascii="Times New Roman" w:hAnsi="Times New Roman" w:cs="Times New Roman"/>
          <w:sz w:val="28"/>
          <w:szCs w:val="28"/>
        </w:rPr>
        <w:t>.</w:t>
      </w:r>
    </w:p>
    <w:p w:rsidR="000E6BF6" w:rsidRPr="006671C3" w:rsidRDefault="006671C3" w:rsidP="000E6BF6">
      <w:pPr>
        <w:spacing w:after="0" w:line="240" w:lineRule="auto"/>
        <w:contextualSpacing/>
        <w:rPr>
          <w:rFonts w:ascii="Times New Roman" w:hAnsi="Times New Roman" w:cs="Times New Roman"/>
          <w:sz w:val="28"/>
          <w:szCs w:val="28"/>
        </w:rPr>
      </w:pPr>
    </w:p>
    <w:p w:rsidR="000E6BF6" w:rsidRPr="006671C3" w:rsidRDefault="006671C3" w:rsidP="000E6BF6">
      <w:pPr>
        <w:spacing w:after="0" w:line="240" w:lineRule="auto"/>
        <w:jc w:val="both"/>
        <w:rPr>
          <w:rFonts w:ascii="Times New Roman" w:hAnsi="Times New Roman" w:cs="Times New Roman"/>
          <w:b/>
          <w:sz w:val="28"/>
          <w:szCs w:val="28"/>
        </w:rPr>
      </w:pPr>
      <w:bookmarkStart w:id="27" w:name="_Hlk136441632"/>
      <w:r w:rsidRPr="006671C3">
        <w:rPr>
          <w:rFonts w:ascii="Times New Roman" w:hAnsi="Times New Roman" w:cs="Times New Roman"/>
          <w:b/>
          <w:sz w:val="28"/>
          <w:szCs w:val="28"/>
        </w:rPr>
        <w:t>En el presente asunto procede una decisión inhibitoria por ineptit</w:t>
      </w:r>
      <w:r w:rsidRPr="006671C3">
        <w:rPr>
          <w:rFonts w:ascii="Times New Roman" w:hAnsi="Times New Roman" w:cs="Times New Roman"/>
          <w:b/>
          <w:sz w:val="28"/>
          <w:szCs w:val="28"/>
        </w:rPr>
        <w:t xml:space="preserve">ud sustantiva de la demanda </w:t>
      </w:r>
    </w:p>
    <w:p w:rsidR="000E6BF6" w:rsidRPr="006671C3" w:rsidRDefault="006671C3" w:rsidP="000E6BF6">
      <w:pPr>
        <w:spacing w:after="0" w:line="240" w:lineRule="auto"/>
        <w:contextualSpacing/>
        <w:rPr>
          <w:rFonts w:ascii="Times New Roman" w:hAnsi="Times New Roman" w:cs="Times New Roman"/>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bookmarkStart w:id="28" w:name="_Hlk135156047"/>
      <w:bookmarkStart w:id="29" w:name="_Hlk135051130"/>
      <w:bookmarkEnd w:id="27"/>
      <w:r w:rsidRPr="006671C3">
        <w:rPr>
          <w:rFonts w:ascii="Times New Roman" w:hAnsi="Times New Roman" w:cs="Times New Roman"/>
          <w:sz w:val="28"/>
          <w:szCs w:val="28"/>
        </w:rPr>
        <w:t>El demandante acusa parcialmente diez disposiciones del Decreto Ley 920 de 2023, por violación de trece normas de la Constitución, que organiza en cinco presuntos cargos de inconstitucionalidad. La demanda fue repartida al ent</w:t>
      </w:r>
      <w:r w:rsidRPr="006671C3">
        <w:rPr>
          <w:rFonts w:ascii="Times New Roman" w:hAnsi="Times New Roman" w:cs="Times New Roman"/>
          <w:sz w:val="28"/>
          <w:szCs w:val="28"/>
        </w:rPr>
        <w:t xml:space="preserve">onces magistrado encargado, quien consideró que </w:t>
      </w:r>
      <w:r w:rsidRPr="006671C3">
        <w:rPr>
          <w:rFonts w:ascii="Times New Roman" w:hAnsi="Times New Roman" w:cs="Times New Roman"/>
          <w:i/>
          <w:sz w:val="28"/>
          <w:szCs w:val="28"/>
        </w:rPr>
        <w:t>en principio</w:t>
      </w:r>
      <w:r w:rsidRPr="006671C3">
        <w:rPr>
          <w:rFonts w:ascii="Times New Roman" w:hAnsi="Times New Roman" w:cs="Times New Roman"/>
          <w:sz w:val="28"/>
          <w:szCs w:val="28"/>
        </w:rPr>
        <w:t xml:space="preserve"> cumplía los presupuestos mínimos para la admisión, según se explicó en los antecedentes de esta decisión.</w:t>
      </w:r>
    </w:p>
    <w:p w:rsidR="000E6BF6" w:rsidRPr="006671C3" w:rsidRDefault="006671C3" w:rsidP="000E6BF6">
      <w:pPr>
        <w:spacing w:after="0" w:line="240" w:lineRule="auto"/>
        <w:jc w:val="both"/>
        <w:rPr>
          <w:rFonts w:ascii="Times New Roman" w:hAnsi="Times New Roman" w:cs="Times New Roman"/>
          <w:sz w:val="28"/>
          <w:szCs w:val="28"/>
        </w:rPr>
      </w:pPr>
    </w:p>
    <w:bookmarkEnd w:id="28"/>
    <w:bookmarkEnd w:id="29"/>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Las intervenciones por parte de la DIAN y la Presidencia de la República solicitaron exp</w:t>
      </w:r>
      <w:r w:rsidRPr="006671C3">
        <w:rPr>
          <w:rFonts w:ascii="Times New Roman" w:hAnsi="Times New Roman" w:cs="Times New Roman"/>
          <w:sz w:val="28"/>
          <w:szCs w:val="28"/>
        </w:rPr>
        <w:t>resamente una decisión inhibitoria, toda vez que la demanda incumple los requisitos mínimos para un pronunciamiento de fondo, que se focaliza en el presupuesto de certeza y abarcan los de claridad, especificidad y suficiencia</w:t>
      </w:r>
      <w:r w:rsidRPr="006671C3">
        <w:rPr>
          <w:rFonts w:ascii="Times New Roman" w:hAnsi="Times New Roman" w:cs="Times New Roman"/>
          <w:sz w:val="28"/>
          <w:szCs w:val="28"/>
          <w:vertAlign w:val="superscript"/>
        </w:rPr>
        <w:footnoteReference w:id="95"/>
      </w:r>
      <w:r w:rsidRPr="006671C3">
        <w:rPr>
          <w:rFonts w:ascii="Times New Roman" w:hAnsi="Times New Roman" w:cs="Times New Roman"/>
          <w:sz w:val="28"/>
          <w:szCs w:val="28"/>
        </w:rPr>
        <w:t xml:space="preserve">. </w:t>
      </w:r>
    </w:p>
    <w:p w:rsidR="000E6BF6" w:rsidRPr="006671C3" w:rsidRDefault="006671C3" w:rsidP="000E6BF6">
      <w:pPr>
        <w:pStyle w:val="Prrafodelista"/>
        <w:rPr>
          <w:rFonts w:ascii="Times New Roman" w:hAnsi="Times New Roman" w:cs="Times New Roman"/>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De esta manera, la Sala Pl</w:t>
      </w:r>
      <w:r w:rsidRPr="006671C3">
        <w:rPr>
          <w:rFonts w:ascii="Times New Roman" w:hAnsi="Times New Roman" w:cs="Times New Roman"/>
          <w:sz w:val="28"/>
          <w:szCs w:val="28"/>
        </w:rPr>
        <w:t>ena procede a examinar si la demanda satisface los requisitos indispensables para una decisión de fondo, a partir de la metodología planteada por el demandante.</w:t>
      </w:r>
    </w:p>
    <w:p w:rsidR="000E6BF6" w:rsidRPr="006671C3" w:rsidRDefault="006671C3" w:rsidP="000E6BF6">
      <w:pPr>
        <w:spacing w:after="0" w:line="240" w:lineRule="auto"/>
        <w:contextualSpacing/>
        <w:jc w:val="both"/>
        <w:rPr>
          <w:rFonts w:ascii="Times New Roman" w:hAnsi="Times New Roman" w:cs="Times New Roman"/>
          <w:sz w:val="28"/>
          <w:szCs w:val="28"/>
        </w:rPr>
      </w:pPr>
    </w:p>
    <w:p w:rsidR="000E6BF6" w:rsidRPr="006671C3" w:rsidRDefault="006671C3" w:rsidP="000E6BF6">
      <w:pPr>
        <w:spacing w:after="0" w:line="240" w:lineRule="auto"/>
        <w:contextualSpacing/>
        <w:jc w:val="both"/>
        <w:rPr>
          <w:rFonts w:ascii="Times New Roman" w:hAnsi="Times New Roman" w:cs="Times New Roman"/>
          <w:b/>
          <w:sz w:val="28"/>
          <w:szCs w:val="28"/>
        </w:rPr>
      </w:pPr>
      <w:bookmarkStart w:id="30" w:name="_Hlk170270013"/>
      <w:r w:rsidRPr="006671C3">
        <w:rPr>
          <w:rFonts w:ascii="Times New Roman" w:hAnsi="Times New Roman" w:cs="Times New Roman"/>
          <w:b/>
          <w:sz w:val="28"/>
          <w:szCs w:val="28"/>
        </w:rPr>
        <w:t xml:space="preserve">Primer cargo </w:t>
      </w:r>
    </w:p>
    <w:p w:rsidR="000E6BF6" w:rsidRPr="006671C3" w:rsidRDefault="006671C3" w:rsidP="000E6BF6">
      <w:pPr>
        <w:spacing w:after="0" w:line="240" w:lineRule="auto"/>
        <w:contextualSpacing/>
        <w:jc w:val="both"/>
        <w:rPr>
          <w:rFonts w:ascii="Times New Roman" w:hAnsi="Times New Roman" w:cs="Times New Roman"/>
          <w:b/>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Se acusan algunos apartes de los artículos 7, 9, 29, 31, 35 y 48 del Decreto Ley 920 de 2023, por el presunto desconocimiento de los artículos 1, 2, 5, 6, 29, 121, 122, 123, 209 y 333 de la Constitución. Para facilitar la lectura y comprensión de esta deci</w:t>
      </w:r>
      <w:r w:rsidRPr="006671C3">
        <w:rPr>
          <w:rFonts w:ascii="Times New Roman" w:hAnsi="Times New Roman" w:cs="Times New Roman"/>
          <w:sz w:val="28"/>
          <w:szCs w:val="28"/>
        </w:rPr>
        <w:t xml:space="preserve">sión, dado el número de disposiciones demandadas (6) y normas constitucionales consideradas infringidas (10), se procede a retomar de manera abreviada y en sus aspectos primordiales los apartes acusados y los cargos formulados: </w:t>
      </w:r>
    </w:p>
    <w:p w:rsidR="000E6BF6" w:rsidRPr="006671C3" w:rsidRDefault="006671C3" w:rsidP="000E6BF6">
      <w:pPr>
        <w:spacing w:after="0" w:line="240" w:lineRule="auto"/>
        <w:contextualSpacing/>
        <w:jc w:val="both"/>
        <w:rPr>
          <w:rFonts w:ascii="Times New Roman" w:hAnsi="Times New Roman" w:cs="Times New Roman"/>
          <w:sz w:val="28"/>
          <w:szCs w:val="28"/>
        </w:rPr>
      </w:pPr>
      <w:bookmarkStart w:id="31" w:name="_Hlk170228023"/>
    </w:p>
    <w:tbl>
      <w:tblPr>
        <w:tblStyle w:val="Tablaconcuadrcula"/>
        <w:tblW w:w="5000" w:type="pct"/>
        <w:tblLook w:val="04A0" w:firstRow="1" w:lastRow="0" w:firstColumn="1" w:lastColumn="0" w:noHBand="0" w:noVBand="1"/>
      </w:tblPr>
      <w:tblGrid>
        <w:gridCol w:w="6656"/>
        <w:gridCol w:w="2852"/>
      </w:tblGrid>
      <w:tr w:rsidR="000E6BF6" w:rsidRPr="006671C3" w:rsidTr="00D1315E">
        <w:tc>
          <w:tcPr>
            <w:tcW w:w="3500" w:type="pct"/>
          </w:tcPr>
          <w:p w:rsidR="000E6BF6" w:rsidRPr="006671C3" w:rsidRDefault="006671C3" w:rsidP="000E6BF6">
            <w:pPr>
              <w:contextualSpacing/>
              <w:jc w:val="center"/>
              <w:rPr>
                <w:rFonts w:ascii="Times New Roman" w:hAnsi="Times New Roman" w:cs="Times New Roman"/>
                <w:b/>
                <w:sz w:val="28"/>
              </w:rPr>
            </w:pPr>
            <w:r w:rsidRPr="006671C3">
              <w:rPr>
                <w:rFonts w:ascii="Times New Roman" w:hAnsi="Times New Roman" w:cs="Times New Roman"/>
                <w:b/>
                <w:sz w:val="28"/>
              </w:rPr>
              <w:t>Apartes demandados (se res</w:t>
            </w:r>
            <w:r w:rsidRPr="006671C3">
              <w:rPr>
                <w:rFonts w:ascii="Times New Roman" w:hAnsi="Times New Roman" w:cs="Times New Roman"/>
                <w:b/>
                <w:sz w:val="28"/>
              </w:rPr>
              <w:t>altan en negrillas)</w:t>
            </w:r>
          </w:p>
        </w:tc>
        <w:tc>
          <w:tcPr>
            <w:tcW w:w="1500" w:type="pct"/>
          </w:tcPr>
          <w:p w:rsidR="000E6BF6" w:rsidRPr="006671C3" w:rsidRDefault="006671C3" w:rsidP="000E6BF6">
            <w:pPr>
              <w:contextualSpacing/>
              <w:jc w:val="center"/>
              <w:rPr>
                <w:rFonts w:ascii="Times New Roman" w:hAnsi="Times New Roman" w:cs="Times New Roman"/>
                <w:b/>
                <w:sz w:val="28"/>
              </w:rPr>
            </w:pPr>
            <w:r w:rsidRPr="006671C3">
              <w:rPr>
                <w:rFonts w:ascii="Times New Roman" w:hAnsi="Times New Roman" w:cs="Times New Roman"/>
                <w:b/>
                <w:sz w:val="28"/>
              </w:rPr>
              <w:t>Presuntos cargos formulados</w:t>
            </w:r>
            <w:r w:rsidRPr="006671C3">
              <w:rPr>
                <w:rFonts w:ascii="Times New Roman" w:hAnsi="Times New Roman" w:cs="Times New Roman"/>
                <w:b/>
                <w:sz w:val="28"/>
                <w:vertAlign w:val="superscript"/>
              </w:rPr>
              <w:footnoteReference w:id="96"/>
            </w:r>
          </w:p>
        </w:tc>
      </w:tr>
      <w:tr w:rsidR="000E6BF6" w:rsidRPr="006671C3" w:rsidTr="00D1315E">
        <w:tc>
          <w:tcPr>
            <w:tcW w:w="3500" w:type="pct"/>
          </w:tcPr>
          <w:p w:rsidR="000E6BF6" w:rsidRPr="006671C3" w:rsidRDefault="006671C3" w:rsidP="000E6BF6">
            <w:pPr>
              <w:contextualSpacing/>
              <w:jc w:val="both"/>
              <w:rPr>
                <w:rFonts w:ascii="Times New Roman" w:hAnsi="Times New Roman" w:cs="Times New Roman"/>
                <w:sz w:val="28"/>
              </w:rPr>
            </w:pPr>
            <w:bookmarkStart w:id="32" w:name="_Hlk170892992"/>
            <w:r w:rsidRPr="006671C3">
              <w:rPr>
                <w:rFonts w:ascii="Times New Roman" w:hAnsi="Times New Roman" w:cs="Times New Roman"/>
                <w:sz w:val="28"/>
              </w:rPr>
              <w:t xml:space="preserve">Art. 7. </w:t>
            </w:r>
            <w:r w:rsidRPr="006671C3">
              <w:rPr>
                <w:rFonts w:ascii="Times New Roman" w:hAnsi="Times New Roman" w:cs="Times New Roman"/>
                <w:i/>
                <w:sz w:val="28"/>
              </w:rPr>
              <w:t>“Medidas cautelares asociadas a la imposición de sanciones, al decomiso de mercancías y a su procedimiento</w:t>
            </w:r>
            <w:r w:rsidRPr="006671C3">
              <w:rPr>
                <w:rFonts w:ascii="Times New Roman" w:hAnsi="Times New Roman" w:cs="Times New Roman"/>
                <w:sz w:val="28"/>
              </w:rPr>
              <w:t xml:space="preserve">. (…) </w:t>
            </w:r>
            <w:r w:rsidRPr="006671C3">
              <w:rPr>
                <w:rFonts w:ascii="Times New Roman" w:hAnsi="Times New Roman" w:cs="Times New Roman"/>
                <w:b/>
                <w:sz w:val="28"/>
              </w:rPr>
              <w:t xml:space="preserve">3. Suspensión provisional de la autorización, habilitación o registro de un usuario </w:t>
            </w:r>
            <w:r w:rsidRPr="006671C3">
              <w:rPr>
                <w:rFonts w:ascii="Times New Roman" w:hAnsi="Times New Roman" w:cs="Times New Roman"/>
                <w:b/>
                <w:sz w:val="28"/>
              </w:rPr>
              <w:t>aduanero: la suspensión provisional de la autorización, habilitación o registro de un usuario aduanero, es aquella que adopta el área de fiscalización mientras concluye un proceso sancionatorio originado por una infracción que da lugar a la sanción de canc</w:t>
            </w:r>
            <w:r w:rsidRPr="006671C3">
              <w:rPr>
                <w:rFonts w:ascii="Times New Roman" w:hAnsi="Times New Roman" w:cs="Times New Roman"/>
                <w:b/>
                <w:sz w:val="28"/>
              </w:rPr>
              <w:t>elación de la autorización o habilitación. (…)</w:t>
            </w:r>
            <w:r w:rsidRPr="006671C3">
              <w:rPr>
                <w:rFonts w:ascii="Times New Roman" w:hAnsi="Times New Roman" w:cs="Times New Roman"/>
                <w:sz w:val="28"/>
              </w:rPr>
              <w:t>”.</w:t>
            </w:r>
          </w:p>
          <w:p w:rsidR="000E6BF6" w:rsidRPr="006671C3" w:rsidRDefault="006671C3" w:rsidP="000E6BF6">
            <w:pPr>
              <w:contextualSpacing/>
              <w:jc w:val="both"/>
              <w:rPr>
                <w:rFonts w:ascii="Times New Roman" w:eastAsia="Times New Roman" w:hAnsi="Times New Roman" w:cs="Times New Roman"/>
                <w:snapToGrid w:val="0"/>
                <w:position w:val="6"/>
                <w:sz w:val="28"/>
                <w:lang w:eastAsia="es-ES"/>
              </w:rPr>
            </w:pPr>
          </w:p>
          <w:p w:rsidR="000E6BF6" w:rsidRPr="006671C3" w:rsidRDefault="006671C3" w:rsidP="000E6BF6">
            <w:pPr>
              <w:contextualSpacing/>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 xml:space="preserve">Art. 9. </w:t>
            </w:r>
            <w:r w:rsidRPr="006671C3">
              <w:rPr>
                <w:rFonts w:ascii="Times New Roman" w:eastAsia="Times New Roman" w:hAnsi="Times New Roman" w:cs="Times New Roman"/>
                <w:i/>
                <w:snapToGrid w:val="0"/>
                <w:position w:val="6"/>
                <w:sz w:val="28"/>
                <w:lang w:eastAsia="es-ES"/>
              </w:rPr>
              <w:t>“Procedimiento para adoptar medidas cautelares</w:t>
            </w:r>
            <w:r w:rsidRPr="006671C3">
              <w:rPr>
                <w:rFonts w:ascii="Times New Roman" w:eastAsia="Times New Roman" w:hAnsi="Times New Roman" w:cs="Times New Roman"/>
                <w:snapToGrid w:val="0"/>
                <w:position w:val="6"/>
                <w:sz w:val="28"/>
                <w:lang w:eastAsia="es-ES"/>
              </w:rPr>
              <w:t xml:space="preserve">. (…) </w:t>
            </w:r>
            <w:r w:rsidRPr="006671C3">
              <w:rPr>
                <w:rFonts w:ascii="Times New Roman" w:eastAsia="Times New Roman" w:hAnsi="Times New Roman" w:cs="Times New Roman"/>
                <w:b/>
                <w:snapToGrid w:val="0"/>
                <w:position w:val="6"/>
                <w:sz w:val="28"/>
                <w:lang w:eastAsia="es-ES"/>
              </w:rPr>
              <w:t xml:space="preserve">Contra una medida cautelar no procede ningún recurso </w:t>
            </w:r>
            <w:r w:rsidRPr="006671C3">
              <w:rPr>
                <w:rFonts w:ascii="Times New Roman" w:eastAsia="Times New Roman" w:hAnsi="Times New Roman" w:cs="Times New Roman"/>
                <w:snapToGrid w:val="0"/>
                <w:position w:val="6"/>
                <w:sz w:val="28"/>
                <w:lang w:eastAsia="es-ES"/>
              </w:rPr>
              <w:t>(…)”.</w:t>
            </w:r>
          </w:p>
          <w:bookmarkEnd w:id="32"/>
          <w:p w:rsidR="000E6BF6" w:rsidRPr="006671C3" w:rsidRDefault="006671C3" w:rsidP="000E6BF6">
            <w:pPr>
              <w:contextualSpacing/>
              <w:jc w:val="both"/>
              <w:rPr>
                <w:rFonts w:ascii="Times New Roman" w:eastAsia="Times New Roman" w:hAnsi="Times New Roman" w:cs="Times New Roman"/>
                <w:snapToGrid w:val="0"/>
                <w:position w:val="6"/>
                <w:sz w:val="28"/>
                <w:lang w:eastAsia="es-ES"/>
              </w:rPr>
            </w:pPr>
          </w:p>
          <w:p w:rsidR="000E6BF6" w:rsidRPr="006671C3" w:rsidRDefault="006671C3" w:rsidP="000E6BF6">
            <w:pPr>
              <w:shd w:val="clear" w:color="auto" w:fill="FFFFFF"/>
              <w:jc w:val="both"/>
              <w:rPr>
                <w:rFonts w:ascii="Times New Roman" w:eastAsia="Times New Roman" w:hAnsi="Times New Roman" w:cs="Times New Roman"/>
                <w:snapToGrid w:val="0"/>
                <w:position w:val="6"/>
                <w:sz w:val="28"/>
                <w:lang w:eastAsia="es-ES"/>
              </w:rPr>
            </w:pPr>
          </w:p>
          <w:p w:rsidR="000E6BF6" w:rsidRPr="006671C3" w:rsidRDefault="006671C3" w:rsidP="000E6BF6">
            <w:pPr>
              <w:shd w:val="clear" w:color="auto" w:fill="FFFFFF"/>
              <w:jc w:val="both"/>
              <w:rPr>
                <w:rFonts w:ascii="Times New Roman" w:eastAsia="Times New Roman" w:hAnsi="Times New Roman" w:cs="Times New Roman"/>
                <w:snapToGrid w:val="0"/>
                <w:position w:val="6"/>
                <w:sz w:val="28"/>
                <w:lang w:eastAsia="es-ES"/>
              </w:rPr>
            </w:pPr>
          </w:p>
          <w:p w:rsidR="000E6BF6" w:rsidRPr="006671C3" w:rsidRDefault="006671C3" w:rsidP="000E6BF6">
            <w:pPr>
              <w:shd w:val="clear" w:color="auto" w:fill="FFFFFF"/>
              <w:jc w:val="both"/>
              <w:rPr>
                <w:rFonts w:ascii="Times New Roman" w:eastAsia="Times New Roman" w:hAnsi="Times New Roman" w:cs="Times New Roman"/>
                <w:snapToGrid w:val="0"/>
                <w:position w:val="6"/>
                <w:sz w:val="28"/>
                <w:lang w:eastAsia="es-ES"/>
              </w:rPr>
            </w:pPr>
          </w:p>
          <w:p w:rsidR="000E6BF6" w:rsidRPr="006671C3" w:rsidRDefault="006671C3" w:rsidP="000E6BF6">
            <w:pPr>
              <w:shd w:val="clear" w:color="auto" w:fill="FFFFFF"/>
              <w:jc w:val="both"/>
              <w:rPr>
                <w:rFonts w:ascii="Times New Roman" w:eastAsia="Times New Roman" w:hAnsi="Times New Roman" w:cs="Times New Roman"/>
                <w:snapToGrid w:val="0"/>
                <w:position w:val="6"/>
                <w:sz w:val="28"/>
                <w:lang w:eastAsia="es-ES"/>
              </w:rPr>
            </w:pPr>
          </w:p>
          <w:p w:rsidR="000E6BF6" w:rsidRPr="006671C3" w:rsidRDefault="006671C3" w:rsidP="000E6BF6">
            <w:pPr>
              <w:shd w:val="clear" w:color="auto" w:fill="FFFFFF"/>
              <w:jc w:val="both"/>
              <w:rPr>
                <w:rFonts w:ascii="Times New Roman" w:eastAsia="Times New Roman" w:hAnsi="Times New Roman" w:cs="Times New Roman"/>
                <w:snapToGrid w:val="0"/>
                <w:position w:val="6"/>
                <w:sz w:val="28"/>
                <w:lang w:eastAsia="es-ES"/>
              </w:rPr>
            </w:pPr>
          </w:p>
          <w:p w:rsidR="000E6BF6" w:rsidRPr="006671C3" w:rsidRDefault="006671C3" w:rsidP="000E6BF6">
            <w:pPr>
              <w:shd w:val="clear" w:color="auto" w:fill="FFFFFF"/>
              <w:jc w:val="both"/>
              <w:rPr>
                <w:rFonts w:ascii="Times New Roman" w:eastAsia="Times New Roman" w:hAnsi="Times New Roman" w:cs="Times New Roman"/>
                <w:snapToGrid w:val="0"/>
                <w:position w:val="6"/>
                <w:sz w:val="28"/>
                <w:lang w:eastAsia="es-ES"/>
              </w:rPr>
            </w:pPr>
          </w:p>
          <w:p w:rsidR="000E6BF6" w:rsidRPr="006671C3" w:rsidRDefault="006671C3" w:rsidP="000E6BF6">
            <w:pPr>
              <w:shd w:val="clear" w:color="auto" w:fill="FFFFFF"/>
              <w:jc w:val="both"/>
              <w:rPr>
                <w:rFonts w:ascii="Times New Roman" w:eastAsia="Times New Roman" w:hAnsi="Times New Roman" w:cs="Times New Roman"/>
                <w:snapToGrid w:val="0"/>
                <w:position w:val="6"/>
                <w:sz w:val="28"/>
                <w:lang w:eastAsia="es-ES"/>
              </w:rPr>
            </w:pPr>
          </w:p>
          <w:p w:rsidR="000E6BF6" w:rsidRPr="006671C3" w:rsidRDefault="006671C3" w:rsidP="000E6BF6">
            <w:pPr>
              <w:shd w:val="clear" w:color="auto" w:fill="FFFFFF"/>
              <w:jc w:val="both"/>
              <w:rPr>
                <w:rFonts w:ascii="Times New Roman" w:eastAsia="Times New Roman" w:hAnsi="Times New Roman" w:cs="Times New Roman"/>
                <w:snapToGrid w:val="0"/>
                <w:position w:val="6"/>
                <w:sz w:val="28"/>
                <w:lang w:eastAsia="es-ES"/>
              </w:rPr>
            </w:pPr>
          </w:p>
          <w:p w:rsidR="000E6BF6" w:rsidRPr="006671C3" w:rsidRDefault="006671C3" w:rsidP="000E6BF6">
            <w:pPr>
              <w:shd w:val="clear" w:color="auto" w:fill="FFFFFF"/>
              <w:jc w:val="both"/>
              <w:rPr>
                <w:rFonts w:ascii="Times New Roman" w:eastAsia="Times New Roman" w:hAnsi="Times New Roman" w:cs="Times New Roman"/>
                <w:snapToGrid w:val="0"/>
                <w:position w:val="6"/>
                <w:sz w:val="28"/>
                <w:lang w:eastAsia="es-ES"/>
              </w:rPr>
            </w:pPr>
          </w:p>
          <w:p w:rsidR="000E6BF6" w:rsidRPr="006671C3" w:rsidRDefault="006671C3" w:rsidP="000E6BF6">
            <w:pPr>
              <w:shd w:val="clear" w:color="auto" w:fill="FFFFFF"/>
              <w:jc w:val="both"/>
              <w:rPr>
                <w:rFonts w:ascii="Times New Roman" w:eastAsia="Times New Roman" w:hAnsi="Times New Roman" w:cs="Times New Roman"/>
                <w:snapToGrid w:val="0"/>
                <w:position w:val="6"/>
                <w:sz w:val="28"/>
                <w:lang w:eastAsia="es-ES"/>
              </w:rPr>
            </w:pPr>
          </w:p>
          <w:p w:rsidR="000E6BF6" w:rsidRPr="006671C3" w:rsidRDefault="006671C3" w:rsidP="000E6BF6">
            <w:pPr>
              <w:shd w:val="clear" w:color="auto" w:fill="FFFFFF"/>
              <w:jc w:val="both"/>
              <w:rPr>
                <w:rFonts w:ascii="Times New Roman" w:eastAsia="Times New Roman" w:hAnsi="Times New Roman" w:cs="Times New Roman"/>
                <w:snapToGrid w:val="0"/>
                <w:position w:val="6"/>
                <w:sz w:val="28"/>
                <w:lang w:eastAsia="es-ES"/>
              </w:rPr>
            </w:pPr>
          </w:p>
          <w:p w:rsidR="000E6BF6" w:rsidRPr="006671C3" w:rsidRDefault="006671C3" w:rsidP="000E6BF6">
            <w:pPr>
              <w:shd w:val="clear" w:color="auto" w:fill="FFFFFF"/>
              <w:jc w:val="both"/>
              <w:rPr>
                <w:rFonts w:ascii="Times New Roman" w:eastAsia="Times New Roman" w:hAnsi="Times New Roman" w:cs="Times New Roman"/>
                <w:snapToGrid w:val="0"/>
                <w:position w:val="6"/>
                <w:sz w:val="28"/>
                <w:lang w:eastAsia="es-ES"/>
              </w:rPr>
            </w:pPr>
          </w:p>
          <w:p w:rsidR="000E6BF6" w:rsidRPr="006671C3" w:rsidRDefault="006671C3" w:rsidP="000E6BF6">
            <w:pPr>
              <w:shd w:val="clear" w:color="auto" w:fill="FFFFFF"/>
              <w:jc w:val="both"/>
              <w:rPr>
                <w:rFonts w:ascii="Times New Roman" w:eastAsia="Times New Roman" w:hAnsi="Times New Roman" w:cs="Times New Roman"/>
                <w:snapToGrid w:val="0"/>
                <w:position w:val="6"/>
                <w:sz w:val="28"/>
                <w:lang w:eastAsia="es-ES"/>
              </w:rPr>
            </w:pPr>
          </w:p>
          <w:p w:rsidR="000E6BF6" w:rsidRPr="006671C3" w:rsidRDefault="006671C3" w:rsidP="000E6BF6">
            <w:pPr>
              <w:shd w:val="clear" w:color="auto" w:fill="FFFFFF"/>
              <w:jc w:val="both"/>
              <w:rPr>
                <w:rFonts w:ascii="Times New Roman" w:eastAsia="Times New Roman" w:hAnsi="Times New Roman" w:cs="Times New Roman"/>
                <w:snapToGrid w:val="0"/>
                <w:position w:val="6"/>
                <w:sz w:val="28"/>
                <w:lang w:eastAsia="es-ES"/>
              </w:rPr>
            </w:pPr>
          </w:p>
          <w:p w:rsidR="000E6BF6" w:rsidRPr="006671C3" w:rsidRDefault="006671C3" w:rsidP="000E6BF6">
            <w:pPr>
              <w:shd w:val="clear" w:color="auto" w:fill="FFFFFF"/>
              <w:jc w:val="both"/>
              <w:rPr>
                <w:rFonts w:ascii="Times New Roman" w:eastAsia="Times New Roman" w:hAnsi="Times New Roman" w:cs="Times New Roman"/>
                <w:snapToGrid w:val="0"/>
                <w:position w:val="6"/>
                <w:sz w:val="28"/>
                <w:lang w:eastAsia="es-ES"/>
              </w:rPr>
            </w:pPr>
          </w:p>
          <w:p w:rsidR="000E6BF6" w:rsidRPr="006671C3" w:rsidRDefault="006671C3" w:rsidP="000E6BF6">
            <w:pPr>
              <w:shd w:val="clear" w:color="auto" w:fill="FFFFFF"/>
              <w:jc w:val="both"/>
              <w:rPr>
                <w:rFonts w:ascii="Times New Roman" w:eastAsia="Times New Roman" w:hAnsi="Times New Roman" w:cs="Times New Roman"/>
                <w:snapToGrid w:val="0"/>
                <w:position w:val="6"/>
                <w:sz w:val="28"/>
                <w:lang w:eastAsia="es-ES"/>
              </w:rPr>
            </w:pPr>
          </w:p>
          <w:p w:rsidR="000E6BF6" w:rsidRPr="006671C3" w:rsidRDefault="006671C3" w:rsidP="000E6BF6">
            <w:pPr>
              <w:shd w:val="clear" w:color="auto" w:fill="FFFFFF"/>
              <w:jc w:val="both"/>
              <w:rPr>
                <w:rFonts w:ascii="Times New Roman" w:eastAsia="Times New Roman" w:hAnsi="Times New Roman" w:cs="Times New Roman"/>
                <w:snapToGrid w:val="0"/>
                <w:position w:val="6"/>
                <w:sz w:val="28"/>
                <w:lang w:eastAsia="es-ES"/>
              </w:rPr>
            </w:pPr>
          </w:p>
          <w:p w:rsidR="000E6BF6" w:rsidRPr="006671C3" w:rsidRDefault="006671C3" w:rsidP="000E6BF6">
            <w:pPr>
              <w:shd w:val="clear" w:color="auto" w:fill="FFFFFF"/>
              <w:jc w:val="both"/>
              <w:rPr>
                <w:rFonts w:ascii="Times New Roman" w:eastAsia="Times New Roman" w:hAnsi="Times New Roman" w:cs="Times New Roman"/>
                <w:snapToGrid w:val="0"/>
                <w:position w:val="6"/>
                <w:sz w:val="28"/>
                <w:lang w:eastAsia="es-ES"/>
              </w:rPr>
            </w:pPr>
          </w:p>
          <w:p w:rsidR="000E6BF6" w:rsidRPr="006671C3" w:rsidRDefault="006671C3" w:rsidP="000E6BF6">
            <w:pPr>
              <w:shd w:val="clear" w:color="auto" w:fill="FFFFFF"/>
              <w:jc w:val="both"/>
              <w:rPr>
                <w:rFonts w:ascii="Times New Roman" w:eastAsia="Times New Roman" w:hAnsi="Times New Roman" w:cs="Times New Roman"/>
                <w:snapToGrid w:val="0"/>
                <w:position w:val="6"/>
                <w:sz w:val="28"/>
                <w:lang w:eastAsia="es-ES"/>
              </w:rPr>
            </w:pPr>
          </w:p>
          <w:p w:rsidR="000E6BF6" w:rsidRPr="006671C3" w:rsidRDefault="006671C3" w:rsidP="000E6BF6">
            <w:pPr>
              <w:shd w:val="clear" w:color="auto" w:fill="FFFFFF"/>
              <w:jc w:val="both"/>
              <w:rPr>
                <w:rFonts w:ascii="Times New Roman" w:eastAsia="Times New Roman" w:hAnsi="Times New Roman" w:cs="Times New Roman"/>
                <w:snapToGrid w:val="0"/>
                <w:position w:val="6"/>
                <w:sz w:val="28"/>
                <w:lang w:eastAsia="es-ES"/>
              </w:rPr>
            </w:pPr>
          </w:p>
          <w:p w:rsidR="000E6BF6" w:rsidRPr="006671C3" w:rsidRDefault="006671C3" w:rsidP="000E6BF6">
            <w:pPr>
              <w:shd w:val="clear" w:color="auto" w:fill="FFFFFF"/>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 xml:space="preserve">Art. 29. </w:t>
            </w:r>
            <w:r w:rsidRPr="006671C3">
              <w:rPr>
                <w:rFonts w:ascii="Times New Roman" w:eastAsia="Times New Roman" w:hAnsi="Times New Roman" w:cs="Times New Roman"/>
                <w:i/>
                <w:snapToGrid w:val="0"/>
                <w:position w:val="6"/>
                <w:sz w:val="28"/>
                <w:lang w:eastAsia="es-ES"/>
              </w:rPr>
              <w:t xml:space="preserve">“Infracciones aduaneras de los declarantes en el régimen </w:t>
            </w:r>
            <w:r w:rsidRPr="006671C3">
              <w:rPr>
                <w:rFonts w:ascii="Times New Roman" w:eastAsia="Times New Roman" w:hAnsi="Times New Roman" w:cs="Times New Roman"/>
                <w:i/>
                <w:snapToGrid w:val="0"/>
                <w:position w:val="6"/>
                <w:sz w:val="28"/>
                <w:lang w:eastAsia="es-ES"/>
              </w:rPr>
              <w:t>de importación y sanciones aplicables</w:t>
            </w:r>
            <w:r w:rsidRPr="006671C3">
              <w:rPr>
                <w:rFonts w:ascii="Times New Roman" w:eastAsia="Times New Roman" w:hAnsi="Times New Roman" w:cs="Times New Roman"/>
                <w:snapToGrid w:val="0"/>
                <w:position w:val="6"/>
                <w:sz w:val="28"/>
                <w:lang w:eastAsia="es-ES"/>
              </w:rPr>
              <w:t xml:space="preserve">. (…) 1. Gravísimas. 1.1. Sustraer, extraviar, cambiar o alterar las mercancías bajo control aduanero. (…) Cuando el declarante sea una agencia de aduanas, </w:t>
            </w:r>
            <w:r w:rsidRPr="006671C3">
              <w:rPr>
                <w:rFonts w:ascii="Times New Roman" w:eastAsia="Times New Roman" w:hAnsi="Times New Roman" w:cs="Times New Roman"/>
                <w:b/>
                <w:snapToGrid w:val="0"/>
                <w:position w:val="6"/>
                <w:sz w:val="28"/>
                <w:lang w:eastAsia="es-ES"/>
              </w:rPr>
              <w:t>dependiendo de la gravedad del perjuicio causado a los interese</w:t>
            </w:r>
            <w:r w:rsidRPr="006671C3">
              <w:rPr>
                <w:rFonts w:ascii="Times New Roman" w:eastAsia="Times New Roman" w:hAnsi="Times New Roman" w:cs="Times New Roman"/>
                <w:b/>
                <w:snapToGrid w:val="0"/>
                <w:position w:val="6"/>
                <w:sz w:val="28"/>
                <w:lang w:eastAsia="es-ES"/>
              </w:rPr>
              <w:t>s del Estado</w:t>
            </w:r>
            <w:r w:rsidRPr="006671C3">
              <w:rPr>
                <w:rFonts w:ascii="Times New Roman" w:eastAsia="Times New Roman" w:hAnsi="Times New Roman" w:cs="Times New Roman"/>
                <w:snapToGrid w:val="0"/>
                <w:position w:val="6"/>
                <w:sz w:val="28"/>
                <w:lang w:eastAsia="es-ES"/>
              </w:rPr>
              <w:t xml:space="preserve"> de acuerdo con lo previsto en el numeral 5 del artículo 22 de este decreto, se podrá imponer, en sustitución de la sanción de multa, sanción </w:t>
            </w:r>
            <w:r w:rsidRPr="006671C3">
              <w:rPr>
                <w:rFonts w:ascii="Times New Roman" w:eastAsia="Times New Roman" w:hAnsi="Times New Roman" w:cs="Times New Roman"/>
                <w:b/>
                <w:snapToGrid w:val="0"/>
                <w:position w:val="6"/>
                <w:sz w:val="28"/>
                <w:lang w:eastAsia="es-ES"/>
              </w:rPr>
              <w:t>de suspensión hasta por tres (3) meses</w:t>
            </w:r>
            <w:r w:rsidRPr="006671C3">
              <w:rPr>
                <w:rFonts w:ascii="Times New Roman" w:eastAsia="Times New Roman" w:hAnsi="Times New Roman" w:cs="Times New Roman"/>
                <w:snapToGrid w:val="0"/>
                <w:position w:val="6"/>
                <w:sz w:val="28"/>
                <w:lang w:eastAsia="es-ES"/>
              </w:rPr>
              <w:t>, o cancelación de la respectiva autorización, sin perjuicio del</w:t>
            </w:r>
            <w:r w:rsidRPr="006671C3">
              <w:rPr>
                <w:rFonts w:ascii="Times New Roman" w:eastAsia="Times New Roman" w:hAnsi="Times New Roman" w:cs="Times New Roman"/>
                <w:snapToGrid w:val="0"/>
                <w:position w:val="6"/>
                <w:sz w:val="28"/>
                <w:lang w:eastAsia="es-ES"/>
              </w:rPr>
              <w:t xml:space="preserve"> cumplimiento de la obligación de pago de los tributos aduaneros correspondientes a la mercancía que fue objeto de sustracción o sustitución. (…)”. 1.2. Simular operaciones de importación. (…). Cuando el declarante sea una agencia de aduanas, un Usuario Ad</w:t>
            </w:r>
            <w:r w:rsidRPr="006671C3">
              <w:rPr>
                <w:rFonts w:ascii="Times New Roman" w:eastAsia="Times New Roman" w:hAnsi="Times New Roman" w:cs="Times New Roman"/>
                <w:snapToGrid w:val="0"/>
                <w:position w:val="6"/>
                <w:sz w:val="28"/>
                <w:lang w:eastAsia="es-ES"/>
              </w:rPr>
              <w:t xml:space="preserve">uanero con Trámite Simplificado o un Operador Económico Autorizado, </w:t>
            </w:r>
            <w:r w:rsidRPr="006671C3">
              <w:rPr>
                <w:rFonts w:ascii="Times New Roman" w:eastAsia="Times New Roman" w:hAnsi="Times New Roman" w:cs="Times New Roman"/>
                <w:b/>
                <w:snapToGrid w:val="0"/>
                <w:position w:val="6"/>
                <w:sz w:val="28"/>
                <w:lang w:eastAsia="es-ES"/>
              </w:rPr>
              <w:t>dependiendo de la gravedad del perjuicio causado a los intereses del Estado</w:t>
            </w:r>
            <w:r w:rsidRPr="006671C3">
              <w:rPr>
                <w:rFonts w:ascii="Times New Roman" w:eastAsia="Times New Roman" w:hAnsi="Times New Roman" w:cs="Times New Roman"/>
                <w:snapToGrid w:val="0"/>
                <w:position w:val="6"/>
                <w:sz w:val="28"/>
                <w:lang w:eastAsia="es-ES"/>
              </w:rPr>
              <w:t xml:space="preserve"> de acuerdo con lo previsto en el numeral 5 del artículo 22 de este decreto, se podrá imponer, en sustitución de </w:t>
            </w:r>
            <w:r w:rsidRPr="006671C3">
              <w:rPr>
                <w:rFonts w:ascii="Times New Roman" w:eastAsia="Times New Roman" w:hAnsi="Times New Roman" w:cs="Times New Roman"/>
                <w:snapToGrid w:val="0"/>
                <w:position w:val="6"/>
                <w:sz w:val="28"/>
                <w:lang w:eastAsia="es-ES"/>
              </w:rPr>
              <w:t xml:space="preserve">la sanción de multa, sanción </w:t>
            </w:r>
            <w:r w:rsidRPr="006671C3">
              <w:rPr>
                <w:rFonts w:ascii="Times New Roman" w:eastAsia="Times New Roman" w:hAnsi="Times New Roman" w:cs="Times New Roman"/>
                <w:b/>
                <w:snapToGrid w:val="0"/>
                <w:position w:val="6"/>
                <w:sz w:val="28"/>
                <w:lang w:eastAsia="es-ES"/>
              </w:rPr>
              <w:t>de suspensión hasta por tres (3) meses</w:t>
            </w:r>
            <w:r w:rsidRPr="006671C3">
              <w:rPr>
                <w:rFonts w:ascii="Times New Roman" w:eastAsia="Times New Roman" w:hAnsi="Times New Roman" w:cs="Times New Roman"/>
                <w:snapToGrid w:val="0"/>
                <w:position w:val="6"/>
                <w:sz w:val="28"/>
                <w:lang w:eastAsia="es-ES"/>
              </w:rPr>
              <w:t xml:space="preserve"> o cancelación de la respectiva autorización, reconocimiento o inscripción. (…)”.</w:t>
            </w:r>
          </w:p>
          <w:p w:rsidR="000E6BF6" w:rsidRPr="006671C3" w:rsidRDefault="006671C3" w:rsidP="000E6BF6">
            <w:pPr>
              <w:contextualSpacing/>
              <w:jc w:val="both"/>
              <w:rPr>
                <w:rFonts w:ascii="Times New Roman" w:eastAsia="Times New Roman" w:hAnsi="Times New Roman" w:cs="Times New Roman"/>
                <w:snapToGrid w:val="0"/>
                <w:position w:val="6"/>
                <w:sz w:val="28"/>
                <w:lang w:eastAsia="es-ES"/>
              </w:rPr>
            </w:pPr>
          </w:p>
          <w:p w:rsidR="000E6BF6" w:rsidRPr="006671C3" w:rsidRDefault="006671C3" w:rsidP="000E6BF6">
            <w:pPr>
              <w:contextualSpacing/>
              <w:jc w:val="both"/>
              <w:rPr>
                <w:rFonts w:ascii="Times New Roman" w:hAnsi="Times New Roman" w:cs="Times New Roman"/>
                <w:sz w:val="28"/>
              </w:rPr>
            </w:pPr>
            <w:r w:rsidRPr="006671C3">
              <w:rPr>
                <w:rFonts w:ascii="Times New Roman" w:eastAsia="Times New Roman" w:hAnsi="Times New Roman" w:cs="Times New Roman"/>
                <w:snapToGrid w:val="0"/>
                <w:position w:val="6"/>
                <w:sz w:val="28"/>
                <w:lang w:eastAsia="es-ES"/>
              </w:rPr>
              <w:t xml:space="preserve">Art. 31. </w:t>
            </w:r>
            <w:r w:rsidRPr="006671C3">
              <w:rPr>
                <w:rFonts w:ascii="Times New Roman" w:eastAsia="Times New Roman" w:hAnsi="Times New Roman" w:cs="Times New Roman"/>
                <w:i/>
                <w:snapToGrid w:val="0"/>
                <w:position w:val="6"/>
                <w:sz w:val="28"/>
                <w:lang w:eastAsia="es-ES"/>
              </w:rPr>
              <w:t>“Infracciones aduaneras de los declarantes en el régimen de exportación y sanciones aplicables</w:t>
            </w:r>
            <w:r w:rsidRPr="006671C3">
              <w:rPr>
                <w:rFonts w:ascii="Times New Roman" w:eastAsia="Times New Roman" w:hAnsi="Times New Roman" w:cs="Times New Roman"/>
                <w:snapToGrid w:val="0"/>
                <w:position w:val="6"/>
                <w:sz w:val="28"/>
                <w:lang w:eastAsia="es-ES"/>
              </w:rPr>
              <w:t>. (</w:t>
            </w:r>
            <w:r w:rsidRPr="006671C3">
              <w:rPr>
                <w:rFonts w:ascii="Times New Roman" w:eastAsia="Times New Roman" w:hAnsi="Times New Roman" w:cs="Times New Roman"/>
                <w:snapToGrid w:val="0"/>
                <w:position w:val="6"/>
                <w:sz w:val="28"/>
                <w:lang w:eastAsia="es-ES"/>
              </w:rPr>
              <w:t>…) 1. Gravísimas. (…).1.2.</w:t>
            </w:r>
            <w:r w:rsidRPr="006671C3">
              <w:rPr>
                <w:rFonts w:ascii="Times New Roman" w:hAnsi="Times New Roman" w:cs="Times New Roman"/>
                <w:sz w:val="28"/>
              </w:rPr>
              <w:t xml:space="preserve"> </w:t>
            </w:r>
            <w:r w:rsidRPr="006671C3">
              <w:rPr>
                <w:rFonts w:ascii="Times New Roman" w:eastAsia="Times New Roman" w:hAnsi="Times New Roman" w:cs="Times New Roman"/>
                <w:snapToGrid w:val="0"/>
                <w:position w:val="6"/>
                <w:sz w:val="28"/>
                <w:lang w:eastAsia="es-ES"/>
              </w:rPr>
              <w:t xml:space="preserve">Someter a la modalidad de reembarque substancias químicas controladas por el Consejo Nacional de Estupefacientes. (…)  Cuando el declarante sea una agencia de aduanas, </w:t>
            </w:r>
            <w:r w:rsidRPr="006671C3">
              <w:rPr>
                <w:rFonts w:ascii="Times New Roman" w:eastAsia="Times New Roman" w:hAnsi="Times New Roman" w:cs="Times New Roman"/>
                <w:b/>
                <w:snapToGrid w:val="0"/>
                <w:position w:val="6"/>
                <w:sz w:val="28"/>
                <w:lang w:eastAsia="es-ES"/>
              </w:rPr>
              <w:t>dependiendo de la gravedad del perjuicio causado a los intere</w:t>
            </w:r>
            <w:r w:rsidRPr="006671C3">
              <w:rPr>
                <w:rFonts w:ascii="Times New Roman" w:eastAsia="Times New Roman" w:hAnsi="Times New Roman" w:cs="Times New Roman"/>
                <w:b/>
                <w:snapToGrid w:val="0"/>
                <w:position w:val="6"/>
                <w:sz w:val="28"/>
                <w:lang w:eastAsia="es-ES"/>
              </w:rPr>
              <w:t>ses del Estado</w:t>
            </w:r>
            <w:r w:rsidRPr="006671C3">
              <w:rPr>
                <w:rFonts w:ascii="Times New Roman" w:eastAsia="Times New Roman" w:hAnsi="Times New Roman" w:cs="Times New Roman"/>
                <w:snapToGrid w:val="0"/>
                <w:position w:val="6"/>
                <w:sz w:val="28"/>
                <w:lang w:eastAsia="es-ES"/>
              </w:rPr>
              <w:t xml:space="preserve"> de acuerdo con lo previsto en el numeral 5 del artículo 22 de este decreto, se podrá imponer, en sustitución de la sanción de multa, sanción </w:t>
            </w:r>
            <w:r w:rsidRPr="006671C3">
              <w:rPr>
                <w:rFonts w:ascii="Times New Roman" w:eastAsia="Times New Roman" w:hAnsi="Times New Roman" w:cs="Times New Roman"/>
                <w:b/>
                <w:snapToGrid w:val="0"/>
                <w:position w:val="6"/>
                <w:sz w:val="28"/>
                <w:lang w:eastAsia="es-ES"/>
              </w:rPr>
              <w:t>de suspensión hasta por tres (3) meses</w:t>
            </w:r>
            <w:r w:rsidRPr="006671C3">
              <w:rPr>
                <w:rFonts w:ascii="Times New Roman" w:eastAsia="Times New Roman" w:hAnsi="Times New Roman" w:cs="Times New Roman"/>
                <w:snapToGrid w:val="0"/>
                <w:position w:val="6"/>
                <w:sz w:val="28"/>
                <w:lang w:eastAsia="es-ES"/>
              </w:rPr>
              <w:t xml:space="preserve"> o cancelación de la respectiva autorización. 1.3. Simular ope</w:t>
            </w:r>
            <w:r w:rsidRPr="006671C3">
              <w:rPr>
                <w:rFonts w:ascii="Times New Roman" w:eastAsia="Times New Roman" w:hAnsi="Times New Roman" w:cs="Times New Roman"/>
                <w:snapToGrid w:val="0"/>
                <w:position w:val="6"/>
                <w:sz w:val="28"/>
                <w:lang w:eastAsia="es-ES"/>
              </w:rPr>
              <w:t xml:space="preserve">raciones de exportación.  (…) Cuando el declarante sea una agencia de aduanas, un Usuario Aduanero con Trámite Simplificado o un Operador Económico Autorizado, </w:t>
            </w:r>
            <w:r w:rsidRPr="006671C3">
              <w:rPr>
                <w:rFonts w:ascii="Times New Roman" w:eastAsia="Times New Roman" w:hAnsi="Times New Roman" w:cs="Times New Roman"/>
                <w:b/>
                <w:snapToGrid w:val="0"/>
                <w:position w:val="6"/>
                <w:sz w:val="28"/>
                <w:lang w:eastAsia="es-ES"/>
              </w:rPr>
              <w:t>dependiendo de la gravedad del perjuicio causado a los intereses del Estado</w:t>
            </w:r>
            <w:r w:rsidRPr="006671C3">
              <w:rPr>
                <w:rFonts w:ascii="Times New Roman" w:eastAsia="Times New Roman" w:hAnsi="Times New Roman" w:cs="Times New Roman"/>
                <w:snapToGrid w:val="0"/>
                <w:position w:val="6"/>
                <w:sz w:val="28"/>
                <w:lang w:eastAsia="es-ES"/>
              </w:rPr>
              <w:t xml:space="preserve"> de acuerdo con lo pr</w:t>
            </w:r>
            <w:r w:rsidRPr="006671C3">
              <w:rPr>
                <w:rFonts w:ascii="Times New Roman" w:eastAsia="Times New Roman" w:hAnsi="Times New Roman" w:cs="Times New Roman"/>
                <w:snapToGrid w:val="0"/>
                <w:position w:val="6"/>
                <w:sz w:val="28"/>
                <w:lang w:eastAsia="es-ES"/>
              </w:rPr>
              <w:t xml:space="preserve">evisto en el numeral 5 del artículo 22 de este decreto, se podrá imponer, en sustitución de la sanción de multa, sanción </w:t>
            </w:r>
            <w:r w:rsidRPr="006671C3">
              <w:rPr>
                <w:rFonts w:ascii="Times New Roman" w:eastAsia="Times New Roman" w:hAnsi="Times New Roman" w:cs="Times New Roman"/>
                <w:b/>
                <w:snapToGrid w:val="0"/>
                <w:position w:val="6"/>
                <w:sz w:val="28"/>
                <w:lang w:eastAsia="es-ES"/>
              </w:rPr>
              <w:t>de suspensión hasta por tres (3) meses</w:t>
            </w:r>
            <w:r w:rsidRPr="006671C3">
              <w:rPr>
                <w:rFonts w:ascii="Times New Roman" w:eastAsia="Times New Roman" w:hAnsi="Times New Roman" w:cs="Times New Roman"/>
                <w:snapToGrid w:val="0"/>
                <w:position w:val="6"/>
                <w:sz w:val="28"/>
                <w:lang w:eastAsia="es-ES"/>
              </w:rPr>
              <w:t xml:space="preserve"> o cancelación de la respectiva autorización, reconocimiento o inscripción. (…)”.</w:t>
            </w:r>
          </w:p>
          <w:p w:rsidR="000E6BF6" w:rsidRPr="006671C3" w:rsidRDefault="006671C3" w:rsidP="000E6BF6">
            <w:pPr>
              <w:contextualSpacing/>
              <w:jc w:val="both"/>
              <w:rPr>
                <w:rFonts w:ascii="Times New Roman" w:hAnsi="Times New Roman" w:cs="Times New Roman"/>
                <w:sz w:val="28"/>
              </w:rPr>
            </w:pPr>
          </w:p>
          <w:p w:rsidR="000E6BF6" w:rsidRPr="006671C3" w:rsidRDefault="006671C3" w:rsidP="000E6BF6">
            <w:pPr>
              <w:shd w:val="clear" w:color="auto" w:fill="FFFFFF"/>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 xml:space="preserve">Art. 35. </w:t>
            </w:r>
            <w:r w:rsidRPr="006671C3">
              <w:rPr>
                <w:rFonts w:ascii="Times New Roman" w:eastAsia="Times New Roman" w:hAnsi="Times New Roman" w:cs="Times New Roman"/>
                <w:i/>
                <w:snapToGrid w:val="0"/>
                <w:position w:val="6"/>
                <w:sz w:val="28"/>
                <w:lang w:eastAsia="es-ES"/>
              </w:rPr>
              <w:t>“Infracciones aduaneras de los beneficiarios de Programas Especiales de Exportación (PEX)</w:t>
            </w:r>
            <w:r w:rsidRPr="006671C3">
              <w:rPr>
                <w:rFonts w:ascii="Times New Roman" w:eastAsia="Times New Roman" w:hAnsi="Times New Roman" w:cs="Times New Roman"/>
                <w:snapToGrid w:val="0"/>
                <w:position w:val="6"/>
                <w:sz w:val="28"/>
                <w:lang w:eastAsia="es-ES"/>
              </w:rPr>
              <w:t>. (…) Gravísimas. (…) La sanción aplicable a las infracciones previstas en los numerales 1.1 a 1.6 será multa de mil seiscientas cincuenta Unidades de Valor Tributario</w:t>
            </w:r>
            <w:r w:rsidRPr="006671C3">
              <w:rPr>
                <w:rFonts w:ascii="Times New Roman" w:eastAsia="Times New Roman" w:hAnsi="Times New Roman" w:cs="Times New Roman"/>
                <w:snapToGrid w:val="0"/>
                <w:position w:val="6"/>
                <w:sz w:val="28"/>
                <w:lang w:eastAsia="es-ES"/>
              </w:rPr>
              <w:t xml:space="preserve"> (1650 UVT), </w:t>
            </w:r>
            <w:r w:rsidRPr="006671C3">
              <w:rPr>
                <w:rFonts w:ascii="Times New Roman" w:eastAsia="Times New Roman" w:hAnsi="Times New Roman" w:cs="Times New Roman"/>
                <w:b/>
                <w:snapToGrid w:val="0"/>
                <w:position w:val="6"/>
                <w:sz w:val="28"/>
                <w:lang w:eastAsia="es-ES"/>
              </w:rPr>
              <w:t>o de suspensión hasta de tres (3) meses</w:t>
            </w:r>
            <w:r w:rsidRPr="006671C3">
              <w:rPr>
                <w:rFonts w:ascii="Times New Roman" w:eastAsia="Times New Roman" w:hAnsi="Times New Roman" w:cs="Times New Roman"/>
                <w:snapToGrid w:val="0"/>
                <w:position w:val="6"/>
                <w:sz w:val="28"/>
                <w:lang w:eastAsia="es-ES"/>
              </w:rPr>
              <w:t xml:space="preserve">, o la cancelación de su inscripción, </w:t>
            </w:r>
            <w:r w:rsidRPr="006671C3">
              <w:rPr>
                <w:rFonts w:ascii="Times New Roman" w:eastAsia="Times New Roman" w:hAnsi="Times New Roman" w:cs="Times New Roman"/>
                <w:b/>
                <w:snapToGrid w:val="0"/>
                <w:position w:val="6"/>
                <w:sz w:val="28"/>
                <w:lang w:eastAsia="es-ES"/>
              </w:rPr>
              <w:t>dependiendo de la gravedad del perjuicio causado a los intereses del Estado</w:t>
            </w:r>
            <w:r w:rsidRPr="006671C3">
              <w:rPr>
                <w:rFonts w:ascii="Times New Roman" w:eastAsia="Times New Roman" w:hAnsi="Times New Roman" w:cs="Times New Roman"/>
                <w:snapToGrid w:val="0"/>
                <w:position w:val="6"/>
                <w:sz w:val="28"/>
                <w:lang w:eastAsia="es-ES"/>
              </w:rPr>
              <w:t>. (…)”.</w:t>
            </w:r>
          </w:p>
          <w:p w:rsidR="000E6BF6" w:rsidRPr="006671C3" w:rsidRDefault="006671C3" w:rsidP="000E6BF6">
            <w:pPr>
              <w:shd w:val="clear" w:color="auto" w:fill="FFFFFF"/>
              <w:jc w:val="both"/>
              <w:rPr>
                <w:rFonts w:ascii="Times New Roman" w:eastAsia="Times New Roman" w:hAnsi="Times New Roman" w:cs="Times New Roman"/>
                <w:snapToGrid w:val="0"/>
                <w:position w:val="6"/>
                <w:sz w:val="28"/>
                <w:lang w:eastAsia="es-ES"/>
              </w:rPr>
            </w:pPr>
          </w:p>
          <w:p w:rsidR="000E6BF6" w:rsidRPr="006671C3" w:rsidRDefault="006671C3" w:rsidP="000E6BF6">
            <w:pPr>
              <w:shd w:val="clear" w:color="auto" w:fill="FFFFFF"/>
              <w:ind w:left="31"/>
              <w:jc w:val="both"/>
              <w:rPr>
                <w:rFonts w:ascii="Times New Roman" w:hAnsi="Times New Roman" w:cs="Times New Roman"/>
                <w:sz w:val="28"/>
              </w:rPr>
            </w:pPr>
            <w:r w:rsidRPr="006671C3">
              <w:rPr>
                <w:rFonts w:ascii="Times New Roman" w:eastAsia="Times New Roman" w:hAnsi="Times New Roman" w:cs="Times New Roman"/>
                <w:snapToGrid w:val="0"/>
                <w:position w:val="6"/>
                <w:sz w:val="28"/>
                <w:lang w:eastAsia="es-ES"/>
              </w:rPr>
              <w:t xml:space="preserve">Art. 48. </w:t>
            </w:r>
            <w:r w:rsidRPr="006671C3">
              <w:rPr>
                <w:rFonts w:ascii="Times New Roman" w:eastAsia="Times New Roman" w:hAnsi="Times New Roman" w:cs="Times New Roman"/>
                <w:i/>
                <w:snapToGrid w:val="0"/>
                <w:position w:val="6"/>
                <w:sz w:val="28"/>
                <w:lang w:eastAsia="es-ES"/>
              </w:rPr>
              <w:t>“Infracciones aduaneras relativas al uso de los servicios informáticos el</w:t>
            </w:r>
            <w:r w:rsidRPr="006671C3">
              <w:rPr>
                <w:rFonts w:ascii="Times New Roman" w:eastAsia="Times New Roman" w:hAnsi="Times New Roman" w:cs="Times New Roman"/>
                <w:i/>
                <w:snapToGrid w:val="0"/>
                <w:position w:val="6"/>
                <w:sz w:val="28"/>
                <w:lang w:eastAsia="es-ES"/>
              </w:rPr>
              <w:t>ectrónicos y sanciones aplicables</w:t>
            </w:r>
            <w:r w:rsidRPr="006671C3">
              <w:rPr>
                <w:rFonts w:ascii="Times New Roman" w:eastAsia="Times New Roman" w:hAnsi="Times New Roman" w:cs="Times New Roman"/>
                <w:snapToGrid w:val="0"/>
                <w:position w:val="6"/>
                <w:sz w:val="28"/>
                <w:lang w:eastAsia="es-ES"/>
              </w:rPr>
              <w:t>. (…) 1. Gravísimas. (…) 1.3.10. Presentar declaración de importación obteniendo levante automático cuando la mercancía se encuentra en abandono. (…) Tratándose de usuarios autorizados, inscritos o habilitados por la autori</w:t>
            </w:r>
            <w:r w:rsidRPr="006671C3">
              <w:rPr>
                <w:rFonts w:ascii="Times New Roman" w:eastAsia="Times New Roman" w:hAnsi="Times New Roman" w:cs="Times New Roman"/>
                <w:snapToGrid w:val="0"/>
                <w:position w:val="6"/>
                <w:sz w:val="28"/>
                <w:lang w:eastAsia="es-ES"/>
              </w:rPr>
              <w:t xml:space="preserve">dad aduanera, </w:t>
            </w:r>
            <w:r w:rsidRPr="006671C3">
              <w:rPr>
                <w:rFonts w:ascii="Times New Roman" w:eastAsia="Times New Roman" w:hAnsi="Times New Roman" w:cs="Times New Roman"/>
                <w:b/>
                <w:snapToGrid w:val="0"/>
                <w:position w:val="6"/>
                <w:sz w:val="28"/>
                <w:lang w:eastAsia="es-ES"/>
              </w:rPr>
              <w:t>dependiendo de la gravedad del perjuicio causado a los intereses del Estado</w:t>
            </w:r>
            <w:r w:rsidRPr="006671C3">
              <w:rPr>
                <w:rFonts w:ascii="Times New Roman" w:eastAsia="Times New Roman" w:hAnsi="Times New Roman" w:cs="Times New Roman"/>
                <w:snapToGrid w:val="0"/>
                <w:position w:val="6"/>
                <w:sz w:val="28"/>
                <w:lang w:eastAsia="es-ES"/>
              </w:rPr>
              <w:t xml:space="preserve"> de acuerdo con lo previsto en el numeral 5 del artículo 22 de este decreto, se podrá imponer, en sustitución de la sanción de multa, sanción </w:t>
            </w:r>
            <w:r w:rsidRPr="006671C3">
              <w:rPr>
                <w:rFonts w:ascii="Times New Roman" w:eastAsia="Times New Roman" w:hAnsi="Times New Roman" w:cs="Times New Roman"/>
                <w:b/>
                <w:snapToGrid w:val="0"/>
                <w:position w:val="6"/>
                <w:sz w:val="28"/>
                <w:lang w:eastAsia="es-ES"/>
              </w:rPr>
              <w:t>de suspensión hasta por t</w:t>
            </w:r>
            <w:r w:rsidRPr="006671C3">
              <w:rPr>
                <w:rFonts w:ascii="Times New Roman" w:eastAsia="Times New Roman" w:hAnsi="Times New Roman" w:cs="Times New Roman"/>
                <w:b/>
                <w:snapToGrid w:val="0"/>
                <w:position w:val="6"/>
                <w:sz w:val="28"/>
                <w:lang w:eastAsia="es-ES"/>
              </w:rPr>
              <w:t>res (3) meses</w:t>
            </w:r>
            <w:r w:rsidRPr="006671C3">
              <w:rPr>
                <w:rFonts w:ascii="Times New Roman" w:eastAsia="Times New Roman" w:hAnsi="Times New Roman" w:cs="Times New Roman"/>
                <w:snapToGrid w:val="0"/>
                <w:position w:val="6"/>
                <w:sz w:val="28"/>
                <w:lang w:eastAsia="es-ES"/>
              </w:rPr>
              <w:t>, o de cancelación de su autorización, inscripción o habilitación. (…)”.</w:t>
            </w:r>
          </w:p>
        </w:tc>
        <w:tc>
          <w:tcPr>
            <w:tcW w:w="1500" w:type="pct"/>
          </w:tcPr>
          <w:p w:rsidR="000E6BF6" w:rsidRPr="006671C3" w:rsidRDefault="006671C3" w:rsidP="000E6BF6">
            <w:pPr>
              <w:contextualSpacing/>
              <w:jc w:val="both"/>
              <w:rPr>
                <w:rFonts w:ascii="Times New Roman" w:hAnsi="Times New Roman" w:cs="Times New Roman"/>
                <w:b/>
                <w:sz w:val="28"/>
              </w:rPr>
            </w:pPr>
            <w:r w:rsidRPr="006671C3">
              <w:rPr>
                <w:rFonts w:ascii="Times New Roman" w:hAnsi="Times New Roman" w:cs="Times New Roman"/>
                <w:b/>
                <w:sz w:val="28"/>
              </w:rPr>
              <w:t>Sobre los arts. 7 y 9 se sostuvo:</w:t>
            </w:r>
          </w:p>
          <w:p w:rsidR="000E6BF6" w:rsidRPr="006671C3" w:rsidRDefault="006671C3" w:rsidP="000E6BF6">
            <w:pPr>
              <w:numPr>
                <w:ilvl w:val="0"/>
                <w:numId w:val="12"/>
              </w:numPr>
              <w:ind w:left="0" w:firstLine="0"/>
              <w:contextualSpacing/>
              <w:jc w:val="both"/>
              <w:rPr>
                <w:rFonts w:ascii="Times New Roman" w:hAnsi="Times New Roman" w:cs="Times New Roman"/>
                <w:sz w:val="28"/>
              </w:rPr>
            </w:pPr>
            <w:r w:rsidRPr="006671C3">
              <w:rPr>
                <w:rFonts w:ascii="Times New Roman" w:hAnsi="Times New Roman" w:cs="Times New Roman"/>
                <w:i/>
                <w:sz w:val="28"/>
              </w:rPr>
              <w:t>Ausencia de proporcionalidad entre la falta y la sanción que lleva a suspender la autorización, habilitación o registro para operar</w:t>
            </w:r>
            <w:r w:rsidRPr="006671C3">
              <w:rPr>
                <w:rFonts w:ascii="Times New Roman" w:hAnsi="Times New Roman" w:cs="Times New Roman"/>
                <w:sz w:val="28"/>
              </w:rPr>
              <w:t>. Inc</w:t>
            </w:r>
            <w:r w:rsidRPr="006671C3">
              <w:rPr>
                <w:rFonts w:ascii="Times New Roman" w:hAnsi="Times New Roman" w:cs="Times New Roman"/>
                <w:sz w:val="28"/>
              </w:rPr>
              <w:t>luso procede como medida cautelar previa a la decisión del proceso sancionatorio, al suponer una sanción anticipada sumaria sin fórmula de juicio, sin permitir la defensa y el debido proceso a través de recurso alguno.</w:t>
            </w:r>
          </w:p>
          <w:p w:rsidR="000E6BF6" w:rsidRPr="006671C3" w:rsidRDefault="006671C3" w:rsidP="000E6BF6">
            <w:pPr>
              <w:contextualSpacing/>
              <w:jc w:val="both"/>
              <w:rPr>
                <w:rFonts w:ascii="Times New Roman" w:hAnsi="Times New Roman" w:cs="Times New Roman"/>
                <w:sz w:val="28"/>
              </w:rPr>
            </w:pPr>
          </w:p>
          <w:p w:rsidR="000E6BF6" w:rsidRPr="006671C3" w:rsidRDefault="006671C3" w:rsidP="000E6BF6">
            <w:pPr>
              <w:contextualSpacing/>
              <w:jc w:val="both"/>
              <w:rPr>
                <w:rFonts w:ascii="Times New Roman" w:hAnsi="Times New Roman" w:cs="Times New Roman"/>
                <w:sz w:val="28"/>
              </w:rPr>
            </w:pPr>
            <w:r w:rsidRPr="006671C3">
              <w:rPr>
                <w:rFonts w:ascii="Times New Roman" w:hAnsi="Times New Roman" w:cs="Times New Roman"/>
                <w:sz w:val="28"/>
              </w:rPr>
              <w:t xml:space="preserve">(ii) </w:t>
            </w:r>
            <w:r w:rsidRPr="006671C3">
              <w:rPr>
                <w:rFonts w:ascii="Times New Roman" w:hAnsi="Times New Roman" w:cs="Times New Roman"/>
                <w:i/>
                <w:sz w:val="28"/>
              </w:rPr>
              <w:t>Desproporcionalidad y violación</w:t>
            </w:r>
            <w:r w:rsidRPr="006671C3">
              <w:rPr>
                <w:rFonts w:ascii="Times New Roman" w:hAnsi="Times New Roman" w:cs="Times New Roman"/>
                <w:i/>
                <w:sz w:val="28"/>
              </w:rPr>
              <w:t xml:space="preserve"> de los objetivos de la medida cautelar</w:t>
            </w:r>
            <w:r w:rsidRPr="006671C3">
              <w:rPr>
                <w:rFonts w:ascii="Times New Roman" w:hAnsi="Times New Roman" w:cs="Times New Roman"/>
                <w:sz w:val="28"/>
              </w:rPr>
              <w:t>. Compromete la capacidad del usuario aduanero para continuar sus operaciones comerciales y obstruye por un tiempo indeterminado que la empresa cumpla su objeto. Existencia de un concepto jurídico indeterminado, sin p</w:t>
            </w:r>
            <w:r w:rsidRPr="006671C3">
              <w:rPr>
                <w:rFonts w:ascii="Times New Roman" w:hAnsi="Times New Roman" w:cs="Times New Roman"/>
                <w:sz w:val="28"/>
              </w:rPr>
              <w:t>ruebas ni investigación, durante todo el proceso y no permitiendo la defensa y contradicción ante la improcedencia de recurso alguno.</w:t>
            </w:r>
          </w:p>
          <w:p w:rsidR="000E6BF6" w:rsidRPr="006671C3" w:rsidRDefault="006671C3" w:rsidP="000E6BF6">
            <w:pPr>
              <w:ind w:left="720"/>
              <w:contextualSpacing/>
              <w:rPr>
                <w:rFonts w:ascii="Times New Roman" w:hAnsi="Times New Roman" w:cs="Times New Roman"/>
                <w:sz w:val="28"/>
              </w:rPr>
            </w:pPr>
          </w:p>
          <w:p w:rsidR="000E6BF6" w:rsidRPr="006671C3" w:rsidRDefault="006671C3" w:rsidP="000E6BF6">
            <w:pPr>
              <w:contextualSpacing/>
              <w:jc w:val="both"/>
              <w:rPr>
                <w:rFonts w:ascii="Times New Roman" w:hAnsi="Times New Roman" w:cs="Times New Roman"/>
                <w:b/>
                <w:sz w:val="28"/>
              </w:rPr>
            </w:pPr>
            <w:r w:rsidRPr="006671C3">
              <w:rPr>
                <w:rFonts w:ascii="Times New Roman" w:hAnsi="Times New Roman" w:cs="Times New Roman"/>
                <w:b/>
                <w:sz w:val="28"/>
              </w:rPr>
              <w:t>Sobre los arts. 29, 31, 35 y 48 se sostuvo:</w:t>
            </w:r>
          </w:p>
          <w:p w:rsidR="000E6BF6" w:rsidRPr="006671C3" w:rsidRDefault="006671C3" w:rsidP="000E6BF6">
            <w:pPr>
              <w:numPr>
                <w:ilvl w:val="0"/>
                <w:numId w:val="13"/>
              </w:numPr>
              <w:ind w:left="0" w:firstLine="0"/>
              <w:contextualSpacing/>
              <w:jc w:val="both"/>
              <w:rPr>
                <w:rFonts w:ascii="Times New Roman" w:hAnsi="Times New Roman" w:cs="Times New Roman"/>
                <w:sz w:val="28"/>
              </w:rPr>
            </w:pPr>
            <w:r w:rsidRPr="006671C3">
              <w:rPr>
                <w:rFonts w:ascii="Times New Roman" w:hAnsi="Times New Roman" w:cs="Times New Roman"/>
                <w:i/>
                <w:sz w:val="28"/>
              </w:rPr>
              <w:t>Ausencia de proporcionalidad entre la falta y la sanción que lleva a suspende</w:t>
            </w:r>
            <w:r w:rsidRPr="006671C3">
              <w:rPr>
                <w:rFonts w:ascii="Times New Roman" w:hAnsi="Times New Roman" w:cs="Times New Roman"/>
                <w:i/>
                <w:sz w:val="28"/>
              </w:rPr>
              <w:t>r la autorización, habilitación o registro para operar</w:t>
            </w:r>
            <w:r w:rsidRPr="006671C3">
              <w:rPr>
                <w:rFonts w:ascii="Times New Roman" w:hAnsi="Times New Roman" w:cs="Times New Roman"/>
                <w:sz w:val="28"/>
              </w:rPr>
              <w:t>. La sanción de multa es sustancialmente diferente a la suspensión, ya que una es económica mientras que la otra lleva a cesar por completo la operatividad de la empresa.</w:t>
            </w:r>
          </w:p>
          <w:p w:rsidR="000E6BF6" w:rsidRPr="006671C3" w:rsidRDefault="006671C3" w:rsidP="000E6BF6">
            <w:pPr>
              <w:contextualSpacing/>
              <w:jc w:val="both"/>
              <w:rPr>
                <w:rFonts w:ascii="Times New Roman" w:hAnsi="Times New Roman" w:cs="Times New Roman"/>
                <w:sz w:val="28"/>
              </w:rPr>
            </w:pPr>
          </w:p>
          <w:p w:rsidR="000E6BF6" w:rsidRPr="006671C3" w:rsidRDefault="006671C3" w:rsidP="000E6BF6">
            <w:pPr>
              <w:contextualSpacing/>
              <w:jc w:val="both"/>
              <w:rPr>
                <w:rFonts w:ascii="Times New Roman" w:hAnsi="Times New Roman" w:cs="Times New Roman"/>
                <w:sz w:val="28"/>
              </w:rPr>
            </w:pPr>
            <w:r w:rsidRPr="006671C3">
              <w:rPr>
                <w:rFonts w:ascii="Times New Roman" w:hAnsi="Times New Roman" w:cs="Times New Roman"/>
                <w:sz w:val="28"/>
              </w:rPr>
              <w:t xml:space="preserve">(ii) </w:t>
            </w:r>
            <w:r w:rsidRPr="006671C3">
              <w:rPr>
                <w:rFonts w:ascii="Times New Roman" w:hAnsi="Times New Roman" w:cs="Times New Roman"/>
                <w:i/>
                <w:sz w:val="28"/>
              </w:rPr>
              <w:t xml:space="preserve">Discrecionalidad de la </w:t>
            </w:r>
            <w:r w:rsidRPr="006671C3">
              <w:rPr>
                <w:rFonts w:ascii="Times New Roman" w:hAnsi="Times New Roman" w:cs="Times New Roman"/>
                <w:i/>
                <w:sz w:val="28"/>
              </w:rPr>
              <w:t>autoridad administrativa</w:t>
            </w:r>
            <w:r w:rsidRPr="006671C3">
              <w:rPr>
                <w:rFonts w:ascii="Times New Roman" w:hAnsi="Times New Roman" w:cs="Times New Roman"/>
                <w:sz w:val="28"/>
              </w:rPr>
              <w:t>. Falta de criterios objetivos para la aplicación de suspensión en lugar de la multa, condicionada a un concepto indeterminado que no permiten establecer la gravedad de los perjuicios.</w:t>
            </w:r>
          </w:p>
          <w:p w:rsidR="000E6BF6" w:rsidRPr="006671C3" w:rsidRDefault="006671C3" w:rsidP="000E6BF6">
            <w:pPr>
              <w:contextualSpacing/>
              <w:jc w:val="both"/>
              <w:rPr>
                <w:rFonts w:ascii="Times New Roman" w:hAnsi="Times New Roman" w:cs="Times New Roman"/>
                <w:sz w:val="28"/>
              </w:rPr>
            </w:pPr>
          </w:p>
          <w:p w:rsidR="000E6BF6" w:rsidRPr="006671C3" w:rsidRDefault="006671C3" w:rsidP="000E6BF6">
            <w:pPr>
              <w:contextualSpacing/>
              <w:jc w:val="both"/>
              <w:rPr>
                <w:rFonts w:ascii="Times New Roman" w:hAnsi="Times New Roman" w:cs="Times New Roman"/>
                <w:sz w:val="28"/>
              </w:rPr>
            </w:pPr>
            <w:r w:rsidRPr="006671C3">
              <w:rPr>
                <w:rFonts w:ascii="Times New Roman" w:hAnsi="Times New Roman" w:cs="Times New Roman"/>
                <w:sz w:val="28"/>
              </w:rPr>
              <w:t xml:space="preserve">(iii) </w:t>
            </w:r>
            <w:r w:rsidRPr="006671C3">
              <w:rPr>
                <w:rFonts w:ascii="Times New Roman" w:hAnsi="Times New Roman" w:cs="Times New Roman"/>
                <w:i/>
                <w:sz w:val="28"/>
              </w:rPr>
              <w:t>Violación de los principios de tipicidad</w:t>
            </w:r>
            <w:r w:rsidRPr="006671C3">
              <w:rPr>
                <w:rFonts w:ascii="Times New Roman" w:hAnsi="Times New Roman" w:cs="Times New Roman"/>
                <w:i/>
                <w:sz w:val="28"/>
              </w:rPr>
              <w:t xml:space="preserve"> y legalidad</w:t>
            </w:r>
            <w:r w:rsidRPr="006671C3">
              <w:rPr>
                <w:rFonts w:ascii="Times New Roman" w:hAnsi="Times New Roman" w:cs="Times New Roman"/>
                <w:sz w:val="28"/>
              </w:rPr>
              <w:t xml:space="preserve">. No se determina criterios objetivos que permitan concretar las hipótesis sobre las cuales se consideraría que existe afectación a los intereses del Estado y gravedad de perjuicios, sin establecer mínimos de cómo se deben valorar y dejando al </w:t>
            </w:r>
            <w:r w:rsidRPr="006671C3">
              <w:rPr>
                <w:rFonts w:ascii="Times New Roman" w:hAnsi="Times New Roman" w:cs="Times New Roman"/>
                <w:sz w:val="28"/>
              </w:rPr>
              <w:t>arbitrio de la autoridad la determinación de tales conceptos.</w:t>
            </w:r>
          </w:p>
        </w:tc>
      </w:tr>
    </w:tbl>
    <w:p w:rsidR="000E6BF6" w:rsidRPr="006671C3" w:rsidRDefault="006671C3" w:rsidP="000E6BF6">
      <w:pPr>
        <w:spacing w:after="0" w:line="240" w:lineRule="auto"/>
        <w:contextualSpacing/>
        <w:jc w:val="both"/>
        <w:rPr>
          <w:rFonts w:ascii="Times New Roman" w:hAnsi="Times New Roman" w:cs="Times New Roman"/>
          <w:sz w:val="28"/>
          <w:szCs w:val="28"/>
        </w:rPr>
      </w:pPr>
    </w:p>
    <w:bookmarkEnd w:id="31"/>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Al respecto, la Corte encuentra que si bien la demanda superó inicialmente la fase de admisión</w:t>
      </w:r>
      <w:r w:rsidRPr="006671C3">
        <w:rPr>
          <w:rFonts w:ascii="Times New Roman" w:hAnsi="Times New Roman" w:cs="Times New Roman"/>
          <w:sz w:val="28"/>
          <w:szCs w:val="28"/>
          <w:vertAlign w:val="superscript"/>
        </w:rPr>
        <w:footnoteReference w:id="97"/>
      </w:r>
      <w:r w:rsidRPr="006671C3">
        <w:rPr>
          <w:rFonts w:ascii="Times New Roman" w:hAnsi="Times New Roman" w:cs="Times New Roman"/>
          <w:sz w:val="28"/>
          <w:szCs w:val="28"/>
        </w:rPr>
        <w:t xml:space="preserve"> es factible advertir que adolece de los requisitos mínimos sustanciales para un pronunciamiento de fondo</w:t>
      </w:r>
      <w:r w:rsidRPr="006671C3">
        <w:rPr>
          <w:rFonts w:ascii="Times New Roman" w:hAnsi="Times New Roman" w:cs="Times New Roman"/>
          <w:sz w:val="28"/>
          <w:szCs w:val="28"/>
          <w:vertAlign w:val="superscript"/>
        </w:rPr>
        <w:footnoteReference w:id="98"/>
      </w:r>
      <w:r w:rsidRPr="006671C3">
        <w:rPr>
          <w:rFonts w:ascii="Times New Roman" w:hAnsi="Times New Roman" w:cs="Times New Roman"/>
          <w:sz w:val="28"/>
          <w:szCs w:val="28"/>
        </w:rPr>
        <w:t>. Una vez agotadas las etapas procesales de comunicación de la iniciación del asunto, de intervenciones e invitaciones, y de rendición del concepto de</w:t>
      </w:r>
      <w:r w:rsidRPr="006671C3">
        <w:rPr>
          <w:rFonts w:ascii="Times New Roman" w:hAnsi="Times New Roman" w:cs="Times New Roman"/>
          <w:sz w:val="28"/>
          <w:szCs w:val="28"/>
        </w:rPr>
        <w:t xml:space="preserve"> la Procuraduría, la Sala Plena puede concluir, bajo los elementos de juicio recaudados, que se incumplen las condiciones mínimas de argumentación a partir esencialmente del requisito de </w:t>
      </w:r>
      <w:r w:rsidRPr="006671C3">
        <w:rPr>
          <w:rFonts w:ascii="Times New Roman" w:hAnsi="Times New Roman" w:cs="Times New Roman"/>
          <w:i/>
          <w:sz w:val="28"/>
          <w:szCs w:val="28"/>
        </w:rPr>
        <w:t>certeza</w:t>
      </w:r>
      <w:r w:rsidRPr="006671C3">
        <w:rPr>
          <w:rFonts w:ascii="Times New Roman" w:hAnsi="Times New Roman" w:cs="Times New Roman"/>
          <w:sz w:val="28"/>
          <w:szCs w:val="28"/>
        </w:rPr>
        <w:t>, que termina por impactar los presupuestos de claridad, espec</w:t>
      </w:r>
      <w:r w:rsidRPr="006671C3">
        <w:rPr>
          <w:rFonts w:ascii="Times New Roman" w:hAnsi="Times New Roman" w:cs="Times New Roman"/>
          <w:sz w:val="28"/>
          <w:szCs w:val="28"/>
        </w:rPr>
        <w:t>ificidad, pertinencia y suficiencia.</w:t>
      </w:r>
    </w:p>
    <w:p w:rsidR="000E6BF6" w:rsidRPr="006671C3" w:rsidRDefault="006671C3" w:rsidP="000E6BF6">
      <w:pPr>
        <w:spacing w:after="0" w:line="240" w:lineRule="auto"/>
        <w:contextualSpacing/>
        <w:rPr>
          <w:rFonts w:ascii="Times New Roman" w:hAnsi="Times New Roman" w:cs="Times New Roman"/>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 xml:space="preserve">Lo anterior, por cuanto el accionante </w:t>
      </w:r>
      <w:r w:rsidRPr="006671C3">
        <w:rPr>
          <w:rFonts w:ascii="Times New Roman" w:hAnsi="Times New Roman" w:cs="Times New Roman"/>
          <w:i/>
          <w:sz w:val="28"/>
          <w:szCs w:val="28"/>
        </w:rPr>
        <w:t>omitió</w:t>
      </w:r>
      <w:r w:rsidRPr="006671C3">
        <w:rPr>
          <w:rFonts w:ascii="Times New Roman" w:hAnsi="Times New Roman" w:cs="Times New Roman"/>
          <w:sz w:val="28"/>
          <w:szCs w:val="28"/>
        </w:rPr>
        <w:t xml:space="preserve"> integrar la proposición normativa al interior de la disposición y por fuera de la misma dentro del régimen sancionatorio de aduanas (DL 920/23)</w:t>
      </w:r>
      <w:r w:rsidRPr="006671C3">
        <w:rPr>
          <w:rFonts w:ascii="Times New Roman" w:hAnsi="Times New Roman" w:cs="Times New Roman"/>
          <w:sz w:val="28"/>
          <w:szCs w:val="28"/>
          <w:vertAlign w:val="superscript"/>
        </w:rPr>
        <w:footnoteReference w:id="99"/>
      </w:r>
      <w:r w:rsidRPr="006671C3">
        <w:rPr>
          <w:rFonts w:ascii="Times New Roman" w:hAnsi="Times New Roman" w:cs="Times New Roman"/>
          <w:sz w:val="28"/>
          <w:szCs w:val="28"/>
        </w:rPr>
        <w:t>, como se aprecia en el sigui</w:t>
      </w:r>
      <w:r w:rsidRPr="006671C3">
        <w:rPr>
          <w:rFonts w:ascii="Times New Roman" w:hAnsi="Times New Roman" w:cs="Times New Roman"/>
          <w:sz w:val="28"/>
          <w:szCs w:val="28"/>
        </w:rPr>
        <w:t>ente cuadro:</w:t>
      </w:r>
    </w:p>
    <w:p w:rsidR="000E6BF6" w:rsidRPr="006671C3" w:rsidRDefault="006671C3" w:rsidP="000E6BF6">
      <w:pPr>
        <w:spacing w:after="0" w:line="240" w:lineRule="auto"/>
        <w:contextualSpacing/>
        <w:jc w:val="both"/>
        <w:rPr>
          <w:rFonts w:ascii="Times New Roman" w:hAnsi="Times New Roman" w:cs="Times New Roman"/>
          <w:sz w:val="28"/>
          <w:szCs w:val="28"/>
        </w:rPr>
      </w:pPr>
    </w:p>
    <w:p w:rsidR="000E6BF6" w:rsidRPr="006671C3" w:rsidRDefault="006671C3" w:rsidP="000E6BF6">
      <w:pPr>
        <w:spacing w:after="0" w:line="240" w:lineRule="auto"/>
        <w:contextualSpacing/>
        <w:jc w:val="center"/>
        <w:rPr>
          <w:rFonts w:ascii="Times New Roman" w:hAnsi="Times New Roman" w:cs="Times New Roman"/>
          <w:b/>
          <w:sz w:val="28"/>
          <w:szCs w:val="24"/>
        </w:rPr>
      </w:pPr>
      <w:r w:rsidRPr="006671C3">
        <w:rPr>
          <w:rFonts w:ascii="Times New Roman" w:hAnsi="Times New Roman" w:cs="Times New Roman"/>
          <w:b/>
          <w:sz w:val="28"/>
          <w:szCs w:val="24"/>
        </w:rPr>
        <w:t>CONTEXTO NORMATIVO QUE SE DEJÓ DE CONSIDERAR</w:t>
      </w:r>
    </w:p>
    <w:p w:rsidR="000E6BF6" w:rsidRPr="006671C3" w:rsidRDefault="006671C3" w:rsidP="000E6BF6">
      <w:pPr>
        <w:spacing w:after="0" w:line="240" w:lineRule="auto"/>
        <w:contextualSpacing/>
        <w:jc w:val="center"/>
        <w:rPr>
          <w:rFonts w:ascii="Times New Roman" w:hAnsi="Times New Roman" w:cs="Times New Roman"/>
          <w:b/>
          <w:sz w:val="28"/>
          <w:szCs w:val="24"/>
        </w:rPr>
      </w:pPr>
    </w:p>
    <w:tbl>
      <w:tblPr>
        <w:tblStyle w:val="Tablaconcuadrcula"/>
        <w:tblW w:w="5000" w:type="pct"/>
        <w:tblLook w:val="04A0" w:firstRow="1" w:lastRow="0" w:firstColumn="1" w:lastColumn="0" w:noHBand="0" w:noVBand="1"/>
      </w:tblPr>
      <w:tblGrid>
        <w:gridCol w:w="2130"/>
        <w:gridCol w:w="4115"/>
        <w:gridCol w:w="3263"/>
      </w:tblGrid>
      <w:tr w:rsidR="000E6BF6" w:rsidRPr="006671C3" w:rsidTr="00D1315E">
        <w:tc>
          <w:tcPr>
            <w:tcW w:w="1120" w:type="pct"/>
          </w:tcPr>
          <w:p w:rsidR="000E6BF6" w:rsidRPr="006671C3" w:rsidRDefault="006671C3" w:rsidP="000E6BF6">
            <w:pPr>
              <w:contextualSpacing/>
              <w:jc w:val="center"/>
              <w:rPr>
                <w:rFonts w:ascii="Times New Roman" w:hAnsi="Times New Roman" w:cs="Times New Roman"/>
                <w:b/>
                <w:sz w:val="28"/>
              </w:rPr>
            </w:pPr>
            <w:bookmarkStart w:id="34" w:name="_Hlk170281458"/>
            <w:r w:rsidRPr="006671C3">
              <w:rPr>
                <w:rFonts w:ascii="Times New Roman" w:hAnsi="Times New Roman" w:cs="Times New Roman"/>
                <w:b/>
                <w:sz w:val="28"/>
              </w:rPr>
              <w:t>Arts. parcs. acusados</w:t>
            </w:r>
          </w:p>
        </w:tc>
        <w:tc>
          <w:tcPr>
            <w:tcW w:w="2164" w:type="pct"/>
          </w:tcPr>
          <w:p w:rsidR="000E6BF6" w:rsidRPr="006671C3" w:rsidRDefault="006671C3" w:rsidP="000E6BF6">
            <w:pPr>
              <w:contextualSpacing/>
              <w:jc w:val="center"/>
              <w:rPr>
                <w:rFonts w:ascii="Times New Roman" w:hAnsi="Times New Roman" w:cs="Times New Roman"/>
                <w:b/>
                <w:sz w:val="28"/>
              </w:rPr>
            </w:pPr>
            <w:r w:rsidRPr="006671C3">
              <w:rPr>
                <w:rFonts w:ascii="Times New Roman" w:hAnsi="Times New Roman" w:cs="Times New Roman"/>
                <w:b/>
                <w:sz w:val="28"/>
              </w:rPr>
              <w:t xml:space="preserve">Al interior de la disposición acusada </w:t>
            </w:r>
          </w:p>
          <w:p w:rsidR="000E6BF6" w:rsidRPr="006671C3" w:rsidRDefault="006671C3" w:rsidP="000E6BF6">
            <w:pPr>
              <w:contextualSpacing/>
              <w:jc w:val="center"/>
              <w:rPr>
                <w:rFonts w:ascii="Times New Roman" w:hAnsi="Times New Roman" w:cs="Times New Roman"/>
                <w:b/>
                <w:sz w:val="28"/>
              </w:rPr>
            </w:pPr>
            <w:r w:rsidRPr="006671C3">
              <w:rPr>
                <w:rFonts w:ascii="Times New Roman" w:hAnsi="Times New Roman" w:cs="Times New Roman"/>
                <w:b/>
                <w:sz w:val="28"/>
              </w:rPr>
              <w:t>(DL 920/23)</w:t>
            </w:r>
          </w:p>
        </w:tc>
        <w:tc>
          <w:tcPr>
            <w:tcW w:w="1717" w:type="pct"/>
          </w:tcPr>
          <w:p w:rsidR="000E6BF6" w:rsidRPr="006671C3" w:rsidRDefault="006671C3" w:rsidP="000E6BF6">
            <w:pPr>
              <w:contextualSpacing/>
              <w:jc w:val="center"/>
              <w:rPr>
                <w:rFonts w:ascii="Times New Roman" w:hAnsi="Times New Roman" w:cs="Times New Roman"/>
                <w:b/>
                <w:sz w:val="28"/>
              </w:rPr>
            </w:pPr>
            <w:r w:rsidRPr="006671C3">
              <w:rPr>
                <w:rFonts w:ascii="Times New Roman" w:hAnsi="Times New Roman" w:cs="Times New Roman"/>
                <w:b/>
                <w:sz w:val="28"/>
              </w:rPr>
              <w:t>Por fuera de la disposición acusada (DL 920/23)</w:t>
            </w:r>
          </w:p>
        </w:tc>
      </w:tr>
      <w:tr w:rsidR="000E6BF6" w:rsidRPr="006671C3" w:rsidTr="00D1315E">
        <w:trPr>
          <w:trHeight w:val="1990"/>
        </w:trPr>
        <w:tc>
          <w:tcPr>
            <w:tcW w:w="1120" w:type="pct"/>
          </w:tcPr>
          <w:p w:rsidR="000E6BF6" w:rsidRPr="006671C3" w:rsidRDefault="006671C3" w:rsidP="000E6BF6">
            <w:pPr>
              <w:contextualSpacing/>
              <w:jc w:val="both"/>
              <w:rPr>
                <w:rFonts w:ascii="Times New Roman" w:hAnsi="Times New Roman" w:cs="Times New Roman"/>
                <w:sz w:val="28"/>
              </w:rPr>
            </w:pPr>
            <w:r w:rsidRPr="006671C3">
              <w:rPr>
                <w:rFonts w:ascii="Times New Roman" w:hAnsi="Times New Roman" w:cs="Times New Roman"/>
                <w:sz w:val="28"/>
              </w:rPr>
              <w:t xml:space="preserve">7 (num. 3) y 9 inc. segundo parc.) </w:t>
            </w:r>
          </w:p>
          <w:p w:rsidR="000E6BF6" w:rsidRPr="006671C3" w:rsidRDefault="006671C3" w:rsidP="000E6BF6">
            <w:pPr>
              <w:contextualSpacing/>
              <w:jc w:val="both"/>
              <w:rPr>
                <w:rFonts w:ascii="Times New Roman" w:hAnsi="Times New Roman" w:cs="Times New Roman"/>
                <w:sz w:val="28"/>
              </w:rPr>
            </w:pPr>
          </w:p>
          <w:p w:rsidR="000E6BF6" w:rsidRPr="006671C3" w:rsidRDefault="006671C3" w:rsidP="000E6BF6">
            <w:pPr>
              <w:contextualSpacing/>
              <w:jc w:val="both"/>
              <w:rPr>
                <w:rFonts w:ascii="Times New Roman" w:hAnsi="Times New Roman" w:cs="Times New Roman"/>
                <w:sz w:val="28"/>
              </w:rPr>
            </w:pPr>
          </w:p>
          <w:p w:rsidR="000E6BF6" w:rsidRPr="006671C3" w:rsidRDefault="006671C3" w:rsidP="000E6BF6">
            <w:pPr>
              <w:contextualSpacing/>
              <w:jc w:val="both"/>
              <w:rPr>
                <w:rFonts w:ascii="Times New Roman" w:hAnsi="Times New Roman" w:cs="Times New Roman"/>
                <w:sz w:val="28"/>
              </w:rPr>
            </w:pPr>
            <w:r w:rsidRPr="006671C3">
              <w:rPr>
                <w:rFonts w:ascii="Times New Roman" w:hAnsi="Times New Roman" w:cs="Times New Roman"/>
                <w:sz w:val="28"/>
              </w:rPr>
              <w:t xml:space="preserve">29 (nums. 1.1. y 1.2. parcs.), 31 </w:t>
            </w:r>
            <w:r w:rsidRPr="006671C3">
              <w:rPr>
                <w:rFonts w:ascii="Times New Roman" w:hAnsi="Times New Roman" w:cs="Times New Roman"/>
                <w:sz w:val="28"/>
              </w:rPr>
              <w:t>(nums. 1.2. y 1.3. parcs.), 35 (parc.) y 48 (parc.).</w:t>
            </w:r>
          </w:p>
        </w:tc>
        <w:tc>
          <w:tcPr>
            <w:tcW w:w="2164" w:type="pct"/>
          </w:tcPr>
          <w:p w:rsidR="000E6BF6" w:rsidRPr="006671C3" w:rsidRDefault="006671C3" w:rsidP="000E6BF6">
            <w:pPr>
              <w:contextualSpacing/>
              <w:jc w:val="both"/>
              <w:rPr>
                <w:rFonts w:ascii="Times New Roman" w:hAnsi="Times New Roman" w:cs="Times New Roman"/>
                <w:sz w:val="28"/>
              </w:rPr>
            </w:pPr>
            <w:bookmarkStart w:id="35" w:name="_Hlk169958284"/>
            <w:r w:rsidRPr="006671C3">
              <w:rPr>
                <w:rFonts w:ascii="Times New Roman" w:hAnsi="Times New Roman" w:cs="Times New Roman"/>
                <w:sz w:val="28"/>
              </w:rPr>
              <w:t>Incs. primero</w:t>
            </w:r>
            <w:r w:rsidRPr="006671C3">
              <w:rPr>
                <w:rFonts w:ascii="Times New Roman" w:hAnsi="Times New Roman" w:cs="Times New Roman"/>
                <w:sz w:val="28"/>
                <w:vertAlign w:val="superscript"/>
              </w:rPr>
              <w:footnoteReference w:id="100"/>
            </w:r>
            <w:r w:rsidRPr="006671C3">
              <w:rPr>
                <w:rFonts w:ascii="Times New Roman" w:hAnsi="Times New Roman" w:cs="Times New Roman"/>
                <w:sz w:val="28"/>
              </w:rPr>
              <w:t>, segundo</w:t>
            </w:r>
            <w:r w:rsidRPr="006671C3">
              <w:rPr>
                <w:rFonts w:ascii="Times New Roman" w:hAnsi="Times New Roman" w:cs="Times New Roman"/>
                <w:sz w:val="28"/>
                <w:vertAlign w:val="superscript"/>
              </w:rPr>
              <w:footnoteReference w:id="101"/>
            </w:r>
            <w:r w:rsidRPr="006671C3">
              <w:rPr>
                <w:rFonts w:ascii="Times New Roman" w:hAnsi="Times New Roman" w:cs="Times New Roman"/>
                <w:sz w:val="28"/>
              </w:rPr>
              <w:t xml:space="preserve"> y tercero</w:t>
            </w:r>
            <w:r w:rsidRPr="006671C3">
              <w:rPr>
                <w:rFonts w:ascii="Times New Roman" w:hAnsi="Times New Roman" w:cs="Times New Roman"/>
                <w:sz w:val="28"/>
                <w:vertAlign w:val="superscript"/>
              </w:rPr>
              <w:footnoteReference w:id="102"/>
            </w:r>
            <w:r w:rsidRPr="006671C3">
              <w:rPr>
                <w:rFonts w:ascii="Times New Roman" w:hAnsi="Times New Roman" w:cs="Times New Roman"/>
                <w:sz w:val="28"/>
              </w:rPr>
              <w:t xml:space="preserve"> del art. 7. </w:t>
            </w:r>
            <w:bookmarkEnd w:id="35"/>
          </w:p>
          <w:p w:rsidR="000E6BF6" w:rsidRPr="006671C3" w:rsidRDefault="006671C3" w:rsidP="000E6BF6">
            <w:pPr>
              <w:contextualSpacing/>
              <w:jc w:val="both"/>
              <w:rPr>
                <w:rFonts w:ascii="Times New Roman" w:hAnsi="Times New Roman" w:cs="Times New Roman"/>
                <w:sz w:val="28"/>
              </w:rPr>
            </w:pPr>
            <w:r w:rsidRPr="006671C3">
              <w:rPr>
                <w:rFonts w:ascii="Times New Roman" w:hAnsi="Times New Roman" w:cs="Times New Roman"/>
                <w:sz w:val="28"/>
              </w:rPr>
              <w:t>Incs. primero</w:t>
            </w:r>
            <w:r w:rsidRPr="006671C3">
              <w:rPr>
                <w:rFonts w:ascii="Times New Roman" w:hAnsi="Times New Roman" w:cs="Times New Roman"/>
                <w:sz w:val="28"/>
                <w:vertAlign w:val="superscript"/>
              </w:rPr>
              <w:footnoteReference w:id="103"/>
            </w:r>
            <w:r w:rsidRPr="006671C3">
              <w:rPr>
                <w:rFonts w:ascii="Times New Roman" w:hAnsi="Times New Roman" w:cs="Times New Roman"/>
                <w:sz w:val="28"/>
              </w:rPr>
              <w:t xml:space="preserve"> y segundo</w:t>
            </w:r>
            <w:r w:rsidRPr="006671C3">
              <w:rPr>
                <w:rFonts w:ascii="Times New Roman" w:hAnsi="Times New Roman" w:cs="Times New Roman"/>
                <w:sz w:val="28"/>
                <w:vertAlign w:val="superscript"/>
              </w:rPr>
              <w:footnoteReference w:id="104"/>
            </w:r>
            <w:r w:rsidRPr="006671C3">
              <w:rPr>
                <w:rFonts w:ascii="Times New Roman" w:hAnsi="Times New Roman" w:cs="Times New Roman"/>
                <w:sz w:val="28"/>
              </w:rPr>
              <w:t xml:space="preserve"> del art. 9.</w:t>
            </w:r>
          </w:p>
          <w:p w:rsidR="000E6BF6" w:rsidRPr="006671C3" w:rsidRDefault="006671C3" w:rsidP="000E6BF6">
            <w:pPr>
              <w:contextualSpacing/>
              <w:jc w:val="both"/>
              <w:rPr>
                <w:rFonts w:ascii="Times New Roman" w:hAnsi="Times New Roman" w:cs="Times New Roman"/>
                <w:sz w:val="28"/>
              </w:rPr>
            </w:pPr>
          </w:p>
          <w:p w:rsidR="000E6BF6" w:rsidRPr="006671C3" w:rsidRDefault="006671C3" w:rsidP="000E6BF6">
            <w:pPr>
              <w:contextualSpacing/>
              <w:jc w:val="both"/>
              <w:rPr>
                <w:rFonts w:ascii="Times New Roman" w:hAnsi="Times New Roman" w:cs="Times New Roman"/>
                <w:sz w:val="28"/>
              </w:rPr>
            </w:pPr>
            <w:r w:rsidRPr="006671C3">
              <w:rPr>
                <w:rFonts w:ascii="Times New Roman" w:hAnsi="Times New Roman" w:cs="Times New Roman"/>
                <w:sz w:val="28"/>
              </w:rPr>
              <w:t>Parág.</w:t>
            </w:r>
            <w:r w:rsidRPr="006671C3">
              <w:rPr>
                <w:rFonts w:ascii="Times New Roman" w:hAnsi="Times New Roman" w:cs="Times New Roman"/>
                <w:sz w:val="28"/>
                <w:vertAlign w:val="superscript"/>
              </w:rPr>
              <w:footnoteReference w:id="105"/>
            </w:r>
            <w:r w:rsidRPr="006671C3">
              <w:rPr>
                <w:rFonts w:ascii="Times New Roman" w:hAnsi="Times New Roman" w:cs="Times New Roman"/>
                <w:sz w:val="28"/>
              </w:rPr>
              <w:t xml:space="preserve"> del art. 35.</w:t>
            </w:r>
          </w:p>
        </w:tc>
        <w:tc>
          <w:tcPr>
            <w:tcW w:w="1717" w:type="pct"/>
          </w:tcPr>
          <w:p w:rsidR="000E6BF6" w:rsidRPr="006671C3" w:rsidRDefault="006671C3" w:rsidP="000E6BF6">
            <w:pPr>
              <w:contextualSpacing/>
              <w:jc w:val="both"/>
              <w:rPr>
                <w:rFonts w:ascii="Times New Roman" w:hAnsi="Times New Roman" w:cs="Times New Roman"/>
                <w:sz w:val="28"/>
              </w:rPr>
            </w:pPr>
            <w:r w:rsidRPr="006671C3">
              <w:rPr>
                <w:rFonts w:ascii="Times New Roman" w:hAnsi="Times New Roman" w:cs="Times New Roman"/>
                <w:sz w:val="28"/>
              </w:rPr>
              <w:t>Arts. 18</w:t>
            </w:r>
            <w:r w:rsidRPr="006671C3">
              <w:rPr>
                <w:rFonts w:ascii="Times New Roman" w:hAnsi="Times New Roman" w:cs="Times New Roman"/>
                <w:sz w:val="28"/>
                <w:vertAlign w:val="superscript"/>
              </w:rPr>
              <w:footnoteReference w:id="106"/>
            </w:r>
            <w:r w:rsidRPr="006671C3">
              <w:rPr>
                <w:rFonts w:ascii="Times New Roman" w:hAnsi="Times New Roman" w:cs="Times New Roman"/>
                <w:sz w:val="28"/>
              </w:rPr>
              <w:t>, 19</w:t>
            </w:r>
            <w:r w:rsidRPr="006671C3">
              <w:rPr>
                <w:rFonts w:ascii="Times New Roman" w:hAnsi="Times New Roman" w:cs="Times New Roman"/>
                <w:sz w:val="28"/>
                <w:vertAlign w:val="superscript"/>
              </w:rPr>
              <w:footnoteReference w:id="107"/>
            </w:r>
            <w:r w:rsidRPr="006671C3">
              <w:rPr>
                <w:rFonts w:ascii="Times New Roman" w:hAnsi="Times New Roman" w:cs="Times New Roman"/>
                <w:sz w:val="28"/>
              </w:rPr>
              <w:t>, 20</w:t>
            </w:r>
            <w:r w:rsidRPr="006671C3">
              <w:rPr>
                <w:rFonts w:ascii="Times New Roman" w:hAnsi="Times New Roman" w:cs="Times New Roman"/>
                <w:sz w:val="28"/>
                <w:vertAlign w:val="superscript"/>
              </w:rPr>
              <w:footnoteReference w:id="108"/>
            </w:r>
            <w:r w:rsidRPr="006671C3">
              <w:rPr>
                <w:rFonts w:ascii="Times New Roman" w:hAnsi="Times New Roman" w:cs="Times New Roman"/>
                <w:sz w:val="28"/>
              </w:rPr>
              <w:t xml:space="preserve"> y 8</w:t>
            </w:r>
            <w:r w:rsidRPr="006671C3">
              <w:rPr>
                <w:rFonts w:ascii="Times New Roman" w:hAnsi="Times New Roman" w:cs="Times New Roman"/>
                <w:sz w:val="28"/>
                <w:vertAlign w:val="superscript"/>
              </w:rPr>
              <w:footnoteReference w:id="109"/>
            </w:r>
            <w:r w:rsidRPr="006671C3">
              <w:rPr>
                <w:rFonts w:ascii="Times New Roman" w:hAnsi="Times New Roman" w:cs="Times New Roman"/>
                <w:sz w:val="28"/>
              </w:rPr>
              <w:t xml:space="preserve">. </w:t>
            </w:r>
          </w:p>
          <w:p w:rsidR="000E6BF6" w:rsidRPr="006671C3" w:rsidRDefault="006671C3" w:rsidP="000E6BF6">
            <w:pPr>
              <w:contextualSpacing/>
              <w:jc w:val="both"/>
              <w:rPr>
                <w:rFonts w:ascii="Times New Roman" w:hAnsi="Times New Roman" w:cs="Times New Roman"/>
                <w:sz w:val="28"/>
              </w:rPr>
            </w:pPr>
          </w:p>
          <w:p w:rsidR="000E6BF6" w:rsidRPr="006671C3" w:rsidRDefault="006671C3" w:rsidP="000E6BF6">
            <w:pPr>
              <w:contextualSpacing/>
              <w:jc w:val="both"/>
              <w:rPr>
                <w:rFonts w:ascii="Times New Roman" w:hAnsi="Times New Roman" w:cs="Times New Roman"/>
                <w:sz w:val="28"/>
              </w:rPr>
            </w:pPr>
          </w:p>
          <w:p w:rsidR="000E6BF6" w:rsidRPr="006671C3" w:rsidRDefault="006671C3" w:rsidP="000E6BF6">
            <w:pPr>
              <w:contextualSpacing/>
              <w:jc w:val="both"/>
              <w:rPr>
                <w:rFonts w:ascii="Times New Roman" w:hAnsi="Times New Roman" w:cs="Times New Roman"/>
                <w:sz w:val="28"/>
              </w:rPr>
            </w:pPr>
          </w:p>
          <w:p w:rsidR="000E6BF6" w:rsidRPr="006671C3" w:rsidRDefault="006671C3" w:rsidP="000E6BF6">
            <w:pPr>
              <w:contextualSpacing/>
              <w:jc w:val="both"/>
              <w:rPr>
                <w:rFonts w:ascii="Times New Roman" w:hAnsi="Times New Roman" w:cs="Times New Roman"/>
                <w:sz w:val="28"/>
              </w:rPr>
            </w:pPr>
            <w:r w:rsidRPr="006671C3">
              <w:rPr>
                <w:rFonts w:ascii="Times New Roman" w:hAnsi="Times New Roman" w:cs="Times New Roman"/>
                <w:sz w:val="28"/>
              </w:rPr>
              <w:t>Arts. 22 (num. 5)</w:t>
            </w:r>
            <w:r w:rsidRPr="006671C3">
              <w:rPr>
                <w:rFonts w:ascii="Times New Roman" w:hAnsi="Times New Roman" w:cs="Times New Roman"/>
                <w:sz w:val="28"/>
                <w:vertAlign w:val="superscript"/>
              </w:rPr>
              <w:footnoteReference w:id="110"/>
            </w:r>
            <w:r w:rsidRPr="006671C3">
              <w:rPr>
                <w:rFonts w:ascii="Times New Roman" w:hAnsi="Times New Roman" w:cs="Times New Roman"/>
                <w:sz w:val="28"/>
              </w:rPr>
              <w:t xml:space="preserve"> y 130</w:t>
            </w:r>
            <w:r w:rsidRPr="006671C3">
              <w:rPr>
                <w:rFonts w:ascii="Times New Roman" w:hAnsi="Times New Roman" w:cs="Times New Roman"/>
                <w:sz w:val="28"/>
                <w:vertAlign w:val="superscript"/>
              </w:rPr>
              <w:footnoteReference w:id="111"/>
            </w:r>
            <w:r w:rsidRPr="006671C3">
              <w:rPr>
                <w:rFonts w:ascii="Times New Roman" w:hAnsi="Times New Roman" w:cs="Times New Roman"/>
                <w:sz w:val="28"/>
              </w:rPr>
              <w:t>.</w:t>
            </w:r>
          </w:p>
        </w:tc>
      </w:tr>
    </w:tbl>
    <w:p w:rsidR="000E6BF6" w:rsidRPr="006671C3" w:rsidRDefault="006671C3" w:rsidP="000E6BF6">
      <w:pPr>
        <w:spacing w:after="0" w:line="240" w:lineRule="auto"/>
        <w:contextualSpacing/>
        <w:jc w:val="both"/>
        <w:rPr>
          <w:rFonts w:ascii="Times New Roman" w:hAnsi="Times New Roman" w:cs="Times New Roman"/>
          <w:sz w:val="28"/>
          <w:szCs w:val="28"/>
        </w:rPr>
      </w:pPr>
    </w:p>
    <w:bookmarkEnd w:id="34"/>
    <w:p w:rsidR="000E6BF6" w:rsidRPr="006671C3" w:rsidRDefault="006671C3" w:rsidP="000E6BF6">
      <w:pPr>
        <w:numPr>
          <w:ilvl w:val="0"/>
          <w:numId w:val="11"/>
        </w:numPr>
        <w:tabs>
          <w:tab w:val="left" w:pos="709"/>
        </w:tabs>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 xml:space="preserve">Se debe anotar que el </w:t>
      </w:r>
      <w:r w:rsidRPr="006671C3">
        <w:rPr>
          <w:rFonts w:ascii="Times New Roman" w:hAnsi="Times New Roman" w:cs="Times New Roman"/>
          <w:sz w:val="28"/>
          <w:szCs w:val="28"/>
        </w:rPr>
        <w:t>“considerando” del Decreto Ley 920 de 2023 expone que (i) su expedición obedeció a la Sentencia C-441 de 2021, que declaró inexequible el numeral 4 del artículo 5 de la Ley 1609 de 2013, con efectos diferidos hasta el 20 de junio de 2023, para que se aprue</w:t>
      </w:r>
      <w:r w:rsidRPr="006671C3">
        <w:rPr>
          <w:rFonts w:ascii="Times New Roman" w:hAnsi="Times New Roman" w:cs="Times New Roman"/>
          <w:sz w:val="28"/>
          <w:szCs w:val="28"/>
        </w:rPr>
        <w:t>be la ley que contenga el régimen sancionatorio y el decomiso de mercancías en materia de aduanas, así como el proceso administrativo aplicable; (ii)  que mediante el artículo 68 de la Ley 2277 de 2022 se revistió al presidente de la República de facultade</w:t>
      </w:r>
      <w:r w:rsidRPr="006671C3">
        <w:rPr>
          <w:rFonts w:ascii="Times New Roman" w:hAnsi="Times New Roman" w:cs="Times New Roman"/>
          <w:sz w:val="28"/>
          <w:szCs w:val="28"/>
        </w:rPr>
        <w:t>s extraordinarias para expedir el nuevo régimen sancionatorio a seguir por la DIAN; y (iii) que el presente decreto contiene disposiciones relativas al régimen sancionatorio aplicable a las infracciones con ocasión “del incumplimiento de obligaciones, resp</w:t>
      </w:r>
      <w:r w:rsidRPr="006671C3">
        <w:rPr>
          <w:rFonts w:ascii="Times New Roman" w:hAnsi="Times New Roman" w:cs="Times New Roman"/>
          <w:sz w:val="28"/>
          <w:szCs w:val="28"/>
        </w:rPr>
        <w:t>onsabilidades, trámites y procedimientos previstos en el Decreto 1165 de 2019, Decreto 2147 de 2016, Decreto 1074 de 2015, Decreto 1625 de 2016, Decreto 2218 de 2017 y Decreto 3568 de 2011”.</w:t>
      </w:r>
    </w:p>
    <w:p w:rsidR="000E6BF6" w:rsidRPr="006671C3" w:rsidRDefault="006671C3" w:rsidP="000E6BF6">
      <w:pPr>
        <w:tabs>
          <w:tab w:val="left" w:pos="709"/>
        </w:tabs>
        <w:spacing w:after="0" w:line="240" w:lineRule="auto"/>
        <w:contextualSpacing/>
        <w:jc w:val="both"/>
        <w:rPr>
          <w:rFonts w:ascii="Times New Roman" w:hAnsi="Times New Roman" w:cs="Times New Roman"/>
          <w:sz w:val="28"/>
          <w:szCs w:val="28"/>
        </w:rPr>
      </w:pPr>
    </w:p>
    <w:p w:rsidR="000E6BF6" w:rsidRPr="006671C3" w:rsidRDefault="006671C3" w:rsidP="000E6BF6">
      <w:pPr>
        <w:numPr>
          <w:ilvl w:val="0"/>
          <w:numId w:val="11"/>
        </w:numPr>
        <w:tabs>
          <w:tab w:val="left" w:pos="709"/>
        </w:tabs>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A partir de la comparación de las expresiones demandadas con los</w:t>
      </w:r>
      <w:r w:rsidRPr="006671C3">
        <w:rPr>
          <w:rFonts w:ascii="Times New Roman" w:hAnsi="Times New Roman" w:cs="Times New Roman"/>
          <w:sz w:val="28"/>
          <w:szCs w:val="28"/>
        </w:rPr>
        <w:t xml:space="preserve"> demás contenidos normativos de </w:t>
      </w:r>
      <w:r w:rsidRPr="006671C3">
        <w:rPr>
          <w:rFonts w:ascii="Times New Roman" w:hAnsi="Times New Roman" w:cs="Times New Roman"/>
          <w:i/>
          <w:sz w:val="28"/>
          <w:szCs w:val="28"/>
        </w:rPr>
        <w:t>cada uno de los artículos en que se insertan</w:t>
      </w:r>
      <w:r w:rsidRPr="006671C3">
        <w:rPr>
          <w:rFonts w:ascii="Times New Roman" w:hAnsi="Times New Roman" w:cs="Times New Roman"/>
          <w:sz w:val="28"/>
          <w:szCs w:val="28"/>
        </w:rPr>
        <w:t xml:space="preserve"> y de </w:t>
      </w:r>
      <w:r w:rsidRPr="006671C3">
        <w:rPr>
          <w:rFonts w:ascii="Times New Roman" w:hAnsi="Times New Roman" w:cs="Times New Roman"/>
          <w:i/>
          <w:sz w:val="28"/>
          <w:szCs w:val="28"/>
        </w:rPr>
        <w:t>otras disposiciones</w:t>
      </w:r>
      <w:r w:rsidRPr="006671C3">
        <w:rPr>
          <w:rFonts w:ascii="Times New Roman" w:hAnsi="Times New Roman" w:cs="Times New Roman"/>
          <w:sz w:val="28"/>
          <w:szCs w:val="28"/>
        </w:rPr>
        <w:t xml:space="preserve"> del decreto ley en que se ubican, es posible concluir que la argumentación del demandante carece de</w:t>
      </w:r>
      <w:r w:rsidRPr="006671C3">
        <w:rPr>
          <w:rFonts w:ascii="Times New Roman" w:hAnsi="Times New Roman" w:cs="Times New Roman"/>
          <w:i/>
          <w:sz w:val="28"/>
          <w:szCs w:val="28"/>
        </w:rPr>
        <w:t xml:space="preserve"> certeza</w:t>
      </w:r>
      <w:r w:rsidRPr="006671C3">
        <w:rPr>
          <w:rFonts w:ascii="Times New Roman" w:hAnsi="Times New Roman" w:cs="Times New Roman"/>
          <w:sz w:val="28"/>
          <w:szCs w:val="28"/>
          <w:vertAlign w:val="superscript"/>
        </w:rPr>
        <w:footnoteReference w:id="112"/>
      </w:r>
      <w:r w:rsidRPr="006671C3">
        <w:rPr>
          <w:rFonts w:ascii="Times New Roman" w:hAnsi="Times New Roman" w:cs="Times New Roman"/>
          <w:sz w:val="28"/>
          <w:szCs w:val="28"/>
        </w:rPr>
        <w:t xml:space="preserve">, </w:t>
      </w:r>
      <w:bookmarkStart w:id="36" w:name="_Hlk170622088"/>
      <w:r w:rsidRPr="006671C3">
        <w:rPr>
          <w:rFonts w:ascii="Times New Roman" w:hAnsi="Times New Roman" w:cs="Times New Roman"/>
          <w:sz w:val="28"/>
          <w:szCs w:val="28"/>
        </w:rPr>
        <w:t>porque se funda en una interpretación aislad</w:t>
      </w:r>
      <w:r w:rsidRPr="006671C3">
        <w:rPr>
          <w:rFonts w:ascii="Times New Roman" w:hAnsi="Times New Roman" w:cs="Times New Roman"/>
          <w:sz w:val="28"/>
          <w:szCs w:val="28"/>
        </w:rPr>
        <w:t xml:space="preserve">a que </w:t>
      </w:r>
      <w:r w:rsidRPr="006671C3">
        <w:rPr>
          <w:rFonts w:ascii="Times New Roman" w:hAnsi="Times New Roman" w:cs="Times New Roman"/>
          <w:i/>
          <w:sz w:val="28"/>
          <w:szCs w:val="28"/>
        </w:rPr>
        <w:t>desatiende el contexto normativo</w:t>
      </w:r>
      <w:r w:rsidRPr="006671C3">
        <w:rPr>
          <w:rFonts w:ascii="Times New Roman" w:hAnsi="Times New Roman" w:cs="Times New Roman"/>
          <w:sz w:val="28"/>
          <w:szCs w:val="28"/>
        </w:rPr>
        <w:t>. En efecto, una lectura sistemática le permite hallar otras razones, lo que le imponía sopesar el alcance de sus afirmaciones</w:t>
      </w:r>
      <w:r w:rsidRPr="006671C3">
        <w:rPr>
          <w:rFonts w:ascii="Times New Roman" w:hAnsi="Times New Roman" w:cs="Times New Roman"/>
          <w:sz w:val="28"/>
        </w:rPr>
        <w:t xml:space="preserve"> </w:t>
      </w:r>
      <w:r w:rsidRPr="006671C3">
        <w:rPr>
          <w:rFonts w:ascii="Times New Roman" w:hAnsi="Times New Roman" w:cs="Times New Roman"/>
          <w:sz w:val="28"/>
          <w:szCs w:val="28"/>
        </w:rPr>
        <w:t>e incluso descartar</w:t>
      </w:r>
      <w:r w:rsidRPr="006671C3">
        <w:rPr>
          <w:rFonts w:ascii="Times New Roman" w:hAnsi="Times New Roman" w:cs="Times New Roman"/>
          <w:i/>
          <w:sz w:val="28"/>
          <w:szCs w:val="28"/>
        </w:rPr>
        <w:t xml:space="preserve"> </w:t>
      </w:r>
      <w:r w:rsidRPr="006671C3">
        <w:rPr>
          <w:rFonts w:ascii="Times New Roman" w:hAnsi="Times New Roman" w:cs="Times New Roman"/>
          <w:sz w:val="28"/>
          <w:szCs w:val="28"/>
        </w:rPr>
        <w:t>algunas de ellas</w:t>
      </w:r>
      <w:r w:rsidRPr="006671C3">
        <w:rPr>
          <w:rFonts w:ascii="Times New Roman" w:hAnsi="Times New Roman" w:cs="Times New Roman"/>
          <w:sz w:val="28"/>
          <w:szCs w:val="28"/>
          <w:vertAlign w:val="superscript"/>
        </w:rPr>
        <w:footnoteReference w:id="113"/>
      </w:r>
      <w:r w:rsidRPr="006671C3">
        <w:rPr>
          <w:rFonts w:ascii="Times New Roman" w:hAnsi="Times New Roman" w:cs="Times New Roman"/>
          <w:sz w:val="28"/>
          <w:szCs w:val="28"/>
        </w:rPr>
        <w:t>.</w:t>
      </w:r>
    </w:p>
    <w:p w:rsidR="000E6BF6" w:rsidRPr="006671C3" w:rsidRDefault="006671C3" w:rsidP="000E6BF6">
      <w:pPr>
        <w:tabs>
          <w:tab w:val="left" w:pos="709"/>
        </w:tabs>
        <w:spacing w:after="0" w:line="240" w:lineRule="auto"/>
        <w:contextualSpacing/>
        <w:jc w:val="both"/>
        <w:rPr>
          <w:rFonts w:ascii="Times New Roman" w:hAnsi="Times New Roman" w:cs="Times New Roman"/>
          <w:sz w:val="28"/>
          <w:szCs w:val="28"/>
        </w:rPr>
      </w:pPr>
    </w:p>
    <w:p w:rsidR="000E6BF6" w:rsidRPr="006671C3" w:rsidRDefault="006671C3" w:rsidP="000E6BF6">
      <w:pPr>
        <w:numPr>
          <w:ilvl w:val="0"/>
          <w:numId w:val="11"/>
        </w:numPr>
        <w:tabs>
          <w:tab w:val="left" w:pos="709"/>
        </w:tabs>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Los reproches de inconstitucionalidad formulados po</w:t>
      </w:r>
      <w:r w:rsidRPr="006671C3">
        <w:rPr>
          <w:rFonts w:ascii="Times New Roman" w:hAnsi="Times New Roman" w:cs="Times New Roman"/>
          <w:sz w:val="28"/>
          <w:szCs w:val="28"/>
        </w:rPr>
        <w:t xml:space="preserve">r el actor </w:t>
      </w:r>
      <w:r w:rsidRPr="006671C3">
        <w:rPr>
          <w:rFonts w:ascii="Times New Roman" w:hAnsi="Times New Roman" w:cs="Times New Roman"/>
          <w:i/>
          <w:iCs/>
          <w:sz w:val="28"/>
          <w:szCs w:val="28"/>
        </w:rPr>
        <w:t>al estar fundamentados exclusivamente en los apartes normativos que demanda</w:t>
      </w:r>
      <w:r w:rsidRPr="006671C3">
        <w:rPr>
          <w:rFonts w:ascii="Times New Roman" w:hAnsi="Times New Roman" w:cs="Times New Roman"/>
          <w:sz w:val="28"/>
          <w:szCs w:val="28"/>
        </w:rPr>
        <w:t>, sin haber considerado el sentido y alcance objetivo que encuentran cuando se leen de forma concordante con el resto de la legislación sancionatoria de aduanas, ocasiona</w:t>
      </w:r>
      <w:r w:rsidRPr="006671C3">
        <w:rPr>
          <w:rFonts w:ascii="Times New Roman" w:hAnsi="Times New Roman" w:cs="Times New Roman"/>
          <w:sz w:val="28"/>
          <w:szCs w:val="28"/>
        </w:rPr>
        <w:t xml:space="preserve"> una falta de aptitud de la demanda al plantear consecuencias normativas que no se corresponden con la aplicación integral del Decreto Ley 920 de 2023. La omisión de considerar la </w:t>
      </w:r>
      <w:r w:rsidRPr="006671C3">
        <w:rPr>
          <w:rFonts w:ascii="Times New Roman" w:hAnsi="Times New Roman" w:cs="Times New Roman"/>
          <w:i/>
          <w:sz w:val="28"/>
          <w:szCs w:val="28"/>
        </w:rPr>
        <w:t>necesaria interrelación</w:t>
      </w:r>
      <w:r w:rsidRPr="006671C3">
        <w:rPr>
          <w:rFonts w:ascii="Times New Roman" w:hAnsi="Times New Roman" w:cs="Times New Roman"/>
          <w:sz w:val="28"/>
          <w:szCs w:val="28"/>
        </w:rPr>
        <w:t xml:space="preserve"> o </w:t>
      </w:r>
      <w:r w:rsidRPr="006671C3">
        <w:rPr>
          <w:rFonts w:ascii="Times New Roman" w:hAnsi="Times New Roman" w:cs="Times New Roman"/>
          <w:i/>
          <w:sz w:val="28"/>
          <w:szCs w:val="28"/>
        </w:rPr>
        <w:t>conexidad inescindible</w:t>
      </w:r>
      <w:r w:rsidRPr="006671C3">
        <w:rPr>
          <w:rFonts w:ascii="Times New Roman" w:hAnsi="Times New Roman" w:cs="Times New Roman"/>
          <w:sz w:val="28"/>
          <w:szCs w:val="28"/>
        </w:rPr>
        <w:t xml:space="preserve"> de los segmentos demandados</w:t>
      </w:r>
      <w:r w:rsidRPr="006671C3">
        <w:rPr>
          <w:rFonts w:ascii="Times New Roman" w:hAnsi="Times New Roman" w:cs="Times New Roman"/>
          <w:sz w:val="28"/>
          <w:szCs w:val="28"/>
        </w:rPr>
        <w:t xml:space="preserve"> con los trámites, mecanismos y procedimientos dispuestos por el ordenamiento legal respectivo, terminan por desvirtuar el alcance de las censuras formuladas</w:t>
      </w:r>
      <w:r w:rsidRPr="006671C3">
        <w:rPr>
          <w:rFonts w:ascii="Times New Roman" w:hAnsi="Times New Roman" w:cs="Times New Roman"/>
          <w:sz w:val="28"/>
          <w:szCs w:val="28"/>
          <w:vertAlign w:val="superscript"/>
        </w:rPr>
        <w:footnoteReference w:id="114"/>
      </w:r>
      <w:r w:rsidRPr="006671C3">
        <w:rPr>
          <w:rFonts w:ascii="Times New Roman" w:hAnsi="Times New Roman" w:cs="Times New Roman"/>
          <w:sz w:val="28"/>
          <w:szCs w:val="28"/>
        </w:rPr>
        <w:t>.</w:t>
      </w:r>
    </w:p>
    <w:p w:rsidR="000E6BF6" w:rsidRPr="006671C3" w:rsidRDefault="006671C3" w:rsidP="000E6BF6">
      <w:pPr>
        <w:contextualSpacing/>
        <w:rPr>
          <w:rFonts w:ascii="Times New Roman" w:hAnsi="Times New Roman" w:cs="Times New Roman"/>
          <w:sz w:val="28"/>
          <w:szCs w:val="28"/>
        </w:rPr>
      </w:pPr>
    </w:p>
    <w:bookmarkEnd w:id="36"/>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 xml:space="preserve">Ello se puede apreciar del cuadro anterior. </w:t>
      </w:r>
      <w:bookmarkStart w:id="37" w:name="_Hlk170547133"/>
      <w:r w:rsidRPr="006671C3">
        <w:rPr>
          <w:rFonts w:ascii="Times New Roman" w:hAnsi="Times New Roman" w:cs="Times New Roman"/>
          <w:sz w:val="28"/>
          <w:szCs w:val="28"/>
        </w:rPr>
        <w:t>En relación con la medida de</w:t>
      </w:r>
      <w:r w:rsidRPr="006671C3">
        <w:rPr>
          <w:rFonts w:ascii="Times New Roman" w:hAnsi="Times New Roman" w:cs="Times New Roman"/>
          <w:i/>
          <w:sz w:val="28"/>
          <w:szCs w:val="28"/>
        </w:rPr>
        <w:t xml:space="preserve"> suspensión provisional</w:t>
      </w:r>
      <w:r w:rsidRPr="006671C3">
        <w:rPr>
          <w:rFonts w:ascii="Times New Roman" w:hAnsi="Times New Roman" w:cs="Times New Roman"/>
          <w:i/>
          <w:sz w:val="28"/>
          <w:szCs w:val="28"/>
        </w:rPr>
        <w:t xml:space="preserve"> de la autorización, habilitación o registro de un usuario aduanero</w:t>
      </w:r>
      <w:r w:rsidRPr="006671C3">
        <w:rPr>
          <w:rFonts w:ascii="Times New Roman" w:hAnsi="Times New Roman" w:cs="Times New Roman"/>
          <w:sz w:val="28"/>
          <w:szCs w:val="28"/>
        </w:rPr>
        <w:t xml:space="preserve"> (art. 7, parcial) y la previsión consistente en que </w:t>
      </w:r>
      <w:r w:rsidRPr="006671C3">
        <w:rPr>
          <w:rFonts w:ascii="Times New Roman" w:hAnsi="Times New Roman" w:cs="Times New Roman"/>
          <w:i/>
          <w:sz w:val="28"/>
          <w:szCs w:val="28"/>
        </w:rPr>
        <w:t xml:space="preserve">contra una medida cautelar no procede recurso alguno </w:t>
      </w:r>
      <w:r w:rsidRPr="006671C3">
        <w:rPr>
          <w:rFonts w:ascii="Times New Roman" w:hAnsi="Times New Roman" w:cs="Times New Roman"/>
          <w:sz w:val="28"/>
          <w:szCs w:val="28"/>
        </w:rPr>
        <w:t>(art. 9 parcial), no se expone evidente, como lo señala el demandante, que supongan</w:t>
      </w:r>
      <w:r w:rsidRPr="006671C3">
        <w:rPr>
          <w:rFonts w:ascii="Times New Roman" w:hAnsi="Times New Roman" w:cs="Times New Roman"/>
          <w:sz w:val="28"/>
          <w:szCs w:val="28"/>
        </w:rPr>
        <w:t xml:space="preserve"> una sanción anticipada sin fórmula de juicio, que prescinde del derecho a la defensa y al debido proceso y sin recurso alguno, que obstruye por un tiempo indeterminado el objeto de la empresa y que prescinde de la práctica de pruebas e investigación duran</w:t>
      </w:r>
      <w:r w:rsidRPr="006671C3">
        <w:rPr>
          <w:rFonts w:ascii="Times New Roman" w:hAnsi="Times New Roman" w:cs="Times New Roman"/>
          <w:sz w:val="28"/>
          <w:szCs w:val="28"/>
        </w:rPr>
        <w:t xml:space="preserve">te el proceso (principio de proporcionalidad y naturaleza de la medida cautelar). </w:t>
      </w:r>
    </w:p>
    <w:p w:rsidR="000E6BF6" w:rsidRPr="006671C3" w:rsidRDefault="006671C3" w:rsidP="000E6BF6">
      <w:pPr>
        <w:contextualSpacing/>
        <w:rPr>
          <w:rFonts w:ascii="Times New Roman" w:hAnsi="Times New Roman" w:cs="Times New Roman"/>
          <w:sz w:val="28"/>
          <w:szCs w:val="28"/>
        </w:rPr>
      </w:pPr>
    </w:p>
    <w:bookmarkEnd w:id="37"/>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 xml:space="preserve">Para la Corte </w:t>
      </w:r>
      <w:r w:rsidRPr="006671C3">
        <w:rPr>
          <w:rFonts w:ascii="Times New Roman" w:hAnsi="Times New Roman" w:cs="Times New Roman"/>
          <w:i/>
          <w:sz w:val="28"/>
          <w:szCs w:val="28"/>
        </w:rPr>
        <w:t>una lectura sistemática</w:t>
      </w:r>
      <w:r w:rsidRPr="006671C3">
        <w:rPr>
          <w:rFonts w:ascii="Times New Roman" w:hAnsi="Times New Roman" w:cs="Times New Roman"/>
          <w:sz w:val="28"/>
          <w:szCs w:val="28"/>
        </w:rPr>
        <w:t xml:space="preserve"> a partir de la comparación de las expresiones demandadas (num. 3, art. 7) con los demás contenidos normativo de los artículos en que s</w:t>
      </w:r>
      <w:r w:rsidRPr="006671C3">
        <w:rPr>
          <w:rFonts w:ascii="Times New Roman" w:hAnsi="Times New Roman" w:cs="Times New Roman"/>
          <w:sz w:val="28"/>
          <w:szCs w:val="28"/>
        </w:rPr>
        <w:t xml:space="preserve">e insertan (incs. primero, segundo y tercero de esa disposición), permiten comprender y determinar el alcance real del contenido normativo demandado al instituir que la medida cautelar </w:t>
      </w:r>
      <w:r w:rsidRPr="006671C3">
        <w:rPr>
          <w:rFonts w:ascii="Times New Roman" w:hAnsi="Times New Roman" w:cs="Times New Roman"/>
          <w:i/>
          <w:sz w:val="28"/>
          <w:szCs w:val="28"/>
        </w:rPr>
        <w:t>tiene un carácter procedimental</w:t>
      </w:r>
      <w:r w:rsidRPr="006671C3">
        <w:rPr>
          <w:rFonts w:ascii="Times New Roman" w:hAnsi="Times New Roman" w:cs="Times New Roman"/>
          <w:sz w:val="28"/>
          <w:szCs w:val="28"/>
        </w:rPr>
        <w:t xml:space="preserve"> </w:t>
      </w:r>
      <w:r w:rsidRPr="006671C3">
        <w:rPr>
          <w:rFonts w:ascii="Times New Roman" w:hAnsi="Times New Roman" w:cs="Times New Roman"/>
          <w:i/>
          <w:sz w:val="28"/>
          <w:szCs w:val="28"/>
        </w:rPr>
        <w:t>que está dirigida a limitar temporalmen</w:t>
      </w:r>
      <w:r w:rsidRPr="006671C3">
        <w:rPr>
          <w:rFonts w:ascii="Times New Roman" w:hAnsi="Times New Roman" w:cs="Times New Roman"/>
          <w:i/>
          <w:sz w:val="28"/>
          <w:szCs w:val="28"/>
        </w:rPr>
        <w:t>te</w:t>
      </w:r>
      <w:r w:rsidRPr="006671C3">
        <w:rPr>
          <w:rFonts w:ascii="Times New Roman" w:hAnsi="Times New Roman" w:cs="Times New Roman"/>
          <w:sz w:val="28"/>
          <w:szCs w:val="28"/>
        </w:rPr>
        <w:t xml:space="preserve"> la disposición o administración sobre mercancías o pruebas de interés; así mismo, su adopción </w:t>
      </w:r>
      <w:r w:rsidRPr="006671C3">
        <w:rPr>
          <w:rFonts w:ascii="Times New Roman" w:hAnsi="Times New Roman" w:cs="Times New Roman"/>
          <w:i/>
          <w:sz w:val="28"/>
          <w:szCs w:val="28"/>
        </w:rPr>
        <w:t>debe ser proporcionada y adecuada a los fines perseguidos</w:t>
      </w:r>
      <w:r w:rsidRPr="006671C3">
        <w:rPr>
          <w:rFonts w:ascii="Times New Roman" w:hAnsi="Times New Roman" w:cs="Times New Roman"/>
          <w:sz w:val="28"/>
          <w:szCs w:val="28"/>
        </w:rPr>
        <w:t xml:space="preserve">, y </w:t>
      </w:r>
      <w:r w:rsidRPr="006671C3">
        <w:rPr>
          <w:rFonts w:ascii="Times New Roman" w:hAnsi="Times New Roman" w:cs="Times New Roman"/>
          <w:i/>
          <w:sz w:val="28"/>
          <w:szCs w:val="28"/>
        </w:rPr>
        <w:t>se puede levantar</w:t>
      </w:r>
      <w:r w:rsidRPr="006671C3">
        <w:rPr>
          <w:rFonts w:ascii="Times New Roman" w:hAnsi="Times New Roman" w:cs="Times New Roman"/>
          <w:sz w:val="28"/>
          <w:szCs w:val="28"/>
        </w:rPr>
        <w:t xml:space="preserve"> con fundamento en las normas, los hechos y las pruebas. En similar sentido, los </w:t>
      </w:r>
      <w:r w:rsidRPr="006671C3">
        <w:rPr>
          <w:rFonts w:ascii="Times New Roman" w:hAnsi="Times New Roman" w:cs="Times New Roman"/>
          <w:sz w:val="28"/>
          <w:szCs w:val="28"/>
        </w:rPr>
        <w:t xml:space="preserve">incisos primero y segundo del artículo 9 (inc. segundo, parcialmente acusado) imponen </w:t>
      </w:r>
      <w:r w:rsidRPr="006671C3">
        <w:rPr>
          <w:rFonts w:ascii="Times New Roman" w:hAnsi="Times New Roman" w:cs="Times New Roman"/>
          <w:i/>
          <w:sz w:val="28"/>
          <w:szCs w:val="28"/>
        </w:rPr>
        <w:t>establecer el</w:t>
      </w:r>
      <w:r w:rsidRPr="006671C3">
        <w:rPr>
          <w:rFonts w:ascii="Times New Roman" w:hAnsi="Times New Roman" w:cs="Times New Roman"/>
          <w:sz w:val="28"/>
          <w:szCs w:val="28"/>
        </w:rPr>
        <w:t xml:space="preserve"> </w:t>
      </w:r>
      <w:r w:rsidRPr="006671C3">
        <w:rPr>
          <w:rFonts w:ascii="Times New Roman" w:hAnsi="Times New Roman" w:cs="Times New Roman"/>
          <w:i/>
          <w:sz w:val="28"/>
          <w:szCs w:val="28"/>
        </w:rPr>
        <w:t>término de duración</w:t>
      </w:r>
      <w:r w:rsidRPr="006671C3">
        <w:rPr>
          <w:rFonts w:ascii="Times New Roman" w:hAnsi="Times New Roman" w:cs="Times New Roman"/>
          <w:sz w:val="28"/>
          <w:szCs w:val="28"/>
        </w:rPr>
        <w:t xml:space="preserve">, así como </w:t>
      </w:r>
      <w:r w:rsidRPr="006671C3">
        <w:rPr>
          <w:rFonts w:ascii="Times New Roman" w:hAnsi="Times New Roman" w:cs="Times New Roman"/>
          <w:i/>
          <w:sz w:val="28"/>
          <w:szCs w:val="28"/>
        </w:rPr>
        <w:t>determinar las mercancías y pruebas sobre las que recae la medida</w:t>
      </w:r>
      <w:r w:rsidRPr="006671C3">
        <w:rPr>
          <w:rFonts w:ascii="Times New Roman" w:hAnsi="Times New Roman" w:cs="Times New Roman"/>
          <w:sz w:val="28"/>
          <w:szCs w:val="28"/>
        </w:rPr>
        <w:t xml:space="preserve">, además de </w:t>
      </w:r>
      <w:r w:rsidRPr="006671C3">
        <w:rPr>
          <w:rFonts w:ascii="Times New Roman" w:hAnsi="Times New Roman" w:cs="Times New Roman"/>
          <w:i/>
          <w:sz w:val="28"/>
          <w:szCs w:val="28"/>
        </w:rPr>
        <w:t xml:space="preserve">permitir la activación del Comité de Revisión de </w:t>
      </w:r>
      <w:r w:rsidRPr="006671C3">
        <w:rPr>
          <w:rFonts w:ascii="Times New Roman" w:hAnsi="Times New Roman" w:cs="Times New Roman"/>
          <w:i/>
          <w:sz w:val="28"/>
          <w:szCs w:val="28"/>
        </w:rPr>
        <w:t>Aprehensiones</w:t>
      </w:r>
      <w:r w:rsidRPr="006671C3">
        <w:rPr>
          <w:rFonts w:ascii="Times New Roman" w:hAnsi="Times New Roman" w:cs="Times New Roman"/>
          <w:sz w:val="28"/>
          <w:szCs w:val="28"/>
        </w:rPr>
        <w:t>.</w:t>
      </w:r>
    </w:p>
    <w:p w:rsidR="000E6BF6" w:rsidRPr="006671C3" w:rsidRDefault="006671C3" w:rsidP="000E6BF6">
      <w:pPr>
        <w:tabs>
          <w:tab w:val="left" w:pos="709"/>
        </w:tabs>
        <w:spacing w:after="0" w:line="240" w:lineRule="auto"/>
        <w:contextualSpacing/>
        <w:jc w:val="both"/>
        <w:rPr>
          <w:rFonts w:ascii="Times New Roman" w:hAnsi="Times New Roman" w:cs="Times New Roman"/>
          <w:sz w:val="28"/>
          <w:szCs w:val="28"/>
        </w:rPr>
      </w:pPr>
    </w:p>
    <w:p w:rsidR="000E6BF6" w:rsidRPr="006671C3" w:rsidRDefault="006671C3" w:rsidP="000E6BF6">
      <w:pPr>
        <w:numPr>
          <w:ilvl w:val="0"/>
          <w:numId w:val="11"/>
        </w:numPr>
        <w:tabs>
          <w:tab w:val="left" w:pos="709"/>
        </w:tabs>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 xml:space="preserve">También se dejaron de lado otras disposiciones que se relacionan con los apartes atacados y que se ubican dentro del mismo decreto ley, a saber, los artículos 8, 18, 19 y 20   ya que establecen: que la suspensión provisional </w:t>
      </w:r>
      <w:r w:rsidRPr="006671C3">
        <w:rPr>
          <w:rFonts w:ascii="Times New Roman" w:hAnsi="Times New Roman" w:cs="Times New Roman"/>
          <w:i/>
          <w:sz w:val="28"/>
          <w:szCs w:val="28"/>
        </w:rPr>
        <w:t>solo procede de</w:t>
      </w:r>
      <w:r w:rsidRPr="006671C3">
        <w:rPr>
          <w:rFonts w:ascii="Times New Roman" w:hAnsi="Times New Roman" w:cs="Times New Roman"/>
          <w:i/>
          <w:sz w:val="28"/>
          <w:szCs w:val="28"/>
        </w:rPr>
        <w:t xml:space="preserve"> forma excepcional y cuando existan graves elementos probatorios</w:t>
      </w:r>
      <w:r w:rsidRPr="006671C3">
        <w:rPr>
          <w:rFonts w:ascii="Times New Roman" w:hAnsi="Times New Roman" w:cs="Times New Roman"/>
          <w:sz w:val="28"/>
          <w:szCs w:val="28"/>
        </w:rPr>
        <w:t xml:space="preserve"> de una infracción; </w:t>
      </w:r>
      <w:r w:rsidRPr="006671C3">
        <w:rPr>
          <w:rFonts w:ascii="Times New Roman" w:hAnsi="Times New Roman" w:cs="Times New Roman"/>
          <w:i/>
          <w:sz w:val="28"/>
          <w:szCs w:val="28"/>
        </w:rPr>
        <w:t>un procedimiento previo</w:t>
      </w:r>
      <w:r w:rsidRPr="006671C3">
        <w:rPr>
          <w:rFonts w:ascii="Times New Roman" w:hAnsi="Times New Roman" w:cs="Times New Roman"/>
          <w:sz w:val="28"/>
          <w:szCs w:val="28"/>
        </w:rPr>
        <w:t xml:space="preserve"> para ordenar la suspensión provisional y el </w:t>
      </w:r>
      <w:r w:rsidRPr="006671C3">
        <w:rPr>
          <w:rFonts w:ascii="Times New Roman" w:hAnsi="Times New Roman" w:cs="Times New Roman"/>
          <w:i/>
          <w:sz w:val="28"/>
          <w:szCs w:val="28"/>
        </w:rPr>
        <w:t>aval de un Comité de Fiscalización Aduanero -CFA</w:t>
      </w:r>
      <w:r w:rsidRPr="006671C3">
        <w:rPr>
          <w:rFonts w:ascii="Times New Roman" w:hAnsi="Times New Roman" w:cs="Times New Roman"/>
          <w:sz w:val="28"/>
          <w:szCs w:val="28"/>
        </w:rPr>
        <w:t xml:space="preserve">; la posibilidad de </w:t>
      </w:r>
      <w:r w:rsidRPr="006671C3">
        <w:rPr>
          <w:rFonts w:ascii="Times New Roman" w:hAnsi="Times New Roman" w:cs="Times New Roman"/>
          <w:i/>
          <w:sz w:val="28"/>
          <w:szCs w:val="28"/>
        </w:rPr>
        <w:t>presentar objeciones</w:t>
      </w:r>
      <w:r w:rsidRPr="006671C3">
        <w:rPr>
          <w:rFonts w:ascii="Times New Roman" w:hAnsi="Times New Roman" w:cs="Times New Roman"/>
          <w:sz w:val="28"/>
          <w:szCs w:val="28"/>
        </w:rPr>
        <w:t xml:space="preserve"> (derecho de contradicción) por el presunto responsable y de encontrarse procedente </w:t>
      </w:r>
      <w:r w:rsidRPr="006671C3">
        <w:rPr>
          <w:rFonts w:ascii="Times New Roman" w:hAnsi="Times New Roman" w:cs="Times New Roman"/>
          <w:i/>
          <w:sz w:val="28"/>
          <w:szCs w:val="28"/>
        </w:rPr>
        <w:t>el funcionario</w:t>
      </w:r>
      <w:r w:rsidRPr="006671C3">
        <w:rPr>
          <w:rFonts w:ascii="Times New Roman" w:hAnsi="Times New Roman" w:cs="Times New Roman"/>
          <w:sz w:val="28"/>
          <w:szCs w:val="28"/>
        </w:rPr>
        <w:t xml:space="preserve"> </w:t>
      </w:r>
      <w:r w:rsidRPr="006671C3">
        <w:rPr>
          <w:rFonts w:ascii="Times New Roman" w:hAnsi="Times New Roman" w:cs="Times New Roman"/>
          <w:i/>
          <w:sz w:val="28"/>
          <w:szCs w:val="28"/>
        </w:rPr>
        <w:t>revocará la suspensión provisional</w:t>
      </w:r>
      <w:r w:rsidRPr="006671C3">
        <w:rPr>
          <w:rFonts w:ascii="Times New Roman" w:hAnsi="Times New Roman" w:cs="Times New Roman"/>
          <w:sz w:val="28"/>
          <w:szCs w:val="28"/>
        </w:rPr>
        <w:t xml:space="preserve">;  la conformación del CFA por </w:t>
      </w:r>
      <w:r w:rsidRPr="006671C3">
        <w:rPr>
          <w:rFonts w:ascii="Times New Roman" w:hAnsi="Times New Roman" w:cs="Times New Roman"/>
          <w:i/>
          <w:sz w:val="28"/>
          <w:szCs w:val="28"/>
        </w:rPr>
        <w:t>funcionarios de alto nivel</w:t>
      </w:r>
      <w:r w:rsidRPr="006671C3">
        <w:rPr>
          <w:rFonts w:ascii="Times New Roman" w:hAnsi="Times New Roman" w:cs="Times New Roman"/>
          <w:sz w:val="28"/>
          <w:szCs w:val="28"/>
        </w:rPr>
        <w:t xml:space="preserve"> para aprobar o no la medida, además de </w:t>
      </w:r>
      <w:r w:rsidRPr="006671C3">
        <w:rPr>
          <w:rFonts w:ascii="Times New Roman" w:hAnsi="Times New Roman" w:cs="Times New Roman"/>
          <w:i/>
          <w:sz w:val="28"/>
          <w:szCs w:val="28"/>
        </w:rPr>
        <w:t>poder intervenir el Defens</w:t>
      </w:r>
      <w:r w:rsidRPr="006671C3">
        <w:rPr>
          <w:rFonts w:ascii="Times New Roman" w:hAnsi="Times New Roman" w:cs="Times New Roman"/>
          <w:i/>
          <w:sz w:val="28"/>
          <w:szCs w:val="28"/>
        </w:rPr>
        <w:t>or del Contribuyente y del Usuario Aduanero</w:t>
      </w:r>
      <w:r w:rsidRPr="006671C3">
        <w:rPr>
          <w:rFonts w:ascii="Times New Roman" w:hAnsi="Times New Roman" w:cs="Times New Roman"/>
          <w:sz w:val="28"/>
          <w:szCs w:val="28"/>
        </w:rPr>
        <w:t xml:space="preserve"> con voz y voto; y que el </w:t>
      </w:r>
      <w:r w:rsidRPr="006671C3">
        <w:rPr>
          <w:rFonts w:ascii="Times New Roman" w:hAnsi="Times New Roman" w:cs="Times New Roman"/>
          <w:i/>
          <w:sz w:val="28"/>
          <w:szCs w:val="28"/>
        </w:rPr>
        <w:t>establecimiento de la improcedencia de recurso lo es sin perjuicio de la activación del Comité de Revisión de Aprehensiones</w:t>
      </w:r>
      <w:r w:rsidRPr="006671C3">
        <w:rPr>
          <w:rFonts w:ascii="Times New Roman" w:hAnsi="Times New Roman" w:cs="Times New Roman"/>
          <w:sz w:val="28"/>
          <w:szCs w:val="28"/>
        </w:rPr>
        <w:t>.</w:t>
      </w:r>
    </w:p>
    <w:p w:rsidR="000E6BF6" w:rsidRPr="006671C3" w:rsidRDefault="006671C3" w:rsidP="000E6BF6">
      <w:pPr>
        <w:tabs>
          <w:tab w:val="left" w:pos="709"/>
        </w:tabs>
        <w:spacing w:after="0" w:line="240" w:lineRule="auto"/>
        <w:jc w:val="both"/>
        <w:rPr>
          <w:rFonts w:ascii="Times New Roman" w:hAnsi="Times New Roman" w:cs="Times New Roman"/>
          <w:sz w:val="28"/>
          <w:szCs w:val="28"/>
        </w:rPr>
      </w:pPr>
    </w:p>
    <w:p w:rsidR="000E6BF6" w:rsidRPr="006671C3" w:rsidRDefault="006671C3" w:rsidP="000E6BF6">
      <w:pPr>
        <w:numPr>
          <w:ilvl w:val="0"/>
          <w:numId w:val="11"/>
        </w:numPr>
        <w:tabs>
          <w:tab w:val="left" w:pos="709"/>
        </w:tabs>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 xml:space="preserve"> Ahora bien, en torno a la </w:t>
      </w:r>
      <w:r w:rsidRPr="006671C3">
        <w:rPr>
          <w:rFonts w:ascii="Times New Roman" w:hAnsi="Times New Roman" w:cs="Times New Roman"/>
          <w:i/>
          <w:sz w:val="28"/>
          <w:szCs w:val="28"/>
        </w:rPr>
        <w:t>sustitución de la sanción de multa</w:t>
      </w:r>
      <w:r w:rsidRPr="006671C3">
        <w:rPr>
          <w:rFonts w:ascii="Times New Roman" w:hAnsi="Times New Roman" w:cs="Times New Roman"/>
          <w:i/>
          <w:sz w:val="28"/>
          <w:szCs w:val="28"/>
        </w:rPr>
        <w:t xml:space="preserve"> por la de suspensión</w:t>
      </w:r>
      <w:r w:rsidRPr="006671C3">
        <w:rPr>
          <w:rFonts w:ascii="Times New Roman" w:hAnsi="Times New Roman" w:cs="Times New Roman"/>
          <w:sz w:val="28"/>
          <w:szCs w:val="28"/>
        </w:rPr>
        <w:t xml:space="preserve"> (arts. 29, 31, 35 y 48), </w:t>
      </w:r>
      <w:bookmarkStart w:id="38" w:name="_Hlk170613026"/>
      <w:r w:rsidRPr="006671C3">
        <w:rPr>
          <w:rFonts w:ascii="Times New Roman" w:hAnsi="Times New Roman" w:cs="Times New Roman"/>
          <w:sz w:val="28"/>
          <w:szCs w:val="28"/>
        </w:rPr>
        <w:t>no es cierto como lo afirma el actor que se carezcan de criterios objetivos, no se establezcan mínimos de cómo se deben valorar y se deje al arbitrio de la autoridad (principios de proporcionalidad y de tipici</w:t>
      </w:r>
      <w:r w:rsidRPr="006671C3">
        <w:rPr>
          <w:rFonts w:ascii="Times New Roman" w:hAnsi="Times New Roman" w:cs="Times New Roman"/>
          <w:sz w:val="28"/>
          <w:szCs w:val="28"/>
        </w:rPr>
        <w:t>dad y legalidad).</w:t>
      </w:r>
      <w:bookmarkEnd w:id="38"/>
    </w:p>
    <w:p w:rsidR="000E6BF6" w:rsidRPr="006671C3" w:rsidRDefault="006671C3" w:rsidP="000E6BF6">
      <w:pPr>
        <w:contextualSpacing/>
        <w:rPr>
          <w:rFonts w:ascii="Times New Roman" w:hAnsi="Times New Roman" w:cs="Times New Roman"/>
          <w:sz w:val="28"/>
          <w:szCs w:val="28"/>
        </w:rPr>
      </w:pPr>
    </w:p>
    <w:p w:rsidR="000E6BF6" w:rsidRPr="006671C3" w:rsidRDefault="006671C3" w:rsidP="000E6BF6">
      <w:pPr>
        <w:numPr>
          <w:ilvl w:val="0"/>
          <w:numId w:val="11"/>
        </w:numPr>
        <w:tabs>
          <w:tab w:val="left" w:pos="709"/>
        </w:tabs>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 xml:space="preserve">En relación con el artículo 35 la Sala halla que se omitieron apartes relevantes del mismo artículo, como lo es su parágrafo, para comprender el alcance real del segmento demandado, ya que él remite a los artículos 106 a 116 del Decreto </w:t>
      </w:r>
      <w:r w:rsidRPr="006671C3">
        <w:rPr>
          <w:rFonts w:ascii="Times New Roman" w:hAnsi="Times New Roman" w:cs="Times New Roman"/>
          <w:sz w:val="28"/>
          <w:szCs w:val="28"/>
        </w:rPr>
        <w:t xml:space="preserve">Ley 920 de 2023 que </w:t>
      </w:r>
      <w:r w:rsidRPr="006671C3">
        <w:rPr>
          <w:rFonts w:ascii="Times New Roman" w:hAnsi="Times New Roman" w:cs="Times New Roman"/>
          <w:i/>
          <w:sz w:val="28"/>
          <w:szCs w:val="28"/>
        </w:rPr>
        <w:t>establecen el</w:t>
      </w:r>
      <w:r w:rsidRPr="006671C3">
        <w:rPr>
          <w:rFonts w:ascii="Times New Roman" w:hAnsi="Times New Roman" w:cs="Times New Roman"/>
          <w:sz w:val="28"/>
          <w:szCs w:val="28"/>
        </w:rPr>
        <w:t xml:space="preserve"> </w:t>
      </w:r>
      <w:r w:rsidRPr="006671C3">
        <w:rPr>
          <w:rFonts w:ascii="Times New Roman" w:hAnsi="Times New Roman" w:cs="Times New Roman"/>
          <w:i/>
          <w:sz w:val="28"/>
          <w:szCs w:val="28"/>
        </w:rPr>
        <w:t>procedimiento sancionatorio</w:t>
      </w:r>
      <w:r w:rsidRPr="006671C3">
        <w:rPr>
          <w:rFonts w:ascii="Times New Roman" w:hAnsi="Times New Roman" w:cs="Times New Roman"/>
          <w:sz w:val="28"/>
          <w:szCs w:val="28"/>
        </w:rPr>
        <w:t xml:space="preserve"> y de formulación de liquidaciones oficiales</w:t>
      </w:r>
      <w:r w:rsidRPr="006671C3">
        <w:rPr>
          <w:rFonts w:ascii="Times New Roman" w:hAnsi="Times New Roman" w:cs="Times New Roman"/>
          <w:sz w:val="28"/>
          <w:szCs w:val="28"/>
          <w:vertAlign w:val="superscript"/>
        </w:rPr>
        <w:footnoteReference w:id="115"/>
      </w:r>
      <w:r w:rsidRPr="006671C3">
        <w:rPr>
          <w:rFonts w:ascii="Times New Roman" w:hAnsi="Times New Roman" w:cs="Times New Roman"/>
          <w:sz w:val="28"/>
          <w:szCs w:val="28"/>
        </w:rPr>
        <w:t xml:space="preserve">. En armonía con lo anterior, tampoco se atendió la interrelación de las cuatro disposiciones parcialmente demandadas con los artículos 22 (num. 5) y </w:t>
      </w:r>
      <w:r w:rsidRPr="006671C3">
        <w:rPr>
          <w:rFonts w:ascii="Times New Roman" w:hAnsi="Times New Roman" w:cs="Times New Roman"/>
          <w:sz w:val="28"/>
          <w:szCs w:val="28"/>
        </w:rPr>
        <w:t xml:space="preserve">130 del decreto ley acusado, que </w:t>
      </w:r>
      <w:r w:rsidRPr="006671C3">
        <w:rPr>
          <w:rFonts w:ascii="Times New Roman" w:hAnsi="Times New Roman" w:cs="Times New Roman"/>
          <w:i/>
          <w:sz w:val="28"/>
          <w:szCs w:val="28"/>
        </w:rPr>
        <w:t>sujetan a</w:t>
      </w:r>
      <w:r w:rsidRPr="006671C3">
        <w:rPr>
          <w:rFonts w:ascii="Times New Roman" w:hAnsi="Times New Roman" w:cs="Times New Roman"/>
          <w:sz w:val="28"/>
          <w:szCs w:val="28"/>
        </w:rPr>
        <w:t xml:space="preserve"> </w:t>
      </w:r>
      <w:r w:rsidRPr="006671C3">
        <w:rPr>
          <w:rFonts w:ascii="Times New Roman" w:hAnsi="Times New Roman" w:cs="Times New Roman"/>
          <w:i/>
          <w:sz w:val="28"/>
          <w:szCs w:val="28"/>
        </w:rPr>
        <w:t>requisitos, mecanismos y procedimientos</w:t>
      </w:r>
      <w:r w:rsidRPr="006671C3">
        <w:rPr>
          <w:rFonts w:ascii="Times New Roman" w:hAnsi="Times New Roman" w:cs="Times New Roman"/>
          <w:sz w:val="28"/>
          <w:szCs w:val="28"/>
        </w:rPr>
        <w:t xml:space="preserve"> la sustitución de la multa por la de suspensión, a saber: </w:t>
      </w:r>
      <w:r w:rsidRPr="006671C3">
        <w:rPr>
          <w:rFonts w:ascii="Times New Roman" w:hAnsi="Times New Roman" w:cs="Times New Roman"/>
          <w:i/>
          <w:sz w:val="28"/>
          <w:szCs w:val="28"/>
        </w:rPr>
        <w:t>establece taxativamente siete criterios de gradualidad</w:t>
      </w:r>
      <w:r w:rsidRPr="006671C3">
        <w:rPr>
          <w:rFonts w:ascii="Times New Roman" w:hAnsi="Times New Roman" w:cs="Times New Roman"/>
          <w:sz w:val="28"/>
          <w:szCs w:val="28"/>
        </w:rPr>
        <w:t xml:space="preserve">, que </w:t>
      </w:r>
      <w:r w:rsidRPr="006671C3">
        <w:rPr>
          <w:rFonts w:ascii="Times New Roman" w:hAnsi="Times New Roman" w:cs="Times New Roman"/>
          <w:i/>
          <w:sz w:val="28"/>
          <w:szCs w:val="28"/>
        </w:rPr>
        <w:t>involucran bienes jurídicos de alto valor</w:t>
      </w:r>
      <w:r w:rsidRPr="006671C3">
        <w:rPr>
          <w:rFonts w:ascii="Times New Roman" w:hAnsi="Times New Roman" w:cs="Times New Roman"/>
          <w:sz w:val="28"/>
          <w:szCs w:val="28"/>
        </w:rPr>
        <w:t xml:space="preserve"> y debe </w:t>
      </w:r>
      <w:r w:rsidRPr="006671C3">
        <w:rPr>
          <w:rFonts w:ascii="Times New Roman" w:hAnsi="Times New Roman" w:cs="Times New Roman"/>
          <w:i/>
          <w:sz w:val="28"/>
          <w:szCs w:val="28"/>
        </w:rPr>
        <w:t xml:space="preserve">estar </w:t>
      </w:r>
      <w:r w:rsidRPr="006671C3">
        <w:rPr>
          <w:rFonts w:ascii="Times New Roman" w:hAnsi="Times New Roman" w:cs="Times New Roman"/>
          <w:i/>
          <w:sz w:val="28"/>
          <w:szCs w:val="28"/>
        </w:rPr>
        <w:t>motivado en un acto administrativo</w:t>
      </w:r>
      <w:r w:rsidRPr="006671C3">
        <w:rPr>
          <w:rFonts w:ascii="Times New Roman" w:hAnsi="Times New Roman" w:cs="Times New Roman"/>
          <w:sz w:val="28"/>
          <w:szCs w:val="28"/>
        </w:rPr>
        <w:t xml:space="preserve">, como se observó en el cuadro referenciado. Ello, sin perjuicio de la </w:t>
      </w:r>
      <w:r w:rsidRPr="006671C3">
        <w:rPr>
          <w:rFonts w:ascii="Times New Roman" w:hAnsi="Times New Roman" w:cs="Times New Roman"/>
          <w:i/>
          <w:sz w:val="28"/>
          <w:szCs w:val="28"/>
        </w:rPr>
        <w:t>procedencia del recurso de reconsideración</w:t>
      </w:r>
      <w:r w:rsidRPr="006671C3">
        <w:rPr>
          <w:rFonts w:ascii="Times New Roman" w:hAnsi="Times New Roman" w:cs="Times New Roman"/>
          <w:sz w:val="28"/>
          <w:szCs w:val="28"/>
        </w:rPr>
        <w:t xml:space="preserve"> cuando hubiere lugar a la sanción. </w:t>
      </w:r>
    </w:p>
    <w:p w:rsidR="000E6BF6" w:rsidRPr="006671C3" w:rsidRDefault="006671C3" w:rsidP="000E6BF6">
      <w:pPr>
        <w:contextualSpacing/>
        <w:rPr>
          <w:rFonts w:ascii="Times New Roman" w:hAnsi="Times New Roman" w:cs="Times New Roman"/>
          <w:sz w:val="28"/>
          <w:szCs w:val="28"/>
        </w:rPr>
      </w:pPr>
    </w:p>
    <w:p w:rsidR="000E6BF6" w:rsidRPr="006671C3" w:rsidRDefault="006671C3" w:rsidP="000E6BF6">
      <w:pPr>
        <w:numPr>
          <w:ilvl w:val="0"/>
          <w:numId w:val="11"/>
        </w:numPr>
        <w:tabs>
          <w:tab w:val="left" w:pos="709"/>
        </w:tabs>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De acuerdo con lo anterior, una lectura sistemática del ordenamiento ju</w:t>
      </w:r>
      <w:r w:rsidRPr="006671C3">
        <w:rPr>
          <w:rFonts w:ascii="Times New Roman" w:hAnsi="Times New Roman" w:cs="Times New Roman"/>
          <w:sz w:val="28"/>
          <w:szCs w:val="28"/>
        </w:rPr>
        <w:t xml:space="preserve">rídico en que se funda la causa de los apartes demandados, permite observar </w:t>
      </w:r>
      <w:r w:rsidRPr="006671C3">
        <w:rPr>
          <w:rFonts w:ascii="Times New Roman" w:hAnsi="Times New Roman" w:cs="Times New Roman"/>
          <w:i/>
          <w:iCs/>
          <w:sz w:val="28"/>
          <w:szCs w:val="28"/>
        </w:rPr>
        <w:t>cuál es la naturaleza de la medida cautelar, los principios y derechos que la delimitan, el tiempo a que se sujeta, el carácter excepcional de la medida, la sujeción a un procedimi</w:t>
      </w:r>
      <w:r w:rsidRPr="006671C3">
        <w:rPr>
          <w:rFonts w:ascii="Times New Roman" w:hAnsi="Times New Roman" w:cs="Times New Roman"/>
          <w:i/>
          <w:iCs/>
          <w:sz w:val="28"/>
          <w:szCs w:val="28"/>
        </w:rPr>
        <w:t>ento, las garantías que durante el trámite lo respaldan y</w:t>
      </w:r>
      <w:r w:rsidRPr="006671C3">
        <w:rPr>
          <w:rFonts w:ascii="Times New Roman" w:hAnsi="Times New Roman" w:cs="Times New Roman"/>
          <w:i/>
          <w:iCs/>
          <w:sz w:val="28"/>
        </w:rPr>
        <w:t xml:space="preserve"> </w:t>
      </w:r>
      <w:r w:rsidRPr="006671C3">
        <w:rPr>
          <w:rFonts w:ascii="Times New Roman" w:hAnsi="Times New Roman" w:cs="Times New Roman"/>
          <w:i/>
          <w:iCs/>
          <w:sz w:val="28"/>
          <w:szCs w:val="28"/>
        </w:rPr>
        <w:t>la posibilidad de activar el Comité de Revisión de Aprehensiones</w:t>
      </w:r>
      <w:r w:rsidRPr="006671C3">
        <w:rPr>
          <w:rFonts w:ascii="Times New Roman" w:hAnsi="Times New Roman" w:cs="Times New Roman"/>
          <w:sz w:val="28"/>
          <w:szCs w:val="28"/>
        </w:rPr>
        <w:t>. De otro lado, en cuanto a la sustitución de la sanción de multa por la de suspensión también se pudo determinar la existencia de cri</w:t>
      </w:r>
      <w:r w:rsidRPr="006671C3">
        <w:rPr>
          <w:rFonts w:ascii="Times New Roman" w:hAnsi="Times New Roman" w:cs="Times New Roman"/>
          <w:sz w:val="28"/>
          <w:szCs w:val="28"/>
        </w:rPr>
        <w:t>terios de gradualidad, el establecimiento de un procedimiento, la necesidad de atender la gravedad de los perjuicios causados a los intereses del Estado, la fundamentación que debe contener el acto administrativo que se expida y la posibilidad de presentar</w:t>
      </w:r>
      <w:r w:rsidRPr="006671C3">
        <w:rPr>
          <w:rFonts w:ascii="Times New Roman" w:hAnsi="Times New Roman" w:cs="Times New Roman"/>
          <w:sz w:val="28"/>
          <w:szCs w:val="28"/>
        </w:rPr>
        <w:t xml:space="preserve"> recursos.</w:t>
      </w:r>
    </w:p>
    <w:p w:rsidR="000E6BF6" w:rsidRPr="006671C3" w:rsidRDefault="006671C3" w:rsidP="000E6BF6">
      <w:pPr>
        <w:contextualSpacing/>
        <w:rPr>
          <w:rFonts w:ascii="Times New Roman" w:hAnsi="Times New Roman" w:cs="Times New Roman"/>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0"/>
        </w:rPr>
      </w:pPr>
      <w:r w:rsidRPr="006671C3">
        <w:rPr>
          <w:rFonts w:ascii="Times New Roman" w:hAnsi="Times New Roman" w:cs="Times New Roman"/>
          <w:sz w:val="28"/>
          <w:szCs w:val="28"/>
        </w:rPr>
        <w:t xml:space="preserve">Adicionalmente, es factible advertir por la Corte otros contenidos normativos del Decreto Ley 920 de 2023 que aportan </w:t>
      </w:r>
      <w:r w:rsidRPr="006671C3">
        <w:rPr>
          <w:rFonts w:ascii="Times New Roman" w:hAnsi="Times New Roman" w:cs="Times New Roman"/>
          <w:i/>
          <w:sz w:val="28"/>
          <w:szCs w:val="28"/>
        </w:rPr>
        <w:t>elementos de juicio</w:t>
      </w:r>
      <w:r w:rsidRPr="006671C3">
        <w:rPr>
          <w:rFonts w:ascii="Times New Roman" w:hAnsi="Times New Roman" w:cs="Times New Roman"/>
          <w:sz w:val="28"/>
          <w:szCs w:val="28"/>
        </w:rPr>
        <w:t xml:space="preserve"> </w:t>
      </w:r>
      <w:r w:rsidRPr="006671C3">
        <w:rPr>
          <w:rFonts w:ascii="Times New Roman" w:hAnsi="Times New Roman" w:cs="Times New Roman"/>
          <w:i/>
          <w:sz w:val="28"/>
          <w:szCs w:val="28"/>
        </w:rPr>
        <w:t>generales</w:t>
      </w:r>
      <w:r w:rsidRPr="006671C3">
        <w:rPr>
          <w:rFonts w:ascii="Times New Roman" w:hAnsi="Times New Roman" w:cs="Times New Roman"/>
          <w:sz w:val="28"/>
          <w:szCs w:val="28"/>
        </w:rPr>
        <w:t xml:space="preserve"> para la configuración adecuada de los cargos de inconstitucionalidad, los cuales parten del “con</w:t>
      </w:r>
      <w:r w:rsidRPr="006671C3">
        <w:rPr>
          <w:rFonts w:ascii="Times New Roman" w:hAnsi="Times New Roman" w:cs="Times New Roman"/>
          <w:sz w:val="28"/>
          <w:szCs w:val="28"/>
        </w:rPr>
        <w:t>siderando” del decreto ley</w:t>
      </w:r>
      <w:r w:rsidRPr="006671C3">
        <w:rPr>
          <w:rFonts w:ascii="Times New Roman" w:hAnsi="Times New Roman" w:cs="Times New Roman"/>
          <w:sz w:val="28"/>
          <w:szCs w:val="28"/>
          <w:vertAlign w:val="superscript"/>
        </w:rPr>
        <w:footnoteReference w:id="116"/>
      </w:r>
      <w:r w:rsidRPr="006671C3">
        <w:rPr>
          <w:rFonts w:ascii="Times New Roman" w:hAnsi="Times New Roman" w:cs="Times New Roman"/>
          <w:sz w:val="28"/>
          <w:szCs w:val="28"/>
        </w:rPr>
        <w:t xml:space="preserve"> el cual establece la motivación de cada uno de los cinco títulos que lo compone</w:t>
      </w:r>
      <w:r w:rsidRPr="006671C3">
        <w:rPr>
          <w:rFonts w:ascii="Times New Roman" w:hAnsi="Times New Roman" w:cs="Times New Roman"/>
          <w:sz w:val="28"/>
          <w:szCs w:val="28"/>
          <w:vertAlign w:val="superscript"/>
        </w:rPr>
        <w:footnoteReference w:id="117"/>
      </w:r>
      <w:r w:rsidRPr="006671C3">
        <w:rPr>
          <w:rFonts w:ascii="Times New Roman" w:hAnsi="Times New Roman" w:cs="Times New Roman"/>
          <w:sz w:val="28"/>
          <w:szCs w:val="28"/>
        </w:rPr>
        <w:t xml:space="preserve"> y el artículo 2 sobre los principios generales aplicables al presente decreto</w:t>
      </w:r>
      <w:r w:rsidRPr="006671C3">
        <w:rPr>
          <w:rFonts w:ascii="Times New Roman" w:hAnsi="Times New Roman" w:cs="Times New Roman"/>
          <w:sz w:val="28"/>
          <w:szCs w:val="28"/>
          <w:vertAlign w:val="superscript"/>
        </w:rPr>
        <w:footnoteReference w:id="118"/>
      </w:r>
      <w:r w:rsidRPr="006671C3">
        <w:rPr>
          <w:rFonts w:ascii="Times New Roman" w:hAnsi="Times New Roman" w:cs="Times New Roman"/>
          <w:sz w:val="28"/>
          <w:szCs w:val="28"/>
        </w:rPr>
        <w:t>.</w:t>
      </w:r>
    </w:p>
    <w:p w:rsidR="000E6BF6" w:rsidRPr="006671C3" w:rsidRDefault="006671C3" w:rsidP="000E6BF6">
      <w:pPr>
        <w:contextualSpacing/>
        <w:rPr>
          <w:rFonts w:ascii="Times New Roman" w:hAnsi="Times New Roman" w:cs="Times New Roman"/>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bookmarkStart w:id="39" w:name="_Hlk170571456"/>
      <w:r w:rsidRPr="006671C3">
        <w:rPr>
          <w:rFonts w:ascii="Times New Roman" w:hAnsi="Times New Roman" w:cs="Times New Roman"/>
          <w:sz w:val="28"/>
          <w:szCs w:val="28"/>
        </w:rPr>
        <w:t xml:space="preserve">Por último, la Sala Plena encuentra que el demandante </w:t>
      </w:r>
      <w:r w:rsidRPr="006671C3">
        <w:rPr>
          <w:rFonts w:ascii="Times New Roman" w:hAnsi="Times New Roman" w:cs="Times New Roman"/>
          <w:i/>
          <w:sz w:val="28"/>
          <w:szCs w:val="28"/>
        </w:rPr>
        <w:t>omitió desar</w:t>
      </w:r>
      <w:r w:rsidRPr="006671C3">
        <w:rPr>
          <w:rFonts w:ascii="Times New Roman" w:hAnsi="Times New Roman" w:cs="Times New Roman"/>
          <w:i/>
          <w:sz w:val="28"/>
          <w:szCs w:val="28"/>
        </w:rPr>
        <w:t>rollar</w:t>
      </w:r>
      <w:r w:rsidRPr="006671C3">
        <w:rPr>
          <w:rFonts w:ascii="Times New Roman" w:hAnsi="Times New Roman" w:cs="Times New Roman"/>
          <w:sz w:val="28"/>
          <w:szCs w:val="28"/>
        </w:rPr>
        <w:t xml:space="preserve"> </w:t>
      </w:r>
      <w:r w:rsidRPr="006671C3">
        <w:rPr>
          <w:rFonts w:ascii="Times New Roman" w:hAnsi="Times New Roman" w:cs="Times New Roman"/>
          <w:i/>
          <w:sz w:val="28"/>
          <w:szCs w:val="28"/>
        </w:rPr>
        <w:t>adecuadamente el concepto de la violación</w:t>
      </w:r>
      <w:r w:rsidRPr="006671C3">
        <w:rPr>
          <w:rFonts w:ascii="Times New Roman" w:hAnsi="Times New Roman" w:cs="Times New Roman"/>
          <w:sz w:val="28"/>
          <w:szCs w:val="28"/>
        </w:rPr>
        <w:t xml:space="preserve"> respecto de las disposiciones parcialmente acusadas, por cuanto si bien transcribió los apartes que considera violatorios de la Constitución y expuso algunas razones de inconstitucionalidad, no cumplió el de</w:t>
      </w:r>
      <w:r w:rsidRPr="006671C3">
        <w:rPr>
          <w:rFonts w:ascii="Times New Roman" w:hAnsi="Times New Roman" w:cs="Times New Roman"/>
          <w:sz w:val="28"/>
          <w:szCs w:val="28"/>
        </w:rPr>
        <w:t xml:space="preserve">ber mínimo de fundamentar suficientemente la pretensión de inconstitucionalidad. </w:t>
      </w:r>
    </w:p>
    <w:p w:rsidR="000E6BF6" w:rsidRPr="006671C3" w:rsidRDefault="006671C3" w:rsidP="000E6BF6">
      <w:pPr>
        <w:contextualSpacing/>
        <w:rPr>
          <w:rFonts w:ascii="Times New Roman" w:hAnsi="Times New Roman" w:cs="Times New Roman"/>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En efecto, respecto a los artículos 7 y 9 (parciales) del Decreto Ley 920 de 2023 se debe anotar que no se abordó ni se enfrentó suficientemente los contenidos normativos de</w:t>
      </w:r>
      <w:r w:rsidRPr="006671C3">
        <w:rPr>
          <w:rFonts w:ascii="Times New Roman" w:hAnsi="Times New Roman" w:cs="Times New Roman"/>
          <w:sz w:val="28"/>
          <w:szCs w:val="28"/>
        </w:rPr>
        <w:t>mandados, ya que el demandante ha debido partir de la naturaleza jurídica de las medidas cautelares y su carácter temporal previsto. Igual situación se presenta en relación con los artículos 29, 31, 35 y 48, al no realizarse consideración alguna sobre la c</w:t>
      </w:r>
      <w:r w:rsidRPr="006671C3">
        <w:rPr>
          <w:rFonts w:ascii="Times New Roman" w:hAnsi="Times New Roman" w:cs="Times New Roman"/>
          <w:sz w:val="28"/>
          <w:szCs w:val="28"/>
        </w:rPr>
        <w:t>lasificación de las faltas (gravísimas); tipo de infracción involucrada; sujetos infractores; marco establecido, a saber, al referir a la gravedad del perjuicio causado; sujeto pasivo de la infracción (intereses del Estado); y tiempo de vigencia de la susp</w:t>
      </w:r>
      <w:r w:rsidRPr="006671C3">
        <w:rPr>
          <w:rFonts w:ascii="Times New Roman" w:hAnsi="Times New Roman" w:cs="Times New Roman"/>
          <w:sz w:val="28"/>
          <w:szCs w:val="28"/>
        </w:rPr>
        <w:t>ensión al determinar que es hasta por tres meses.</w:t>
      </w:r>
    </w:p>
    <w:bookmarkEnd w:id="39"/>
    <w:p w:rsidR="000E6BF6" w:rsidRPr="006671C3" w:rsidRDefault="006671C3" w:rsidP="000E6BF6">
      <w:pPr>
        <w:spacing w:after="0" w:line="240" w:lineRule="auto"/>
        <w:contextualSpacing/>
        <w:jc w:val="both"/>
        <w:rPr>
          <w:rFonts w:ascii="Times New Roman" w:hAnsi="Times New Roman" w:cs="Times New Roman"/>
          <w:sz w:val="28"/>
          <w:szCs w:val="28"/>
        </w:rPr>
      </w:pPr>
    </w:p>
    <w:bookmarkEnd w:id="30"/>
    <w:p w:rsidR="000E6BF6" w:rsidRPr="006671C3" w:rsidRDefault="006671C3" w:rsidP="000E6BF6">
      <w:pPr>
        <w:spacing w:after="0" w:line="240" w:lineRule="auto"/>
        <w:contextualSpacing/>
        <w:rPr>
          <w:rFonts w:ascii="Times New Roman" w:hAnsi="Times New Roman" w:cs="Times New Roman"/>
          <w:b/>
          <w:sz w:val="28"/>
          <w:szCs w:val="28"/>
        </w:rPr>
      </w:pPr>
      <w:r w:rsidRPr="006671C3">
        <w:rPr>
          <w:rFonts w:ascii="Times New Roman" w:hAnsi="Times New Roman" w:cs="Times New Roman"/>
          <w:b/>
          <w:sz w:val="28"/>
          <w:szCs w:val="28"/>
        </w:rPr>
        <w:t xml:space="preserve">Segundo cargo  </w:t>
      </w:r>
    </w:p>
    <w:p w:rsidR="000E6BF6" w:rsidRPr="006671C3" w:rsidRDefault="006671C3" w:rsidP="000E6BF6">
      <w:pPr>
        <w:spacing w:after="0" w:line="240" w:lineRule="auto"/>
        <w:contextualSpacing/>
        <w:rPr>
          <w:rFonts w:ascii="Times New Roman" w:hAnsi="Times New Roman" w:cs="Times New Roman"/>
          <w:b/>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 xml:space="preserve">Se demanda el inciso segundo del artículo 25 del Decreto Ley 920 de 2023, por la vulneración de los artículos 1, 2, 4, 5, 6 y 29 de la Constitución. </w:t>
      </w:r>
    </w:p>
    <w:p w:rsidR="000E6BF6" w:rsidRPr="006671C3" w:rsidRDefault="006671C3" w:rsidP="000E6BF6">
      <w:pPr>
        <w:spacing w:after="0" w:line="240" w:lineRule="auto"/>
        <w:contextualSpacing/>
        <w:jc w:val="both"/>
        <w:rPr>
          <w:rFonts w:ascii="Times New Roman" w:eastAsia="Times New Roman" w:hAnsi="Times New Roman" w:cs="Times New Roman"/>
          <w:i/>
          <w:snapToGrid w:val="0"/>
          <w:position w:val="6"/>
          <w:sz w:val="28"/>
          <w:szCs w:val="28"/>
          <w:lang w:val="es-ES" w:eastAsia="es-ES"/>
        </w:rPr>
      </w:pPr>
    </w:p>
    <w:tbl>
      <w:tblPr>
        <w:tblStyle w:val="Tablaconcuadrcula"/>
        <w:tblW w:w="5000" w:type="pct"/>
        <w:tblLook w:val="04A0" w:firstRow="1" w:lastRow="0" w:firstColumn="1" w:lastColumn="0" w:noHBand="0" w:noVBand="1"/>
      </w:tblPr>
      <w:tblGrid>
        <w:gridCol w:w="4754"/>
        <w:gridCol w:w="4754"/>
      </w:tblGrid>
      <w:tr w:rsidR="000E6BF6" w:rsidRPr="006671C3" w:rsidTr="00D1315E">
        <w:tc>
          <w:tcPr>
            <w:tcW w:w="2500" w:type="pct"/>
          </w:tcPr>
          <w:p w:rsidR="000E6BF6" w:rsidRPr="006671C3" w:rsidRDefault="006671C3" w:rsidP="000E6BF6">
            <w:pPr>
              <w:contextualSpacing/>
              <w:jc w:val="center"/>
              <w:rPr>
                <w:rFonts w:ascii="Times New Roman" w:hAnsi="Times New Roman" w:cs="Times New Roman"/>
                <w:b/>
                <w:sz w:val="28"/>
              </w:rPr>
            </w:pPr>
            <w:r w:rsidRPr="006671C3">
              <w:rPr>
                <w:rFonts w:ascii="Times New Roman" w:hAnsi="Times New Roman" w:cs="Times New Roman"/>
                <w:b/>
                <w:sz w:val="28"/>
              </w:rPr>
              <w:t>Aparte demandado</w:t>
            </w:r>
          </w:p>
        </w:tc>
        <w:tc>
          <w:tcPr>
            <w:tcW w:w="2500" w:type="pct"/>
          </w:tcPr>
          <w:p w:rsidR="000E6BF6" w:rsidRPr="006671C3" w:rsidRDefault="006671C3" w:rsidP="000E6BF6">
            <w:pPr>
              <w:contextualSpacing/>
              <w:jc w:val="center"/>
              <w:rPr>
                <w:rFonts w:ascii="Times New Roman" w:hAnsi="Times New Roman" w:cs="Times New Roman"/>
                <w:b/>
                <w:sz w:val="28"/>
              </w:rPr>
            </w:pPr>
            <w:r w:rsidRPr="006671C3">
              <w:rPr>
                <w:rFonts w:ascii="Times New Roman" w:hAnsi="Times New Roman" w:cs="Times New Roman"/>
                <w:b/>
                <w:sz w:val="28"/>
              </w:rPr>
              <w:t xml:space="preserve">Presunto cargo </w:t>
            </w:r>
            <w:r w:rsidRPr="006671C3">
              <w:rPr>
                <w:rFonts w:ascii="Times New Roman" w:hAnsi="Times New Roman" w:cs="Times New Roman"/>
                <w:b/>
                <w:sz w:val="28"/>
              </w:rPr>
              <w:t>formulado</w:t>
            </w:r>
          </w:p>
        </w:tc>
      </w:tr>
      <w:tr w:rsidR="000E6BF6" w:rsidRPr="006671C3" w:rsidTr="00D1315E">
        <w:tc>
          <w:tcPr>
            <w:tcW w:w="2500" w:type="pct"/>
          </w:tcPr>
          <w:p w:rsidR="000E6BF6" w:rsidRPr="006671C3" w:rsidRDefault="006671C3" w:rsidP="000E6BF6">
            <w:pPr>
              <w:shd w:val="clear" w:color="auto" w:fill="FFFFFF"/>
              <w:jc w:val="both"/>
              <w:rPr>
                <w:rFonts w:ascii="Times New Roman" w:eastAsia="Times New Roman" w:hAnsi="Times New Roman" w:cs="Times New Roman"/>
                <w:snapToGrid w:val="0"/>
                <w:position w:val="6"/>
                <w:sz w:val="28"/>
                <w:lang w:eastAsia="es-ES"/>
              </w:rPr>
            </w:pPr>
            <w:r w:rsidRPr="006671C3">
              <w:rPr>
                <w:rFonts w:ascii="Times New Roman" w:eastAsia="Times New Roman" w:hAnsi="Times New Roman" w:cs="Times New Roman"/>
                <w:snapToGrid w:val="0"/>
                <w:position w:val="6"/>
                <w:sz w:val="28"/>
                <w:lang w:eastAsia="es-ES"/>
              </w:rPr>
              <w:t xml:space="preserve">Art. 25. </w:t>
            </w:r>
            <w:r w:rsidRPr="006671C3">
              <w:rPr>
                <w:rFonts w:ascii="Times New Roman" w:eastAsia="Times New Roman" w:hAnsi="Times New Roman" w:cs="Times New Roman"/>
                <w:i/>
                <w:snapToGrid w:val="0"/>
                <w:position w:val="6"/>
                <w:sz w:val="28"/>
                <w:lang w:eastAsia="es-ES"/>
              </w:rPr>
              <w:t>“Caducidad de la acción administrativa sancionatoria aduanera</w:t>
            </w:r>
            <w:r w:rsidRPr="006671C3">
              <w:rPr>
                <w:rFonts w:ascii="Times New Roman" w:eastAsia="Times New Roman" w:hAnsi="Times New Roman" w:cs="Times New Roman"/>
                <w:snapToGrid w:val="0"/>
                <w:position w:val="6"/>
                <w:sz w:val="28"/>
                <w:lang w:eastAsia="es-ES"/>
              </w:rPr>
              <w:t xml:space="preserve">. (…). </w:t>
            </w:r>
          </w:p>
          <w:p w:rsidR="000E6BF6" w:rsidRPr="006671C3" w:rsidRDefault="006671C3" w:rsidP="000E6BF6">
            <w:pPr>
              <w:shd w:val="clear" w:color="auto" w:fill="FFFFFF"/>
              <w:jc w:val="both"/>
              <w:rPr>
                <w:rFonts w:ascii="Times New Roman" w:hAnsi="Times New Roman" w:cs="Times New Roman"/>
                <w:sz w:val="28"/>
              </w:rPr>
            </w:pPr>
            <w:r w:rsidRPr="006671C3">
              <w:rPr>
                <w:rFonts w:ascii="Times New Roman" w:eastAsia="Times New Roman" w:hAnsi="Times New Roman" w:cs="Times New Roman"/>
                <w:b/>
                <w:snapToGrid w:val="0"/>
                <w:position w:val="6"/>
                <w:sz w:val="28"/>
                <w:lang w:eastAsia="es-ES"/>
              </w:rPr>
              <w:t>Cuando no fuere posible determinar la fecha de ocurrencia del hecho o de su omisión, se tomará como tal, la fecha en que las autoridades aduaneras hubiesen tenido cono</w:t>
            </w:r>
            <w:r w:rsidRPr="006671C3">
              <w:rPr>
                <w:rFonts w:ascii="Times New Roman" w:eastAsia="Times New Roman" w:hAnsi="Times New Roman" w:cs="Times New Roman"/>
                <w:b/>
                <w:snapToGrid w:val="0"/>
                <w:position w:val="6"/>
                <w:sz w:val="28"/>
                <w:lang w:eastAsia="es-ES"/>
              </w:rPr>
              <w:t>cimiento del mismo</w:t>
            </w:r>
            <w:r w:rsidRPr="006671C3">
              <w:rPr>
                <w:rFonts w:ascii="Times New Roman" w:eastAsia="Times New Roman" w:hAnsi="Times New Roman" w:cs="Times New Roman"/>
                <w:snapToGrid w:val="0"/>
                <w:position w:val="6"/>
                <w:sz w:val="28"/>
                <w:lang w:eastAsia="es-ES"/>
              </w:rPr>
              <w:t>. (…)”.</w:t>
            </w:r>
          </w:p>
        </w:tc>
        <w:tc>
          <w:tcPr>
            <w:tcW w:w="2500" w:type="pct"/>
          </w:tcPr>
          <w:p w:rsidR="000E6BF6" w:rsidRPr="006671C3" w:rsidRDefault="006671C3" w:rsidP="000E6BF6">
            <w:pPr>
              <w:contextualSpacing/>
              <w:jc w:val="both"/>
              <w:rPr>
                <w:rFonts w:ascii="Times New Roman" w:hAnsi="Times New Roman" w:cs="Times New Roman"/>
                <w:sz w:val="28"/>
              </w:rPr>
            </w:pPr>
            <w:bookmarkStart w:id="40" w:name="_Hlk170611179"/>
            <w:r w:rsidRPr="006671C3">
              <w:rPr>
                <w:rFonts w:ascii="Times New Roman" w:hAnsi="Times New Roman" w:cs="Times New Roman"/>
                <w:i/>
                <w:sz w:val="28"/>
              </w:rPr>
              <w:t>Debido proceso y seguridad jurídica</w:t>
            </w:r>
            <w:r w:rsidRPr="006671C3">
              <w:rPr>
                <w:rFonts w:ascii="Times New Roman" w:hAnsi="Times New Roman" w:cs="Times New Roman"/>
                <w:sz w:val="28"/>
              </w:rPr>
              <w:t>. La falta de reglas claras genera incertidumbre para el usuario aduanero, y por cualquier hecho u omisión. Se establece una circunstancia indefinida, desconociendo que la determinación de plazos</w:t>
            </w:r>
            <w:r w:rsidRPr="006671C3">
              <w:rPr>
                <w:rFonts w:ascii="Times New Roman" w:hAnsi="Times New Roman" w:cs="Times New Roman"/>
                <w:sz w:val="28"/>
              </w:rPr>
              <w:t xml:space="preserve"> razonables y ciertos garantiza la defensa y contradicción, y evita abusos y desequilibrios por la autoridad administrativa.</w:t>
            </w:r>
            <w:bookmarkEnd w:id="40"/>
          </w:p>
        </w:tc>
      </w:tr>
    </w:tbl>
    <w:p w:rsidR="000E6BF6" w:rsidRPr="006671C3" w:rsidRDefault="006671C3" w:rsidP="000E6BF6">
      <w:pPr>
        <w:spacing w:after="0" w:line="240" w:lineRule="auto"/>
        <w:contextualSpacing/>
        <w:rPr>
          <w:rFonts w:ascii="Times New Roman" w:hAnsi="Times New Roman" w:cs="Times New Roman"/>
          <w:b/>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Para la Corte el presunto argumento de inconstitucionalidad incumple nuevamente el requisito de certeza, lo cual no atiende propi</w:t>
      </w:r>
      <w:r w:rsidRPr="006671C3">
        <w:rPr>
          <w:rFonts w:ascii="Times New Roman" w:hAnsi="Times New Roman" w:cs="Times New Roman"/>
          <w:sz w:val="28"/>
          <w:szCs w:val="28"/>
        </w:rPr>
        <w:t>amente a la redacción del artículo 25 acusado, sino a la lectura y, con ello, a la interpretación que hizo el demandante al omitir considerar el contexto normativo en el que se inscribe el inciso demandado, que delimita su alcance y termina por restar fuer</w:t>
      </w:r>
      <w:r w:rsidRPr="006671C3">
        <w:rPr>
          <w:rFonts w:ascii="Times New Roman" w:hAnsi="Times New Roman" w:cs="Times New Roman"/>
          <w:sz w:val="28"/>
          <w:szCs w:val="28"/>
        </w:rPr>
        <w:t>za a su propia argumentación (p. ej. el cargo por indeterminación)</w:t>
      </w:r>
      <w:r w:rsidRPr="006671C3">
        <w:rPr>
          <w:rFonts w:ascii="Times New Roman" w:hAnsi="Times New Roman" w:cs="Times New Roman"/>
          <w:sz w:val="28"/>
          <w:szCs w:val="28"/>
          <w:vertAlign w:val="superscript"/>
        </w:rPr>
        <w:footnoteReference w:id="119"/>
      </w:r>
      <w:r w:rsidRPr="006671C3">
        <w:rPr>
          <w:rFonts w:ascii="Times New Roman" w:hAnsi="Times New Roman" w:cs="Times New Roman"/>
          <w:sz w:val="28"/>
          <w:szCs w:val="28"/>
        </w:rPr>
        <w:t xml:space="preserve">. </w:t>
      </w:r>
    </w:p>
    <w:p w:rsidR="000E6BF6" w:rsidRPr="006671C3" w:rsidRDefault="006671C3" w:rsidP="000E6BF6">
      <w:pPr>
        <w:spacing w:after="0" w:line="240" w:lineRule="auto"/>
        <w:contextualSpacing/>
        <w:jc w:val="both"/>
        <w:rPr>
          <w:rFonts w:ascii="Times New Roman" w:hAnsi="Times New Roman" w:cs="Times New Roman"/>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Por tales razones, el actor omitió apartes relevantes del mismo artículo y otras disposiciones del régimen de aduanas que son relevantes para comprender el alcance del aparte demandado,</w:t>
      </w:r>
      <w:r w:rsidRPr="006671C3">
        <w:rPr>
          <w:rFonts w:ascii="Times New Roman" w:hAnsi="Times New Roman" w:cs="Times New Roman"/>
          <w:sz w:val="28"/>
          <w:szCs w:val="28"/>
        </w:rPr>
        <w:t xml:space="preserve"> aunque hubiere partido del tenor literal del inciso demandado. De allí que es posible avizorar la existencia de unas </w:t>
      </w:r>
      <w:r w:rsidRPr="006671C3">
        <w:rPr>
          <w:rFonts w:ascii="Times New Roman" w:hAnsi="Times New Roman" w:cs="Times New Roman"/>
          <w:i/>
          <w:sz w:val="28"/>
          <w:szCs w:val="28"/>
        </w:rPr>
        <w:t>reglas, mecanismos y procedimientos</w:t>
      </w:r>
      <w:r w:rsidRPr="006671C3">
        <w:rPr>
          <w:rFonts w:ascii="Times New Roman" w:hAnsi="Times New Roman" w:cs="Times New Roman"/>
          <w:sz w:val="28"/>
          <w:szCs w:val="28"/>
        </w:rPr>
        <w:t xml:space="preserve">, cuando no fuere posible determinar la fecha de ocurrencia del hecho o de su omisión, para efectos de </w:t>
      </w:r>
      <w:r w:rsidRPr="006671C3">
        <w:rPr>
          <w:rFonts w:ascii="Times New Roman" w:hAnsi="Times New Roman" w:cs="Times New Roman"/>
          <w:sz w:val="28"/>
          <w:szCs w:val="28"/>
        </w:rPr>
        <w:t>la caducidad de la acción administrativa sancionatoria aduanera.</w:t>
      </w:r>
    </w:p>
    <w:p w:rsidR="000E6BF6" w:rsidRPr="006671C3" w:rsidRDefault="006671C3" w:rsidP="000E6BF6">
      <w:pPr>
        <w:spacing w:after="0" w:line="240" w:lineRule="auto"/>
        <w:contextualSpacing/>
        <w:jc w:val="both"/>
        <w:rPr>
          <w:rFonts w:ascii="Times New Roman" w:hAnsi="Times New Roman" w:cs="Times New Roman"/>
          <w:sz w:val="28"/>
          <w:szCs w:val="20"/>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 xml:space="preserve">En primer lugar, una lectura sistemática del artículo 25 permite observar que el supuesto previsto en el inciso segundo demandado únicamente aplica a partir de lo considerado en el inciso </w:t>
      </w:r>
      <w:r w:rsidRPr="006671C3">
        <w:rPr>
          <w:rFonts w:ascii="Times New Roman" w:hAnsi="Times New Roman" w:cs="Times New Roman"/>
          <w:sz w:val="28"/>
          <w:szCs w:val="28"/>
        </w:rPr>
        <w:t>primero, es decir, que la facultad que tiene la autoridad aduanera para imponer sanciones “caduca en el término de tres (3) años, contados a partir de la comisión del hecho o de la omisión constitutiva de infracción administrativa aduanera”. De allí que el</w:t>
      </w:r>
      <w:r w:rsidRPr="006671C3">
        <w:rPr>
          <w:rFonts w:ascii="Times New Roman" w:hAnsi="Times New Roman" w:cs="Times New Roman"/>
          <w:sz w:val="28"/>
          <w:szCs w:val="28"/>
        </w:rPr>
        <w:t xml:space="preserve"> inciso impugnado parta de señalar que “</w:t>
      </w:r>
      <w:r w:rsidRPr="006671C3">
        <w:rPr>
          <w:rFonts w:ascii="Times New Roman" w:hAnsi="Times New Roman" w:cs="Times New Roman"/>
          <w:i/>
          <w:sz w:val="28"/>
          <w:szCs w:val="28"/>
        </w:rPr>
        <w:t>cuando no fuere posible determinar</w:t>
      </w:r>
      <w:r w:rsidRPr="006671C3">
        <w:rPr>
          <w:rFonts w:ascii="Times New Roman" w:hAnsi="Times New Roman" w:cs="Times New Roman"/>
          <w:sz w:val="28"/>
          <w:szCs w:val="28"/>
        </w:rPr>
        <w:t xml:space="preserve"> la fecha de ocurrencia del hecho o de su omisión”, se tomará la fecha en que las autoridades aduaneras hubiesen tenido conocimiento del mismo</w:t>
      </w:r>
      <w:r w:rsidRPr="006671C3">
        <w:rPr>
          <w:rFonts w:ascii="Times New Roman" w:hAnsi="Times New Roman" w:cs="Times New Roman"/>
          <w:sz w:val="28"/>
          <w:szCs w:val="28"/>
          <w:vertAlign w:val="superscript"/>
        </w:rPr>
        <w:footnoteReference w:id="120"/>
      </w:r>
      <w:r w:rsidRPr="006671C3">
        <w:rPr>
          <w:rFonts w:ascii="Times New Roman" w:hAnsi="Times New Roman" w:cs="Times New Roman"/>
          <w:sz w:val="28"/>
          <w:szCs w:val="28"/>
        </w:rPr>
        <w:t xml:space="preserve">. </w:t>
      </w:r>
    </w:p>
    <w:p w:rsidR="000E6BF6" w:rsidRPr="006671C3" w:rsidRDefault="006671C3" w:rsidP="000E6BF6">
      <w:pPr>
        <w:contextualSpacing/>
        <w:rPr>
          <w:rFonts w:ascii="Times New Roman" w:hAnsi="Times New Roman" w:cs="Times New Roman"/>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Entonces, lo que el segmento acusad</w:t>
      </w:r>
      <w:r w:rsidRPr="006671C3">
        <w:rPr>
          <w:rFonts w:ascii="Times New Roman" w:hAnsi="Times New Roman" w:cs="Times New Roman"/>
          <w:sz w:val="28"/>
          <w:szCs w:val="28"/>
        </w:rPr>
        <w:t xml:space="preserve">o señala es una </w:t>
      </w:r>
      <w:r w:rsidRPr="006671C3">
        <w:rPr>
          <w:rFonts w:ascii="Times New Roman" w:hAnsi="Times New Roman" w:cs="Times New Roman"/>
          <w:i/>
          <w:sz w:val="28"/>
          <w:szCs w:val="28"/>
        </w:rPr>
        <w:t>forma subsidiaria de caducidad</w:t>
      </w:r>
      <w:r w:rsidRPr="006671C3">
        <w:rPr>
          <w:rFonts w:ascii="Times New Roman" w:hAnsi="Times New Roman" w:cs="Times New Roman"/>
          <w:sz w:val="28"/>
          <w:szCs w:val="28"/>
        </w:rPr>
        <w:t xml:space="preserve"> de la acción administrativa sancionatoria aduanera y, con ello, establece un supuesto de aplicación para determinar el momento a partir de la cual iniciar el conteo del término de caducidad, solo en aquellos c</w:t>
      </w:r>
      <w:r w:rsidRPr="006671C3">
        <w:rPr>
          <w:rFonts w:ascii="Times New Roman" w:hAnsi="Times New Roman" w:cs="Times New Roman"/>
          <w:sz w:val="28"/>
          <w:szCs w:val="28"/>
        </w:rPr>
        <w:t xml:space="preserve">asos en los que no se pudo establecer los supuestos previstos en el inciso primero. </w:t>
      </w:r>
    </w:p>
    <w:p w:rsidR="000E6BF6" w:rsidRPr="006671C3" w:rsidRDefault="006671C3" w:rsidP="000E6BF6">
      <w:pPr>
        <w:contextualSpacing/>
        <w:rPr>
          <w:rFonts w:ascii="Times New Roman" w:hAnsi="Times New Roman" w:cs="Times New Roman"/>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De otra parte, una interpretación concordante del artículo 25</w:t>
      </w:r>
      <w:r w:rsidRPr="006671C3">
        <w:rPr>
          <w:rFonts w:ascii="Times New Roman" w:hAnsi="Times New Roman" w:cs="Times New Roman"/>
          <w:sz w:val="28"/>
          <w:szCs w:val="28"/>
          <w:vertAlign w:val="superscript"/>
        </w:rPr>
        <w:footnoteReference w:id="121"/>
      </w:r>
      <w:r w:rsidRPr="006671C3">
        <w:rPr>
          <w:rFonts w:ascii="Times New Roman" w:hAnsi="Times New Roman" w:cs="Times New Roman"/>
          <w:sz w:val="28"/>
          <w:szCs w:val="28"/>
        </w:rPr>
        <w:t xml:space="preserve"> con el resto del Decreto Ley 920 de 2023 (régimen sancionatorio de Aduanas) y, particularmente, con el Decr</w:t>
      </w:r>
      <w:r w:rsidRPr="006671C3">
        <w:rPr>
          <w:rFonts w:ascii="Times New Roman" w:hAnsi="Times New Roman" w:cs="Times New Roman"/>
          <w:sz w:val="28"/>
          <w:szCs w:val="28"/>
        </w:rPr>
        <w:t>eto 1165 de 2019 (régimen de aduanas)</w:t>
      </w:r>
      <w:r w:rsidRPr="006671C3">
        <w:rPr>
          <w:rFonts w:ascii="Times New Roman" w:hAnsi="Times New Roman" w:cs="Times New Roman"/>
          <w:sz w:val="28"/>
          <w:szCs w:val="28"/>
          <w:vertAlign w:val="superscript"/>
        </w:rPr>
        <w:footnoteReference w:id="122"/>
      </w:r>
      <w:r w:rsidRPr="006671C3">
        <w:rPr>
          <w:rFonts w:ascii="Times New Roman" w:hAnsi="Times New Roman" w:cs="Times New Roman"/>
          <w:sz w:val="28"/>
          <w:szCs w:val="28"/>
        </w:rPr>
        <w:t xml:space="preserve">, permite afirmar que el supuesto previsto en el inciso segundo de dicha disposición </w:t>
      </w:r>
      <w:r w:rsidRPr="006671C3">
        <w:rPr>
          <w:rFonts w:ascii="Times New Roman" w:hAnsi="Times New Roman" w:cs="Times New Roman"/>
          <w:i/>
          <w:sz w:val="28"/>
          <w:szCs w:val="28"/>
        </w:rPr>
        <w:t>solo es aplicable después de surtirse la investigación respectiva derivada de las acciones de control posterior</w:t>
      </w:r>
      <w:r w:rsidRPr="006671C3">
        <w:rPr>
          <w:rFonts w:ascii="Times New Roman" w:hAnsi="Times New Roman" w:cs="Times New Roman"/>
          <w:sz w:val="28"/>
          <w:szCs w:val="28"/>
        </w:rPr>
        <w:t>, que se adelanta medi</w:t>
      </w:r>
      <w:r w:rsidRPr="006671C3">
        <w:rPr>
          <w:rFonts w:ascii="Times New Roman" w:hAnsi="Times New Roman" w:cs="Times New Roman"/>
          <w:sz w:val="28"/>
          <w:szCs w:val="28"/>
        </w:rPr>
        <w:t xml:space="preserve">ante un procedimiento dentro del cual el </w:t>
      </w:r>
      <w:r w:rsidRPr="006671C3">
        <w:rPr>
          <w:rFonts w:ascii="Times New Roman" w:hAnsi="Times New Roman" w:cs="Times New Roman"/>
          <w:i/>
          <w:sz w:val="28"/>
          <w:szCs w:val="28"/>
        </w:rPr>
        <w:t>administrado cuenta con las garantías del debido proceso</w:t>
      </w:r>
      <w:r w:rsidRPr="006671C3">
        <w:rPr>
          <w:rFonts w:ascii="Times New Roman" w:hAnsi="Times New Roman" w:cs="Times New Roman"/>
          <w:sz w:val="28"/>
          <w:szCs w:val="28"/>
        </w:rPr>
        <w:t>, al poder presentar argumentos, interponer recursos, aportar, solicitar y contradecir pruebas, con el fin de establecer la fecha en que las autoridades aduane</w:t>
      </w:r>
      <w:r w:rsidRPr="006671C3">
        <w:rPr>
          <w:rFonts w:ascii="Times New Roman" w:hAnsi="Times New Roman" w:cs="Times New Roman"/>
          <w:sz w:val="28"/>
          <w:szCs w:val="28"/>
        </w:rPr>
        <w:t>ras hubiesen tenido conocimiento del hecho u omisión.</w:t>
      </w:r>
    </w:p>
    <w:p w:rsidR="000E6BF6" w:rsidRPr="006671C3" w:rsidRDefault="006671C3" w:rsidP="000E6BF6">
      <w:pPr>
        <w:contextualSpacing/>
        <w:rPr>
          <w:rFonts w:ascii="Times New Roman" w:hAnsi="Times New Roman" w:cs="Times New Roman"/>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Además de las previsiones que delimitan el ejercicio de la potestad aduanera</w:t>
      </w:r>
      <w:r w:rsidRPr="006671C3">
        <w:rPr>
          <w:rFonts w:ascii="Times New Roman" w:hAnsi="Times New Roman" w:cs="Times New Roman"/>
          <w:sz w:val="28"/>
          <w:szCs w:val="28"/>
          <w:vertAlign w:val="superscript"/>
        </w:rPr>
        <w:footnoteReference w:id="123"/>
      </w:r>
      <w:r w:rsidRPr="006671C3">
        <w:rPr>
          <w:rFonts w:ascii="Times New Roman" w:hAnsi="Times New Roman" w:cs="Times New Roman"/>
          <w:sz w:val="28"/>
          <w:szCs w:val="28"/>
        </w:rPr>
        <w:t xml:space="preserve"> e instituyen los principios generales</w:t>
      </w:r>
      <w:r w:rsidRPr="006671C3">
        <w:rPr>
          <w:rFonts w:ascii="Times New Roman" w:hAnsi="Times New Roman" w:cs="Times New Roman"/>
          <w:sz w:val="28"/>
          <w:szCs w:val="28"/>
          <w:vertAlign w:val="superscript"/>
        </w:rPr>
        <w:footnoteReference w:id="124"/>
      </w:r>
      <w:r w:rsidRPr="006671C3">
        <w:rPr>
          <w:rFonts w:ascii="Times New Roman" w:hAnsi="Times New Roman" w:cs="Times New Roman"/>
          <w:sz w:val="28"/>
          <w:szCs w:val="28"/>
        </w:rPr>
        <w:t xml:space="preserve"> aplicables al Decreto Ley 920 de 2023, el actor tampoco tuvo en cuenta que</w:t>
      </w:r>
      <w:r w:rsidRPr="006671C3">
        <w:rPr>
          <w:rFonts w:ascii="Times New Roman" w:hAnsi="Times New Roman" w:cs="Times New Roman"/>
          <w:i/>
          <w:sz w:val="28"/>
          <w:szCs w:val="28"/>
        </w:rPr>
        <w:t xml:space="preserve"> el inciso</w:t>
      </w:r>
      <w:r w:rsidRPr="006671C3">
        <w:rPr>
          <w:rFonts w:ascii="Times New Roman" w:hAnsi="Times New Roman" w:cs="Times New Roman"/>
          <w:i/>
          <w:sz w:val="28"/>
          <w:szCs w:val="28"/>
        </w:rPr>
        <w:t xml:space="preserve"> acusado se debe interpretar en conjunto con los artículos 576 a 581 del Decreto 1165 de 2019</w:t>
      </w:r>
      <w:r w:rsidRPr="006671C3">
        <w:rPr>
          <w:rFonts w:ascii="Times New Roman" w:hAnsi="Times New Roman" w:cs="Times New Roman"/>
          <w:sz w:val="28"/>
          <w:szCs w:val="28"/>
        </w:rPr>
        <w:t>, es decir, de conformidad con los alcances y las modalidades con las que la administración adelanta las acciones de control aduanero sobre las operaciones de come</w:t>
      </w:r>
      <w:r w:rsidRPr="006671C3">
        <w:rPr>
          <w:rFonts w:ascii="Times New Roman" w:hAnsi="Times New Roman" w:cs="Times New Roman"/>
          <w:sz w:val="28"/>
          <w:szCs w:val="28"/>
        </w:rPr>
        <w:t>rcio exterior y los usuarios involucrados en ellas</w:t>
      </w:r>
      <w:r w:rsidRPr="006671C3">
        <w:rPr>
          <w:rFonts w:ascii="Times New Roman" w:hAnsi="Times New Roman" w:cs="Times New Roman"/>
          <w:sz w:val="28"/>
          <w:szCs w:val="28"/>
          <w:vertAlign w:val="superscript"/>
        </w:rPr>
        <w:footnoteReference w:id="125"/>
      </w:r>
      <w:r w:rsidRPr="006671C3">
        <w:rPr>
          <w:rFonts w:ascii="Times New Roman" w:hAnsi="Times New Roman" w:cs="Times New Roman"/>
          <w:sz w:val="28"/>
          <w:szCs w:val="28"/>
        </w:rPr>
        <w:t xml:space="preserve">. </w:t>
      </w:r>
    </w:p>
    <w:p w:rsidR="000E6BF6" w:rsidRPr="006671C3" w:rsidRDefault="006671C3" w:rsidP="000E6BF6">
      <w:pPr>
        <w:contextualSpacing/>
        <w:rPr>
          <w:rFonts w:ascii="Times New Roman" w:hAnsi="Times New Roman" w:cs="Times New Roman"/>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 xml:space="preserve">Así, el artículo 578 señala los momentos en los cuales se puede realizar el control aduanero, estableciendo las siguientes modalidades: 1. </w:t>
      </w:r>
      <w:r w:rsidRPr="006671C3">
        <w:rPr>
          <w:rFonts w:ascii="Times New Roman" w:hAnsi="Times New Roman" w:cs="Times New Roman"/>
          <w:i/>
          <w:sz w:val="28"/>
          <w:szCs w:val="28"/>
        </w:rPr>
        <w:t>el control previo</w:t>
      </w:r>
      <w:r w:rsidRPr="006671C3">
        <w:rPr>
          <w:rFonts w:ascii="Times New Roman" w:hAnsi="Times New Roman" w:cs="Times New Roman"/>
          <w:sz w:val="28"/>
          <w:szCs w:val="28"/>
        </w:rPr>
        <w:t xml:space="preserve">, ejercido por la autoridad aduanera antes de la presentación de la declaración aduanera de mercancías; 2. </w:t>
      </w:r>
      <w:r w:rsidRPr="006671C3">
        <w:rPr>
          <w:rFonts w:ascii="Times New Roman" w:hAnsi="Times New Roman" w:cs="Times New Roman"/>
          <w:i/>
          <w:sz w:val="28"/>
          <w:szCs w:val="28"/>
        </w:rPr>
        <w:t>el control simultáneo</w:t>
      </w:r>
      <w:r w:rsidRPr="006671C3">
        <w:rPr>
          <w:rFonts w:ascii="Times New Roman" w:hAnsi="Times New Roman" w:cs="Times New Roman"/>
          <w:sz w:val="28"/>
          <w:szCs w:val="28"/>
        </w:rPr>
        <w:t>, ejercido desde el momento de la presentación de la declaración aduanera y hasta cuando se nacionalicen las mercancías o finali</w:t>
      </w:r>
      <w:r w:rsidRPr="006671C3">
        <w:rPr>
          <w:rFonts w:ascii="Times New Roman" w:hAnsi="Times New Roman" w:cs="Times New Roman"/>
          <w:sz w:val="28"/>
          <w:szCs w:val="28"/>
        </w:rPr>
        <w:t xml:space="preserve">ce el régimen o modalidad de que se trate; y 3. </w:t>
      </w:r>
      <w:r w:rsidRPr="006671C3">
        <w:rPr>
          <w:rFonts w:ascii="Times New Roman" w:hAnsi="Times New Roman" w:cs="Times New Roman"/>
          <w:i/>
          <w:sz w:val="28"/>
          <w:szCs w:val="28"/>
        </w:rPr>
        <w:t>el</w:t>
      </w:r>
      <w:r w:rsidRPr="006671C3">
        <w:rPr>
          <w:rFonts w:ascii="Times New Roman" w:hAnsi="Times New Roman" w:cs="Times New Roman"/>
          <w:sz w:val="28"/>
          <w:szCs w:val="28"/>
        </w:rPr>
        <w:t xml:space="preserve"> </w:t>
      </w:r>
      <w:r w:rsidRPr="006671C3">
        <w:rPr>
          <w:rFonts w:ascii="Times New Roman" w:hAnsi="Times New Roman" w:cs="Times New Roman"/>
          <w:i/>
          <w:sz w:val="28"/>
          <w:szCs w:val="28"/>
        </w:rPr>
        <w:t>control posterior</w:t>
      </w:r>
      <w:r w:rsidRPr="006671C3">
        <w:rPr>
          <w:rFonts w:ascii="Times New Roman" w:hAnsi="Times New Roman" w:cs="Times New Roman"/>
          <w:sz w:val="28"/>
          <w:szCs w:val="28"/>
        </w:rPr>
        <w:t xml:space="preserve">, ejercido con posterioridad a la nacionalización de las mercancías o a la finalización del régimen o modalidad de que se trate.   </w:t>
      </w:r>
    </w:p>
    <w:p w:rsidR="000E6BF6" w:rsidRPr="006671C3" w:rsidRDefault="006671C3" w:rsidP="000E6BF6">
      <w:pPr>
        <w:contextualSpacing/>
        <w:rPr>
          <w:rFonts w:ascii="Times New Roman" w:hAnsi="Times New Roman" w:cs="Times New Roman"/>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De modo que en desarrollo de las actividades de control</w:t>
      </w:r>
      <w:r w:rsidRPr="006671C3">
        <w:rPr>
          <w:rFonts w:ascii="Times New Roman" w:hAnsi="Times New Roman" w:cs="Times New Roman"/>
          <w:sz w:val="28"/>
          <w:szCs w:val="28"/>
        </w:rPr>
        <w:t xml:space="preserve"> previo y de control simultáneo, la administración aduanera puede determinar con certeza e inmediatez la fecha de ocurrencia del hecho u omisión constitutivo de la infracción. Por ende, el inciso segundo del artículo 25 sería aplicable cuando </w:t>
      </w:r>
      <w:r w:rsidRPr="006671C3">
        <w:rPr>
          <w:rFonts w:ascii="Times New Roman" w:hAnsi="Times New Roman" w:cs="Times New Roman"/>
          <w:i/>
          <w:sz w:val="28"/>
          <w:szCs w:val="28"/>
        </w:rPr>
        <w:t>la administra</w:t>
      </w:r>
      <w:r w:rsidRPr="006671C3">
        <w:rPr>
          <w:rFonts w:ascii="Times New Roman" w:hAnsi="Times New Roman" w:cs="Times New Roman"/>
          <w:i/>
          <w:sz w:val="28"/>
          <w:szCs w:val="28"/>
        </w:rPr>
        <w:t>ción adelanta actividades propias del control posterior</w:t>
      </w:r>
      <w:r w:rsidRPr="006671C3">
        <w:rPr>
          <w:rFonts w:ascii="Times New Roman" w:hAnsi="Times New Roman" w:cs="Times New Roman"/>
          <w:sz w:val="28"/>
          <w:szCs w:val="28"/>
          <w:vertAlign w:val="superscript"/>
        </w:rPr>
        <w:footnoteReference w:id="126"/>
      </w:r>
      <w:r w:rsidRPr="006671C3">
        <w:rPr>
          <w:rFonts w:ascii="Times New Roman" w:hAnsi="Times New Roman" w:cs="Times New Roman"/>
          <w:sz w:val="28"/>
          <w:szCs w:val="28"/>
        </w:rPr>
        <w:t xml:space="preserve">, esto es, cuando no pudo tener conocimiento inmediato de la ocurrencia del hecho u omisión en las verificaciones previa y simultánea, porque </w:t>
      </w:r>
      <w:r w:rsidRPr="006671C3">
        <w:rPr>
          <w:rFonts w:ascii="Times New Roman" w:hAnsi="Times New Roman" w:cs="Times New Roman"/>
          <w:i/>
          <w:sz w:val="28"/>
          <w:szCs w:val="28"/>
        </w:rPr>
        <w:t xml:space="preserve">las operaciones de comercio no estuvieron bajo el control </w:t>
      </w:r>
      <w:r w:rsidRPr="006671C3">
        <w:rPr>
          <w:rFonts w:ascii="Times New Roman" w:hAnsi="Times New Roman" w:cs="Times New Roman"/>
          <w:i/>
          <w:sz w:val="28"/>
          <w:szCs w:val="28"/>
        </w:rPr>
        <w:t>de la administración</w:t>
      </w:r>
      <w:r w:rsidRPr="006671C3">
        <w:rPr>
          <w:rFonts w:ascii="Times New Roman" w:hAnsi="Times New Roman" w:cs="Times New Roman"/>
          <w:sz w:val="28"/>
          <w:szCs w:val="28"/>
        </w:rPr>
        <w:t xml:space="preserve">. Si excepcionalmente no se logra determinar la fecha exacta del incumplimiento en los diferentes controles, el momento desde el cual se cuente el término de la caducidad será aquel en que la autoridad aduanera tenga conocimiento de la </w:t>
      </w:r>
      <w:r w:rsidRPr="006671C3">
        <w:rPr>
          <w:rFonts w:ascii="Times New Roman" w:hAnsi="Times New Roman" w:cs="Times New Roman"/>
          <w:sz w:val="28"/>
          <w:szCs w:val="28"/>
        </w:rPr>
        <w:t xml:space="preserve">conducta en desarrollo de una investigación en el control posterior. Además, </w:t>
      </w:r>
      <w:r w:rsidRPr="006671C3">
        <w:rPr>
          <w:rFonts w:ascii="Times New Roman" w:hAnsi="Times New Roman" w:cs="Times New Roman"/>
          <w:i/>
          <w:sz w:val="28"/>
          <w:szCs w:val="28"/>
        </w:rPr>
        <w:t>la imposición o no de la sanción a que hubiere lugar se sujetará al procedimiento sancionatorio</w:t>
      </w:r>
      <w:r w:rsidRPr="006671C3">
        <w:rPr>
          <w:rFonts w:ascii="Times New Roman" w:hAnsi="Times New Roman" w:cs="Times New Roman"/>
          <w:sz w:val="28"/>
          <w:szCs w:val="28"/>
        </w:rPr>
        <w:t xml:space="preserve"> establecido en los artículos 106 y siguientes del Decreto Ley 920 de 2023, que cont</w:t>
      </w:r>
      <w:r w:rsidRPr="006671C3">
        <w:rPr>
          <w:rFonts w:ascii="Times New Roman" w:hAnsi="Times New Roman" w:cs="Times New Roman"/>
          <w:sz w:val="28"/>
          <w:szCs w:val="28"/>
        </w:rPr>
        <w:t>empla las etapas en las cuales el interesado puede ejercer sus derechos de defensa y contradicción.</w:t>
      </w:r>
    </w:p>
    <w:p w:rsidR="000E6BF6" w:rsidRPr="006671C3" w:rsidRDefault="006671C3" w:rsidP="000E6BF6">
      <w:pPr>
        <w:spacing w:after="0" w:line="240" w:lineRule="auto"/>
        <w:contextualSpacing/>
        <w:jc w:val="both"/>
        <w:rPr>
          <w:rFonts w:ascii="Times New Roman" w:hAnsi="Times New Roman" w:cs="Times New Roman"/>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De esta manera, el actor partió de una</w:t>
      </w:r>
      <w:r w:rsidRPr="006671C3">
        <w:rPr>
          <w:rFonts w:ascii="Times New Roman" w:hAnsi="Times New Roman" w:cs="Times New Roman"/>
          <w:i/>
          <w:iCs/>
          <w:sz w:val="28"/>
          <w:szCs w:val="28"/>
        </w:rPr>
        <w:t xml:space="preserve"> interpretación aislada del segmento normativo demandado</w:t>
      </w:r>
      <w:r w:rsidRPr="006671C3">
        <w:rPr>
          <w:rFonts w:ascii="Times New Roman" w:hAnsi="Times New Roman" w:cs="Times New Roman"/>
          <w:sz w:val="28"/>
          <w:szCs w:val="28"/>
        </w:rPr>
        <w:t>, cuando una lectura sistemática del ordenamiento jurídico ap</w:t>
      </w:r>
      <w:r w:rsidRPr="006671C3">
        <w:rPr>
          <w:rFonts w:ascii="Times New Roman" w:hAnsi="Times New Roman" w:cs="Times New Roman"/>
          <w:sz w:val="28"/>
          <w:szCs w:val="28"/>
        </w:rPr>
        <w:t xml:space="preserve">licable le permitía hallar otras razones que imponían sopesar e incluso descartar el alcance de sus argumentos, por lo que al no haber sido tenidos en cuenta o confrontados, no es factible tener por cierta la afirmación central de la demanda. Leídos en su </w:t>
      </w:r>
      <w:r w:rsidRPr="006671C3">
        <w:rPr>
          <w:rFonts w:ascii="Times New Roman" w:hAnsi="Times New Roman" w:cs="Times New Roman"/>
          <w:sz w:val="28"/>
          <w:szCs w:val="28"/>
        </w:rPr>
        <w:t xml:space="preserve">conjunto el régimen sancionatorio de aduanas y el régimen de aduanas se puede observar que el conocimiento de la autoridad aduanera de los hechos u omisiones no es en principio tan indeterminado como lo sugiere el demandante. Para configurar un cargo apto </w:t>
      </w:r>
      <w:r w:rsidRPr="006671C3">
        <w:rPr>
          <w:rFonts w:ascii="Times New Roman" w:hAnsi="Times New Roman" w:cs="Times New Roman"/>
          <w:sz w:val="28"/>
          <w:szCs w:val="28"/>
        </w:rPr>
        <w:t>debió demostrar con grados mínimos de certeza cómo se vulneraba la Constitución, a pesar de que la autoridad solo puede alegar su conocimiento en los eventos de control posterior y con todo lo que de ello surge.</w:t>
      </w:r>
    </w:p>
    <w:p w:rsidR="000E6BF6" w:rsidRPr="006671C3" w:rsidRDefault="006671C3" w:rsidP="000E6BF6">
      <w:pPr>
        <w:contextualSpacing/>
        <w:rPr>
          <w:rFonts w:ascii="Times New Roman" w:hAnsi="Times New Roman" w:cs="Times New Roman"/>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De otra parte, la Corte halla que el accion</w:t>
      </w:r>
      <w:r w:rsidRPr="006671C3">
        <w:rPr>
          <w:rFonts w:ascii="Times New Roman" w:hAnsi="Times New Roman" w:cs="Times New Roman"/>
          <w:sz w:val="28"/>
          <w:szCs w:val="28"/>
        </w:rPr>
        <w:t xml:space="preserve">ante </w:t>
      </w:r>
      <w:r w:rsidRPr="006671C3">
        <w:rPr>
          <w:rFonts w:ascii="Times New Roman" w:hAnsi="Times New Roman" w:cs="Times New Roman"/>
          <w:i/>
          <w:sz w:val="28"/>
          <w:szCs w:val="28"/>
        </w:rPr>
        <w:t>omitió desarrollar adecuadamente el concepto de la violación</w:t>
      </w:r>
      <w:r w:rsidRPr="006671C3">
        <w:rPr>
          <w:rFonts w:ascii="Times New Roman" w:hAnsi="Times New Roman" w:cs="Times New Roman"/>
          <w:sz w:val="28"/>
          <w:szCs w:val="28"/>
        </w:rPr>
        <w:t xml:space="preserve"> al no enfrentar y, con ello, desarrollar suficientemente argumentos que partieran del contenido </w:t>
      </w:r>
      <w:r w:rsidRPr="006671C3">
        <w:rPr>
          <w:rFonts w:ascii="Times New Roman" w:hAnsi="Times New Roman" w:cs="Times New Roman"/>
          <w:i/>
          <w:iCs/>
          <w:sz w:val="28"/>
          <w:szCs w:val="28"/>
        </w:rPr>
        <w:t>integral</w:t>
      </w:r>
      <w:r w:rsidRPr="006671C3">
        <w:rPr>
          <w:rFonts w:ascii="Times New Roman" w:hAnsi="Times New Roman" w:cs="Times New Roman"/>
          <w:sz w:val="28"/>
          <w:szCs w:val="28"/>
        </w:rPr>
        <w:t xml:space="preserve"> acusado, toda vez que el inciso segundo del artículo 25 establece una condición previ</w:t>
      </w:r>
      <w:r w:rsidRPr="006671C3">
        <w:rPr>
          <w:rFonts w:ascii="Times New Roman" w:hAnsi="Times New Roman" w:cs="Times New Roman"/>
          <w:sz w:val="28"/>
          <w:szCs w:val="28"/>
        </w:rPr>
        <w:t xml:space="preserve">a sobre la regla a aplicar, a saber “cuando no fuere posible determinar la fecha de ocurrencia del hecho o de su omisión”. Por último, esta corporación ha señalado que al resolver </w:t>
      </w:r>
      <w:r w:rsidRPr="006671C3">
        <w:rPr>
          <w:rFonts w:ascii="Times New Roman" w:hAnsi="Times New Roman" w:cs="Times New Roman"/>
          <w:sz w:val="28"/>
          <w:szCs w:val="28"/>
          <w:lang w:eastAsia="es-ES"/>
        </w:rPr>
        <w:t xml:space="preserve">demandas de inconstitucionalidad contra normas sancionatorias </w:t>
      </w:r>
      <w:r w:rsidRPr="006671C3">
        <w:rPr>
          <w:rFonts w:ascii="Times New Roman" w:hAnsi="Times New Roman" w:cs="Times New Roman"/>
          <w:i/>
          <w:sz w:val="28"/>
          <w:szCs w:val="28"/>
          <w:lang w:eastAsia="es-ES"/>
        </w:rPr>
        <w:t>“</w:t>
      </w:r>
      <w:r w:rsidRPr="006671C3">
        <w:rPr>
          <w:rFonts w:ascii="Times New Roman" w:hAnsi="Times New Roman" w:cs="Times New Roman"/>
          <w:sz w:val="28"/>
          <w:szCs w:val="28"/>
        </w:rPr>
        <w:t>resulta indis</w:t>
      </w:r>
      <w:r w:rsidRPr="006671C3">
        <w:rPr>
          <w:rFonts w:ascii="Times New Roman" w:hAnsi="Times New Roman" w:cs="Times New Roman"/>
          <w:sz w:val="28"/>
          <w:szCs w:val="28"/>
        </w:rPr>
        <w:t xml:space="preserve">pensable </w:t>
      </w:r>
      <w:r w:rsidRPr="006671C3">
        <w:rPr>
          <w:rFonts w:ascii="Times New Roman" w:hAnsi="Times New Roman" w:cs="Times New Roman"/>
          <w:i/>
          <w:iCs/>
          <w:sz w:val="28"/>
          <w:szCs w:val="28"/>
        </w:rPr>
        <w:t xml:space="preserve">mostrar por qué se trata de una </w:t>
      </w:r>
      <w:r w:rsidRPr="006671C3">
        <w:rPr>
          <w:rFonts w:ascii="Times New Roman" w:hAnsi="Times New Roman" w:cs="Times New Roman"/>
          <w:i/>
          <w:sz w:val="28"/>
          <w:szCs w:val="28"/>
        </w:rPr>
        <w:t xml:space="preserve">´indeterminación insuperable´ </w:t>
      </w:r>
      <w:r w:rsidRPr="006671C3">
        <w:rPr>
          <w:rFonts w:ascii="Times New Roman" w:hAnsi="Times New Roman" w:cs="Times New Roman"/>
          <w:sz w:val="28"/>
          <w:szCs w:val="28"/>
        </w:rPr>
        <w:t>desde un punto de vista jurídico, o por qué el sentido de la misma ni siquiera ´es posible determinarlo con fundamento en una interpretación razonable´. Por lo cual el juicio de estrict</w:t>
      </w:r>
      <w:r w:rsidRPr="006671C3">
        <w:rPr>
          <w:rFonts w:ascii="Times New Roman" w:hAnsi="Times New Roman" w:cs="Times New Roman"/>
          <w:sz w:val="28"/>
          <w:szCs w:val="28"/>
        </w:rPr>
        <w:t xml:space="preserve">a legalidad debe entenderse como un escrutinio de constitucionalidad de la ley (…) mediante el que se busca establecer si los textos normativos resultan </w:t>
      </w:r>
      <w:r w:rsidRPr="006671C3">
        <w:rPr>
          <w:rFonts w:ascii="Times New Roman" w:hAnsi="Times New Roman" w:cs="Times New Roman"/>
          <w:i/>
          <w:iCs/>
          <w:sz w:val="28"/>
          <w:szCs w:val="28"/>
        </w:rPr>
        <w:t>tan imprecisos e indeterminados</w:t>
      </w:r>
      <w:r w:rsidRPr="006671C3">
        <w:rPr>
          <w:rFonts w:ascii="Times New Roman" w:hAnsi="Times New Roman" w:cs="Times New Roman"/>
          <w:sz w:val="28"/>
          <w:szCs w:val="28"/>
        </w:rPr>
        <w:t xml:space="preserve">, que ni aun con apoyo en argumentos jurídicos razonables es posible </w:t>
      </w:r>
      <w:r w:rsidRPr="006671C3">
        <w:rPr>
          <w:rFonts w:ascii="Times New Roman" w:hAnsi="Times New Roman" w:cs="Times New Roman"/>
          <w:color w:val="000000"/>
          <w:sz w:val="28"/>
          <w:szCs w:val="28"/>
          <w:shd w:val="clear" w:color="auto" w:fill="FFFFFF"/>
        </w:rPr>
        <w:t>tra</w:t>
      </w:r>
      <w:r w:rsidRPr="006671C3">
        <w:rPr>
          <w:rFonts w:ascii="Times New Roman" w:hAnsi="Times New Roman" w:cs="Times New Roman"/>
          <w:color w:val="000000"/>
          <w:sz w:val="28"/>
          <w:szCs w:val="28"/>
          <w:shd w:val="clear" w:color="auto" w:fill="FFFFFF"/>
        </w:rPr>
        <w:t>zar una frontera que divida con suficiente claridad el comportamiento sancionable del que no lo es</w:t>
      </w:r>
      <w:r w:rsidRPr="006671C3">
        <w:rPr>
          <w:rFonts w:ascii="Times New Roman" w:hAnsi="Times New Roman" w:cs="Times New Roman"/>
          <w:i/>
          <w:color w:val="000000"/>
          <w:sz w:val="28"/>
          <w:szCs w:val="28"/>
          <w:shd w:val="clear" w:color="auto" w:fill="FFFFFF"/>
        </w:rPr>
        <w:t>”</w:t>
      </w:r>
      <w:r w:rsidRPr="006671C3">
        <w:rPr>
          <w:rFonts w:ascii="Times New Roman" w:hAnsi="Times New Roman" w:cs="Times New Roman"/>
          <w:color w:val="000000"/>
          <w:sz w:val="28"/>
          <w:szCs w:val="28"/>
          <w:shd w:val="clear" w:color="auto" w:fill="FFFFFF"/>
          <w:vertAlign w:val="superscript"/>
        </w:rPr>
        <w:footnoteReference w:id="127"/>
      </w:r>
      <w:r w:rsidRPr="006671C3">
        <w:rPr>
          <w:rFonts w:ascii="Times New Roman" w:hAnsi="Times New Roman" w:cs="Times New Roman"/>
          <w:color w:val="000000"/>
          <w:sz w:val="28"/>
          <w:szCs w:val="28"/>
          <w:shd w:val="clear" w:color="auto" w:fill="FFFFFF"/>
        </w:rPr>
        <w:t xml:space="preserve">. </w:t>
      </w:r>
    </w:p>
    <w:p w:rsidR="000E6BF6" w:rsidRPr="006671C3" w:rsidRDefault="006671C3" w:rsidP="000E6BF6">
      <w:pPr>
        <w:spacing w:after="0" w:line="240" w:lineRule="auto"/>
        <w:contextualSpacing/>
        <w:rPr>
          <w:rFonts w:ascii="Times New Roman" w:hAnsi="Times New Roman" w:cs="Times New Roman"/>
          <w:b/>
          <w:sz w:val="28"/>
          <w:szCs w:val="28"/>
        </w:rPr>
      </w:pPr>
    </w:p>
    <w:p w:rsidR="000E6BF6" w:rsidRPr="006671C3" w:rsidRDefault="006671C3" w:rsidP="000E6BF6">
      <w:pPr>
        <w:spacing w:after="0" w:line="240" w:lineRule="auto"/>
        <w:contextualSpacing/>
        <w:rPr>
          <w:rFonts w:ascii="Times New Roman" w:hAnsi="Times New Roman" w:cs="Times New Roman"/>
          <w:b/>
          <w:sz w:val="28"/>
          <w:szCs w:val="28"/>
        </w:rPr>
      </w:pPr>
      <w:r w:rsidRPr="006671C3">
        <w:rPr>
          <w:rFonts w:ascii="Times New Roman" w:hAnsi="Times New Roman" w:cs="Times New Roman"/>
          <w:b/>
          <w:sz w:val="28"/>
          <w:szCs w:val="28"/>
        </w:rPr>
        <w:t>Tercer cargo.</w:t>
      </w:r>
    </w:p>
    <w:p w:rsidR="000E6BF6" w:rsidRPr="006671C3" w:rsidRDefault="006671C3" w:rsidP="000E6BF6">
      <w:pPr>
        <w:spacing w:after="0" w:line="240" w:lineRule="auto"/>
        <w:contextualSpacing/>
        <w:rPr>
          <w:rFonts w:ascii="Times New Roman" w:hAnsi="Times New Roman" w:cs="Times New Roman"/>
          <w:b/>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 xml:space="preserve">Se acusa el inciso cuarto del artículo 72 del Decreto Ley 920 de 2023, por desconocimiento de los artículos 6 y 29 de la Constitución. </w:t>
      </w:r>
    </w:p>
    <w:p w:rsidR="000E6BF6" w:rsidRPr="006671C3" w:rsidRDefault="006671C3" w:rsidP="000E6BF6">
      <w:pPr>
        <w:spacing w:after="0" w:line="240" w:lineRule="auto"/>
        <w:contextualSpacing/>
        <w:jc w:val="both"/>
        <w:rPr>
          <w:rFonts w:ascii="Times New Roman" w:eastAsia="Times New Roman" w:hAnsi="Times New Roman" w:cs="Times New Roman"/>
          <w:i/>
          <w:snapToGrid w:val="0"/>
          <w:position w:val="6"/>
          <w:sz w:val="28"/>
          <w:szCs w:val="28"/>
          <w:lang w:val="es-ES" w:eastAsia="es-ES"/>
        </w:rPr>
      </w:pPr>
    </w:p>
    <w:tbl>
      <w:tblPr>
        <w:tblStyle w:val="Tablaconcuadrcula"/>
        <w:tblW w:w="5000" w:type="pct"/>
        <w:tblLook w:val="04A0" w:firstRow="1" w:lastRow="0" w:firstColumn="1" w:lastColumn="0" w:noHBand="0" w:noVBand="1"/>
      </w:tblPr>
      <w:tblGrid>
        <w:gridCol w:w="5026"/>
        <w:gridCol w:w="4482"/>
      </w:tblGrid>
      <w:tr w:rsidR="000E6BF6" w:rsidRPr="006671C3" w:rsidTr="00D1315E">
        <w:tc>
          <w:tcPr>
            <w:tcW w:w="2643" w:type="pct"/>
          </w:tcPr>
          <w:p w:rsidR="000E6BF6" w:rsidRPr="006671C3" w:rsidRDefault="006671C3" w:rsidP="000E6BF6">
            <w:pPr>
              <w:contextualSpacing/>
              <w:jc w:val="center"/>
              <w:rPr>
                <w:rFonts w:ascii="Times New Roman" w:hAnsi="Times New Roman" w:cs="Times New Roman"/>
                <w:b/>
                <w:sz w:val="28"/>
              </w:rPr>
            </w:pPr>
            <w:r w:rsidRPr="006671C3">
              <w:rPr>
                <w:rFonts w:ascii="Times New Roman" w:hAnsi="Times New Roman" w:cs="Times New Roman"/>
                <w:b/>
                <w:sz w:val="28"/>
              </w:rPr>
              <w:t>Aparte demandado</w:t>
            </w:r>
          </w:p>
        </w:tc>
        <w:tc>
          <w:tcPr>
            <w:tcW w:w="2357" w:type="pct"/>
          </w:tcPr>
          <w:p w:rsidR="000E6BF6" w:rsidRPr="006671C3" w:rsidRDefault="006671C3" w:rsidP="000E6BF6">
            <w:pPr>
              <w:contextualSpacing/>
              <w:jc w:val="center"/>
              <w:rPr>
                <w:rFonts w:ascii="Times New Roman" w:hAnsi="Times New Roman" w:cs="Times New Roman"/>
                <w:b/>
                <w:sz w:val="28"/>
              </w:rPr>
            </w:pPr>
            <w:r w:rsidRPr="006671C3">
              <w:rPr>
                <w:rFonts w:ascii="Times New Roman" w:hAnsi="Times New Roman" w:cs="Times New Roman"/>
                <w:b/>
                <w:sz w:val="28"/>
              </w:rPr>
              <w:t>Presuntos cargos formulados</w:t>
            </w:r>
          </w:p>
        </w:tc>
      </w:tr>
      <w:tr w:rsidR="000E6BF6" w:rsidRPr="006671C3" w:rsidTr="00D1315E">
        <w:tc>
          <w:tcPr>
            <w:tcW w:w="2643" w:type="pct"/>
          </w:tcPr>
          <w:p w:rsidR="000E6BF6" w:rsidRPr="006671C3" w:rsidRDefault="006671C3" w:rsidP="000E6BF6">
            <w:pPr>
              <w:shd w:val="clear" w:color="auto" w:fill="FFFFFF"/>
              <w:jc w:val="both"/>
              <w:rPr>
                <w:rFonts w:ascii="Times New Roman" w:hAnsi="Times New Roman" w:cs="Times New Roman"/>
                <w:sz w:val="28"/>
              </w:rPr>
            </w:pPr>
            <w:r w:rsidRPr="006671C3">
              <w:rPr>
                <w:rFonts w:ascii="Times New Roman" w:hAnsi="Times New Roman" w:cs="Times New Roman"/>
                <w:sz w:val="28"/>
              </w:rPr>
              <w:t xml:space="preserve">Artículo 72. </w:t>
            </w:r>
            <w:r w:rsidRPr="006671C3">
              <w:rPr>
                <w:rFonts w:ascii="Times New Roman" w:hAnsi="Times New Roman" w:cs="Times New Roman"/>
                <w:i/>
                <w:sz w:val="28"/>
              </w:rPr>
              <w:t>Sanción a aplicar cuando no sea posible aprehender la mercancía</w:t>
            </w:r>
            <w:r w:rsidRPr="006671C3">
              <w:rPr>
                <w:rFonts w:ascii="Times New Roman" w:hAnsi="Times New Roman" w:cs="Times New Roman"/>
                <w:sz w:val="28"/>
              </w:rPr>
              <w:t>. (…).</w:t>
            </w:r>
          </w:p>
          <w:p w:rsidR="000E6BF6" w:rsidRPr="006671C3" w:rsidRDefault="006671C3" w:rsidP="000E6BF6">
            <w:pPr>
              <w:shd w:val="clear" w:color="auto" w:fill="FFFFFF"/>
              <w:jc w:val="both"/>
              <w:rPr>
                <w:rFonts w:ascii="Times New Roman" w:hAnsi="Times New Roman" w:cs="Times New Roman"/>
                <w:sz w:val="28"/>
              </w:rPr>
            </w:pPr>
            <w:r w:rsidRPr="006671C3">
              <w:rPr>
                <w:rFonts w:ascii="Times New Roman" w:hAnsi="Times New Roman" w:cs="Times New Roman"/>
                <w:b/>
                <w:sz w:val="28"/>
              </w:rPr>
              <w:t xml:space="preserve">Cuando no sea posible ubicar al importador, poseedor o tenedor, también se podrá imponer la sanción prevista en el inciso </w:t>
            </w:r>
            <w:r w:rsidRPr="006671C3">
              <w:rPr>
                <w:rFonts w:ascii="Times New Roman" w:hAnsi="Times New Roman" w:cs="Times New Roman"/>
                <w:b/>
                <w:sz w:val="28"/>
              </w:rPr>
              <w:t>anterior, a quien de alguna manera intervino en la introducción de las mercancías al país; o en el transporte, el almacenamiento, el agenciamiento aduanero o comercialización, salvo que alguno de estos últimos suministre información que conduzca a la apreh</w:t>
            </w:r>
            <w:r w:rsidRPr="006671C3">
              <w:rPr>
                <w:rFonts w:ascii="Times New Roman" w:hAnsi="Times New Roman" w:cs="Times New Roman"/>
                <w:b/>
                <w:sz w:val="28"/>
              </w:rPr>
              <w:t>ensión de las mercancías, o a la ubicación del importador, o poseedor o tenedor de las mismas</w:t>
            </w:r>
            <w:r w:rsidRPr="006671C3">
              <w:rPr>
                <w:rFonts w:ascii="Times New Roman" w:hAnsi="Times New Roman" w:cs="Times New Roman"/>
                <w:sz w:val="28"/>
              </w:rPr>
              <w:t>. (…)”.</w:t>
            </w:r>
          </w:p>
        </w:tc>
        <w:tc>
          <w:tcPr>
            <w:tcW w:w="2357" w:type="pct"/>
          </w:tcPr>
          <w:p w:rsidR="000E6BF6" w:rsidRPr="006671C3" w:rsidRDefault="006671C3" w:rsidP="000E6BF6">
            <w:pPr>
              <w:contextualSpacing/>
              <w:jc w:val="both"/>
              <w:rPr>
                <w:rFonts w:ascii="Times New Roman" w:hAnsi="Times New Roman" w:cs="Times New Roman"/>
                <w:sz w:val="28"/>
              </w:rPr>
            </w:pPr>
            <w:r w:rsidRPr="006671C3">
              <w:rPr>
                <w:rFonts w:ascii="Times New Roman" w:hAnsi="Times New Roman" w:cs="Times New Roman"/>
                <w:sz w:val="28"/>
              </w:rPr>
              <w:t xml:space="preserve">(i) </w:t>
            </w:r>
            <w:r w:rsidRPr="006671C3">
              <w:rPr>
                <w:rFonts w:ascii="Times New Roman" w:hAnsi="Times New Roman" w:cs="Times New Roman"/>
                <w:i/>
                <w:sz w:val="28"/>
              </w:rPr>
              <w:t>Debido proceso y principio de responsabilidad personal</w:t>
            </w:r>
            <w:r w:rsidRPr="006671C3">
              <w:rPr>
                <w:rFonts w:ascii="Times New Roman" w:hAnsi="Times New Roman" w:cs="Times New Roman"/>
                <w:sz w:val="28"/>
              </w:rPr>
              <w:t>. Se sanciona por el hecho de un tercero y omisiones de la administración. Se aplican consecuenci</w:t>
            </w:r>
            <w:r w:rsidRPr="006671C3">
              <w:rPr>
                <w:rFonts w:ascii="Times New Roman" w:hAnsi="Times New Roman" w:cs="Times New Roman"/>
                <w:sz w:val="28"/>
              </w:rPr>
              <w:t>as por conductas distintas a la actividad empresarial y la administración es quien tiene a cargo la ubicación del responsable aduanero.</w:t>
            </w:r>
          </w:p>
          <w:p w:rsidR="000E6BF6" w:rsidRPr="006671C3" w:rsidRDefault="006671C3" w:rsidP="000E6BF6">
            <w:pPr>
              <w:contextualSpacing/>
              <w:jc w:val="both"/>
              <w:rPr>
                <w:rFonts w:ascii="Times New Roman" w:hAnsi="Times New Roman" w:cs="Times New Roman"/>
                <w:sz w:val="28"/>
              </w:rPr>
            </w:pPr>
          </w:p>
          <w:p w:rsidR="000E6BF6" w:rsidRPr="006671C3" w:rsidRDefault="006671C3" w:rsidP="000E6BF6">
            <w:pPr>
              <w:contextualSpacing/>
              <w:jc w:val="both"/>
              <w:rPr>
                <w:rFonts w:ascii="Times New Roman" w:hAnsi="Times New Roman" w:cs="Times New Roman"/>
                <w:sz w:val="28"/>
              </w:rPr>
            </w:pPr>
            <w:r w:rsidRPr="006671C3">
              <w:rPr>
                <w:rFonts w:ascii="Times New Roman" w:hAnsi="Times New Roman" w:cs="Times New Roman"/>
                <w:sz w:val="28"/>
              </w:rPr>
              <w:t xml:space="preserve">(ii) </w:t>
            </w:r>
            <w:r w:rsidRPr="006671C3">
              <w:rPr>
                <w:rFonts w:ascii="Times New Roman" w:hAnsi="Times New Roman" w:cs="Times New Roman"/>
                <w:i/>
                <w:sz w:val="28"/>
              </w:rPr>
              <w:t>Presunción de inocencia</w:t>
            </w:r>
            <w:r w:rsidRPr="006671C3">
              <w:rPr>
                <w:rFonts w:ascii="Times New Roman" w:hAnsi="Times New Roman" w:cs="Times New Roman"/>
                <w:sz w:val="28"/>
              </w:rPr>
              <w:t>. Se impone una sanción sin exigir a la autoridad demostrar la responsabilidad (aprehensión</w:t>
            </w:r>
            <w:r w:rsidRPr="006671C3">
              <w:rPr>
                <w:rFonts w:ascii="Times New Roman" w:hAnsi="Times New Roman" w:cs="Times New Roman"/>
                <w:sz w:val="28"/>
              </w:rPr>
              <w:t xml:space="preserve"> de la mercancía) y se traslada al particular las funciones propias de la autoridad. </w:t>
            </w:r>
          </w:p>
        </w:tc>
      </w:tr>
    </w:tbl>
    <w:p w:rsidR="000E6BF6" w:rsidRPr="006671C3" w:rsidRDefault="006671C3" w:rsidP="000E6BF6">
      <w:pPr>
        <w:spacing w:after="0" w:line="240" w:lineRule="auto"/>
        <w:contextualSpacing/>
        <w:rPr>
          <w:rFonts w:ascii="Times New Roman" w:hAnsi="Times New Roman" w:cs="Times New Roman"/>
          <w:b/>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Para esta corporación los presuntos argumentos de inconstitucionalidad también incurren en la falta de certeza mínima requerida, lo cual no atiende propiamente a la red</w:t>
      </w:r>
      <w:r w:rsidRPr="006671C3">
        <w:rPr>
          <w:rFonts w:ascii="Times New Roman" w:hAnsi="Times New Roman" w:cs="Times New Roman"/>
          <w:sz w:val="28"/>
          <w:szCs w:val="28"/>
        </w:rPr>
        <w:t xml:space="preserve">acción del artículo 72 acusado, sino a la lectura y, con ello, a la interpretación que hizo el demandante al omitir considerar el contexto normativo en el que se inscribe el inciso demandado, que delimita su alcance y termina por restar fuerza a su propia </w:t>
      </w:r>
      <w:r w:rsidRPr="006671C3">
        <w:rPr>
          <w:rFonts w:ascii="Times New Roman" w:hAnsi="Times New Roman" w:cs="Times New Roman"/>
          <w:sz w:val="28"/>
          <w:szCs w:val="28"/>
        </w:rPr>
        <w:t xml:space="preserve">argumentación. </w:t>
      </w:r>
    </w:p>
    <w:p w:rsidR="000E6BF6" w:rsidRPr="006671C3" w:rsidRDefault="006671C3" w:rsidP="000E6BF6">
      <w:pPr>
        <w:spacing w:after="0" w:line="240" w:lineRule="auto"/>
        <w:contextualSpacing/>
        <w:jc w:val="both"/>
        <w:rPr>
          <w:rFonts w:ascii="Times New Roman" w:hAnsi="Times New Roman" w:cs="Times New Roman"/>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Aun cuando se hubiere partido del tenor literal del inciso demandado, se prescinde de atender y, con ello, valorar el contexto normativo al interior y por fuera de la disposición (régimen sancionatorio de aduanas), que resulta indispensable considerar para</w:t>
      </w:r>
      <w:r w:rsidRPr="006671C3">
        <w:rPr>
          <w:rFonts w:ascii="Times New Roman" w:hAnsi="Times New Roman" w:cs="Times New Roman"/>
          <w:sz w:val="28"/>
          <w:szCs w:val="28"/>
        </w:rPr>
        <w:t xml:space="preserve"> comprender el real alcance del segmento acusado. Por ende, los contenidos normativos omitidos permiten afirmar que en la operación de comercio exterior existe la posibilidad de vinculación de terceros (conexión indirecta) y pueden ser responsabilizados co</w:t>
      </w:r>
      <w:r w:rsidRPr="006671C3">
        <w:rPr>
          <w:rFonts w:ascii="Times New Roman" w:hAnsi="Times New Roman" w:cs="Times New Roman"/>
          <w:sz w:val="28"/>
          <w:szCs w:val="28"/>
        </w:rPr>
        <w:t xml:space="preserve">nforme al tipo de intervención (rol individual), a través de un procedimiento adelantado por la autoridad aduanera, el cual confiere garantías para la defensa.  </w:t>
      </w:r>
    </w:p>
    <w:p w:rsidR="000E6BF6" w:rsidRPr="006671C3" w:rsidRDefault="006671C3" w:rsidP="000E6BF6">
      <w:pPr>
        <w:spacing w:after="0" w:line="240" w:lineRule="auto"/>
        <w:contextualSpacing/>
        <w:jc w:val="both"/>
        <w:rPr>
          <w:rFonts w:ascii="Times New Roman" w:hAnsi="Times New Roman" w:cs="Times New Roman"/>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 xml:space="preserve">Una lectura integral del artículo 72 permite apreciar </w:t>
      </w:r>
      <w:r w:rsidRPr="006671C3">
        <w:rPr>
          <w:rFonts w:ascii="Times New Roman" w:hAnsi="Times New Roman" w:cs="Times New Roman"/>
          <w:i/>
          <w:sz w:val="28"/>
          <w:szCs w:val="28"/>
        </w:rPr>
        <w:t>contenidos normativos adicionales que d</w:t>
      </w:r>
      <w:r w:rsidRPr="006671C3">
        <w:rPr>
          <w:rFonts w:ascii="Times New Roman" w:hAnsi="Times New Roman" w:cs="Times New Roman"/>
          <w:i/>
          <w:sz w:val="28"/>
          <w:szCs w:val="28"/>
        </w:rPr>
        <w:t>elimitan su campo de aplicación</w:t>
      </w:r>
      <w:r w:rsidRPr="006671C3">
        <w:rPr>
          <w:rFonts w:ascii="Times New Roman" w:hAnsi="Times New Roman" w:cs="Times New Roman"/>
          <w:sz w:val="28"/>
          <w:szCs w:val="28"/>
        </w:rPr>
        <w:t>. Así, el inciso sexto establece “el procedimiento que debe seguirse para imponer esta sanción”, en cuyo caso el requerimiento especial aduanero indicará “la causal de aprehensión de las mercancías; y cuando se hubiere ubicad</w:t>
      </w:r>
      <w:r w:rsidRPr="006671C3">
        <w:rPr>
          <w:rFonts w:ascii="Times New Roman" w:hAnsi="Times New Roman" w:cs="Times New Roman"/>
          <w:sz w:val="28"/>
          <w:szCs w:val="28"/>
        </w:rPr>
        <w:t>o al importador, poseedor o tenedor, la constancia de haberse solicitado ponerlas a disposición de la autoridad aduanera para su aprehensión”.</w:t>
      </w:r>
      <w:r w:rsidRPr="006671C3">
        <w:rPr>
          <w:rFonts w:ascii="Times New Roman" w:hAnsi="Times New Roman" w:cs="Times New Roman"/>
          <w:sz w:val="28"/>
        </w:rPr>
        <w:t xml:space="preserve"> </w:t>
      </w:r>
      <w:r w:rsidRPr="006671C3">
        <w:rPr>
          <w:rFonts w:ascii="Times New Roman" w:hAnsi="Times New Roman" w:cs="Times New Roman"/>
          <w:sz w:val="28"/>
          <w:szCs w:val="28"/>
        </w:rPr>
        <w:t xml:space="preserve">Además, se prevé que “este requerimiento deberá notificarse de forma electrónica y cuando ello no sea posible se </w:t>
      </w:r>
      <w:r w:rsidRPr="006671C3">
        <w:rPr>
          <w:rFonts w:ascii="Times New Roman" w:hAnsi="Times New Roman" w:cs="Times New Roman"/>
          <w:sz w:val="28"/>
          <w:szCs w:val="28"/>
        </w:rPr>
        <w:t>hará por correo físico”</w:t>
      </w:r>
      <w:r w:rsidRPr="006671C3">
        <w:rPr>
          <w:rFonts w:ascii="Times New Roman" w:hAnsi="Times New Roman" w:cs="Times New Roman"/>
          <w:sz w:val="28"/>
          <w:szCs w:val="28"/>
          <w:vertAlign w:val="superscript"/>
        </w:rPr>
        <w:footnoteReference w:id="128"/>
      </w:r>
      <w:r w:rsidRPr="006671C3">
        <w:rPr>
          <w:rFonts w:ascii="Times New Roman" w:hAnsi="Times New Roman" w:cs="Times New Roman"/>
          <w:sz w:val="28"/>
          <w:szCs w:val="28"/>
        </w:rPr>
        <w:t>. Por consiguiente, se aplican los artículos 106 y ss. del Decreto Ley 920 de 2023, que regulan el procedimiento para la imposición de la sanción, cuando no sea posible aprehender la mercancía respecto del interviniente vinculado</w:t>
      </w:r>
      <w:r w:rsidRPr="006671C3">
        <w:rPr>
          <w:rFonts w:ascii="Times New Roman" w:hAnsi="Times New Roman" w:cs="Times New Roman"/>
          <w:sz w:val="28"/>
          <w:szCs w:val="28"/>
          <w:vertAlign w:val="superscript"/>
        </w:rPr>
        <w:footnoteReference w:id="129"/>
      </w:r>
      <w:r w:rsidRPr="006671C3">
        <w:rPr>
          <w:rFonts w:ascii="Times New Roman" w:hAnsi="Times New Roman" w:cs="Times New Roman"/>
          <w:sz w:val="28"/>
          <w:szCs w:val="28"/>
        </w:rPr>
        <w:t xml:space="preserve">. </w:t>
      </w:r>
      <w:r w:rsidRPr="006671C3">
        <w:rPr>
          <w:rFonts w:ascii="Times New Roman" w:hAnsi="Times New Roman" w:cs="Times New Roman"/>
          <w:sz w:val="28"/>
          <w:szCs w:val="28"/>
        </w:rPr>
        <w:t>Adicionalmente, el artículo 6 referido a la “solidaridad y subsidiariedad”</w:t>
      </w:r>
      <w:r w:rsidRPr="006671C3">
        <w:rPr>
          <w:rFonts w:ascii="Times New Roman" w:hAnsi="Times New Roman" w:cs="Times New Roman"/>
          <w:sz w:val="28"/>
          <w:szCs w:val="28"/>
          <w:vertAlign w:val="superscript"/>
        </w:rPr>
        <w:footnoteReference w:id="130"/>
      </w:r>
      <w:r w:rsidRPr="006671C3">
        <w:rPr>
          <w:rFonts w:ascii="Times New Roman" w:hAnsi="Times New Roman" w:cs="Times New Roman"/>
          <w:sz w:val="28"/>
          <w:szCs w:val="28"/>
        </w:rPr>
        <w:t>, permitía una mayor comprensión del alcance del aparte impugnado.</w:t>
      </w:r>
    </w:p>
    <w:p w:rsidR="000E6BF6" w:rsidRPr="006671C3" w:rsidRDefault="006671C3" w:rsidP="000E6BF6">
      <w:pPr>
        <w:contextualSpacing/>
        <w:rPr>
          <w:rFonts w:ascii="Times New Roman" w:hAnsi="Times New Roman" w:cs="Times New Roman"/>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Por su parte, los artículos 4 a 8 del Decreto 1165 de 2019, facilitan intuir que toda persona que intervenga en l</w:t>
      </w:r>
      <w:r w:rsidRPr="006671C3">
        <w:rPr>
          <w:rFonts w:ascii="Times New Roman" w:hAnsi="Times New Roman" w:cs="Times New Roman"/>
          <w:sz w:val="28"/>
          <w:szCs w:val="28"/>
        </w:rPr>
        <w:t xml:space="preserve">a operación de comercio exterior, conforme al rol que le hubiera correspondido en el proceso logístico, </w:t>
      </w:r>
      <w:r w:rsidRPr="006671C3">
        <w:rPr>
          <w:rFonts w:ascii="Times New Roman" w:hAnsi="Times New Roman" w:cs="Times New Roman"/>
          <w:i/>
          <w:sz w:val="28"/>
          <w:szCs w:val="28"/>
        </w:rPr>
        <w:t xml:space="preserve">es responsable por su grado de intervención </w:t>
      </w:r>
      <w:r w:rsidRPr="006671C3">
        <w:rPr>
          <w:rFonts w:ascii="Times New Roman" w:hAnsi="Times New Roman" w:cs="Times New Roman"/>
          <w:sz w:val="28"/>
          <w:szCs w:val="28"/>
        </w:rPr>
        <w:t>y, en ese orden, tiene un nivel de corresponsabilidad por la mercancía que haya estado bajo su custodia en e</w:t>
      </w:r>
      <w:r w:rsidRPr="006671C3">
        <w:rPr>
          <w:rFonts w:ascii="Times New Roman" w:hAnsi="Times New Roman" w:cs="Times New Roman"/>
          <w:sz w:val="28"/>
          <w:szCs w:val="28"/>
        </w:rPr>
        <w:t xml:space="preserve">l marco de la actividad que se hubiere realizado. Por tal razón, en la medida en que se observe el vínculo e intervención del obligado aduanero con la mercancía, inicialmente </w:t>
      </w:r>
      <w:r w:rsidRPr="006671C3">
        <w:rPr>
          <w:rFonts w:ascii="Times New Roman" w:hAnsi="Times New Roman" w:cs="Times New Roman"/>
          <w:i/>
          <w:sz w:val="28"/>
          <w:szCs w:val="28"/>
        </w:rPr>
        <w:t>se le debe vincular al procedimiento sancionatorio</w:t>
      </w:r>
      <w:r w:rsidRPr="006671C3">
        <w:rPr>
          <w:rFonts w:ascii="Times New Roman" w:hAnsi="Times New Roman" w:cs="Times New Roman"/>
          <w:sz w:val="28"/>
          <w:szCs w:val="28"/>
        </w:rPr>
        <w:t>, ya que la imposición de la sa</w:t>
      </w:r>
      <w:r w:rsidRPr="006671C3">
        <w:rPr>
          <w:rFonts w:ascii="Times New Roman" w:hAnsi="Times New Roman" w:cs="Times New Roman"/>
          <w:sz w:val="28"/>
          <w:szCs w:val="28"/>
        </w:rPr>
        <w:t>nción por no poner a disposición la mercancía en todo caso estará sujeta al procedimiento establecido para la definición de la sanción (inc. octavo, art. 72), contando el obligado aduanero con las garantías propias del debido proceso.</w:t>
      </w:r>
    </w:p>
    <w:p w:rsidR="000E6BF6" w:rsidRPr="006671C3" w:rsidRDefault="006671C3" w:rsidP="000E6BF6">
      <w:pPr>
        <w:contextualSpacing/>
        <w:rPr>
          <w:rFonts w:ascii="Times New Roman" w:hAnsi="Times New Roman" w:cs="Times New Roman"/>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 xml:space="preserve"> De esta manera, los</w:t>
      </w:r>
      <w:r w:rsidRPr="006671C3">
        <w:rPr>
          <w:rFonts w:ascii="Times New Roman" w:hAnsi="Times New Roman" w:cs="Times New Roman"/>
          <w:sz w:val="28"/>
          <w:szCs w:val="28"/>
        </w:rPr>
        <w:t xml:space="preserve"> artículos 4 (obligación aduanera) la define como “</w:t>
      </w:r>
      <w:r w:rsidRPr="006671C3">
        <w:rPr>
          <w:rFonts w:ascii="Times New Roman" w:hAnsi="Times New Roman" w:cs="Times New Roman"/>
          <w:i/>
          <w:sz w:val="28"/>
          <w:szCs w:val="28"/>
        </w:rPr>
        <w:t>el vínculo jurídico</w:t>
      </w:r>
      <w:r w:rsidRPr="006671C3">
        <w:rPr>
          <w:rFonts w:ascii="Times New Roman" w:hAnsi="Times New Roman" w:cs="Times New Roman"/>
          <w:sz w:val="28"/>
          <w:szCs w:val="28"/>
        </w:rPr>
        <w:t xml:space="preserve"> entre la administración aduanera y cualquier persona </w:t>
      </w:r>
      <w:r w:rsidRPr="006671C3">
        <w:rPr>
          <w:rFonts w:ascii="Times New Roman" w:hAnsi="Times New Roman" w:cs="Times New Roman"/>
          <w:i/>
          <w:sz w:val="28"/>
          <w:szCs w:val="28"/>
        </w:rPr>
        <w:t>directa</w:t>
      </w:r>
      <w:r w:rsidRPr="006671C3">
        <w:rPr>
          <w:rFonts w:ascii="Times New Roman" w:hAnsi="Times New Roman" w:cs="Times New Roman"/>
          <w:sz w:val="28"/>
          <w:szCs w:val="28"/>
        </w:rPr>
        <w:t xml:space="preserve"> o </w:t>
      </w:r>
      <w:r w:rsidRPr="006671C3">
        <w:rPr>
          <w:rFonts w:ascii="Times New Roman" w:hAnsi="Times New Roman" w:cs="Times New Roman"/>
          <w:i/>
          <w:sz w:val="28"/>
          <w:szCs w:val="28"/>
        </w:rPr>
        <w:t>indirectamente relacionada</w:t>
      </w:r>
      <w:r w:rsidRPr="006671C3">
        <w:rPr>
          <w:rFonts w:ascii="Times New Roman" w:hAnsi="Times New Roman" w:cs="Times New Roman"/>
          <w:sz w:val="28"/>
          <w:szCs w:val="28"/>
        </w:rPr>
        <w:t xml:space="preserve"> con cualquier régimen, modalidad u operación aduanera, </w:t>
      </w:r>
      <w:r w:rsidRPr="006671C3">
        <w:rPr>
          <w:rFonts w:ascii="Times New Roman" w:hAnsi="Times New Roman" w:cs="Times New Roman"/>
          <w:i/>
          <w:sz w:val="28"/>
          <w:szCs w:val="28"/>
        </w:rPr>
        <w:t>derivado del cumplimiento de las obligac</w:t>
      </w:r>
      <w:r w:rsidRPr="006671C3">
        <w:rPr>
          <w:rFonts w:ascii="Times New Roman" w:hAnsi="Times New Roman" w:cs="Times New Roman"/>
          <w:i/>
          <w:sz w:val="28"/>
          <w:szCs w:val="28"/>
        </w:rPr>
        <w:t>iones correspondientes a cada una de ellas</w:t>
      </w:r>
      <w:r w:rsidRPr="006671C3">
        <w:rPr>
          <w:rFonts w:ascii="Times New Roman" w:hAnsi="Times New Roman" w:cs="Times New Roman"/>
          <w:sz w:val="28"/>
          <w:szCs w:val="28"/>
        </w:rPr>
        <w:t xml:space="preserve"> (…)”;  5 (alcance de la obligación aduanera) informa que comprende (…) y </w:t>
      </w:r>
      <w:r w:rsidRPr="006671C3">
        <w:rPr>
          <w:rFonts w:ascii="Times New Roman" w:hAnsi="Times New Roman" w:cs="Times New Roman"/>
          <w:i/>
          <w:sz w:val="28"/>
          <w:szCs w:val="28"/>
        </w:rPr>
        <w:t>todas aquellas obligaciones que se deriven de actuaciones que emprenda la administración aduanera</w:t>
      </w:r>
      <w:r w:rsidRPr="006671C3">
        <w:rPr>
          <w:rFonts w:ascii="Times New Roman" w:hAnsi="Times New Roman" w:cs="Times New Roman"/>
          <w:sz w:val="28"/>
          <w:szCs w:val="28"/>
        </w:rPr>
        <w:t>”; 6 (naturaleza de la obligación aduanera)</w:t>
      </w:r>
      <w:r w:rsidRPr="006671C3">
        <w:rPr>
          <w:rFonts w:ascii="Times New Roman" w:hAnsi="Times New Roman" w:cs="Times New Roman"/>
          <w:sz w:val="28"/>
          <w:szCs w:val="28"/>
        </w:rPr>
        <w:t xml:space="preserve"> establece que “la obligación aduanera </w:t>
      </w:r>
      <w:r w:rsidRPr="006671C3">
        <w:rPr>
          <w:rFonts w:ascii="Times New Roman" w:hAnsi="Times New Roman" w:cs="Times New Roman"/>
          <w:i/>
          <w:sz w:val="28"/>
          <w:szCs w:val="28"/>
        </w:rPr>
        <w:t>es de carácter personal</w:t>
      </w:r>
      <w:r w:rsidRPr="006671C3">
        <w:rPr>
          <w:rFonts w:ascii="Times New Roman" w:hAnsi="Times New Roman" w:cs="Times New Roman"/>
          <w:sz w:val="28"/>
          <w:szCs w:val="28"/>
        </w:rPr>
        <w:t xml:space="preserve">, sin perjuicio de que se pueda hacer efectivo su cumplimiento sobre la mercancía (…)”; 7 (obligados aduaneros) determina que son dos: “1. </w:t>
      </w:r>
      <w:r w:rsidRPr="006671C3">
        <w:rPr>
          <w:rFonts w:ascii="Times New Roman" w:hAnsi="Times New Roman" w:cs="Times New Roman"/>
          <w:i/>
          <w:sz w:val="28"/>
          <w:szCs w:val="28"/>
        </w:rPr>
        <w:t>Directos</w:t>
      </w:r>
      <w:r w:rsidRPr="006671C3">
        <w:rPr>
          <w:rFonts w:ascii="Times New Roman" w:hAnsi="Times New Roman" w:cs="Times New Roman"/>
          <w:sz w:val="28"/>
          <w:szCs w:val="28"/>
        </w:rPr>
        <w:t xml:space="preserve">: los usuarios aduaneros; 2. </w:t>
      </w:r>
      <w:r w:rsidRPr="006671C3">
        <w:rPr>
          <w:rFonts w:ascii="Times New Roman" w:hAnsi="Times New Roman" w:cs="Times New Roman"/>
          <w:i/>
          <w:sz w:val="28"/>
          <w:szCs w:val="28"/>
        </w:rPr>
        <w:t>Indirectos</w:t>
      </w:r>
      <w:r w:rsidRPr="006671C3">
        <w:rPr>
          <w:rFonts w:ascii="Times New Roman" w:hAnsi="Times New Roman" w:cs="Times New Roman"/>
          <w:sz w:val="28"/>
          <w:szCs w:val="28"/>
        </w:rPr>
        <w:t>: toda p</w:t>
      </w:r>
      <w:r w:rsidRPr="006671C3">
        <w:rPr>
          <w:rFonts w:ascii="Times New Roman" w:hAnsi="Times New Roman" w:cs="Times New Roman"/>
          <w:sz w:val="28"/>
          <w:szCs w:val="28"/>
        </w:rPr>
        <w:t xml:space="preserve">ersona que en desarrollo de su actividad haya intervenido de manera indirecta en el cumplimiento de cualquier trámite u operación aduanera y </w:t>
      </w:r>
      <w:r w:rsidRPr="006671C3">
        <w:rPr>
          <w:rFonts w:ascii="Times New Roman" w:hAnsi="Times New Roman" w:cs="Times New Roman"/>
          <w:i/>
          <w:sz w:val="28"/>
          <w:szCs w:val="28"/>
        </w:rPr>
        <w:t>en general cualquier persona que sea requerida por la autoridad aduanera. Serán responsables por su intervención</w:t>
      </w:r>
      <w:r w:rsidRPr="006671C3">
        <w:rPr>
          <w:rFonts w:ascii="Times New Roman" w:hAnsi="Times New Roman" w:cs="Times New Roman"/>
          <w:sz w:val="28"/>
          <w:szCs w:val="28"/>
        </w:rPr>
        <w:t>, s</w:t>
      </w:r>
      <w:r w:rsidRPr="006671C3">
        <w:rPr>
          <w:rFonts w:ascii="Times New Roman" w:hAnsi="Times New Roman" w:cs="Times New Roman"/>
          <w:sz w:val="28"/>
          <w:szCs w:val="28"/>
        </w:rPr>
        <w:t>egún corresponda, y por el suministro de toda la documentación e información exigida (…)”; y 8 (responsables de la obligación aduanera) indica que son aquellos de los que trata el artículo 7 de este decreto, “</w:t>
      </w:r>
      <w:r w:rsidRPr="006671C3">
        <w:rPr>
          <w:rFonts w:ascii="Times New Roman" w:hAnsi="Times New Roman" w:cs="Times New Roman"/>
          <w:i/>
          <w:sz w:val="28"/>
          <w:szCs w:val="28"/>
        </w:rPr>
        <w:t>por las obligaciones derivadas de su intervenci</w:t>
      </w:r>
      <w:r w:rsidRPr="006671C3">
        <w:rPr>
          <w:rFonts w:ascii="Times New Roman" w:hAnsi="Times New Roman" w:cs="Times New Roman"/>
          <w:i/>
          <w:sz w:val="28"/>
          <w:szCs w:val="28"/>
        </w:rPr>
        <w:t>ón y por el suministro de toda la documentación e información exigida por la (…) DIAN (…)</w:t>
      </w:r>
      <w:r w:rsidRPr="006671C3">
        <w:rPr>
          <w:rFonts w:ascii="Times New Roman" w:hAnsi="Times New Roman" w:cs="Times New Roman"/>
          <w:sz w:val="28"/>
          <w:szCs w:val="28"/>
        </w:rPr>
        <w:t xml:space="preserve">”. </w:t>
      </w:r>
    </w:p>
    <w:p w:rsidR="000E6BF6" w:rsidRPr="006671C3" w:rsidRDefault="006671C3" w:rsidP="000E6BF6">
      <w:pPr>
        <w:spacing w:after="0" w:line="240" w:lineRule="auto"/>
        <w:contextualSpacing/>
        <w:jc w:val="both"/>
        <w:rPr>
          <w:rFonts w:ascii="Times New Roman" w:hAnsi="Times New Roman" w:cs="Times New Roman"/>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 xml:space="preserve">Las anteriores normas dan cuenta de que la imposición de una sanción </w:t>
      </w:r>
      <w:r w:rsidRPr="006671C3">
        <w:rPr>
          <w:rFonts w:ascii="Times New Roman" w:hAnsi="Times New Roman" w:cs="Times New Roman"/>
          <w:i/>
          <w:iCs/>
          <w:sz w:val="28"/>
          <w:szCs w:val="28"/>
        </w:rPr>
        <w:t>a quien haya intervenido de alguna manera en el trámite aduanero</w:t>
      </w:r>
      <w:r w:rsidRPr="006671C3">
        <w:rPr>
          <w:rFonts w:ascii="Times New Roman" w:hAnsi="Times New Roman" w:cs="Times New Roman"/>
          <w:sz w:val="28"/>
          <w:szCs w:val="28"/>
        </w:rPr>
        <w:t xml:space="preserve"> responde a una conexión directa o indirecta, la responsabilidad es personal o por su grado de intervención y se cuenta con la posibilidad de vincular a terceros en el trámite. En este sentido, el demandante debió demostrar cómo, a pesar de estas circunsta</w:t>
      </w:r>
      <w:r w:rsidRPr="006671C3">
        <w:rPr>
          <w:rFonts w:ascii="Times New Roman" w:hAnsi="Times New Roman" w:cs="Times New Roman"/>
          <w:sz w:val="28"/>
          <w:szCs w:val="28"/>
        </w:rPr>
        <w:t>ncias, el inciso demandado desconocía el debido proceso y el principio de responsabilidad personal.</w:t>
      </w:r>
    </w:p>
    <w:p w:rsidR="000E6BF6" w:rsidRPr="006671C3" w:rsidRDefault="006671C3" w:rsidP="000E6BF6">
      <w:pPr>
        <w:contextualSpacing/>
        <w:rPr>
          <w:rFonts w:ascii="Times New Roman" w:hAnsi="Times New Roman" w:cs="Times New Roman"/>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 xml:space="preserve">De otro lado, la Corte encuentra que el actor </w:t>
      </w:r>
      <w:r w:rsidRPr="006671C3">
        <w:rPr>
          <w:rFonts w:ascii="Times New Roman" w:hAnsi="Times New Roman" w:cs="Times New Roman"/>
          <w:i/>
          <w:sz w:val="28"/>
          <w:szCs w:val="28"/>
        </w:rPr>
        <w:t>omitió desarrollar</w:t>
      </w:r>
      <w:r w:rsidRPr="006671C3">
        <w:rPr>
          <w:rFonts w:ascii="Times New Roman" w:hAnsi="Times New Roman" w:cs="Times New Roman"/>
          <w:sz w:val="28"/>
          <w:szCs w:val="28"/>
        </w:rPr>
        <w:t xml:space="preserve"> </w:t>
      </w:r>
      <w:r w:rsidRPr="006671C3">
        <w:rPr>
          <w:rFonts w:ascii="Times New Roman" w:hAnsi="Times New Roman" w:cs="Times New Roman"/>
          <w:i/>
          <w:sz w:val="28"/>
          <w:szCs w:val="28"/>
        </w:rPr>
        <w:t>adecuadamente el concepto de la violación</w:t>
      </w:r>
      <w:r w:rsidRPr="006671C3">
        <w:rPr>
          <w:rFonts w:ascii="Times New Roman" w:hAnsi="Times New Roman" w:cs="Times New Roman"/>
          <w:sz w:val="28"/>
          <w:szCs w:val="28"/>
        </w:rPr>
        <w:t xml:space="preserve"> respecto al inciso cuarto demandado, al no abord</w:t>
      </w:r>
      <w:r w:rsidRPr="006671C3">
        <w:rPr>
          <w:rFonts w:ascii="Times New Roman" w:hAnsi="Times New Roman" w:cs="Times New Roman"/>
          <w:sz w:val="28"/>
          <w:szCs w:val="28"/>
        </w:rPr>
        <w:t xml:space="preserve">ar ni desplegar con suficiencia argumentos que permitan comprender el alcance de algunos de los tópicos que involucra el enunciado normativo. De allí que se echa de menos razones de inconstitucionalidad sobre qué implicaciones tenían (i) la </w:t>
      </w:r>
      <w:r w:rsidRPr="006671C3">
        <w:rPr>
          <w:rFonts w:ascii="Times New Roman" w:hAnsi="Times New Roman" w:cs="Times New Roman"/>
          <w:i/>
          <w:sz w:val="28"/>
          <w:szCs w:val="28"/>
        </w:rPr>
        <w:t xml:space="preserve">no posibilidad </w:t>
      </w:r>
      <w:r w:rsidRPr="006671C3">
        <w:rPr>
          <w:rFonts w:ascii="Times New Roman" w:hAnsi="Times New Roman" w:cs="Times New Roman"/>
          <w:i/>
          <w:sz w:val="28"/>
          <w:szCs w:val="28"/>
        </w:rPr>
        <w:t>de ubicar</w:t>
      </w:r>
      <w:r w:rsidRPr="006671C3">
        <w:rPr>
          <w:rFonts w:ascii="Times New Roman" w:hAnsi="Times New Roman" w:cs="Times New Roman"/>
          <w:sz w:val="28"/>
          <w:szCs w:val="28"/>
        </w:rPr>
        <w:t xml:space="preserve"> al importador, poseedor o tenedor, (ii) el imponer la sanción </w:t>
      </w:r>
      <w:r w:rsidRPr="006671C3">
        <w:rPr>
          <w:rFonts w:ascii="Times New Roman" w:hAnsi="Times New Roman" w:cs="Times New Roman"/>
          <w:i/>
          <w:sz w:val="28"/>
          <w:szCs w:val="28"/>
        </w:rPr>
        <w:t>a quien de alguna manera intervin</w:t>
      </w:r>
      <w:r w:rsidRPr="006671C3">
        <w:rPr>
          <w:rFonts w:ascii="Times New Roman" w:hAnsi="Times New Roman" w:cs="Times New Roman"/>
          <w:sz w:val="28"/>
          <w:szCs w:val="28"/>
        </w:rPr>
        <w:t xml:space="preserve">o y (iii) </w:t>
      </w:r>
      <w:r w:rsidRPr="006671C3">
        <w:rPr>
          <w:rFonts w:ascii="Times New Roman" w:hAnsi="Times New Roman" w:cs="Times New Roman"/>
          <w:i/>
          <w:sz w:val="28"/>
          <w:szCs w:val="28"/>
        </w:rPr>
        <w:t>la salvedad</w:t>
      </w:r>
      <w:r w:rsidRPr="006671C3">
        <w:rPr>
          <w:rFonts w:ascii="Times New Roman" w:hAnsi="Times New Roman" w:cs="Times New Roman"/>
          <w:sz w:val="28"/>
          <w:szCs w:val="28"/>
        </w:rPr>
        <w:t xml:space="preserve"> que se instituye por el suministro de información. </w:t>
      </w:r>
    </w:p>
    <w:p w:rsidR="000E6BF6" w:rsidRPr="006671C3" w:rsidRDefault="006671C3" w:rsidP="000E6BF6">
      <w:pPr>
        <w:spacing w:after="0" w:line="240" w:lineRule="auto"/>
        <w:jc w:val="both"/>
        <w:rPr>
          <w:rFonts w:ascii="Times New Roman" w:hAnsi="Times New Roman" w:cs="Times New Roman"/>
          <w:sz w:val="28"/>
          <w:szCs w:val="28"/>
        </w:rPr>
      </w:pPr>
    </w:p>
    <w:p w:rsidR="000E6BF6" w:rsidRPr="006671C3" w:rsidRDefault="006671C3" w:rsidP="000E6BF6">
      <w:pPr>
        <w:spacing w:after="0" w:line="240" w:lineRule="auto"/>
        <w:contextualSpacing/>
        <w:rPr>
          <w:rFonts w:ascii="Times New Roman" w:hAnsi="Times New Roman" w:cs="Times New Roman"/>
          <w:b/>
          <w:sz w:val="28"/>
          <w:szCs w:val="28"/>
        </w:rPr>
      </w:pPr>
      <w:r w:rsidRPr="006671C3">
        <w:rPr>
          <w:rFonts w:ascii="Times New Roman" w:hAnsi="Times New Roman" w:cs="Times New Roman"/>
          <w:b/>
          <w:sz w:val="28"/>
          <w:szCs w:val="28"/>
        </w:rPr>
        <w:t xml:space="preserve">Cuarto y quinto cargo. </w:t>
      </w:r>
    </w:p>
    <w:p w:rsidR="000E6BF6" w:rsidRPr="006671C3" w:rsidRDefault="006671C3" w:rsidP="000E6BF6">
      <w:pPr>
        <w:spacing w:after="0" w:line="240" w:lineRule="auto"/>
        <w:contextualSpacing/>
        <w:rPr>
          <w:rFonts w:ascii="Times New Roman" w:hAnsi="Times New Roman" w:cs="Times New Roman"/>
          <w:b/>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El cuarto y quinto cargo aducen la vulneración de l</w:t>
      </w:r>
      <w:r w:rsidRPr="006671C3">
        <w:rPr>
          <w:rFonts w:ascii="Times New Roman" w:hAnsi="Times New Roman" w:cs="Times New Roman"/>
          <w:sz w:val="28"/>
          <w:szCs w:val="28"/>
        </w:rPr>
        <w:t xml:space="preserve">os principios de responsabilidad personal (coinciden los dos cargos), presunción de inocencia y proporcionalidad (arts. 1, 2, 5, 6, 29, 58 y 214 C. Pol.), por parte de los numerales 1.2. del artículo 36 y 8 del artículo 69 del Decreto Ley 920 de 2023, los </w:t>
      </w:r>
      <w:r w:rsidRPr="006671C3">
        <w:rPr>
          <w:rFonts w:ascii="Times New Roman" w:hAnsi="Times New Roman" w:cs="Times New Roman"/>
          <w:sz w:val="28"/>
          <w:szCs w:val="28"/>
        </w:rPr>
        <w:t xml:space="preserve">cuales remiten a su vez a las circunstancias previstas en el numeral 10 del artículo 7 del mismo decreto, razones por las cuales se procederá al análisis conjunto. </w:t>
      </w:r>
    </w:p>
    <w:p w:rsidR="000E6BF6" w:rsidRPr="006671C3" w:rsidRDefault="006671C3" w:rsidP="000E6BF6">
      <w:pPr>
        <w:spacing w:after="0" w:line="240" w:lineRule="auto"/>
        <w:contextualSpacing/>
        <w:jc w:val="both"/>
        <w:rPr>
          <w:rFonts w:ascii="Times New Roman" w:eastAsia="Times New Roman" w:hAnsi="Times New Roman" w:cs="Times New Roman"/>
          <w:i/>
          <w:snapToGrid w:val="0"/>
          <w:position w:val="6"/>
          <w:sz w:val="28"/>
          <w:szCs w:val="28"/>
          <w:lang w:val="es-ES" w:eastAsia="es-ES"/>
        </w:rPr>
      </w:pPr>
    </w:p>
    <w:tbl>
      <w:tblPr>
        <w:tblStyle w:val="Tablaconcuadrcula"/>
        <w:tblW w:w="5000" w:type="pct"/>
        <w:tblLook w:val="04A0" w:firstRow="1" w:lastRow="0" w:firstColumn="1" w:lastColumn="0" w:noHBand="0" w:noVBand="1"/>
      </w:tblPr>
      <w:tblGrid>
        <w:gridCol w:w="4212"/>
        <w:gridCol w:w="5296"/>
      </w:tblGrid>
      <w:tr w:rsidR="000E6BF6" w:rsidRPr="006671C3" w:rsidTr="00D1315E">
        <w:tc>
          <w:tcPr>
            <w:tcW w:w="2215" w:type="pct"/>
          </w:tcPr>
          <w:p w:rsidR="000E6BF6" w:rsidRPr="006671C3" w:rsidRDefault="006671C3" w:rsidP="000E6BF6">
            <w:pPr>
              <w:contextualSpacing/>
              <w:jc w:val="center"/>
              <w:rPr>
                <w:rFonts w:ascii="Times New Roman" w:hAnsi="Times New Roman" w:cs="Times New Roman"/>
                <w:b/>
                <w:sz w:val="28"/>
              </w:rPr>
            </w:pPr>
            <w:r w:rsidRPr="006671C3">
              <w:rPr>
                <w:rFonts w:ascii="Times New Roman" w:hAnsi="Times New Roman" w:cs="Times New Roman"/>
                <w:b/>
                <w:sz w:val="28"/>
              </w:rPr>
              <w:t>Apartes demandados</w:t>
            </w:r>
          </w:p>
        </w:tc>
        <w:tc>
          <w:tcPr>
            <w:tcW w:w="2785" w:type="pct"/>
          </w:tcPr>
          <w:p w:rsidR="000E6BF6" w:rsidRPr="006671C3" w:rsidRDefault="006671C3" w:rsidP="000E6BF6">
            <w:pPr>
              <w:contextualSpacing/>
              <w:jc w:val="center"/>
              <w:rPr>
                <w:rFonts w:ascii="Times New Roman" w:hAnsi="Times New Roman" w:cs="Times New Roman"/>
                <w:b/>
                <w:sz w:val="28"/>
              </w:rPr>
            </w:pPr>
            <w:r w:rsidRPr="006671C3">
              <w:rPr>
                <w:rFonts w:ascii="Times New Roman" w:hAnsi="Times New Roman" w:cs="Times New Roman"/>
                <w:b/>
                <w:sz w:val="28"/>
              </w:rPr>
              <w:t>Presuntos cargos formulados</w:t>
            </w:r>
          </w:p>
        </w:tc>
      </w:tr>
      <w:tr w:rsidR="000E6BF6" w:rsidRPr="006671C3" w:rsidTr="00D1315E">
        <w:trPr>
          <w:trHeight w:val="539"/>
        </w:trPr>
        <w:tc>
          <w:tcPr>
            <w:tcW w:w="2215" w:type="pct"/>
          </w:tcPr>
          <w:p w:rsidR="000E6BF6" w:rsidRPr="006671C3" w:rsidRDefault="006671C3" w:rsidP="000E6BF6">
            <w:pPr>
              <w:shd w:val="clear" w:color="auto" w:fill="FFFFFF"/>
              <w:jc w:val="both"/>
              <w:rPr>
                <w:rFonts w:ascii="Times New Roman" w:hAnsi="Times New Roman" w:cs="Times New Roman"/>
                <w:sz w:val="28"/>
              </w:rPr>
            </w:pPr>
            <w:r w:rsidRPr="006671C3">
              <w:rPr>
                <w:rFonts w:ascii="Times New Roman" w:hAnsi="Times New Roman" w:cs="Times New Roman"/>
                <w:sz w:val="28"/>
              </w:rPr>
              <w:t xml:space="preserve">Artículo 36. </w:t>
            </w:r>
            <w:r w:rsidRPr="006671C3">
              <w:rPr>
                <w:rFonts w:ascii="Times New Roman" w:hAnsi="Times New Roman" w:cs="Times New Roman"/>
                <w:i/>
                <w:sz w:val="28"/>
              </w:rPr>
              <w:t>Infracciones aduaneras de las</w:t>
            </w:r>
            <w:r w:rsidRPr="006671C3">
              <w:rPr>
                <w:rFonts w:ascii="Times New Roman" w:hAnsi="Times New Roman" w:cs="Times New Roman"/>
                <w:i/>
                <w:sz w:val="28"/>
              </w:rPr>
              <w:t xml:space="preserve"> agencias de aduanas y sanciones aplicables</w:t>
            </w:r>
            <w:r w:rsidRPr="006671C3">
              <w:rPr>
                <w:rFonts w:ascii="Times New Roman" w:hAnsi="Times New Roman" w:cs="Times New Roman"/>
                <w:sz w:val="28"/>
              </w:rPr>
              <w:t>. Además de las infracciones aduaneras y sanciones previstas en los artículos 29, 31 y 33 del presente decreto, las agencias de aduanas y los almacenes generales de depósito, cuando actúen como agencias de aduanas</w:t>
            </w:r>
            <w:r w:rsidRPr="006671C3">
              <w:rPr>
                <w:rFonts w:ascii="Times New Roman" w:hAnsi="Times New Roman" w:cs="Times New Roman"/>
                <w:sz w:val="28"/>
              </w:rPr>
              <w:t xml:space="preserve">, serán sancionados por la comisión de las siguientes infracciones aduaneras: 1. Gravísimas. (…) 1.2. </w:t>
            </w:r>
            <w:r w:rsidRPr="006671C3">
              <w:rPr>
                <w:rFonts w:ascii="Times New Roman" w:hAnsi="Times New Roman" w:cs="Times New Roman"/>
                <w:b/>
                <w:sz w:val="28"/>
              </w:rPr>
              <w:t>Prestar los servicios de agenciamiento aduanero a personas naturales o jurídicas respecto de las cuales se determine la ocurrencia de alguna de las circun</w:t>
            </w:r>
            <w:r w:rsidRPr="006671C3">
              <w:rPr>
                <w:rFonts w:ascii="Times New Roman" w:hAnsi="Times New Roman" w:cs="Times New Roman"/>
                <w:b/>
                <w:sz w:val="28"/>
              </w:rPr>
              <w:t xml:space="preserve">stancias </w:t>
            </w:r>
            <w:r w:rsidRPr="006671C3">
              <w:rPr>
                <w:rFonts w:ascii="Times New Roman" w:hAnsi="Times New Roman" w:cs="Times New Roman"/>
                <w:b/>
                <w:i/>
                <w:sz w:val="28"/>
              </w:rPr>
              <w:t>consagradas en el numeral 10 del artículo 7° del presente decreto</w:t>
            </w:r>
            <w:r w:rsidRPr="006671C3">
              <w:rPr>
                <w:rFonts w:ascii="Times New Roman" w:hAnsi="Times New Roman" w:cs="Times New Roman"/>
                <w:b/>
                <w:sz w:val="28"/>
              </w:rPr>
              <w:t>. La sanción aplicable será la de cancelación de la autorización como agencia de aduanas</w:t>
            </w:r>
            <w:r w:rsidRPr="006671C3">
              <w:rPr>
                <w:rFonts w:ascii="Times New Roman" w:hAnsi="Times New Roman" w:cs="Times New Roman"/>
                <w:sz w:val="28"/>
              </w:rPr>
              <w:t>. (…)”.</w:t>
            </w:r>
          </w:p>
          <w:p w:rsidR="000E6BF6" w:rsidRPr="006671C3" w:rsidRDefault="006671C3" w:rsidP="000E6BF6">
            <w:pPr>
              <w:shd w:val="clear" w:color="auto" w:fill="FFFFFF"/>
              <w:jc w:val="both"/>
              <w:rPr>
                <w:rFonts w:ascii="Times New Roman" w:hAnsi="Times New Roman" w:cs="Times New Roman"/>
                <w:sz w:val="28"/>
              </w:rPr>
            </w:pPr>
          </w:p>
          <w:p w:rsidR="000E6BF6" w:rsidRPr="006671C3" w:rsidRDefault="006671C3" w:rsidP="000E6BF6">
            <w:pPr>
              <w:shd w:val="clear" w:color="auto" w:fill="FFFFFF"/>
              <w:ind w:left="33"/>
              <w:jc w:val="both"/>
              <w:rPr>
                <w:rFonts w:ascii="Times New Roman" w:hAnsi="Times New Roman" w:cs="Times New Roman"/>
                <w:sz w:val="28"/>
              </w:rPr>
            </w:pPr>
            <w:r w:rsidRPr="006671C3">
              <w:rPr>
                <w:rFonts w:ascii="Times New Roman" w:eastAsia="Times New Roman" w:hAnsi="Times New Roman" w:cs="Times New Roman"/>
                <w:snapToGrid w:val="0"/>
                <w:position w:val="6"/>
                <w:sz w:val="28"/>
                <w:lang w:eastAsia="es-ES"/>
              </w:rPr>
              <w:t xml:space="preserve">Artículo 69. </w:t>
            </w:r>
            <w:bookmarkStart w:id="41" w:name="_Hlk170823964"/>
            <w:r w:rsidRPr="006671C3">
              <w:rPr>
                <w:rFonts w:ascii="Times New Roman" w:eastAsia="Times New Roman" w:hAnsi="Times New Roman" w:cs="Times New Roman"/>
                <w:i/>
                <w:snapToGrid w:val="0"/>
                <w:position w:val="6"/>
                <w:sz w:val="28"/>
                <w:lang w:eastAsia="es-ES"/>
              </w:rPr>
              <w:t>Causales de aprehensión y decomiso de mercancías</w:t>
            </w:r>
            <w:bookmarkEnd w:id="41"/>
            <w:r w:rsidRPr="006671C3">
              <w:rPr>
                <w:rFonts w:ascii="Times New Roman" w:eastAsia="Times New Roman" w:hAnsi="Times New Roman" w:cs="Times New Roman"/>
                <w:snapToGrid w:val="0"/>
                <w:position w:val="6"/>
                <w:sz w:val="28"/>
                <w:lang w:eastAsia="es-ES"/>
              </w:rPr>
              <w:t xml:space="preserve">. Dará lugar a la aprehensión y decomiso de las mercancías, la ocurrencia de cualquiera de los siguientes eventos: (…) 8. </w:t>
            </w:r>
            <w:r w:rsidRPr="006671C3">
              <w:rPr>
                <w:rFonts w:ascii="Times New Roman" w:eastAsia="Times New Roman" w:hAnsi="Times New Roman" w:cs="Times New Roman"/>
                <w:b/>
                <w:snapToGrid w:val="0"/>
                <w:position w:val="6"/>
                <w:sz w:val="28"/>
                <w:lang w:eastAsia="es-ES"/>
              </w:rPr>
              <w:t xml:space="preserve">Cuando se hubieren introducido al territorio aduanero nacional mercancías respecto de las cuales se determine la ocurrencia de alguna </w:t>
            </w:r>
            <w:r w:rsidRPr="006671C3">
              <w:rPr>
                <w:rFonts w:ascii="Times New Roman" w:eastAsia="Times New Roman" w:hAnsi="Times New Roman" w:cs="Times New Roman"/>
                <w:b/>
                <w:snapToGrid w:val="0"/>
                <w:position w:val="6"/>
                <w:sz w:val="28"/>
                <w:lang w:eastAsia="es-ES"/>
              </w:rPr>
              <w:t xml:space="preserve">de las circunstancias </w:t>
            </w:r>
            <w:r w:rsidRPr="006671C3">
              <w:rPr>
                <w:rFonts w:ascii="Times New Roman" w:eastAsia="Times New Roman" w:hAnsi="Times New Roman" w:cs="Times New Roman"/>
                <w:b/>
                <w:i/>
                <w:snapToGrid w:val="0"/>
                <w:position w:val="6"/>
                <w:sz w:val="28"/>
                <w:lang w:eastAsia="es-ES"/>
              </w:rPr>
              <w:t>consagradas en el numeral 10 del artículo 7° del presente decreto</w:t>
            </w:r>
            <w:r w:rsidRPr="006671C3">
              <w:rPr>
                <w:rFonts w:ascii="Times New Roman" w:eastAsia="Times New Roman" w:hAnsi="Times New Roman" w:cs="Times New Roman"/>
                <w:snapToGrid w:val="0"/>
                <w:position w:val="6"/>
                <w:sz w:val="28"/>
                <w:lang w:eastAsia="es-ES"/>
              </w:rPr>
              <w:t xml:space="preserve">, o cuando no se solicite el reembarque en los términos y condiciones previstos en el numeral 1 del artículo 383 del Decreto número 1165 de 2019, o el que lo modifique, </w:t>
            </w:r>
            <w:r w:rsidRPr="006671C3">
              <w:rPr>
                <w:rFonts w:ascii="Times New Roman" w:eastAsia="Times New Roman" w:hAnsi="Times New Roman" w:cs="Times New Roman"/>
                <w:snapToGrid w:val="0"/>
                <w:position w:val="6"/>
                <w:sz w:val="28"/>
                <w:lang w:eastAsia="es-ES"/>
              </w:rPr>
              <w:t xml:space="preserve">adicione o sustituya”. </w:t>
            </w:r>
          </w:p>
        </w:tc>
        <w:tc>
          <w:tcPr>
            <w:tcW w:w="2785" w:type="pct"/>
          </w:tcPr>
          <w:p w:rsidR="000E6BF6" w:rsidRPr="006671C3" w:rsidRDefault="006671C3" w:rsidP="000E6BF6">
            <w:pPr>
              <w:contextualSpacing/>
              <w:jc w:val="both"/>
              <w:rPr>
                <w:rFonts w:ascii="Times New Roman" w:hAnsi="Times New Roman" w:cs="Times New Roman"/>
                <w:sz w:val="28"/>
              </w:rPr>
            </w:pPr>
            <w:r w:rsidRPr="006671C3">
              <w:rPr>
                <w:rFonts w:ascii="Times New Roman" w:hAnsi="Times New Roman" w:cs="Times New Roman"/>
                <w:sz w:val="28"/>
              </w:rPr>
              <w:t xml:space="preserve">(i) </w:t>
            </w:r>
            <w:r w:rsidRPr="006671C3">
              <w:rPr>
                <w:rFonts w:ascii="Times New Roman" w:hAnsi="Times New Roman" w:cs="Times New Roman"/>
                <w:i/>
                <w:sz w:val="28"/>
              </w:rPr>
              <w:t>Principio de responsabilidad personal (debido proceso)</w:t>
            </w:r>
            <w:r w:rsidRPr="006671C3">
              <w:rPr>
                <w:rFonts w:ascii="Times New Roman" w:hAnsi="Times New Roman" w:cs="Times New Roman"/>
                <w:sz w:val="28"/>
              </w:rPr>
              <w:t>. Se establece una situación de responsabilidad por el hecho de terceros. La sanción obedece a la sola circunstancia de que la agencia de aduanas y los almacenes generales de</w:t>
            </w:r>
            <w:r w:rsidRPr="006671C3">
              <w:rPr>
                <w:rFonts w:ascii="Times New Roman" w:hAnsi="Times New Roman" w:cs="Times New Roman"/>
                <w:sz w:val="28"/>
              </w:rPr>
              <w:t xml:space="preserve"> depósito presten sus servicios a consignatarios, destinatarios o importadores, sin reparar en el carácter personal de la conducta ni en el grado de culpabilidad que les asista.</w:t>
            </w:r>
          </w:p>
          <w:p w:rsidR="000E6BF6" w:rsidRPr="006671C3" w:rsidRDefault="006671C3" w:rsidP="000E6BF6">
            <w:pPr>
              <w:contextualSpacing/>
              <w:jc w:val="both"/>
              <w:rPr>
                <w:rFonts w:ascii="Times New Roman" w:hAnsi="Times New Roman" w:cs="Times New Roman"/>
                <w:sz w:val="28"/>
              </w:rPr>
            </w:pPr>
          </w:p>
          <w:p w:rsidR="000E6BF6" w:rsidRPr="006671C3" w:rsidRDefault="006671C3" w:rsidP="000E6BF6">
            <w:pPr>
              <w:contextualSpacing/>
              <w:jc w:val="both"/>
              <w:rPr>
                <w:rFonts w:ascii="Times New Roman" w:hAnsi="Times New Roman" w:cs="Times New Roman"/>
                <w:sz w:val="28"/>
              </w:rPr>
            </w:pPr>
            <w:r w:rsidRPr="006671C3">
              <w:rPr>
                <w:rFonts w:ascii="Times New Roman" w:hAnsi="Times New Roman" w:cs="Times New Roman"/>
                <w:sz w:val="28"/>
              </w:rPr>
              <w:t xml:space="preserve">(ii) </w:t>
            </w:r>
            <w:r w:rsidRPr="006671C3">
              <w:rPr>
                <w:rFonts w:ascii="Times New Roman" w:hAnsi="Times New Roman" w:cs="Times New Roman"/>
                <w:i/>
                <w:sz w:val="28"/>
              </w:rPr>
              <w:t>Presunción de inocencia</w:t>
            </w:r>
            <w:r w:rsidRPr="006671C3">
              <w:rPr>
                <w:rFonts w:ascii="Times New Roman" w:hAnsi="Times New Roman" w:cs="Times New Roman"/>
                <w:sz w:val="28"/>
              </w:rPr>
              <w:t>. Basta con la mera prestación del servicio a suj</w:t>
            </w:r>
            <w:r w:rsidRPr="006671C3">
              <w:rPr>
                <w:rFonts w:ascii="Times New Roman" w:hAnsi="Times New Roman" w:cs="Times New Roman"/>
                <w:sz w:val="28"/>
              </w:rPr>
              <w:t xml:space="preserve">etos incursos en alguna irregularidad para que se configure la sanción en cabeza de los operadores de comercio exterior, sin determinar la pretermisión de algún deber </w:t>
            </w:r>
            <w:r w:rsidRPr="006671C3">
              <w:rPr>
                <w:rFonts w:ascii="Times New Roman" w:hAnsi="Times New Roman" w:cs="Times New Roman"/>
                <w:i/>
                <w:sz w:val="28"/>
              </w:rPr>
              <w:t>in vigilando</w:t>
            </w:r>
            <w:r w:rsidRPr="006671C3">
              <w:rPr>
                <w:rFonts w:ascii="Times New Roman" w:hAnsi="Times New Roman" w:cs="Times New Roman"/>
                <w:sz w:val="28"/>
              </w:rPr>
              <w:t xml:space="preserve">. </w:t>
            </w:r>
          </w:p>
          <w:p w:rsidR="000E6BF6" w:rsidRPr="006671C3" w:rsidRDefault="006671C3" w:rsidP="000E6BF6">
            <w:pPr>
              <w:contextualSpacing/>
              <w:jc w:val="both"/>
              <w:rPr>
                <w:rFonts w:ascii="Times New Roman" w:hAnsi="Times New Roman" w:cs="Times New Roman"/>
                <w:sz w:val="28"/>
              </w:rPr>
            </w:pPr>
          </w:p>
          <w:p w:rsidR="000E6BF6" w:rsidRPr="006671C3" w:rsidRDefault="006671C3" w:rsidP="000E6BF6">
            <w:pPr>
              <w:contextualSpacing/>
              <w:jc w:val="both"/>
              <w:rPr>
                <w:rFonts w:ascii="Times New Roman" w:hAnsi="Times New Roman" w:cs="Times New Roman"/>
                <w:sz w:val="28"/>
              </w:rPr>
            </w:pPr>
          </w:p>
          <w:p w:rsidR="000E6BF6" w:rsidRPr="006671C3" w:rsidRDefault="006671C3" w:rsidP="000E6BF6">
            <w:pPr>
              <w:contextualSpacing/>
              <w:jc w:val="both"/>
              <w:rPr>
                <w:rFonts w:ascii="Times New Roman" w:hAnsi="Times New Roman" w:cs="Times New Roman"/>
                <w:sz w:val="28"/>
              </w:rPr>
            </w:pPr>
          </w:p>
          <w:p w:rsidR="000E6BF6" w:rsidRPr="006671C3" w:rsidRDefault="006671C3" w:rsidP="000E6BF6">
            <w:pPr>
              <w:contextualSpacing/>
              <w:jc w:val="both"/>
              <w:rPr>
                <w:rFonts w:ascii="Times New Roman" w:hAnsi="Times New Roman" w:cs="Times New Roman"/>
                <w:sz w:val="28"/>
              </w:rPr>
            </w:pPr>
          </w:p>
          <w:p w:rsidR="000E6BF6" w:rsidRPr="006671C3" w:rsidRDefault="006671C3" w:rsidP="000E6BF6">
            <w:pPr>
              <w:contextualSpacing/>
              <w:jc w:val="both"/>
              <w:rPr>
                <w:rFonts w:ascii="Times New Roman" w:hAnsi="Times New Roman" w:cs="Times New Roman"/>
                <w:sz w:val="28"/>
              </w:rPr>
            </w:pPr>
          </w:p>
          <w:p w:rsidR="000E6BF6" w:rsidRPr="006671C3" w:rsidRDefault="006671C3" w:rsidP="000E6BF6">
            <w:pPr>
              <w:contextualSpacing/>
              <w:jc w:val="both"/>
              <w:rPr>
                <w:rFonts w:ascii="Times New Roman" w:hAnsi="Times New Roman" w:cs="Times New Roman"/>
                <w:sz w:val="28"/>
              </w:rPr>
            </w:pPr>
            <w:r w:rsidRPr="006671C3">
              <w:rPr>
                <w:rFonts w:ascii="Times New Roman" w:hAnsi="Times New Roman" w:cs="Times New Roman"/>
                <w:sz w:val="28"/>
              </w:rPr>
              <w:t xml:space="preserve">(i) </w:t>
            </w:r>
            <w:r w:rsidRPr="006671C3">
              <w:rPr>
                <w:rFonts w:ascii="Times New Roman" w:hAnsi="Times New Roman" w:cs="Times New Roman"/>
                <w:i/>
                <w:sz w:val="28"/>
              </w:rPr>
              <w:t>Principio de responsabilidad personal (debido proceso).</w:t>
            </w:r>
            <w:r w:rsidRPr="006671C3">
              <w:rPr>
                <w:rFonts w:ascii="Times New Roman" w:hAnsi="Times New Roman" w:cs="Times New Roman"/>
                <w:sz w:val="28"/>
              </w:rPr>
              <w:t xml:space="preserve"> Se sancio</w:t>
            </w:r>
            <w:r w:rsidRPr="006671C3">
              <w:rPr>
                <w:rFonts w:ascii="Times New Roman" w:hAnsi="Times New Roman" w:cs="Times New Roman"/>
                <w:sz w:val="28"/>
              </w:rPr>
              <w:t xml:space="preserve">na al administrado con la pérdida del derecho de dominio por el incumplimiento de las obligaciones a cargo de la autoridad aduanera. </w:t>
            </w:r>
          </w:p>
          <w:p w:rsidR="000E6BF6" w:rsidRPr="006671C3" w:rsidRDefault="006671C3" w:rsidP="000E6BF6">
            <w:pPr>
              <w:contextualSpacing/>
              <w:jc w:val="both"/>
              <w:rPr>
                <w:rFonts w:ascii="Times New Roman" w:hAnsi="Times New Roman" w:cs="Times New Roman"/>
                <w:sz w:val="28"/>
              </w:rPr>
            </w:pPr>
          </w:p>
          <w:p w:rsidR="000E6BF6" w:rsidRPr="006671C3" w:rsidRDefault="006671C3" w:rsidP="000E6BF6">
            <w:pPr>
              <w:contextualSpacing/>
              <w:jc w:val="both"/>
              <w:rPr>
                <w:rFonts w:ascii="Times New Roman" w:hAnsi="Times New Roman" w:cs="Times New Roman"/>
                <w:sz w:val="28"/>
              </w:rPr>
            </w:pPr>
            <w:r w:rsidRPr="006671C3">
              <w:rPr>
                <w:rFonts w:ascii="Times New Roman" w:hAnsi="Times New Roman" w:cs="Times New Roman"/>
                <w:sz w:val="28"/>
              </w:rPr>
              <w:t xml:space="preserve">(ii) </w:t>
            </w:r>
            <w:r w:rsidRPr="006671C3">
              <w:rPr>
                <w:rFonts w:ascii="Times New Roman" w:hAnsi="Times New Roman" w:cs="Times New Roman"/>
                <w:i/>
                <w:sz w:val="28"/>
              </w:rPr>
              <w:t>Principio de proporcionalidad</w:t>
            </w:r>
            <w:r w:rsidRPr="006671C3">
              <w:rPr>
                <w:rFonts w:ascii="Times New Roman" w:hAnsi="Times New Roman" w:cs="Times New Roman"/>
                <w:sz w:val="28"/>
              </w:rPr>
              <w:t>. Es desproporcionado que constituyan infracciones administrativas (a) el no lograr ver</w:t>
            </w:r>
            <w:r w:rsidRPr="006671C3">
              <w:rPr>
                <w:rFonts w:ascii="Times New Roman" w:hAnsi="Times New Roman" w:cs="Times New Roman"/>
                <w:sz w:val="28"/>
              </w:rPr>
              <w:t>ificar que el importador, destinatario o consignatario se ubique en la dirección informada al constituir un simple error tipográfico o desactualización de un documento; (b) la no determinación de la solvencia económica ni el origen de los fondos, cuando el</w:t>
            </w:r>
            <w:r w:rsidRPr="006671C3">
              <w:rPr>
                <w:rFonts w:ascii="Times New Roman" w:hAnsi="Times New Roman" w:cs="Times New Roman"/>
                <w:sz w:val="28"/>
              </w:rPr>
              <w:t>lo es atribuible a la administración; y (c) el que la autoridad identifique que la persona jurídica se encuentre disuelta y liquidada o que la persona natural haya fallecido, al constituir circunstancias que no tienen relación con una operación de comercio</w:t>
            </w:r>
            <w:r w:rsidRPr="006671C3">
              <w:rPr>
                <w:rFonts w:ascii="Times New Roman" w:hAnsi="Times New Roman" w:cs="Times New Roman"/>
                <w:sz w:val="28"/>
              </w:rPr>
              <w:t xml:space="preserve"> exterior o que lesione algún bien jurídico.</w:t>
            </w:r>
          </w:p>
        </w:tc>
      </w:tr>
    </w:tbl>
    <w:p w:rsidR="000E6BF6" w:rsidRPr="006671C3" w:rsidRDefault="006671C3" w:rsidP="000E6BF6">
      <w:pPr>
        <w:spacing w:after="0" w:line="240" w:lineRule="auto"/>
        <w:contextualSpacing/>
        <w:rPr>
          <w:rFonts w:ascii="Times New Roman" w:hAnsi="Times New Roman" w:cs="Times New Roman"/>
          <w:b/>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Para la Sala Plena, en línea con lo sostenido hasta el momento sobre los tres primeros reproches, se expone nuevamente la ausencia del requisito mínimo de certeza, toda vez que no se atiende el resto de la legislación sancionatoria de aduanas (DL 920/23) y</w:t>
      </w:r>
      <w:r w:rsidRPr="006671C3">
        <w:rPr>
          <w:rFonts w:ascii="Times New Roman" w:hAnsi="Times New Roman" w:cs="Times New Roman"/>
          <w:sz w:val="28"/>
          <w:szCs w:val="28"/>
        </w:rPr>
        <w:t xml:space="preserve"> del régimen de aduanas (Decreto 1165/19). </w:t>
      </w:r>
    </w:p>
    <w:p w:rsidR="000E6BF6" w:rsidRPr="006671C3" w:rsidRDefault="006671C3" w:rsidP="000E6BF6">
      <w:pPr>
        <w:spacing w:after="0" w:line="240" w:lineRule="auto"/>
        <w:contextualSpacing/>
        <w:jc w:val="both"/>
        <w:rPr>
          <w:rFonts w:ascii="Times New Roman" w:hAnsi="Times New Roman" w:cs="Times New Roman"/>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Si bien respecto del cuarto cargo (art. 36, parcial), el demandante llevó a cabo un ejercicio de contextualización</w:t>
      </w:r>
      <w:r w:rsidRPr="006671C3">
        <w:rPr>
          <w:rFonts w:ascii="Times New Roman" w:hAnsi="Times New Roman" w:cs="Times New Roman"/>
          <w:sz w:val="28"/>
          <w:szCs w:val="28"/>
          <w:vertAlign w:val="superscript"/>
        </w:rPr>
        <w:footnoteReference w:id="131"/>
      </w:r>
      <w:r w:rsidRPr="006671C3">
        <w:rPr>
          <w:rFonts w:ascii="Times New Roman" w:hAnsi="Times New Roman" w:cs="Times New Roman"/>
          <w:sz w:val="28"/>
          <w:szCs w:val="28"/>
        </w:rPr>
        <w:t xml:space="preserve">, este finalmente resulta parcial y, por lo tanto, insuficiente frente a éste y demás previsiones normativas de la legislación de aduanas, que imponían sopesar y redireccionar los argumentos presentados. </w:t>
      </w:r>
    </w:p>
    <w:p w:rsidR="000E6BF6" w:rsidRPr="006671C3" w:rsidRDefault="006671C3" w:rsidP="000E6BF6">
      <w:pPr>
        <w:spacing w:after="0" w:line="240" w:lineRule="auto"/>
        <w:contextualSpacing/>
        <w:jc w:val="both"/>
        <w:rPr>
          <w:rFonts w:ascii="Times New Roman" w:hAnsi="Times New Roman" w:cs="Times New Roman"/>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i/>
          <w:sz w:val="28"/>
          <w:szCs w:val="28"/>
        </w:rPr>
        <w:t xml:space="preserve">Las infracciones y sanciones aduaneras contenidas </w:t>
      </w:r>
      <w:r w:rsidRPr="006671C3">
        <w:rPr>
          <w:rFonts w:ascii="Times New Roman" w:hAnsi="Times New Roman" w:cs="Times New Roman"/>
          <w:i/>
          <w:sz w:val="28"/>
          <w:szCs w:val="28"/>
        </w:rPr>
        <w:t>en el numeral 1.2. del artículo 36 para las agencias de adua</w:t>
      </w:r>
      <w:r w:rsidRPr="006671C3">
        <w:rPr>
          <w:rFonts w:ascii="Times New Roman" w:hAnsi="Times New Roman" w:cs="Times New Roman"/>
          <w:sz w:val="28"/>
          <w:szCs w:val="28"/>
        </w:rPr>
        <w:t xml:space="preserve">nas, obedecen al papel que desempeñan en las operaciones de comercio exterior y, particularmente, por la condición de </w:t>
      </w:r>
      <w:r w:rsidRPr="006671C3">
        <w:rPr>
          <w:rFonts w:ascii="Times New Roman" w:hAnsi="Times New Roman" w:cs="Times New Roman"/>
          <w:i/>
          <w:sz w:val="28"/>
          <w:szCs w:val="28"/>
        </w:rPr>
        <w:t>auxiliares de la función pública aduanera</w:t>
      </w:r>
      <w:r w:rsidRPr="006671C3">
        <w:rPr>
          <w:rFonts w:ascii="Times New Roman" w:hAnsi="Times New Roman" w:cs="Times New Roman"/>
          <w:sz w:val="28"/>
          <w:szCs w:val="28"/>
          <w:vertAlign w:val="superscript"/>
        </w:rPr>
        <w:footnoteReference w:id="132"/>
      </w:r>
      <w:r w:rsidRPr="006671C3">
        <w:rPr>
          <w:rFonts w:ascii="Times New Roman" w:hAnsi="Times New Roman" w:cs="Times New Roman"/>
          <w:sz w:val="28"/>
          <w:szCs w:val="28"/>
        </w:rPr>
        <w:t>. De una lectura integral del artícu</w:t>
      </w:r>
      <w:r w:rsidRPr="006671C3">
        <w:rPr>
          <w:rFonts w:ascii="Times New Roman" w:hAnsi="Times New Roman" w:cs="Times New Roman"/>
          <w:sz w:val="28"/>
          <w:szCs w:val="28"/>
        </w:rPr>
        <w:t>lo 53</w:t>
      </w:r>
      <w:r w:rsidRPr="006671C3">
        <w:rPr>
          <w:rFonts w:ascii="Times New Roman" w:hAnsi="Times New Roman" w:cs="Times New Roman"/>
          <w:sz w:val="28"/>
          <w:szCs w:val="28"/>
          <w:vertAlign w:val="superscript"/>
        </w:rPr>
        <w:footnoteReference w:id="133"/>
      </w:r>
      <w:r w:rsidRPr="006671C3">
        <w:rPr>
          <w:rFonts w:ascii="Times New Roman" w:hAnsi="Times New Roman" w:cs="Times New Roman"/>
          <w:sz w:val="28"/>
          <w:szCs w:val="28"/>
        </w:rPr>
        <w:t xml:space="preserve"> del Decreto 1165 de 2019, al cual refirió el censor, aunque de manera parcial (inciso primero), se extrae que las agencias de aduanas que actúen ante las autoridades aduaneras serán responsables administrativamente por las infracciones derivadas del</w:t>
      </w:r>
      <w:r w:rsidRPr="006671C3">
        <w:rPr>
          <w:rFonts w:ascii="Times New Roman" w:hAnsi="Times New Roman" w:cs="Times New Roman"/>
          <w:sz w:val="28"/>
          <w:szCs w:val="28"/>
        </w:rPr>
        <w:t xml:space="preserve"> ejercicio de su actividad. Igualmente, lo son por la exactitud y veracidad de la información contenida en los documentos que suscriban sus agentes y responderán cuando por su actuación como declarantes hagan incurrir a su mandante o usuario de comercio ex</w:t>
      </w:r>
      <w:r w:rsidRPr="006671C3">
        <w:rPr>
          <w:rFonts w:ascii="Times New Roman" w:hAnsi="Times New Roman" w:cs="Times New Roman"/>
          <w:sz w:val="28"/>
          <w:szCs w:val="28"/>
        </w:rPr>
        <w:t xml:space="preserve">terior en infracciones administrativas aduaneras. </w:t>
      </w:r>
    </w:p>
    <w:p w:rsidR="000E6BF6" w:rsidRPr="006671C3" w:rsidRDefault="006671C3" w:rsidP="000E6BF6">
      <w:pPr>
        <w:spacing w:after="0" w:line="240" w:lineRule="auto"/>
        <w:contextualSpacing/>
        <w:jc w:val="both"/>
        <w:rPr>
          <w:rFonts w:ascii="Times New Roman" w:hAnsi="Times New Roman" w:cs="Times New Roman"/>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Tampoco se tuvo en cuenta en la demanda lo dispuesto por el artículo 50</w:t>
      </w:r>
      <w:r w:rsidRPr="006671C3">
        <w:rPr>
          <w:rFonts w:ascii="Times New Roman" w:hAnsi="Times New Roman" w:cs="Times New Roman"/>
          <w:sz w:val="28"/>
          <w:szCs w:val="28"/>
          <w:vertAlign w:val="superscript"/>
        </w:rPr>
        <w:footnoteReference w:id="134"/>
      </w:r>
      <w:r w:rsidRPr="006671C3">
        <w:rPr>
          <w:rFonts w:ascii="Times New Roman" w:hAnsi="Times New Roman" w:cs="Times New Roman"/>
          <w:sz w:val="28"/>
          <w:szCs w:val="28"/>
        </w:rPr>
        <w:t xml:space="preserve"> del decreto en mención. Esta disposición delimita, en sintonía con lo anterior, la comprensión del numeral demandado (art. 36, parc</w:t>
      </w:r>
      <w:r w:rsidRPr="006671C3">
        <w:rPr>
          <w:rFonts w:ascii="Times New Roman" w:hAnsi="Times New Roman" w:cs="Times New Roman"/>
          <w:sz w:val="28"/>
          <w:szCs w:val="28"/>
        </w:rPr>
        <w:t xml:space="preserve">ial), al establecer que para protegerse de prácticas relacionadas con lavado de activos, contrabando, evasión u otra conducta irregular, las agencias de aduanas tienen la obligación de contemplar mecanismos de control que les permita asegurar una relación </w:t>
      </w:r>
      <w:r w:rsidRPr="006671C3">
        <w:rPr>
          <w:rFonts w:ascii="Times New Roman" w:hAnsi="Times New Roman" w:cs="Times New Roman"/>
          <w:sz w:val="28"/>
          <w:szCs w:val="28"/>
        </w:rPr>
        <w:t>contractual transparente con sus clientes, por lo que se instituye que deben conocer a su cliente y obtener un mínimo información debidamente soportada sobre la existencia, nombres o razón social, ubicación, oficio o actividad y capacidad financiera. Por e</w:t>
      </w:r>
      <w:r w:rsidRPr="006671C3">
        <w:rPr>
          <w:rFonts w:ascii="Times New Roman" w:hAnsi="Times New Roman" w:cs="Times New Roman"/>
          <w:sz w:val="28"/>
          <w:szCs w:val="28"/>
        </w:rPr>
        <w:t xml:space="preserve">sta razón, no resulta cierto afirmar la existencia de un </w:t>
      </w:r>
      <w:r w:rsidRPr="006671C3">
        <w:rPr>
          <w:rFonts w:ascii="Times New Roman" w:hAnsi="Times New Roman" w:cs="Times New Roman"/>
          <w:i/>
          <w:sz w:val="28"/>
          <w:szCs w:val="28"/>
        </w:rPr>
        <w:t>traslado</w:t>
      </w:r>
      <w:r w:rsidRPr="006671C3">
        <w:rPr>
          <w:rFonts w:ascii="Times New Roman" w:hAnsi="Times New Roman" w:cs="Times New Roman"/>
          <w:sz w:val="28"/>
          <w:szCs w:val="28"/>
        </w:rPr>
        <w:t xml:space="preserve"> de responsabilidades de los clientes a las agencias de aduanas, ya que conforme al ámbito de la actividad desplegada por éstas </w:t>
      </w:r>
      <w:r w:rsidRPr="006671C3">
        <w:rPr>
          <w:rFonts w:ascii="Times New Roman" w:hAnsi="Times New Roman" w:cs="Times New Roman"/>
          <w:i/>
          <w:sz w:val="28"/>
          <w:szCs w:val="28"/>
        </w:rPr>
        <w:t>se instituyen responsabilidades, para lo cual cuentan con accio</w:t>
      </w:r>
      <w:r w:rsidRPr="006671C3">
        <w:rPr>
          <w:rFonts w:ascii="Times New Roman" w:hAnsi="Times New Roman" w:cs="Times New Roman"/>
          <w:i/>
          <w:sz w:val="28"/>
          <w:szCs w:val="28"/>
        </w:rPr>
        <w:t>nes de verificación de la información de sus clientes para proteger el comercio legal y, con ello, prevenir conductas irregulares</w:t>
      </w:r>
      <w:r w:rsidRPr="006671C3">
        <w:rPr>
          <w:rFonts w:ascii="Times New Roman" w:hAnsi="Times New Roman" w:cs="Times New Roman"/>
          <w:sz w:val="28"/>
          <w:szCs w:val="28"/>
        </w:rPr>
        <w:t>.</w:t>
      </w:r>
    </w:p>
    <w:p w:rsidR="000E6BF6" w:rsidRPr="006671C3" w:rsidRDefault="006671C3" w:rsidP="000E6BF6">
      <w:pPr>
        <w:contextualSpacing/>
        <w:rPr>
          <w:rFonts w:ascii="Times New Roman" w:hAnsi="Times New Roman" w:cs="Times New Roman"/>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En correspondencia con lo anterior, la comprobación de las circunstancias previstas en el numeral 10 del artículo 7 del Decr</w:t>
      </w:r>
      <w:r w:rsidRPr="006671C3">
        <w:rPr>
          <w:rFonts w:ascii="Times New Roman" w:hAnsi="Times New Roman" w:cs="Times New Roman"/>
          <w:sz w:val="28"/>
          <w:szCs w:val="28"/>
        </w:rPr>
        <w:t xml:space="preserve">eto Ley 920 de 2023, a las cuales también remite el </w:t>
      </w:r>
      <w:r w:rsidRPr="006671C3">
        <w:rPr>
          <w:rFonts w:ascii="Times New Roman" w:hAnsi="Times New Roman" w:cs="Times New Roman"/>
          <w:i/>
          <w:sz w:val="28"/>
          <w:szCs w:val="28"/>
        </w:rPr>
        <w:t>artículo 69</w:t>
      </w:r>
      <w:r w:rsidRPr="006671C3">
        <w:rPr>
          <w:rFonts w:ascii="Times New Roman" w:hAnsi="Times New Roman" w:cs="Times New Roman"/>
          <w:sz w:val="28"/>
          <w:szCs w:val="28"/>
          <w:vertAlign w:val="superscript"/>
        </w:rPr>
        <w:footnoteReference w:id="135"/>
      </w:r>
      <w:r w:rsidRPr="006671C3">
        <w:rPr>
          <w:rFonts w:ascii="Times New Roman" w:hAnsi="Times New Roman" w:cs="Times New Roman"/>
          <w:sz w:val="28"/>
          <w:szCs w:val="28"/>
        </w:rPr>
        <w:t xml:space="preserve"> acusado, requiere que se </w:t>
      </w:r>
      <w:r w:rsidRPr="006671C3">
        <w:rPr>
          <w:rFonts w:ascii="Times New Roman" w:hAnsi="Times New Roman" w:cs="Times New Roman"/>
          <w:i/>
          <w:sz w:val="28"/>
          <w:szCs w:val="28"/>
        </w:rPr>
        <w:t xml:space="preserve">surtan instancias y procedimientos </w:t>
      </w:r>
      <w:r w:rsidRPr="006671C3">
        <w:rPr>
          <w:rFonts w:ascii="Times New Roman" w:hAnsi="Times New Roman" w:cs="Times New Roman"/>
          <w:sz w:val="28"/>
          <w:szCs w:val="28"/>
        </w:rPr>
        <w:t>establecidos por el decreto cuestionado. Así, la adopción de la medida cautelar de retención temporal otorga un término para verifi</w:t>
      </w:r>
      <w:r w:rsidRPr="006671C3">
        <w:rPr>
          <w:rFonts w:ascii="Times New Roman" w:hAnsi="Times New Roman" w:cs="Times New Roman"/>
          <w:sz w:val="28"/>
          <w:szCs w:val="28"/>
        </w:rPr>
        <w:t>car una posible situación irregular (5 días hábiles) antes de la aprehensión de la mercancía (inc. primero, num. 10, art. 7), además de establecer que el usuario aduanero solicite una segunda visita para corroborar su ubicación (inc. segundo) y poder aport</w:t>
      </w:r>
      <w:r w:rsidRPr="006671C3">
        <w:rPr>
          <w:rFonts w:ascii="Times New Roman" w:hAnsi="Times New Roman" w:cs="Times New Roman"/>
          <w:sz w:val="28"/>
          <w:szCs w:val="28"/>
        </w:rPr>
        <w:t>ar las pruebas necesarias para demostrar su solvencia económica y el origen de los recursos empleados en las operaciones de comercio exterior (inc. tercero, num. 10, art. 7). De igual modo, no fue tenido en cuenta el artículo 28 del Decreto Ley 920 de 2023</w:t>
      </w:r>
      <w:r w:rsidRPr="006671C3">
        <w:rPr>
          <w:rFonts w:ascii="Times New Roman" w:hAnsi="Times New Roman" w:cs="Times New Roman"/>
          <w:sz w:val="28"/>
          <w:szCs w:val="28"/>
        </w:rPr>
        <w:t xml:space="preserve"> que refiere a las “causales de exoneración de responsabilidad”</w:t>
      </w:r>
      <w:r w:rsidRPr="006671C3">
        <w:rPr>
          <w:rFonts w:ascii="Times New Roman" w:hAnsi="Times New Roman" w:cs="Times New Roman"/>
          <w:sz w:val="28"/>
          <w:szCs w:val="28"/>
          <w:vertAlign w:val="superscript"/>
        </w:rPr>
        <w:footnoteReference w:id="136"/>
      </w:r>
      <w:r w:rsidRPr="006671C3">
        <w:rPr>
          <w:rFonts w:ascii="Times New Roman" w:hAnsi="Times New Roman" w:cs="Times New Roman"/>
          <w:sz w:val="28"/>
          <w:szCs w:val="28"/>
        </w:rPr>
        <w:t>.</w:t>
      </w:r>
    </w:p>
    <w:p w:rsidR="000E6BF6" w:rsidRPr="006671C3" w:rsidRDefault="006671C3" w:rsidP="000E6BF6">
      <w:pPr>
        <w:spacing w:after="0" w:line="240" w:lineRule="auto"/>
        <w:contextualSpacing/>
        <w:jc w:val="both"/>
        <w:rPr>
          <w:rFonts w:ascii="Times New Roman" w:hAnsi="Times New Roman" w:cs="Times New Roman"/>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Además, conforme al artículo 109</w:t>
      </w:r>
      <w:r w:rsidRPr="006671C3">
        <w:rPr>
          <w:rFonts w:ascii="Times New Roman" w:hAnsi="Times New Roman" w:cs="Times New Roman"/>
          <w:sz w:val="28"/>
          <w:szCs w:val="28"/>
          <w:vertAlign w:val="superscript"/>
        </w:rPr>
        <w:footnoteReference w:id="137"/>
      </w:r>
      <w:r w:rsidRPr="006671C3">
        <w:rPr>
          <w:rFonts w:ascii="Times New Roman" w:hAnsi="Times New Roman" w:cs="Times New Roman"/>
          <w:sz w:val="28"/>
          <w:szCs w:val="28"/>
        </w:rPr>
        <w:t xml:space="preserve"> del citado decreto, el procedimiento para determinar la existencia de la infracción aduanera permite la </w:t>
      </w:r>
      <w:r w:rsidRPr="006671C3">
        <w:rPr>
          <w:rFonts w:ascii="Times New Roman" w:hAnsi="Times New Roman" w:cs="Times New Roman"/>
          <w:i/>
          <w:sz w:val="28"/>
          <w:szCs w:val="28"/>
        </w:rPr>
        <w:t>vinculación de terceros</w:t>
      </w:r>
      <w:r w:rsidRPr="006671C3">
        <w:rPr>
          <w:rFonts w:ascii="Times New Roman" w:hAnsi="Times New Roman" w:cs="Times New Roman"/>
          <w:sz w:val="28"/>
          <w:szCs w:val="28"/>
        </w:rPr>
        <w:t xml:space="preserve"> (usuarios aduaneros) para e</w:t>
      </w:r>
      <w:r w:rsidRPr="006671C3">
        <w:rPr>
          <w:rFonts w:ascii="Times New Roman" w:hAnsi="Times New Roman" w:cs="Times New Roman"/>
          <w:sz w:val="28"/>
          <w:szCs w:val="28"/>
        </w:rPr>
        <w:t>stablecer su grado de responsabilidad e imponer la sanción dentro del acto administrativo que decida de fondo. De igual modo, las agencias de aduanas participan con las garantías y derechos en el proceso de decomiso de las mercancías (arts. 88 y ss.)</w:t>
      </w:r>
      <w:r w:rsidRPr="006671C3">
        <w:rPr>
          <w:rFonts w:ascii="Times New Roman" w:hAnsi="Times New Roman" w:cs="Times New Roman"/>
          <w:sz w:val="28"/>
          <w:szCs w:val="28"/>
          <w:vertAlign w:val="superscript"/>
        </w:rPr>
        <w:footnoteReference w:id="138"/>
      </w:r>
      <w:r w:rsidRPr="006671C3">
        <w:rPr>
          <w:rFonts w:ascii="Times New Roman" w:hAnsi="Times New Roman" w:cs="Times New Roman"/>
          <w:sz w:val="28"/>
          <w:szCs w:val="28"/>
        </w:rPr>
        <w:t xml:space="preserve"> y cu</w:t>
      </w:r>
      <w:r w:rsidRPr="006671C3">
        <w:rPr>
          <w:rFonts w:ascii="Times New Roman" w:hAnsi="Times New Roman" w:cs="Times New Roman"/>
          <w:sz w:val="28"/>
          <w:szCs w:val="28"/>
        </w:rPr>
        <w:t>entan con el Comité de Revisión de Aprehensiones (art. 8)</w:t>
      </w:r>
      <w:r w:rsidRPr="006671C3">
        <w:rPr>
          <w:rFonts w:ascii="Times New Roman" w:hAnsi="Times New Roman" w:cs="Times New Roman"/>
          <w:sz w:val="28"/>
          <w:szCs w:val="28"/>
          <w:vertAlign w:val="superscript"/>
        </w:rPr>
        <w:footnoteReference w:id="139"/>
      </w:r>
      <w:r w:rsidRPr="006671C3">
        <w:rPr>
          <w:rFonts w:ascii="Times New Roman" w:hAnsi="Times New Roman" w:cs="Times New Roman"/>
          <w:sz w:val="28"/>
          <w:szCs w:val="28"/>
        </w:rPr>
        <w:t xml:space="preserve"> que estudia y recomienda la adopción o no de la medida de aprehensión, según se ha explicado. </w:t>
      </w:r>
    </w:p>
    <w:p w:rsidR="000E6BF6" w:rsidRPr="006671C3" w:rsidRDefault="006671C3" w:rsidP="000E6BF6">
      <w:pPr>
        <w:contextualSpacing/>
        <w:rPr>
          <w:rFonts w:ascii="Times New Roman" w:hAnsi="Times New Roman" w:cs="Times New Roman"/>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 xml:space="preserve">De esta forma, tanto las </w:t>
      </w:r>
      <w:r w:rsidRPr="006671C3">
        <w:rPr>
          <w:rFonts w:ascii="Times New Roman" w:hAnsi="Times New Roman" w:cs="Times New Roman"/>
          <w:i/>
          <w:sz w:val="28"/>
          <w:szCs w:val="28"/>
        </w:rPr>
        <w:t>agencias de aduanas</w:t>
      </w:r>
      <w:r w:rsidRPr="006671C3">
        <w:rPr>
          <w:rFonts w:ascii="Times New Roman" w:hAnsi="Times New Roman" w:cs="Times New Roman"/>
          <w:sz w:val="28"/>
          <w:szCs w:val="28"/>
        </w:rPr>
        <w:t xml:space="preserve"> como el </w:t>
      </w:r>
      <w:r w:rsidRPr="006671C3">
        <w:rPr>
          <w:rFonts w:ascii="Times New Roman" w:hAnsi="Times New Roman" w:cs="Times New Roman"/>
          <w:i/>
          <w:sz w:val="28"/>
          <w:szCs w:val="28"/>
        </w:rPr>
        <w:t>importador</w:t>
      </w:r>
      <w:r w:rsidRPr="006671C3">
        <w:rPr>
          <w:rFonts w:ascii="Times New Roman" w:hAnsi="Times New Roman" w:cs="Times New Roman"/>
          <w:sz w:val="28"/>
          <w:szCs w:val="28"/>
        </w:rPr>
        <w:t xml:space="preserve"> </w:t>
      </w:r>
      <w:r w:rsidRPr="006671C3">
        <w:rPr>
          <w:rFonts w:ascii="Times New Roman" w:hAnsi="Times New Roman" w:cs="Times New Roman"/>
          <w:i/>
          <w:sz w:val="28"/>
          <w:szCs w:val="28"/>
        </w:rPr>
        <w:t>cuentan con las garantías previstas e</w:t>
      </w:r>
      <w:r w:rsidRPr="006671C3">
        <w:rPr>
          <w:rFonts w:ascii="Times New Roman" w:hAnsi="Times New Roman" w:cs="Times New Roman"/>
          <w:i/>
          <w:sz w:val="28"/>
          <w:szCs w:val="28"/>
        </w:rPr>
        <w:t>n estos tipos de procesos</w:t>
      </w:r>
      <w:r w:rsidRPr="006671C3">
        <w:rPr>
          <w:rFonts w:ascii="Times New Roman" w:hAnsi="Times New Roman" w:cs="Times New Roman"/>
          <w:sz w:val="28"/>
          <w:szCs w:val="28"/>
        </w:rPr>
        <w:t>, a saber, solicitar y aportar pruebas, controvertir las recepcionadas, presentar objeciones para desvirtuar la tipificación de la infracción o controvertir la aprehensión de la mercancía. También se debe señalar que la configuraci</w:t>
      </w:r>
      <w:r w:rsidRPr="006671C3">
        <w:rPr>
          <w:rFonts w:ascii="Times New Roman" w:hAnsi="Times New Roman" w:cs="Times New Roman"/>
          <w:sz w:val="28"/>
          <w:szCs w:val="28"/>
        </w:rPr>
        <w:t>ón de la causal de aprehensión (num. 8, art. 69), requiere probar la ocurrencia de las circunstancias del numeral 10 del artículo 7, las cuales implican un alto riesgo de que las operaciones de comercio exterior se hubieran realizado por usuarios que no ex</w:t>
      </w:r>
      <w:r w:rsidRPr="006671C3">
        <w:rPr>
          <w:rFonts w:ascii="Times New Roman" w:hAnsi="Times New Roman" w:cs="Times New Roman"/>
          <w:sz w:val="28"/>
          <w:szCs w:val="28"/>
        </w:rPr>
        <w:t>isten, que no tienen domicilio real, que no tienen capacidad financiera para llevar a cabo operaciones de comercio exterior o no logran acreditar la legalidad de sus recursos, que constituyen conductas asociadas con el lavado de activos, el contrabando y l</w:t>
      </w:r>
      <w:r w:rsidRPr="006671C3">
        <w:rPr>
          <w:rFonts w:ascii="Times New Roman" w:hAnsi="Times New Roman" w:cs="Times New Roman"/>
          <w:sz w:val="28"/>
          <w:szCs w:val="28"/>
        </w:rPr>
        <w:t>a evasión, entre otras.</w:t>
      </w:r>
    </w:p>
    <w:p w:rsidR="000E6BF6" w:rsidRPr="006671C3" w:rsidRDefault="006671C3" w:rsidP="000E6BF6">
      <w:pPr>
        <w:contextualSpacing/>
        <w:rPr>
          <w:rFonts w:ascii="Times New Roman" w:hAnsi="Times New Roman" w:cs="Times New Roman"/>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 xml:space="preserve">En consecuencia, </w:t>
      </w:r>
      <w:r w:rsidRPr="006671C3">
        <w:rPr>
          <w:rFonts w:ascii="Times New Roman" w:hAnsi="Times New Roman" w:cs="Times New Roman"/>
          <w:i/>
          <w:sz w:val="28"/>
          <w:szCs w:val="28"/>
        </w:rPr>
        <w:t>la contextualización normativa realizada</w:t>
      </w:r>
      <w:r w:rsidRPr="006671C3">
        <w:rPr>
          <w:rFonts w:ascii="Times New Roman" w:hAnsi="Times New Roman" w:cs="Times New Roman"/>
          <w:sz w:val="28"/>
          <w:szCs w:val="28"/>
        </w:rPr>
        <w:t xml:space="preserve"> permite señalar, en relación con los numerales acusados de los artículos 36 y 69 del Decreto Ley 920 de 2023, </w:t>
      </w:r>
      <w:r w:rsidRPr="006671C3">
        <w:rPr>
          <w:rFonts w:ascii="Times New Roman" w:hAnsi="Times New Roman" w:cs="Times New Roman"/>
          <w:i/>
          <w:sz w:val="28"/>
          <w:szCs w:val="28"/>
        </w:rPr>
        <w:t>la existencia de otros contenidos normativos que se interrelaci</w:t>
      </w:r>
      <w:r w:rsidRPr="006671C3">
        <w:rPr>
          <w:rFonts w:ascii="Times New Roman" w:hAnsi="Times New Roman" w:cs="Times New Roman"/>
          <w:i/>
          <w:sz w:val="28"/>
          <w:szCs w:val="28"/>
        </w:rPr>
        <w:t>onan estrechamente y que al no ser tenidos en cuenta</w:t>
      </w:r>
      <w:r w:rsidRPr="006671C3">
        <w:rPr>
          <w:rFonts w:ascii="Times New Roman" w:hAnsi="Times New Roman" w:cs="Times New Roman"/>
          <w:sz w:val="28"/>
          <w:szCs w:val="28"/>
        </w:rPr>
        <w:t xml:space="preserve"> por el demandante al formular la demanda llevan incluso a contradecir los presuntos argumentos de inconstitucionalidad. </w:t>
      </w:r>
    </w:p>
    <w:p w:rsidR="000E6BF6" w:rsidRPr="006671C3" w:rsidRDefault="006671C3" w:rsidP="000E6BF6">
      <w:pPr>
        <w:contextualSpacing/>
        <w:rPr>
          <w:rFonts w:ascii="Times New Roman" w:hAnsi="Times New Roman" w:cs="Times New Roman"/>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 xml:space="preserve">En esta medida, el análisis concordante e integral con las demás disposiciones de los decretos 920 de 2023 y 1165 de 2019 permite evidenciar que </w:t>
      </w:r>
      <w:r w:rsidRPr="006671C3">
        <w:rPr>
          <w:rFonts w:ascii="Times New Roman" w:hAnsi="Times New Roman" w:cs="Times New Roman"/>
          <w:i/>
          <w:sz w:val="28"/>
          <w:szCs w:val="28"/>
        </w:rPr>
        <w:t>las agencias de aduanas</w:t>
      </w:r>
      <w:r w:rsidRPr="006671C3">
        <w:rPr>
          <w:rFonts w:ascii="Times New Roman" w:hAnsi="Times New Roman" w:cs="Times New Roman"/>
          <w:sz w:val="28"/>
          <w:szCs w:val="28"/>
        </w:rPr>
        <w:t xml:space="preserve"> cumplen un papel relevante a nivel del Estado, como auxiliar de la función aduanera, qu</w:t>
      </w:r>
      <w:r w:rsidRPr="006671C3">
        <w:rPr>
          <w:rFonts w:ascii="Times New Roman" w:hAnsi="Times New Roman" w:cs="Times New Roman"/>
          <w:sz w:val="28"/>
          <w:szCs w:val="28"/>
        </w:rPr>
        <w:t xml:space="preserve">e </w:t>
      </w:r>
      <w:r w:rsidRPr="006671C3">
        <w:rPr>
          <w:rFonts w:ascii="Times New Roman" w:hAnsi="Times New Roman" w:cs="Times New Roman"/>
          <w:i/>
          <w:sz w:val="28"/>
          <w:szCs w:val="28"/>
        </w:rPr>
        <w:t>compromete un alto grado de responsabilidad</w:t>
      </w:r>
      <w:r w:rsidRPr="006671C3">
        <w:rPr>
          <w:rFonts w:ascii="Times New Roman" w:hAnsi="Times New Roman" w:cs="Times New Roman"/>
          <w:sz w:val="28"/>
          <w:szCs w:val="28"/>
        </w:rPr>
        <w:t xml:space="preserve"> por las infracciones derivadas del ejercicio de su actividad, principalmente por las circunstancias previstas en el numeral 10 del artículo 7 del Decreto Ley 920 de 2023</w:t>
      </w:r>
      <w:bookmarkStart w:id="42" w:name="_Hlk170823565"/>
      <w:r w:rsidRPr="006671C3">
        <w:rPr>
          <w:rFonts w:ascii="Times New Roman" w:hAnsi="Times New Roman" w:cs="Times New Roman"/>
          <w:sz w:val="28"/>
          <w:szCs w:val="28"/>
        </w:rPr>
        <w:t>.</w:t>
      </w:r>
      <w:bookmarkEnd w:id="42"/>
      <w:r w:rsidRPr="006671C3">
        <w:rPr>
          <w:rFonts w:ascii="Times New Roman" w:hAnsi="Times New Roman" w:cs="Times New Roman"/>
          <w:sz w:val="28"/>
          <w:szCs w:val="28"/>
        </w:rPr>
        <w:t xml:space="preserve"> En correspondencia con esta normativa, </w:t>
      </w:r>
      <w:r w:rsidRPr="006671C3">
        <w:rPr>
          <w:rFonts w:ascii="Times New Roman" w:hAnsi="Times New Roman" w:cs="Times New Roman"/>
          <w:sz w:val="28"/>
          <w:szCs w:val="28"/>
        </w:rPr>
        <w:t xml:space="preserve">las </w:t>
      </w:r>
      <w:r w:rsidRPr="006671C3">
        <w:rPr>
          <w:rFonts w:ascii="Times New Roman" w:hAnsi="Times New Roman" w:cs="Times New Roman"/>
          <w:i/>
          <w:sz w:val="28"/>
          <w:szCs w:val="28"/>
        </w:rPr>
        <w:t>causales de aprehensión y decomiso de mercancías</w:t>
      </w:r>
      <w:r w:rsidRPr="006671C3">
        <w:rPr>
          <w:rFonts w:ascii="Times New Roman" w:hAnsi="Times New Roman" w:cs="Times New Roman"/>
          <w:sz w:val="28"/>
          <w:szCs w:val="28"/>
        </w:rPr>
        <w:t xml:space="preserve"> se </w:t>
      </w:r>
      <w:r w:rsidRPr="006671C3">
        <w:rPr>
          <w:rFonts w:ascii="Times New Roman" w:hAnsi="Times New Roman" w:cs="Times New Roman"/>
          <w:i/>
          <w:sz w:val="28"/>
          <w:szCs w:val="28"/>
        </w:rPr>
        <w:t>sujetan a instancias y procedimientos</w:t>
      </w:r>
      <w:r w:rsidRPr="006671C3">
        <w:rPr>
          <w:rFonts w:ascii="Times New Roman" w:hAnsi="Times New Roman" w:cs="Times New Roman"/>
          <w:sz w:val="28"/>
          <w:szCs w:val="28"/>
        </w:rPr>
        <w:t>, que según otras disposiciones del régimen sancionatorio de aduanas permiten la vinculación de terceros (usuarios aduaneros) para establecer el grado de responsab</w:t>
      </w:r>
      <w:r w:rsidRPr="006671C3">
        <w:rPr>
          <w:rFonts w:ascii="Times New Roman" w:hAnsi="Times New Roman" w:cs="Times New Roman"/>
          <w:sz w:val="28"/>
          <w:szCs w:val="28"/>
        </w:rPr>
        <w:t>ilidad e imponer la sanción, determinando finalmente responsabilidades individuales conforme a la actividad desplegada y disponiendo de las garantías indispensables en el trámite sancionatorio.</w:t>
      </w:r>
    </w:p>
    <w:p w:rsidR="000E6BF6" w:rsidRPr="006671C3" w:rsidRDefault="006671C3" w:rsidP="000E6BF6">
      <w:pPr>
        <w:spacing w:after="0" w:line="240" w:lineRule="auto"/>
        <w:contextualSpacing/>
        <w:jc w:val="both"/>
        <w:rPr>
          <w:rFonts w:ascii="Times New Roman" w:hAnsi="Times New Roman" w:cs="Times New Roman"/>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 xml:space="preserve">De otra parte, la Corte halla que el accionante </w:t>
      </w:r>
      <w:r w:rsidRPr="006671C3">
        <w:rPr>
          <w:rFonts w:ascii="Times New Roman" w:hAnsi="Times New Roman" w:cs="Times New Roman"/>
          <w:i/>
          <w:sz w:val="28"/>
          <w:szCs w:val="28"/>
        </w:rPr>
        <w:t>omitió desarr</w:t>
      </w:r>
      <w:r w:rsidRPr="006671C3">
        <w:rPr>
          <w:rFonts w:ascii="Times New Roman" w:hAnsi="Times New Roman" w:cs="Times New Roman"/>
          <w:i/>
          <w:sz w:val="28"/>
          <w:szCs w:val="28"/>
        </w:rPr>
        <w:t>ollar adecuadamente el concepto de la violación</w:t>
      </w:r>
      <w:r w:rsidRPr="006671C3">
        <w:rPr>
          <w:rFonts w:ascii="Times New Roman" w:hAnsi="Times New Roman" w:cs="Times New Roman"/>
          <w:sz w:val="28"/>
          <w:szCs w:val="28"/>
        </w:rPr>
        <w:t xml:space="preserve"> al no exponer suficientemente argumentos que atendieran en su integralidad a los numerales acusados de los artículos 36 y 69 del Decreto Ley 920 de 2023. En relación con la </w:t>
      </w:r>
      <w:r w:rsidRPr="006671C3">
        <w:rPr>
          <w:rFonts w:ascii="Times New Roman" w:hAnsi="Times New Roman" w:cs="Times New Roman"/>
          <w:i/>
          <w:sz w:val="28"/>
          <w:szCs w:val="28"/>
        </w:rPr>
        <w:t>primera disposición</w:t>
      </w:r>
      <w:r w:rsidRPr="006671C3">
        <w:rPr>
          <w:rFonts w:ascii="Times New Roman" w:hAnsi="Times New Roman" w:cs="Times New Roman"/>
          <w:sz w:val="28"/>
          <w:szCs w:val="28"/>
        </w:rPr>
        <w:t xml:space="preserve"> se ha debido pa</w:t>
      </w:r>
      <w:r w:rsidRPr="006671C3">
        <w:rPr>
          <w:rFonts w:ascii="Times New Roman" w:hAnsi="Times New Roman" w:cs="Times New Roman"/>
          <w:sz w:val="28"/>
          <w:szCs w:val="28"/>
        </w:rPr>
        <w:t xml:space="preserve">rtir de la clasificación de las faltas (gravísimas), las implicaciones de prestar los servicios de agenciamiento aduanero y las circunstancias que involucraba en su totalidad el numeral 10 del artículo 7. Y respecto del </w:t>
      </w:r>
      <w:r w:rsidRPr="006671C3">
        <w:rPr>
          <w:rFonts w:ascii="Times New Roman" w:hAnsi="Times New Roman" w:cs="Times New Roman"/>
          <w:i/>
          <w:sz w:val="28"/>
          <w:szCs w:val="28"/>
        </w:rPr>
        <w:t>segundo artículo</w:t>
      </w:r>
      <w:r w:rsidRPr="006671C3">
        <w:rPr>
          <w:rFonts w:ascii="Times New Roman" w:hAnsi="Times New Roman" w:cs="Times New Roman"/>
          <w:sz w:val="28"/>
          <w:szCs w:val="28"/>
        </w:rPr>
        <w:t xml:space="preserve"> se dejó de valorar </w:t>
      </w:r>
      <w:r w:rsidRPr="006671C3">
        <w:rPr>
          <w:rFonts w:ascii="Times New Roman" w:hAnsi="Times New Roman" w:cs="Times New Roman"/>
          <w:sz w:val="28"/>
          <w:szCs w:val="28"/>
        </w:rPr>
        <w:t>el evento sobre la introducción al territorio aduanero nacional de mercancías como causal de aprehensión y decomiso, además de establecer su relación con las circunstancias del numeral 10 del artículo 7 del decreto en cuestión. Por lo tanto, no logró demos</w:t>
      </w:r>
      <w:r w:rsidRPr="006671C3">
        <w:rPr>
          <w:rFonts w:ascii="Times New Roman" w:hAnsi="Times New Roman" w:cs="Times New Roman"/>
          <w:sz w:val="28"/>
          <w:szCs w:val="28"/>
        </w:rPr>
        <w:t xml:space="preserve">trar con suficiencia cómo de los segmentos demandados se derivaba una violación del debido proceso y los principios de responsabilidad personal y de presunción de inocencia. </w:t>
      </w:r>
    </w:p>
    <w:p w:rsidR="000E6BF6" w:rsidRPr="006671C3" w:rsidRDefault="006671C3" w:rsidP="000E6BF6">
      <w:pPr>
        <w:spacing w:after="0" w:line="240" w:lineRule="auto"/>
        <w:contextualSpacing/>
        <w:rPr>
          <w:rFonts w:ascii="Times New Roman" w:hAnsi="Times New Roman" w:cs="Times New Roman"/>
          <w:b/>
          <w:sz w:val="28"/>
          <w:szCs w:val="28"/>
        </w:rPr>
      </w:pPr>
    </w:p>
    <w:p w:rsidR="000E6BF6" w:rsidRPr="006671C3" w:rsidRDefault="006671C3" w:rsidP="000E6BF6">
      <w:pPr>
        <w:spacing w:after="0" w:line="240" w:lineRule="auto"/>
        <w:contextualSpacing/>
        <w:rPr>
          <w:rFonts w:ascii="Times New Roman" w:hAnsi="Times New Roman" w:cs="Times New Roman"/>
          <w:b/>
          <w:sz w:val="28"/>
          <w:szCs w:val="28"/>
        </w:rPr>
      </w:pPr>
      <w:r w:rsidRPr="006671C3">
        <w:rPr>
          <w:rFonts w:ascii="Times New Roman" w:hAnsi="Times New Roman" w:cs="Times New Roman"/>
          <w:b/>
          <w:sz w:val="28"/>
          <w:szCs w:val="28"/>
        </w:rPr>
        <w:t>Consideraciones adicionales</w:t>
      </w:r>
    </w:p>
    <w:p w:rsidR="000E6BF6" w:rsidRPr="006671C3" w:rsidRDefault="006671C3" w:rsidP="000E6BF6">
      <w:pPr>
        <w:spacing w:after="0" w:line="240" w:lineRule="auto"/>
        <w:contextualSpacing/>
        <w:rPr>
          <w:rFonts w:ascii="Times New Roman" w:hAnsi="Times New Roman" w:cs="Times New Roman"/>
          <w:b/>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Ahora bien, el incumplimiento del requisito de cert</w:t>
      </w:r>
      <w:r w:rsidRPr="006671C3">
        <w:rPr>
          <w:rFonts w:ascii="Times New Roman" w:hAnsi="Times New Roman" w:cs="Times New Roman"/>
          <w:sz w:val="28"/>
          <w:szCs w:val="28"/>
        </w:rPr>
        <w:t xml:space="preserve">eza respecto de los cinco cargos formulados genera un impacto sobre la demás carga argumentativa exigida por la jurisprudencia de la Corte, al no suscitar una verdadera controversia constitucional o pretensión de inconstitucionalidad. </w:t>
      </w:r>
    </w:p>
    <w:p w:rsidR="000E6BF6" w:rsidRPr="006671C3" w:rsidRDefault="006671C3" w:rsidP="000E6BF6">
      <w:pPr>
        <w:contextualSpacing/>
        <w:rPr>
          <w:rFonts w:ascii="Times New Roman" w:hAnsi="Times New Roman" w:cs="Times New Roman"/>
          <w:sz w:val="28"/>
          <w:szCs w:val="28"/>
        </w:rPr>
      </w:pPr>
    </w:p>
    <w:p w:rsidR="000E6BF6" w:rsidRPr="006671C3" w:rsidRDefault="006671C3" w:rsidP="000E6BF6">
      <w:pPr>
        <w:numPr>
          <w:ilvl w:val="0"/>
          <w:numId w:val="11"/>
        </w:numPr>
        <w:tabs>
          <w:tab w:val="left" w:pos="709"/>
        </w:tabs>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 xml:space="preserve">Ocasiona una falta </w:t>
      </w:r>
      <w:r w:rsidRPr="006671C3">
        <w:rPr>
          <w:rFonts w:ascii="Times New Roman" w:hAnsi="Times New Roman" w:cs="Times New Roman"/>
          <w:sz w:val="28"/>
          <w:szCs w:val="28"/>
        </w:rPr>
        <w:t xml:space="preserve">de </w:t>
      </w:r>
      <w:r w:rsidRPr="006671C3">
        <w:rPr>
          <w:rFonts w:ascii="Times New Roman" w:hAnsi="Times New Roman" w:cs="Times New Roman"/>
          <w:i/>
          <w:sz w:val="28"/>
          <w:szCs w:val="28"/>
        </w:rPr>
        <w:t>claridad</w:t>
      </w:r>
      <w:r w:rsidRPr="006671C3">
        <w:rPr>
          <w:rFonts w:ascii="Times New Roman" w:hAnsi="Times New Roman" w:cs="Times New Roman"/>
          <w:sz w:val="28"/>
          <w:szCs w:val="28"/>
        </w:rPr>
        <w:t xml:space="preserve"> en la demanda toda vez que no responden de forma nítida al contexto normativo en el cual se insertan los apartes demandados y, con ello, impidiendo captar la fundamentación de lo pretendido, esto es, en qué sentido se infringe la Carta</w:t>
      </w:r>
      <w:r w:rsidRPr="006671C3">
        <w:rPr>
          <w:rFonts w:ascii="Times New Roman" w:hAnsi="Times New Roman" w:cs="Times New Roman"/>
          <w:sz w:val="28"/>
          <w:szCs w:val="28"/>
          <w:vertAlign w:val="superscript"/>
        </w:rPr>
        <w:footnoteReference w:id="140"/>
      </w:r>
      <w:r w:rsidRPr="006671C3">
        <w:rPr>
          <w:rFonts w:ascii="Times New Roman" w:hAnsi="Times New Roman" w:cs="Times New Roman"/>
          <w:sz w:val="28"/>
          <w:szCs w:val="28"/>
        </w:rPr>
        <w:t xml:space="preserve">. En la </w:t>
      </w:r>
      <w:r w:rsidRPr="006671C3">
        <w:rPr>
          <w:rFonts w:ascii="Times New Roman" w:hAnsi="Times New Roman" w:cs="Times New Roman"/>
          <w:sz w:val="28"/>
          <w:szCs w:val="28"/>
        </w:rPr>
        <w:t xml:space="preserve">misma dirección, se incumple el presupuesto de </w:t>
      </w:r>
      <w:r w:rsidRPr="006671C3">
        <w:rPr>
          <w:rFonts w:ascii="Times New Roman" w:hAnsi="Times New Roman" w:cs="Times New Roman"/>
          <w:i/>
          <w:sz w:val="28"/>
          <w:szCs w:val="28"/>
        </w:rPr>
        <w:t>especificidad</w:t>
      </w:r>
      <w:r w:rsidRPr="006671C3">
        <w:rPr>
          <w:rFonts w:ascii="Times New Roman" w:hAnsi="Times New Roman" w:cs="Times New Roman"/>
          <w:sz w:val="28"/>
          <w:szCs w:val="28"/>
        </w:rPr>
        <w:t xml:space="preserve"> ya que al partir de un entendimiento que no se acompasa con su sentido y alcance, visto el contexto normativo del cual hacen parte, los presuntos cargos no alcanzan a evidenciar que las normas pa</w:t>
      </w:r>
      <w:r w:rsidRPr="006671C3">
        <w:rPr>
          <w:rFonts w:ascii="Times New Roman" w:hAnsi="Times New Roman" w:cs="Times New Roman"/>
          <w:sz w:val="28"/>
          <w:szCs w:val="28"/>
        </w:rPr>
        <w:t xml:space="preserve">rcialmente acusadas incurren en los defectos de validez constitucional y, por tanto, menos de demostrar de forma puntual cómo se genera una contradicción entre lo demandado y las disposiciones constitucionales. La concreción de un cargo supone puntualidad </w:t>
      </w:r>
      <w:r w:rsidRPr="006671C3">
        <w:rPr>
          <w:rFonts w:ascii="Times New Roman" w:hAnsi="Times New Roman" w:cs="Times New Roman"/>
          <w:sz w:val="28"/>
          <w:szCs w:val="28"/>
        </w:rPr>
        <w:t>en la censura, es decir, la demostración de que el enunciado normativo exhibe un problema de validez constitucional y la explicación de la manera en que esa consecuencia le es atribuible</w:t>
      </w:r>
      <w:r w:rsidRPr="006671C3">
        <w:rPr>
          <w:rFonts w:ascii="Times New Roman" w:hAnsi="Times New Roman" w:cs="Times New Roman"/>
          <w:sz w:val="28"/>
          <w:szCs w:val="28"/>
          <w:vertAlign w:val="superscript"/>
        </w:rPr>
        <w:footnoteReference w:id="141"/>
      </w:r>
      <w:r w:rsidRPr="006671C3">
        <w:rPr>
          <w:rFonts w:ascii="Times New Roman" w:hAnsi="Times New Roman" w:cs="Times New Roman"/>
          <w:sz w:val="28"/>
          <w:szCs w:val="28"/>
        </w:rPr>
        <w:t>.</w:t>
      </w:r>
    </w:p>
    <w:p w:rsidR="000E6BF6" w:rsidRPr="006671C3" w:rsidRDefault="006671C3" w:rsidP="000E6BF6">
      <w:pPr>
        <w:contextualSpacing/>
        <w:rPr>
          <w:rFonts w:ascii="Times New Roman" w:hAnsi="Times New Roman" w:cs="Times New Roman"/>
          <w:sz w:val="28"/>
          <w:szCs w:val="28"/>
        </w:rPr>
      </w:pPr>
    </w:p>
    <w:p w:rsidR="000E6BF6" w:rsidRPr="006671C3" w:rsidRDefault="006671C3" w:rsidP="000E6BF6">
      <w:pPr>
        <w:numPr>
          <w:ilvl w:val="0"/>
          <w:numId w:val="11"/>
        </w:numPr>
        <w:tabs>
          <w:tab w:val="left" w:pos="709"/>
        </w:tabs>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 xml:space="preserve">De igual modo, para esta corporación genera la ausencia de </w:t>
      </w:r>
      <w:r w:rsidRPr="006671C3">
        <w:rPr>
          <w:rFonts w:ascii="Times New Roman" w:hAnsi="Times New Roman" w:cs="Times New Roman"/>
          <w:i/>
          <w:sz w:val="28"/>
          <w:szCs w:val="28"/>
        </w:rPr>
        <w:t>pertinencia</w:t>
      </w:r>
      <w:r w:rsidRPr="006671C3">
        <w:rPr>
          <w:rFonts w:ascii="Times New Roman" w:hAnsi="Times New Roman" w:cs="Times New Roman"/>
          <w:sz w:val="28"/>
          <w:szCs w:val="28"/>
        </w:rPr>
        <w:t xml:space="preserve"> dado que los planteamientos de la demanda no recaen sobre auténticas controversias constitucionales</w:t>
      </w:r>
      <w:r w:rsidRPr="006671C3">
        <w:rPr>
          <w:rFonts w:ascii="Times New Roman" w:hAnsi="Times New Roman" w:cs="Times New Roman"/>
          <w:sz w:val="28"/>
          <w:szCs w:val="28"/>
          <w:vertAlign w:val="superscript"/>
        </w:rPr>
        <w:footnoteReference w:id="142"/>
      </w:r>
      <w:r w:rsidRPr="006671C3">
        <w:rPr>
          <w:rFonts w:ascii="Times New Roman" w:hAnsi="Times New Roman" w:cs="Times New Roman"/>
          <w:sz w:val="28"/>
          <w:szCs w:val="28"/>
        </w:rPr>
        <w:t>, menos pueden gravitar en la inconveniencia</w:t>
      </w:r>
      <w:r w:rsidRPr="006671C3">
        <w:rPr>
          <w:rFonts w:ascii="Times New Roman" w:hAnsi="Times New Roman" w:cs="Times New Roman"/>
          <w:sz w:val="28"/>
          <w:szCs w:val="28"/>
          <w:vertAlign w:val="superscript"/>
        </w:rPr>
        <w:footnoteReference w:id="143"/>
      </w:r>
      <w:r w:rsidRPr="006671C3">
        <w:rPr>
          <w:rFonts w:ascii="Times New Roman" w:hAnsi="Times New Roman" w:cs="Times New Roman"/>
          <w:sz w:val="28"/>
          <w:szCs w:val="28"/>
        </w:rPr>
        <w:t xml:space="preserve">  de los apartes cuestionados o la inconformidad</w:t>
      </w:r>
      <w:r w:rsidRPr="006671C3">
        <w:rPr>
          <w:rFonts w:ascii="Times New Roman" w:hAnsi="Times New Roman" w:cs="Times New Roman"/>
          <w:sz w:val="28"/>
          <w:szCs w:val="28"/>
          <w:vertAlign w:val="superscript"/>
        </w:rPr>
        <w:footnoteReference w:id="144"/>
      </w:r>
      <w:r w:rsidRPr="006671C3">
        <w:rPr>
          <w:rFonts w:ascii="Times New Roman" w:hAnsi="Times New Roman" w:cs="Times New Roman"/>
          <w:sz w:val="28"/>
          <w:szCs w:val="28"/>
        </w:rPr>
        <w:t xml:space="preserve">  respecto de su aplicación. Por último, lo argume</w:t>
      </w:r>
      <w:r w:rsidRPr="006671C3">
        <w:rPr>
          <w:rFonts w:ascii="Times New Roman" w:hAnsi="Times New Roman" w:cs="Times New Roman"/>
          <w:sz w:val="28"/>
          <w:szCs w:val="28"/>
        </w:rPr>
        <w:t>ntado no tiene el valor suficiente para desvirtuar por sí mismo o poner en entredicho la presunción de constitucionalidad que ampara a los segmentos acusados, máxime cuando no se atienden ni confrontan las particularidades de la legislación en que se inser</w:t>
      </w:r>
      <w:r w:rsidRPr="006671C3">
        <w:rPr>
          <w:rFonts w:ascii="Times New Roman" w:hAnsi="Times New Roman" w:cs="Times New Roman"/>
          <w:sz w:val="28"/>
          <w:szCs w:val="28"/>
        </w:rPr>
        <w:t>tan. Por consiguiente, la demanda incumple el requisito de suficiencia al carecer del alcance persuasivo indispensable para suscitar una duda mínima de inconstitucionalidad</w:t>
      </w:r>
      <w:r w:rsidRPr="006671C3">
        <w:rPr>
          <w:rFonts w:ascii="Times New Roman" w:hAnsi="Times New Roman" w:cs="Times New Roman"/>
          <w:sz w:val="28"/>
          <w:szCs w:val="28"/>
          <w:vertAlign w:val="superscript"/>
        </w:rPr>
        <w:footnoteReference w:id="145"/>
      </w:r>
      <w:r w:rsidRPr="006671C3">
        <w:rPr>
          <w:rFonts w:ascii="Times New Roman" w:hAnsi="Times New Roman" w:cs="Times New Roman"/>
          <w:sz w:val="28"/>
          <w:szCs w:val="28"/>
        </w:rPr>
        <w:t>.</w:t>
      </w:r>
    </w:p>
    <w:p w:rsidR="000E6BF6" w:rsidRPr="006671C3" w:rsidRDefault="006671C3" w:rsidP="000E6BF6">
      <w:pPr>
        <w:spacing w:after="0" w:line="240" w:lineRule="auto"/>
        <w:contextualSpacing/>
        <w:rPr>
          <w:rFonts w:ascii="Times New Roman" w:hAnsi="Times New Roman" w:cs="Times New Roman"/>
          <w:b/>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 xml:space="preserve">Ni aun aplicando el principio </w:t>
      </w:r>
      <w:r w:rsidRPr="006671C3">
        <w:rPr>
          <w:rFonts w:ascii="Times New Roman" w:hAnsi="Times New Roman" w:cs="Times New Roman"/>
          <w:i/>
          <w:sz w:val="28"/>
          <w:szCs w:val="28"/>
        </w:rPr>
        <w:t>pro actione</w:t>
      </w:r>
      <w:r w:rsidRPr="006671C3">
        <w:rPr>
          <w:rFonts w:ascii="Times New Roman" w:hAnsi="Times New Roman" w:cs="Times New Roman"/>
          <w:sz w:val="28"/>
          <w:szCs w:val="28"/>
        </w:rPr>
        <w:t xml:space="preserve"> (a favor de la acción) es factible que</w:t>
      </w:r>
      <w:r w:rsidRPr="006671C3">
        <w:rPr>
          <w:rFonts w:ascii="Times New Roman" w:hAnsi="Times New Roman" w:cs="Times New Roman"/>
          <w:sz w:val="28"/>
          <w:szCs w:val="28"/>
        </w:rPr>
        <w:t xml:space="preserve"> la Corte profiera una decisión de fondo, por cuanto la omisión principal endilgada al demandante (falta de contexto normativo), además de restar fuerza a la argumentación formulada, llevaría a la Corte a incurrir en un control oficioso no permitido en est</w:t>
      </w:r>
      <w:r w:rsidRPr="006671C3">
        <w:rPr>
          <w:rFonts w:ascii="Times New Roman" w:hAnsi="Times New Roman" w:cs="Times New Roman"/>
          <w:sz w:val="28"/>
          <w:szCs w:val="28"/>
        </w:rPr>
        <w:t>e tipo de demandas de inconstitucionalidad que se sujetan al control rogado o por vía de acción</w:t>
      </w:r>
      <w:r w:rsidRPr="006671C3">
        <w:rPr>
          <w:rFonts w:ascii="Times New Roman" w:hAnsi="Times New Roman" w:cs="Times New Roman"/>
          <w:sz w:val="28"/>
          <w:szCs w:val="28"/>
          <w:vertAlign w:val="superscript"/>
        </w:rPr>
        <w:footnoteReference w:id="146"/>
      </w:r>
      <w:r w:rsidRPr="006671C3">
        <w:rPr>
          <w:rFonts w:ascii="Times New Roman" w:hAnsi="Times New Roman" w:cs="Times New Roman"/>
          <w:sz w:val="28"/>
          <w:szCs w:val="28"/>
        </w:rPr>
        <w:t xml:space="preserve">. </w:t>
      </w:r>
    </w:p>
    <w:p w:rsidR="000E6BF6" w:rsidRPr="006671C3" w:rsidRDefault="006671C3" w:rsidP="000E6BF6">
      <w:pPr>
        <w:contextualSpacing/>
        <w:rPr>
          <w:rFonts w:ascii="Times New Roman" w:hAnsi="Times New Roman" w:cs="Times New Roman"/>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La función de este tribunal constitucional consiste en examinar si el legislador quebrantó la Constitución, por lo que su actividad no se puede concentrar e</w:t>
      </w:r>
      <w:r w:rsidRPr="006671C3">
        <w:rPr>
          <w:rFonts w:ascii="Times New Roman" w:hAnsi="Times New Roman" w:cs="Times New Roman"/>
          <w:sz w:val="28"/>
          <w:szCs w:val="28"/>
        </w:rPr>
        <w:t>n definir las interpretaciones legales (lectura sistemática) del ordenamiento jurídico. Menos puede llegar al extremo de suplantar al actor y reformular completamente la demanda presentada para proceder al examen sustancial solicitado, máxime cuando se exp</w:t>
      </w:r>
      <w:r w:rsidRPr="006671C3">
        <w:rPr>
          <w:rFonts w:ascii="Times New Roman" w:hAnsi="Times New Roman" w:cs="Times New Roman"/>
          <w:sz w:val="28"/>
          <w:szCs w:val="28"/>
        </w:rPr>
        <w:t xml:space="preserve">onen </w:t>
      </w:r>
      <w:r w:rsidRPr="006671C3">
        <w:rPr>
          <w:rFonts w:ascii="Times New Roman" w:hAnsi="Times New Roman" w:cs="Times New Roman"/>
          <w:i/>
          <w:sz w:val="28"/>
          <w:szCs w:val="28"/>
        </w:rPr>
        <w:t>consideraciones adicionales</w:t>
      </w:r>
      <w:r w:rsidRPr="006671C3">
        <w:rPr>
          <w:rFonts w:ascii="Times New Roman" w:hAnsi="Times New Roman" w:cs="Times New Roman"/>
          <w:sz w:val="28"/>
          <w:szCs w:val="28"/>
        </w:rPr>
        <w:t xml:space="preserve"> que profundizan aún más la ineptitud, pues esta es una carga mínima que se impone al ciudadano para ejercer su derecho político a interponer acciones públicas en defensa de la Constitución</w:t>
      </w:r>
      <w:r w:rsidRPr="006671C3">
        <w:rPr>
          <w:rFonts w:ascii="Times New Roman" w:hAnsi="Times New Roman" w:cs="Times New Roman"/>
          <w:sz w:val="28"/>
          <w:szCs w:val="28"/>
          <w:vertAlign w:val="superscript"/>
        </w:rPr>
        <w:footnoteReference w:id="147"/>
      </w:r>
      <w:r w:rsidRPr="006671C3">
        <w:rPr>
          <w:rFonts w:ascii="Times New Roman" w:hAnsi="Times New Roman" w:cs="Times New Roman"/>
          <w:sz w:val="28"/>
          <w:szCs w:val="28"/>
        </w:rPr>
        <w:t>.</w:t>
      </w:r>
    </w:p>
    <w:p w:rsidR="000E6BF6" w:rsidRPr="006671C3" w:rsidRDefault="006671C3" w:rsidP="000E6BF6">
      <w:pPr>
        <w:contextualSpacing/>
        <w:rPr>
          <w:rFonts w:ascii="Times New Roman" w:hAnsi="Times New Roman" w:cs="Times New Roman"/>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Además, habilitar un pronunciam</w:t>
      </w:r>
      <w:r w:rsidRPr="006671C3">
        <w:rPr>
          <w:rFonts w:ascii="Times New Roman" w:hAnsi="Times New Roman" w:cs="Times New Roman"/>
          <w:sz w:val="28"/>
          <w:szCs w:val="28"/>
        </w:rPr>
        <w:t>iento de fondo ocasionaría un efecto adverso a principios y derechos que cimientan el orden constitucional y resulta forzoso preservar, como lo son la presunción de constitucionalidad que ampara a las normas legales, el principio de participación en el con</w:t>
      </w:r>
      <w:r w:rsidRPr="006671C3">
        <w:rPr>
          <w:rFonts w:ascii="Times New Roman" w:hAnsi="Times New Roman" w:cs="Times New Roman"/>
          <w:sz w:val="28"/>
          <w:szCs w:val="28"/>
        </w:rPr>
        <w:t xml:space="preserve">trol del poder político (interponer acciones públicas en defensa de la Constitución) y el derecho de acceso a la administración de justicia. </w:t>
      </w:r>
    </w:p>
    <w:p w:rsidR="000E6BF6" w:rsidRPr="006671C3" w:rsidRDefault="006671C3" w:rsidP="000E6BF6">
      <w:pPr>
        <w:contextualSpacing/>
        <w:rPr>
          <w:rFonts w:ascii="Times New Roman" w:hAnsi="Times New Roman" w:cs="Times New Roman"/>
          <w:sz w:val="28"/>
          <w:szCs w:val="28"/>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sz w:val="28"/>
          <w:szCs w:val="28"/>
        </w:rPr>
        <w:t>La Sala Plena ha sostenido que “</w:t>
      </w:r>
      <w:r w:rsidRPr="006671C3">
        <w:rPr>
          <w:rFonts w:ascii="Times New Roman" w:hAnsi="Times New Roman" w:cs="Times New Roman"/>
          <w:color w:val="000000" w:themeColor="text1"/>
          <w:sz w:val="28"/>
          <w:szCs w:val="28"/>
          <w:lang w:val="es-ES" w:eastAsia="es-ES"/>
        </w:rPr>
        <w:t>no tiene la competencia para llenar este vacío en la argumentación</w:t>
      </w:r>
      <w:r w:rsidRPr="006671C3">
        <w:rPr>
          <w:rFonts w:ascii="Times New Roman" w:hAnsi="Times New Roman" w:cs="Times New Roman"/>
          <w:color w:val="000000" w:themeColor="text1"/>
          <w:sz w:val="28"/>
          <w:szCs w:val="28"/>
          <w:lang w:eastAsia="es-ES"/>
        </w:rPr>
        <w:t xml:space="preserve">, lo cual </w:t>
      </w:r>
      <w:r w:rsidRPr="006671C3">
        <w:rPr>
          <w:rFonts w:ascii="Times New Roman" w:hAnsi="Times New Roman" w:cs="Times New Roman"/>
          <w:color w:val="000000" w:themeColor="text1"/>
          <w:sz w:val="28"/>
          <w:szCs w:val="28"/>
          <w:lang w:val="es-ES" w:eastAsia="es-ES"/>
        </w:rPr>
        <w:t>podrí</w:t>
      </w:r>
      <w:r w:rsidRPr="006671C3">
        <w:rPr>
          <w:rFonts w:ascii="Times New Roman" w:hAnsi="Times New Roman" w:cs="Times New Roman"/>
          <w:color w:val="000000" w:themeColor="text1"/>
          <w:sz w:val="28"/>
          <w:szCs w:val="28"/>
          <w:lang w:val="es-ES" w:eastAsia="es-ES"/>
        </w:rPr>
        <w:t>a afectar el derecho ciudadano de participación y de control del poder político, e incluso resultaría contrario al modelo de democracia participativa</w:t>
      </w:r>
      <w:r w:rsidRPr="006671C3">
        <w:rPr>
          <w:rFonts w:ascii="Times New Roman" w:hAnsi="Times New Roman" w:cs="Times New Roman"/>
          <w:sz w:val="28"/>
          <w:vertAlign w:val="superscript"/>
          <w:lang w:val="es-ES" w:eastAsia="es-ES"/>
        </w:rPr>
        <w:footnoteReference w:id="148"/>
      </w:r>
      <w:r w:rsidRPr="006671C3">
        <w:rPr>
          <w:rFonts w:ascii="Times New Roman" w:hAnsi="Times New Roman" w:cs="Times New Roman"/>
          <w:color w:val="000000" w:themeColor="text1"/>
          <w:sz w:val="28"/>
          <w:szCs w:val="28"/>
          <w:lang w:val="es-ES" w:eastAsia="es-ES"/>
        </w:rPr>
        <w:t xml:space="preserve">. Esto, ya que </w:t>
      </w:r>
      <w:r w:rsidRPr="006671C3">
        <w:rPr>
          <w:rFonts w:ascii="Times New Roman" w:hAnsi="Times New Roman" w:cs="Times New Roman"/>
          <w:i/>
          <w:color w:val="000000" w:themeColor="text1"/>
          <w:sz w:val="28"/>
          <w:szCs w:val="28"/>
          <w:lang w:val="es-ES" w:eastAsia="es-ES"/>
        </w:rPr>
        <w:t>una eventual declaratoria de exequibilidad de la[s] norma[s]</w:t>
      </w:r>
      <w:r w:rsidRPr="006671C3">
        <w:rPr>
          <w:rFonts w:ascii="Times New Roman" w:hAnsi="Times New Roman" w:cs="Times New Roman"/>
          <w:color w:val="000000" w:themeColor="text1"/>
          <w:sz w:val="28"/>
          <w:szCs w:val="28"/>
          <w:lang w:val="es-ES" w:eastAsia="es-ES"/>
        </w:rPr>
        <w:t xml:space="preserve">, </w:t>
      </w:r>
      <w:bookmarkStart w:id="43" w:name="_Hlk169964902"/>
      <w:r w:rsidRPr="006671C3">
        <w:rPr>
          <w:rFonts w:ascii="Times New Roman" w:hAnsi="Times New Roman" w:cs="Times New Roman"/>
          <w:i/>
          <w:color w:val="000000" w:themeColor="text1"/>
          <w:sz w:val="28"/>
          <w:szCs w:val="28"/>
          <w:lang w:val="es-ES" w:eastAsia="es-ES"/>
        </w:rPr>
        <w:t>impediría que otros ciudadano</w:t>
      </w:r>
      <w:r w:rsidRPr="006671C3">
        <w:rPr>
          <w:rFonts w:ascii="Times New Roman" w:hAnsi="Times New Roman" w:cs="Times New Roman"/>
          <w:i/>
          <w:color w:val="000000" w:themeColor="text1"/>
          <w:sz w:val="28"/>
          <w:szCs w:val="28"/>
          <w:lang w:val="es-ES" w:eastAsia="es-ES"/>
        </w:rPr>
        <w:t>s presenten posteriormente nuevas demandas de inconstitucionalidad que sí cumplan con los requisitos necesarios para ser revisada y que tenga[n] la posibilidad de prosperar</w:t>
      </w:r>
      <w:r w:rsidRPr="006671C3">
        <w:rPr>
          <w:rFonts w:ascii="Times New Roman" w:hAnsi="Times New Roman" w:cs="Times New Roman"/>
          <w:color w:val="000000" w:themeColor="text1"/>
          <w:sz w:val="28"/>
          <w:szCs w:val="28"/>
          <w:lang w:val="es-ES" w:eastAsia="es-ES"/>
        </w:rPr>
        <w:t>”</w:t>
      </w:r>
      <w:r w:rsidRPr="006671C3">
        <w:rPr>
          <w:rFonts w:ascii="Times New Roman" w:hAnsi="Times New Roman" w:cs="Times New Roman"/>
          <w:color w:val="000000" w:themeColor="text1"/>
          <w:sz w:val="28"/>
          <w:szCs w:val="28"/>
          <w:vertAlign w:val="superscript"/>
          <w:lang w:val="es-ES" w:eastAsia="es-ES"/>
        </w:rPr>
        <w:footnoteReference w:id="149"/>
      </w:r>
      <w:r w:rsidRPr="006671C3">
        <w:rPr>
          <w:rFonts w:ascii="Times New Roman" w:hAnsi="Times New Roman" w:cs="Times New Roman"/>
          <w:color w:val="000000" w:themeColor="text1"/>
          <w:sz w:val="28"/>
          <w:szCs w:val="28"/>
          <w:lang w:val="es-ES" w:eastAsia="es-ES"/>
        </w:rPr>
        <w:t>.</w:t>
      </w:r>
      <w:bookmarkEnd w:id="43"/>
    </w:p>
    <w:p w:rsidR="000E6BF6" w:rsidRPr="006671C3" w:rsidRDefault="006671C3" w:rsidP="000E6BF6">
      <w:pPr>
        <w:contextualSpacing/>
        <w:rPr>
          <w:rFonts w:ascii="Times New Roman" w:hAnsi="Times New Roman" w:cs="Times New Roman"/>
          <w:color w:val="000000" w:themeColor="text1"/>
          <w:sz w:val="28"/>
          <w:szCs w:val="28"/>
          <w:lang w:eastAsia="es-ES"/>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color w:val="000000" w:themeColor="text1"/>
          <w:sz w:val="28"/>
          <w:szCs w:val="28"/>
          <w:lang w:eastAsia="es-ES"/>
        </w:rPr>
        <w:t xml:space="preserve">Finalmente, esta decisión implica la ausencia de cosa juzgada constitucional </w:t>
      </w:r>
      <w:r w:rsidRPr="006671C3">
        <w:rPr>
          <w:rFonts w:ascii="Times New Roman" w:hAnsi="Times New Roman" w:cs="Times New Roman"/>
          <w:color w:val="000000" w:themeColor="text1"/>
          <w:sz w:val="28"/>
          <w:szCs w:val="28"/>
          <w:lang w:eastAsia="es-ES"/>
        </w:rPr>
        <w:t>frente a las normas impugnadas, por lo que se torna viable la posibilidad de presentar nuevas acciones de inconstitucionalidad contra ellas, lo cual se eliminaría si la Corte pese a las deficiencias argumentativas optara de manera oficiosa por una decisión</w:t>
      </w:r>
      <w:r w:rsidRPr="006671C3">
        <w:rPr>
          <w:rFonts w:ascii="Times New Roman" w:hAnsi="Times New Roman" w:cs="Times New Roman"/>
          <w:color w:val="000000" w:themeColor="text1"/>
          <w:sz w:val="28"/>
          <w:szCs w:val="28"/>
          <w:lang w:eastAsia="es-ES"/>
        </w:rPr>
        <w:t xml:space="preserve"> de fondo</w:t>
      </w:r>
      <w:r w:rsidRPr="006671C3">
        <w:rPr>
          <w:rFonts w:ascii="Times New Roman" w:hAnsi="Times New Roman" w:cs="Times New Roman"/>
          <w:color w:val="000000" w:themeColor="text1"/>
          <w:sz w:val="28"/>
          <w:szCs w:val="28"/>
          <w:vertAlign w:val="superscript"/>
          <w:lang w:eastAsia="es-ES"/>
        </w:rPr>
        <w:footnoteReference w:id="150"/>
      </w:r>
      <w:r w:rsidRPr="006671C3">
        <w:rPr>
          <w:rFonts w:ascii="Times New Roman" w:hAnsi="Times New Roman" w:cs="Times New Roman"/>
          <w:color w:val="000000" w:themeColor="text1"/>
          <w:sz w:val="28"/>
          <w:szCs w:val="28"/>
          <w:lang w:eastAsia="es-ES"/>
        </w:rPr>
        <w:t xml:space="preserve">. </w:t>
      </w:r>
    </w:p>
    <w:p w:rsidR="000E6BF6" w:rsidRPr="006671C3" w:rsidRDefault="006671C3" w:rsidP="000E6BF6">
      <w:pPr>
        <w:contextualSpacing/>
        <w:rPr>
          <w:rFonts w:ascii="Times New Roman" w:hAnsi="Times New Roman" w:cs="Times New Roman"/>
          <w:color w:val="000000" w:themeColor="text1"/>
          <w:sz w:val="28"/>
          <w:szCs w:val="28"/>
          <w:lang w:eastAsia="es-ES"/>
        </w:rPr>
      </w:pPr>
    </w:p>
    <w:p w:rsidR="000E6BF6" w:rsidRPr="006671C3" w:rsidRDefault="006671C3" w:rsidP="000E6BF6">
      <w:pPr>
        <w:numPr>
          <w:ilvl w:val="0"/>
          <w:numId w:val="11"/>
        </w:numPr>
        <w:spacing w:after="0" w:line="240" w:lineRule="auto"/>
        <w:ind w:left="0" w:firstLine="0"/>
        <w:contextualSpacing/>
        <w:jc w:val="both"/>
        <w:rPr>
          <w:rFonts w:ascii="Times New Roman" w:hAnsi="Times New Roman" w:cs="Times New Roman"/>
          <w:sz w:val="28"/>
          <w:szCs w:val="28"/>
        </w:rPr>
      </w:pPr>
      <w:r w:rsidRPr="006671C3">
        <w:rPr>
          <w:rFonts w:ascii="Times New Roman" w:hAnsi="Times New Roman" w:cs="Times New Roman"/>
          <w:color w:val="000000" w:themeColor="text1"/>
          <w:sz w:val="28"/>
          <w:szCs w:val="28"/>
          <w:lang w:eastAsia="es-ES"/>
        </w:rPr>
        <w:t>Por</w:t>
      </w:r>
      <w:r w:rsidRPr="006671C3">
        <w:rPr>
          <w:rFonts w:ascii="Times New Roman" w:hAnsi="Times New Roman" w:cs="Times New Roman"/>
          <w:color w:val="000000" w:themeColor="text1"/>
          <w:sz w:val="28"/>
          <w:szCs w:val="28"/>
          <w:lang w:val="es-ES" w:eastAsia="es-ES"/>
        </w:rPr>
        <w:t xml:space="preserve"> todo lo anterior</w:t>
      </w:r>
      <w:r w:rsidRPr="006671C3">
        <w:rPr>
          <w:rFonts w:ascii="Times New Roman" w:hAnsi="Times New Roman" w:cs="Times New Roman"/>
          <w:color w:val="000000" w:themeColor="text1"/>
          <w:sz w:val="28"/>
          <w:szCs w:val="28"/>
          <w:lang w:eastAsia="es-ES"/>
        </w:rPr>
        <w:t xml:space="preserve">, la </w:t>
      </w:r>
      <w:r w:rsidRPr="006671C3">
        <w:rPr>
          <w:rFonts w:ascii="Times New Roman" w:hAnsi="Times New Roman" w:cs="Times New Roman"/>
          <w:color w:val="000000" w:themeColor="text1"/>
          <w:sz w:val="28"/>
          <w:szCs w:val="28"/>
          <w:lang w:val="es-ES" w:eastAsia="es-ES"/>
        </w:rPr>
        <w:t>Sala Plena</w:t>
      </w:r>
      <w:r w:rsidRPr="006671C3">
        <w:rPr>
          <w:rFonts w:ascii="Times New Roman" w:hAnsi="Times New Roman" w:cs="Times New Roman"/>
          <w:color w:val="000000" w:themeColor="text1"/>
          <w:sz w:val="28"/>
          <w:szCs w:val="28"/>
          <w:lang w:eastAsia="es-ES"/>
        </w:rPr>
        <w:t xml:space="preserve"> se </w:t>
      </w:r>
      <w:r w:rsidRPr="006671C3">
        <w:rPr>
          <w:rFonts w:ascii="Times New Roman" w:hAnsi="Times New Roman" w:cs="Times New Roman"/>
          <w:color w:val="000000" w:themeColor="text1"/>
          <w:sz w:val="28"/>
          <w:szCs w:val="28"/>
          <w:lang w:val="es-ES" w:eastAsia="es-ES"/>
        </w:rPr>
        <w:t xml:space="preserve">declarará </w:t>
      </w:r>
      <w:r w:rsidRPr="006671C3">
        <w:rPr>
          <w:rFonts w:ascii="Times New Roman" w:hAnsi="Times New Roman" w:cs="Times New Roman"/>
          <w:color w:val="000000" w:themeColor="text1"/>
          <w:sz w:val="28"/>
          <w:szCs w:val="28"/>
          <w:lang w:eastAsia="es-ES"/>
        </w:rPr>
        <w:t xml:space="preserve">inhibida para pronunciarse de fondo, por ineptitud sustantiva de la demanda. </w:t>
      </w:r>
    </w:p>
    <w:p w:rsidR="000E6BF6" w:rsidRPr="006671C3" w:rsidRDefault="006671C3" w:rsidP="000E6BF6">
      <w:pPr>
        <w:spacing w:after="0" w:line="240" w:lineRule="auto"/>
        <w:contextualSpacing/>
        <w:rPr>
          <w:rFonts w:ascii="Times New Roman" w:hAnsi="Times New Roman" w:cs="Times New Roman"/>
          <w:b/>
          <w:sz w:val="28"/>
          <w:szCs w:val="28"/>
        </w:rPr>
      </w:pPr>
    </w:p>
    <w:p w:rsidR="000E6BF6" w:rsidRPr="006671C3" w:rsidRDefault="006671C3" w:rsidP="000E6BF6">
      <w:pPr>
        <w:tabs>
          <w:tab w:val="left" w:pos="284"/>
        </w:tabs>
        <w:spacing w:after="0" w:line="240" w:lineRule="auto"/>
        <w:contextualSpacing/>
        <w:jc w:val="both"/>
        <w:rPr>
          <w:rFonts w:ascii="Times New Roman" w:hAnsi="Times New Roman" w:cs="Times New Roman"/>
          <w:b/>
          <w:bCs/>
          <w:color w:val="000000" w:themeColor="text1"/>
          <w:sz w:val="28"/>
          <w:szCs w:val="28"/>
        </w:rPr>
      </w:pPr>
      <w:r w:rsidRPr="006671C3">
        <w:rPr>
          <w:rFonts w:ascii="Times New Roman" w:hAnsi="Times New Roman" w:cs="Times New Roman"/>
          <w:b/>
          <w:bCs/>
          <w:color w:val="000000" w:themeColor="text1"/>
          <w:sz w:val="28"/>
          <w:szCs w:val="28"/>
        </w:rPr>
        <w:t>V. DECISIÓN</w:t>
      </w:r>
    </w:p>
    <w:p w:rsidR="000E6BF6" w:rsidRPr="006671C3" w:rsidRDefault="006671C3" w:rsidP="000E6BF6">
      <w:pPr>
        <w:tabs>
          <w:tab w:val="left" w:pos="284"/>
        </w:tabs>
        <w:spacing w:after="0" w:line="240" w:lineRule="auto"/>
        <w:contextualSpacing/>
        <w:jc w:val="both"/>
        <w:rPr>
          <w:rFonts w:ascii="Times New Roman" w:hAnsi="Times New Roman" w:cs="Times New Roman"/>
          <w:b/>
          <w:bCs/>
          <w:color w:val="000000" w:themeColor="text1"/>
          <w:sz w:val="28"/>
          <w:szCs w:val="28"/>
        </w:rPr>
      </w:pPr>
      <w:r w:rsidRPr="006671C3">
        <w:rPr>
          <w:rFonts w:ascii="Times New Roman" w:hAnsi="Times New Roman" w:cs="Times New Roman"/>
          <w:b/>
          <w:bCs/>
          <w:color w:val="000000" w:themeColor="text1"/>
          <w:sz w:val="28"/>
          <w:szCs w:val="28"/>
        </w:rPr>
        <w:t> </w:t>
      </w:r>
    </w:p>
    <w:p w:rsidR="000E6BF6" w:rsidRPr="006671C3" w:rsidRDefault="006671C3" w:rsidP="000E6BF6">
      <w:pPr>
        <w:tabs>
          <w:tab w:val="left" w:pos="284"/>
        </w:tabs>
        <w:spacing w:after="0" w:line="240" w:lineRule="auto"/>
        <w:contextualSpacing/>
        <w:jc w:val="both"/>
        <w:rPr>
          <w:rFonts w:ascii="Times New Roman" w:hAnsi="Times New Roman" w:cs="Times New Roman"/>
          <w:color w:val="000000" w:themeColor="text1"/>
          <w:sz w:val="28"/>
          <w:szCs w:val="28"/>
        </w:rPr>
      </w:pPr>
      <w:r w:rsidRPr="006671C3">
        <w:rPr>
          <w:rFonts w:ascii="Times New Roman" w:hAnsi="Times New Roman" w:cs="Times New Roman"/>
          <w:color w:val="000000" w:themeColor="text1"/>
          <w:sz w:val="28"/>
          <w:szCs w:val="28"/>
        </w:rPr>
        <w:t>En mérito de lo expuesto, la Sala Plena de la Corte Constitucional, administrando justicia en nombre</w:t>
      </w:r>
      <w:r w:rsidRPr="006671C3">
        <w:rPr>
          <w:rFonts w:ascii="Times New Roman" w:hAnsi="Times New Roman" w:cs="Times New Roman"/>
          <w:color w:val="000000" w:themeColor="text1"/>
          <w:sz w:val="28"/>
          <w:szCs w:val="28"/>
        </w:rPr>
        <w:t xml:space="preserve"> del pueblo y por mandato de la Constitución,</w:t>
      </w:r>
    </w:p>
    <w:p w:rsidR="000E6BF6" w:rsidRPr="006671C3" w:rsidRDefault="006671C3" w:rsidP="000E6BF6">
      <w:pPr>
        <w:tabs>
          <w:tab w:val="left" w:pos="284"/>
        </w:tabs>
        <w:spacing w:after="0" w:line="240" w:lineRule="auto"/>
        <w:contextualSpacing/>
        <w:jc w:val="both"/>
        <w:rPr>
          <w:rFonts w:ascii="Times New Roman" w:hAnsi="Times New Roman" w:cs="Times New Roman"/>
          <w:color w:val="000000" w:themeColor="text1"/>
          <w:sz w:val="28"/>
          <w:szCs w:val="28"/>
        </w:rPr>
      </w:pPr>
    </w:p>
    <w:p w:rsidR="000E6BF6" w:rsidRPr="006671C3" w:rsidRDefault="006671C3" w:rsidP="000E6BF6">
      <w:pPr>
        <w:tabs>
          <w:tab w:val="left" w:pos="284"/>
        </w:tabs>
        <w:spacing w:after="0" w:line="240" w:lineRule="auto"/>
        <w:contextualSpacing/>
        <w:jc w:val="center"/>
        <w:rPr>
          <w:rFonts w:ascii="Times New Roman" w:hAnsi="Times New Roman" w:cs="Times New Roman"/>
          <w:b/>
          <w:bCs/>
          <w:color w:val="000000" w:themeColor="text1"/>
          <w:sz w:val="28"/>
          <w:szCs w:val="28"/>
        </w:rPr>
      </w:pPr>
      <w:r w:rsidRPr="006671C3">
        <w:rPr>
          <w:rFonts w:ascii="Times New Roman" w:hAnsi="Times New Roman" w:cs="Times New Roman"/>
          <w:b/>
          <w:bCs/>
          <w:color w:val="000000" w:themeColor="text1"/>
          <w:sz w:val="28"/>
          <w:szCs w:val="28"/>
        </w:rPr>
        <w:t>RESUELVE:</w:t>
      </w:r>
    </w:p>
    <w:p w:rsidR="000E6BF6" w:rsidRPr="006671C3" w:rsidRDefault="006671C3" w:rsidP="000E6BF6">
      <w:pPr>
        <w:tabs>
          <w:tab w:val="left" w:pos="284"/>
        </w:tabs>
        <w:spacing w:after="0" w:line="240" w:lineRule="auto"/>
        <w:contextualSpacing/>
        <w:jc w:val="both"/>
        <w:rPr>
          <w:rFonts w:ascii="Times New Roman" w:hAnsi="Times New Roman" w:cs="Times New Roman"/>
          <w:b/>
          <w:bCs/>
          <w:color w:val="000000" w:themeColor="text1"/>
          <w:sz w:val="28"/>
          <w:szCs w:val="28"/>
        </w:rPr>
      </w:pPr>
    </w:p>
    <w:p w:rsidR="000E6BF6" w:rsidRPr="006671C3" w:rsidRDefault="006671C3" w:rsidP="000E6BF6">
      <w:pPr>
        <w:tabs>
          <w:tab w:val="left" w:pos="284"/>
        </w:tabs>
        <w:spacing w:after="0" w:line="240" w:lineRule="auto"/>
        <w:contextualSpacing/>
        <w:jc w:val="both"/>
        <w:rPr>
          <w:rFonts w:ascii="Times New Roman" w:hAnsi="Times New Roman" w:cs="Times New Roman"/>
          <w:color w:val="000000" w:themeColor="text1"/>
          <w:sz w:val="28"/>
          <w:szCs w:val="28"/>
        </w:rPr>
      </w:pPr>
      <w:bookmarkStart w:id="44" w:name="_Hlk172790549"/>
      <w:r w:rsidRPr="006671C3">
        <w:rPr>
          <w:rFonts w:ascii="Times New Roman" w:hAnsi="Times New Roman" w:cs="Times New Roman"/>
          <w:b/>
          <w:color w:val="000000" w:themeColor="text1"/>
          <w:sz w:val="28"/>
          <w:szCs w:val="28"/>
        </w:rPr>
        <w:t>Inhibirse</w:t>
      </w:r>
      <w:r w:rsidRPr="006671C3">
        <w:rPr>
          <w:rFonts w:ascii="Times New Roman" w:hAnsi="Times New Roman" w:cs="Times New Roman"/>
          <w:color w:val="000000" w:themeColor="text1"/>
          <w:sz w:val="28"/>
          <w:szCs w:val="28"/>
        </w:rPr>
        <w:t xml:space="preserve"> de pronunciarse de fondo sobre los artículos 7, 9, 25, 29, 31, 35, 36, 48, 69 y 72, parciales, del Decreto Ley 920 de 2023, por ineptitud sustantiva de la demanda.</w:t>
      </w:r>
    </w:p>
    <w:bookmarkEnd w:id="44"/>
    <w:p w:rsidR="000E6BF6" w:rsidRPr="006671C3" w:rsidRDefault="006671C3" w:rsidP="000E6BF6">
      <w:pPr>
        <w:tabs>
          <w:tab w:val="left" w:pos="284"/>
        </w:tabs>
        <w:spacing w:after="0" w:line="240" w:lineRule="auto"/>
        <w:contextualSpacing/>
        <w:jc w:val="both"/>
        <w:rPr>
          <w:rFonts w:ascii="Times New Roman" w:hAnsi="Times New Roman" w:cs="Times New Roman"/>
          <w:color w:val="000000" w:themeColor="text1"/>
          <w:sz w:val="28"/>
          <w:szCs w:val="28"/>
        </w:rPr>
      </w:pPr>
    </w:p>
    <w:p w:rsidR="000E6BF6" w:rsidRPr="006671C3" w:rsidRDefault="006671C3" w:rsidP="000E6BF6">
      <w:pPr>
        <w:tabs>
          <w:tab w:val="left" w:pos="284"/>
        </w:tabs>
        <w:spacing w:after="0" w:line="240" w:lineRule="auto"/>
        <w:contextualSpacing/>
        <w:jc w:val="both"/>
        <w:rPr>
          <w:rFonts w:ascii="Times New Roman" w:hAnsi="Times New Roman" w:cs="Times New Roman"/>
          <w:sz w:val="28"/>
        </w:rPr>
      </w:pPr>
      <w:r w:rsidRPr="006671C3">
        <w:rPr>
          <w:rFonts w:ascii="Times New Roman" w:hAnsi="Times New Roman" w:cs="Times New Roman"/>
          <w:color w:val="000000" w:themeColor="text1"/>
          <w:sz w:val="28"/>
          <w:szCs w:val="28"/>
        </w:rPr>
        <w:t>Cópiese, notifíquese, c</w:t>
      </w:r>
      <w:r w:rsidRPr="006671C3">
        <w:rPr>
          <w:rFonts w:ascii="Times New Roman" w:hAnsi="Times New Roman" w:cs="Times New Roman"/>
          <w:color w:val="000000" w:themeColor="text1"/>
          <w:sz w:val="28"/>
          <w:szCs w:val="28"/>
        </w:rPr>
        <w:t>omuníquese, cúmplase y archívese el expediente.</w:t>
      </w:r>
    </w:p>
    <w:p w:rsidR="00984933" w:rsidRPr="006671C3" w:rsidRDefault="006671C3" w:rsidP="00D1315E">
      <w:pPr>
        <w:spacing w:after="0" w:line="240" w:lineRule="auto"/>
        <w:rPr>
          <w:rFonts w:ascii="Times New Roman" w:hAnsi="Times New Roman" w:cs="Times New Roman"/>
          <w:sz w:val="28"/>
        </w:rPr>
      </w:pPr>
    </w:p>
    <w:p w:rsidR="00AA2014" w:rsidRPr="006671C3" w:rsidRDefault="006671C3" w:rsidP="00D1315E">
      <w:pPr>
        <w:spacing w:after="0" w:line="240" w:lineRule="auto"/>
        <w:rPr>
          <w:rFonts w:ascii="Times New Roman" w:hAnsi="Times New Roman" w:cs="Times New Roman"/>
          <w:sz w:val="28"/>
        </w:rPr>
      </w:pPr>
    </w:p>
    <w:p w:rsidR="00AA2014" w:rsidRPr="006671C3" w:rsidRDefault="006671C3" w:rsidP="00D1315E">
      <w:pPr>
        <w:spacing w:after="0" w:line="240" w:lineRule="auto"/>
        <w:rPr>
          <w:rFonts w:ascii="Times New Roman" w:hAnsi="Times New Roman" w:cs="Times New Roman"/>
          <w:sz w:val="28"/>
        </w:rPr>
      </w:pPr>
    </w:p>
    <w:p w:rsidR="00AA2014" w:rsidRPr="006671C3" w:rsidRDefault="006671C3" w:rsidP="00D1315E">
      <w:pPr>
        <w:spacing w:after="0" w:line="240" w:lineRule="auto"/>
        <w:jc w:val="center"/>
        <w:rPr>
          <w:rFonts w:ascii="Times New Roman" w:hAnsi="Times New Roman" w:cs="Times New Roman"/>
          <w:sz w:val="28"/>
        </w:rPr>
      </w:pPr>
      <w:r w:rsidRPr="006671C3">
        <w:rPr>
          <w:rFonts w:ascii="Times New Roman" w:hAnsi="Times New Roman" w:cs="Times New Roman"/>
          <w:sz w:val="28"/>
        </w:rPr>
        <w:t>JOSE FERNANDO REYES CUARTAS</w:t>
      </w:r>
    </w:p>
    <w:p w:rsidR="00AA2014" w:rsidRPr="006671C3" w:rsidRDefault="006671C3" w:rsidP="00D1315E">
      <w:pPr>
        <w:spacing w:after="0" w:line="240" w:lineRule="auto"/>
        <w:jc w:val="center"/>
        <w:rPr>
          <w:rFonts w:ascii="Times New Roman" w:hAnsi="Times New Roman" w:cs="Times New Roman"/>
          <w:sz w:val="28"/>
        </w:rPr>
      </w:pPr>
      <w:r w:rsidRPr="006671C3">
        <w:rPr>
          <w:rFonts w:ascii="Times New Roman" w:hAnsi="Times New Roman" w:cs="Times New Roman"/>
          <w:sz w:val="28"/>
        </w:rPr>
        <w:t>Presidente</w:t>
      </w:r>
    </w:p>
    <w:p w:rsidR="00AA2014" w:rsidRPr="006671C3" w:rsidRDefault="006671C3" w:rsidP="00D1315E">
      <w:pPr>
        <w:spacing w:after="0" w:line="240" w:lineRule="auto"/>
        <w:jc w:val="center"/>
        <w:rPr>
          <w:rFonts w:ascii="Times New Roman" w:hAnsi="Times New Roman" w:cs="Times New Roman"/>
          <w:sz w:val="28"/>
        </w:rPr>
      </w:pPr>
    </w:p>
    <w:p w:rsidR="00AA2014" w:rsidRPr="006671C3" w:rsidRDefault="006671C3" w:rsidP="00D1315E">
      <w:pPr>
        <w:spacing w:after="0" w:line="240" w:lineRule="auto"/>
        <w:jc w:val="center"/>
        <w:rPr>
          <w:rFonts w:ascii="Times New Roman" w:hAnsi="Times New Roman" w:cs="Times New Roman"/>
          <w:sz w:val="28"/>
        </w:rPr>
      </w:pPr>
    </w:p>
    <w:p w:rsidR="00AA2014" w:rsidRPr="006671C3" w:rsidRDefault="006671C3" w:rsidP="00D1315E">
      <w:pPr>
        <w:spacing w:after="0" w:line="240" w:lineRule="auto"/>
        <w:jc w:val="center"/>
        <w:rPr>
          <w:rFonts w:ascii="Times New Roman" w:hAnsi="Times New Roman" w:cs="Times New Roman"/>
          <w:sz w:val="28"/>
        </w:rPr>
      </w:pPr>
    </w:p>
    <w:p w:rsidR="00AA2014" w:rsidRPr="006671C3" w:rsidRDefault="006671C3" w:rsidP="00D1315E">
      <w:pPr>
        <w:spacing w:after="0" w:line="240" w:lineRule="auto"/>
        <w:jc w:val="center"/>
        <w:rPr>
          <w:rFonts w:ascii="Times New Roman" w:hAnsi="Times New Roman" w:cs="Times New Roman"/>
          <w:sz w:val="28"/>
        </w:rPr>
      </w:pPr>
      <w:r w:rsidRPr="006671C3">
        <w:rPr>
          <w:rFonts w:ascii="Times New Roman" w:hAnsi="Times New Roman" w:cs="Times New Roman"/>
          <w:sz w:val="28"/>
        </w:rPr>
        <w:t>NATALIA ÁNGEL CABO</w:t>
      </w:r>
    </w:p>
    <w:p w:rsidR="00AA2014" w:rsidRPr="006671C3" w:rsidRDefault="006671C3" w:rsidP="00D1315E">
      <w:pPr>
        <w:spacing w:after="0" w:line="240" w:lineRule="auto"/>
        <w:jc w:val="center"/>
        <w:rPr>
          <w:rFonts w:ascii="Times New Roman" w:hAnsi="Times New Roman" w:cs="Times New Roman"/>
          <w:sz w:val="28"/>
        </w:rPr>
      </w:pPr>
      <w:r w:rsidRPr="006671C3">
        <w:rPr>
          <w:rFonts w:ascii="Times New Roman" w:hAnsi="Times New Roman" w:cs="Times New Roman"/>
          <w:sz w:val="28"/>
        </w:rPr>
        <w:t>Magistrada</w:t>
      </w:r>
    </w:p>
    <w:p w:rsidR="00AA2014" w:rsidRPr="006671C3" w:rsidRDefault="006671C3" w:rsidP="00D1315E">
      <w:pPr>
        <w:spacing w:after="0" w:line="240" w:lineRule="auto"/>
        <w:jc w:val="center"/>
        <w:rPr>
          <w:rFonts w:ascii="Times New Roman" w:hAnsi="Times New Roman" w:cs="Times New Roman"/>
          <w:sz w:val="28"/>
        </w:rPr>
      </w:pPr>
    </w:p>
    <w:p w:rsidR="00AA2014" w:rsidRPr="006671C3" w:rsidRDefault="006671C3" w:rsidP="00D1315E">
      <w:pPr>
        <w:spacing w:after="0" w:line="240" w:lineRule="auto"/>
        <w:jc w:val="center"/>
        <w:rPr>
          <w:rFonts w:ascii="Times New Roman" w:hAnsi="Times New Roman" w:cs="Times New Roman"/>
          <w:sz w:val="28"/>
        </w:rPr>
      </w:pPr>
    </w:p>
    <w:p w:rsidR="00AA2014" w:rsidRPr="006671C3" w:rsidRDefault="006671C3" w:rsidP="00D1315E">
      <w:pPr>
        <w:spacing w:after="0" w:line="240" w:lineRule="auto"/>
        <w:jc w:val="center"/>
        <w:rPr>
          <w:rFonts w:ascii="Times New Roman" w:hAnsi="Times New Roman" w:cs="Times New Roman"/>
          <w:sz w:val="28"/>
        </w:rPr>
      </w:pPr>
    </w:p>
    <w:p w:rsidR="00AA2014" w:rsidRPr="006671C3" w:rsidRDefault="006671C3" w:rsidP="00D1315E">
      <w:pPr>
        <w:spacing w:after="0" w:line="240" w:lineRule="auto"/>
        <w:jc w:val="center"/>
        <w:rPr>
          <w:rFonts w:ascii="Times New Roman" w:hAnsi="Times New Roman" w:cs="Times New Roman"/>
          <w:sz w:val="28"/>
        </w:rPr>
      </w:pPr>
      <w:r w:rsidRPr="006671C3">
        <w:rPr>
          <w:rFonts w:ascii="Times New Roman" w:hAnsi="Times New Roman" w:cs="Times New Roman"/>
          <w:sz w:val="28"/>
        </w:rPr>
        <w:t>JUAN CARLOS CORTÉS GONZÁLEZ</w:t>
      </w:r>
    </w:p>
    <w:p w:rsidR="00AA2014" w:rsidRPr="006671C3" w:rsidRDefault="006671C3" w:rsidP="00D1315E">
      <w:pPr>
        <w:spacing w:after="0" w:line="240" w:lineRule="auto"/>
        <w:jc w:val="center"/>
        <w:rPr>
          <w:rFonts w:ascii="Times New Roman" w:hAnsi="Times New Roman" w:cs="Times New Roman"/>
          <w:sz w:val="28"/>
        </w:rPr>
      </w:pPr>
      <w:r w:rsidRPr="006671C3">
        <w:rPr>
          <w:rFonts w:ascii="Times New Roman" w:hAnsi="Times New Roman" w:cs="Times New Roman"/>
          <w:sz w:val="28"/>
        </w:rPr>
        <w:t>Magistrado</w:t>
      </w:r>
    </w:p>
    <w:p w:rsidR="00AA2014" w:rsidRPr="006671C3" w:rsidRDefault="006671C3" w:rsidP="00D1315E">
      <w:pPr>
        <w:spacing w:after="0" w:line="240" w:lineRule="auto"/>
        <w:jc w:val="center"/>
        <w:rPr>
          <w:rFonts w:ascii="Times New Roman" w:hAnsi="Times New Roman" w:cs="Times New Roman"/>
          <w:sz w:val="28"/>
        </w:rPr>
      </w:pPr>
    </w:p>
    <w:p w:rsidR="00AA2014" w:rsidRPr="006671C3" w:rsidRDefault="006671C3" w:rsidP="00D1315E">
      <w:pPr>
        <w:spacing w:after="0" w:line="240" w:lineRule="auto"/>
        <w:jc w:val="center"/>
        <w:rPr>
          <w:rFonts w:ascii="Times New Roman" w:hAnsi="Times New Roman" w:cs="Times New Roman"/>
          <w:sz w:val="28"/>
        </w:rPr>
      </w:pPr>
    </w:p>
    <w:p w:rsidR="00AA2014" w:rsidRPr="006671C3" w:rsidRDefault="006671C3" w:rsidP="00D1315E">
      <w:pPr>
        <w:spacing w:after="0" w:line="240" w:lineRule="auto"/>
        <w:jc w:val="center"/>
        <w:rPr>
          <w:rFonts w:ascii="Times New Roman" w:hAnsi="Times New Roman" w:cs="Times New Roman"/>
          <w:sz w:val="28"/>
        </w:rPr>
      </w:pPr>
    </w:p>
    <w:p w:rsidR="00AA2014" w:rsidRPr="006671C3" w:rsidRDefault="006671C3" w:rsidP="00D1315E">
      <w:pPr>
        <w:spacing w:after="0" w:line="240" w:lineRule="auto"/>
        <w:jc w:val="center"/>
        <w:rPr>
          <w:rFonts w:ascii="Times New Roman" w:hAnsi="Times New Roman" w:cs="Times New Roman"/>
          <w:sz w:val="28"/>
        </w:rPr>
      </w:pPr>
      <w:r w:rsidRPr="006671C3">
        <w:rPr>
          <w:rFonts w:ascii="Times New Roman" w:hAnsi="Times New Roman" w:cs="Times New Roman"/>
          <w:sz w:val="28"/>
        </w:rPr>
        <w:t>DIANA FAJARDO RIVERA</w:t>
      </w:r>
    </w:p>
    <w:p w:rsidR="00AA2014" w:rsidRPr="006671C3" w:rsidRDefault="006671C3" w:rsidP="00D1315E">
      <w:pPr>
        <w:spacing w:after="0" w:line="240" w:lineRule="auto"/>
        <w:jc w:val="center"/>
        <w:rPr>
          <w:rFonts w:ascii="Times New Roman" w:hAnsi="Times New Roman" w:cs="Times New Roman"/>
          <w:sz w:val="28"/>
        </w:rPr>
      </w:pPr>
      <w:r w:rsidRPr="006671C3">
        <w:rPr>
          <w:rFonts w:ascii="Times New Roman" w:hAnsi="Times New Roman" w:cs="Times New Roman"/>
          <w:sz w:val="28"/>
        </w:rPr>
        <w:t>Magistrada</w:t>
      </w:r>
    </w:p>
    <w:p w:rsidR="00AA2014" w:rsidRPr="006671C3" w:rsidRDefault="006671C3" w:rsidP="00D1315E">
      <w:pPr>
        <w:spacing w:after="0" w:line="240" w:lineRule="auto"/>
        <w:jc w:val="center"/>
        <w:rPr>
          <w:rFonts w:ascii="Times New Roman" w:hAnsi="Times New Roman" w:cs="Times New Roman"/>
          <w:sz w:val="28"/>
        </w:rPr>
      </w:pPr>
      <w:r w:rsidRPr="006671C3">
        <w:rPr>
          <w:rFonts w:ascii="Times New Roman" w:hAnsi="Times New Roman" w:cs="Times New Roman"/>
          <w:sz w:val="28"/>
        </w:rPr>
        <w:t>Ausente con permiso</w:t>
      </w:r>
    </w:p>
    <w:p w:rsidR="00AA2014" w:rsidRPr="006671C3" w:rsidRDefault="006671C3" w:rsidP="00D1315E">
      <w:pPr>
        <w:spacing w:after="0" w:line="240" w:lineRule="auto"/>
        <w:jc w:val="center"/>
        <w:rPr>
          <w:rFonts w:ascii="Times New Roman" w:hAnsi="Times New Roman" w:cs="Times New Roman"/>
          <w:sz w:val="28"/>
        </w:rPr>
      </w:pPr>
    </w:p>
    <w:p w:rsidR="00AA2014" w:rsidRPr="006671C3" w:rsidRDefault="006671C3" w:rsidP="00D1315E">
      <w:pPr>
        <w:spacing w:after="0" w:line="240" w:lineRule="auto"/>
        <w:jc w:val="center"/>
        <w:rPr>
          <w:rFonts w:ascii="Times New Roman" w:hAnsi="Times New Roman" w:cs="Times New Roman"/>
          <w:sz w:val="28"/>
        </w:rPr>
      </w:pPr>
    </w:p>
    <w:p w:rsidR="00AA2014" w:rsidRPr="006671C3" w:rsidRDefault="006671C3" w:rsidP="00D1315E">
      <w:pPr>
        <w:spacing w:after="0" w:line="240" w:lineRule="auto"/>
        <w:jc w:val="center"/>
        <w:rPr>
          <w:rFonts w:ascii="Times New Roman" w:hAnsi="Times New Roman" w:cs="Times New Roman"/>
          <w:sz w:val="28"/>
        </w:rPr>
      </w:pPr>
    </w:p>
    <w:p w:rsidR="00AA2014" w:rsidRPr="006671C3" w:rsidRDefault="006671C3" w:rsidP="00D1315E">
      <w:pPr>
        <w:spacing w:after="0" w:line="240" w:lineRule="auto"/>
        <w:jc w:val="center"/>
        <w:rPr>
          <w:rFonts w:ascii="Times New Roman" w:hAnsi="Times New Roman" w:cs="Times New Roman"/>
          <w:sz w:val="28"/>
        </w:rPr>
      </w:pPr>
      <w:r w:rsidRPr="006671C3">
        <w:rPr>
          <w:rFonts w:ascii="Times New Roman" w:hAnsi="Times New Roman" w:cs="Times New Roman"/>
          <w:sz w:val="28"/>
        </w:rPr>
        <w:t>VLADIMIR FERNÁNDEZ ANDRADE</w:t>
      </w:r>
    </w:p>
    <w:p w:rsidR="00AA2014" w:rsidRPr="006671C3" w:rsidRDefault="006671C3" w:rsidP="00D1315E">
      <w:pPr>
        <w:spacing w:after="0" w:line="240" w:lineRule="auto"/>
        <w:jc w:val="center"/>
        <w:rPr>
          <w:rFonts w:ascii="Times New Roman" w:hAnsi="Times New Roman" w:cs="Times New Roman"/>
          <w:sz w:val="28"/>
        </w:rPr>
      </w:pPr>
      <w:r w:rsidRPr="006671C3">
        <w:rPr>
          <w:rFonts w:ascii="Times New Roman" w:hAnsi="Times New Roman" w:cs="Times New Roman"/>
          <w:sz w:val="28"/>
        </w:rPr>
        <w:t>Magistrado</w:t>
      </w:r>
    </w:p>
    <w:p w:rsidR="00AA2014" w:rsidRPr="006671C3" w:rsidRDefault="006671C3" w:rsidP="00D1315E">
      <w:pPr>
        <w:spacing w:after="0" w:line="240" w:lineRule="auto"/>
        <w:jc w:val="center"/>
        <w:rPr>
          <w:rFonts w:ascii="Times New Roman" w:hAnsi="Times New Roman" w:cs="Times New Roman"/>
          <w:sz w:val="28"/>
        </w:rPr>
      </w:pPr>
      <w:r w:rsidRPr="006671C3">
        <w:rPr>
          <w:rFonts w:ascii="Times New Roman" w:hAnsi="Times New Roman" w:cs="Times New Roman"/>
          <w:sz w:val="28"/>
        </w:rPr>
        <w:t>Con impedimento aceptado</w:t>
      </w:r>
    </w:p>
    <w:p w:rsidR="00AA2014" w:rsidRPr="006671C3" w:rsidRDefault="006671C3" w:rsidP="00D1315E">
      <w:pPr>
        <w:spacing w:after="0" w:line="240" w:lineRule="auto"/>
        <w:jc w:val="center"/>
        <w:rPr>
          <w:rFonts w:ascii="Times New Roman" w:hAnsi="Times New Roman" w:cs="Times New Roman"/>
          <w:sz w:val="28"/>
        </w:rPr>
      </w:pPr>
    </w:p>
    <w:p w:rsidR="00AA2014" w:rsidRPr="006671C3" w:rsidRDefault="006671C3" w:rsidP="00D1315E">
      <w:pPr>
        <w:spacing w:after="0" w:line="240" w:lineRule="auto"/>
        <w:jc w:val="center"/>
        <w:rPr>
          <w:rFonts w:ascii="Times New Roman" w:hAnsi="Times New Roman" w:cs="Times New Roman"/>
          <w:sz w:val="28"/>
        </w:rPr>
      </w:pPr>
    </w:p>
    <w:p w:rsidR="00AA2014" w:rsidRPr="006671C3" w:rsidRDefault="006671C3" w:rsidP="00D1315E">
      <w:pPr>
        <w:spacing w:after="0" w:line="240" w:lineRule="auto"/>
        <w:jc w:val="center"/>
        <w:rPr>
          <w:rFonts w:ascii="Times New Roman" w:hAnsi="Times New Roman" w:cs="Times New Roman"/>
          <w:sz w:val="28"/>
        </w:rPr>
      </w:pPr>
    </w:p>
    <w:p w:rsidR="00AA2014" w:rsidRPr="006671C3" w:rsidRDefault="006671C3" w:rsidP="00D1315E">
      <w:pPr>
        <w:spacing w:after="0" w:line="240" w:lineRule="auto"/>
        <w:jc w:val="center"/>
        <w:rPr>
          <w:rFonts w:ascii="Times New Roman" w:hAnsi="Times New Roman" w:cs="Times New Roman"/>
          <w:sz w:val="28"/>
        </w:rPr>
      </w:pPr>
      <w:r w:rsidRPr="006671C3">
        <w:rPr>
          <w:rFonts w:ascii="Times New Roman" w:hAnsi="Times New Roman" w:cs="Times New Roman"/>
          <w:sz w:val="28"/>
        </w:rPr>
        <w:t xml:space="preserve">JORGE ENRIQUE IBÁÑEZ NAJAR </w:t>
      </w:r>
    </w:p>
    <w:p w:rsidR="00AA2014" w:rsidRPr="006671C3" w:rsidRDefault="006671C3" w:rsidP="00D1315E">
      <w:pPr>
        <w:spacing w:after="0" w:line="240" w:lineRule="auto"/>
        <w:jc w:val="center"/>
        <w:rPr>
          <w:rFonts w:ascii="Times New Roman" w:hAnsi="Times New Roman" w:cs="Times New Roman"/>
          <w:sz w:val="28"/>
        </w:rPr>
      </w:pPr>
      <w:r w:rsidRPr="006671C3">
        <w:rPr>
          <w:rFonts w:ascii="Times New Roman" w:hAnsi="Times New Roman" w:cs="Times New Roman"/>
          <w:sz w:val="28"/>
        </w:rPr>
        <w:t>Magistrado</w:t>
      </w:r>
    </w:p>
    <w:p w:rsidR="00AA2014" w:rsidRPr="006671C3" w:rsidRDefault="006671C3" w:rsidP="00D1315E">
      <w:pPr>
        <w:spacing w:after="0" w:line="240" w:lineRule="auto"/>
        <w:jc w:val="center"/>
        <w:rPr>
          <w:rFonts w:ascii="Times New Roman" w:hAnsi="Times New Roman" w:cs="Times New Roman"/>
          <w:sz w:val="28"/>
        </w:rPr>
      </w:pPr>
    </w:p>
    <w:p w:rsidR="00AA2014" w:rsidRPr="006671C3" w:rsidRDefault="006671C3" w:rsidP="00D1315E">
      <w:pPr>
        <w:spacing w:after="0" w:line="240" w:lineRule="auto"/>
        <w:jc w:val="center"/>
        <w:rPr>
          <w:rFonts w:ascii="Times New Roman" w:hAnsi="Times New Roman" w:cs="Times New Roman"/>
          <w:sz w:val="28"/>
        </w:rPr>
      </w:pPr>
    </w:p>
    <w:p w:rsidR="00AA2014" w:rsidRPr="006671C3" w:rsidRDefault="006671C3" w:rsidP="00D1315E">
      <w:pPr>
        <w:spacing w:after="0" w:line="240" w:lineRule="auto"/>
        <w:jc w:val="center"/>
        <w:rPr>
          <w:rFonts w:ascii="Times New Roman" w:hAnsi="Times New Roman" w:cs="Times New Roman"/>
          <w:sz w:val="28"/>
        </w:rPr>
      </w:pPr>
    </w:p>
    <w:p w:rsidR="00AA2014" w:rsidRPr="006671C3" w:rsidRDefault="006671C3" w:rsidP="00D1315E">
      <w:pPr>
        <w:spacing w:after="0" w:line="240" w:lineRule="auto"/>
        <w:jc w:val="center"/>
        <w:rPr>
          <w:rFonts w:ascii="Times New Roman" w:hAnsi="Times New Roman" w:cs="Times New Roman"/>
          <w:sz w:val="28"/>
        </w:rPr>
      </w:pPr>
      <w:r w:rsidRPr="006671C3">
        <w:rPr>
          <w:rFonts w:ascii="Times New Roman" w:hAnsi="Times New Roman" w:cs="Times New Roman"/>
          <w:sz w:val="28"/>
        </w:rPr>
        <w:t>ANTONIO JOSÉ LIZARAZO OCAMPO</w:t>
      </w:r>
    </w:p>
    <w:p w:rsidR="00AA2014" w:rsidRPr="006671C3" w:rsidRDefault="006671C3" w:rsidP="00D1315E">
      <w:pPr>
        <w:spacing w:after="0" w:line="240" w:lineRule="auto"/>
        <w:jc w:val="center"/>
        <w:rPr>
          <w:rFonts w:ascii="Times New Roman" w:hAnsi="Times New Roman" w:cs="Times New Roman"/>
          <w:sz w:val="28"/>
        </w:rPr>
      </w:pPr>
      <w:r w:rsidRPr="006671C3">
        <w:rPr>
          <w:rFonts w:ascii="Times New Roman" w:hAnsi="Times New Roman" w:cs="Times New Roman"/>
          <w:sz w:val="28"/>
        </w:rPr>
        <w:t>Magistrado</w:t>
      </w:r>
    </w:p>
    <w:p w:rsidR="00AA2014" w:rsidRPr="006671C3" w:rsidRDefault="006671C3" w:rsidP="00D1315E">
      <w:pPr>
        <w:spacing w:after="0" w:line="240" w:lineRule="auto"/>
        <w:jc w:val="center"/>
        <w:rPr>
          <w:rFonts w:ascii="Times New Roman" w:hAnsi="Times New Roman" w:cs="Times New Roman"/>
          <w:sz w:val="28"/>
        </w:rPr>
      </w:pPr>
    </w:p>
    <w:p w:rsidR="00AA2014" w:rsidRPr="006671C3" w:rsidRDefault="006671C3" w:rsidP="00D1315E">
      <w:pPr>
        <w:spacing w:after="0" w:line="240" w:lineRule="auto"/>
        <w:jc w:val="center"/>
        <w:rPr>
          <w:rFonts w:ascii="Times New Roman" w:hAnsi="Times New Roman" w:cs="Times New Roman"/>
          <w:sz w:val="28"/>
        </w:rPr>
      </w:pPr>
    </w:p>
    <w:p w:rsidR="00AA2014" w:rsidRPr="006671C3" w:rsidRDefault="006671C3" w:rsidP="00D1315E">
      <w:pPr>
        <w:spacing w:after="0" w:line="240" w:lineRule="auto"/>
        <w:jc w:val="center"/>
        <w:rPr>
          <w:rFonts w:ascii="Times New Roman" w:hAnsi="Times New Roman" w:cs="Times New Roman"/>
          <w:sz w:val="28"/>
        </w:rPr>
      </w:pPr>
    </w:p>
    <w:p w:rsidR="00AA2014" w:rsidRPr="006671C3" w:rsidRDefault="006671C3" w:rsidP="00D1315E">
      <w:pPr>
        <w:spacing w:after="0" w:line="240" w:lineRule="auto"/>
        <w:jc w:val="center"/>
        <w:rPr>
          <w:rFonts w:ascii="Times New Roman" w:hAnsi="Times New Roman" w:cs="Times New Roman"/>
          <w:sz w:val="28"/>
        </w:rPr>
      </w:pPr>
      <w:r w:rsidRPr="006671C3">
        <w:rPr>
          <w:rFonts w:ascii="Times New Roman" w:hAnsi="Times New Roman" w:cs="Times New Roman"/>
          <w:sz w:val="28"/>
        </w:rPr>
        <w:t>PAOLA ANDREA MENESES MOSQUERA</w:t>
      </w:r>
    </w:p>
    <w:p w:rsidR="00AA2014" w:rsidRPr="006671C3" w:rsidRDefault="006671C3" w:rsidP="00D1315E">
      <w:pPr>
        <w:spacing w:after="0" w:line="240" w:lineRule="auto"/>
        <w:jc w:val="center"/>
        <w:rPr>
          <w:rFonts w:ascii="Times New Roman" w:hAnsi="Times New Roman" w:cs="Times New Roman"/>
          <w:sz w:val="28"/>
        </w:rPr>
      </w:pPr>
      <w:r w:rsidRPr="006671C3">
        <w:rPr>
          <w:rFonts w:ascii="Times New Roman" w:hAnsi="Times New Roman" w:cs="Times New Roman"/>
          <w:sz w:val="28"/>
        </w:rPr>
        <w:t>Magistrada</w:t>
      </w:r>
    </w:p>
    <w:p w:rsidR="00AA2014" w:rsidRPr="006671C3" w:rsidRDefault="006671C3" w:rsidP="00D1315E">
      <w:pPr>
        <w:spacing w:after="0" w:line="240" w:lineRule="auto"/>
        <w:jc w:val="center"/>
        <w:rPr>
          <w:rFonts w:ascii="Times New Roman" w:hAnsi="Times New Roman" w:cs="Times New Roman"/>
          <w:sz w:val="28"/>
        </w:rPr>
      </w:pPr>
    </w:p>
    <w:p w:rsidR="00AA2014" w:rsidRPr="006671C3" w:rsidRDefault="006671C3" w:rsidP="00D1315E">
      <w:pPr>
        <w:spacing w:after="0" w:line="240" w:lineRule="auto"/>
        <w:jc w:val="center"/>
        <w:rPr>
          <w:rFonts w:ascii="Times New Roman" w:hAnsi="Times New Roman" w:cs="Times New Roman"/>
          <w:sz w:val="28"/>
        </w:rPr>
      </w:pPr>
    </w:p>
    <w:p w:rsidR="00AA2014" w:rsidRPr="006671C3" w:rsidRDefault="006671C3" w:rsidP="00D1315E">
      <w:pPr>
        <w:spacing w:after="0" w:line="240" w:lineRule="auto"/>
        <w:jc w:val="center"/>
        <w:rPr>
          <w:rFonts w:ascii="Times New Roman" w:hAnsi="Times New Roman" w:cs="Times New Roman"/>
          <w:sz w:val="28"/>
        </w:rPr>
      </w:pPr>
    </w:p>
    <w:p w:rsidR="00AA2014" w:rsidRPr="006671C3" w:rsidRDefault="006671C3" w:rsidP="00D1315E">
      <w:pPr>
        <w:spacing w:after="0" w:line="240" w:lineRule="auto"/>
        <w:jc w:val="center"/>
        <w:rPr>
          <w:rFonts w:ascii="Times New Roman" w:hAnsi="Times New Roman" w:cs="Times New Roman"/>
          <w:sz w:val="28"/>
        </w:rPr>
      </w:pPr>
      <w:r w:rsidRPr="006671C3">
        <w:rPr>
          <w:rFonts w:ascii="Times New Roman" w:hAnsi="Times New Roman" w:cs="Times New Roman"/>
          <w:sz w:val="28"/>
        </w:rPr>
        <w:t>CRISTINA PARDO SCHLESINGER</w:t>
      </w:r>
    </w:p>
    <w:p w:rsidR="00AA2014" w:rsidRPr="006671C3" w:rsidRDefault="006671C3" w:rsidP="00D1315E">
      <w:pPr>
        <w:spacing w:after="0" w:line="240" w:lineRule="auto"/>
        <w:jc w:val="center"/>
        <w:rPr>
          <w:rFonts w:ascii="Times New Roman" w:hAnsi="Times New Roman" w:cs="Times New Roman"/>
          <w:sz w:val="28"/>
        </w:rPr>
      </w:pPr>
      <w:r w:rsidRPr="006671C3">
        <w:rPr>
          <w:rFonts w:ascii="Times New Roman" w:hAnsi="Times New Roman" w:cs="Times New Roman"/>
          <w:sz w:val="28"/>
        </w:rPr>
        <w:t>Magistrada</w:t>
      </w:r>
    </w:p>
    <w:p w:rsidR="00AA2014" w:rsidRPr="006671C3" w:rsidRDefault="006671C3" w:rsidP="00D1315E">
      <w:pPr>
        <w:spacing w:after="0" w:line="240" w:lineRule="auto"/>
        <w:jc w:val="center"/>
        <w:rPr>
          <w:rFonts w:ascii="Times New Roman" w:hAnsi="Times New Roman" w:cs="Times New Roman"/>
          <w:sz w:val="28"/>
        </w:rPr>
      </w:pPr>
    </w:p>
    <w:p w:rsidR="00AA2014" w:rsidRPr="006671C3" w:rsidRDefault="006671C3" w:rsidP="00D1315E">
      <w:pPr>
        <w:spacing w:after="0" w:line="240" w:lineRule="auto"/>
        <w:jc w:val="center"/>
        <w:rPr>
          <w:rFonts w:ascii="Times New Roman" w:hAnsi="Times New Roman" w:cs="Times New Roman"/>
          <w:sz w:val="28"/>
        </w:rPr>
      </w:pPr>
    </w:p>
    <w:p w:rsidR="00AA2014" w:rsidRPr="006671C3" w:rsidRDefault="006671C3" w:rsidP="00D1315E">
      <w:pPr>
        <w:spacing w:after="0" w:line="240" w:lineRule="auto"/>
        <w:jc w:val="center"/>
        <w:rPr>
          <w:rFonts w:ascii="Times New Roman" w:hAnsi="Times New Roman" w:cs="Times New Roman"/>
          <w:sz w:val="28"/>
        </w:rPr>
      </w:pPr>
    </w:p>
    <w:p w:rsidR="00AA2014" w:rsidRPr="006671C3" w:rsidRDefault="006671C3" w:rsidP="00D1315E">
      <w:pPr>
        <w:spacing w:after="0" w:line="240" w:lineRule="auto"/>
        <w:jc w:val="center"/>
        <w:rPr>
          <w:rFonts w:ascii="Times New Roman" w:hAnsi="Times New Roman" w:cs="Times New Roman"/>
          <w:sz w:val="28"/>
        </w:rPr>
      </w:pPr>
      <w:r w:rsidRPr="006671C3">
        <w:rPr>
          <w:rFonts w:ascii="Times New Roman" w:hAnsi="Times New Roman" w:cs="Times New Roman"/>
          <w:sz w:val="28"/>
        </w:rPr>
        <w:t>ANDREA LILIANA ROMERO LOPEZ</w:t>
      </w:r>
    </w:p>
    <w:p w:rsidR="00AA2014" w:rsidRPr="006671C3" w:rsidRDefault="006671C3" w:rsidP="00D1315E">
      <w:pPr>
        <w:spacing w:after="0" w:line="240" w:lineRule="auto"/>
        <w:jc w:val="center"/>
        <w:rPr>
          <w:rFonts w:ascii="Times New Roman" w:hAnsi="Times New Roman" w:cs="Times New Roman"/>
          <w:sz w:val="28"/>
        </w:rPr>
      </w:pPr>
      <w:r w:rsidRPr="006671C3">
        <w:rPr>
          <w:rFonts w:ascii="Times New Roman" w:hAnsi="Times New Roman" w:cs="Times New Roman"/>
          <w:sz w:val="28"/>
        </w:rPr>
        <w:t>Secretaria General</w:t>
      </w:r>
    </w:p>
    <w:sectPr w:rsidR="00AA2014" w:rsidRPr="006671C3">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671C3">
      <w:pPr>
        <w:spacing w:after="0" w:line="240" w:lineRule="auto"/>
      </w:pPr>
      <w:r>
        <w:separator/>
      </w:r>
    </w:p>
  </w:endnote>
  <w:endnote w:type="continuationSeparator" w:id="0">
    <w:p w:rsidR="00000000" w:rsidRDefault="006671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671C3">
      <w:pPr>
        <w:spacing w:after="0" w:line="240" w:lineRule="auto"/>
      </w:pPr>
      <w:r>
        <w:separator/>
      </w:r>
    </w:p>
  </w:footnote>
  <w:footnote w:type="continuationSeparator" w:id="0">
    <w:p w:rsidR="00000000" w:rsidRDefault="006671C3">
      <w:pPr>
        <w:spacing w:after="0" w:line="240" w:lineRule="auto"/>
      </w:pPr>
      <w:r>
        <w:continuationSeparator/>
      </w:r>
    </w:p>
  </w:footnote>
  <w:footnote w:id="1">
    <w:p w:rsidR="000E6BF6" w:rsidRPr="00E07CB1" w:rsidRDefault="006671C3" w:rsidP="000E6BF6">
      <w:pPr>
        <w:pStyle w:val="Textonotapie"/>
        <w:jc w:val="both"/>
        <w:rPr>
          <w:rFonts w:ascii="Times New Roman" w:hAnsi="Times New Roman" w:cs="Times New Roman"/>
          <w:sz w:val="18"/>
          <w:szCs w:val="18"/>
        </w:rPr>
      </w:pPr>
      <w:r w:rsidRPr="00E07CB1">
        <w:rPr>
          <w:rStyle w:val="Refdenotaalpie"/>
          <w:rFonts w:ascii="Times New Roman" w:hAnsi="Times New Roman" w:cs="Times New Roman"/>
          <w:sz w:val="18"/>
          <w:szCs w:val="18"/>
        </w:rPr>
        <w:footnoteRef/>
      </w:r>
      <w:r w:rsidRPr="00E07CB1">
        <w:rPr>
          <w:rFonts w:ascii="Times New Roman" w:hAnsi="Times New Roman" w:cs="Times New Roman"/>
          <w:sz w:val="18"/>
          <w:szCs w:val="18"/>
        </w:rPr>
        <w:t xml:space="preserve"> En la providencia el despacho sustanciador consideró que “los cargos formulados en la presente demanda cumplen, </w:t>
      </w:r>
      <w:r w:rsidRPr="00E07CB1">
        <w:rPr>
          <w:rFonts w:ascii="Times New Roman" w:hAnsi="Times New Roman" w:cs="Times New Roman"/>
          <w:i/>
          <w:sz w:val="18"/>
          <w:szCs w:val="18"/>
        </w:rPr>
        <w:t>prima facie</w:t>
      </w:r>
      <w:r w:rsidRPr="00E07CB1">
        <w:rPr>
          <w:rFonts w:ascii="Times New Roman" w:hAnsi="Times New Roman" w:cs="Times New Roman"/>
          <w:sz w:val="18"/>
          <w:szCs w:val="18"/>
        </w:rPr>
        <w:t>, con las reglas de claridad, certeza, especificidad, pertinencia y suficiencia”.</w:t>
      </w:r>
    </w:p>
  </w:footnote>
  <w:footnote w:id="2">
    <w:p w:rsidR="000E6BF6" w:rsidRPr="00E07CB1" w:rsidRDefault="006671C3" w:rsidP="000E6BF6">
      <w:pPr>
        <w:pStyle w:val="Textonotapie"/>
        <w:jc w:val="both"/>
        <w:rPr>
          <w:rFonts w:ascii="Times New Roman" w:hAnsi="Times New Roman" w:cs="Times New Roman"/>
          <w:sz w:val="18"/>
          <w:szCs w:val="18"/>
          <w:lang w:val="es-ES"/>
        </w:rPr>
      </w:pPr>
      <w:r w:rsidRPr="00E07CB1">
        <w:rPr>
          <w:rStyle w:val="Refdenotaalpie"/>
          <w:rFonts w:ascii="Times New Roman" w:hAnsi="Times New Roman" w:cs="Times New Roman"/>
          <w:sz w:val="18"/>
          <w:szCs w:val="18"/>
        </w:rPr>
        <w:footnoteRef/>
      </w:r>
      <w:r w:rsidRPr="00E07CB1">
        <w:rPr>
          <w:rFonts w:ascii="Times New Roman" w:hAnsi="Times New Roman" w:cs="Times New Roman"/>
          <w:sz w:val="18"/>
          <w:szCs w:val="18"/>
        </w:rPr>
        <w:t xml:space="preserve"> </w:t>
      </w:r>
      <w:r w:rsidRPr="00E07CB1">
        <w:rPr>
          <w:rFonts w:ascii="Times New Roman" w:hAnsi="Times New Roman" w:cs="Times New Roman"/>
          <w:sz w:val="18"/>
          <w:szCs w:val="18"/>
          <w:lang w:val="es-ES"/>
        </w:rPr>
        <w:t>A</w:t>
      </w:r>
      <w:r>
        <w:rPr>
          <w:rFonts w:ascii="Times New Roman" w:hAnsi="Times New Roman" w:cs="Times New Roman"/>
          <w:sz w:val="18"/>
          <w:szCs w:val="18"/>
          <w:lang w:val="es-ES"/>
        </w:rPr>
        <w:t xml:space="preserve"> </w:t>
      </w:r>
      <w:r w:rsidRPr="00E07CB1">
        <w:rPr>
          <w:rFonts w:ascii="Times New Roman" w:hAnsi="Times New Roman" w:cs="Times New Roman"/>
          <w:sz w:val="18"/>
          <w:szCs w:val="18"/>
          <w:lang w:val="es-ES"/>
        </w:rPr>
        <w:t>l</w:t>
      </w:r>
      <w:r>
        <w:rPr>
          <w:rFonts w:ascii="Times New Roman" w:hAnsi="Times New Roman" w:cs="Times New Roman"/>
          <w:sz w:val="18"/>
          <w:szCs w:val="18"/>
          <w:lang w:val="es-ES"/>
        </w:rPr>
        <w:t>a</w:t>
      </w:r>
      <w:r w:rsidRPr="00E07CB1">
        <w:rPr>
          <w:rFonts w:ascii="Times New Roman" w:hAnsi="Times New Roman" w:cs="Times New Roman"/>
          <w:sz w:val="18"/>
          <w:szCs w:val="18"/>
          <w:lang w:val="es-ES"/>
        </w:rPr>
        <w:t xml:space="preserve"> </w:t>
      </w:r>
      <w:r>
        <w:rPr>
          <w:rFonts w:ascii="Times New Roman" w:hAnsi="Times New Roman" w:cs="Times New Roman"/>
          <w:sz w:val="18"/>
          <w:szCs w:val="18"/>
          <w:lang w:val="es-ES"/>
        </w:rPr>
        <w:t>Presidencia</w:t>
      </w:r>
      <w:r w:rsidRPr="00E07CB1">
        <w:rPr>
          <w:rFonts w:ascii="Times New Roman" w:hAnsi="Times New Roman" w:cs="Times New Roman"/>
          <w:sz w:val="18"/>
          <w:szCs w:val="18"/>
          <w:lang w:val="es-ES"/>
        </w:rPr>
        <w:t xml:space="preserve"> de la República y al Ministeri</w:t>
      </w:r>
      <w:r w:rsidRPr="00E07CB1">
        <w:rPr>
          <w:rFonts w:ascii="Times New Roman" w:hAnsi="Times New Roman" w:cs="Times New Roman"/>
          <w:sz w:val="18"/>
          <w:szCs w:val="18"/>
          <w:lang w:val="es-ES"/>
        </w:rPr>
        <w:t>o de Hacienda y Crédito Público.</w:t>
      </w:r>
    </w:p>
  </w:footnote>
  <w:footnote w:id="3">
    <w:p w:rsidR="000E6BF6" w:rsidRPr="00E07CB1" w:rsidRDefault="006671C3" w:rsidP="000E6BF6">
      <w:pPr>
        <w:pStyle w:val="Textonotapie"/>
        <w:jc w:val="both"/>
        <w:rPr>
          <w:rFonts w:ascii="Times New Roman" w:hAnsi="Times New Roman" w:cs="Times New Roman"/>
          <w:sz w:val="18"/>
          <w:szCs w:val="18"/>
          <w:lang w:val="es-ES"/>
        </w:rPr>
      </w:pPr>
      <w:r w:rsidRPr="00E07CB1">
        <w:rPr>
          <w:rStyle w:val="Refdenotaalpie"/>
          <w:rFonts w:ascii="Times New Roman" w:hAnsi="Times New Roman" w:cs="Times New Roman"/>
          <w:sz w:val="18"/>
          <w:szCs w:val="18"/>
        </w:rPr>
        <w:footnoteRef/>
      </w:r>
      <w:r w:rsidRPr="00E07CB1">
        <w:rPr>
          <w:rFonts w:ascii="Times New Roman" w:hAnsi="Times New Roman" w:cs="Times New Roman"/>
          <w:sz w:val="18"/>
          <w:szCs w:val="18"/>
        </w:rPr>
        <w:t xml:space="preserve"> A la Agencia Nacional de Defensa Jurídica del Estado; al Ministerio de Comercio, Industria y Turismo; a la Dirección de Impuestos y Aduanas Nacionales (DIAN); al Instituto Colombiano de Derecho Tributario (ICDT); al Insti</w:t>
      </w:r>
      <w:r w:rsidRPr="00E07CB1">
        <w:rPr>
          <w:rFonts w:ascii="Times New Roman" w:hAnsi="Times New Roman" w:cs="Times New Roman"/>
          <w:sz w:val="18"/>
          <w:szCs w:val="18"/>
        </w:rPr>
        <w:t>tuto Colombiano de Derecho Procesal (ICDP); a la Fundación para la Educación Superior y el Desarrollo (FEDESARROLLO); a la Asociación Nacional de Empresarios de Colombia (ANDI); a la Asociación Nacional de Comercio Exterior (ANALDEX); a la Federación Nacio</w:t>
      </w:r>
      <w:r w:rsidRPr="00E07CB1">
        <w:rPr>
          <w:rFonts w:ascii="Times New Roman" w:hAnsi="Times New Roman" w:cs="Times New Roman"/>
          <w:sz w:val="18"/>
          <w:szCs w:val="18"/>
        </w:rPr>
        <w:t>nal de Comerciantes y Empresarios (FENALCO); a la Academia Colombiana de Jurisprudencia; y a los decanos de las facultades de Derecho de las universidades de los Andes, Externado de Colombia, Pontificia Universidad Javeriana, Nacional de Colombia, de Calda</w:t>
      </w:r>
      <w:r w:rsidRPr="00E07CB1">
        <w:rPr>
          <w:rFonts w:ascii="Times New Roman" w:hAnsi="Times New Roman" w:cs="Times New Roman"/>
          <w:sz w:val="18"/>
          <w:szCs w:val="18"/>
        </w:rPr>
        <w:t>s, Libre de Colombia, Santo Tomás, de Cartagena, del Rosario y de La Sabana.</w:t>
      </w:r>
    </w:p>
  </w:footnote>
  <w:footnote w:id="4">
    <w:p w:rsidR="000E6BF6" w:rsidRPr="00E07CB1" w:rsidRDefault="006671C3" w:rsidP="000E6BF6">
      <w:pPr>
        <w:pStyle w:val="Textonotapie"/>
        <w:rPr>
          <w:rFonts w:ascii="Times New Roman" w:hAnsi="Times New Roman" w:cs="Times New Roman"/>
          <w:sz w:val="18"/>
          <w:szCs w:val="18"/>
        </w:rPr>
      </w:pPr>
      <w:r w:rsidRPr="00E07CB1">
        <w:rPr>
          <w:rStyle w:val="Refdenotaalpie"/>
          <w:rFonts w:ascii="Times New Roman" w:hAnsi="Times New Roman" w:cs="Times New Roman"/>
          <w:sz w:val="18"/>
          <w:szCs w:val="18"/>
        </w:rPr>
        <w:footnoteRef/>
      </w:r>
      <w:r w:rsidRPr="00E07CB1">
        <w:rPr>
          <w:rFonts w:ascii="Times New Roman" w:hAnsi="Times New Roman" w:cs="Times New Roman"/>
          <w:sz w:val="18"/>
          <w:szCs w:val="18"/>
        </w:rPr>
        <w:t xml:space="preserve"> Sala Plena del 14 de febrero de 2024.</w:t>
      </w:r>
    </w:p>
  </w:footnote>
  <w:footnote w:id="5">
    <w:p w:rsidR="000E6BF6" w:rsidRPr="00E07CB1" w:rsidRDefault="006671C3" w:rsidP="000E6BF6">
      <w:pPr>
        <w:pStyle w:val="Textonotapie"/>
        <w:rPr>
          <w:rFonts w:ascii="Times New Roman" w:hAnsi="Times New Roman" w:cs="Times New Roman"/>
          <w:sz w:val="18"/>
          <w:szCs w:val="18"/>
        </w:rPr>
      </w:pPr>
      <w:r w:rsidRPr="00E07CB1">
        <w:rPr>
          <w:rStyle w:val="Refdenotaalpie"/>
          <w:rFonts w:ascii="Times New Roman" w:hAnsi="Times New Roman" w:cs="Times New Roman"/>
          <w:sz w:val="18"/>
          <w:szCs w:val="18"/>
        </w:rPr>
        <w:footnoteRef/>
      </w:r>
      <w:r w:rsidRPr="00E07CB1">
        <w:rPr>
          <w:rFonts w:ascii="Times New Roman" w:hAnsi="Times New Roman" w:cs="Times New Roman"/>
          <w:sz w:val="18"/>
          <w:szCs w:val="18"/>
        </w:rPr>
        <w:t xml:space="preserve"> Se estableció nueva fecha para que la Procuradora General de la Nación rindiera el concepto de rigor.</w:t>
      </w:r>
    </w:p>
  </w:footnote>
  <w:footnote w:id="6">
    <w:p w:rsidR="000E6BF6" w:rsidRPr="00E07CB1" w:rsidRDefault="006671C3" w:rsidP="000E6BF6">
      <w:pPr>
        <w:pStyle w:val="Textonotapie"/>
        <w:jc w:val="both"/>
        <w:rPr>
          <w:rFonts w:ascii="Times New Roman" w:hAnsi="Times New Roman" w:cs="Times New Roman"/>
          <w:sz w:val="18"/>
          <w:szCs w:val="18"/>
        </w:rPr>
      </w:pPr>
      <w:r w:rsidRPr="00E07CB1">
        <w:rPr>
          <w:rStyle w:val="Refdenotaalpie"/>
          <w:rFonts w:ascii="Times New Roman" w:hAnsi="Times New Roman" w:cs="Times New Roman"/>
          <w:sz w:val="18"/>
          <w:szCs w:val="18"/>
        </w:rPr>
        <w:footnoteRef/>
      </w:r>
      <w:r w:rsidRPr="00E07CB1">
        <w:rPr>
          <w:rFonts w:ascii="Times New Roman" w:hAnsi="Times New Roman" w:cs="Times New Roman"/>
          <w:sz w:val="18"/>
          <w:szCs w:val="18"/>
        </w:rPr>
        <w:t xml:space="preserve"> Para una mejor comprensión del alcance de la demanda y brevedad en su exposición, dado que se acusan diez disposiciones legales, por desconocer trece normas constitucionales y bajo cinco cargos de inconstitucionalidad (para un total de 76 folios); </w:t>
      </w:r>
      <w:r>
        <w:rPr>
          <w:rFonts w:ascii="Times New Roman" w:hAnsi="Times New Roman" w:cs="Times New Roman"/>
          <w:sz w:val="18"/>
          <w:szCs w:val="18"/>
        </w:rPr>
        <w:t>se proc</w:t>
      </w:r>
      <w:r>
        <w:rPr>
          <w:rFonts w:ascii="Times New Roman" w:hAnsi="Times New Roman" w:cs="Times New Roman"/>
          <w:sz w:val="18"/>
          <w:szCs w:val="18"/>
        </w:rPr>
        <w:t>ede a su agrupación a partir de</w:t>
      </w:r>
      <w:r w:rsidRPr="00E07CB1">
        <w:rPr>
          <w:rFonts w:ascii="Times New Roman" w:hAnsi="Times New Roman" w:cs="Times New Roman"/>
          <w:sz w:val="18"/>
          <w:szCs w:val="18"/>
        </w:rPr>
        <w:t xml:space="preserve"> cada uno de los cargos formulados.</w:t>
      </w:r>
    </w:p>
  </w:footnote>
  <w:footnote w:id="7">
    <w:p w:rsidR="000E6BF6" w:rsidRPr="00E07CB1" w:rsidRDefault="006671C3" w:rsidP="000E6BF6">
      <w:pPr>
        <w:pStyle w:val="Textonotapie"/>
        <w:rPr>
          <w:rFonts w:ascii="Times New Roman" w:hAnsi="Times New Roman" w:cs="Times New Roman"/>
          <w:sz w:val="18"/>
          <w:szCs w:val="18"/>
        </w:rPr>
      </w:pPr>
      <w:r w:rsidRPr="00E07CB1">
        <w:rPr>
          <w:rStyle w:val="Refdenotaalpie"/>
          <w:rFonts w:ascii="Times New Roman" w:hAnsi="Times New Roman" w:cs="Times New Roman"/>
          <w:sz w:val="18"/>
          <w:szCs w:val="18"/>
        </w:rPr>
        <w:footnoteRef/>
      </w:r>
      <w:r w:rsidRPr="00E07CB1">
        <w:rPr>
          <w:rFonts w:ascii="Times New Roman" w:hAnsi="Times New Roman" w:cs="Times New Roman"/>
          <w:sz w:val="18"/>
          <w:szCs w:val="18"/>
        </w:rPr>
        <w:t xml:space="preserve"> Así fueron </w:t>
      </w:r>
      <w:r>
        <w:rPr>
          <w:rFonts w:ascii="Times New Roman" w:hAnsi="Times New Roman" w:cs="Times New Roman"/>
          <w:sz w:val="18"/>
          <w:szCs w:val="18"/>
        </w:rPr>
        <w:t>transcrit</w:t>
      </w:r>
      <w:r w:rsidRPr="00E07CB1">
        <w:rPr>
          <w:rFonts w:ascii="Times New Roman" w:hAnsi="Times New Roman" w:cs="Times New Roman"/>
          <w:sz w:val="18"/>
          <w:szCs w:val="18"/>
        </w:rPr>
        <w:t>as por el accionante al presentar la demanda de inconstitucionalidad.</w:t>
      </w:r>
    </w:p>
  </w:footnote>
  <w:footnote w:id="8">
    <w:p w:rsidR="000E6BF6" w:rsidRPr="00E07CB1" w:rsidRDefault="006671C3" w:rsidP="000E6BF6">
      <w:pPr>
        <w:pStyle w:val="Textonotapie"/>
        <w:rPr>
          <w:rFonts w:ascii="Times New Roman" w:hAnsi="Times New Roman" w:cs="Times New Roman"/>
          <w:sz w:val="18"/>
          <w:szCs w:val="18"/>
        </w:rPr>
      </w:pPr>
      <w:r w:rsidRPr="00E07CB1">
        <w:rPr>
          <w:rStyle w:val="Refdenotaalpie"/>
          <w:rFonts w:ascii="Times New Roman" w:hAnsi="Times New Roman" w:cs="Times New Roman"/>
          <w:sz w:val="18"/>
          <w:szCs w:val="18"/>
        </w:rPr>
        <w:footnoteRef/>
      </w:r>
      <w:r w:rsidRPr="00E07CB1">
        <w:rPr>
          <w:rFonts w:ascii="Times New Roman" w:hAnsi="Times New Roman" w:cs="Times New Roman"/>
          <w:sz w:val="18"/>
          <w:szCs w:val="18"/>
        </w:rPr>
        <w:t xml:space="preserve"> Diario Oficial No. 52.418 de 6 de junio de 2023</w:t>
      </w:r>
    </w:p>
  </w:footnote>
  <w:footnote w:id="9">
    <w:p w:rsidR="000E6BF6" w:rsidRPr="00E07CB1" w:rsidRDefault="006671C3" w:rsidP="000E6BF6">
      <w:pPr>
        <w:pStyle w:val="Textonotapie"/>
        <w:rPr>
          <w:rFonts w:ascii="Times New Roman" w:hAnsi="Times New Roman" w:cs="Times New Roman"/>
          <w:sz w:val="18"/>
          <w:szCs w:val="18"/>
        </w:rPr>
      </w:pPr>
      <w:r w:rsidRPr="00E07CB1">
        <w:rPr>
          <w:rStyle w:val="Refdenotaalpie"/>
          <w:rFonts w:ascii="Times New Roman" w:hAnsi="Times New Roman" w:cs="Times New Roman"/>
          <w:sz w:val="18"/>
          <w:szCs w:val="18"/>
        </w:rPr>
        <w:footnoteRef/>
      </w:r>
      <w:r w:rsidRPr="00E07CB1">
        <w:rPr>
          <w:rFonts w:ascii="Times New Roman" w:hAnsi="Times New Roman" w:cs="Times New Roman"/>
          <w:sz w:val="18"/>
          <w:szCs w:val="18"/>
        </w:rPr>
        <w:t xml:space="preserve"> Demanda, folio 15. </w:t>
      </w:r>
    </w:p>
  </w:footnote>
  <w:footnote w:id="10">
    <w:p w:rsidR="000E6BF6" w:rsidRPr="00E07CB1" w:rsidRDefault="006671C3" w:rsidP="000E6BF6">
      <w:pPr>
        <w:pStyle w:val="Textonotapie"/>
        <w:rPr>
          <w:rFonts w:ascii="Times New Roman" w:hAnsi="Times New Roman" w:cs="Times New Roman"/>
          <w:sz w:val="18"/>
          <w:szCs w:val="18"/>
        </w:rPr>
      </w:pPr>
      <w:r w:rsidRPr="00E07CB1">
        <w:rPr>
          <w:rStyle w:val="Refdenotaalpie"/>
          <w:rFonts w:ascii="Times New Roman" w:hAnsi="Times New Roman" w:cs="Times New Roman"/>
          <w:sz w:val="18"/>
          <w:szCs w:val="18"/>
        </w:rPr>
        <w:footnoteRef/>
      </w:r>
      <w:r w:rsidRPr="00E07CB1">
        <w:rPr>
          <w:rFonts w:ascii="Times New Roman" w:hAnsi="Times New Roman" w:cs="Times New Roman"/>
          <w:sz w:val="18"/>
          <w:szCs w:val="18"/>
        </w:rPr>
        <w:t xml:space="preserve"> Ib., folio 11.</w:t>
      </w:r>
    </w:p>
  </w:footnote>
  <w:footnote w:id="11">
    <w:p w:rsidR="000E6BF6" w:rsidRPr="00E07CB1" w:rsidRDefault="006671C3" w:rsidP="000E6BF6">
      <w:pPr>
        <w:pStyle w:val="Textonotapie"/>
        <w:rPr>
          <w:rFonts w:ascii="Times New Roman" w:hAnsi="Times New Roman" w:cs="Times New Roman"/>
          <w:sz w:val="18"/>
          <w:szCs w:val="18"/>
        </w:rPr>
      </w:pPr>
      <w:r w:rsidRPr="00E07CB1">
        <w:rPr>
          <w:rStyle w:val="Refdenotaalpie"/>
          <w:rFonts w:ascii="Times New Roman" w:hAnsi="Times New Roman" w:cs="Times New Roman"/>
          <w:sz w:val="18"/>
          <w:szCs w:val="18"/>
        </w:rPr>
        <w:footnoteRef/>
      </w:r>
      <w:r w:rsidRPr="00E07CB1">
        <w:rPr>
          <w:rFonts w:ascii="Times New Roman" w:hAnsi="Times New Roman" w:cs="Times New Roman"/>
          <w:sz w:val="18"/>
          <w:szCs w:val="18"/>
        </w:rPr>
        <w:t xml:space="preserve"> Ib., folio 15.</w:t>
      </w:r>
    </w:p>
  </w:footnote>
  <w:footnote w:id="12">
    <w:p w:rsidR="000E6BF6" w:rsidRPr="00E07CB1" w:rsidRDefault="006671C3" w:rsidP="000E6BF6">
      <w:pPr>
        <w:pStyle w:val="Textonotapie"/>
        <w:rPr>
          <w:rFonts w:ascii="Times New Roman" w:hAnsi="Times New Roman" w:cs="Times New Roman"/>
          <w:sz w:val="18"/>
          <w:szCs w:val="18"/>
        </w:rPr>
      </w:pPr>
      <w:r w:rsidRPr="00E07CB1">
        <w:rPr>
          <w:rStyle w:val="Refdenotaalpie"/>
          <w:rFonts w:ascii="Times New Roman" w:hAnsi="Times New Roman" w:cs="Times New Roman"/>
          <w:sz w:val="18"/>
          <w:szCs w:val="18"/>
        </w:rPr>
        <w:footnoteRef/>
      </w:r>
      <w:r w:rsidRPr="00E07CB1">
        <w:rPr>
          <w:rFonts w:ascii="Times New Roman" w:hAnsi="Times New Roman" w:cs="Times New Roman"/>
          <w:sz w:val="18"/>
          <w:szCs w:val="18"/>
        </w:rPr>
        <w:t xml:space="preserve"> Ib., folio 16.</w:t>
      </w:r>
    </w:p>
  </w:footnote>
  <w:footnote w:id="13">
    <w:p w:rsidR="000E6BF6" w:rsidRPr="00E07CB1" w:rsidRDefault="006671C3" w:rsidP="000E6BF6">
      <w:pPr>
        <w:pStyle w:val="Textonotapie"/>
        <w:rPr>
          <w:rFonts w:ascii="Times New Roman" w:hAnsi="Times New Roman" w:cs="Times New Roman"/>
          <w:sz w:val="18"/>
          <w:szCs w:val="18"/>
        </w:rPr>
      </w:pPr>
      <w:r w:rsidRPr="00E07CB1">
        <w:rPr>
          <w:rStyle w:val="Refdenotaalpie"/>
          <w:rFonts w:ascii="Times New Roman" w:hAnsi="Times New Roman" w:cs="Times New Roman"/>
          <w:sz w:val="18"/>
          <w:szCs w:val="18"/>
        </w:rPr>
        <w:footnoteRef/>
      </w:r>
      <w:r w:rsidRPr="00E07CB1">
        <w:rPr>
          <w:rFonts w:ascii="Times New Roman" w:hAnsi="Times New Roman" w:cs="Times New Roman"/>
          <w:sz w:val="18"/>
          <w:szCs w:val="18"/>
        </w:rPr>
        <w:t xml:space="preserve"> Ib., folio 17.</w:t>
      </w:r>
    </w:p>
  </w:footnote>
  <w:footnote w:id="14">
    <w:p w:rsidR="000E6BF6" w:rsidRPr="00E07CB1" w:rsidRDefault="006671C3" w:rsidP="000E6BF6">
      <w:pPr>
        <w:pStyle w:val="Textonotapie"/>
        <w:rPr>
          <w:rFonts w:ascii="Times New Roman" w:hAnsi="Times New Roman" w:cs="Times New Roman"/>
          <w:sz w:val="18"/>
          <w:szCs w:val="18"/>
        </w:rPr>
      </w:pPr>
      <w:r w:rsidRPr="00E07CB1">
        <w:rPr>
          <w:rStyle w:val="Refdenotaalpie"/>
          <w:rFonts w:ascii="Times New Roman" w:hAnsi="Times New Roman" w:cs="Times New Roman"/>
          <w:sz w:val="18"/>
          <w:szCs w:val="18"/>
        </w:rPr>
        <w:footnoteRef/>
      </w:r>
      <w:r w:rsidRPr="00E07CB1">
        <w:rPr>
          <w:rFonts w:ascii="Times New Roman" w:hAnsi="Times New Roman" w:cs="Times New Roman"/>
          <w:sz w:val="18"/>
          <w:szCs w:val="18"/>
        </w:rPr>
        <w:t xml:space="preserve"> Ib., folio 18.</w:t>
      </w:r>
    </w:p>
  </w:footnote>
  <w:footnote w:id="15">
    <w:p w:rsidR="000E6BF6" w:rsidRPr="00E07CB1" w:rsidRDefault="006671C3" w:rsidP="000E6BF6">
      <w:pPr>
        <w:pStyle w:val="Textonotapie"/>
        <w:rPr>
          <w:rFonts w:ascii="Times New Roman" w:hAnsi="Times New Roman" w:cs="Times New Roman"/>
          <w:sz w:val="18"/>
          <w:szCs w:val="18"/>
        </w:rPr>
      </w:pPr>
      <w:r w:rsidRPr="00E07CB1">
        <w:rPr>
          <w:rStyle w:val="Refdenotaalpie"/>
          <w:rFonts w:ascii="Times New Roman" w:hAnsi="Times New Roman" w:cs="Times New Roman"/>
          <w:sz w:val="18"/>
          <w:szCs w:val="18"/>
        </w:rPr>
        <w:footnoteRef/>
      </w:r>
      <w:r w:rsidRPr="00E07CB1">
        <w:rPr>
          <w:rFonts w:ascii="Times New Roman" w:hAnsi="Times New Roman" w:cs="Times New Roman"/>
          <w:sz w:val="18"/>
          <w:szCs w:val="18"/>
        </w:rPr>
        <w:t xml:space="preserve"> Ib., folio 27.</w:t>
      </w:r>
    </w:p>
  </w:footnote>
  <w:footnote w:id="16">
    <w:p w:rsidR="000E6BF6" w:rsidRPr="00E07CB1" w:rsidRDefault="006671C3" w:rsidP="000E6BF6">
      <w:pPr>
        <w:pStyle w:val="Textonotapie"/>
        <w:rPr>
          <w:rFonts w:ascii="Times New Roman" w:hAnsi="Times New Roman" w:cs="Times New Roman"/>
          <w:sz w:val="18"/>
          <w:szCs w:val="18"/>
        </w:rPr>
      </w:pPr>
      <w:r w:rsidRPr="00E07CB1">
        <w:rPr>
          <w:rStyle w:val="Refdenotaalpie"/>
          <w:rFonts w:ascii="Times New Roman" w:hAnsi="Times New Roman" w:cs="Times New Roman"/>
          <w:sz w:val="18"/>
          <w:szCs w:val="18"/>
        </w:rPr>
        <w:footnoteRef/>
      </w:r>
      <w:r w:rsidRPr="00E07CB1">
        <w:rPr>
          <w:rFonts w:ascii="Times New Roman" w:hAnsi="Times New Roman" w:cs="Times New Roman"/>
          <w:sz w:val="18"/>
          <w:szCs w:val="18"/>
        </w:rPr>
        <w:t xml:space="preserve"> Ib., folio 32.</w:t>
      </w:r>
    </w:p>
  </w:footnote>
  <w:footnote w:id="17">
    <w:p w:rsidR="000E6BF6" w:rsidRPr="00E07CB1" w:rsidRDefault="006671C3" w:rsidP="000E6BF6">
      <w:pPr>
        <w:pStyle w:val="Textonotapie"/>
        <w:rPr>
          <w:rFonts w:ascii="Times New Roman" w:hAnsi="Times New Roman" w:cs="Times New Roman"/>
          <w:sz w:val="18"/>
          <w:szCs w:val="18"/>
        </w:rPr>
      </w:pPr>
      <w:r w:rsidRPr="00E07CB1">
        <w:rPr>
          <w:rStyle w:val="Refdenotaalpie"/>
          <w:rFonts w:ascii="Times New Roman" w:hAnsi="Times New Roman" w:cs="Times New Roman"/>
          <w:sz w:val="18"/>
          <w:szCs w:val="18"/>
        </w:rPr>
        <w:footnoteRef/>
      </w:r>
      <w:r w:rsidRPr="00E07CB1">
        <w:rPr>
          <w:rFonts w:ascii="Times New Roman" w:hAnsi="Times New Roman" w:cs="Times New Roman"/>
          <w:sz w:val="18"/>
          <w:szCs w:val="18"/>
        </w:rPr>
        <w:t xml:space="preserve"> Ib., folios 33 y 34.</w:t>
      </w:r>
    </w:p>
  </w:footnote>
  <w:footnote w:id="18">
    <w:p w:rsidR="000E6BF6" w:rsidRPr="00E07CB1" w:rsidRDefault="006671C3" w:rsidP="000E6BF6">
      <w:pPr>
        <w:pStyle w:val="Textonotapie"/>
        <w:rPr>
          <w:rFonts w:ascii="Times New Roman" w:hAnsi="Times New Roman" w:cs="Times New Roman"/>
          <w:sz w:val="18"/>
          <w:szCs w:val="18"/>
        </w:rPr>
      </w:pPr>
      <w:r w:rsidRPr="00E07CB1">
        <w:rPr>
          <w:rStyle w:val="Refdenotaalpie"/>
          <w:rFonts w:ascii="Times New Roman" w:hAnsi="Times New Roman" w:cs="Times New Roman"/>
          <w:sz w:val="18"/>
          <w:szCs w:val="18"/>
        </w:rPr>
        <w:footnoteRef/>
      </w:r>
      <w:r w:rsidRPr="00E07CB1">
        <w:rPr>
          <w:rFonts w:ascii="Times New Roman" w:hAnsi="Times New Roman" w:cs="Times New Roman"/>
          <w:sz w:val="18"/>
          <w:szCs w:val="18"/>
        </w:rPr>
        <w:t xml:space="preserve"> Ib., folios 44 y 45.</w:t>
      </w:r>
    </w:p>
  </w:footnote>
  <w:footnote w:id="19">
    <w:p w:rsidR="000E6BF6" w:rsidRPr="00E07CB1" w:rsidRDefault="006671C3" w:rsidP="000E6BF6">
      <w:pPr>
        <w:pStyle w:val="Textonotapie"/>
        <w:rPr>
          <w:rFonts w:ascii="Times New Roman" w:hAnsi="Times New Roman" w:cs="Times New Roman"/>
          <w:sz w:val="18"/>
          <w:szCs w:val="18"/>
        </w:rPr>
      </w:pPr>
      <w:r w:rsidRPr="00E07CB1">
        <w:rPr>
          <w:rStyle w:val="Refdenotaalpie"/>
          <w:rFonts w:ascii="Times New Roman" w:hAnsi="Times New Roman" w:cs="Times New Roman"/>
          <w:sz w:val="18"/>
          <w:szCs w:val="18"/>
        </w:rPr>
        <w:footnoteRef/>
      </w:r>
      <w:r w:rsidRPr="00E07CB1">
        <w:rPr>
          <w:rFonts w:ascii="Times New Roman" w:hAnsi="Times New Roman" w:cs="Times New Roman"/>
          <w:sz w:val="18"/>
          <w:szCs w:val="18"/>
        </w:rPr>
        <w:t xml:space="preserve"> Ib., folio 46. </w:t>
      </w:r>
    </w:p>
  </w:footnote>
  <w:footnote w:id="20">
    <w:p w:rsidR="000E6BF6" w:rsidRPr="00E07CB1" w:rsidRDefault="006671C3" w:rsidP="000E6BF6">
      <w:pPr>
        <w:pStyle w:val="Textonotapie"/>
        <w:rPr>
          <w:rFonts w:ascii="Times New Roman" w:hAnsi="Times New Roman" w:cs="Times New Roman"/>
          <w:sz w:val="18"/>
          <w:szCs w:val="18"/>
        </w:rPr>
      </w:pPr>
      <w:r w:rsidRPr="00E07CB1">
        <w:rPr>
          <w:rStyle w:val="Refdenotaalpie"/>
          <w:rFonts w:ascii="Times New Roman" w:hAnsi="Times New Roman" w:cs="Times New Roman"/>
          <w:sz w:val="18"/>
          <w:szCs w:val="18"/>
        </w:rPr>
        <w:footnoteRef/>
      </w:r>
      <w:r w:rsidRPr="00E07CB1">
        <w:rPr>
          <w:rFonts w:ascii="Times New Roman" w:hAnsi="Times New Roman" w:cs="Times New Roman"/>
          <w:sz w:val="18"/>
          <w:szCs w:val="18"/>
        </w:rPr>
        <w:t xml:space="preserve"> Ib., folio 47.</w:t>
      </w:r>
    </w:p>
  </w:footnote>
  <w:footnote w:id="21">
    <w:p w:rsidR="000E6BF6" w:rsidRPr="00E07CB1" w:rsidRDefault="006671C3" w:rsidP="000E6BF6">
      <w:pPr>
        <w:pStyle w:val="Textonotapie"/>
        <w:jc w:val="both"/>
        <w:rPr>
          <w:rFonts w:ascii="Times New Roman" w:hAnsi="Times New Roman" w:cs="Times New Roman"/>
          <w:sz w:val="18"/>
          <w:szCs w:val="18"/>
        </w:rPr>
      </w:pPr>
      <w:r w:rsidRPr="00E07CB1">
        <w:rPr>
          <w:rStyle w:val="Refdenotaalpie"/>
          <w:rFonts w:ascii="Times New Roman" w:hAnsi="Times New Roman" w:cs="Times New Roman"/>
          <w:sz w:val="18"/>
          <w:szCs w:val="18"/>
        </w:rPr>
        <w:footnoteRef/>
      </w:r>
      <w:r w:rsidRPr="00E07CB1">
        <w:rPr>
          <w:rFonts w:ascii="Times New Roman" w:hAnsi="Times New Roman" w:cs="Times New Roman"/>
          <w:sz w:val="18"/>
          <w:szCs w:val="18"/>
        </w:rPr>
        <w:t xml:space="preserve"> </w:t>
      </w:r>
      <w:bookmarkStart w:id="18" w:name="_Hlk165969442"/>
      <w:r w:rsidRPr="00E07CB1">
        <w:rPr>
          <w:rFonts w:ascii="Times New Roman" w:hAnsi="Times New Roman" w:cs="Times New Roman"/>
          <w:sz w:val="18"/>
          <w:szCs w:val="18"/>
        </w:rPr>
        <w:t>Transcribe y resalta lo siguiente: “Artículo 7. Medidas cautelares asoci</w:t>
      </w:r>
      <w:r w:rsidRPr="00E07CB1">
        <w:rPr>
          <w:rFonts w:ascii="Times New Roman" w:hAnsi="Times New Roman" w:cs="Times New Roman"/>
          <w:sz w:val="18"/>
          <w:szCs w:val="18"/>
        </w:rPr>
        <w:t>adas a la imposición de sanciones, al decomiso de mercancías y a su procedimiento. (…) Las medidas cautelares que se pueden adoptar son: (…) 10. Retención temporal para verificación del consignatario, destinatario o importador: esta medida consiste en la r</w:t>
      </w:r>
      <w:r w:rsidRPr="00E07CB1">
        <w:rPr>
          <w:rFonts w:ascii="Times New Roman" w:hAnsi="Times New Roman" w:cs="Times New Roman"/>
          <w:sz w:val="18"/>
          <w:szCs w:val="18"/>
        </w:rPr>
        <w:t>etención temporal de la mercancía, en el control previo, simultáneo, o posterior, en este último evento por las áreas de fiscalización, por un término máximo de cinco (5) días hábiles, mientras se verifica que, para la fecha de la realización de la operaci</w:t>
      </w:r>
      <w:r w:rsidRPr="00E07CB1">
        <w:rPr>
          <w:rFonts w:ascii="Times New Roman" w:hAnsi="Times New Roman" w:cs="Times New Roman"/>
          <w:sz w:val="18"/>
          <w:szCs w:val="18"/>
        </w:rPr>
        <w:t xml:space="preserve">ón de comercio exterior, </w:t>
      </w:r>
      <w:r w:rsidRPr="00E07CB1">
        <w:rPr>
          <w:rFonts w:ascii="Times New Roman" w:hAnsi="Times New Roman" w:cs="Times New Roman"/>
          <w:b/>
          <w:sz w:val="18"/>
          <w:szCs w:val="18"/>
        </w:rPr>
        <w:t>se presentó alguna de las siguientes circunstancias respecto del consignatario, destinatario o importador</w:t>
      </w:r>
      <w:r w:rsidRPr="00E07CB1">
        <w:rPr>
          <w:rFonts w:ascii="Times New Roman" w:hAnsi="Times New Roman" w:cs="Times New Roman"/>
          <w:sz w:val="18"/>
          <w:szCs w:val="18"/>
        </w:rPr>
        <w:t>: 10.1. Su no ubicación en la dirección principal informada en el Registro Único Tributario (RUT) ya sea porque dicha direcció</w:t>
      </w:r>
      <w:r w:rsidRPr="00E07CB1">
        <w:rPr>
          <w:rFonts w:ascii="Times New Roman" w:hAnsi="Times New Roman" w:cs="Times New Roman"/>
          <w:sz w:val="18"/>
          <w:szCs w:val="18"/>
        </w:rPr>
        <w:t>n no existe, o porque existiendo no corresponde con la dirección del obligado aduanero. 10.2. Cuando no se pueda determinar la solvencia económica para desarrollar la operación de comercio exterior o el origen de los fondos para llevarla a cabo. Para el ef</w:t>
      </w:r>
      <w:r w:rsidRPr="00E07CB1">
        <w:rPr>
          <w:rFonts w:ascii="Times New Roman" w:hAnsi="Times New Roman" w:cs="Times New Roman"/>
          <w:sz w:val="18"/>
          <w:szCs w:val="18"/>
        </w:rPr>
        <w:t>ecto, la autoridad aduanera podrá consultar y verificar el valor contenido como capital social suscrito y pagado en el certificado de existencia y representación legal, estados financieros del último año, cartas de crédito aprobadas por una entidad financi</w:t>
      </w:r>
      <w:r w:rsidRPr="00E07CB1">
        <w:rPr>
          <w:rFonts w:ascii="Times New Roman" w:hAnsi="Times New Roman" w:cs="Times New Roman"/>
          <w:sz w:val="18"/>
          <w:szCs w:val="18"/>
        </w:rPr>
        <w:t>era, extractos bancarios, entre otros. 10.3. Que la persona jurídica se encuentre disuelta y liquidada para la fecha de la realización de la operación de comercio exterior o que tratándose de una persona natural haya fallecido. 10.4. Cuando se ha utilizado</w:t>
      </w:r>
      <w:r w:rsidRPr="00E07CB1">
        <w:rPr>
          <w:rFonts w:ascii="Times New Roman" w:hAnsi="Times New Roman" w:cs="Times New Roman"/>
          <w:sz w:val="18"/>
          <w:szCs w:val="18"/>
        </w:rPr>
        <w:t xml:space="preserve"> el nombre y la identificación de personas naturales o jurídicas, sin su autorización, en operaciones de comercio exterior”. </w:t>
      </w:r>
    </w:p>
    <w:bookmarkEnd w:id="18"/>
  </w:footnote>
  <w:footnote w:id="22">
    <w:p w:rsidR="000E6BF6" w:rsidRPr="00E07CB1" w:rsidRDefault="006671C3" w:rsidP="000E6BF6">
      <w:pPr>
        <w:pStyle w:val="Textonotapie"/>
        <w:jc w:val="both"/>
        <w:rPr>
          <w:rFonts w:ascii="Times New Roman" w:hAnsi="Times New Roman" w:cs="Times New Roman"/>
          <w:sz w:val="18"/>
          <w:szCs w:val="18"/>
        </w:rPr>
      </w:pPr>
      <w:r w:rsidRPr="00E07CB1">
        <w:rPr>
          <w:rStyle w:val="Refdenotaalpie"/>
          <w:rFonts w:ascii="Times New Roman" w:hAnsi="Times New Roman" w:cs="Times New Roman"/>
          <w:sz w:val="18"/>
          <w:szCs w:val="18"/>
        </w:rPr>
        <w:footnoteRef/>
      </w:r>
      <w:r w:rsidRPr="00E07CB1">
        <w:rPr>
          <w:rFonts w:ascii="Times New Roman" w:hAnsi="Times New Roman" w:cs="Times New Roman"/>
          <w:sz w:val="18"/>
          <w:szCs w:val="18"/>
        </w:rPr>
        <w:t xml:space="preserve"> Transcribe los siguientes apartes: “[…] la autoridad competente para verificar la legalidad de las operaciones de comercio exter</w:t>
      </w:r>
      <w:r w:rsidRPr="00E07CB1">
        <w:rPr>
          <w:rFonts w:ascii="Times New Roman" w:hAnsi="Times New Roman" w:cs="Times New Roman"/>
          <w:sz w:val="18"/>
          <w:szCs w:val="18"/>
        </w:rPr>
        <w:t>ior y el cumplimiento de las obligaciones por parte de los usuarios aduaneros es la Unidad Administrativa Especial Dirección de Impuestos y Aduanas Nacionales (DIAN)”. “Para el ejercicio de sus funciones en materia de fiscalización aduanera, la Unidad Admi</w:t>
      </w:r>
      <w:r w:rsidRPr="00E07CB1">
        <w:rPr>
          <w:rFonts w:ascii="Times New Roman" w:hAnsi="Times New Roman" w:cs="Times New Roman"/>
          <w:sz w:val="18"/>
          <w:szCs w:val="18"/>
        </w:rPr>
        <w:t>nistrativa Especial Dirección de Impuestos y Aduanas Nacionales (DIAN) cuenta con facultades de fiscalización, respecto de investigaciones, infracciones, sanciones, aprehensión y decomiso de mercancías consagradas en el presente decreto”.</w:t>
      </w:r>
    </w:p>
  </w:footnote>
  <w:footnote w:id="23">
    <w:p w:rsidR="000E6BF6" w:rsidRPr="00E07CB1" w:rsidRDefault="006671C3" w:rsidP="000E6BF6">
      <w:pPr>
        <w:pStyle w:val="Textonotapie"/>
        <w:jc w:val="both"/>
        <w:rPr>
          <w:rFonts w:ascii="Times New Roman" w:hAnsi="Times New Roman" w:cs="Times New Roman"/>
          <w:sz w:val="18"/>
          <w:szCs w:val="18"/>
        </w:rPr>
      </w:pPr>
      <w:r w:rsidRPr="00E07CB1">
        <w:rPr>
          <w:rStyle w:val="Refdenotaalpie"/>
          <w:rFonts w:ascii="Times New Roman" w:hAnsi="Times New Roman" w:cs="Times New Roman"/>
          <w:sz w:val="18"/>
          <w:szCs w:val="18"/>
        </w:rPr>
        <w:footnoteRef/>
      </w:r>
      <w:r w:rsidRPr="00E07CB1">
        <w:rPr>
          <w:rFonts w:ascii="Times New Roman" w:hAnsi="Times New Roman" w:cs="Times New Roman"/>
          <w:sz w:val="18"/>
          <w:szCs w:val="18"/>
        </w:rPr>
        <w:t xml:space="preserve"> El demandante a</w:t>
      </w:r>
      <w:r w:rsidRPr="00E07CB1">
        <w:rPr>
          <w:rFonts w:ascii="Times New Roman" w:hAnsi="Times New Roman" w:cs="Times New Roman"/>
          <w:sz w:val="18"/>
          <w:szCs w:val="18"/>
        </w:rPr>
        <w:t xml:space="preserve">ñade que como la conducta sancionada involucra actores y acciones propias de la actividad aduanera </w:t>
      </w:r>
      <w:r w:rsidRPr="00B76EDC">
        <w:rPr>
          <w:rFonts w:ascii="Times New Roman" w:hAnsi="Times New Roman" w:cs="Times New Roman"/>
          <w:i/>
          <w:sz w:val="18"/>
          <w:szCs w:val="18"/>
        </w:rPr>
        <w:t xml:space="preserve">es necesario reparar en algunas disposiciones del </w:t>
      </w:r>
      <w:r>
        <w:rPr>
          <w:rFonts w:ascii="Times New Roman" w:hAnsi="Times New Roman" w:cs="Times New Roman"/>
          <w:i/>
          <w:sz w:val="18"/>
          <w:szCs w:val="18"/>
        </w:rPr>
        <w:t>r</w:t>
      </w:r>
      <w:r w:rsidRPr="00B76EDC">
        <w:rPr>
          <w:rFonts w:ascii="Times New Roman" w:hAnsi="Times New Roman" w:cs="Times New Roman"/>
          <w:i/>
          <w:sz w:val="18"/>
          <w:szCs w:val="18"/>
        </w:rPr>
        <w:t xml:space="preserve">égimen de </w:t>
      </w:r>
      <w:r>
        <w:rPr>
          <w:rFonts w:ascii="Times New Roman" w:hAnsi="Times New Roman" w:cs="Times New Roman"/>
          <w:i/>
          <w:sz w:val="18"/>
          <w:szCs w:val="18"/>
        </w:rPr>
        <w:t>a</w:t>
      </w:r>
      <w:r w:rsidRPr="00B76EDC">
        <w:rPr>
          <w:rFonts w:ascii="Times New Roman" w:hAnsi="Times New Roman" w:cs="Times New Roman"/>
          <w:i/>
          <w:sz w:val="18"/>
          <w:szCs w:val="18"/>
        </w:rPr>
        <w:t>duanas del Decreto 1165 de 2019</w:t>
      </w:r>
      <w:r w:rsidRPr="00E07CB1">
        <w:rPr>
          <w:rFonts w:ascii="Times New Roman" w:hAnsi="Times New Roman" w:cs="Times New Roman"/>
          <w:sz w:val="18"/>
          <w:szCs w:val="18"/>
        </w:rPr>
        <w:t xml:space="preserve"> (no como parámetro de control de constitucionalidad), refiriend</w:t>
      </w:r>
      <w:r w:rsidRPr="00E07CB1">
        <w:rPr>
          <w:rFonts w:ascii="Times New Roman" w:hAnsi="Times New Roman" w:cs="Times New Roman"/>
          <w:sz w:val="18"/>
          <w:szCs w:val="18"/>
        </w:rPr>
        <w:t>o a los artículos 2 (num. 3 principio de justicia, no se puede exigir más de lo que la misma ley pretende), 7 (aduaneros directos son los usuarios aduaneros), 3 (usuario aduanero es aquella persona que requiera autorización, habilitación o registro para ac</w:t>
      </w:r>
      <w:r w:rsidRPr="00E07CB1">
        <w:rPr>
          <w:rFonts w:ascii="Times New Roman" w:hAnsi="Times New Roman" w:cs="Times New Roman"/>
          <w:sz w:val="18"/>
          <w:szCs w:val="18"/>
        </w:rPr>
        <w:t>tuar ante la administración aduanera), 34 (define la agencia de aduanas), 50 (conocimiento del cliente</w:t>
      </w:r>
      <w:r>
        <w:rPr>
          <w:rFonts w:ascii="Times New Roman" w:hAnsi="Times New Roman" w:cs="Times New Roman"/>
          <w:sz w:val="18"/>
          <w:szCs w:val="18"/>
        </w:rPr>
        <w:t xml:space="preserve">, transcribe el inciso primero en cuanto </w:t>
      </w:r>
      <w:r w:rsidRPr="008E56C4">
        <w:rPr>
          <w:rFonts w:ascii="Times New Roman" w:hAnsi="Times New Roman" w:cs="Times New Roman"/>
          <w:sz w:val="18"/>
          <w:szCs w:val="18"/>
        </w:rPr>
        <w:t xml:space="preserve">las agencias de aduanas </w:t>
      </w:r>
      <w:r>
        <w:rPr>
          <w:rFonts w:ascii="Times New Roman" w:hAnsi="Times New Roman" w:cs="Times New Roman"/>
          <w:sz w:val="18"/>
          <w:szCs w:val="18"/>
        </w:rPr>
        <w:t>deben</w:t>
      </w:r>
      <w:r w:rsidRPr="008E56C4">
        <w:rPr>
          <w:rFonts w:ascii="Times New Roman" w:hAnsi="Times New Roman" w:cs="Times New Roman"/>
          <w:sz w:val="18"/>
          <w:szCs w:val="18"/>
        </w:rPr>
        <w:t xml:space="preserve"> establecer mecanismos de control </w:t>
      </w:r>
      <w:r>
        <w:rPr>
          <w:rFonts w:ascii="Times New Roman" w:hAnsi="Times New Roman" w:cs="Times New Roman"/>
          <w:sz w:val="18"/>
          <w:szCs w:val="18"/>
        </w:rPr>
        <w:t>para</w:t>
      </w:r>
      <w:r w:rsidRPr="008E56C4">
        <w:rPr>
          <w:rFonts w:ascii="Times New Roman" w:hAnsi="Times New Roman" w:cs="Times New Roman"/>
          <w:sz w:val="18"/>
          <w:szCs w:val="18"/>
        </w:rPr>
        <w:t xml:space="preserve"> asegurar una relación contractual transparent</w:t>
      </w:r>
      <w:r w:rsidRPr="008E56C4">
        <w:rPr>
          <w:rFonts w:ascii="Times New Roman" w:hAnsi="Times New Roman" w:cs="Times New Roman"/>
          <w:sz w:val="18"/>
          <w:szCs w:val="18"/>
        </w:rPr>
        <w:t>e con sus clientes</w:t>
      </w:r>
      <w:r w:rsidRPr="00E07CB1">
        <w:rPr>
          <w:rFonts w:ascii="Times New Roman" w:hAnsi="Times New Roman" w:cs="Times New Roman"/>
          <w:sz w:val="18"/>
          <w:szCs w:val="18"/>
        </w:rPr>
        <w:t xml:space="preserve">), 82 (depósitos) y 110 (responsabilidades de los depósitos). Destaca que si bien el </w:t>
      </w:r>
      <w:r>
        <w:rPr>
          <w:rFonts w:ascii="Times New Roman" w:hAnsi="Times New Roman" w:cs="Times New Roman"/>
          <w:sz w:val="18"/>
          <w:szCs w:val="18"/>
        </w:rPr>
        <w:t>r</w:t>
      </w:r>
      <w:r w:rsidRPr="00E07CB1">
        <w:rPr>
          <w:rFonts w:ascii="Times New Roman" w:hAnsi="Times New Roman" w:cs="Times New Roman"/>
          <w:sz w:val="18"/>
          <w:szCs w:val="18"/>
        </w:rPr>
        <w:t xml:space="preserve">égimen de </w:t>
      </w:r>
      <w:r>
        <w:rPr>
          <w:rFonts w:ascii="Times New Roman" w:hAnsi="Times New Roman" w:cs="Times New Roman"/>
          <w:sz w:val="18"/>
          <w:szCs w:val="18"/>
        </w:rPr>
        <w:t>a</w:t>
      </w:r>
      <w:r w:rsidRPr="00E07CB1">
        <w:rPr>
          <w:rFonts w:ascii="Times New Roman" w:hAnsi="Times New Roman" w:cs="Times New Roman"/>
          <w:sz w:val="18"/>
          <w:szCs w:val="18"/>
        </w:rPr>
        <w:t>duanas señala deberes de los usuarios aduaneros, como el cumplir las obligaciones consagradas en los artículos 102 a 107 del Estatuto Orgánic</w:t>
      </w:r>
      <w:r w:rsidRPr="00E07CB1">
        <w:rPr>
          <w:rFonts w:ascii="Times New Roman" w:hAnsi="Times New Roman" w:cs="Times New Roman"/>
          <w:sz w:val="18"/>
          <w:szCs w:val="18"/>
        </w:rPr>
        <w:t>o del Sistema Financiero (prevención de lavado de activos), tales cargas se refieren a la adopción de mecanismos de control, monitoreo y mitigación de eventuales situaciones, sin que su concreción les pueda ser imputable. Demanda, folios 49 a 53.</w:t>
      </w:r>
    </w:p>
  </w:footnote>
  <w:footnote w:id="24">
    <w:p w:rsidR="000E6BF6" w:rsidRPr="00E07CB1" w:rsidRDefault="006671C3" w:rsidP="000E6BF6">
      <w:pPr>
        <w:pStyle w:val="Textonotapie"/>
        <w:rPr>
          <w:rFonts w:ascii="Times New Roman" w:hAnsi="Times New Roman" w:cs="Times New Roman"/>
          <w:sz w:val="18"/>
          <w:szCs w:val="18"/>
        </w:rPr>
      </w:pPr>
      <w:r w:rsidRPr="00E07CB1">
        <w:rPr>
          <w:rStyle w:val="Refdenotaalpie"/>
          <w:rFonts w:ascii="Times New Roman" w:hAnsi="Times New Roman" w:cs="Times New Roman"/>
          <w:sz w:val="18"/>
          <w:szCs w:val="18"/>
        </w:rPr>
        <w:footnoteRef/>
      </w:r>
      <w:r w:rsidRPr="00E07CB1">
        <w:rPr>
          <w:rFonts w:ascii="Times New Roman" w:hAnsi="Times New Roman" w:cs="Times New Roman"/>
          <w:sz w:val="18"/>
          <w:szCs w:val="18"/>
        </w:rPr>
        <w:t xml:space="preserve"> Demanda</w:t>
      </w:r>
      <w:r w:rsidRPr="00E07CB1">
        <w:rPr>
          <w:rFonts w:ascii="Times New Roman" w:hAnsi="Times New Roman" w:cs="Times New Roman"/>
          <w:sz w:val="18"/>
          <w:szCs w:val="18"/>
        </w:rPr>
        <w:t>, folio 53.</w:t>
      </w:r>
    </w:p>
  </w:footnote>
  <w:footnote w:id="25">
    <w:p w:rsidR="000E6BF6" w:rsidRPr="00E07CB1" w:rsidRDefault="006671C3" w:rsidP="000E6BF6">
      <w:pPr>
        <w:pStyle w:val="Textonotapie"/>
        <w:jc w:val="both"/>
        <w:rPr>
          <w:rFonts w:ascii="Times New Roman" w:hAnsi="Times New Roman" w:cs="Times New Roman"/>
          <w:sz w:val="18"/>
          <w:szCs w:val="18"/>
        </w:rPr>
      </w:pPr>
      <w:r w:rsidRPr="00E07CB1">
        <w:rPr>
          <w:rStyle w:val="Refdenotaalpie"/>
          <w:rFonts w:ascii="Times New Roman" w:hAnsi="Times New Roman" w:cs="Times New Roman"/>
          <w:sz w:val="18"/>
          <w:szCs w:val="18"/>
        </w:rPr>
        <w:footnoteRef/>
      </w:r>
      <w:r w:rsidRPr="00E07CB1">
        <w:rPr>
          <w:rFonts w:ascii="Times New Roman" w:hAnsi="Times New Roman" w:cs="Times New Roman"/>
          <w:sz w:val="18"/>
          <w:szCs w:val="18"/>
        </w:rPr>
        <w:t xml:space="preserve"> Comenta el accionante que tratándose del RUT y el certificado de existencia y representación legal, que son documentos que brindan publicidad sobre cierta información de las personas obligadas al respectivo registro, resulta irrazonable y desproporcionado</w:t>
      </w:r>
      <w:r w:rsidRPr="00E07CB1">
        <w:rPr>
          <w:rFonts w:ascii="Times New Roman" w:hAnsi="Times New Roman" w:cs="Times New Roman"/>
          <w:sz w:val="18"/>
          <w:szCs w:val="18"/>
        </w:rPr>
        <w:t xml:space="preserve"> que se imponga a la agencia de aduanas y almacenes de depósitos “la carga de validar la veracidad de la información allí contenida”. Demanda, folios 56 y 57.</w:t>
      </w:r>
    </w:p>
  </w:footnote>
  <w:footnote w:id="26">
    <w:p w:rsidR="000E6BF6" w:rsidRPr="00E07CB1" w:rsidRDefault="006671C3" w:rsidP="000E6BF6">
      <w:pPr>
        <w:pStyle w:val="Textonotapie"/>
        <w:rPr>
          <w:rFonts w:ascii="Times New Roman" w:hAnsi="Times New Roman" w:cs="Times New Roman"/>
          <w:sz w:val="18"/>
          <w:szCs w:val="18"/>
        </w:rPr>
      </w:pPr>
      <w:r w:rsidRPr="00E07CB1">
        <w:rPr>
          <w:rStyle w:val="Refdenotaalpie"/>
          <w:rFonts w:ascii="Times New Roman" w:hAnsi="Times New Roman" w:cs="Times New Roman"/>
          <w:sz w:val="18"/>
          <w:szCs w:val="18"/>
        </w:rPr>
        <w:footnoteRef/>
      </w:r>
      <w:r w:rsidRPr="00E07CB1">
        <w:rPr>
          <w:rFonts w:ascii="Times New Roman" w:hAnsi="Times New Roman" w:cs="Times New Roman"/>
          <w:sz w:val="18"/>
          <w:szCs w:val="18"/>
        </w:rPr>
        <w:t xml:space="preserve"> Demanda, folios 58 y 59.</w:t>
      </w:r>
    </w:p>
  </w:footnote>
  <w:footnote w:id="27">
    <w:p w:rsidR="000E6BF6" w:rsidRPr="00E07CB1" w:rsidRDefault="006671C3" w:rsidP="000E6BF6">
      <w:pPr>
        <w:pStyle w:val="Textonotapie"/>
        <w:jc w:val="both"/>
        <w:rPr>
          <w:rFonts w:ascii="Times New Roman" w:hAnsi="Times New Roman" w:cs="Times New Roman"/>
          <w:sz w:val="18"/>
          <w:szCs w:val="18"/>
        </w:rPr>
      </w:pPr>
      <w:r w:rsidRPr="00E07CB1">
        <w:rPr>
          <w:rStyle w:val="Refdenotaalpie"/>
          <w:rFonts w:ascii="Times New Roman" w:hAnsi="Times New Roman" w:cs="Times New Roman"/>
          <w:sz w:val="18"/>
          <w:szCs w:val="18"/>
        </w:rPr>
        <w:footnoteRef/>
      </w:r>
      <w:r w:rsidRPr="00E07CB1">
        <w:rPr>
          <w:rFonts w:ascii="Times New Roman" w:hAnsi="Times New Roman" w:cs="Times New Roman"/>
          <w:sz w:val="18"/>
          <w:szCs w:val="18"/>
        </w:rPr>
        <w:t xml:space="preserve"> Transcribe y resalta lo siguiente: “Artículo 7. (…) 10. Retención te</w:t>
      </w:r>
      <w:r w:rsidRPr="00E07CB1">
        <w:rPr>
          <w:rFonts w:ascii="Times New Roman" w:hAnsi="Times New Roman" w:cs="Times New Roman"/>
          <w:sz w:val="18"/>
          <w:szCs w:val="18"/>
        </w:rPr>
        <w:t>mporal para verificación del consignatario, destinatario o importador: esta medida consiste en la retención temporal de la mercancía, en el control previo, simultáneo, o posterior, en este último evento por las áreas de fiscalización, por un término máximo</w:t>
      </w:r>
      <w:r w:rsidRPr="00E07CB1">
        <w:rPr>
          <w:rFonts w:ascii="Times New Roman" w:hAnsi="Times New Roman" w:cs="Times New Roman"/>
          <w:sz w:val="18"/>
          <w:szCs w:val="18"/>
        </w:rPr>
        <w:t xml:space="preserve"> de cinco (5) días hábiles, </w:t>
      </w:r>
      <w:r w:rsidRPr="00E07CB1">
        <w:rPr>
          <w:rFonts w:ascii="Times New Roman" w:hAnsi="Times New Roman" w:cs="Times New Roman"/>
          <w:b/>
          <w:sz w:val="18"/>
          <w:szCs w:val="18"/>
        </w:rPr>
        <w:t>mientras se verifica que, para la fecha de la realización de la operación de comercio exterior, se presentó alguna de las siguientes circunstancias respecto del consignatario, destinatario o importador</w:t>
      </w:r>
      <w:r w:rsidRPr="00E07CB1">
        <w:rPr>
          <w:rFonts w:ascii="Times New Roman" w:hAnsi="Times New Roman" w:cs="Times New Roman"/>
          <w:sz w:val="18"/>
          <w:szCs w:val="18"/>
        </w:rPr>
        <w:t xml:space="preserve">: 10.1. </w:t>
      </w:r>
      <w:r w:rsidRPr="00E07CB1">
        <w:rPr>
          <w:rFonts w:ascii="Times New Roman" w:hAnsi="Times New Roman" w:cs="Times New Roman"/>
          <w:b/>
          <w:sz w:val="18"/>
          <w:szCs w:val="18"/>
        </w:rPr>
        <w:t xml:space="preserve">Su no ubicación en </w:t>
      </w:r>
      <w:r w:rsidRPr="00E07CB1">
        <w:rPr>
          <w:rFonts w:ascii="Times New Roman" w:hAnsi="Times New Roman" w:cs="Times New Roman"/>
          <w:b/>
          <w:sz w:val="18"/>
          <w:szCs w:val="18"/>
        </w:rPr>
        <w:t>la dirección principal informada en el Registro Único Tributario (RUT) ya sea porque dicha dirección no existe, o porque existiendo no corresponde con la dirección del obligado aduanero</w:t>
      </w:r>
      <w:r w:rsidRPr="00E07CB1">
        <w:rPr>
          <w:rFonts w:ascii="Times New Roman" w:hAnsi="Times New Roman" w:cs="Times New Roman"/>
          <w:sz w:val="18"/>
          <w:szCs w:val="18"/>
        </w:rPr>
        <w:t xml:space="preserve">. 10.2. </w:t>
      </w:r>
      <w:r w:rsidRPr="00E07CB1">
        <w:rPr>
          <w:rFonts w:ascii="Times New Roman" w:hAnsi="Times New Roman" w:cs="Times New Roman"/>
          <w:b/>
          <w:sz w:val="18"/>
          <w:szCs w:val="18"/>
        </w:rPr>
        <w:t>Cuando no se pueda determinar la solvencia económica para desar</w:t>
      </w:r>
      <w:r w:rsidRPr="00E07CB1">
        <w:rPr>
          <w:rFonts w:ascii="Times New Roman" w:hAnsi="Times New Roman" w:cs="Times New Roman"/>
          <w:b/>
          <w:sz w:val="18"/>
          <w:szCs w:val="18"/>
        </w:rPr>
        <w:t>rollar la operación de comercio exterior o el origen de los fondos para llevarla a cabo</w:t>
      </w:r>
      <w:r w:rsidRPr="00E07CB1">
        <w:rPr>
          <w:rFonts w:ascii="Times New Roman" w:hAnsi="Times New Roman" w:cs="Times New Roman"/>
          <w:sz w:val="18"/>
          <w:szCs w:val="18"/>
        </w:rPr>
        <w:t>. Para el efecto, la autoridad aduanera podrá consultar y verificar el valor contenido como capital social suscrito y pagado en el certificado de existencia y representa</w:t>
      </w:r>
      <w:r w:rsidRPr="00E07CB1">
        <w:rPr>
          <w:rFonts w:ascii="Times New Roman" w:hAnsi="Times New Roman" w:cs="Times New Roman"/>
          <w:sz w:val="18"/>
          <w:szCs w:val="18"/>
        </w:rPr>
        <w:t xml:space="preserve">ción legal, estados financieros del último año, cartas de crédito aprobadas por una entidad financiera, extractos bancarios, entre otros. 10.3. </w:t>
      </w:r>
      <w:r w:rsidRPr="00E07CB1">
        <w:rPr>
          <w:rFonts w:ascii="Times New Roman" w:hAnsi="Times New Roman" w:cs="Times New Roman"/>
          <w:b/>
          <w:sz w:val="18"/>
          <w:szCs w:val="18"/>
        </w:rPr>
        <w:t>Que la persona jurídica se encuentre disuelta y liquidada para la fecha de la realización de la operación de com</w:t>
      </w:r>
      <w:r w:rsidRPr="00E07CB1">
        <w:rPr>
          <w:rFonts w:ascii="Times New Roman" w:hAnsi="Times New Roman" w:cs="Times New Roman"/>
          <w:b/>
          <w:sz w:val="18"/>
          <w:szCs w:val="18"/>
        </w:rPr>
        <w:t>ercio exterior o que tratándose de una persona natural haya fallecido</w:t>
      </w:r>
      <w:r w:rsidRPr="00E07CB1">
        <w:rPr>
          <w:rFonts w:ascii="Times New Roman" w:hAnsi="Times New Roman" w:cs="Times New Roman"/>
          <w:sz w:val="18"/>
          <w:szCs w:val="18"/>
        </w:rPr>
        <w:t>. 10.4. Cuando se ha utilizado el nombre y la identificación de personas naturales o jurídicas, sin su autorización, en operaciones de comercio exterior. (…) En el caso de la causal del n</w:t>
      </w:r>
      <w:r w:rsidRPr="00E07CB1">
        <w:rPr>
          <w:rFonts w:ascii="Times New Roman" w:hAnsi="Times New Roman" w:cs="Times New Roman"/>
          <w:sz w:val="18"/>
          <w:szCs w:val="18"/>
        </w:rPr>
        <w:t>umeral 10.1 el usuario aduanero podrá solicitar una segunda visita por parte de la autoridad aduanera. Si en esa visita se determina que la causal del numeral 10.1 no se configuró, se levantará la medida de suspensión del RUT y el área aprehensora proferir</w:t>
      </w:r>
      <w:r w:rsidRPr="00E07CB1">
        <w:rPr>
          <w:rFonts w:ascii="Times New Roman" w:hAnsi="Times New Roman" w:cs="Times New Roman"/>
          <w:sz w:val="18"/>
          <w:szCs w:val="18"/>
        </w:rPr>
        <w:t>á el acto administrativo que ordene la devolución inmediata de la mercancía retenida temporalmente”.</w:t>
      </w:r>
    </w:p>
  </w:footnote>
  <w:footnote w:id="28">
    <w:p w:rsidR="000E6BF6" w:rsidRPr="00E07CB1" w:rsidRDefault="006671C3" w:rsidP="000E6BF6">
      <w:pPr>
        <w:pStyle w:val="Textonotapie"/>
        <w:rPr>
          <w:rFonts w:ascii="Times New Roman" w:hAnsi="Times New Roman" w:cs="Times New Roman"/>
          <w:sz w:val="18"/>
          <w:szCs w:val="18"/>
        </w:rPr>
      </w:pPr>
      <w:r w:rsidRPr="00E07CB1">
        <w:rPr>
          <w:rStyle w:val="Refdenotaalpie"/>
          <w:rFonts w:ascii="Times New Roman" w:hAnsi="Times New Roman" w:cs="Times New Roman"/>
          <w:sz w:val="18"/>
          <w:szCs w:val="18"/>
        </w:rPr>
        <w:footnoteRef/>
      </w:r>
      <w:r w:rsidRPr="00E07CB1">
        <w:rPr>
          <w:rFonts w:ascii="Times New Roman" w:hAnsi="Times New Roman" w:cs="Times New Roman"/>
          <w:sz w:val="18"/>
          <w:szCs w:val="18"/>
        </w:rPr>
        <w:t xml:space="preserve"> Demanda, folios 69 y 70.</w:t>
      </w:r>
    </w:p>
  </w:footnote>
  <w:footnote w:id="29">
    <w:p w:rsidR="000E6BF6" w:rsidRPr="00E07CB1" w:rsidRDefault="006671C3" w:rsidP="000E6BF6">
      <w:pPr>
        <w:pStyle w:val="Textonotapie"/>
        <w:rPr>
          <w:rFonts w:ascii="Times New Roman" w:hAnsi="Times New Roman" w:cs="Times New Roman"/>
          <w:sz w:val="18"/>
          <w:szCs w:val="18"/>
        </w:rPr>
      </w:pPr>
      <w:r w:rsidRPr="00E07CB1">
        <w:rPr>
          <w:rStyle w:val="Refdenotaalpie"/>
          <w:rFonts w:ascii="Times New Roman" w:hAnsi="Times New Roman" w:cs="Times New Roman"/>
          <w:sz w:val="18"/>
          <w:szCs w:val="18"/>
        </w:rPr>
        <w:footnoteRef/>
      </w:r>
      <w:r w:rsidRPr="00E07CB1">
        <w:rPr>
          <w:rFonts w:ascii="Times New Roman" w:hAnsi="Times New Roman" w:cs="Times New Roman"/>
          <w:sz w:val="18"/>
          <w:szCs w:val="18"/>
        </w:rPr>
        <w:t xml:space="preserve"> Ib., folios 70 y 71.</w:t>
      </w:r>
    </w:p>
  </w:footnote>
  <w:footnote w:id="30">
    <w:p w:rsidR="000E6BF6" w:rsidRPr="00E07CB1" w:rsidRDefault="006671C3" w:rsidP="000E6BF6">
      <w:pPr>
        <w:pStyle w:val="Textonotapie"/>
        <w:rPr>
          <w:rFonts w:ascii="Times New Roman" w:hAnsi="Times New Roman" w:cs="Times New Roman"/>
          <w:sz w:val="18"/>
          <w:szCs w:val="18"/>
        </w:rPr>
      </w:pPr>
      <w:r w:rsidRPr="00E07CB1">
        <w:rPr>
          <w:rStyle w:val="Refdenotaalpie"/>
          <w:rFonts w:ascii="Times New Roman" w:hAnsi="Times New Roman" w:cs="Times New Roman"/>
          <w:sz w:val="18"/>
          <w:szCs w:val="18"/>
        </w:rPr>
        <w:footnoteRef/>
      </w:r>
      <w:r w:rsidRPr="00E07CB1">
        <w:rPr>
          <w:rFonts w:ascii="Times New Roman" w:hAnsi="Times New Roman" w:cs="Times New Roman"/>
          <w:sz w:val="18"/>
          <w:szCs w:val="18"/>
        </w:rPr>
        <w:t xml:space="preserve"> Ib., folio 71.</w:t>
      </w:r>
    </w:p>
  </w:footnote>
  <w:footnote w:id="31">
    <w:p w:rsidR="000E6BF6" w:rsidRPr="00E07CB1" w:rsidRDefault="006671C3" w:rsidP="000E6BF6">
      <w:pPr>
        <w:pStyle w:val="Textonotapie"/>
        <w:rPr>
          <w:rFonts w:ascii="Times New Roman" w:hAnsi="Times New Roman" w:cs="Times New Roman"/>
          <w:sz w:val="18"/>
          <w:szCs w:val="18"/>
        </w:rPr>
      </w:pPr>
      <w:r w:rsidRPr="00E07CB1">
        <w:rPr>
          <w:rStyle w:val="Refdenotaalpie"/>
          <w:rFonts w:ascii="Times New Roman" w:hAnsi="Times New Roman" w:cs="Times New Roman"/>
          <w:sz w:val="18"/>
          <w:szCs w:val="18"/>
        </w:rPr>
        <w:footnoteRef/>
      </w:r>
      <w:r w:rsidRPr="00E07CB1">
        <w:rPr>
          <w:rFonts w:ascii="Times New Roman" w:hAnsi="Times New Roman" w:cs="Times New Roman"/>
          <w:sz w:val="18"/>
          <w:szCs w:val="18"/>
        </w:rPr>
        <w:t xml:space="preserve"> Ib., folio 72.</w:t>
      </w:r>
    </w:p>
  </w:footnote>
  <w:footnote w:id="32">
    <w:p w:rsidR="000E6BF6" w:rsidRPr="00E07CB1" w:rsidRDefault="006671C3" w:rsidP="000E6BF6">
      <w:pPr>
        <w:pStyle w:val="Textonotapie"/>
        <w:jc w:val="both"/>
        <w:rPr>
          <w:rFonts w:ascii="Times New Roman" w:hAnsi="Times New Roman" w:cs="Times New Roman"/>
          <w:sz w:val="18"/>
          <w:szCs w:val="18"/>
          <w:lang w:val="es-ES"/>
        </w:rPr>
      </w:pPr>
      <w:r w:rsidRPr="00E07CB1">
        <w:rPr>
          <w:rStyle w:val="Refdenotaalpie"/>
          <w:rFonts w:ascii="Times New Roman" w:hAnsi="Times New Roman" w:cs="Times New Roman"/>
          <w:sz w:val="18"/>
          <w:szCs w:val="18"/>
        </w:rPr>
        <w:footnoteRef/>
      </w:r>
      <w:r w:rsidRPr="00E07CB1">
        <w:rPr>
          <w:rFonts w:ascii="Times New Roman" w:hAnsi="Times New Roman" w:cs="Times New Roman"/>
          <w:sz w:val="18"/>
          <w:szCs w:val="18"/>
        </w:rPr>
        <w:t xml:space="preserve"> Esta información puede ser verificada en la página web de la Secretar</w:t>
      </w:r>
      <w:r w:rsidRPr="00E07CB1">
        <w:rPr>
          <w:rFonts w:ascii="Times New Roman" w:hAnsi="Times New Roman" w:cs="Times New Roman"/>
          <w:sz w:val="18"/>
          <w:szCs w:val="18"/>
        </w:rPr>
        <w:t>ía General de la Corte, a través del número del expediente de radicación (D-15613).</w:t>
      </w:r>
    </w:p>
  </w:footnote>
  <w:footnote w:id="33">
    <w:p w:rsidR="000E6BF6" w:rsidRPr="00E07CB1" w:rsidRDefault="006671C3" w:rsidP="000E6BF6">
      <w:pPr>
        <w:pStyle w:val="Textonotapie"/>
        <w:jc w:val="both"/>
        <w:rPr>
          <w:rFonts w:ascii="Times New Roman" w:hAnsi="Times New Roman" w:cs="Times New Roman"/>
          <w:sz w:val="18"/>
          <w:szCs w:val="18"/>
        </w:rPr>
      </w:pPr>
      <w:r w:rsidRPr="00E07CB1">
        <w:rPr>
          <w:rStyle w:val="Refdenotaalpie"/>
          <w:rFonts w:ascii="Times New Roman" w:hAnsi="Times New Roman" w:cs="Times New Roman"/>
          <w:sz w:val="18"/>
          <w:szCs w:val="18"/>
        </w:rPr>
        <w:footnoteRef/>
      </w:r>
      <w:r w:rsidRPr="00E07CB1">
        <w:rPr>
          <w:rFonts w:ascii="Times New Roman" w:hAnsi="Times New Roman" w:cs="Times New Roman"/>
          <w:sz w:val="18"/>
          <w:szCs w:val="18"/>
        </w:rPr>
        <w:t xml:space="preserve"> El ciudadano Ramiro Araujo y el Ministerio de Hacienda y Crédito Público intervinieron extemporáneamente (escritos presentados el 5 de febrero, cuando el término venció e</w:t>
      </w:r>
      <w:r w:rsidRPr="00E07CB1">
        <w:rPr>
          <w:rFonts w:ascii="Times New Roman" w:hAnsi="Times New Roman" w:cs="Times New Roman"/>
          <w:sz w:val="18"/>
          <w:szCs w:val="18"/>
        </w:rPr>
        <w:t>l 2 de ese mes). Cfr. informe de la Secretaría General de la Corte.</w:t>
      </w:r>
    </w:p>
  </w:footnote>
  <w:footnote w:id="34">
    <w:p w:rsidR="000E6BF6" w:rsidRPr="00E07CB1" w:rsidRDefault="006671C3" w:rsidP="000E6BF6">
      <w:pPr>
        <w:pStyle w:val="Textonotapie"/>
        <w:rPr>
          <w:rFonts w:ascii="Times New Roman" w:hAnsi="Times New Roman" w:cs="Times New Roman"/>
          <w:sz w:val="18"/>
          <w:szCs w:val="18"/>
        </w:rPr>
      </w:pPr>
      <w:r w:rsidRPr="00E07CB1">
        <w:rPr>
          <w:rStyle w:val="Refdenotaalpie"/>
          <w:rFonts w:ascii="Times New Roman" w:hAnsi="Times New Roman" w:cs="Times New Roman"/>
          <w:sz w:val="18"/>
          <w:szCs w:val="18"/>
        </w:rPr>
        <w:footnoteRef/>
      </w:r>
      <w:r w:rsidRPr="00E07CB1">
        <w:rPr>
          <w:rFonts w:ascii="Times New Roman" w:hAnsi="Times New Roman" w:cs="Times New Roman"/>
          <w:sz w:val="18"/>
          <w:szCs w:val="18"/>
        </w:rPr>
        <w:t xml:space="preserve"> La Universidad del Rosario intervino extemporáneamente (escrito presentado el 5 de febrero, cuando el término venció el 2 de ese mes). Cfr. informe de la Secretaría General de la Corte.</w:t>
      </w:r>
    </w:p>
  </w:footnote>
  <w:footnote w:id="35">
    <w:p w:rsidR="000E6BF6" w:rsidRPr="004743E1" w:rsidRDefault="006671C3" w:rsidP="000E6BF6">
      <w:pPr>
        <w:pStyle w:val="Textonotapie"/>
        <w:rPr>
          <w:rFonts w:ascii="Times New Roman" w:hAnsi="Times New Roman" w:cs="Times New Roman"/>
          <w:sz w:val="18"/>
          <w:szCs w:val="18"/>
        </w:rPr>
      </w:pPr>
      <w:r w:rsidRPr="004743E1">
        <w:rPr>
          <w:rStyle w:val="Refdenotaalpie"/>
          <w:rFonts w:ascii="Times New Roman" w:hAnsi="Times New Roman" w:cs="Times New Roman"/>
          <w:sz w:val="18"/>
          <w:szCs w:val="18"/>
        </w:rPr>
        <w:footnoteRef/>
      </w:r>
      <w:r w:rsidRPr="004743E1">
        <w:rPr>
          <w:rFonts w:ascii="Times New Roman" w:hAnsi="Times New Roman" w:cs="Times New Roman"/>
          <w:sz w:val="18"/>
          <w:szCs w:val="18"/>
        </w:rPr>
        <w:t xml:space="preserve"> Gradualidad. </w:t>
      </w:r>
    </w:p>
  </w:footnote>
  <w:footnote w:id="36">
    <w:p w:rsidR="000E6BF6" w:rsidRPr="004743E1" w:rsidRDefault="006671C3" w:rsidP="000E6BF6">
      <w:pPr>
        <w:pStyle w:val="Textonotapie"/>
        <w:rPr>
          <w:rFonts w:ascii="Times New Roman" w:hAnsi="Times New Roman" w:cs="Times New Roman"/>
          <w:sz w:val="18"/>
          <w:szCs w:val="18"/>
        </w:rPr>
      </w:pPr>
      <w:r w:rsidRPr="004743E1">
        <w:rPr>
          <w:rStyle w:val="Refdenotaalpie"/>
          <w:rFonts w:ascii="Times New Roman" w:hAnsi="Times New Roman" w:cs="Times New Roman"/>
          <w:sz w:val="18"/>
          <w:szCs w:val="18"/>
        </w:rPr>
        <w:footnoteRef/>
      </w:r>
      <w:r w:rsidRPr="004743E1">
        <w:rPr>
          <w:rFonts w:ascii="Times New Roman" w:hAnsi="Times New Roman" w:cs="Times New Roman"/>
          <w:sz w:val="18"/>
          <w:szCs w:val="18"/>
        </w:rPr>
        <w:t xml:space="preserve"> </w:t>
      </w:r>
      <w:r>
        <w:rPr>
          <w:rFonts w:ascii="Times New Roman" w:hAnsi="Times New Roman" w:cs="Times New Roman"/>
          <w:sz w:val="18"/>
          <w:szCs w:val="18"/>
        </w:rPr>
        <w:t>Definiciones (usuario aduanero).</w:t>
      </w:r>
    </w:p>
  </w:footnote>
  <w:footnote w:id="37">
    <w:p w:rsidR="000E6BF6" w:rsidRPr="00784E76" w:rsidRDefault="006671C3" w:rsidP="000E6BF6">
      <w:pPr>
        <w:pStyle w:val="Textonotapie"/>
        <w:rPr>
          <w:rFonts w:ascii="Times New Roman" w:hAnsi="Times New Roman" w:cs="Times New Roman"/>
          <w:sz w:val="18"/>
          <w:szCs w:val="18"/>
        </w:rPr>
      </w:pPr>
      <w:r w:rsidRPr="00784E76">
        <w:rPr>
          <w:rStyle w:val="Refdenotaalpie"/>
          <w:rFonts w:ascii="Times New Roman" w:hAnsi="Times New Roman" w:cs="Times New Roman"/>
          <w:sz w:val="18"/>
          <w:szCs w:val="18"/>
        </w:rPr>
        <w:footnoteRef/>
      </w:r>
      <w:r w:rsidRPr="00784E76">
        <w:rPr>
          <w:rFonts w:ascii="Times New Roman" w:hAnsi="Times New Roman" w:cs="Times New Roman"/>
          <w:sz w:val="18"/>
          <w:szCs w:val="18"/>
        </w:rPr>
        <w:t xml:space="preserve"> </w:t>
      </w:r>
      <w:r>
        <w:rPr>
          <w:rFonts w:ascii="Times New Roman" w:hAnsi="Times New Roman" w:cs="Times New Roman"/>
          <w:sz w:val="18"/>
          <w:szCs w:val="18"/>
        </w:rPr>
        <w:t>Por el cual se dictan disposiciones relativas al régimen de aduanas en desarrollo de la Ley 1609 de 2013.</w:t>
      </w:r>
    </w:p>
  </w:footnote>
  <w:footnote w:id="38">
    <w:p w:rsidR="000E6BF6" w:rsidRPr="004743E1" w:rsidRDefault="006671C3" w:rsidP="000E6BF6">
      <w:pPr>
        <w:pStyle w:val="Textonotapie"/>
        <w:rPr>
          <w:rFonts w:ascii="Times New Roman" w:hAnsi="Times New Roman" w:cs="Times New Roman"/>
          <w:sz w:val="18"/>
          <w:szCs w:val="18"/>
        </w:rPr>
      </w:pPr>
      <w:r w:rsidRPr="004743E1">
        <w:rPr>
          <w:rStyle w:val="Refdenotaalpie"/>
          <w:rFonts w:ascii="Times New Roman" w:hAnsi="Times New Roman" w:cs="Times New Roman"/>
          <w:sz w:val="18"/>
          <w:szCs w:val="18"/>
        </w:rPr>
        <w:footnoteRef/>
      </w:r>
      <w:r w:rsidRPr="004743E1">
        <w:rPr>
          <w:rFonts w:ascii="Times New Roman" w:hAnsi="Times New Roman" w:cs="Times New Roman"/>
          <w:sz w:val="18"/>
          <w:szCs w:val="18"/>
        </w:rPr>
        <w:t xml:space="preserve"> </w:t>
      </w:r>
      <w:r>
        <w:rPr>
          <w:rFonts w:ascii="Times New Roman" w:hAnsi="Times New Roman" w:cs="Times New Roman"/>
          <w:sz w:val="18"/>
          <w:szCs w:val="18"/>
        </w:rPr>
        <w:t>Conocimiento del cliente.</w:t>
      </w:r>
    </w:p>
  </w:footnote>
  <w:footnote w:id="39">
    <w:p w:rsidR="000E6BF6" w:rsidRPr="004743E1" w:rsidRDefault="006671C3" w:rsidP="000E6BF6">
      <w:pPr>
        <w:pStyle w:val="Textonotapie"/>
        <w:rPr>
          <w:rFonts w:ascii="Times New Roman" w:hAnsi="Times New Roman" w:cs="Times New Roman"/>
          <w:sz w:val="18"/>
          <w:szCs w:val="18"/>
        </w:rPr>
      </w:pPr>
      <w:r w:rsidRPr="004743E1">
        <w:rPr>
          <w:rStyle w:val="Refdenotaalpie"/>
          <w:rFonts w:ascii="Times New Roman" w:hAnsi="Times New Roman" w:cs="Times New Roman"/>
          <w:sz w:val="18"/>
          <w:szCs w:val="18"/>
        </w:rPr>
        <w:footnoteRef/>
      </w:r>
      <w:r w:rsidRPr="004743E1">
        <w:rPr>
          <w:rFonts w:ascii="Times New Roman" w:hAnsi="Times New Roman" w:cs="Times New Roman"/>
          <w:sz w:val="18"/>
          <w:szCs w:val="18"/>
        </w:rPr>
        <w:t xml:space="preserve"> </w:t>
      </w:r>
      <w:r>
        <w:rPr>
          <w:rFonts w:ascii="Times New Roman" w:hAnsi="Times New Roman" w:cs="Times New Roman"/>
          <w:sz w:val="18"/>
          <w:szCs w:val="18"/>
        </w:rPr>
        <w:t>Alcance (la obligación aduanera en la importación).</w:t>
      </w:r>
    </w:p>
  </w:footnote>
  <w:footnote w:id="40">
    <w:p w:rsidR="000E6BF6" w:rsidRPr="00784E76" w:rsidRDefault="006671C3" w:rsidP="000E6BF6">
      <w:pPr>
        <w:pStyle w:val="Textonotapie"/>
        <w:rPr>
          <w:rFonts w:ascii="Times New Roman" w:hAnsi="Times New Roman" w:cs="Times New Roman"/>
          <w:sz w:val="18"/>
          <w:szCs w:val="18"/>
        </w:rPr>
      </w:pPr>
      <w:r w:rsidRPr="00784E76">
        <w:rPr>
          <w:rStyle w:val="Refdenotaalpie"/>
          <w:rFonts w:ascii="Times New Roman" w:hAnsi="Times New Roman" w:cs="Times New Roman"/>
          <w:sz w:val="18"/>
          <w:szCs w:val="18"/>
        </w:rPr>
        <w:footnoteRef/>
      </w:r>
      <w:r w:rsidRPr="00784E76">
        <w:rPr>
          <w:rFonts w:ascii="Times New Roman" w:hAnsi="Times New Roman" w:cs="Times New Roman"/>
          <w:sz w:val="18"/>
          <w:szCs w:val="18"/>
        </w:rPr>
        <w:t xml:space="preserve"> Conocimiento del cliente.</w:t>
      </w:r>
    </w:p>
  </w:footnote>
  <w:footnote w:id="41">
    <w:p w:rsidR="000E6BF6" w:rsidRPr="00784E76" w:rsidRDefault="006671C3" w:rsidP="000E6BF6">
      <w:pPr>
        <w:pStyle w:val="Textonotapie"/>
        <w:rPr>
          <w:rFonts w:ascii="Times New Roman" w:hAnsi="Times New Roman" w:cs="Times New Roman"/>
          <w:sz w:val="18"/>
          <w:szCs w:val="18"/>
        </w:rPr>
      </w:pPr>
      <w:r w:rsidRPr="00784E76">
        <w:rPr>
          <w:rStyle w:val="Refdenotaalpie"/>
          <w:rFonts w:ascii="Times New Roman" w:hAnsi="Times New Roman" w:cs="Times New Roman"/>
          <w:sz w:val="18"/>
          <w:szCs w:val="18"/>
        </w:rPr>
        <w:footnoteRef/>
      </w:r>
      <w:r w:rsidRPr="00784E76">
        <w:rPr>
          <w:rFonts w:ascii="Times New Roman" w:hAnsi="Times New Roman" w:cs="Times New Roman"/>
          <w:sz w:val="18"/>
          <w:szCs w:val="18"/>
        </w:rPr>
        <w:t xml:space="preserve"> Conocimiento del cliente. </w:t>
      </w:r>
    </w:p>
  </w:footnote>
  <w:footnote w:id="42">
    <w:p w:rsidR="000E6BF6" w:rsidRPr="00AA7552" w:rsidRDefault="006671C3" w:rsidP="000E6BF6">
      <w:pPr>
        <w:pStyle w:val="Textonotapie"/>
        <w:rPr>
          <w:rFonts w:ascii="Times New Roman" w:hAnsi="Times New Roman" w:cs="Times New Roman"/>
          <w:sz w:val="18"/>
          <w:szCs w:val="18"/>
        </w:rPr>
      </w:pPr>
      <w:r w:rsidRPr="00AA7552">
        <w:rPr>
          <w:rStyle w:val="Refdenotaalpie"/>
          <w:rFonts w:ascii="Times New Roman" w:hAnsi="Times New Roman" w:cs="Times New Roman"/>
          <w:sz w:val="18"/>
          <w:szCs w:val="18"/>
        </w:rPr>
        <w:footnoteRef/>
      </w:r>
      <w:r w:rsidRPr="00AA7552">
        <w:rPr>
          <w:rFonts w:ascii="Times New Roman" w:hAnsi="Times New Roman" w:cs="Times New Roman"/>
          <w:sz w:val="18"/>
          <w:szCs w:val="18"/>
        </w:rPr>
        <w:t xml:space="preserve"> </w:t>
      </w:r>
      <w:r>
        <w:rPr>
          <w:rFonts w:ascii="Times New Roman" w:hAnsi="Times New Roman" w:cs="Times New Roman"/>
          <w:sz w:val="18"/>
          <w:szCs w:val="18"/>
        </w:rPr>
        <w:t xml:space="preserve">Infracciones aduaneras de las agencias de aduanas y sanciones aplicables. </w:t>
      </w:r>
    </w:p>
  </w:footnote>
  <w:footnote w:id="43">
    <w:p w:rsidR="000E6BF6" w:rsidRPr="00AA7552" w:rsidRDefault="006671C3" w:rsidP="000E6BF6">
      <w:pPr>
        <w:pStyle w:val="Textonotapie"/>
        <w:rPr>
          <w:rFonts w:ascii="Times New Roman" w:hAnsi="Times New Roman" w:cs="Times New Roman"/>
          <w:sz w:val="18"/>
          <w:szCs w:val="18"/>
        </w:rPr>
      </w:pPr>
      <w:r w:rsidRPr="00AA7552">
        <w:rPr>
          <w:rStyle w:val="Refdenotaalpie"/>
          <w:rFonts w:ascii="Times New Roman" w:hAnsi="Times New Roman" w:cs="Times New Roman"/>
          <w:sz w:val="18"/>
          <w:szCs w:val="18"/>
        </w:rPr>
        <w:footnoteRef/>
      </w:r>
      <w:r w:rsidRPr="00AA7552">
        <w:rPr>
          <w:rFonts w:ascii="Times New Roman" w:hAnsi="Times New Roman" w:cs="Times New Roman"/>
          <w:sz w:val="18"/>
          <w:szCs w:val="18"/>
        </w:rPr>
        <w:t xml:space="preserve"> </w:t>
      </w:r>
      <w:r>
        <w:rPr>
          <w:rFonts w:ascii="Times New Roman" w:hAnsi="Times New Roman" w:cs="Times New Roman"/>
          <w:sz w:val="18"/>
          <w:szCs w:val="18"/>
        </w:rPr>
        <w:t xml:space="preserve">Infracciones aduaneras de los usuarios operadores de las zonas francas y sanciones aplicables. </w:t>
      </w:r>
    </w:p>
  </w:footnote>
  <w:footnote w:id="44">
    <w:p w:rsidR="000E6BF6" w:rsidRPr="006A6133" w:rsidRDefault="006671C3" w:rsidP="000E6BF6">
      <w:pPr>
        <w:pStyle w:val="Textonotapie"/>
        <w:rPr>
          <w:rFonts w:ascii="Times New Roman" w:hAnsi="Times New Roman" w:cs="Times New Roman"/>
          <w:sz w:val="18"/>
          <w:szCs w:val="18"/>
        </w:rPr>
      </w:pPr>
      <w:r w:rsidRPr="006A6133">
        <w:rPr>
          <w:rStyle w:val="Refdenotaalpie"/>
          <w:rFonts w:ascii="Times New Roman" w:hAnsi="Times New Roman" w:cs="Times New Roman"/>
          <w:sz w:val="18"/>
          <w:szCs w:val="18"/>
        </w:rPr>
        <w:footnoteRef/>
      </w:r>
      <w:r w:rsidRPr="006A6133">
        <w:rPr>
          <w:rFonts w:ascii="Times New Roman" w:hAnsi="Times New Roman" w:cs="Times New Roman"/>
          <w:sz w:val="18"/>
          <w:szCs w:val="18"/>
        </w:rPr>
        <w:t xml:space="preserve"> </w:t>
      </w:r>
      <w:r>
        <w:rPr>
          <w:rFonts w:ascii="Times New Roman" w:hAnsi="Times New Roman" w:cs="Times New Roman"/>
          <w:sz w:val="18"/>
          <w:szCs w:val="18"/>
        </w:rPr>
        <w:t xml:space="preserve">Suspensión provisional </w:t>
      </w:r>
      <w:r>
        <w:rPr>
          <w:rFonts w:ascii="Times New Roman" w:hAnsi="Times New Roman" w:cs="Times New Roman"/>
          <w:sz w:val="18"/>
          <w:szCs w:val="18"/>
        </w:rPr>
        <w:t>de la autorización, habilitación o registro de un usuario aduanero.</w:t>
      </w:r>
    </w:p>
  </w:footnote>
  <w:footnote w:id="45">
    <w:p w:rsidR="000E6BF6" w:rsidRPr="00AA7552" w:rsidRDefault="006671C3" w:rsidP="000E6BF6">
      <w:pPr>
        <w:pStyle w:val="Textonotapie"/>
        <w:rPr>
          <w:rFonts w:ascii="Times New Roman" w:hAnsi="Times New Roman" w:cs="Times New Roman"/>
          <w:sz w:val="18"/>
          <w:szCs w:val="18"/>
        </w:rPr>
      </w:pPr>
      <w:r w:rsidRPr="00AA7552">
        <w:rPr>
          <w:rStyle w:val="Refdenotaalpie"/>
          <w:rFonts w:ascii="Times New Roman" w:hAnsi="Times New Roman" w:cs="Times New Roman"/>
          <w:sz w:val="18"/>
          <w:szCs w:val="18"/>
        </w:rPr>
        <w:footnoteRef/>
      </w:r>
      <w:r w:rsidRPr="00AA7552">
        <w:rPr>
          <w:rFonts w:ascii="Times New Roman" w:hAnsi="Times New Roman" w:cs="Times New Roman"/>
          <w:sz w:val="18"/>
          <w:szCs w:val="18"/>
        </w:rPr>
        <w:t xml:space="preserve"> Procedimiento para ordenar la suspensión provisional. </w:t>
      </w:r>
    </w:p>
  </w:footnote>
  <w:footnote w:id="46">
    <w:p w:rsidR="000E6BF6" w:rsidRPr="006A6133" w:rsidRDefault="006671C3" w:rsidP="000E6BF6">
      <w:pPr>
        <w:pStyle w:val="Textonotapie"/>
        <w:rPr>
          <w:rFonts w:ascii="Times New Roman" w:hAnsi="Times New Roman" w:cs="Times New Roman"/>
          <w:sz w:val="18"/>
          <w:szCs w:val="18"/>
        </w:rPr>
      </w:pPr>
      <w:r w:rsidRPr="006A6133">
        <w:rPr>
          <w:rStyle w:val="Refdenotaalpie"/>
          <w:rFonts w:ascii="Times New Roman" w:hAnsi="Times New Roman" w:cs="Times New Roman"/>
          <w:sz w:val="18"/>
          <w:szCs w:val="18"/>
        </w:rPr>
        <w:footnoteRef/>
      </w:r>
      <w:r w:rsidRPr="006A6133">
        <w:rPr>
          <w:rFonts w:ascii="Times New Roman" w:hAnsi="Times New Roman" w:cs="Times New Roman"/>
          <w:sz w:val="18"/>
          <w:szCs w:val="18"/>
        </w:rPr>
        <w:t xml:space="preserve"> </w:t>
      </w:r>
      <w:r>
        <w:rPr>
          <w:rFonts w:ascii="Times New Roman" w:hAnsi="Times New Roman" w:cs="Times New Roman"/>
          <w:sz w:val="18"/>
          <w:szCs w:val="18"/>
        </w:rPr>
        <w:t>Comité de Fiscalización Aduanero.</w:t>
      </w:r>
    </w:p>
  </w:footnote>
  <w:footnote w:id="47">
    <w:p w:rsidR="000E6BF6" w:rsidRPr="002457A9" w:rsidRDefault="006671C3" w:rsidP="000E6BF6">
      <w:pPr>
        <w:pStyle w:val="Textonotapie"/>
        <w:jc w:val="both"/>
        <w:rPr>
          <w:rFonts w:ascii="Times New Roman" w:hAnsi="Times New Roman" w:cs="Times New Roman"/>
          <w:sz w:val="18"/>
          <w:szCs w:val="18"/>
        </w:rPr>
      </w:pPr>
      <w:r w:rsidRPr="002457A9">
        <w:rPr>
          <w:rStyle w:val="Refdenotaalpie"/>
          <w:rFonts w:ascii="Times New Roman" w:hAnsi="Times New Roman" w:cs="Times New Roman"/>
          <w:sz w:val="18"/>
          <w:szCs w:val="18"/>
        </w:rPr>
        <w:footnoteRef/>
      </w:r>
      <w:r w:rsidRPr="002457A9">
        <w:rPr>
          <w:rFonts w:ascii="Times New Roman" w:hAnsi="Times New Roman" w:cs="Times New Roman"/>
          <w:sz w:val="18"/>
          <w:szCs w:val="18"/>
        </w:rPr>
        <w:t xml:space="preserve"> </w:t>
      </w:r>
      <w:r>
        <w:rPr>
          <w:rFonts w:ascii="Times New Roman" w:hAnsi="Times New Roman" w:cs="Times New Roman"/>
          <w:sz w:val="18"/>
          <w:szCs w:val="18"/>
        </w:rPr>
        <w:t xml:space="preserve">Además de aludir al incumplimiento de los requisitos de claridad y suficiencia, las intervenciones anotan que las razones no son específicas toda vez que “lo argumentado por el demandante en realidad corresponde a una conjetura sobre las implicaciones que </w:t>
      </w:r>
      <w:r>
        <w:rPr>
          <w:rFonts w:ascii="Times New Roman" w:hAnsi="Times New Roman" w:cs="Times New Roman"/>
          <w:sz w:val="18"/>
          <w:szCs w:val="18"/>
        </w:rPr>
        <w:t xml:space="preserve">eventualmente la imposición de la medida cautelar traería para los sujetos pasivo de la misma, pero </w:t>
      </w:r>
      <w:r w:rsidRPr="00DE3A8B">
        <w:rPr>
          <w:rFonts w:ascii="Times New Roman" w:hAnsi="Times New Roman" w:cs="Times New Roman"/>
          <w:i/>
          <w:sz w:val="18"/>
          <w:szCs w:val="18"/>
        </w:rPr>
        <w:t>no expone razones concretas</w:t>
      </w:r>
      <w:r>
        <w:rPr>
          <w:rFonts w:ascii="Times New Roman" w:hAnsi="Times New Roman" w:cs="Times New Roman"/>
          <w:sz w:val="18"/>
          <w:szCs w:val="18"/>
        </w:rPr>
        <w:t xml:space="preserve"> por las cuales debe entenderse que la Constitución (…) prohíbe o restringe la creación de esta clase de medidas (…)”.</w:t>
      </w:r>
    </w:p>
  </w:footnote>
  <w:footnote w:id="48">
    <w:p w:rsidR="000E6BF6" w:rsidRPr="00D46A90" w:rsidRDefault="006671C3" w:rsidP="000E6BF6">
      <w:pPr>
        <w:pStyle w:val="Textonotapie"/>
        <w:rPr>
          <w:rFonts w:ascii="Times New Roman" w:hAnsi="Times New Roman" w:cs="Times New Roman"/>
          <w:sz w:val="18"/>
          <w:szCs w:val="18"/>
        </w:rPr>
      </w:pPr>
      <w:r w:rsidRPr="00D46A90">
        <w:rPr>
          <w:rStyle w:val="Refdenotaalpie"/>
          <w:rFonts w:ascii="Times New Roman" w:hAnsi="Times New Roman" w:cs="Times New Roman"/>
          <w:sz w:val="18"/>
          <w:szCs w:val="18"/>
        </w:rPr>
        <w:footnoteRef/>
      </w:r>
      <w:r w:rsidRPr="00D46A90">
        <w:rPr>
          <w:rFonts w:ascii="Times New Roman" w:hAnsi="Times New Roman" w:cs="Times New Roman"/>
          <w:sz w:val="18"/>
          <w:szCs w:val="18"/>
        </w:rPr>
        <w:t xml:space="preserve"> </w:t>
      </w:r>
      <w:r>
        <w:rPr>
          <w:rFonts w:ascii="Times New Roman" w:hAnsi="Times New Roman" w:cs="Times New Roman"/>
          <w:sz w:val="18"/>
          <w:szCs w:val="18"/>
        </w:rPr>
        <w:t>Suspensi</w:t>
      </w:r>
      <w:r>
        <w:rPr>
          <w:rFonts w:ascii="Times New Roman" w:hAnsi="Times New Roman" w:cs="Times New Roman"/>
          <w:sz w:val="18"/>
          <w:szCs w:val="18"/>
        </w:rPr>
        <w:t>ón provisional de la autorización, habilitación o registro de un usuario aduanero.</w:t>
      </w:r>
    </w:p>
  </w:footnote>
  <w:footnote w:id="49">
    <w:p w:rsidR="000E6BF6" w:rsidRPr="009E3B90" w:rsidRDefault="006671C3" w:rsidP="000E6BF6">
      <w:pPr>
        <w:pStyle w:val="Textonotapie"/>
        <w:rPr>
          <w:rFonts w:ascii="Times New Roman" w:hAnsi="Times New Roman" w:cs="Times New Roman"/>
          <w:sz w:val="18"/>
          <w:szCs w:val="18"/>
        </w:rPr>
      </w:pPr>
      <w:r w:rsidRPr="009E3B90">
        <w:rPr>
          <w:rStyle w:val="Refdenotaalpie"/>
          <w:rFonts w:ascii="Times New Roman" w:hAnsi="Times New Roman" w:cs="Times New Roman"/>
          <w:sz w:val="18"/>
          <w:szCs w:val="18"/>
        </w:rPr>
        <w:footnoteRef/>
      </w:r>
      <w:r w:rsidRPr="009E3B90">
        <w:rPr>
          <w:rFonts w:ascii="Times New Roman" w:hAnsi="Times New Roman" w:cs="Times New Roman"/>
          <w:sz w:val="18"/>
          <w:szCs w:val="18"/>
        </w:rPr>
        <w:t xml:space="preserve"> </w:t>
      </w:r>
      <w:r>
        <w:rPr>
          <w:rFonts w:ascii="Times New Roman" w:hAnsi="Times New Roman" w:cs="Times New Roman"/>
          <w:sz w:val="18"/>
          <w:szCs w:val="18"/>
        </w:rPr>
        <w:t xml:space="preserve">Procedimiento para ordenar la suspensión provisional. </w:t>
      </w:r>
    </w:p>
  </w:footnote>
  <w:footnote w:id="50">
    <w:p w:rsidR="000E6BF6" w:rsidRPr="00AA3B8D" w:rsidRDefault="006671C3" w:rsidP="000E6BF6">
      <w:pPr>
        <w:pStyle w:val="Textonotapie"/>
        <w:rPr>
          <w:rFonts w:ascii="Times New Roman" w:hAnsi="Times New Roman" w:cs="Times New Roman"/>
          <w:sz w:val="18"/>
          <w:szCs w:val="18"/>
        </w:rPr>
      </w:pPr>
      <w:r w:rsidRPr="00AA3B8D">
        <w:rPr>
          <w:rStyle w:val="Refdenotaalpie"/>
          <w:rFonts w:ascii="Times New Roman" w:hAnsi="Times New Roman" w:cs="Times New Roman"/>
          <w:sz w:val="18"/>
          <w:szCs w:val="18"/>
        </w:rPr>
        <w:footnoteRef/>
      </w:r>
      <w:r w:rsidRPr="00AA3B8D">
        <w:rPr>
          <w:rFonts w:ascii="Times New Roman" w:hAnsi="Times New Roman" w:cs="Times New Roman"/>
          <w:sz w:val="18"/>
          <w:szCs w:val="18"/>
        </w:rPr>
        <w:t xml:space="preserve"> </w:t>
      </w:r>
      <w:r>
        <w:rPr>
          <w:rFonts w:ascii="Times New Roman" w:hAnsi="Times New Roman" w:cs="Times New Roman"/>
          <w:sz w:val="18"/>
          <w:szCs w:val="18"/>
        </w:rPr>
        <w:t>Comité de Fiscalización Aduanero.</w:t>
      </w:r>
    </w:p>
  </w:footnote>
  <w:footnote w:id="51">
    <w:p w:rsidR="000E6BF6" w:rsidRPr="008250EB" w:rsidRDefault="006671C3" w:rsidP="000E6BF6">
      <w:pPr>
        <w:pStyle w:val="Textonotapie"/>
        <w:rPr>
          <w:rFonts w:ascii="Times New Roman" w:hAnsi="Times New Roman" w:cs="Times New Roman"/>
          <w:sz w:val="18"/>
          <w:szCs w:val="18"/>
        </w:rPr>
      </w:pPr>
      <w:r w:rsidRPr="008250EB">
        <w:rPr>
          <w:rStyle w:val="Refdenotaalpie"/>
          <w:rFonts w:ascii="Times New Roman" w:hAnsi="Times New Roman" w:cs="Times New Roman"/>
          <w:sz w:val="18"/>
          <w:szCs w:val="18"/>
        </w:rPr>
        <w:footnoteRef/>
      </w:r>
      <w:r w:rsidRPr="008250EB">
        <w:rPr>
          <w:rFonts w:ascii="Times New Roman" w:hAnsi="Times New Roman" w:cs="Times New Roman"/>
          <w:sz w:val="18"/>
          <w:szCs w:val="18"/>
        </w:rPr>
        <w:t xml:space="preserve"> Gradualidad. </w:t>
      </w:r>
    </w:p>
  </w:footnote>
  <w:footnote w:id="52">
    <w:p w:rsidR="000E6BF6" w:rsidRPr="008250EB" w:rsidRDefault="006671C3" w:rsidP="000E6BF6">
      <w:pPr>
        <w:pStyle w:val="Textonotapie"/>
        <w:rPr>
          <w:rFonts w:ascii="Times New Roman" w:hAnsi="Times New Roman" w:cs="Times New Roman"/>
          <w:sz w:val="18"/>
          <w:szCs w:val="18"/>
        </w:rPr>
      </w:pPr>
      <w:r w:rsidRPr="008250EB">
        <w:rPr>
          <w:rStyle w:val="Refdenotaalpie"/>
          <w:rFonts w:ascii="Times New Roman" w:hAnsi="Times New Roman" w:cs="Times New Roman"/>
          <w:sz w:val="18"/>
          <w:szCs w:val="18"/>
        </w:rPr>
        <w:footnoteRef/>
      </w:r>
      <w:r w:rsidRPr="008250EB">
        <w:rPr>
          <w:rFonts w:ascii="Times New Roman" w:hAnsi="Times New Roman" w:cs="Times New Roman"/>
          <w:sz w:val="18"/>
          <w:szCs w:val="18"/>
        </w:rPr>
        <w:t xml:space="preserve"> </w:t>
      </w:r>
      <w:r>
        <w:rPr>
          <w:rFonts w:ascii="Times New Roman" w:hAnsi="Times New Roman" w:cs="Times New Roman"/>
          <w:sz w:val="18"/>
          <w:szCs w:val="18"/>
        </w:rPr>
        <w:t>Atenderá la gravedad del perjuicio a los intereses del Estado,</w:t>
      </w:r>
      <w:r>
        <w:rPr>
          <w:rFonts w:ascii="Times New Roman" w:hAnsi="Times New Roman" w:cs="Times New Roman"/>
          <w:sz w:val="18"/>
          <w:szCs w:val="18"/>
        </w:rPr>
        <w:t xml:space="preserve"> debe fundamentarse el acto administrativo, bajo algunos de los criterios (seguridad nacional, salud o salubridad pública, intereses económicos del Estado, entre otros).</w:t>
      </w:r>
    </w:p>
  </w:footnote>
  <w:footnote w:id="53">
    <w:p w:rsidR="000E6BF6" w:rsidRPr="006456F0" w:rsidRDefault="006671C3" w:rsidP="000E6BF6">
      <w:pPr>
        <w:pStyle w:val="Textonotapie"/>
        <w:rPr>
          <w:rFonts w:ascii="Times New Roman" w:hAnsi="Times New Roman" w:cs="Times New Roman"/>
          <w:sz w:val="18"/>
          <w:szCs w:val="18"/>
        </w:rPr>
      </w:pPr>
      <w:r w:rsidRPr="006456F0">
        <w:rPr>
          <w:rStyle w:val="Refdenotaalpie"/>
          <w:rFonts w:ascii="Times New Roman" w:hAnsi="Times New Roman" w:cs="Times New Roman"/>
          <w:sz w:val="18"/>
          <w:szCs w:val="18"/>
        </w:rPr>
        <w:footnoteRef/>
      </w:r>
      <w:r w:rsidRPr="006456F0">
        <w:rPr>
          <w:rFonts w:ascii="Times New Roman" w:hAnsi="Times New Roman" w:cs="Times New Roman"/>
          <w:sz w:val="18"/>
          <w:szCs w:val="18"/>
        </w:rPr>
        <w:t xml:space="preserve"> </w:t>
      </w:r>
      <w:r>
        <w:rPr>
          <w:rFonts w:ascii="Times New Roman" w:hAnsi="Times New Roman" w:cs="Times New Roman"/>
          <w:sz w:val="18"/>
          <w:szCs w:val="18"/>
        </w:rPr>
        <w:t xml:space="preserve">Controles aduaneros. </w:t>
      </w:r>
    </w:p>
  </w:footnote>
  <w:footnote w:id="54">
    <w:p w:rsidR="000E6BF6" w:rsidRPr="006456F0" w:rsidRDefault="006671C3" w:rsidP="000E6BF6">
      <w:pPr>
        <w:pStyle w:val="Textonotapie"/>
        <w:rPr>
          <w:rFonts w:ascii="Times New Roman" w:hAnsi="Times New Roman" w:cs="Times New Roman"/>
          <w:sz w:val="18"/>
          <w:szCs w:val="18"/>
        </w:rPr>
      </w:pPr>
      <w:r w:rsidRPr="006456F0">
        <w:rPr>
          <w:rStyle w:val="Refdenotaalpie"/>
          <w:rFonts w:ascii="Times New Roman" w:hAnsi="Times New Roman" w:cs="Times New Roman"/>
          <w:sz w:val="18"/>
          <w:szCs w:val="18"/>
        </w:rPr>
        <w:footnoteRef/>
      </w:r>
      <w:r w:rsidRPr="006456F0">
        <w:rPr>
          <w:rFonts w:ascii="Times New Roman" w:hAnsi="Times New Roman" w:cs="Times New Roman"/>
          <w:sz w:val="18"/>
          <w:szCs w:val="18"/>
        </w:rPr>
        <w:t xml:space="preserve"> </w:t>
      </w:r>
      <w:r>
        <w:rPr>
          <w:rFonts w:ascii="Times New Roman" w:hAnsi="Times New Roman" w:cs="Times New Roman"/>
          <w:sz w:val="18"/>
          <w:szCs w:val="18"/>
        </w:rPr>
        <w:t>Procedimiento sancionatorio y de formulación de liquidacione</w:t>
      </w:r>
      <w:r>
        <w:rPr>
          <w:rFonts w:ascii="Times New Roman" w:hAnsi="Times New Roman" w:cs="Times New Roman"/>
          <w:sz w:val="18"/>
          <w:szCs w:val="18"/>
        </w:rPr>
        <w:t xml:space="preserve">s oficiales. </w:t>
      </w:r>
    </w:p>
  </w:footnote>
  <w:footnote w:id="55">
    <w:p w:rsidR="000E6BF6" w:rsidRPr="0030439F" w:rsidRDefault="006671C3" w:rsidP="000E6BF6">
      <w:pPr>
        <w:pStyle w:val="Textonotapie"/>
        <w:rPr>
          <w:rFonts w:ascii="Times New Roman" w:hAnsi="Times New Roman" w:cs="Times New Roman"/>
          <w:sz w:val="18"/>
          <w:szCs w:val="18"/>
        </w:rPr>
      </w:pPr>
      <w:r w:rsidRPr="0030439F">
        <w:rPr>
          <w:rStyle w:val="Refdenotaalpie"/>
          <w:rFonts w:ascii="Times New Roman" w:hAnsi="Times New Roman" w:cs="Times New Roman"/>
          <w:sz w:val="18"/>
          <w:szCs w:val="18"/>
        </w:rPr>
        <w:footnoteRef/>
      </w:r>
      <w:r w:rsidRPr="0030439F">
        <w:rPr>
          <w:rFonts w:ascii="Times New Roman" w:hAnsi="Times New Roman" w:cs="Times New Roman"/>
          <w:sz w:val="18"/>
          <w:szCs w:val="18"/>
        </w:rPr>
        <w:t xml:space="preserve"> También hace referencia a </w:t>
      </w:r>
      <w:r>
        <w:rPr>
          <w:rFonts w:ascii="Times New Roman" w:hAnsi="Times New Roman" w:cs="Times New Roman"/>
          <w:sz w:val="18"/>
          <w:szCs w:val="18"/>
        </w:rPr>
        <w:t xml:space="preserve">una </w:t>
      </w:r>
      <w:r w:rsidRPr="0030439F">
        <w:rPr>
          <w:rFonts w:ascii="Times New Roman" w:hAnsi="Times New Roman" w:cs="Times New Roman"/>
          <w:sz w:val="18"/>
          <w:szCs w:val="18"/>
        </w:rPr>
        <w:t>decisi</w:t>
      </w:r>
      <w:r>
        <w:rPr>
          <w:rFonts w:ascii="Times New Roman" w:hAnsi="Times New Roman" w:cs="Times New Roman"/>
          <w:sz w:val="18"/>
          <w:szCs w:val="18"/>
        </w:rPr>
        <w:t>ón</w:t>
      </w:r>
      <w:r w:rsidRPr="0030439F">
        <w:rPr>
          <w:rFonts w:ascii="Times New Roman" w:hAnsi="Times New Roman" w:cs="Times New Roman"/>
          <w:sz w:val="18"/>
          <w:szCs w:val="18"/>
        </w:rPr>
        <w:t xml:space="preserve"> del Consejo de Estado</w:t>
      </w:r>
      <w:r>
        <w:rPr>
          <w:rFonts w:ascii="Times New Roman" w:hAnsi="Times New Roman" w:cs="Times New Roman"/>
          <w:sz w:val="18"/>
          <w:szCs w:val="18"/>
        </w:rPr>
        <w:t xml:space="preserve"> (</w:t>
      </w:r>
      <w:r w:rsidRPr="0030439F">
        <w:rPr>
          <w:rFonts w:ascii="Times New Roman" w:hAnsi="Times New Roman" w:cs="Times New Roman"/>
          <w:sz w:val="18"/>
          <w:szCs w:val="18"/>
        </w:rPr>
        <w:t xml:space="preserve">sentencia del 14 de marzo de 2019, radicado 05001-23-31-000-2010-01418-01, </w:t>
      </w:r>
      <w:r>
        <w:rPr>
          <w:rFonts w:ascii="Times New Roman" w:hAnsi="Times New Roman" w:cs="Times New Roman"/>
          <w:sz w:val="18"/>
          <w:szCs w:val="18"/>
        </w:rPr>
        <w:t>m</w:t>
      </w:r>
      <w:r w:rsidRPr="0030439F">
        <w:rPr>
          <w:rFonts w:ascii="Times New Roman" w:hAnsi="Times New Roman" w:cs="Times New Roman"/>
          <w:sz w:val="18"/>
          <w:szCs w:val="18"/>
        </w:rPr>
        <w:t xml:space="preserve">agistrado </w:t>
      </w:r>
      <w:r>
        <w:rPr>
          <w:rFonts w:ascii="Times New Roman" w:hAnsi="Times New Roman" w:cs="Times New Roman"/>
          <w:sz w:val="18"/>
          <w:szCs w:val="18"/>
        </w:rPr>
        <w:t xml:space="preserve">ponente </w:t>
      </w:r>
      <w:r w:rsidRPr="0030439F">
        <w:rPr>
          <w:rFonts w:ascii="Times New Roman" w:hAnsi="Times New Roman" w:cs="Times New Roman"/>
          <w:sz w:val="18"/>
          <w:szCs w:val="18"/>
        </w:rPr>
        <w:t>Oswaldo Giraldo López</w:t>
      </w:r>
      <w:r>
        <w:rPr>
          <w:rFonts w:ascii="Times New Roman" w:hAnsi="Times New Roman" w:cs="Times New Roman"/>
          <w:sz w:val="18"/>
          <w:szCs w:val="18"/>
        </w:rPr>
        <w:t>).</w:t>
      </w:r>
    </w:p>
  </w:footnote>
  <w:footnote w:id="56">
    <w:p w:rsidR="000E6BF6" w:rsidRPr="00C43C3B" w:rsidRDefault="006671C3" w:rsidP="000E6BF6">
      <w:pPr>
        <w:pStyle w:val="Textonotapie"/>
        <w:jc w:val="both"/>
        <w:rPr>
          <w:rFonts w:ascii="Times New Roman" w:hAnsi="Times New Roman" w:cs="Times New Roman"/>
          <w:sz w:val="18"/>
          <w:szCs w:val="18"/>
        </w:rPr>
      </w:pPr>
      <w:r w:rsidRPr="00C43C3B">
        <w:rPr>
          <w:rStyle w:val="Refdenotaalpie"/>
          <w:rFonts w:ascii="Times New Roman" w:hAnsi="Times New Roman" w:cs="Times New Roman"/>
          <w:sz w:val="18"/>
          <w:szCs w:val="18"/>
        </w:rPr>
        <w:footnoteRef/>
      </w:r>
      <w:r w:rsidRPr="00C43C3B">
        <w:rPr>
          <w:rFonts w:ascii="Times New Roman" w:hAnsi="Times New Roman" w:cs="Times New Roman"/>
          <w:sz w:val="18"/>
          <w:szCs w:val="18"/>
        </w:rPr>
        <w:t xml:space="preserve"> Reproduce el artículo 648 del Decreto 1165 de 2019, que a </w:t>
      </w:r>
      <w:r w:rsidRPr="00C43C3B">
        <w:rPr>
          <w:rFonts w:ascii="Times New Roman" w:hAnsi="Times New Roman" w:cs="Times New Roman"/>
          <w:sz w:val="18"/>
          <w:szCs w:val="18"/>
        </w:rPr>
        <w:t>su vez replica el artículo 503 del Decreto 2685 de 1999.</w:t>
      </w:r>
    </w:p>
  </w:footnote>
  <w:footnote w:id="57">
    <w:p w:rsidR="000E6BF6" w:rsidRPr="00577CFC" w:rsidRDefault="006671C3" w:rsidP="000E6BF6">
      <w:pPr>
        <w:pStyle w:val="Textonotapie"/>
        <w:jc w:val="both"/>
        <w:rPr>
          <w:rFonts w:ascii="Times New Roman" w:hAnsi="Times New Roman" w:cs="Times New Roman"/>
          <w:sz w:val="18"/>
          <w:szCs w:val="18"/>
        </w:rPr>
      </w:pPr>
      <w:r w:rsidRPr="00577CFC">
        <w:rPr>
          <w:rStyle w:val="Refdenotaalpie"/>
          <w:rFonts w:ascii="Times New Roman" w:hAnsi="Times New Roman" w:cs="Times New Roman"/>
          <w:sz w:val="18"/>
          <w:szCs w:val="18"/>
        </w:rPr>
        <w:footnoteRef/>
      </w:r>
      <w:r w:rsidRPr="00577CFC">
        <w:rPr>
          <w:rFonts w:ascii="Times New Roman" w:hAnsi="Times New Roman" w:cs="Times New Roman"/>
          <w:sz w:val="18"/>
          <w:szCs w:val="18"/>
        </w:rPr>
        <w:t xml:space="preserve"> </w:t>
      </w:r>
      <w:r>
        <w:rPr>
          <w:rFonts w:ascii="Times New Roman" w:hAnsi="Times New Roman" w:cs="Times New Roman"/>
          <w:sz w:val="18"/>
          <w:szCs w:val="18"/>
        </w:rPr>
        <w:t xml:space="preserve">Artículos 4 (obligación aduanera), 5 (alcance de la obligación aduanera), 6 (naturaleza de la obligación aduanera), 7 (obligados aduaneros) y 8 (responsables de la obligación aduanera). </w:t>
      </w:r>
    </w:p>
  </w:footnote>
  <w:footnote w:id="58">
    <w:p w:rsidR="000E6BF6" w:rsidRPr="001C4009" w:rsidRDefault="006671C3" w:rsidP="000E6BF6">
      <w:pPr>
        <w:pStyle w:val="Textonotapie"/>
        <w:rPr>
          <w:rFonts w:ascii="Times New Roman" w:hAnsi="Times New Roman" w:cs="Times New Roman"/>
          <w:sz w:val="18"/>
          <w:szCs w:val="18"/>
        </w:rPr>
      </w:pPr>
      <w:r w:rsidRPr="001C4009">
        <w:rPr>
          <w:rStyle w:val="Refdenotaalpie"/>
          <w:rFonts w:ascii="Times New Roman" w:hAnsi="Times New Roman" w:cs="Times New Roman"/>
          <w:sz w:val="18"/>
          <w:szCs w:val="18"/>
        </w:rPr>
        <w:footnoteRef/>
      </w:r>
      <w:r w:rsidRPr="001C4009">
        <w:rPr>
          <w:rFonts w:ascii="Times New Roman" w:hAnsi="Times New Roman" w:cs="Times New Roman"/>
          <w:sz w:val="18"/>
          <w:szCs w:val="18"/>
        </w:rPr>
        <w:t xml:space="preserve"> </w:t>
      </w:r>
      <w:r>
        <w:rPr>
          <w:rFonts w:ascii="Times New Roman" w:hAnsi="Times New Roman" w:cs="Times New Roman"/>
          <w:sz w:val="18"/>
          <w:szCs w:val="18"/>
        </w:rPr>
        <w:t xml:space="preserve">Sanción </w:t>
      </w:r>
      <w:r>
        <w:rPr>
          <w:rFonts w:ascii="Times New Roman" w:hAnsi="Times New Roman" w:cs="Times New Roman"/>
          <w:sz w:val="18"/>
          <w:szCs w:val="18"/>
        </w:rPr>
        <w:t>a aplicar cuando no sea posible aprehender la mercancía.</w:t>
      </w:r>
    </w:p>
  </w:footnote>
  <w:footnote w:id="59">
    <w:p w:rsidR="000E6BF6" w:rsidRPr="001C4009" w:rsidRDefault="006671C3" w:rsidP="000E6BF6">
      <w:pPr>
        <w:pStyle w:val="Textonotapie"/>
        <w:jc w:val="both"/>
        <w:rPr>
          <w:rFonts w:ascii="Times New Roman" w:hAnsi="Times New Roman" w:cs="Times New Roman"/>
          <w:sz w:val="18"/>
          <w:szCs w:val="18"/>
        </w:rPr>
      </w:pPr>
      <w:r w:rsidRPr="001C4009">
        <w:rPr>
          <w:rStyle w:val="Refdenotaalpie"/>
          <w:rFonts w:ascii="Times New Roman" w:hAnsi="Times New Roman" w:cs="Times New Roman"/>
          <w:sz w:val="18"/>
          <w:szCs w:val="18"/>
        </w:rPr>
        <w:footnoteRef/>
      </w:r>
      <w:r w:rsidRPr="001C4009">
        <w:rPr>
          <w:rFonts w:ascii="Times New Roman" w:hAnsi="Times New Roman" w:cs="Times New Roman"/>
          <w:sz w:val="18"/>
          <w:szCs w:val="18"/>
        </w:rPr>
        <w:t xml:space="preserve"> </w:t>
      </w:r>
      <w:r>
        <w:rPr>
          <w:rFonts w:ascii="Times New Roman" w:hAnsi="Times New Roman" w:cs="Times New Roman"/>
          <w:sz w:val="18"/>
          <w:szCs w:val="18"/>
        </w:rPr>
        <w:t>Trae a colación</w:t>
      </w:r>
      <w:r w:rsidRPr="001C4009">
        <w:rPr>
          <w:rFonts w:ascii="Times New Roman" w:hAnsi="Times New Roman" w:cs="Times New Roman"/>
          <w:sz w:val="18"/>
          <w:szCs w:val="18"/>
        </w:rPr>
        <w:t xml:space="preserve"> una decisión del Consejo de Estado (sentencia del </w:t>
      </w:r>
      <w:r>
        <w:rPr>
          <w:rFonts w:ascii="Times New Roman" w:hAnsi="Times New Roman" w:cs="Times New Roman"/>
          <w:sz w:val="18"/>
          <w:szCs w:val="18"/>
        </w:rPr>
        <w:t>22</w:t>
      </w:r>
      <w:r w:rsidRPr="001C4009">
        <w:rPr>
          <w:rFonts w:ascii="Times New Roman" w:hAnsi="Times New Roman" w:cs="Times New Roman"/>
          <w:sz w:val="18"/>
          <w:szCs w:val="18"/>
        </w:rPr>
        <w:t xml:space="preserve"> de marzo de 201</w:t>
      </w:r>
      <w:r>
        <w:rPr>
          <w:rFonts w:ascii="Times New Roman" w:hAnsi="Times New Roman" w:cs="Times New Roman"/>
          <w:sz w:val="18"/>
          <w:szCs w:val="18"/>
        </w:rPr>
        <w:t>8</w:t>
      </w:r>
      <w:r w:rsidRPr="001C4009">
        <w:rPr>
          <w:rFonts w:ascii="Times New Roman" w:hAnsi="Times New Roman" w:cs="Times New Roman"/>
          <w:sz w:val="18"/>
          <w:szCs w:val="18"/>
        </w:rPr>
        <w:t xml:space="preserve">, radicado 25000-23-24-000-2009-00281-01, </w:t>
      </w:r>
      <w:r>
        <w:rPr>
          <w:rFonts w:ascii="Times New Roman" w:hAnsi="Times New Roman" w:cs="Times New Roman"/>
          <w:sz w:val="18"/>
          <w:szCs w:val="18"/>
        </w:rPr>
        <w:t>m</w:t>
      </w:r>
      <w:r w:rsidRPr="001C4009">
        <w:rPr>
          <w:rFonts w:ascii="Times New Roman" w:hAnsi="Times New Roman" w:cs="Times New Roman"/>
          <w:sz w:val="18"/>
          <w:szCs w:val="18"/>
        </w:rPr>
        <w:t xml:space="preserve">agistrado </w:t>
      </w:r>
      <w:r>
        <w:rPr>
          <w:rFonts w:ascii="Times New Roman" w:hAnsi="Times New Roman" w:cs="Times New Roman"/>
          <w:sz w:val="18"/>
          <w:szCs w:val="18"/>
        </w:rPr>
        <w:t xml:space="preserve">ponente </w:t>
      </w:r>
      <w:r w:rsidRPr="001C4009">
        <w:rPr>
          <w:rFonts w:ascii="Times New Roman" w:hAnsi="Times New Roman" w:cs="Times New Roman"/>
          <w:sz w:val="18"/>
          <w:szCs w:val="18"/>
        </w:rPr>
        <w:t>Alberto Yepes Barreir</w:t>
      </w:r>
      <w:r>
        <w:rPr>
          <w:rFonts w:ascii="Times New Roman" w:hAnsi="Times New Roman" w:cs="Times New Roman"/>
          <w:sz w:val="18"/>
          <w:szCs w:val="18"/>
        </w:rPr>
        <w:t>o</w:t>
      </w:r>
      <w:r w:rsidRPr="001C4009">
        <w:rPr>
          <w:rFonts w:ascii="Times New Roman" w:hAnsi="Times New Roman" w:cs="Times New Roman"/>
          <w:sz w:val="18"/>
          <w:szCs w:val="18"/>
        </w:rPr>
        <w:t>).</w:t>
      </w:r>
    </w:p>
  </w:footnote>
  <w:footnote w:id="60">
    <w:p w:rsidR="000E6BF6" w:rsidRPr="00677782" w:rsidRDefault="006671C3" w:rsidP="000E6BF6">
      <w:pPr>
        <w:pStyle w:val="Textonotapie"/>
        <w:rPr>
          <w:rFonts w:ascii="Times New Roman" w:hAnsi="Times New Roman" w:cs="Times New Roman"/>
          <w:sz w:val="18"/>
          <w:szCs w:val="18"/>
        </w:rPr>
      </w:pPr>
      <w:r w:rsidRPr="00677782">
        <w:rPr>
          <w:rStyle w:val="Refdenotaalpie"/>
          <w:rFonts w:ascii="Times New Roman" w:hAnsi="Times New Roman" w:cs="Times New Roman"/>
          <w:sz w:val="18"/>
          <w:szCs w:val="18"/>
        </w:rPr>
        <w:footnoteRef/>
      </w:r>
      <w:r w:rsidRPr="00677782">
        <w:rPr>
          <w:rFonts w:ascii="Times New Roman" w:hAnsi="Times New Roman" w:cs="Times New Roman"/>
          <w:sz w:val="18"/>
          <w:szCs w:val="18"/>
        </w:rPr>
        <w:t xml:space="preserve"> </w:t>
      </w:r>
      <w:r>
        <w:rPr>
          <w:rFonts w:ascii="Times New Roman" w:hAnsi="Times New Roman" w:cs="Times New Roman"/>
          <w:sz w:val="18"/>
          <w:szCs w:val="18"/>
        </w:rPr>
        <w:t>Conocimiento del cliente</w:t>
      </w:r>
      <w:r>
        <w:rPr>
          <w:rFonts w:ascii="Times New Roman" w:hAnsi="Times New Roman" w:cs="Times New Roman"/>
          <w:sz w:val="18"/>
          <w:szCs w:val="18"/>
        </w:rPr>
        <w:t>.</w:t>
      </w:r>
    </w:p>
  </w:footnote>
  <w:footnote w:id="61">
    <w:p w:rsidR="000E6BF6" w:rsidRPr="00677782" w:rsidRDefault="006671C3" w:rsidP="000E6BF6">
      <w:pPr>
        <w:pStyle w:val="Textonotapie"/>
        <w:rPr>
          <w:rFonts w:ascii="Times New Roman" w:hAnsi="Times New Roman" w:cs="Times New Roman"/>
          <w:sz w:val="18"/>
          <w:szCs w:val="18"/>
        </w:rPr>
      </w:pPr>
      <w:r w:rsidRPr="00677782">
        <w:rPr>
          <w:rStyle w:val="Refdenotaalpie"/>
          <w:rFonts w:ascii="Times New Roman" w:hAnsi="Times New Roman" w:cs="Times New Roman"/>
          <w:sz w:val="18"/>
          <w:szCs w:val="18"/>
        </w:rPr>
        <w:footnoteRef/>
      </w:r>
      <w:r w:rsidRPr="00677782">
        <w:rPr>
          <w:rFonts w:ascii="Times New Roman" w:hAnsi="Times New Roman" w:cs="Times New Roman"/>
          <w:sz w:val="18"/>
          <w:szCs w:val="18"/>
        </w:rPr>
        <w:t xml:space="preserve"> Responsabilidad de las agencias de aduanas. </w:t>
      </w:r>
    </w:p>
  </w:footnote>
  <w:footnote w:id="62">
    <w:p w:rsidR="000E6BF6" w:rsidRPr="00AF31C6" w:rsidRDefault="006671C3" w:rsidP="000E6BF6">
      <w:pPr>
        <w:pStyle w:val="Textonotapie"/>
        <w:rPr>
          <w:rFonts w:ascii="Times New Roman" w:hAnsi="Times New Roman" w:cs="Times New Roman"/>
          <w:sz w:val="18"/>
          <w:szCs w:val="18"/>
        </w:rPr>
      </w:pPr>
      <w:r w:rsidRPr="00AF31C6">
        <w:rPr>
          <w:rStyle w:val="Refdenotaalpie"/>
          <w:rFonts w:ascii="Times New Roman" w:hAnsi="Times New Roman" w:cs="Times New Roman"/>
          <w:sz w:val="18"/>
          <w:szCs w:val="18"/>
        </w:rPr>
        <w:footnoteRef/>
      </w:r>
      <w:r w:rsidRPr="00AF31C6">
        <w:rPr>
          <w:rFonts w:ascii="Times New Roman" w:hAnsi="Times New Roman" w:cs="Times New Roman"/>
          <w:sz w:val="18"/>
          <w:szCs w:val="18"/>
        </w:rPr>
        <w:t xml:space="preserve"> </w:t>
      </w:r>
      <w:r>
        <w:rPr>
          <w:rFonts w:ascii="Times New Roman" w:hAnsi="Times New Roman" w:cs="Times New Roman"/>
          <w:sz w:val="18"/>
          <w:szCs w:val="18"/>
        </w:rPr>
        <w:t>Responsables de la obligación aduanera.</w:t>
      </w:r>
    </w:p>
  </w:footnote>
  <w:footnote w:id="63">
    <w:p w:rsidR="000E6BF6" w:rsidRPr="00507CA8" w:rsidRDefault="006671C3" w:rsidP="000E6BF6">
      <w:pPr>
        <w:pStyle w:val="Textonotapie"/>
        <w:rPr>
          <w:rFonts w:ascii="Times New Roman" w:hAnsi="Times New Roman" w:cs="Times New Roman"/>
          <w:sz w:val="18"/>
          <w:szCs w:val="18"/>
        </w:rPr>
      </w:pPr>
      <w:r w:rsidRPr="00507CA8">
        <w:rPr>
          <w:rStyle w:val="Refdenotaalpie"/>
          <w:rFonts w:ascii="Times New Roman" w:hAnsi="Times New Roman" w:cs="Times New Roman"/>
          <w:sz w:val="18"/>
          <w:szCs w:val="18"/>
        </w:rPr>
        <w:footnoteRef/>
      </w:r>
      <w:r w:rsidRPr="00507CA8">
        <w:rPr>
          <w:rFonts w:ascii="Times New Roman" w:hAnsi="Times New Roman" w:cs="Times New Roman"/>
          <w:sz w:val="18"/>
          <w:szCs w:val="18"/>
        </w:rPr>
        <w:t xml:space="preserve"> </w:t>
      </w:r>
      <w:r>
        <w:rPr>
          <w:rFonts w:ascii="Times New Roman" w:hAnsi="Times New Roman" w:cs="Times New Roman"/>
          <w:sz w:val="18"/>
          <w:szCs w:val="18"/>
        </w:rPr>
        <w:t>Documento de objeción a la aprehensión.</w:t>
      </w:r>
    </w:p>
  </w:footnote>
  <w:footnote w:id="64">
    <w:p w:rsidR="000E6BF6" w:rsidRPr="00AF31C6" w:rsidRDefault="006671C3" w:rsidP="000E6BF6">
      <w:pPr>
        <w:pStyle w:val="Textonotapie"/>
        <w:rPr>
          <w:rFonts w:ascii="Times New Roman" w:hAnsi="Times New Roman" w:cs="Times New Roman"/>
          <w:sz w:val="18"/>
          <w:szCs w:val="18"/>
        </w:rPr>
      </w:pPr>
      <w:r w:rsidRPr="00AF31C6">
        <w:rPr>
          <w:rStyle w:val="Refdenotaalpie"/>
          <w:rFonts w:ascii="Times New Roman" w:hAnsi="Times New Roman" w:cs="Times New Roman"/>
          <w:sz w:val="18"/>
          <w:szCs w:val="18"/>
        </w:rPr>
        <w:footnoteRef/>
      </w:r>
      <w:r w:rsidRPr="00AF31C6">
        <w:rPr>
          <w:rFonts w:ascii="Times New Roman" w:hAnsi="Times New Roman" w:cs="Times New Roman"/>
          <w:sz w:val="18"/>
          <w:szCs w:val="18"/>
        </w:rPr>
        <w:t xml:space="preserve"> </w:t>
      </w:r>
      <w:r>
        <w:rPr>
          <w:rFonts w:ascii="Times New Roman" w:hAnsi="Times New Roman" w:cs="Times New Roman"/>
          <w:sz w:val="18"/>
          <w:szCs w:val="18"/>
        </w:rPr>
        <w:t>Vinculación de terceros al proceso.</w:t>
      </w:r>
    </w:p>
  </w:footnote>
  <w:footnote w:id="65">
    <w:p w:rsidR="000E6BF6" w:rsidRPr="00B16D0F" w:rsidRDefault="006671C3" w:rsidP="000E6BF6">
      <w:pPr>
        <w:pStyle w:val="Textonotapie"/>
        <w:rPr>
          <w:rFonts w:ascii="Times New Roman" w:hAnsi="Times New Roman" w:cs="Times New Roman"/>
          <w:sz w:val="18"/>
          <w:szCs w:val="18"/>
        </w:rPr>
      </w:pPr>
      <w:r w:rsidRPr="00B16D0F">
        <w:rPr>
          <w:rStyle w:val="Refdenotaalpie"/>
          <w:rFonts w:ascii="Times New Roman" w:hAnsi="Times New Roman" w:cs="Times New Roman"/>
          <w:sz w:val="18"/>
          <w:szCs w:val="18"/>
        </w:rPr>
        <w:footnoteRef/>
      </w:r>
      <w:r w:rsidRPr="00B16D0F">
        <w:rPr>
          <w:rFonts w:ascii="Times New Roman" w:hAnsi="Times New Roman" w:cs="Times New Roman"/>
          <w:sz w:val="18"/>
          <w:szCs w:val="18"/>
        </w:rPr>
        <w:t xml:space="preserve"> </w:t>
      </w:r>
      <w:r>
        <w:rPr>
          <w:rFonts w:ascii="Times New Roman" w:hAnsi="Times New Roman" w:cs="Times New Roman"/>
          <w:sz w:val="18"/>
          <w:szCs w:val="18"/>
        </w:rPr>
        <w:t xml:space="preserve">Cfr. intervenciones del Instituto Colombiano de Derecho Procesal y la Universidad </w:t>
      </w:r>
      <w:r>
        <w:rPr>
          <w:rFonts w:ascii="Times New Roman" w:hAnsi="Times New Roman" w:cs="Times New Roman"/>
          <w:sz w:val="18"/>
          <w:szCs w:val="18"/>
        </w:rPr>
        <w:t>Externado de Colombia.</w:t>
      </w:r>
    </w:p>
  </w:footnote>
  <w:footnote w:id="66">
    <w:p w:rsidR="000E6BF6" w:rsidRPr="001514A9" w:rsidRDefault="006671C3" w:rsidP="000E6BF6">
      <w:pPr>
        <w:pStyle w:val="Textonotapie"/>
        <w:rPr>
          <w:rFonts w:ascii="Times New Roman" w:hAnsi="Times New Roman" w:cs="Times New Roman"/>
          <w:sz w:val="18"/>
          <w:szCs w:val="18"/>
        </w:rPr>
      </w:pPr>
      <w:r w:rsidRPr="001514A9">
        <w:rPr>
          <w:rStyle w:val="Refdenotaalpie"/>
          <w:rFonts w:ascii="Times New Roman" w:hAnsi="Times New Roman" w:cs="Times New Roman"/>
          <w:sz w:val="18"/>
          <w:szCs w:val="18"/>
        </w:rPr>
        <w:footnoteRef/>
      </w:r>
      <w:r w:rsidRPr="001514A9">
        <w:rPr>
          <w:rFonts w:ascii="Times New Roman" w:hAnsi="Times New Roman" w:cs="Times New Roman"/>
          <w:sz w:val="18"/>
          <w:szCs w:val="18"/>
        </w:rPr>
        <w:t xml:space="preserve"> </w:t>
      </w:r>
      <w:r>
        <w:rPr>
          <w:rFonts w:ascii="Times New Roman" w:hAnsi="Times New Roman" w:cs="Times New Roman"/>
          <w:sz w:val="18"/>
          <w:szCs w:val="18"/>
        </w:rPr>
        <w:t>Cfr. intervenciones de la Universidad Externado de Colombia y el Ministerio de Hacienda (esta última presentada extemporáneamente).</w:t>
      </w:r>
    </w:p>
  </w:footnote>
  <w:footnote w:id="67">
    <w:p w:rsidR="000E6BF6" w:rsidRPr="001514A9" w:rsidRDefault="006671C3" w:rsidP="000E6BF6">
      <w:pPr>
        <w:pStyle w:val="Textonotapie"/>
        <w:jc w:val="both"/>
        <w:rPr>
          <w:rFonts w:ascii="Times New Roman" w:hAnsi="Times New Roman" w:cs="Times New Roman"/>
          <w:sz w:val="18"/>
          <w:szCs w:val="18"/>
        </w:rPr>
      </w:pPr>
      <w:r w:rsidRPr="001514A9">
        <w:rPr>
          <w:rStyle w:val="Refdenotaalpie"/>
          <w:rFonts w:ascii="Times New Roman" w:hAnsi="Times New Roman" w:cs="Times New Roman"/>
          <w:sz w:val="18"/>
          <w:szCs w:val="18"/>
        </w:rPr>
        <w:footnoteRef/>
      </w:r>
      <w:r w:rsidRPr="001514A9">
        <w:rPr>
          <w:rFonts w:ascii="Times New Roman" w:hAnsi="Times New Roman" w:cs="Times New Roman"/>
          <w:sz w:val="18"/>
          <w:szCs w:val="18"/>
        </w:rPr>
        <w:t xml:space="preserve"> </w:t>
      </w:r>
      <w:r>
        <w:rPr>
          <w:rFonts w:ascii="Times New Roman" w:hAnsi="Times New Roman" w:cs="Times New Roman"/>
          <w:sz w:val="18"/>
          <w:szCs w:val="18"/>
        </w:rPr>
        <w:t>Cfr. intervenciones de las universidades Externado de Colombia y del Rosario (esta última present</w:t>
      </w:r>
      <w:r>
        <w:rPr>
          <w:rFonts w:ascii="Times New Roman" w:hAnsi="Times New Roman" w:cs="Times New Roman"/>
          <w:sz w:val="18"/>
          <w:szCs w:val="18"/>
        </w:rPr>
        <w:t>ada extemporáneamente).</w:t>
      </w:r>
    </w:p>
  </w:footnote>
  <w:footnote w:id="68">
    <w:p w:rsidR="000E6BF6" w:rsidRPr="0015214D" w:rsidRDefault="006671C3" w:rsidP="000E6BF6">
      <w:pPr>
        <w:pStyle w:val="Textonotapie"/>
        <w:rPr>
          <w:rFonts w:ascii="Times New Roman" w:hAnsi="Times New Roman" w:cs="Times New Roman"/>
          <w:sz w:val="18"/>
          <w:szCs w:val="18"/>
        </w:rPr>
      </w:pPr>
      <w:r w:rsidRPr="0015214D">
        <w:rPr>
          <w:rStyle w:val="Refdenotaalpie"/>
          <w:rFonts w:ascii="Times New Roman" w:hAnsi="Times New Roman" w:cs="Times New Roman"/>
          <w:sz w:val="18"/>
          <w:szCs w:val="18"/>
        </w:rPr>
        <w:footnoteRef/>
      </w:r>
      <w:r w:rsidRPr="0015214D">
        <w:rPr>
          <w:rFonts w:ascii="Times New Roman" w:hAnsi="Times New Roman" w:cs="Times New Roman"/>
          <w:sz w:val="18"/>
          <w:szCs w:val="18"/>
        </w:rPr>
        <w:t xml:space="preserve"> </w:t>
      </w:r>
      <w:r>
        <w:rPr>
          <w:rFonts w:ascii="Times New Roman" w:hAnsi="Times New Roman" w:cs="Times New Roman"/>
          <w:sz w:val="18"/>
          <w:szCs w:val="18"/>
        </w:rPr>
        <w:t>Cfr.</w:t>
      </w:r>
      <w:r w:rsidRPr="0015214D">
        <w:rPr>
          <w:rFonts w:ascii="Times New Roman" w:hAnsi="Times New Roman" w:cs="Times New Roman"/>
          <w:sz w:val="18"/>
          <w:szCs w:val="18"/>
        </w:rPr>
        <w:t xml:space="preserve"> intervenci</w:t>
      </w:r>
      <w:r>
        <w:rPr>
          <w:rFonts w:ascii="Times New Roman" w:hAnsi="Times New Roman" w:cs="Times New Roman"/>
          <w:sz w:val="18"/>
          <w:szCs w:val="18"/>
        </w:rPr>
        <w:t>ón de la Universidad del Rosario (presentada extemporáneamente).</w:t>
      </w:r>
    </w:p>
  </w:footnote>
  <w:footnote w:id="69">
    <w:p w:rsidR="000E6BF6" w:rsidRPr="006654AD" w:rsidRDefault="006671C3" w:rsidP="000E6BF6">
      <w:pPr>
        <w:pStyle w:val="Textonotapie"/>
        <w:rPr>
          <w:rFonts w:ascii="Times New Roman" w:hAnsi="Times New Roman" w:cs="Times New Roman"/>
          <w:sz w:val="18"/>
          <w:szCs w:val="18"/>
        </w:rPr>
      </w:pPr>
      <w:r w:rsidRPr="006654AD">
        <w:rPr>
          <w:rStyle w:val="Refdenotaalpie"/>
          <w:rFonts w:ascii="Times New Roman" w:hAnsi="Times New Roman" w:cs="Times New Roman"/>
          <w:sz w:val="18"/>
          <w:szCs w:val="18"/>
        </w:rPr>
        <w:footnoteRef/>
      </w:r>
      <w:r w:rsidRPr="006654AD">
        <w:rPr>
          <w:rFonts w:ascii="Times New Roman" w:hAnsi="Times New Roman" w:cs="Times New Roman"/>
          <w:sz w:val="18"/>
          <w:szCs w:val="18"/>
        </w:rPr>
        <w:t xml:space="preserve"> </w:t>
      </w:r>
      <w:r>
        <w:rPr>
          <w:rFonts w:ascii="Times New Roman" w:hAnsi="Times New Roman" w:cs="Times New Roman"/>
          <w:sz w:val="18"/>
          <w:szCs w:val="18"/>
        </w:rPr>
        <w:t xml:space="preserve">Cfr. intervención del Instituto Colombiano de Derecho Tributario y Aduanero, Asociación Nacional de Comercio Exterior (ANALDEX) y Universidad del </w:t>
      </w:r>
      <w:r>
        <w:rPr>
          <w:rFonts w:ascii="Times New Roman" w:hAnsi="Times New Roman" w:cs="Times New Roman"/>
          <w:sz w:val="18"/>
          <w:szCs w:val="18"/>
        </w:rPr>
        <w:t>Rosario (esta última presentada extemporáneamente).</w:t>
      </w:r>
    </w:p>
  </w:footnote>
  <w:footnote w:id="70">
    <w:p w:rsidR="000E6BF6" w:rsidRPr="0074452B" w:rsidRDefault="006671C3" w:rsidP="000E6BF6">
      <w:pPr>
        <w:pStyle w:val="Textonotapie"/>
        <w:jc w:val="both"/>
        <w:rPr>
          <w:rFonts w:ascii="Times New Roman" w:hAnsi="Times New Roman" w:cs="Times New Roman"/>
          <w:sz w:val="18"/>
          <w:szCs w:val="18"/>
        </w:rPr>
      </w:pPr>
      <w:r w:rsidRPr="0074452B">
        <w:rPr>
          <w:rStyle w:val="Refdenotaalpie"/>
          <w:rFonts w:ascii="Times New Roman" w:hAnsi="Times New Roman" w:cs="Times New Roman"/>
          <w:sz w:val="18"/>
          <w:szCs w:val="18"/>
        </w:rPr>
        <w:footnoteRef/>
      </w:r>
      <w:r w:rsidRPr="0074452B">
        <w:rPr>
          <w:rFonts w:ascii="Times New Roman" w:hAnsi="Times New Roman" w:cs="Times New Roman"/>
          <w:sz w:val="18"/>
          <w:szCs w:val="18"/>
        </w:rPr>
        <w:t xml:space="preserve"> Este acápite dogmático </w:t>
      </w:r>
      <w:r>
        <w:rPr>
          <w:rFonts w:ascii="Times New Roman" w:hAnsi="Times New Roman" w:cs="Times New Roman"/>
          <w:sz w:val="18"/>
          <w:szCs w:val="18"/>
        </w:rPr>
        <w:t xml:space="preserve">itera principalmente </w:t>
      </w:r>
      <w:r w:rsidRPr="0074452B">
        <w:rPr>
          <w:rFonts w:ascii="Times New Roman" w:hAnsi="Times New Roman" w:cs="Times New Roman"/>
          <w:sz w:val="18"/>
          <w:szCs w:val="18"/>
        </w:rPr>
        <w:t xml:space="preserve">la Sentencia </w:t>
      </w:r>
      <w:r>
        <w:rPr>
          <w:rFonts w:ascii="Times New Roman" w:hAnsi="Times New Roman" w:cs="Times New Roman"/>
          <w:sz w:val="18"/>
          <w:szCs w:val="18"/>
        </w:rPr>
        <w:t xml:space="preserve">C-190 de 2023. En materia de ineptitud sustantiva de la demanda se ha construido una </w:t>
      </w:r>
      <w:r w:rsidRPr="008B37C4">
        <w:rPr>
          <w:rFonts w:ascii="Times New Roman" w:hAnsi="Times New Roman" w:cs="Times New Roman"/>
          <w:sz w:val="18"/>
          <w:szCs w:val="18"/>
        </w:rPr>
        <w:t xml:space="preserve">jurisprudencia </w:t>
      </w:r>
      <w:r>
        <w:rPr>
          <w:rFonts w:ascii="Times New Roman" w:hAnsi="Times New Roman" w:cs="Times New Roman"/>
          <w:sz w:val="18"/>
          <w:szCs w:val="18"/>
        </w:rPr>
        <w:t xml:space="preserve">pacífica y sostenida </w:t>
      </w:r>
      <w:r w:rsidRPr="008B37C4">
        <w:rPr>
          <w:rFonts w:ascii="Times New Roman" w:hAnsi="Times New Roman" w:cs="Times New Roman"/>
          <w:sz w:val="18"/>
          <w:szCs w:val="18"/>
        </w:rPr>
        <w:t>a partir de la Sentencia</w:t>
      </w:r>
      <w:r w:rsidRPr="008B37C4">
        <w:rPr>
          <w:rFonts w:ascii="Times New Roman" w:hAnsi="Times New Roman" w:cs="Times New Roman"/>
          <w:sz w:val="18"/>
          <w:szCs w:val="18"/>
        </w:rPr>
        <w:t xml:space="preserve"> C-1052 de 2001. Cfr. sentencias C-114 de 2024, C-034 de 2024, C-128 de 2023, C-009 de 2023, C-298 de 2022, C-335 de 2021, C-025 de 2020, C-292 de 2019, C-146 de 2018, C-309 de 2017, C-646 de 2016, C-497 de 2015, C-584 de 2014, C-531 de 2013, C-636 de 2012</w:t>
      </w:r>
      <w:r w:rsidRPr="008B37C4">
        <w:rPr>
          <w:rFonts w:ascii="Times New Roman" w:hAnsi="Times New Roman" w:cs="Times New Roman"/>
          <w:sz w:val="18"/>
          <w:szCs w:val="18"/>
        </w:rPr>
        <w:t>, C-819 de 2011, C-102 de 2010, C-761 de 2009,C-1198 de 2008, C-210 de 2007, C-048 de 2006, C-856 de 2005, C-913 de 2004, C-480 de 2003 y C-129 de 2002, entre otras.</w:t>
      </w:r>
    </w:p>
  </w:footnote>
  <w:footnote w:id="71">
    <w:p w:rsidR="000E6BF6" w:rsidRPr="003B1F97" w:rsidRDefault="006671C3" w:rsidP="000E6BF6">
      <w:pPr>
        <w:pStyle w:val="Textonotapie"/>
        <w:jc w:val="both"/>
        <w:rPr>
          <w:rFonts w:ascii="Times New Roman" w:hAnsi="Times New Roman" w:cs="Times New Roman"/>
          <w:sz w:val="18"/>
          <w:szCs w:val="18"/>
          <w:lang w:val="es-ES"/>
        </w:rPr>
      </w:pPr>
      <w:r w:rsidRPr="003B1F97">
        <w:rPr>
          <w:rStyle w:val="Refdenotaalpie"/>
          <w:rFonts w:ascii="Times New Roman" w:hAnsi="Times New Roman" w:cs="Times New Roman"/>
          <w:sz w:val="18"/>
          <w:szCs w:val="18"/>
        </w:rPr>
        <w:footnoteRef/>
      </w:r>
      <w:r w:rsidRPr="003B1F97">
        <w:rPr>
          <w:rFonts w:ascii="Times New Roman" w:hAnsi="Times New Roman" w:cs="Times New Roman"/>
          <w:sz w:val="18"/>
          <w:szCs w:val="18"/>
        </w:rPr>
        <w:t xml:space="preserve"> </w:t>
      </w:r>
      <w:r>
        <w:rPr>
          <w:rFonts w:ascii="Times New Roman" w:hAnsi="Times New Roman" w:cs="Times New Roman"/>
          <w:sz w:val="18"/>
          <w:szCs w:val="18"/>
        </w:rPr>
        <w:t>Sentencias C-210 de 2021, C-415 de 2020, C-025 de 2020 y C-064 de 2018, entre otras.</w:t>
      </w:r>
    </w:p>
  </w:footnote>
  <w:footnote w:id="72">
    <w:p w:rsidR="000E6BF6" w:rsidRPr="00100E92" w:rsidRDefault="006671C3" w:rsidP="000E6BF6">
      <w:pPr>
        <w:pStyle w:val="Textonotapie"/>
        <w:jc w:val="both"/>
        <w:rPr>
          <w:rFonts w:ascii="Times New Roman" w:hAnsi="Times New Roman" w:cs="Times New Roman"/>
          <w:sz w:val="18"/>
          <w:szCs w:val="18"/>
          <w:lang w:val="es-ES"/>
        </w:rPr>
      </w:pPr>
      <w:r w:rsidRPr="00100E92">
        <w:rPr>
          <w:rStyle w:val="Refdenotaalpie"/>
          <w:rFonts w:ascii="Times New Roman" w:hAnsi="Times New Roman" w:cs="Times New Roman"/>
          <w:sz w:val="18"/>
          <w:szCs w:val="18"/>
        </w:rPr>
        <w:footnoteRef/>
      </w:r>
      <w:r w:rsidRPr="00100E92">
        <w:rPr>
          <w:rFonts w:ascii="Times New Roman" w:hAnsi="Times New Roman" w:cs="Times New Roman"/>
          <w:sz w:val="18"/>
          <w:szCs w:val="18"/>
        </w:rPr>
        <w:t xml:space="preserve"> </w:t>
      </w:r>
      <w:r>
        <w:rPr>
          <w:rFonts w:ascii="Times New Roman" w:hAnsi="Times New Roman" w:cs="Times New Roman"/>
          <w:sz w:val="18"/>
          <w:szCs w:val="18"/>
        </w:rPr>
        <w:t>Las sentencias C-009 de 2023 y C-335 de 2021 así lo han reconocido: “</w:t>
      </w:r>
      <w:r w:rsidRPr="0026239A">
        <w:rPr>
          <w:rFonts w:ascii="Times New Roman" w:hAnsi="Times New Roman" w:cs="Times New Roman"/>
          <w:sz w:val="18"/>
          <w:szCs w:val="18"/>
        </w:rPr>
        <w:t>La Corte Constitucional ha establecido un sistema de filtros para la admisión y decisión de fondo de las acciones públicas de constitucionalidad. Este esquema evita las demandas temeraria</w:t>
      </w:r>
      <w:r w:rsidRPr="0026239A">
        <w:rPr>
          <w:rFonts w:ascii="Times New Roman" w:hAnsi="Times New Roman" w:cs="Times New Roman"/>
          <w:sz w:val="18"/>
          <w:szCs w:val="18"/>
        </w:rPr>
        <w:t xml:space="preserve">s, racionaliza el ejercicio del derecho político a demandar </w:t>
      </w:r>
      <w:r>
        <w:rPr>
          <w:rFonts w:ascii="Times New Roman" w:hAnsi="Times New Roman" w:cs="Times New Roman"/>
          <w:sz w:val="18"/>
          <w:szCs w:val="18"/>
        </w:rPr>
        <w:t>(…)</w:t>
      </w:r>
      <w:r w:rsidRPr="0026239A">
        <w:rPr>
          <w:rFonts w:ascii="Times New Roman" w:hAnsi="Times New Roman" w:cs="Times New Roman"/>
          <w:sz w:val="18"/>
          <w:szCs w:val="18"/>
        </w:rPr>
        <w:t xml:space="preserve"> las leyes y cualifica deliberativamente el proceso de control de constitucionalidad. </w:t>
      </w:r>
      <w:r>
        <w:rPr>
          <w:rFonts w:ascii="Times New Roman" w:hAnsi="Times New Roman" w:cs="Times New Roman"/>
          <w:sz w:val="18"/>
          <w:szCs w:val="18"/>
        </w:rPr>
        <w:t>[S]</w:t>
      </w:r>
      <w:r w:rsidRPr="0026239A">
        <w:rPr>
          <w:rFonts w:ascii="Times New Roman" w:hAnsi="Times New Roman" w:cs="Times New Roman"/>
          <w:sz w:val="18"/>
          <w:szCs w:val="18"/>
        </w:rPr>
        <w:t xml:space="preserve">e trata de una manifestación del carácter rogado del control de constitucionalidad, de una carga mínima </w:t>
      </w:r>
      <w:r w:rsidRPr="0026239A">
        <w:rPr>
          <w:rFonts w:ascii="Times New Roman" w:hAnsi="Times New Roman" w:cs="Times New Roman"/>
          <w:sz w:val="18"/>
          <w:szCs w:val="18"/>
        </w:rPr>
        <w:t>de quien ejerce el derecho político a demandar las leyes y de una dimensión del principio democrático que se concreta en la presunción de constitucionalidad de los actos normativos proferidos por el legislador</w:t>
      </w:r>
      <w:r>
        <w:rPr>
          <w:rFonts w:ascii="Times New Roman" w:hAnsi="Times New Roman" w:cs="Times New Roman"/>
          <w:sz w:val="18"/>
          <w:szCs w:val="18"/>
        </w:rPr>
        <w:t>”.</w:t>
      </w:r>
    </w:p>
  </w:footnote>
  <w:footnote w:id="73">
    <w:p w:rsidR="000E6BF6" w:rsidRPr="00913F0D" w:rsidRDefault="006671C3" w:rsidP="000E6BF6">
      <w:pPr>
        <w:pStyle w:val="Textonotapie"/>
        <w:jc w:val="both"/>
        <w:rPr>
          <w:rFonts w:ascii="Times New Roman" w:hAnsi="Times New Roman" w:cs="Times New Roman"/>
          <w:sz w:val="18"/>
          <w:szCs w:val="18"/>
          <w:lang w:val="es-ES"/>
        </w:rPr>
      </w:pPr>
      <w:r w:rsidRPr="00913F0D">
        <w:rPr>
          <w:rStyle w:val="Refdenotaalpie"/>
          <w:rFonts w:ascii="Times New Roman" w:hAnsi="Times New Roman" w:cs="Times New Roman"/>
          <w:sz w:val="18"/>
          <w:szCs w:val="18"/>
        </w:rPr>
        <w:footnoteRef/>
      </w:r>
      <w:r w:rsidRPr="00913F0D">
        <w:rPr>
          <w:rFonts w:ascii="Times New Roman" w:hAnsi="Times New Roman" w:cs="Times New Roman"/>
          <w:sz w:val="18"/>
          <w:szCs w:val="18"/>
        </w:rPr>
        <w:t xml:space="preserve"> </w:t>
      </w:r>
      <w:r>
        <w:rPr>
          <w:rFonts w:ascii="Times New Roman" w:hAnsi="Times New Roman" w:cs="Times New Roman"/>
          <w:sz w:val="18"/>
          <w:szCs w:val="18"/>
        </w:rPr>
        <w:t>“</w:t>
      </w:r>
      <w:r w:rsidRPr="00913F0D">
        <w:rPr>
          <w:rFonts w:ascii="Times New Roman" w:hAnsi="Times New Roman" w:cs="Times New Roman"/>
          <w:sz w:val="18"/>
          <w:szCs w:val="18"/>
        </w:rPr>
        <w:t xml:space="preserve">Las demandas en las acciones públicas de </w:t>
      </w:r>
      <w:r w:rsidRPr="00913F0D">
        <w:rPr>
          <w:rFonts w:ascii="Times New Roman" w:hAnsi="Times New Roman" w:cs="Times New Roman"/>
          <w:sz w:val="18"/>
          <w:szCs w:val="18"/>
        </w:rPr>
        <w:t>inconstitucionalidad se presentarán por escrito, en duplicado, y contendrán: 1. El señalamiento de las normas acusadas como inconstitucionales, su transcripción literal por cualquier medio o un ejemplar de la publicación oficial de las mismas; 2. El señala</w:t>
      </w:r>
      <w:r w:rsidRPr="00913F0D">
        <w:rPr>
          <w:rFonts w:ascii="Times New Roman" w:hAnsi="Times New Roman" w:cs="Times New Roman"/>
          <w:sz w:val="18"/>
          <w:szCs w:val="18"/>
        </w:rPr>
        <w:t xml:space="preserve">miento de las normas constitucionales que se consideren infringidas; 3. Las razones por las cuales dichos textos se estiman violados; 4. Cuando fuere el caso, el señalamiento del trámite impuesto por la Constitución para la expedición del acto demandado y </w:t>
      </w:r>
      <w:r w:rsidRPr="00913F0D">
        <w:rPr>
          <w:rFonts w:ascii="Times New Roman" w:hAnsi="Times New Roman" w:cs="Times New Roman"/>
          <w:sz w:val="18"/>
          <w:szCs w:val="18"/>
        </w:rPr>
        <w:t>la forma en que fue quebrantado; y 5. La razón por la cual la Corte es competente para conocer de la demanda”</w:t>
      </w:r>
      <w:r>
        <w:rPr>
          <w:rFonts w:ascii="Times New Roman" w:hAnsi="Times New Roman" w:cs="Times New Roman"/>
          <w:sz w:val="18"/>
          <w:szCs w:val="18"/>
        </w:rPr>
        <w:t>.</w:t>
      </w:r>
    </w:p>
  </w:footnote>
  <w:footnote w:id="74">
    <w:p w:rsidR="000E6BF6" w:rsidRPr="00A971E5" w:rsidRDefault="006671C3" w:rsidP="000E6BF6">
      <w:pPr>
        <w:pStyle w:val="Textonotapie"/>
        <w:jc w:val="both"/>
        <w:rPr>
          <w:rFonts w:ascii="Times New Roman" w:hAnsi="Times New Roman" w:cs="Times New Roman"/>
          <w:sz w:val="18"/>
          <w:szCs w:val="18"/>
          <w:lang w:val="es-ES"/>
        </w:rPr>
      </w:pPr>
      <w:r w:rsidRPr="00A971E5">
        <w:rPr>
          <w:rStyle w:val="Refdenotaalpie"/>
          <w:rFonts w:ascii="Times New Roman" w:hAnsi="Times New Roman" w:cs="Times New Roman"/>
          <w:sz w:val="18"/>
          <w:szCs w:val="18"/>
        </w:rPr>
        <w:footnoteRef/>
      </w:r>
      <w:r>
        <w:rPr>
          <w:rFonts w:ascii="Times New Roman" w:hAnsi="Times New Roman" w:cs="Times New Roman"/>
          <w:sz w:val="18"/>
          <w:szCs w:val="18"/>
        </w:rPr>
        <w:t xml:space="preserve"> “</w:t>
      </w:r>
      <w:r w:rsidRPr="00A971E5">
        <w:rPr>
          <w:rFonts w:ascii="Times New Roman" w:hAnsi="Times New Roman" w:cs="Times New Roman"/>
          <w:sz w:val="18"/>
          <w:szCs w:val="18"/>
        </w:rPr>
        <w:t xml:space="preserve">Por el cual se dicta el régimen procedimental de los juicios y actuaciones que deban surtirse ante la </w:t>
      </w:r>
      <w:r>
        <w:rPr>
          <w:rFonts w:ascii="Times New Roman" w:hAnsi="Times New Roman" w:cs="Times New Roman"/>
          <w:sz w:val="18"/>
          <w:szCs w:val="18"/>
        </w:rPr>
        <w:t>C</w:t>
      </w:r>
      <w:r w:rsidRPr="00A971E5">
        <w:rPr>
          <w:rFonts w:ascii="Times New Roman" w:hAnsi="Times New Roman" w:cs="Times New Roman"/>
          <w:sz w:val="18"/>
          <w:szCs w:val="18"/>
        </w:rPr>
        <w:t xml:space="preserve">orte </w:t>
      </w:r>
      <w:r>
        <w:rPr>
          <w:rFonts w:ascii="Times New Roman" w:hAnsi="Times New Roman" w:cs="Times New Roman"/>
          <w:sz w:val="18"/>
          <w:szCs w:val="18"/>
        </w:rPr>
        <w:t>C</w:t>
      </w:r>
      <w:r w:rsidRPr="00A971E5">
        <w:rPr>
          <w:rFonts w:ascii="Times New Roman" w:hAnsi="Times New Roman" w:cs="Times New Roman"/>
          <w:sz w:val="18"/>
          <w:szCs w:val="18"/>
        </w:rPr>
        <w:t>onstitucional</w:t>
      </w:r>
      <w:r>
        <w:rPr>
          <w:rFonts w:ascii="Times New Roman" w:hAnsi="Times New Roman" w:cs="Times New Roman"/>
          <w:sz w:val="18"/>
          <w:szCs w:val="18"/>
        </w:rPr>
        <w:t>”</w:t>
      </w:r>
      <w:r w:rsidRPr="00A971E5">
        <w:rPr>
          <w:rFonts w:ascii="Times New Roman" w:hAnsi="Times New Roman" w:cs="Times New Roman"/>
          <w:sz w:val="18"/>
          <w:szCs w:val="18"/>
        </w:rPr>
        <w:t xml:space="preserve">. </w:t>
      </w:r>
    </w:p>
  </w:footnote>
  <w:footnote w:id="75">
    <w:p w:rsidR="000E6BF6" w:rsidRPr="00913F0D" w:rsidRDefault="006671C3" w:rsidP="000E6BF6">
      <w:pPr>
        <w:pStyle w:val="Textonotapie"/>
        <w:jc w:val="both"/>
        <w:rPr>
          <w:rFonts w:ascii="Times New Roman" w:hAnsi="Times New Roman" w:cs="Times New Roman"/>
          <w:sz w:val="18"/>
          <w:szCs w:val="18"/>
          <w:lang w:val="es-ES"/>
        </w:rPr>
      </w:pPr>
      <w:r w:rsidRPr="00913F0D">
        <w:rPr>
          <w:rStyle w:val="Refdenotaalpie"/>
          <w:rFonts w:ascii="Times New Roman" w:hAnsi="Times New Roman" w:cs="Times New Roman"/>
          <w:sz w:val="18"/>
          <w:szCs w:val="18"/>
        </w:rPr>
        <w:footnoteRef/>
      </w:r>
      <w:r w:rsidRPr="00913F0D">
        <w:rPr>
          <w:rFonts w:ascii="Times New Roman" w:hAnsi="Times New Roman" w:cs="Times New Roman"/>
          <w:sz w:val="18"/>
          <w:szCs w:val="18"/>
        </w:rPr>
        <w:t xml:space="preserve"> </w:t>
      </w:r>
      <w:r>
        <w:rPr>
          <w:rFonts w:ascii="Times New Roman" w:hAnsi="Times New Roman" w:cs="Times New Roman"/>
          <w:sz w:val="18"/>
          <w:szCs w:val="18"/>
        </w:rPr>
        <w:t xml:space="preserve">“Todo </w:t>
      </w:r>
      <w:r>
        <w:rPr>
          <w:rFonts w:ascii="Times New Roman" w:hAnsi="Times New Roman" w:cs="Times New Roman"/>
          <w:sz w:val="18"/>
          <w:szCs w:val="18"/>
        </w:rPr>
        <w:t>ciudadano tiene derecho a participar en la conformación, ejercicio y control del poder político. Para hacer efectivo este derecho puede: (…) 6. Interponer acciones públicas en defensa de la Constitución y de la ley (…)”.</w:t>
      </w:r>
    </w:p>
  </w:footnote>
  <w:footnote w:id="76">
    <w:p w:rsidR="000E6BF6" w:rsidRPr="006D293D" w:rsidRDefault="006671C3" w:rsidP="000E6BF6">
      <w:pPr>
        <w:pStyle w:val="Textonotapie"/>
        <w:jc w:val="both"/>
        <w:rPr>
          <w:rFonts w:ascii="Times New Roman" w:hAnsi="Times New Roman" w:cs="Times New Roman"/>
          <w:sz w:val="18"/>
          <w:szCs w:val="18"/>
          <w:lang w:val="es-ES"/>
        </w:rPr>
      </w:pPr>
      <w:r w:rsidRPr="006D293D">
        <w:rPr>
          <w:rStyle w:val="Refdenotaalpie"/>
          <w:rFonts w:ascii="Times New Roman" w:hAnsi="Times New Roman" w:cs="Times New Roman"/>
          <w:sz w:val="18"/>
          <w:szCs w:val="18"/>
        </w:rPr>
        <w:footnoteRef/>
      </w:r>
      <w:r w:rsidRPr="006D293D">
        <w:rPr>
          <w:rFonts w:ascii="Times New Roman" w:hAnsi="Times New Roman" w:cs="Times New Roman"/>
          <w:sz w:val="18"/>
          <w:szCs w:val="18"/>
        </w:rPr>
        <w:t xml:space="preserve"> </w:t>
      </w:r>
      <w:r>
        <w:rPr>
          <w:rFonts w:ascii="Times New Roman" w:hAnsi="Times New Roman" w:cs="Times New Roman"/>
          <w:sz w:val="18"/>
          <w:szCs w:val="18"/>
        </w:rPr>
        <w:t>Sentencias C-025 de 2020 y C-1052</w:t>
      </w:r>
      <w:r>
        <w:rPr>
          <w:rFonts w:ascii="Times New Roman" w:hAnsi="Times New Roman" w:cs="Times New Roman"/>
          <w:sz w:val="18"/>
          <w:szCs w:val="18"/>
        </w:rPr>
        <w:t xml:space="preserve"> de 2001. </w:t>
      </w:r>
    </w:p>
  </w:footnote>
  <w:footnote w:id="77">
    <w:p w:rsidR="000E6BF6" w:rsidRPr="001D3D8B" w:rsidRDefault="006671C3" w:rsidP="000E6BF6">
      <w:pPr>
        <w:pStyle w:val="Textonotapie"/>
        <w:jc w:val="both"/>
        <w:rPr>
          <w:rFonts w:ascii="Times New Roman" w:hAnsi="Times New Roman" w:cs="Times New Roman"/>
          <w:sz w:val="18"/>
          <w:szCs w:val="18"/>
          <w:lang w:val="es-ES"/>
        </w:rPr>
      </w:pPr>
      <w:r w:rsidRPr="001D3D8B">
        <w:rPr>
          <w:rStyle w:val="Refdenotaalpie"/>
          <w:rFonts w:ascii="Times New Roman" w:hAnsi="Times New Roman" w:cs="Times New Roman"/>
          <w:sz w:val="18"/>
          <w:szCs w:val="18"/>
        </w:rPr>
        <w:footnoteRef/>
      </w:r>
      <w:r w:rsidRPr="001D3D8B">
        <w:rPr>
          <w:rFonts w:ascii="Times New Roman" w:hAnsi="Times New Roman" w:cs="Times New Roman"/>
          <w:sz w:val="18"/>
          <w:szCs w:val="18"/>
        </w:rPr>
        <w:t xml:space="preserve"> </w:t>
      </w:r>
      <w:r>
        <w:rPr>
          <w:rFonts w:ascii="Times New Roman" w:hAnsi="Times New Roman" w:cs="Times New Roman"/>
          <w:sz w:val="18"/>
          <w:szCs w:val="18"/>
        </w:rPr>
        <w:t xml:space="preserve">Sentencia C-257 de 2016. </w:t>
      </w:r>
      <w:r w:rsidRPr="001D3D8B">
        <w:rPr>
          <w:rFonts w:ascii="Times New Roman" w:hAnsi="Times New Roman" w:cs="Times New Roman"/>
          <w:sz w:val="18"/>
          <w:szCs w:val="18"/>
        </w:rPr>
        <w:t>Conforme al artículo 241 superior que confía a la Corte Constitucional la guarda de la integridad y supremacía de la Constitución en los estrictos y precisos términos de tal disposición, relacionando a continuación las</w:t>
      </w:r>
      <w:r w:rsidRPr="001D3D8B">
        <w:rPr>
          <w:rFonts w:ascii="Times New Roman" w:hAnsi="Times New Roman" w:cs="Times New Roman"/>
          <w:sz w:val="18"/>
          <w:szCs w:val="18"/>
        </w:rPr>
        <w:t xml:space="preserve"> funciones que le corresponden, se ha manifestado</w:t>
      </w:r>
      <w:r>
        <w:rPr>
          <w:rFonts w:ascii="Times New Roman" w:hAnsi="Times New Roman" w:cs="Times New Roman"/>
          <w:sz w:val="18"/>
          <w:szCs w:val="18"/>
        </w:rPr>
        <w:t xml:space="preserve"> que</w:t>
      </w:r>
      <w:r w:rsidRPr="001D3D8B">
        <w:rPr>
          <w:rFonts w:ascii="Times New Roman" w:hAnsi="Times New Roman" w:cs="Times New Roman"/>
          <w:sz w:val="18"/>
          <w:szCs w:val="18"/>
        </w:rPr>
        <w:t>: “no corresponde a [esta corporación] revisar oficiosamente las leyes sino examinar aquellas que han sido demandadas por los ciudadanos, lo cual implica que el trámite de la acción pública s</w:t>
      </w:r>
      <w:r>
        <w:rPr>
          <w:rFonts w:ascii="Times New Roman" w:hAnsi="Times New Roman" w:cs="Times New Roman"/>
          <w:sz w:val="18"/>
          <w:szCs w:val="18"/>
        </w:rPr>
        <w:t>o</w:t>
      </w:r>
      <w:r w:rsidRPr="001D3D8B">
        <w:rPr>
          <w:rFonts w:ascii="Times New Roman" w:hAnsi="Times New Roman" w:cs="Times New Roman"/>
          <w:sz w:val="18"/>
          <w:szCs w:val="18"/>
        </w:rPr>
        <w:t xml:space="preserve">lo puede </w:t>
      </w:r>
      <w:r w:rsidRPr="001D3D8B">
        <w:rPr>
          <w:rFonts w:ascii="Times New Roman" w:hAnsi="Times New Roman" w:cs="Times New Roman"/>
          <w:sz w:val="18"/>
          <w:szCs w:val="18"/>
        </w:rPr>
        <w:t>adelantarse cuando efectivamente haya habido demanda, esto es, una acusación en debida forma de un ciudadano contra una norma legal” (Sentencia C-447 de 1997).</w:t>
      </w:r>
    </w:p>
  </w:footnote>
  <w:footnote w:id="78">
    <w:p w:rsidR="000E6BF6" w:rsidRPr="00A938B8" w:rsidRDefault="006671C3" w:rsidP="000E6BF6">
      <w:pPr>
        <w:pStyle w:val="Textonotapie"/>
        <w:rPr>
          <w:rFonts w:ascii="Times New Roman" w:hAnsi="Times New Roman" w:cs="Times New Roman"/>
          <w:sz w:val="18"/>
          <w:szCs w:val="18"/>
          <w:lang w:val="es-ES"/>
        </w:rPr>
      </w:pPr>
      <w:r w:rsidRPr="00A938B8">
        <w:rPr>
          <w:rStyle w:val="Refdenotaalpie"/>
          <w:rFonts w:ascii="Times New Roman" w:hAnsi="Times New Roman" w:cs="Times New Roman"/>
          <w:sz w:val="18"/>
          <w:szCs w:val="18"/>
        </w:rPr>
        <w:footnoteRef/>
      </w:r>
      <w:r w:rsidRPr="00A938B8">
        <w:rPr>
          <w:rFonts w:ascii="Times New Roman" w:hAnsi="Times New Roman" w:cs="Times New Roman"/>
          <w:sz w:val="18"/>
          <w:szCs w:val="18"/>
        </w:rPr>
        <w:t xml:space="preserve"> </w:t>
      </w:r>
      <w:r w:rsidRPr="00A938B8">
        <w:rPr>
          <w:rFonts w:ascii="Times New Roman" w:hAnsi="Times New Roman" w:cs="Times New Roman"/>
          <w:sz w:val="18"/>
          <w:szCs w:val="18"/>
          <w:lang w:val="es-ES"/>
        </w:rPr>
        <w:t>Artículo 1 de la Constitución.</w:t>
      </w:r>
    </w:p>
  </w:footnote>
  <w:footnote w:id="79">
    <w:p w:rsidR="000E6BF6" w:rsidRPr="002F5894" w:rsidRDefault="006671C3" w:rsidP="000E6BF6">
      <w:pPr>
        <w:pStyle w:val="Textonotapie"/>
        <w:rPr>
          <w:rFonts w:ascii="Times New Roman" w:hAnsi="Times New Roman" w:cs="Times New Roman"/>
          <w:sz w:val="18"/>
          <w:szCs w:val="18"/>
          <w:lang w:val="es-ES"/>
        </w:rPr>
      </w:pPr>
      <w:r w:rsidRPr="002F5894">
        <w:rPr>
          <w:rStyle w:val="Refdenotaalpie"/>
          <w:rFonts w:ascii="Times New Roman" w:hAnsi="Times New Roman" w:cs="Times New Roman"/>
          <w:sz w:val="18"/>
          <w:szCs w:val="18"/>
        </w:rPr>
        <w:footnoteRef/>
      </w:r>
      <w:r w:rsidRPr="002F5894">
        <w:rPr>
          <w:rFonts w:ascii="Times New Roman" w:hAnsi="Times New Roman" w:cs="Times New Roman"/>
          <w:sz w:val="18"/>
          <w:szCs w:val="18"/>
        </w:rPr>
        <w:t xml:space="preserve"> </w:t>
      </w:r>
      <w:r w:rsidRPr="002F5894">
        <w:rPr>
          <w:rFonts w:ascii="Times New Roman" w:hAnsi="Times New Roman" w:cs="Times New Roman"/>
          <w:sz w:val="18"/>
          <w:szCs w:val="18"/>
          <w:lang w:val="es-ES"/>
        </w:rPr>
        <w:t>Sentencia C-1052 de 2001.</w:t>
      </w:r>
    </w:p>
  </w:footnote>
  <w:footnote w:id="80">
    <w:p w:rsidR="000E6BF6" w:rsidRPr="006C0348" w:rsidRDefault="006671C3" w:rsidP="000E6BF6">
      <w:pPr>
        <w:pStyle w:val="Textonotapie"/>
        <w:rPr>
          <w:rFonts w:ascii="Times New Roman" w:hAnsi="Times New Roman" w:cs="Times New Roman"/>
          <w:sz w:val="18"/>
          <w:szCs w:val="18"/>
          <w:lang w:val="es-ES"/>
        </w:rPr>
      </w:pPr>
      <w:r w:rsidRPr="006C0348">
        <w:rPr>
          <w:rStyle w:val="Refdenotaalpie"/>
          <w:rFonts w:ascii="Times New Roman" w:hAnsi="Times New Roman" w:cs="Times New Roman"/>
          <w:sz w:val="18"/>
          <w:szCs w:val="18"/>
        </w:rPr>
        <w:footnoteRef/>
      </w:r>
      <w:r w:rsidRPr="006C0348">
        <w:rPr>
          <w:rFonts w:ascii="Times New Roman" w:hAnsi="Times New Roman" w:cs="Times New Roman"/>
          <w:sz w:val="18"/>
          <w:szCs w:val="18"/>
        </w:rPr>
        <w:t xml:space="preserve"> </w:t>
      </w:r>
      <w:r>
        <w:rPr>
          <w:rFonts w:ascii="Times New Roman" w:hAnsi="Times New Roman" w:cs="Times New Roman"/>
          <w:sz w:val="18"/>
          <w:szCs w:val="18"/>
        </w:rPr>
        <w:t xml:space="preserve">Ibidem. </w:t>
      </w:r>
    </w:p>
  </w:footnote>
  <w:footnote w:id="81">
    <w:p w:rsidR="000E6BF6" w:rsidRPr="00057184" w:rsidRDefault="006671C3" w:rsidP="000E6BF6">
      <w:pPr>
        <w:pStyle w:val="Textonotapie"/>
        <w:rPr>
          <w:rFonts w:ascii="Times New Roman" w:hAnsi="Times New Roman" w:cs="Times New Roman"/>
          <w:sz w:val="18"/>
          <w:szCs w:val="18"/>
          <w:lang w:val="es-ES"/>
        </w:rPr>
      </w:pPr>
      <w:r w:rsidRPr="00057184">
        <w:rPr>
          <w:rStyle w:val="Refdenotaalpie"/>
          <w:rFonts w:ascii="Times New Roman" w:hAnsi="Times New Roman" w:cs="Times New Roman"/>
          <w:sz w:val="18"/>
          <w:szCs w:val="18"/>
        </w:rPr>
        <w:footnoteRef/>
      </w:r>
      <w:r w:rsidRPr="00057184">
        <w:rPr>
          <w:rFonts w:ascii="Times New Roman" w:hAnsi="Times New Roman" w:cs="Times New Roman"/>
          <w:sz w:val="18"/>
          <w:szCs w:val="18"/>
        </w:rPr>
        <w:t xml:space="preserve"> </w:t>
      </w:r>
      <w:r w:rsidRPr="00057184">
        <w:rPr>
          <w:rFonts w:ascii="Times New Roman" w:hAnsi="Times New Roman" w:cs="Times New Roman"/>
          <w:sz w:val="18"/>
          <w:szCs w:val="18"/>
          <w:lang w:val="es-ES"/>
        </w:rPr>
        <w:t>Ibidem.</w:t>
      </w:r>
      <w:r w:rsidRPr="00AA6D59">
        <w:t xml:space="preserve"> </w:t>
      </w:r>
      <w:r w:rsidRPr="00AA6D59">
        <w:rPr>
          <w:rFonts w:ascii="Times New Roman" w:hAnsi="Times New Roman" w:cs="Times New Roman"/>
          <w:sz w:val="18"/>
          <w:szCs w:val="18"/>
          <w:lang w:val="es-ES"/>
        </w:rPr>
        <w:t xml:space="preserve">Cfr. sentencias </w:t>
      </w:r>
      <w:r>
        <w:rPr>
          <w:rFonts w:ascii="Times New Roman" w:hAnsi="Times New Roman" w:cs="Times New Roman"/>
          <w:sz w:val="18"/>
          <w:szCs w:val="18"/>
          <w:lang w:val="es-ES"/>
        </w:rPr>
        <w:t xml:space="preserve">C-009 de 2023, </w:t>
      </w:r>
      <w:r w:rsidRPr="00AA6D59">
        <w:rPr>
          <w:rFonts w:ascii="Times New Roman" w:hAnsi="Times New Roman" w:cs="Times New Roman"/>
          <w:sz w:val="18"/>
          <w:szCs w:val="18"/>
          <w:lang w:val="es-ES"/>
        </w:rPr>
        <w:t>C-412 de 2022, C-284 de 2021, C-457 de 2020 y C-600 de 2019, entre otras.</w:t>
      </w:r>
    </w:p>
  </w:footnote>
  <w:footnote w:id="82">
    <w:p w:rsidR="000E6BF6" w:rsidRPr="00057184" w:rsidRDefault="006671C3" w:rsidP="000E6BF6">
      <w:pPr>
        <w:pStyle w:val="Textonotapie"/>
        <w:jc w:val="both"/>
        <w:rPr>
          <w:rFonts w:ascii="Times New Roman" w:hAnsi="Times New Roman" w:cs="Times New Roman"/>
          <w:sz w:val="18"/>
          <w:szCs w:val="18"/>
          <w:lang w:val="es-ES"/>
        </w:rPr>
      </w:pPr>
      <w:r w:rsidRPr="00057184">
        <w:rPr>
          <w:rStyle w:val="Refdenotaalpie"/>
          <w:rFonts w:ascii="Times New Roman" w:hAnsi="Times New Roman" w:cs="Times New Roman"/>
          <w:sz w:val="18"/>
          <w:szCs w:val="18"/>
        </w:rPr>
        <w:footnoteRef/>
      </w:r>
      <w:r w:rsidRPr="00057184">
        <w:rPr>
          <w:rFonts w:ascii="Times New Roman" w:hAnsi="Times New Roman" w:cs="Times New Roman"/>
          <w:sz w:val="18"/>
          <w:szCs w:val="18"/>
        </w:rPr>
        <w:t xml:space="preserve"> </w:t>
      </w:r>
      <w:r w:rsidRPr="00057184">
        <w:rPr>
          <w:rFonts w:ascii="Times New Roman" w:hAnsi="Times New Roman" w:cs="Times New Roman"/>
          <w:sz w:val="18"/>
          <w:szCs w:val="18"/>
          <w:lang w:val="es-ES"/>
        </w:rPr>
        <w:t>Ibidem</w:t>
      </w:r>
      <w:r>
        <w:rPr>
          <w:rFonts w:ascii="Times New Roman" w:hAnsi="Times New Roman" w:cs="Times New Roman"/>
          <w:sz w:val="18"/>
          <w:szCs w:val="18"/>
          <w:lang w:val="es-ES"/>
        </w:rPr>
        <w:t xml:space="preserve"> (cfr</w:t>
      </w:r>
      <w:r w:rsidRPr="00057184">
        <w:rPr>
          <w:rFonts w:ascii="Times New Roman" w:hAnsi="Times New Roman" w:cs="Times New Roman"/>
          <w:sz w:val="18"/>
          <w:szCs w:val="18"/>
          <w:lang w:val="es-ES"/>
        </w:rPr>
        <w:t>.</w:t>
      </w:r>
      <w:r>
        <w:rPr>
          <w:rFonts w:ascii="Times New Roman" w:hAnsi="Times New Roman" w:cs="Times New Roman"/>
          <w:sz w:val="18"/>
          <w:szCs w:val="18"/>
          <w:lang w:val="es-ES"/>
        </w:rPr>
        <w:t xml:space="preserve"> C-025 de 2020, que reiteró</w:t>
      </w:r>
      <w:r w:rsidRPr="00B65D8F">
        <w:rPr>
          <w:rFonts w:ascii="Times New Roman" w:hAnsi="Times New Roman" w:cs="Times New Roman"/>
          <w:sz w:val="18"/>
          <w:szCs w:val="18"/>
        </w:rPr>
        <w:t xml:space="preserve"> </w:t>
      </w:r>
      <w:r>
        <w:rPr>
          <w:rFonts w:ascii="Times New Roman" w:hAnsi="Times New Roman" w:cs="Times New Roman"/>
          <w:sz w:val="18"/>
          <w:szCs w:val="18"/>
        </w:rPr>
        <w:t xml:space="preserve">el </w:t>
      </w:r>
      <w:r w:rsidRPr="00B65D8F">
        <w:rPr>
          <w:rFonts w:ascii="Times New Roman" w:hAnsi="Times New Roman" w:cs="Times New Roman"/>
          <w:sz w:val="18"/>
          <w:szCs w:val="18"/>
        </w:rPr>
        <w:t>alcance</w:t>
      </w:r>
      <w:r>
        <w:rPr>
          <w:rFonts w:ascii="Times New Roman" w:hAnsi="Times New Roman" w:cs="Times New Roman"/>
          <w:sz w:val="18"/>
          <w:szCs w:val="18"/>
        </w:rPr>
        <w:t xml:space="preserve"> de cada uno de los requerimientos</w:t>
      </w:r>
      <w:r w:rsidRPr="00B65D8F">
        <w:rPr>
          <w:rFonts w:ascii="Times New Roman" w:hAnsi="Times New Roman" w:cs="Times New Roman"/>
          <w:sz w:val="18"/>
          <w:szCs w:val="18"/>
        </w:rPr>
        <w:t xml:space="preserve"> y </w:t>
      </w:r>
      <w:r>
        <w:rPr>
          <w:rFonts w:ascii="Times New Roman" w:hAnsi="Times New Roman" w:cs="Times New Roman"/>
          <w:sz w:val="18"/>
          <w:szCs w:val="18"/>
        </w:rPr>
        <w:t>su aplicación por decisiones posteriores a la sentencia hito)</w:t>
      </w:r>
      <w:r>
        <w:rPr>
          <w:rFonts w:ascii="Times New Roman" w:hAnsi="Times New Roman" w:cs="Times New Roman"/>
          <w:sz w:val="18"/>
          <w:szCs w:val="18"/>
          <w:lang w:val="es-ES"/>
        </w:rPr>
        <w:t>.</w:t>
      </w:r>
      <w:r>
        <w:rPr>
          <w:rFonts w:ascii="Times New Roman" w:hAnsi="Times New Roman" w:cs="Times New Roman"/>
          <w:sz w:val="18"/>
          <w:szCs w:val="18"/>
          <w:lang w:val="es-ES"/>
        </w:rPr>
        <w:t xml:space="preserve"> En términos de la jurisprudencia constitucional “es legítimo imponer [estas] exigencias, dado que el derecho a ejercer la acción pública -como otros derechos de participación- puede ser objeto de limitaciones. La validez de esta restricción obedece a que,</w:t>
      </w:r>
      <w:r>
        <w:rPr>
          <w:rFonts w:ascii="Times New Roman" w:hAnsi="Times New Roman" w:cs="Times New Roman"/>
          <w:sz w:val="18"/>
          <w:szCs w:val="18"/>
          <w:lang w:val="es-ES"/>
        </w:rPr>
        <w:t xml:space="preserve"> de una parte, ´</w:t>
      </w:r>
      <w:r w:rsidRPr="002E01AA">
        <w:rPr>
          <w:rFonts w:ascii="Times New Roman" w:hAnsi="Times New Roman" w:cs="Times New Roman"/>
          <w:i/>
          <w:sz w:val="18"/>
          <w:szCs w:val="18"/>
          <w:lang w:val="es-ES"/>
        </w:rPr>
        <w:t>el impacto sobre el acceso a la justicia no es grave en la medida en que la persona puede presentar otra demanda de constitucionalidad teniendo en cuenta que la decisión de inadmisión o inhibición no tiene efectos de cosa juzgada</w:t>
      </w:r>
      <w:r>
        <w:rPr>
          <w:rFonts w:ascii="Times New Roman" w:hAnsi="Times New Roman" w:cs="Times New Roman"/>
          <w:sz w:val="18"/>
          <w:szCs w:val="18"/>
          <w:lang w:val="es-ES"/>
        </w:rPr>
        <w:t xml:space="preserve">´ y, de </w:t>
      </w:r>
      <w:r>
        <w:rPr>
          <w:rFonts w:ascii="Times New Roman" w:hAnsi="Times New Roman" w:cs="Times New Roman"/>
          <w:sz w:val="18"/>
          <w:szCs w:val="18"/>
          <w:lang w:val="es-ES"/>
        </w:rPr>
        <w:t>otra parte, protege ´</w:t>
      </w:r>
      <w:r w:rsidRPr="002E01AA">
        <w:rPr>
          <w:rFonts w:ascii="Times New Roman" w:hAnsi="Times New Roman" w:cs="Times New Roman"/>
          <w:i/>
          <w:sz w:val="18"/>
          <w:szCs w:val="18"/>
          <w:lang w:val="es-ES"/>
        </w:rPr>
        <w:t>el derecho a la administración de justicia de otras personas que deseen presentar otra demanda contra las mismas disposiciones</w:t>
      </w:r>
      <w:r>
        <w:rPr>
          <w:rFonts w:ascii="Times New Roman" w:hAnsi="Times New Roman" w:cs="Times New Roman"/>
          <w:sz w:val="18"/>
          <w:szCs w:val="18"/>
          <w:lang w:val="es-ES"/>
        </w:rPr>
        <w:t xml:space="preserve">´. [Q]uien pretenda activar plenamente las competencias de este tribunal debe manifestar el interés real por </w:t>
      </w:r>
      <w:r>
        <w:rPr>
          <w:rFonts w:ascii="Times New Roman" w:hAnsi="Times New Roman" w:cs="Times New Roman"/>
          <w:sz w:val="18"/>
          <w:szCs w:val="18"/>
          <w:lang w:val="es-ES"/>
        </w:rPr>
        <w:t>salvaguardar la supremacía e integridad de la Constitución” (C-025 de 2020 y C-584 de 2016).</w:t>
      </w:r>
    </w:p>
  </w:footnote>
  <w:footnote w:id="83">
    <w:p w:rsidR="000E6BF6" w:rsidRPr="007F5AEA" w:rsidRDefault="006671C3" w:rsidP="000E6BF6">
      <w:pPr>
        <w:pStyle w:val="Textonotapie"/>
        <w:rPr>
          <w:rFonts w:ascii="Times New Roman" w:hAnsi="Times New Roman" w:cs="Times New Roman"/>
          <w:sz w:val="18"/>
          <w:szCs w:val="18"/>
          <w:lang w:val="es-ES"/>
        </w:rPr>
      </w:pPr>
      <w:r w:rsidRPr="007F5AEA">
        <w:rPr>
          <w:rStyle w:val="Refdenotaalpie"/>
          <w:rFonts w:ascii="Times New Roman" w:hAnsi="Times New Roman" w:cs="Times New Roman"/>
          <w:sz w:val="18"/>
          <w:szCs w:val="18"/>
        </w:rPr>
        <w:footnoteRef/>
      </w:r>
      <w:r w:rsidRPr="007F5AEA">
        <w:rPr>
          <w:rFonts w:ascii="Times New Roman" w:hAnsi="Times New Roman" w:cs="Times New Roman"/>
          <w:sz w:val="18"/>
          <w:szCs w:val="18"/>
        </w:rPr>
        <w:t xml:space="preserve"> </w:t>
      </w:r>
      <w:r w:rsidRPr="007F5AEA">
        <w:rPr>
          <w:rFonts w:ascii="Times New Roman" w:hAnsi="Times New Roman" w:cs="Times New Roman"/>
          <w:sz w:val="18"/>
          <w:szCs w:val="18"/>
          <w:lang w:val="es-ES"/>
        </w:rPr>
        <w:t>Sentencia C-025 de 2020.</w:t>
      </w:r>
    </w:p>
  </w:footnote>
  <w:footnote w:id="84">
    <w:p w:rsidR="000E6BF6" w:rsidRPr="007F5AEA" w:rsidRDefault="006671C3" w:rsidP="000E6BF6">
      <w:pPr>
        <w:pStyle w:val="Textonotapie"/>
        <w:rPr>
          <w:rFonts w:ascii="Times New Roman" w:hAnsi="Times New Roman" w:cs="Times New Roman"/>
          <w:sz w:val="18"/>
          <w:szCs w:val="18"/>
          <w:lang w:val="es-ES"/>
        </w:rPr>
      </w:pPr>
      <w:r w:rsidRPr="007F5AEA">
        <w:rPr>
          <w:rStyle w:val="Refdenotaalpie"/>
          <w:rFonts w:ascii="Times New Roman" w:hAnsi="Times New Roman" w:cs="Times New Roman"/>
          <w:sz w:val="18"/>
          <w:szCs w:val="18"/>
        </w:rPr>
        <w:footnoteRef/>
      </w:r>
      <w:r w:rsidRPr="007F5AEA">
        <w:rPr>
          <w:rFonts w:ascii="Times New Roman" w:hAnsi="Times New Roman" w:cs="Times New Roman"/>
          <w:sz w:val="18"/>
          <w:szCs w:val="18"/>
        </w:rPr>
        <w:t xml:space="preserve"> Sentencia C-886 de 2010.</w:t>
      </w:r>
    </w:p>
  </w:footnote>
  <w:footnote w:id="85">
    <w:p w:rsidR="000E6BF6" w:rsidRPr="007F5AEA" w:rsidRDefault="006671C3" w:rsidP="000E6BF6">
      <w:pPr>
        <w:pStyle w:val="Textonotapie"/>
        <w:rPr>
          <w:rFonts w:ascii="Times New Roman" w:hAnsi="Times New Roman" w:cs="Times New Roman"/>
          <w:sz w:val="18"/>
          <w:szCs w:val="18"/>
          <w:lang w:val="es-ES"/>
        </w:rPr>
      </w:pPr>
      <w:r w:rsidRPr="007F5AEA">
        <w:rPr>
          <w:rStyle w:val="Refdenotaalpie"/>
          <w:rFonts w:ascii="Times New Roman" w:hAnsi="Times New Roman" w:cs="Times New Roman"/>
          <w:sz w:val="18"/>
          <w:szCs w:val="18"/>
        </w:rPr>
        <w:footnoteRef/>
      </w:r>
      <w:r w:rsidRPr="007F5AEA">
        <w:rPr>
          <w:rFonts w:ascii="Times New Roman" w:hAnsi="Times New Roman" w:cs="Times New Roman"/>
          <w:sz w:val="18"/>
          <w:szCs w:val="18"/>
        </w:rPr>
        <w:t xml:space="preserve"> Ibidem. </w:t>
      </w:r>
    </w:p>
  </w:footnote>
  <w:footnote w:id="86">
    <w:p w:rsidR="000E6BF6" w:rsidRPr="00867701" w:rsidRDefault="006671C3" w:rsidP="000E6BF6">
      <w:pPr>
        <w:pStyle w:val="Textonotapie"/>
        <w:rPr>
          <w:rFonts w:ascii="Times New Roman" w:hAnsi="Times New Roman" w:cs="Times New Roman"/>
          <w:sz w:val="18"/>
          <w:szCs w:val="18"/>
        </w:rPr>
      </w:pPr>
      <w:r w:rsidRPr="00867701">
        <w:rPr>
          <w:rStyle w:val="Refdenotaalpie"/>
          <w:rFonts w:ascii="Times New Roman" w:hAnsi="Times New Roman" w:cs="Times New Roman"/>
          <w:sz w:val="18"/>
          <w:szCs w:val="18"/>
        </w:rPr>
        <w:footnoteRef/>
      </w:r>
      <w:r w:rsidRPr="00867701">
        <w:rPr>
          <w:rFonts w:ascii="Times New Roman" w:hAnsi="Times New Roman" w:cs="Times New Roman"/>
          <w:sz w:val="18"/>
          <w:szCs w:val="18"/>
        </w:rPr>
        <w:t xml:space="preserve"> </w:t>
      </w:r>
      <w:r>
        <w:rPr>
          <w:rFonts w:ascii="Times New Roman" w:hAnsi="Times New Roman" w:cs="Times New Roman"/>
          <w:sz w:val="18"/>
          <w:szCs w:val="18"/>
        </w:rPr>
        <w:t>Diccionario Panhispánico del español jurídico.</w:t>
      </w:r>
    </w:p>
  </w:footnote>
  <w:footnote w:id="87">
    <w:p w:rsidR="000E6BF6" w:rsidRPr="007F5AEA" w:rsidRDefault="006671C3" w:rsidP="000E6BF6">
      <w:pPr>
        <w:pStyle w:val="Textonotapie"/>
        <w:rPr>
          <w:rFonts w:ascii="Times New Roman" w:hAnsi="Times New Roman" w:cs="Times New Roman"/>
          <w:sz w:val="18"/>
          <w:szCs w:val="18"/>
          <w:lang w:val="es-ES"/>
        </w:rPr>
      </w:pPr>
      <w:r w:rsidRPr="007F5AEA">
        <w:rPr>
          <w:rStyle w:val="Refdenotaalpie"/>
          <w:rFonts w:ascii="Times New Roman" w:hAnsi="Times New Roman" w:cs="Times New Roman"/>
          <w:sz w:val="18"/>
          <w:szCs w:val="18"/>
        </w:rPr>
        <w:footnoteRef/>
      </w:r>
      <w:r w:rsidRPr="007F5AEA">
        <w:rPr>
          <w:rFonts w:ascii="Times New Roman" w:hAnsi="Times New Roman" w:cs="Times New Roman"/>
          <w:sz w:val="18"/>
          <w:szCs w:val="18"/>
        </w:rPr>
        <w:t xml:space="preserve"> </w:t>
      </w:r>
      <w:r w:rsidRPr="007F5AEA">
        <w:rPr>
          <w:rFonts w:ascii="Times New Roman" w:hAnsi="Times New Roman" w:cs="Times New Roman"/>
          <w:sz w:val="18"/>
          <w:szCs w:val="18"/>
          <w:lang w:val="es-ES"/>
        </w:rPr>
        <w:t>Sentencias C-025 de 2020 y C-1052 de 2001.</w:t>
      </w:r>
    </w:p>
  </w:footnote>
  <w:footnote w:id="88">
    <w:p w:rsidR="000E6BF6" w:rsidRPr="007F5AEA" w:rsidRDefault="006671C3" w:rsidP="000E6BF6">
      <w:pPr>
        <w:pStyle w:val="Textonotapie"/>
        <w:jc w:val="both"/>
        <w:rPr>
          <w:rFonts w:ascii="Times New Roman" w:hAnsi="Times New Roman" w:cs="Times New Roman"/>
          <w:sz w:val="18"/>
          <w:szCs w:val="18"/>
        </w:rPr>
      </w:pPr>
      <w:r w:rsidRPr="007F5AEA">
        <w:rPr>
          <w:rStyle w:val="Refdenotaalpie"/>
          <w:rFonts w:ascii="Times New Roman" w:hAnsi="Times New Roman" w:cs="Times New Roman"/>
          <w:sz w:val="18"/>
          <w:szCs w:val="18"/>
        </w:rPr>
        <w:footnoteRef/>
      </w:r>
      <w:r w:rsidRPr="007F5AEA">
        <w:rPr>
          <w:rFonts w:ascii="Times New Roman" w:hAnsi="Times New Roman" w:cs="Times New Roman"/>
          <w:sz w:val="18"/>
          <w:szCs w:val="18"/>
        </w:rPr>
        <w:t xml:space="preserve"> Se</w:t>
      </w:r>
      <w:r w:rsidRPr="007F5AEA">
        <w:rPr>
          <w:rFonts w:ascii="Times New Roman" w:hAnsi="Times New Roman" w:cs="Times New Roman"/>
          <w:sz w:val="18"/>
          <w:szCs w:val="18"/>
        </w:rPr>
        <w:t xml:space="preserve">ntencias C-358 de 2013 y C-726 de 2015. </w:t>
      </w:r>
    </w:p>
  </w:footnote>
  <w:footnote w:id="89">
    <w:p w:rsidR="000E6BF6" w:rsidRPr="007F5AEA" w:rsidRDefault="006671C3" w:rsidP="000E6BF6">
      <w:pPr>
        <w:pStyle w:val="Textonotapie"/>
        <w:jc w:val="both"/>
        <w:rPr>
          <w:rFonts w:ascii="Times New Roman" w:hAnsi="Times New Roman" w:cs="Times New Roman"/>
          <w:sz w:val="18"/>
          <w:szCs w:val="18"/>
        </w:rPr>
      </w:pPr>
      <w:r w:rsidRPr="007F5AEA">
        <w:rPr>
          <w:rStyle w:val="Refdenotaalpie"/>
          <w:rFonts w:ascii="Times New Roman" w:hAnsi="Times New Roman" w:cs="Times New Roman"/>
          <w:sz w:val="18"/>
          <w:szCs w:val="18"/>
        </w:rPr>
        <w:footnoteRef/>
      </w:r>
      <w:r w:rsidRPr="007F5AEA">
        <w:rPr>
          <w:rFonts w:ascii="Times New Roman" w:hAnsi="Times New Roman" w:cs="Times New Roman"/>
          <w:sz w:val="18"/>
          <w:szCs w:val="18"/>
        </w:rPr>
        <w:t xml:space="preserve"> Sentencia C-584 de 2016. </w:t>
      </w:r>
    </w:p>
  </w:footnote>
  <w:footnote w:id="90">
    <w:p w:rsidR="000E6BF6" w:rsidRPr="007F5AEA" w:rsidRDefault="006671C3" w:rsidP="000E6BF6">
      <w:pPr>
        <w:pStyle w:val="Textonotapie"/>
        <w:jc w:val="both"/>
        <w:rPr>
          <w:rFonts w:ascii="Times New Roman" w:hAnsi="Times New Roman" w:cs="Times New Roman"/>
          <w:sz w:val="18"/>
          <w:szCs w:val="18"/>
        </w:rPr>
      </w:pPr>
      <w:r w:rsidRPr="007F5AEA">
        <w:rPr>
          <w:rStyle w:val="Refdenotaalpie"/>
          <w:rFonts w:ascii="Times New Roman" w:hAnsi="Times New Roman" w:cs="Times New Roman"/>
          <w:sz w:val="18"/>
          <w:szCs w:val="18"/>
        </w:rPr>
        <w:footnoteRef/>
      </w:r>
      <w:r w:rsidRPr="007F5AEA">
        <w:rPr>
          <w:rFonts w:ascii="Times New Roman" w:hAnsi="Times New Roman" w:cs="Times New Roman"/>
          <w:sz w:val="18"/>
          <w:szCs w:val="18"/>
        </w:rPr>
        <w:t xml:space="preserve"> Sentencia C-520 de 2006.</w:t>
      </w:r>
    </w:p>
  </w:footnote>
  <w:footnote w:id="91">
    <w:p w:rsidR="000E6BF6" w:rsidRPr="007F5AEA" w:rsidRDefault="006671C3" w:rsidP="000E6BF6">
      <w:pPr>
        <w:pStyle w:val="Textonotapie"/>
        <w:jc w:val="both"/>
        <w:rPr>
          <w:rFonts w:ascii="Times New Roman" w:hAnsi="Times New Roman" w:cs="Times New Roman"/>
          <w:sz w:val="18"/>
          <w:szCs w:val="18"/>
        </w:rPr>
      </w:pPr>
      <w:r w:rsidRPr="007F5AEA">
        <w:rPr>
          <w:rStyle w:val="Refdenotaalpie"/>
          <w:rFonts w:ascii="Times New Roman" w:hAnsi="Times New Roman" w:cs="Times New Roman"/>
          <w:sz w:val="18"/>
          <w:szCs w:val="18"/>
        </w:rPr>
        <w:footnoteRef/>
      </w:r>
      <w:r w:rsidRPr="007F5AEA">
        <w:rPr>
          <w:rFonts w:ascii="Times New Roman" w:hAnsi="Times New Roman" w:cs="Times New Roman"/>
          <w:sz w:val="18"/>
          <w:szCs w:val="18"/>
        </w:rPr>
        <w:t xml:space="preserve"> </w:t>
      </w:r>
      <w:r>
        <w:rPr>
          <w:rFonts w:ascii="Times New Roman" w:hAnsi="Times New Roman" w:cs="Times New Roman"/>
          <w:sz w:val="18"/>
          <w:szCs w:val="18"/>
        </w:rPr>
        <w:t>S</w:t>
      </w:r>
      <w:r w:rsidRPr="007F5AEA">
        <w:rPr>
          <w:rFonts w:ascii="Times New Roman" w:hAnsi="Times New Roman" w:cs="Times New Roman"/>
          <w:sz w:val="18"/>
          <w:szCs w:val="18"/>
        </w:rPr>
        <w:t xml:space="preserve">entencia </w:t>
      </w:r>
      <w:r>
        <w:rPr>
          <w:rFonts w:ascii="Times New Roman" w:hAnsi="Times New Roman" w:cs="Times New Roman"/>
          <w:sz w:val="18"/>
          <w:szCs w:val="18"/>
        </w:rPr>
        <w:t>C-438 de 2022. Cfr. C-025 de 2020 y C-128 de 2018.</w:t>
      </w:r>
    </w:p>
  </w:footnote>
  <w:footnote w:id="92">
    <w:p w:rsidR="000E6BF6" w:rsidRPr="007F5AEA" w:rsidRDefault="006671C3" w:rsidP="000E6BF6">
      <w:pPr>
        <w:pStyle w:val="Textonotapie"/>
        <w:jc w:val="both"/>
        <w:rPr>
          <w:rFonts w:ascii="Times New Roman" w:hAnsi="Times New Roman" w:cs="Times New Roman"/>
          <w:sz w:val="18"/>
          <w:szCs w:val="18"/>
        </w:rPr>
      </w:pPr>
      <w:r w:rsidRPr="007F5AEA">
        <w:rPr>
          <w:rStyle w:val="Refdenotaalpie"/>
          <w:rFonts w:ascii="Times New Roman" w:hAnsi="Times New Roman" w:cs="Times New Roman"/>
          <w:sz w:val="18"/>
          <w:szCs w:val="18"/>
        </w:rPr>
        <w:footnoteRef/>
      </w:r>
      <w:r w:rsidRPr="007F5AEA">
        <w:rPr>
          <w:rFonts w:ascii="Times New Roman" w:hAnsi="Times New Roman" w:cs="Times New Roman"/>
          <w:sz w:val="18"/>
          <w:szCs w:val="18"/>
        </w:rPr>
        <w:t xml:space="preserve"> </w:t>
      </w:r>
      <w:r>
        <w:rPr>
          <w:rFonts w:ascii="Times New Roman" w:hAnsi="Times New Roman" w:cs="Times New Roman"/>
          <w:sz w:val="18"/>
          <w:szCs w:val="18"/>
        </w:rPr>
        <w:t>S</w:t>
      </w:r>
      <w:r w:rsidRPr="007F5AEA">
        <w:rPr>
          <w:rFonts w:ascii="Times New Roman" w:hAnsi="Times New Roman" w:cs="Times New Roman"/>
          <w:sz w:val="18"/>
          <w:szCs w:val="18"/>
        </w:rPr>
        <w:t>entencia C-194 de 2013</w:t>
      </w:r>
      <w:r>
        <w:rPr>
          <w:rFonts w:ascii="Times New Roman" w:hAnsi="Times New Roman" w:cs="Times New Roman"/>
          <w:sz w:val="18"/>
          <w:szCs w:val="18"/>
        </w:rPr>
        <w:t xml:space="preserve">. En la C-480 de 2020 se sostuvo: “Por regla general el pronunciamiento </w:t>
      </w:r>
      <w:r>
        <w:rPr>
          <w:rFonts w:ascii="Times New Roman" w:hAnsi="Times New Roman" w:cs="Times New Roman"/>
          <w:sz w:val="18"/>
          <w:szCs w:val="18"/>
        </w:rPr>
        <w:t>de la Corte se enfoca en los cargos planteados en la demanda, pues su labor y el debate constitucional dependen de lo formulado en ella y de la propuesta sobre el objeto del debate. En principio no es ´posible ampliar los temas objeto de pronunciamiento, a</w:t>
      </w:r>
      <w:r>
        <w:rPr>
          <w:rFonts w:ascii="Times New Roman" w:hAnsi="Times New Roman" w:cs="Times New Roman"/>
          <w:sz w:val="18"/>
          <w:szCs w:val="18"/>
        </w:rPr>
        <w:t>sí sean invocados por algunos de los intervinientes´, pues de lo contrario se elimina la posibilidad de defensa efectiva de la norma por parte de aquellos interesados en justificar su constitucionalidad”.</w:t>
      </w:r>
    </w:p>
  </w:footnote>
  <w:footnote w:id="93">
    <w:p w:rsidR="000E6BF6" w:rsidRPr="00A2148C" w:rsidRDefault="006671C3" w:rsidP="000E6BF6">
      <w:pPr>
        <w:tabs>
          <w:tab w:val="left" w:pos="8647"/>
        </w:tabs>
        <w:spacing w:after="0" w:line="240" w:lineRule="auto"/>
        <w:jc w:val="both"/>
        <w:outlineLvl w:val="0"/>
        <w:rPr>
          <w:rFonts w:ascii="Times New Roman" w:hAnsi="Times New Roman" w:cs="Times New Roman"/>
        </w:rPr>
      </w:pPr>
      <w:r w:rsidRPr="00A2148C">
        <w:rPr>
          <w:rFonts w:ascii="Times New Roman" w:hAnsi="Times New Roman" w:cs="Times New Roman"/>
          <w:sz w:val="18"/>
          <w:szCs w:val="18"/>
          <w:vertAlign w:val="superscript"/>
        </w:rPr>
        <w:footnoteRef/>
      </w:r>
      <w:r w:rsidRPr="00A2148C">
        <w:rPr>
          <w:rFonts w:ascii="Times New Roman" w:hAnsi="Times New Roman" w:cs="Times New Roman"/>
          <w:sz w:val="18"/>
          <w:szCs w:val="18"/>
        </w:rPr>
        <w:t xml:space="preserve"> </w:t>
      </w:r>
      <w:r>
        <w:rPr>
          <w:rFonts w:ascii="Times New Roman" w:hAnsi="Times New Roman" w:cs="Times New Roman"/>
          <w:color w:val="000000"/>
          <w:sz w:val="18"/>
          <w:szCs w:val="18"/>
          <w:lang w:val="es-ES" w:eastAsia="es-ES"/>
        </w:rPr>
        <w:t>E</w:t>
      </w:r>
      <w:r w:rsidRPr="00A2148C">
        <w:rPr>
          <w:rFonts w:ascii="Times New Roman" w:hAnsi="Times New Roman" w:cs="Times New Roman"/>
          <w:color w:val="000000"/>
          <w:sz w:val="18"/>
          <w:szCs w:val="18"/>
          <w:lang w:val="es-ES" w:eastAsia="es-ES"/>
        </w:rPr>
        <w:t xml:space="preserve">n la </w:t>
      </w:r>
      <w:r>
        <w:rPr>
          <w:rFonts w:ascii="Times New Roman" w:hAnsi="Times New Roman" w:cs="Times New Roman"/>
          <w:color w:val="000000"/>
          <w:sz w:val="18"/>
          <w:szCs w:val="18"/>
          <w:lang w:val="es-ES" w:eastAsia="es-ES"/>
        </w:rPr>
        <w:t>S</w:t>
      </w:r>
      <w:r w:rsidRPr="00A2148C">
        <w:rPr>
          <w:rFonts w:ascii="Times New Roman" w:hAnsi="Times New Roman" w:cs="Times New Roman"/>
          <w:color w:val="000000"/>
          <w:sz w:val="18"/>
          <w:szCs w:val="18"/>
          <w:lang w:val="es-ES" w:eastAsia="es-ES"/>
        </w:rPr>
        <w:t>entencia C-666 de 1996</w:t>
      </w:r>
      <w:r>
        <w:rPr>
          <w:rFonts w:ascii="Times New Roman" w:hAnsi="Times New Roman" w:cs="Times New Roman"/>
          <w:color w:val="000000"/>
          <w:sz w:val="18"/>
          <w:szCs w:val="18"/>
          <w:lang w:val="es-ES" w:eastAsia="es-ES"/>
        </w:rPr>
        <w:t xml:space="preserve"> se dijo</w:t>
      </w:r>
      <w:r w:rsidRPr="00A2148C">
        <w:rPr>
          <w:rFonts w:ascii="Times New Roman" w:hAnsi="Times New Roman" w:cs="Times New Roman"/>
          <w:color w:val="000000"/>
          <w:sz w:val="18"/>
          <w:szCs w:val="18"/>
          <w:lang w:val="es-ES" w:eastAsia="es-ES"/>
        </w:rPr>
        <w:t xml:space="preserve">: </w:t>
      </w:r>
      <w:r w:rsidRPr="00A2148C">
        <w:rPr>
          <w:rFonts w:ascii="Times New Roman" w:hAnsi="Times New Roman" w:cs="Times New Roman"/>
          <w:i/>
          <w:color w:val="000000"/>
          <w:sz w:val="18"/>
          <w:szCs w:val="18"/>
          <w:lang w:val="es-ES" w:eastAsia="es-ES"/>
        </w:rPr>
        <w:t>“</w:t>
      </w:r>
      <w:r w:rsidRPr="00105925">
        <w:rPr>
          <w:rFonts w:ascii="Times New Roman" w:hAnsi="Times New Roman" w:cs="Times New Roman"/>
          <w:color w:val="000000"/>
          <w:sz w:val="18"/>
          <w:szCs w:val="18"/>
          <w:lang w:val="es-ES" w:eastAsia="es-ES"/>
        </w:rPr>
        <w:t>La inhibi</w:t>
      </w:r>
      <w:r w:rsidRPr="00105925">
        <w:rPr>
          <w:rFonts w:ascii="Times New Roman" w:hAnsi="Times New Roman" w:cs="Times New Roman"/>
          <w:color w:val="000000"/>
          <w:sz w:val="18"/>
          <w:szCs w:val="18"/>
          <w:lang w:val="es-ES" w:eastAsia="es-ES"/>
        </w:rPr>
        <w:t>ción, aunque es posible en casos extremos en los cuales se establezca con seguridad que el juez no tiene otra alternativa, no debe ser la forma corriente de culminar los procesos judiciales. Ha de corresponder a una excepción fundada en motivos ciertos que</w:t>
      </w:r>
      <w:r w:rsidRPr="00105925">
        <w:rPr>
          <w:rFonts w:ascii="Times New Roman" w:hAnsi="Times New Roman" w:cs="Times New Roman"/>
          <w:color w:val="000000"/>
          <w:sz w:val="18"/>
          <w:szCs w:val="18"/>
          <w:lang w:val="es-ES" w:eastAsia="es-ES"/>
        </w:rPr>
        <w:t xml:space="preserve"> puedan ser corroborados en los que se funde objetiva y plenamente la negativa de resolución sustancial</w:t>
      </w:r>
      <w:r>
        <w:rPr>
          <w:rFonts w:ascii="Times New Roman" w:hAnsi="Times New Roman" w:cs="Times New Roman"/>
          <w:i/>
          <w:color w:val="000000"/>
          <w:sz w:val="18"/>
          <w:szCs w:val="18"/>
          <w:lang w:val="es-ES" w:eastAsia="es-ES"/>
        </w:rPr>
        <w:t>”</w:t>
      </w:r>
      <w:r w:rsidRPr="00A2148C">
        <w:rPr>
          <w:rFonts w:ascii="Times New Roman" w:hAnsi="Times New Roman" w:cs="Times New Roman"/>
          <w:color w:val="000000"/>
          <w:sz w:val="18"/>
          <w:szCs w:val="18"/>
          <w:lang w:val="es-ES" w:eastAsia="es-ES"/>
        </w:rPr>
        <w:t xml:space="preserve">. </w:t>
      </w:r>
      <w:r>
        <w:rPr>
          <w:rFonts w:ascii="Times New Roman" w:hAnsi="Times New Roman" w:cs="Times New Roman"/>
          <w:sz w:val="18"/>
          <w:szCs w:val="18"/>
        </w:rPr>
        <w:t>De allí que, a su vez, este tribunal en la C-044 de 2021 haya manifestado que un fallo inhibitorio “</w:t>
      </w:r>
      <w:r w:rsidRPr="00D60D95">
        <w:rPr>
          <w:rFonts w:ascii="Times New Roman" w:hAnsi="Times New Roman" w:cs="Times New Roman"/>
          <w:i/>
          <w:sz w:val="18"/>
          <w:szCs w:val="18"/>
        </w:rPr>
        <w:t xml:space="preserve">constituye una herramienta idónea para preservar </w:t>
      </w:r>
      <w:r w:rsidRPr="00D60D95">
        <w:rPr>
          <w:rFonts w:ascii="Times New Roman" w:hAnsi="Times New Roman" w:cs="Times New Roman"/>
          <w:i/>
          <w:sz w:val="18"/>
          <w:szCs w:val="18"/>
        </w:rPr>
        <w:t>el derecho político y fundamental que tienen los ciudadanos de interponer acciones públicas en defensa de la Constitución</w:t>
      </w:r>
      <w:r>
        <w:rPr>
          <w:rFonts w:ascii="Times New Roman" w:hAnsi="Times New Roman" w:cs="Times New Roman"/>
          <w:sz w:val="18"/>
          <w:szCs w:val="18"/>
        </w:rPr>
        <w:t xml:space="preserve"> (CP arts. 40.6 y 241), </w:t>
      </w:r>
      <w:r w:rsidRPr="00D60D95">
        <w:rPr>
          <w:rFonts w:ascii="Times New Roman" w:hAnsi="Times New Roman" w:cs="Times New Roman"/>
          <w:i/>
          <w:sz w:val="18"/>
          <w:szCs w:val="18"/>
        </w:rPr>
        <w:t>al tiempo que evita que la presunción de constitucionalidad que acompaña al ordenamiento jurídico sea objeto de</w:t>
      </w:r>
      <w:r w:rsidRPr="00D60D95">
        <w:rPr>
          <w:rFonts w:ascii="Times New Roman" w:hAnsi="Times New Roman" w:cs="Times New Roman"/>
          <w:i/>
          <w:sz w:val="18"/>
          <w:szCs w:val="18"/>
        </w:rPr>
        <w:t xml:space="preserve"> reproche a partir de argumentos que no suscitan una verdadera controversia constitucional</w:t>
      </w:r>
      <w:r>
        <w:rPr>
          <w:rFonts w:ascii="Times New Roman" w:hAnsi="Times New Roman" w:cs="Times New Roman"/>
          <w:sz w:val="18"/>
          <w:szCs w:val="18"/>
        </w:rPr>
        <w:t>”. Además, en la C-284 de 2014 se indicó: “</w:t>
      </w:r>
      <w:r w:rsidRPr="00A10272">
        <w:rPr>
          <w:rFonts w:ascii="Times New Roman" w:hAnsi="Times New Roman" w:cs="Times New Roman"/>
          <w:sz w:val="18"/>
          <w:szCs w:val="18"/>
        </w:rPr>
        <w:t>Finalmente, es admisible controlar el acto demandado a la luz de normas constitucionales no invocadas en la demanda, sólo s</w:t>
      </w:r>
      <w:r w:rsidRPr="00A10272">
        <w:rPr>
          <w:rFonts w:ascii="Times New Roman" w:hAnsi="Times New Roman" w:cs="Times New Roman"/>
          <w:sz w:val="18"/>
          <w:szCs w:val="18"/>
        </w:rPr>
        <w:t>i se advierte un vicio evidente de inconstitucionalidad</w:t>
      </w:r>
      <w:r>
        <w:rPr>
          <w:rFonts w:ascii="Times New Roman" w:hAnsi="Times New Roman" w:cs="Times New Roman"/>
          <w:sz w:val="18"/>
          <w:szCs w:val="18"/>
        </w:rPr>
        <w:t>”</w:t>
      </w:r>
      <w:r w:rsidRPr="00A10272">
        <w:rPr>
          <w:rFonts w:ascii="Times New Roman" w:hAnsi="Times New Roman" w:cs="Times New Roman"/>
          <w:sz w:val="18"/>
          <w:szCs w:val="18"/>
        </w:rPr>
        <w:t>.</w:t>
      </w:r>
    </w:p>
  </w:footnote>
  <w:footnote w:id="94">
    <w:p w:rsidR="000E6BF6" w:rsidRPr="00F247A2" w:rsidRDefault="006671C3" w:rsidP="000E6BF6">
      <w:pPr>
        <w:pStyle w:val="Textonotapie"/>
        <w:jc w:val="both"/>
        <w:rPr>
          <w:rFonts w:ascii="Times New Roman" w:hAnsi="Times New Roman" w:cs="Times New Roman"/>
          <w:sz w:val="18"/>
          <w:szCs w:val="18"/>
          <w:lang w:val="es-ES"/>
        </w:rPr>
      </w:pPr>
      <w:r w:rsidRPr="00F247A2">
        <w:rPr>
          <w:rStyle w:val="Refdenotaalpie"/>
          <w:rFonts w:ascii="Times New Roman" w:hAnsi="Times New Roman" w:cs="Times New Roman"/>
          <w:sz w:val="18"/>
          <w:szCs w:val="18"/>
        </w:rPr>
        <w:footnoteRef/>
      </w:r>
      <w:r w:rsidRPr="00F247A2">
        <w:rPr>
          <w:rFonts w:ascii="Times New Roman" w:hAnsi="Times New Roman" w:cs="Times New Roman"/>
          <w:sz w:val="18"/>
          <w:szCs w:val="18"/>
        </w:rPr>
        <w:t xml:space="preserve"> </w:t>
      </w:r>
      <w:r w:rsidRPr="00F247A2">
        <w:rPr>
          <w:rFonts w:ascii="Times New Roman" w:hAnsi="Times New Roman" w:cs="Times New Roman"/>
          <w:sz w:val="18"/>
          <w:szCs w:val="18"/>
          <w:lang w:val="es-ES"/>
        </w:rPr>
        <w:t>Sentencias C-025 de 2020 y C-535 de 2016.</w:t>
      </w:r>
      <w:r>
        <w:rPr>
          <w:rFonts w:ascii="Times New Roman" w:hAnsi="Times New Roman" w:cs="Times New Roman"/>
          <w:sz w:val="18"/>
          <w:szCs w:val="18"/>
          <w:lang w:val="es-ES"/>
        </w:rPr>
        <w:t xml:space="preserve"> </w:t>
      </w:r>
    </w:p>
  </w:footnote>
  <w:footnote w:id="95">
    <w:p w:rsidR="000E6BF6" w:rsidRPr="003730F1" w:rsidRDefault="006671C3" w:rsidP="000E6BF6">
      <w:pPr>
        <w:pStyle w:val="Textonotapie"/>
        <w:jc w:val="both"/>
        <w:rPr>
          <w:rFonts w:ascii="Times New Roman" w:hAnsi="Times New Roman" w:cs="Times New Roman"/>
          <w:sz w:val="18"/>
          <w:szCs w:val="18"/>
          <w:lang w:val="es-ES"/>
        </w:rPr>
      </w:pPr>
      <w:r w:rsidRPr="003730F1">
        <w:rPr>
          <w:rStyle w:val="Refdenotaalpie"/>
          <w:rFonts w:ascii="Times New Roman" w:hAnsi="Times New Roman" w:cs="Times New Roman"/>
          <w:sz w:val="18"/>
          <w:szCs w:val="18"/>
        </w:rPr>
        <w:footnoteRef/>
      </w:r>
      <w:r w:rsidRPr="003730F1">
        <w:rPr>
          <w:rFonts w:ascii="Times New Roman" w:hAnsi="Times New Roman" w:cs="Times New Roman"/>
          <w:sz w:val="18"/>
          <w:szCs w:val="18"/>
        </w:rPr>
        <w:t xml:space="preserve"> </w:t>
      </w:r>
      <w:r>
        <w:rPr>
          <w:rFonts w:ascii="Times New Roman" w:hAnsi="Times New Roman" w:cs="Times New Roman"/>
          <w:sz w:val="18"/>
          <w:szCs w:val="18"/>
        </w:rPr>
        <w:t>Otras intervenciones y concepto como la del ICDP, la Universidad Externado de Colombia y la Procuraduría General, aunque no hacen explícita una solicitud de inhibición refieren a la necesidad de integrar otros apartes y disposiciones previstas en los regím</w:t>
      </w:r>
      <w:r>
        <w:rPr>
          <w:rFonts w:ascii="Times New Roman" w:hAnsi="Times New Roman" w:cs="Times New Roman"/>
          <w:sz w:val="18"/>
          <w:szCs w:val="18"/>
        </w:rPr>
        <w:t xml:space="preserve">enes sancionatorio de aduanas (DL 920/23) y de aduanas (Dcto. 1165/19), al manifestar que </w:t>
      </w:r>
      <w:r w:rsidRPr="003D5B0B">
        <w:rPr>
          <w:rFonts w:ascii="Times New Roman" w:hAnsi="Times New Roman" w:cs="Times New Roman"/>
          <w:sz w:val="18"/>
          <w:szCs w:val="18"/>
        </w:rPr>
        <w:t>el procedimiento establecido para la medida cautelar permite concluir que se cuenta con garantías procesales</w:t>
      </w:r>
      <w:r>
        <w:rPr>
          <w:rFonts w:ascii="Times New Roman" w:hAnsi="Times New Roman" w:cs="Times New Roman"/>
          <w:sz w:val="18"/>
          <w:szCs w:val="18"/>
        </w:rPr>
        <w:t xml:space="preserve">, así mismo, que </w:t>
      </w:r>
      <w:r w:rsidRPr="00C13C92">
        <w:rPr>
          <w:rFonts w:ascii="Times New Roman" w:hAnsi="Times New Roman" w:cs="Times New Roman"/>
          <w:sz w:val="18"/>
          <w:szCs w:val="18"/>
        </w:rPr>
        <w:t>es indispensable analizar las normas acus</w:t>
      </w:r>
      <w:r w:rsidRPr="00C13C92">
        <w:rPr>
          <w:rFonts w:ascii="Times New Roman" w:hAnsi="Times New Roman" w:cs="Times New Roman"/>
          <w:sz w:val="18"/>
          <w:szCs w:val="18"/>
        </w:rPr>
        <w:t>adas en concordancia con otras disposiciones de los decretos 920/23 y 1165/19</w:t>
      </w:r>
      <w:r>
        <w:rPr>
          <w:rFonts w:ascii="Times New Roman" w:hAnsi="Times New Roman" w:cs="Times New Roman"/>
          <w:sz w:val="18"/>
          <w:szCs w:val="18"/>
        </w:rPr>
        <w:t xml:space="preserve"> y, finalmente, que </w:t>
      </w:r>
      <w:r w:rsidRPr="00C13C92">
        <w:rPr>
          <w:rFonts w:ascii="Times New Roman" w:hAnsi="Times New Roman" w:cs="Times New Roman"/>
          <w:sz w:val="18"/>
          <w:szCs w:val="18"/>
        </w:rPr>
        <w:t>se ha de</w:t>
      </w:r>
      <w:r>
        <w:rPr>
          <w:rFonts w:ascii="Times New Roman" w:hAnsi="Times New Roman" w:cs="Times New Roman"/>
          <w:sz w:val="18"/>
          <w:szCs w:val="18"/>
        </w:rPr>
        <w:t>bido</w:t>
      </w:r>
      <w:r w:rsidRPr="00C13C92">
        <w:rPr>
          <w:rFonts w:ascii="Times New Roman" w:hAnsi="Times New Roman" w:cs="Times New Roman"/>
          <w:sz w:val="18"/>
          <w:szCs w:val="18"/>
        </w:rPr>
        <w:t xml:space="preserve"> atender otras disposiciones previstas en la regulación aduanera</w:t>
      </w:r>
      <w:r>
        <w:rPr>
          <w:rFonts w:ascii="Times New Roman" w:hAnsi="Times New Roman" w:cs="Times New Roman"/>
          <w:sz w:val="18"/>
          <w:szCs w:val="18"/>
        </w:rPr>
        <w:t>, respectivamente.</w:t>
      </w:r>
    </w:p>
  </w:footnote>
  <w:footnote w:id="96">
    <w:p w:rsidR="000E6BF6" w:rsidRPr="0068054A" w:rsidRDefault="006671C3" w:rsidP="000E6BF6">
      <w:pPr>
        <w:pStyle w:val="Textonotapie"/>
        <w:jc w:val="both"/>
        <w:rPr>
          <w:rFonts w:ascii="Times New Roman" w:hAnsi="Times New Roman" w:cs="Times New Roman"/>
          <w:sz w:val="18"/>
          <w:szCs w:val="18"/>
        </w:rPr>
      </w:pPr>
      <w:r w:rsidRPr="0068054A">
        <w:rPr>
          <w:rStyle w:val="Refdenotaalpie"/>
          <w:rFonts w:ascii="Times New Roman" w:hAnsi="Times New Roman" w:cs="Times New Roman"/>
          <w:sz w:val="18"/>
          <w:szCs w:val="18"/>
        </w:rPr>
        <w:footnoteRef/>
      </w:r>
      <w:r w:rsidRPr="0068054A">
        <w:rPr>
          <w:rFonts w:ascii="Times New Roman" w:hAnsi="Times New Roman" w:cs="Times New Roman"/>
          <w:sz w:val="18"/>
          <w:szCs w:val="18"/>
        </w:rPr>
        <w:t xml:space="preserve"> Para una mejor comprensión se organizan los </w:t>
      </w:r>
      <w:r>
        <w:rPr>
          <w:rFonts w:ascii="Times New Roman" w:hAnsi="Times New Roman" w:cs="Times New Roman"/>
          <w:sz w:val="18"/>
          <w:szCs w:val="18"/>
        </w:rPr>
        <w:t>presun</w:t>
      </w:r>
      <w:r w:rsidRPr="0068054A">
        <w:rPr>
          <w:rFonts w:ascii="Times New Roman" w:hAnsi="Times New Roman" w:cs="Times New Roman"/>
          <w:sz w:val="18"/>
          <w:szCs w:val="18"/>
        </w:rPr>
        <w:t>tos argument</w:t>
      </w:r>
      <w:r w:rsidRPr="0068054A">
        <w:rPr>
          <w:rFonts w:ascii="Times New Roman" w:hAnsi="Times New Roman" w:cs="Times New Roman"/>
          <w:sz w:val="18"/>
          <w:szCs w:val="18"/>
        </w:rPr>
        <w:t>os de inconstitucionalidad en orden a la</w:t>
      </w:r>
      <w:r>
        <w:rPr>
          <w:rFonts w:ascii="Times New Roman" w:hAnsi="Times New Roman" w:cs="Times New Roman"/>
          <w:sz w:val="18"/>
          <w:szCs w:val="18"/>
        </w:rPr>
        <w:t>s</w:t>
      </w:r>
      <w:r w:rsidRPr="0068054A">
        <w:rPr>
          <w:rFonts w:ascii="Times New Roman" w:hAnsi="Times New Roman" w:cs="Times New Roman"/>
          <w:sz w:val="18"/>
          <w:szCs w:val="18"/>
        </w:rPr>
        <w:t xml:space="preserve"> disposiciones demandadas</w:t>
      </w:r>
      <w:r>
        <w:rPr>
          <w:rFonts w:ascii="Times New Roman" w:hAnsi="Times New Roman" w:cs="Times New Roman"/>
          <w:sz w:val="18"/>
          <w:szCs w:val="18"/>
        </w:rPr>
        <w:t xml:space="preserve"> y se presentan de manera resumida</w:t>
      </w:r>
      <w:r w:rsidRPr="0068054A">
        <w:rPr>
          <w:rFonts w:ascii="Times New Roman" w:hAnsi="Times New Roman" w:cs="Times New Roman"/>
          <w:sz w:val="18"/>
          <w:szCs w:val="18"/>
        </w:rPr>
        <w:t>.</w:t>
      </w:r>
    </w:p>
  </w:footnote>
  <w:footnote w:id="97">
    <w:p w:rsidR="000E6BF6" w:rsidRPr="00252254" w:rsidRDefault="006671C3" w:rsidP="000E6BF6">
      <w:pPr>
        <w:pStyle w:val="Textonotapie"/>
        <w:jc w:val="both"/>
        <w:rPr>
          <w:rFonts w:ascii="Times New Roman" w:hAnsi="Times New Roman" w:cs="Times New Roman"/>
          <w:sz w:val="18"/>
          <w:szCs w:val="18"/>
        </w:rPr>
      </w:pPr>
      <w:r w:rsidRPr="00252254">
        <w:rPr>
          <w:rStyle w:val="Refdenotaalpie"/>
          <w:rFonts w:ascii="Times New Roman" w:hAnsi="Times New Roman" w:cs="Times New Roman"/>
          <w:sz w:val="18"/>
          <w:szCs w:val="18"/>
        </w:rPr>
        <w:footnoteRef/>
      </w:r>
      <w:r w:rsidRPr="00252254">
        <w:rPr>
          <w:rFonts w:ascii="Times New Roman" w:hAnsi="Times New Roman" w:cs="Times New Roman"/>
          <w:sz w:val="18"/>
          <w:szCs w:val="18"/>
        </w:rPr>
        <w:t xml:space="preserve"> </w:t>
      </w:r>
      <w:r>
        <w:rPr>
          <w:rFonts w:ascii="Times New Roman" w:hAnsi="Times New Roman" w:cs="Times New Roman"/>
          <w:sz w:val="18"/>
          <w:szCs w:val="18"/>
        </w:rPr>
        <w:t>E</w:t>
      </w:r>
      <w:r w:rsidRPr="00252254">
        <w:rPr>
          <w:rFonts w:ascii="Times New Roman" w:hAnsi="Times New Roman" w:cs="Times New Roman"/>
          <w:sz w:val="18"/>
          <w:szCs w:val="18"/>
        </w:rPr>
        <w:t xml:space="preserve">n el auto </w:t>
      </w:r>
      <w:r>
        <w:rPr>
          <w:rFonts w:ascii="Times New Roman" w:hAnsi="Times New Roman" w:cs="Times New Roman"/>
          <w:sz w:val="18"/>
          <w:szCs w:val="18"/>
        </w:rPr>
        <w:t xml:space="preserve">de 19 de diciembre de 2023 el entonces despacho sustanciador consideró que </w:t>
      </w:r>
      <w:r w:rsidRPr="00353B92">
        <w:rPr>
          <w:rFonts w:ascii="Times New Roman" w:hAnsi="Times New Roman" w:cs="Times New Roman"/>
          <w:sz w:val="18"/>
          <w:szCs w:val="18"/>
        </w:rPr>
        <w:t xml:space="preserve">los </w:t>
      </w:r>
      <w:r>
        <w:rPr>
          <w:rFonts w:ascii="Times New Roman" w:hAnsi="Times New Roman" w:cs="Times New Roman"/>
          <w:sz w:val="18"/>
          <w:szCs w:val="18"/>
        </w:rPr>
        <w:t xml:space="preserve">presuntos </w:t>
      </w:r>
      <w:r w:rsidRPr="00353B92">
        <w:rPr>
          <w:rFonts w:ascii="Times New Roman" w:hAnsi="Times New Roman" w:cs="Times New Roman"/>
          <w:sz w:val="18"/>
          <w:szCs w:val="18"/>
        </w:rPr>
        <w:t xml:space="preserve">cargos formulados </w:t>
      </w:r>
      <w:r>
        <w:rPr>
          <w:rFonts w:ascii="Times New Roman" w:hAnsi="Times New Roman" w:cs="Times New Roman"/>
          <w:sz w:val="18"/>
          <w:szCs w:val="18"/>
        </w:rPr>
        <w:t>“</w:t>
      </w:r>
      <w:r w:rsidRPr="00353B92">
        <w:rPr>
          <w:rFonts w:ascii="Times New Roman" w:hAnsi="Times New Roman" w:cs="Times New Roman"/>
          <w:sz w:val="18"/>
          <w:szCs w:val="18"/>
        </w:rPr>
        <w:t xml:space="preserve">cumplen, </w:t>
      </w:r>
      <w:r w:rsidRPr="00353B92">
        <w:rPr>
          <w:rFonts w:ascii="Times New Roman" w:hAnsi="Times New Roman" w:cs="Times New Roman"/>
          <w:i/>
          <w:sz w:val="18"/>
          <w:szCs w:val="18"/>
        </w:rPr>
        <w:t>prima facie</w:t>
      </w:r>
      <w:r w:rsidRPr="00353B92">
        <w:rPr>
          <w:rFonts w:ascii="Times New Roman" w:hAnsi="Times New Roman" w:cs="Times New Roman"/>
          <w:sz w:val="18"/>
          <w:szCs w:val="18"/>
        </w:rPr>
        <w:t xml:space="preserve">, con las </w:t>
      </w:r>
      <w:r w:rsidRPr="00353B92">
        <w:rPr>
          <w:rFonts w:ascii="Times New Roman" w:hAnsi="Times New Roman" w:cs="Times New Roman"/>
          <w:sz w:val="18"/>
          <w:szCs w:val="18"/>
        </w:rPr>
        <w:t>reglas de claridad, certeza, especificidad, pertinencia y suficiencia”</w:t>
      </w:r>
      <w:r>
        <w:rPr>
          <w:rFonts w:ascii="Times New Roman" w:hAnsi="Times New Roman" w:cs="Times New Roman"/>
          <w:sz w:val="18"/>
          <w:szCs w:val="18"/>
        </w:rPr>
        <w:t xml:space="preserve">. </w:t>
      </w:r>
    </w:p>
  </w:footnote>
  <w:footnote w:id="98">
    <w:p w:rsidR="000E6BF6" w:rsidRPr="00AB3DDF" w:rsidRDefault="006671C3" w:rsidP="000E6BF6">
      <w:pPr>
        <w:pStyle w:val="Textonotapie"/>
        <w:jc w:val="both"/>
        <w:rPr>
          <w:rFonts w:ascii="Times New Roman" w:hAnsi="Times New Roman" w:cs="Times New Roman"/>
          <w:sz w:val="18"/>
          <w:szCs w:val="18"/>
        </w:rPr>
      </w:pPr>
      <w:r w:rsidRPr="00AB3DDF">
        <w:rPr>
          <w:rStyle w:val="Refdenotaalpie"/>
          <w:rFonts w:ascii="Times New Roman" w:hAnsi="Times New Roman" w:cs="Times New Roman"/>
          <w:sz w:val="18"/>
          <w:szCs w:val="18"/>
        </w:rPr>
        <w:footnoteRef/>
      </w:r>
      <w:r w:rsidRPr="00AB3DDF">
        <w:rPr>
          <w:rFonts w:ascii="Times New Roman" w:hAnsi="Times New Roman" w:cs="Times New Roman"/>
          <w:sz w:val="18"/>
          <w:szCs w:val="18"/>
        </w:rPr>
        <w:t xml:space="preserve"> En la C-623 de 2008 se sostuvo: “Aun cuando en principio es en el auto admisorio donde se define si la demanda cumple o no con los requisitos mínimos de procedibilidad, ese primer a</w:t>
      </w:r>
      <w:r w:rsidRPr="00AB3DDF">
        <w:rPr>
          <w:rFonts w:ascii="Times New Roman" w:hAnsi="Times New Roman" w:cs="Times New Roman"/>
          <w:sz w:val="18"/>
          <w:szCs w:val="18"/>
        </w:rPr>
        <w:t>nálisis responde a una valoración apenas sumaria de la acción, llevada a cabo únicamente por cuenta del magistrado ponente, razón por la cual la misma no compromete ni define la competencia del pleno de la Corte, que es en quien reside la función constituc</w:t>
      </w:r>
      <w:r w:rsidRPr="00AB3DDF">
        <w:rPr>
          <w:rFonts w:ascii="Times New Roman" w:hAnsi="Times New Roman" w:cs="Times New Roman"/>
          <w:sz w:val="18"/>
          <w:szCs w:val="18"/>
        </w:rPr>
        <w:t>ional de decidir de fondo sobre las demandas de inconstitucionalidad que presenten los ciudadanos (…). Bajo ese entendido, la Corte atendiendo a las circunstancias particulares del caso está plenamente habilitada para realizar un nuevo análisis de procedib</w:t>
      </w:r>
      <w:r w:rsidRPr="00AB3DDF">
        <w:rPr>
          <w:rFonts w:ascii="Times New Roman" w:hAnsi="Times New Roman" w:cs="Times New Roman"/>
          <w:sz w:val="18"/>
          <w:szCs w:val="18"/>
        </w:rPr>
        <w:t>ilidad de la demanda en la sentencia, teniendo en cuenta ya no solo la acusación sino también la opinión expresada por los distintos intervinientes y el concepto del Ministerio Público, quienes de acuerdo con el régimen legal aplicable a esta clase de actu</w:t>
      </w:r>
      <w:r w:rsidRPr="00AB3DDF">
        <w:rPr>
          <w:rFonts w:ascii="Times New Roman" w:hAnsi="Times New Roman" w:cs="Times New Roman"/>
          <w:sz w:val="18"/>
          <w:szCs w:val="18"/>
        </w:rPr>
        <w:t>aciones, tienen oportunidad de participar en el proceso con posterioridad a la admisión de la demanda, permitiéndole al pleno de la corporación contar con mayores elementos de juicio para realizar un estudio completo y detallado sobre su competencia para p</w:t>
      </w:r>
      <w:r w:rsidRPr="00AB3DDF">
        <w:rPr>
          <w:rFonts w:ascii="Times New Roman" w:hAnsi="Times New Roman" w:cs="Times New Roman"/>
          <w:sz w:val="18"/>
          <w:szCs w:val="18"/>
        </w:rPr>
        <w:t>ronunciarse de fondo”.</w:t>
      </w:r>
    </w:p>
  </w:footnote>
  <w:footnote w:id="99">
    <w:p w:rsidR="000E6BF6" w:rsidRPr="00537167" w:rsidRDefault="006671C3" w:rsidP="000E6BF6">
      <w:pPr>
        <w:pStyle w:val="Textonotapie"/>
        <w:jc w:val="both"/>
        <w:rPr>
          <w:rFonts w:ascii="Times New Roman" w:hAnsi="Times New Roman" w:cs="Times New Roman"/>
          <w:sz w:val="18"/>
          <w:szCs w:val="18"/>
        </w:rPr>
      </w:pPr>
      <w:r w:rsidRPr="00C92B90">
        <w:rPr>
          <w:rStyle w:val="Refdenotaalpie"/>
          <w:rFonts w:ascii="Times New Roman" w:hAnsi="Times New Roman" w:cs="Times New Roman"/>
          <w:sz w:val="18"/>
          <w:szCs w:val="18"/>
        </w:rPr>
        <w:footnoteRef/>
      </w:r>
      <w:r w:rsidRPr="00C92B90">
        <w:rPr>
          <w:rFonts w:ascii="Times New Roman" w:hAnsi="Times New Roman" w:cs="Times New Roman"/>
          <w:sz w:val="18"/>
          <w:szCs w:val="18"/>
        </w:rPr>
        <w:t xml:space="preserve"> </w:t>
      </w:r>
      <w:bookmarkStart w:id="33" w:name="_Hlk174021869"/>
      <w:r>
        <w:rPr>
          <w:rFonts w:ascii="Times New Roman" w:hAnsi="Times New Roman" w:cs="Times New Roman"/>
          <w:sz w:val="18"/>
          <w:szCs w:val="18"/>
        </w:rPr>
        <w:t xml:space="preserve">El “considerando” del decreto ley acusado expone que (i) su expedición obedece a la Sentencia C-441 de 2021, que declaró inexequible el numeral 4 del artículo 5 de la Ley 1609 de 2013, con efectos diferidos hasta el 20 de junio de </w:t>
      </w:r>
      <w:r>
        <w:rPr>
          <w:rFonts w:ascii="Times New Roman" w:hAnsi="Times New Roman" w:cs="Times New Roman"/>
          <w:sz w:val="18"/>
          <w:szCs w:val="18"/>
        </w:rPr>
        <w:t>2023, para que se apruebe la ley que contenga el régimen sancionatorio y el decomiso de mercancías en materia de aduanas, así como el proceso administrativo aplicable; (ii)  que mediante el artículo 68 de la Ley 2277 de 2022 se revistió al presidente de la</w:t>
      </w:r>
      <w:r>
        <w:rPr>
          <w:rFonts w:ascii="Times New Roman" w:hAnsi="Times New Roman" w:cs="Times New Roman"/>
          <w:sz w:val="18"/>
          <w:szCs w:val="18"/>
        </w:rPr>
        <w:t xml:space="preserve"> República de facultades extraordinarias </w:t>
      </w:r>
      <w:r w:rsidRPr="00537167">
        <w:rPr>
          <w:rFonts w:ascii="Times New Roman" w:hAnsi="Times New Roman" w:cs="Times New Roman"/>
          <w:sz w:val="18"/>
          <w:szCs w:val="18"/>
        </w:rPr>
        <w:t>para expedir el nuevo régimen sancionatorio a seguir por la DIAN; y (iii) que el presente decreto contiene disposiciones relativas al régimen sancionatorio aplicable a las infracciones con ocasión “del incumplimient</w:t>
      </w:r>
      <w:r w:rsidRPr="00537167">
        <w:rPr>
          <w:rFonts w:ascii="Times New Roman" w:hAnsi="Times New Roman" w:cs="Times New Roman"/>
          <w:sz w:val="18"/>
          <w:szCs w:val="18"/>
        </w:rPr>
        <w:t xml:space="preserve">o de obligaciones, responsabilidades, trámites y procedimientos </w:t>
      </w:r>
      <w:r w:rsidRPr="00537167">
        <w:rPr>
          <w:rFonts w:ascii="Times New Roman" w:hAnsi="Times New Roman" w:cs="Times New Roman"/>
          <w:i/>
          <w:sz w:val="18"/>
          <w:szCs w:val="18"/>
        </w:rPr>
        <w:t>previstos en el</w:t>
      </w:r>
      <w:r w:rsidRPr="00537167">
        <w:rPr>
          <w:rFonts w:ascii="Times New Roman" w:hAnsi="Times New Roman" w:cs="Times New Roman"/>
          <w:sz w:val="18"/>
          <w:szCs w:val="18"/>
        </w:rPr>
        <w:t xml:space="preserve"> </w:t>
      </w:r>
      <w:r w:rsidRPr="00537167">
        <w:rPr>
          <w:rFonts w:ascii="Times New Roman" w:hAnsi="Times New Roman" w:cs="Times New Roman"/>
          <w:i/>
          <w:sz w:val="18"/>
          <w:szCs w:val="18"/>
        </w:rPr>
        <w:t>Decreto 1165 de 2019</w:t>
      </w:r>
      <w:r w:rsidRPr="00537167">
        <w:rPr>
          <w:rFonts w:ascii="Times New Roman" w:hAnsi="Times New Roman" w:cs="Times New Roman"/>
          <w:sz w:val="18"/>
          <w:szCs w:val="18"/>
        </w:rPr>
        <w:t xml:space="preserve">, Decreto 2147 de 2016, Decreto 1074 de 2015, Decreto 1625 de 2016, Decreto 2218 de 2017 y Decreto 3568 de 2011”. </w:t>
      </w:r>
      <w:bookmarkEnd w:id="33"/>
    </w:p>
  </w:footnote>
  <w:footnote w:id="100">
    <w:p w:rsidR="000E6BF6" w:rsidRPr="00537167" w:rsidRDefault="006671C3" w:rsidP="000E6BF6">
      <w:pPr>
        <w:pStyle w:val="Textonotapie"/>
        <w:jc w:val="both"/>
        <w:rPr>
          <w:rFonts w:ascii="Times New Roman" w:hAnsi="Times New Roman" w:cs="Times New Roman"/>
          <w:sz w:val="18"/>
          <w:szCs w:val="18"/>
        </w:rPr>
      </w:pPr>
      <w:r w:rsidRPr="00537167">
        <w:rPr>
          <w:rStyle w:val="Refdenotaalpie"/>
          <w:rFonts w:ascii="Times New Roman" w:hAnsi="Times New Roman" w:cs="Times New Roman"/>
          <w:sz w:val="18"/>
          <w:szCs w:val="18"/>
        </w:rPr>
        <w:footnoteRef/>
      </w:r>
      <w:r w:rsidRPr="00537167">
        <w:rPr>
          <w:rFonts w:ascii="Times New Roman" w:hAnsi="Times New Roman" w:cs="Times New Roman"/>
          <w:sz w:val="18"/>
          <w:szCs w:val="18"/>
        </w:rPr>
        <w:t xml:space="preserve"> “Son las medidas procedimentales que ad</w:t>
      </w:r>
      <w:r w:rsidRPr="00537167">
        <w:rPr>
          <w:rFonts w:ascii="Times New Roman" w:hAnsi="Times New Roman" w:cs="Times New Roman"/>
          <w:sz w:val="18"/>
          <w:szCs w:val="18"/>
        </w:rPr>
        <w:t>opta la autoridad aduanera dirigidas a limitar o impedir temporalmente el ejercicio de los derechos de disposición o administración sobre mercancías o pruebas de interés para el inicio de un proceso o investigación, que le permiten asumir la custodia o con</w:t>
      </w:r>
      <w:r w:rsidRPr="00537167">
        <w:rPr>
          <w:rFonts w:ascii="Times New Roman" w:hAnsi="Times New Roman" w:cs="Times New Roman"/>
          <w:sz w:val="18"/>
          <w:szCs w:val="18"/>
        </w:rPr>
        <w:t>trol sobre estas. (…)”.</w:t>
      </w:r>
    </w:p>
  </w:footnote>
  <w:footnote w:id="101">
    <w:p w:rsidR="000E6BF6" w:rsidRPr="00537167" w:rsidRDefault="006671C3" w:rsidP="000E6BF6">
      <w:pPr>
        <w:pStyle w:val="Textonotapie"/>
        <w:jc w:val="both"/>
        <w:rPr>
          <w:rFonts w:ascii="Times New Roman" w:hAnsi="Times New Roman" w:cs="Times New Roman"/>
          <w:sz w:val="18"/>
          <w:szCs w:val="18"/>
        </w:rPr>
      </w:pPr>
      <w:r w:rsidRPr="00537167">
        <w:rPr>
          <w:rStyle w:val="Refdenotaalpie"/>
          <w:rFonts w:ascii="Times New Roman" w:hAnsi="Times New Roman" w:cs="Times New Roman"/>
          <w:sz w:val="18"/>
          <w:szCs w:val="18"/>
        </w:rPr>
        <w:footnoteRef/>
      </w:r>
      <w:r w:rsidRPr="00537167">
        <w:rPr>
          <w:rFonts w:ascii="Times New Roman" w:hAnsi="Times New Roman" w:cs="Times New Roman"/>
          <w:sz w:val="18"/>
          <w:szCs w:val="18"/>
        </w:rPr>
        <w:t xml:space="preserve"> “Las medidas cautelares serán proporcionales y adecuadas a los fines que se persigan y se podrán ordenar dentro de las acciones de control previo, durante el proceso de nacionalización y en el control posterior, así como en las in</w:t>
      </w:r>
      <w:r w:rsidRPr="00537167">
        <w:rPr>
          <w:rFonts w:ascii="Times New Roman" w:hAnsi="Times New Roman" w:cs="Times New Roman"/>
          <w:sz w:val="18"/>
          <w:szCs w:val="18"/>
        </w:rPr>
        <w:t>vestigaciones previas o dentro de un proceso administrativo”.</w:t>
      </w:r>
    </w:p>
  </w:footnote>
  <w:footnote w:id="102">
    <w:p w:rsidR="000E6BF6" w:rsidRPr="00537167" w:rsidRDefault="006671C3" w:rsidP="000E6BF6">
      <w:pPr>
        <w:pStyle w:val="Textonotapie"/>
        <w:jc w:val="both"/>
        <w:rPr>
          <w:rFonts w:ascii="Times New Roman" w:hAnsi="Times New Roman" w:cs="Times New Roman"/>
          <w:sz w:val="18"/>
          <w:szCs w:val="18"/>
        </w:rPr>
      </w:pPr>
      <w:r w:rsidRPr="00537167">
        <w:rPr>
          <w:rStyle w:val="Refdenotaalpie"/>
          <w:rFonts w:ascii="Times New Roman" w:hAnsi="Times New Roman" w:cs="Times New Roman"/>
          <w:sz w:val="18"/>
          <w:szCs w:val="18"/>
        </w:rPr>
        <w:footnoteRef/>
      </w:r>
      <w:r w:rsidRPr="00537167">
        <w:rPr>
          <w:rFonts w:ascii="Times New Roman" w:hAnsi="Times New Roman" w:cs="Times New Roman"/>
          <w:sz w:val="18"/>
          <w:szCs w:val="18"/>
        </w:rPr>
        <w:t xml:space="preserve"> “El funcionario, determinará si es procedente iniciar el proceso de decomiso o levantamiento de la medida cautelar a que haya lugar, con fundamento en la normatividad, el análisis de los hecho</w:t>
      </w:r>
      <w:r w:rsidRPr="00537167">
        <w:rPr>
          <w:rFonts w:ascii="Times New Roman" w:hAnsi="Times New Roman" w:cs="Times New Roman"/>
          <w:sz w:val="18"/>
          <w:szCs w:val="18"/>
        </w:rPr>
        <w:t>s y pruebas aportadas”.</w:t>
      </w:r>
    </w:p>
  </w:footnote>
  <w:footnote w:id="103">
    <w:p w:rsidR="000E6BF6" w:rsidRPr="00537167" w:rsidRDefault="006671C3" w:rsidP="000E6BF6">
      <w:pPr>
        <w:pStyle w:val="Textonotapie"/>
        <w:jc w:val="both"/>
        <w:rPr>
          <w:rFonts w:ascii="Times New Roman" w:hAnsi="Times New Roman" w:cs="Times New Roman"/>
          <w:sz w:val="18"/>
          <w:szCs w:val="18"/>
        </w:rPr>
      </w:pPr>
      <w:r w:rsidRPr="00537167">
        <w:rPr>
          <w:rStyle w:val="Refdenotaalpie"/>
          <w:rFonts w:ascii="Times New Roman" w:hAnsi="Times New Roman" w:cs="Times New Roman"/>
          <w:sz w:val="18"/>
          <w:szCs w:val="18"/>
        </w:rPr>
        <w:footnoteRef/>
      </w:r>
      <w:r w:rsidRPr="00537167">
        <w:rPr>
          <w:rFonts w:ascii="Times New Roman" w:hAnsi="Times New Roman" w:cs="Times New Roman"/>
          <w:sz w:val="18"/>
          <w:szCs w:val="18"/>
        </w:rPr>
        <w:t xml:space="preserve"> “Cuando se adopte una medida cautelar se levantará un acta donde conste el tipo de medida, el término de su duración y las mercancías o pruebas sobre las que recae (…)”.</w:t>
      </w:r>
    </w:p>
  </w:footnote>
  <w:footnote w:id="104">
    <w:p w:rsidR="000E6BF6" w:rsidRPr="00537167" w:rsidRDefault="006671C3" w:rsidP="000E6BF6">
      <w:pPr>
        <w:pStyle w:val="Textonotapie"/>
        <w:jc w:val="both"/>
        <w:rPr>
          <w:rFonts w:ascii="Times New Roman" w:hAnsi="Times New Roman" w:cs="Times New Roman"/>
          <w:sz w:val="18"/>
          <w:szCs w:val="18"/>
        </w:rPr>
      </w:pPr>
      <w:r w:rsidRPr="00537167">
        <w:rPr>
          <w:rStyle w:val="Refdenotaalpie"/>
          <w:rFonts w:ascii="Times New Roman" w:hAnsi="Times New Roman" w:cs="Times New Roman"/>
          <w:sz w:val="18"/>
          <w:szCs w:val="18"/>
        </w:rPr>
        <w:footnoteRef/>
      </w:r>
      <w:r w:rsidRPr="00537167">
        <w:rPr>
          <w:rFonts w:ascii="Times New Roman" w:hAnsi="Times New Roman" w:cs="Times New Roman"/>
          <w:sz w:val="18"/>
          <w:szCs w:val="18"/>
        </w:rPr>
        <w:t xml:space="preserve"> “Contra una medida cautelar no procede ningún recurso, </w:t>
      </w:r>
      <w:r w:rsidRPr="00537167">
        <w:rPr>
          <w:rFonts w:ascii="Times New Roman" w:hAnsi="Times New Roman" w:cs="Times New Roman"/>
          <w:i/>
          <w:sz w:val="18"/>
          <w:szCs w:val="18"/>
        </w:rPr>
        <w:t>sin</w:t>
      </w:r>
      <w:r w:rsidRPr="00537167">
        <w:rPr>
          <w:rFonts w:ascii="Times New Roman" w:hAnsi="Times New Roman" w:cs="Times New Roman"/>
          <w:i/>
          <w:sz w:val="18"/>
          <w:szCs w:val="18"/>
        </w:rPr>
        <w:t xml:space="preserve"> perjuicio de la activación del Comité de Revisión de Aprehensiones</w:t>
      </w:r>
      <w:r w:rsidRPr="00537167">
        <w:rPr>
          <w:rFonts w:ascii="Times New Roman" w:hAnsi="Times New Roman" w:cs="Times New Roman"/>
          <w:sz w:val="18"/>
          <w:szCs w:val="18"/>
        </w:rPr>
        <w:t xml:space="preserve"> (…)”.</w:t>
      </w:r>
    </w:p>
  </w:footnote>
  <w:footnote w:id="105">
    <w:p w:rsidR="000E6BF6" w:rsidRPr="004C4382" w:rsidRDefault="006671C3" w:rsidP="000E6BF6">
      <w:pPr>
        <w:pStyle w:val="Textonotapie"/>
        <w:jc w:val="both"/>
        <w:rPr>
          <w:rFonts w:ascii="Times New Roman" w:hAnsi="Times New Roman" w:cs="Times New Roman"/>
          <w:sz w:val="18"/>
          <w:szCs w:val="18"/>
        </w:rPr>
      </w:pPr>
      <w:r w:rsidRPr="004C4382">
        <w:rPr>
          <w:rStyle w:val="Refdenotaalpie"/>
          <w:rFonts w:ascii="Times New Roman" w:hAnsi="Times New Roman" w:cs="Times New Roman"/>
          <w:sz w:val="18"/>
          <w:szCs w:val="18"/>
        </w:rPr>
        <w:footnoteRef/>
      </w:r>
      <w:r w:rsidRPr="004C4382">
        <w:rPr>
          <w:rFonts w:ascii="Times New Roman" w:hAnsi="Times New Roman" w:cs="Times New Roman"/>
          <w:sz w:val="18"/>
          <w:szCs w:val="18"/>
        </w:rPr>
        <w:t xml:space="preserve"> </w:t>
      </w:r>
      <w:r>
        <w:rPr>
          <w:rFonts w:ascii="Times New Roman" w:hAnsi="Times New Roman" w:cs="Times New Roman"/>
          <w:sz w:val="18"/>
          <w:szCs w:val="18"/>
        </w:rPr>
        <w:t>“Para la imposición de las sanciones previstas en el presente artículo, se aplicará el procedimiento establecido en los artículos 106 y siguientes del presente decreto”. Los artículos 106 a 116 establecen el “procedimiento sancionatorio y de formulación de</w:t>
      </w:r>
      <w:r>
        <w:rPr>
          <w:rFonts w:ascii="Times New Roman" w:hAnsi="Times New Roman" w:cs="Times New Roman"/>
          <w:sz w:val="18"/>
          <w:szCs w:val="18"/>
        </w:rPr>
        <w:t xml:space="preserve"> liquidaciones oficiales” (106, procedencia, 107 requerimiento especial aduanero, 108 expedición y notificación del requerimiento especial aduanero, 109 vinculación de terceros al proceso, 110 contenido del requerimiento especial aduanero, 111 notificación</w:t>
      </w:r>
      <w:r>
        <w:rPr>
          <w:rFonts w:ascii="Times New Roman" w:hAnsi="Times New Roman" w:cs="Times New Roman"/>
          <w:sz w:val="18"/>
          <w:szCs w:val="18"/>
        </w:rPr>
        <w:t xml:space="preserve"> y respuesta al requerimiento especial aduanero, 112 periodo probatorio, 113 acto administrativo que decide de fondo, 114 contenido de la liquidación oficial, 115 contenido de la resolución sancionatoria y 116 trámite para el pago de liquidaciones oficiale</w:t>
      </w:r>
      <w:r>
        <w:rPr>
          <w:rFonts w:ascii="Times New Roman" w:hAnsi="Times New Roman" w:cs="Times New Roman"/>
          <w:sz w:val="18"/>
          <w:szCs w:val="18"/>
        </w:rPr>
        <w:t xml:space="preserve">s y sanciones). </w:t>
      </w:r>
    </w:p>
  </w:footnote>
  <w:footnote w:id="106">
    <w:p w:rsidR="000E6BF6" w:rsidRPr="00537167" w:rsidRDefault="006671C3" w:rsidP="000E6BF6">
      <w:pPr>
        <w:pStyle w:val="Textonotapie"/>
        <w:jc w:val="both"/>
        <w:rPr>
          <w:rFonts w:ascii="Times New Roman" w:hAnsi="Times New Roman" w:cs="Times New Roman"/>
          <w:sz w:val="18"/>
          <w:szCs w:val="18"/>
        </w:rPr>
      </w:pPr>
      <w:r w:rsidRPr="00537167">
        <w:rPr>
          <w:rStyle w:val="Refdenotaalpie"/>
          <w:rFonts w:ascii="Times New Roman" w:hAnsi="Times New Roman" w:cs="Times New Roman"/>
          <w:sz w:val="18"/>
          <w:szCs w:val="18"/>
        </w:rPr>
        <w:footnoteRef/>
      </w:r>
      <w:r w:rsidRPr="00537167">
        <w:rPr>
          <w:rFonts w:ascii="Times New Roman" w:hAnsi="Times New Roman" w:cs="Times New Roman"/>
          <w:sz w:val="18"/>
          <w:szCs w:val="18"/>
        </w:rPr>
        <w:t xml:space="preserve"> “</w:t>
      </w:r>
      <w:r w:rsidRPr="00537167">
        <w:rPr>
          <w:rFonts w:ascii="Times New Roman" w:hAnsi="Times New Roman" w:cs="Times New Roman"/>
          <w:i/>
          <w:sz w:val="18"/>
          <w:szCs w:val="18"/>
        </w:rPr>
        <w:t>Suspensión provisional de la autorización, habilitación o registro de un usuario aduanero</w:t>
      </w:r>
      <w:r w:rsidRPr="00537167">
        <w:rPr>
          <w:rFonts w:ascii="Times New Roman" w:hAnsi="Times New Roman" w:cs="Times New Roman"/>
          <w:sz w:val="18"/>
          <w:szCs w:val="18"/>
        </w:rPr>
        <w:t>. Esta medida cautelar prevista en el numeral 3 del artículo 7° del presente decreto, se adopta excepcionalmente dentro de un proceso sancionatorio</w:t>
      </w:r>
      <w:r w:rsidRPr="00537167">
        <w:rPr>
          <w:rFonts w:ascii="Times New Roman" w:hAnsi="Times New Roman" w:cs="Times New Roman"/>
          <w:sz w:val="18"/>
          <w:szCs w:val="18"/>
        </w:rPr>
        <w:t>, cuando existan graves elementos probatorios de la existencia de los hechos que constituyen una infracción que da lugar a la cancelación de la autorización, habilitación o registro”.</w:t>
      </w:r>
    </w:p>
  </w:footnote>
  <w:footnote w:id="107">
    <w:p w:rsidR="000E6BF6" w:rsidRPr="00537167" w:rsidRDefault="006671C3" w:rsidP="000E6BF6">
      <w:pPr>
        <w:pStyle w:val="Textonotapie"/>
        <w:jc w:val="both"/>
        <w:rPr>
          <w:rFonts w:ascii="Times New Roman" w:hAnsi="Times New Roman" w:cs="Times New Roman"/>
          <w:sz w:val="18"/>
          <w:szCs w:val="18"/>
        </w:rPr>
      </w:pPr>
      <w:r w:rsidRPr="00537167">
        <w:rPr>
          <w:rStyle w:val="Refdenotaalpie"/>
          <w:rFonts w:ascii="Times New Roman" w:hAnsi="Times New Roman" w:cs="Times New Roman"/>
          <w:sz w:val="18"/>
          <w:szCs w:val="18"/>
        </w:rPr>
        <w:footnoteRef/>
      </w:r>
      <w:r w:rsidRPr="00537167">
        <w:rPr>
          <w:rFonts w:ascii="Times New Roman" w:hAnsi="Times New Roman" w:cs="Times New Roman"/>
          <w:sz w:val="18"/>
          <w:szCs w:val="18"/>
        </w:rPr>
        <w:t xml:space="preserve"> “</w:t>
      </w:r>
      <w:r w:rsidRPr="00537167">
        <w:rPr>
          <w:rFonts w:ascii="Times New Roman" w:hAnsi="Times New Roman" w:cs="Times New Roman"/>
          <w:i/>
          <w:sz w:val="18"/>
          <w:szCs w:val="18"/>
        </w:rPr>
        <w:t>Procedimiento para ordenar la suspensión provisional</w:t>
      </w:r>
      <w:r w:rsidRPr="00537167">
        <w:rPr>
          <w:rFonts w:ascii="Times New Roman" w:hAnsi="Times New Roman" w:cs="Times New Roman"/>
          <w:sz w:val="18"/>
          <w:szCs w:val="18"/>
        </w:rPr>
        <w:t>. La suspensión p</w:t>
      </w:r>
      <w:r w:rsidRPr="00537167">
        <w:rPr>
          <w:rFonts w:ascii="Times New Roman" w:hAnsi="Times New Roman" w:cs="Times New Roman"/>
          <w:sz w:val="18"/>
          <w:szCs w:val="18"/>
        </w:rPr>
        <w:t>rovisional se ordenará en el requerimiento especial aduanero, con la motivación de los hechos, las normas y las pruebas que sustentan la medida. Para la aplicación de esta medida se deberá contar con el visto bueno del Comité de Fiscalización Aduanero, o q</w:t>
      </w:r>
      <w:r w:rsidRPr="00537167">
        <w:rPr>
          <w:rFonts w:ascii="Times New Roman" w:hAnsi="Times New Roman" w:cs="Times New Roman"/>
          <w:sz w:val="18"/>
          <w:szCs w:val="18"/>
        </w:rPr>
        <w:t xml:space="preserve">uien haga sus veces, para cuyo efecto, vencido el término para responder el requerimiento especial aduanero, se remitirán al Comité las copias pertinentes del expediente a más tardar dentro de los cinco (5) días hábiles siguientes. Por tratarse de un auto </w:t>
      </w:r>
      <w:r w:rsidRPr="00537167">
        <w:rPr>
          <w:rFonts w:ascii="Times New Roman" w:hAnsi="Times New Roman" w:cs="Times New Roman"/>
          <w:sz w:val="18"/>
          <w:szCs w:val="18"/>
        </w:rPr>
        <w:t>que notifica la decisión del comité, contra el mismo no procede recurso alguno. (…) El presunto responsable, dentro de la respuesta al requerimiento especial aduanero, podrá presentar las objeciones para desvirtuar la causal generadora de la suspensión pro</w:t>
      </w:r>
      <w:r w:rsidRPr="00537167">
        <w:rPr>
          <w:rFonts w:ascii="Times New Roman" w:hAnsi="Times New Roman" w:cs="Times New Roman"/>
          <w:sz w:val="18"/>
          <w:szCs w:val="18"/>
        </w:rPr>
        <w:t>visional. De encontrarse procedente, el funcionario que adoptó la medida revocará la suspensión provisional, sin perjuicio de la continuidad del respectivo proceso de fiscalización; de esta decisión se informará al Comité de Fiscalización Aduanero. (…)  El</w:t>
      </w:r>
      <w:r w:rsidRPr="00537167">
        <w:rPr>
          <w:rFonts w:ascii="Times New Roman" w:hAnsi="Times New Roman" w:cs="Times New Roman"/>
          <w:sz w:val="18"/>
          <w:szCs w:val="18"/>
        </w:rPr>
        <w:t xml:space="preserve"> usuario aduanero podrá continuar interviniendo en las operaciones aduaneras en las que ya estaba actuando hasta la entrada en vigor de la suspensión provisional”.</w:t>
      </w:r>
    </w:p>
  </w:footnote>
  <w:footnote w:id="108">
    <w:p w:rsidR="000E6BF6" w:rsidRPr="00537167" w:rsidRDefault="006671C3" w:rsidP="000E6BF6">
      <w:pPr>
        <w:pStyle w:val="Textonotapie"/>
        <w:jc w:val="both"/>
        <w:rPr>
          <w:rFonts w:ascii="Times New Roman" w:hAnsi="Times New Roman" w:cs="Times New Roman"/>
          <w:sz w:val="18"/>
          <w:szCs w:val="18"/>
        </w:rPr>
      </w:pPr>
      <w:r w:rsidRPr="00537167">
        <w:rPr>
          <w:rStyle w:val="Refdenotaalpie"/>
          <w:rFonts w:ascii="Times New Roman" w:hAnsi="Times New Roman" w:cs="Times New Roman"/>
          <w:sz w:val="18"/>
          <w:szCs w:val="18"/>
        </w:rPr>
        <w:footnoteRef/>
      </w:r>
      <w:r w:rsidRPr="00537167">
        <w:rPr>
          <w:rFonts w:ascii="Times New Roman" w:hAnsi="Times New Roman" w:cs="Times New Roman"/>
          <w:sz w:val="18"/>
          <w:szCs w:val="18"/>
        </w:rPr>
        <w:t xml:space="preserve"> “</w:t>
      </w:r>
      <w:r w:rsidRPr="00537167">
        <w:rPr>
          <w:rFonts w:ascii="Times New Roman" w:hAnsi="Times New Roman" w:cs="Times New Roman"/>
          <w:i/>
          <w:sz w:val="18"/>
          <w:szCs w:val="18"/>
        </w:rPr>
        <w:t>Comité de Fiscalización Aduanero</w:t>
      </w:r>
      <w:r w:rsidRPr="00537167">
        <w:rPr>
          <w:rFonts w:ascii="Times New Roman" w:hAnsi="Times New Roman" w:cs="Times New Roman"/>
          <w:sz w:val="18"/>
          <w:szCs w:val="18"/>
        </w:rPr>
        <w:t xml:space="preserve">. El Comité de Fiscalización Aduanero, al que se refiere </w:t>
      </w:r>
      <w:r w:rsidRPr="00537167">
        <w:rPr>
          <w:rFonts w:ascii="Times New Roman" w:hAnsi="Times New Roman" w:cs="Times New Roman"/>
          <w:sz w:val="18"/>
          <w:szCs w:val="18"/>
        </w:rPr>
        <w:t>el presente decreto estará conformado por: 1. El Director de Gestión de Fiscalización o quien haga sus veces, quien lo presidirá. 2. El Director de Gestión de Aduanas o quien haga sus veces. 3. El Director de Gestión Estratégica y Analítica o quien haga su</w:t>
      </w:r>
      <w:r w:rsidRPr="00537167">
        <w:rPr>
          <w:rFonts w:ascii="Times New Roman" w:hAnsi="Times New Roman" w:cs="Times New Roman"/>
          <w:sz w:val="18"/>
          <w:szCs w:val="18"/>
        </w:rPr>
        <w:t>s veces. 4. El Director de la Policía Fiscal y Aduanera o quien haga sus veces. 5. El Defensor del Contribuyente y del Usuario Aduanero o su delegado, en desarrollo de la función prevista en el artículo 31 numeral 2 del Decreto número 1071 de 1999, quien p</w:t>
      </w:r>
      <w:r w:rsidRPr="00537167">
        <w:rPr>
          <w:rFonts w:ascii="Times New Roman" w:hAnsi="Times New Roman" w:cs="Times New Roman"/>
          <w:sz w:val="18"/>
          <w:szCs w:val="18"/>
        </w:rPr>
        <w:t xml:space="preserve">odrá participar con voz y voto. (…)”.  </w:t>
      </w:r>
    </w:p>
  </w:footnote>
  <w:footnote w:id="109">
    <w:p w:rsidR="000E6BF6" w:rsidRPr="00537167" w:rsidRDefault="006671C3" w:rsidP="000E6BF6">
      <w:pPr>
        <w:pStyle w:val="Textonotapie"/>
        <w:jc w:val="both"/>
        <w:rPr>
          <w:rFonts w:ascii="Times New Roman" w:hAnsi="Times New Roman" w:cs="Times New Roman"/>
          <w:sz w:val="18"/>
          <w:szCs w:val="18"/>
        </w:rPr>
      </w:pPr>
      <w:r w:rsidRPr="00537167">
        <w:rPr>
          <w:rStyle w:val="Refdenotaalpie"/>
          <w:rFonts w:ascii="Times New Roman" w:hAnsi="Times New Roman" w:cs="Times New Roman"/>
          <w:sz w:val="18"/>
          <w:szCs w:val="18"/>
        </w:rPr>
        <w:footnoteRef/>
      </w:r>
      <w:r w:rsidRPr="00537167">
        <w:rPr>
          <w:rFonts w:ascii="Times New Roman" w:hAnsi="Times New Roman" w:cs="Times New Roman"/>
          <w:sz w:val="18"/>
          <w:szCs w:val="18"/>
        </w:rPr>
        <w:t xml:space="preserve"> “</w:t>
      </w:r>
      <w:r w:rsidRPr="00537167">
        <w:rPr>
          <w:rFonts w:ascii="Times New Roman" w:hAnsi="Times New Roman" w:cs="Times New Roman"/>
          <w:i/>
          <w:sz w:val="18"/>
          <w:szCs w:val="18"/>
        </w:rPr>
        <w:t>Comité de Revisión de Aprehensiones</w:t>
      </w:r>
      <w:r w:rsidRPr="00537167">
        <w:rPr>
          <w:rFonts w:ascii="Times New Roman" w:hAnsi="Times New Roman" w:cs="Times New Roman"/>
          <w:sz w:val="18"/>
          <w:szCs w:val="18"/>
        </w:rPr>
        <w:t xml:space="preserve">. Créase el Comité de Revisión de Aprehensiones para atender la solicitud de revisión de la actuación de la administración por parte del usuario aduanero, con anterioridad o una </w:t>
      </w:r>
      <w:r w:rsidRPr="00537167">
        <w:rPr>
          <w:rFonts w:ascii="Times New Roman" w:hAnsi="Times New Roman" w:cs="Times New Roman"/>
          <w:sz w:val="18"/>
          <w:szCs w:val="18"/>
        </w:rPr>
        <w:t>vez adoptada la medida de aprehensión y hasta antes de que se presenten objeciones a la aprehensión o el recurso de reconsideración en el caso de decomiso directo. El Comité estará conformado por: 1. El Subdirector de Fiscalización Aduanera (…). 2. El Subd</w:t>
      </w:r>
      <w:r w:rsidRPr="00537167">
        <w:rPr>
          <w:rFonts w:ascii="Times New Roman" w:hAnsi="Times New Roman" w:cs="Times New Roman"/>
          <w:sz w:val="18"/>
          <w:szCs w:val="18"/>
        </w:rPr>
        <w:t>irector de Operación Aduanera (…). 3. El Defensor del Contribuyente y del Usuario Aduanero (…) podrá participar con voz y voto. 4. Uno de los siguientes funcionarios con voz y voto, según sea el caso: 4.1. El jefe de la división de fiscalización y liquidac</w:t>
      </w:r>
      <w:r w:rsidRPr="00537167">
        <w:rPr>
          <w:rFonts w:ascii="Times New Roman" w:hAnsi="Times New Roman" w:cs="Times New Roman"/>
          <w:sz w:val="18"/>
          <w:szCs w:val="18"/>
        </w:rPr>
        <w:t>ión de sanciones y definición de situaciones jurídicas (…)”.</w:t>
      </w:r>
    </w:p>
  </w:footnote>
  <w:footnote w:id="110">
    <w:p w:rsidR="000E6BF6" w:rsidRPr="00537167" w:rsidRDefault="006671C3" w:rsidP="000E6BF6">
      <w:pPr>
        <w:pStyle w:val="Textonotapie"/>
        <w:jc w:val="both"/>
        <w:rPr>
          <w:rFonts w:ascii="Times New Roman" w:hAnsi="Times New Roman" w:cs="Times New Roman"/>
          <w:sz w:val="18"/>
          <w:szCs w:val="18"/>
        </w:rPr>
      </w:pPr>
      <w:r w:rsidRPr="00537167">
        <w:rPr>
          <w:rStyle w:val="Refdenotaalpie"/>
          <w:rFonts w:ascii="Times New Roman" w:hAnsi="Times New Roman" w:cs="Times New Roman"/>
          <w:sz w:val="18"/>
          <w:szCs w:val="18"/>
        </w:rPr>
        <w:footnoteRef/>
      </w:r>
      <w:r w:rsidRPr="00537167">
        <w:rPr>
          <w:rFonts w:ascii="Times New Roman" w:hAnsi="Times New Roman" w:cs="Times New Roman"/>
          <w:sz w:val="18"/>
          <w:szCs w:val="18"/>
        </w:rPr>
        <w:t xml:space="preserve"> </w:t>
      </w:r>
      <w:r>
        <w:rPr>
          <w:rFonts w:ascii="Times New Roman" w:hAnsi="Times New Roman" w:cs="Times New Roman"/>
          <w:sz w:val="18"/>
          <w:szCs w:val="18"/>
        </w:rPr>
        <w:t>“</w:t>
      </w:r>
      <w:r w:rsidRPr="00E44102">
        <w:rPr>
          <w:rFonts w:ascii="Times New Roman" w:hAnsi="Times New Roman" w:cs="Times New Roman"/>
          <w:i/>
          <w:sz w:val="18"/>
          <w:szCs w:val="18"/>
        </w:rPr>
        <w:t>Gradualidad</w:t>
      </w:r>
      <w:r>
        <w:rPr>
          <w:rFonts w:ascii="Times New Roman" w:hAnsi="Times New Roman" w:cs="Times New Roman"/>
          <w:sz w:val="18"/>
          <w:szCs w:val="18"/>
        </w:rPr>
        <w:t>. En los siguientes eventos, la sanción se graduará como se indica en cada caso: (…) 5. Cuando una infracción establezca la posibilidad de imponer en lugar de la sanción de multa, l</w:t>
      </w:r>
      <w:r>
        <w:rPr>
          <w:rFonts w:ascii="Times New Roman" w:hAnsi="Times New Roman" w:cs="Times New Roman"/>
          <w:sz w:val="18"/>
          <w:szCs w:val="18"/>
        </w:rPr>
        <w:t>a cancelación o suspensión de la autorización, habilitación o reconocimiento, teniendo en cuenta la gravedad del perjuicio causado a los intereses del Estado, la autoridad aduanera deberá fundamentar en el acto administrativo, algunos de los siguientes cri</w:t>
      </w:r>
      <w:r>
        <w:rPr>
          <w:rFonts w:ascii="Times New Roman" w:hAnsi="Times New Roman" w:cs="Times New Roman"/>
          <w:sz w:val="18"/>
          <w:szCs w:val="18"/>
        </w:rPr>
        <w:t>terios: 5.1. Afectación a la seguridad nacional. 5.2. Afectación a la salud o salubridad pública. 5.3. Vulneración de los intereses económicos del Estado. 5.4. Incumplimiento al Convenio Internacional de Especies Amenazadas de fauna y flora silvestres -CIT</w:t>
      </w:r>
      <w:r>
        <w:rPr>
          <w:rFonts w:ascii="Times New Roman" w:hAnsi="Times New Roman" w:cs="Times New Roman"/>
          <w:sz w:val="18"/>
          <w:szCs w:val="18"/>
        </w:rPr>
        <w:t>ES. 5.5. Afectación al patrimonio cultural. 5.6. Impacto de la medida sobre el comercio exterior. 5.7. Antecedentes del presunto infractor en sanciones catalogadas como graves o gravísimas durante los últimos tres (3) años. Parágrafo 1. Los criterios de gr</w:t>
      </w:r>
      <w:r>
        <w:rPr>
          <w:rFonts w:ascii="Times New Roman" w:hAnsi="Times New Roman" w:cs="Times New Roman"/>
          <w:sz w:val="18"/>
          <w:szCs w:val="18"/>
        </w:rPr>
        <w:t>adualidad (…) deberán ser aplicados por la (…) DIAN en la gestión persuasiva, así como al momento del requerimiento especial aduanero, o emplazamiento, según el caso. (…)”.</w:t>
      </w:r>
    </w:p>
  </w:footnote>
  <w:footnote w:id="111">
    <w:p w:rsidR="000E6BF6" w:rsidRPr="003B5675" w:rsidRDefault="006671C3" w:rsidP="000E6BF6">
      <w:pPr>
        <w:pStyle w:val="Textonotapie"/>
        <w:jc w:val="both"/>
        <w:rPr>
          <w:rFonts w:ascii="Times New Roman" w:hAnsi="Times New Roman" w:cs="Times New Roman"/>
          <w:sz w:val="18"/>
          <w:szCs w:val="18"/>
        </w:rPr>
      </w:pPr>
      <w:r w:rsidRPr="00537167">
        <w:rPr>
          <w:rStyle w:val="Refdenotaalpie"/>
          <w:rFonts w:ascii="Times New Roman" w:hAnsi="Times New Roman" w:cs="Times New Roman"/>
          <w:sz w:val="18"/>
          <w:szCs w:val="18"/>
        </w:rPr>
        <w:footnoteRef/>
      </w:r>
      <w:r w:rsidRPr="00537167">
        <w:rPr>
          <w:rFonts w:ascii="Times New Roman" w:hAnsi="Times New Roman" w:cs="Times New Roman"/>
          <w:sz w:val="18"/>
          <w:szCs w:val="18"/>
        </w:rPr>
        <w:t xml:space="preserve"> “</w:t>
      </w:r>
      <w:r w:rsidRPr="00537167">
        <w:rPr>
          <w:rFonts w:ascii="Times New Roman" w:hAnsi="Times New Roman" w:cs="Times New Roman"/>
          <w:i/>
          <w:sz w:val="18"/>
          <w:szCs w:val="18"/>
        </w:rPr>
        <w:t>Procedencia del recurso de reconsideración</w:t>
      </w:r>
      <w:r w:rsidRPr="00537167">
        <w:rPr>
          <w:rFonts w:ascii="Times New Roman" w:hAnsi="Times New Roman" w:cs="Times New Roman"/>
          <w:sz w:val="18"/>
          <w:szCs w:val="18"/>
        </w:rPr>
        <w:t xml:space="preserve">. Contra las liquidaciones oficiales, </w:t>
      </w:r>
      <w:r w:rsidRPr="00537167">
        <w:rPr>
          <w:rFonts w:ascii="Times New Roman" w:hAnsi="Times New Roman" w:cs="Times New Roman"/>
          <w:sz w:val="18"/>
          <w:szCs w:val="18"/>
        </w:rPr>
        <w:t>decomisos, resoluciones que impongan sanciones y en las demás circunstancias previstas en este decreto y en el Decreto 1165 de 2019, o aquel que lo modifique, adicione o sustituya, procede el recurso de reconsideración, que se interpondrá dentro de los qui</w:t>
      </w:r>
      <w:r w:rsidRPr="00537167">
        <w:rPr>
          <w:rFonts w:ascii="Times New Roman" w:hAnsi="Times New Roman" w:cs="Times New Roman"/>
          <w:sz w:val="18"/>
          <w:szCs w:val="18"/>
        </w:rPr>
        <w:t>nce (15) días hábiles siguientes a su notificación. (…). El</w:t>
      </w:r>
      <w:r w:rsidRPr="003B5675">
        <w:rPr>
          <w:rFonts w:ascii="Times New Roman" w:hAnsi="Times New Roman" w:cs="Times New Roman"/>
          <w:sz w:val="18"/>
          <w:szCs w:val="18"/>
        </w:rPr>
        <w:t xml:space="preserve"> acto administrativo que resuelve el recurso será motivado, contendrá un examen crítico de las pruebas y expondrá los razonamientos constitucionales, legales y doctrinarios estrictamente necesarios</w:t>
      </w:r>
      <w:r w:rsidRPr="003B5675">
        <w:rPr>
          <w:rFonts w:ascii="Times New Roman" w:hAnsi="Times New Roman" w:cs="Times New Roman"/>
          <w:sz w:val="18"/>
          <w:szCs w:val="18"/>
        </w:rPr>
        <w:t xml:space="preserve"> para sustentar las conclusiones, con indicación de las disposiciones aplicadas. </w:t>
      </w:r>
      <w:r>
        <w:rPr>
          <w:rFonts w:ascii="Times New Roman" w:hAnsi="Times New Roman" w:cs="Times New Roman"/>
          <w:sz w:val="18"/>
          <w:szCs w:val="18"/>
        </w:rPr>
        <w:t>(…)”.</w:t>
      </w:r>
      <w:r w:rsidRPr="003B5675">
        <w:rPr>
          <w:rFonts w:ascii="Times New Roman" w:hAnsi="Times New Roman" w:cs="Times New Roman"/>
          <w:sz w:val="18"/>
          <w:szCs w:val="18"/>
        </w:rPr>
        <w:t xml:space="preserve"> </w:t>
      </w:r>
    </w:p>
  </w:footnote>
  <w:footnote w:id="112">
    <w:p w:rsidR="000E6BF6" w:rsidRPr="00B83C48" w:rsidRDefault="006671C3" w:rsidP="000E6BF6">
      <w:pPr>
        <w:pStyle w:val="Textonotapie"/>
        <w:jc w:val="both"/>
        <w:rPr>
          <w:rFonts w:ascii="Times New Roman" w:hAnsi="Times New Roman" w:cs="Times New Roman"/>
          <w:sz w:val="18"/>
          <w:szCs w:val="18"/>
        </w:rPr>
      </w:pPr>
      <w:r w:rsidRPr="00B83C48">
        <w:rPr>
          <w:rStyle w:val="Refdenotaalpie"/>
          <w:rFonts w:ascii="Times New Roman" w:hAnsi="Times New Roman" w:cs="Times New Roman"/>
          <w:sz w:val="18"/>
          <w:szCs w:val="18"/>
        </w:rPr>
        <w:footnoteRef/>
      </w:r>
      <w:r w:rsidRPr="00B83C48">
        <w:rPr>
          <w:rFonts w:ascii="Times New Roman" w:hAnsi="Times New Roman" w:cs="Times New Roman"/>
          <w:sz w:val="18"/>
          <w:szCs w:val="18"/>
        </w:rPr>
        <w:t xml:space="preserve"> </w:t>
      </w:r>
      <w:r>
        <w:rPr>
          <w:rFonts w:ascii="Times New Roman" w:hAnsi="Times New Roman" w:cs="Times New Roman"/>
          <w:sz w:val="18"/>
          <w:szCs w:val="18"/>
        </w:rPr>
        <w:t xml:space="preserve">En la sentencia C-189 de 2017 se manifestó: “Conforme a la exigencia de certeza, de una parte, se requiere que los cargos tengan por objeto un enunciado normativo </w:t>
      </w:r>
      <w:r>
        <w:rPr>
          <w:rFonts w:ascii="Times New Roman" w:hAnsi="Times New Roman" w:cs="Times New Roman"/>
          <w:sz w:val="18"/>
          <w:szCs w:val="18"/>
        </w:rPr>
        <w:t xml:space="preserve">perteneciente al ordenamiento jurídico e ir dirigidos a impugnar la disposición señalada en la demanda y, de la otra, que la norma sea susceptible de inferirse del enunciado acusado y no constituir el producto de una construcción exclusivamente subjetiva, </w:t>
      </w:r>
      <w:r>
        <w:rPr>
          <w:rFonts w:ascii="Times New Roman" w:hAnsi="Times New Roman" w:cs="Times New Roman"/>
          <w:sz w:val="18"/>
          <w:szCs w:val="18"/>
        </w:rPr>
        <w:t>con base en presunciones, conjeturas o sospechas del actor”.</w:t>
      </w:r>
    </w:p>
  </w:footnote>
  <w:footnote w:id="113">
    <w:p w:rsidR="000E6BF6" w:rsidRPr="00EF14FC" w:rsidRDefault="006671C3" w:rsidP="000E6BF6">
      <w:pPr>
        <w:pStyle w:val="Textonotapie"/>
        <w:jc w:val="both"/>
        <w:rPr>
          <w:rFonts w:ascii="Times New Roman" w:hAnsi="Times New Roman" w:cs="Times New Roman"/>
          <w:sz w:val="18"/>
          <w:szCs w:val="18"/>
        </w:rPr>
      </w:pPr>
      <w:r w:rsidRPr="00EF14FC">
        <w:rPr>
          <w:rStyle w:val="Refdenotaalpie"/>
          <w:rFonts w:ascii="Times New Roman" w:hAnsi="Times New Roman" w:cs="Times New Roman"/>
          <w:sz w:val="18"/>
          <w:szCs w:val="18"/>
        </w:rPr>
        <w:footnoteRef/>
      </w:r>
      <w:r w:rsidRPr="00EF14FC">
        <w:rPr>
          <w:rFonts w:ascii="Times New Roman" w:hAnsi="Times New Roman" w:cs="Times New Roman"/>
          <w:sz w:val="18"/>
          <w:szCs w:val="18"/>
        </w:rPr>
        <w:t xml:space="preserve"> </w:t>
      </w:r>
      <w:r>
        <w:rPr>
          <w:rFonts w:ascii="Times New Roman" w:hAnsi="Times New Roman" w:cs="Times New Roman"/>
          <w:sz w:val="18"/>
          <w:szCs w:val="18"/>
        </w:rPr>
        <w:t>En la Sentencia C-190 de 2023 se sostuvo: “[L]a interpretación ofrecida por el accionante desconoce el sistema normativo en el cual se halla inserto (…). Así, estructura el cargo desechando cua</w:t>
      </w:r>
      <w:r>
        <w:rPr>
          <w:rFonts w:ascii="Times New Roman" w:hAnsi="Times New Roman" w:cs="Times New Roman"/>
          <w:sz w:val="18"/>
          <w:szCs w:val="18"/>
        </w:rPr>
        <w:t>lquier mención a ingredientes que, si bien se encuentran regulados en otros apartes normativos de la ley acusada, son indispensables para entender su alcance objetivo. En esa medida, el actor partió de una interpretación aislada de la norma demandada, cuan</w:t>
      </w:r>
      <w:r>
        <w:rPr>
          <w:rFonts w:ascii="Times New Roman" w:hAnsi="Times New Roman" w:cs="Times New Roman"/>
          <w:sz w:val="18"/>
          <w:szCs w:val="18"/>
        </w:rPr>
        <w:t>do una lectura sistemática e integral de la ley (…) le permitía hallar razones que podrían descartar o le imponía sopesar el alcance de sus escasas afirmaciones. (…)”. Cfr. C-289 de 2022, C-335 de 2021, C-133 de 2020, C-122 de 2020, C-025 de 2020, C-250 de</w:t>
      </w:r>
      <w:r>
        <w:rPr>
          <w:rFonts w:ascii="Times New Roman" w:hAnsi="Times New Roman" w:cs="Times New Roman"/>
          <w:sz w:val="18"/>
          <w:szCs w:val="18"/>
        </w:rPr>
        <w:t xml:space="preserve"> 2019, C-247 de 2019 y C-231 de 2016.</w:t>
      </w:r>
    </w:p>
  </w:footnote>
  <w:footnote w:id="114">
    <w:p w:rsidR="000E6BF6" w:rsidRPr="003475A1" w:rsidRDefault="006671C3" w:rsidP="000E6BF6">
      <w:pPr>
        <w:pStyle w:val="Textonotapie"/>
        <w:jc w:val="both"/>
        <w:rPr>
          <w:rFonts w:ascii="Times New Roman" w:hAnsi="Times New Roman" w:cs="Times New Roman"/>
          <w:sz w:val="18"/>
          <w:szCs w:val="18"/>
        </w:rPr>
      </w:pPr>
      <w:r w:rsidRPr="003475A1">
        <w:rPr>
          <w:rStyle w:val="Refdenotaalpie"/>
          <w:rFonts w:ascii="Times New Roman" w:hAnsi="Times New Roman" w:cs="Times New Roman"/>
          <w:sz w:val="18"/>
          <w:szCs w:val="18"/>
        </w:rPr>
        <w:footnoteRef/>
      </w:r>
      <w:r w:rsidRPr="003475A1">
        <w:rPr>
          <w:rFonts w:ascii="Times New Roman" w:hAnsi="Times New Roman" w:cs="Times New Roman"/>
          <w:sz w:val="18"/>
          <w:szCs w:val="18"/>
        </w:rPr>
        <w:t xml:space="preserve"> </w:t>
      </w:r>
      <w:r>
        <w:rPr>
          <w:rFonts w:ascii="Times New Roman" w:hAnsi="Times New Roman" w:cs="Times New Roman"/>
          <w:sz w:val="18"/>
          <w:szCs w:val="18"/>
        </w:rPr>
        <w:t xml:space="preserve">La Corte encuentra que se puede comprometer la integración normativa en sus dos modalidades: (i) la </w:t>
      </w:r>
      <w:r w:rsidRPr="009054C7">
        <w:rPr>
          <w:rFonts w:ascii="Times New Roman" w:hAnsi="Times New Roman" w:cs="Times New Roman"/>
          <w:sz w:val="18"/>
          <w:szCs w:val="18"/>
        </w:rPr>
        <w:t xml:space="preserve">integración de la proposición jurídica completa y (ii) la integración de la unidad normativa. </w:t>
      </w:r>
      <w:r>
        <w:rPr>
          <w:rFonts w:ascii="Times New Roman" w:hAnsi="Times New Roman" w:cs="Times New Roman"/>
          <w:sz w:val="18"/>
          <w:szCs w:val="18"/>
        </w:rPr>
        <w:t xml:space="preserve">En la Sentencia C-162 </w:t>
      </w:r>
      <w:r>
        <w:rPr>
          <w:rFonts w:ascii="Times New Roman" w:hAnsi="Times New Roman" w:cs="Times New Roman"/>
          <w:sz w:val="18"/>
          <w:szCs w:val="18"/>
        </w:rPr>
        <w:t>de 2022 se sostuvo: “</w:t>
      </w:r>
      <w:r w:rsidRPr="009054C7">
        <w:rPr>
          <w:rFonts w:ascii="Times New Roman" w:hAnsi="Times New Roman" w:cs="Times New Roman"/>
          <w:sz w:val="18"/>
          <w:szCs w:val="18"/>
        </w:rPr>
        <w:t>La primera modalidad está ´ (…) dirigida a completar el sentido de la disposición acusada con otros enunciados normativos inescindiblemente relacionados con ella, con miras a asegurar que el control recaiga sobre un precepto con un alc</w:t>
      </w:r>
      <w:r w:rsidRPr="009054C7">
        <w:rPr>
          <w:rFonts w:ascii="Times New Roman" w:hAnsi="Times New Roman" w:cs="Times New Roman"/>
          <w:sz w:val="18"/>
          <w:szCs w:val="18"/>
        </w:rPr>
        <w:t>ance regulador autónomo inteligible (…)´</w:t>
      </w:r>
      <w:r>
        <w:rPr>
          <w:rFonts w:ascii="Times New Roman" w:hAnsi="Times New Roman" w:cs="Times New Roman"/>
          <w:sz w:val="18"/>
          <w:szCs w:val="18"/>
        </w:rPr>
        <w:t xml:space="preserve">. </w:t>
      </w:r>
      <w:r w:rsidRPr="009054C7">
        <w:rPr>
          <w:rFonts w:ascii="Times New Roman" w:hAnsi="Times New Roman" w:cs="Times New Roman"/>
          <w:sz w:val="18"/>
          <w:szCs w:val="18"/>
        </w:rPr>
        <w:t>La segunda, a su vez, está prevista “(…) para extender el efecto de la decisión a otras disposiciones de igual o similar contenido normativo (respecto de las cuales se) busca preservar el principio de supremacía co</w:t>
      </w:r>
      <w:r w:rsidRPr="009054C7">
        <w:rPr>
          <w:rFonts w:ascii="Times New Roman" w:hAnsi="Times New Roman" w:cs="Times New Roman"/>
          <w:sz w:val="18"/>
          <w:szCs w:val="18"/>
        </w:rPr>
        <w:t>nstitucional, garantizar la seguridad jurídica y, en ciertos casos, evitar que el fallo prive de sentido al texto legal acusado´. (…) Puede efectuarse en cualquier de las siguientes situaciones: (i) cuando la disposición acusada se encuentre reproducida en</w:t>
      </w:r>
      <w:r w:rsidRPr="009054C7">
        <w:rPr>
          <w:rFonts w:ascii="Times New Roman" w:hAnsi="Times New Roman" w:cs="Times New Roman"/>
          <w:sz w:val="18"/>
          <w:szCs w:val="18"/>
        </w:rPr>
        <w:t xml:space="preserve"> otras disposiciones que no fueron acusadas en la acción; (ii) cuando la disposición demandada se encuentra relacionada de forma estrecha con otra que, a primera vista, genera dudas serias acerca de su constitucionalidad; y, (iii) </w:t>
      </w:r>
      <w:r w:rsidRPr="009054C7">
        <w:rPr>
          <w:rFonts w:ascii="Times New Roman" w:hAnsi="Times New Roman" w:cs="Times New Roman"/>
          <w:i/>
          <w:sz w:val="18"/>
          <w:szCs w:val="18"/>
        </w:rPr>
        <w:t>cuando la disposición acu</w:t>
      </w:r>
      <w:r w:rsidRPr="009054C7">
        <w:rPr>
          <w:rFonts w:ascii="Times New Roman" w:hAnsi="Times New Roman" w:cs="Times New Roman"/>
          <w:i/>
          <w:sz w:val="18"/>
          <w:szCs w:val="18"/>
        </w:rPr>
        <w:t>sada no tenga un contenido claro o único, de forma que, para poder entenderlo y aplicarlo, sea imprescindible integrar su contenido con el de otra disposición que no fue demandada</w:t>
      </w:r>
      <w:r w:rsidRPr="009054C7">
        <w:rPr>
          <w:rFonts w:ascii="Times New Roman" w:hAnsi="Times New Roman" w:cs="Times New Roman"/>
          <w:sz w:val="18"/>
          <w:szCs w:val="18"/>
        </w:rPr>
        <w:t>.  Adicionalmente, (…), también será necesario acreditar ´ (…) i) que la disp</w:t>
      </w:r>
      <w:r w:rsidRPr="009054C7">
        <w:rPr>
          <w:rFonts w:ascii="Times New Roman" w:hAnsi="Times New Roman" w:cs="Times New Roman"/>
          <w:sz w:val="18"/>
          <w:szCs w:val="18"/>
        </w:rPr>
        <w:t>osición demandada tenga estrecha relación con los preceptos que no fueron cuestionados y que conformarían la unidad normativa, y ii) que las normas no acusadas parezcan inconstitucionales´”. Cfr. sentencias C-540 de 2023 y C-320 de 1997.</w:t>
      </w:r>
    </w:p>
  </w:footnote>
  <w:footnote w:id="115">
    <w:p w:rsidR="000E6BF6" w:rsidRPr="0003125B" w:rsidRDefault="006671C3" w:rsidP="000E6BF6">
      <w:pPr>
        <w:pStyle w:val="Textonotapie"/>
        <w:jc w:val="both"/>
        <w:rPr>
          <w:rFonts w:ascii="Times New Roman" w:hAnsi="Times New Roman" w:cs="Times New Roman"/>
          <w:sz w:val="18"/>
          <w:szCs w:val="18"/>
        </w:rPr>
      </w:pPr>
      <w:r w:rsidRPr="0003125B">
        <w:rPr>
          <w:rStyle w:val="Refdenotaalpie"/>
          <w:rFonts w:ascii="Times New Roman" w:hAnsi="Times New Roman" w:cs="Times New Roman"/>
          <w:sz w:val="18"/>
          <w:szCs w:val="18"/>
        </w:rPr>
        <w:footnoteRef/>
      </w:r>
      <w:r w:rsidRPr="0003125B">
        <w:rPr>
          <w:rFonts w:ascii="Times New Roman" w:hAnsi="Times New Roman" w:cs="Times New Roman"/>
          <w:sz w:val="18"/>
          <w:szCs w:val="18"/>
        </w:rPr>
        <w:t xml:space="preserve"> </w:t>
      </w:r>
      <w:r>
        <w:rPr>
          <w:rFonts w:ascii="Times New Roman" w:hAnsi="Times New Roman" w:cs="Times New Roman"/>
          <w:sz w:val="18"/>
          <w:szCs w:val="18"/>
        </w:rPr>
        <w:t>Instituyen</w:t>
      </w:r>
      <w:r w:rsidRPr="0003125B">
        <w:rPr>
          <w:rFonts w:ascii="Times New Roman" w:hAnsi="Times New Roman" w:cs="Times New Roman"/>
          <w:sz w:val="18"/>
          <w:szCs w:val="18"/>
        </w:rPr>
        <w:t xml:space="preserve"> el pr</w:t>
      </w:r>
      <w:r w:rsidRPr="0003125B">
        <w:rPr>
          <w:rFonts w:ascii="Times New Roman" w:hAnsi="Times New Roman" w:cs="Times New Roman"/>
          <w:sz w:val="18"/>
          <w:szCs w:val="18"/>
        </w:rPr>
        <w:t>ocedimiento sancionatorio y de formulación de liquidaciones oficiales</w:t>
      </w:r>
      <w:r>
        <w:rPr>
          <w:rFonts w:ascii="Times New Roman" w:hAnsi="Times New Roman" w:cs="Times New Roman"/>
          <w:sz w:val="18"/>
          <w:szCs w:val="18"/>
        </w:rPr>
        <w:t xml:space="preserve">. Específicamente, el artículo </w:t>
      </w:r>
      <w:r w:rsidRPr="0003125B">
        <w:rPr>
          <w:rFonts w:ascii="Times New Roman" w:hAnsi="Times New Roman" w:cs="Times New Roman"/>
          <w:sz w:val="18"/>
          <w:szCs w:val="18"/>
        </w:rPr>
        <w:t>106</w:t>
      </w:r>
      <w:r>
        <w:rPr>
          <w:rFonts w:ascii="Times New Roman" w:hAnsi="Times New Roman" w:cs="Times New Roman"/>
          <w:sz w:val="18"/>
          <w:szCs w:val="18"/>
        </w:rPr>
        <w:t xml:space="preserve"> alude a la</w:t>
      </w:r>
      <w:r w:rsidRPr="0003125B">
        <w:rPr>
          <w:rFonts w:ascii="Times New Roman" w:hAnsi="Times New Roman" w:cs="Times New Roman"/>
          <w:sz w:val="18"/>
          <w:szCs w:val="18"/>
        </w:rPr>
        <w:t xml:space="preserve"> procedencia, </w:t>
      </w:r>
      <w:r>
        <w:rPr>
          <w:rFonts w:ascii="Times New Roman" w:hAnsi="Times New Roman" w:cs="Times New Roman"/>
          <w:sz w:val="18"/>
          <w:szCs w:val="18"/>
        </w:rPr>
        <w:t xml:space="preserve">el artículo </w:t>
      </w:r>
      <w:r w:rsidRPr="0003125B">
        <w:rPr>
          <w:rFonts w:ascii="Times New Roman" w:hAnsi="Times New Roman" w:cs="Times New Roman"/>
          <w:sz w:val="18"/>
          <w:szCs w:val="18"/>
        </w:rPr>
        <w:t xml:space="preserve">107 </w:t>
      </w:r>
      <w:r>
        <w:rPr>
          <w:rFonts w:ascii="Times New Roman" w:hAnsi="Times New Roman" w:cs="Times New Roman"/>
          <w:sz w:val="18"/>
          <w:szCs w:val="18"/>
        </w:rPr>
        <w:t xml:space="preserve">al </w:t>
      </w:r>
      <w:r w:rsidRPr="0003125B">
        <w:rPr>
          <w:rFonts w:ascii="Times New Roman" w:hAnsi="Times New Roman" w:cs="Times New Roman"/>
          <w:sz w:val="18"/>
          <w:szCs w:val="18"/>
        </w:rPr>
        <w:t xml:space="preserve">requerimiento especial aduanero, </w:t>
      </w:r>
      <w:r>
        <w:rPr>
          <w:rFonts w:ascii="Times New Roman" w:hAnsi="Times New Roman" w:cs="Times New Roman"/>
          <w:sz w:val="18"/>
          <w:szCs w:val="18"/>
        </w:rPr>
        <w:t xml:space="preserve">el artículo </w:t>
      </w:r>
      <w:r w:rsidRPr="0003125B">
        <w:rPr>
          <w:rFonts w:ascii="Times New Roman" w:hAnsi="Times New Roman" w:cs="Times New Roman"/>
          <w:sz w:val="18"/>
          <w:szCs w:val="18"/>
        </w:rPr>
        <w:t xml:space="preserve">108 </w:t>
      </w:r>
      <w:r>
        <w:rPr>
          <w:rFonts w:ascii="Times New Roman" w:hAnsi="Times New Roman" w:cs="Times New Roman"/>
          <w:sz w:val="18"/>
          <w:szCs w:val="18"/>
        </w:rPr>
        <w:t xml:space="preserve">a la </w:t>
      </w:r>
      <w:r w:rsidRPr="0003125B">
        <w:rPr>
          <w:rFonts w:ascii="Times New Roman" w:hAnsi="Times New Roman" w:cs="Times New Roman"/>
          <w:sz w:val="18"/>
          <w:szCs w:val="18"/>
        </w:rPr>
        <w:t xml:space="preserve">expedición y notificación del requerimiento especial aduanero, </w:t>
      </w:r>
      <w:r>
        <w:rPr>
          <w:rFonts w:ascii="Times New Roman" w:hAnsi="Times New Roman" w:cs="Times New Roman"/>
          <w:sz w:val="18"/>
          <w:szCs w:val="18"/>
        </w:rPr>
        <w:t xml:space="preserve">el artículo </w:t>
      </w:r>
      <w:r w:rsidRPr="0003125B">
        <w:rPr>
          <w:rFonts w:ascii="Times New Roman" w:hAnsi="Times New Roman" w:cs="Times New Roman"/>
          <w:sz w:val="18"/>
          <w:szCs w:val="18"/>
        </w:rPr>
        <w:t xml:space="preserve">109 </w:t>
      </w:r>
      <w:r>
        <w:rPr>
          <w:rFonts w:ascii="Times New Roman" w:hAnsi="Times New Roman" w:cs="Times New Roman"/>
          <w:sz w:val="18"/>
          <w:szCs w:val="18"/>
        </w:rPr>
        <w:t xml:space="preserve">a la </w:t>
      </w:r>
      <w:r w:rsidRPr="0003125B">
        <w:rPr>
          <w:rFonts w:ascii="Times New Roman" w:hAnsi="Times New Roman" w:cs="Times New Roman"/>
          <w:sz w:val="18"/>
          <w:szCs w:val="18"/>
        </w:rPr>
        <w:t xml:space="preserve">vinculación de terceros al proceso, </w:t>
      </w:r>
      <w:r>
        <w:rPr>
          <w:rFonts w:ascii="Times New Roman" w:hAnsi="Times New Roman" w:cs="Times New Roman"/>
          <w:sz w:val="18"/>
          <w:szCs w:val="18"/>
        </w:rPr>
        <w:t xml:space="preserve">el artículo </w:t>
      </w:r>
      <w:r w:rsidRPr="0003125B">
        <w:rPr>
          <w:rFonts w:ascii="Times New Roman" w:hAnsi="Times New Roman" w:cs="Times New Roman"/>
          <w:sz w:val="18"/>
          <w:szCs w:val="18"/>
        </w:rPr>
        <w:t xml:space="preserve">110 </w:t>
      </w:r>
      <w:r>
        <w:rPr>
          <w:rFonts w:ascii="Times New Roman" w:hAnsi="Times New Roman" w:cs="Times New Roman"/>
          <w:sz w:val="18"/>
          <w:szCs w:val="18"/>
        </w:rPr>
        <w:t xml:space="preserve">al </w:t>
      </w:r>
      <w:r w:rsidRPr="0003125B">
        <w:rPr>
          <w:rFonts w:ascii="Times New Roman" w:hAnsi="Times New Roman" w:cs="Times New Roman"/>
          <w:sz w:val="18"/>
          <w:szCs w:val="18"/>
        </w:rPr>
        <w:t xml:space="preserve">contenido del requerimiento especial aduanero, </w:t>
      </w:r>
      <w:r>
        <w:rPr>
          <w:rFonts w:ascii="Times New Roman" w:hAnsi="Times New Roman" w:cs="Times New Roman"/>
          <w:sz w:val="18"/>
          <w:szCs w:val="18"/>
        </w:rPr>
        <w:t xml:space="preserve">el artículo </w:t>
      </w:r>
      <w:r w:rsidRPr="0003125B">
        <w:rPr>
          <w:rFonts w:ascii="Times New Roman" w:hAnsi="Times New Roman" w:cs="Times New Roman"/>
          <w:sz w:val="18"/>
          <w:szCs w:val="18"/>
        </w:rPr>
        <w:t xml:space="preserve">111 </w:t>
      </w:r>
      <w:r>
        <w:rPr>
          <w:rFonts w:ascii="Times New Roman" w:hAnsi="Times New Roman" w:cs="Times New Roman"/>
          <w:sz w:val="18"/>
          <w:szCs w:val="18"/>
        </w:rPr>
        <w:t xml:space="preserve">a la </w:t>
      </w:r>
      <w:r w:rsidRPr="0003125B">
        <w:rPr>
          <w:rFonts w:ascii="Times New Roman" w:hAnsi="Times New Roman" w:cs="Times New Roman"/>
          <w:sz w:val="18"/>
          <w:szCs w:val="18"/>
        </w:rPr>
        <w:t>notificación y respuesta al requerimiento especia</w:t>
      </w:r>
      <w:r w:rsidRPr="0003125B">
        <w:rPr>
          <w:rFonts w:ascii="Times New Roman" w:hAnsi="Times New Roman" w:cs="Times New Roman"/>
          <w:sz w:val="18"/>
          <w:szCs w:val="18"/>
        </w:rPr>
        <w:t xml:space="preserve">l aduanero, </w:t>
      </w:r>
      <w:r>
        <w:rPr>
          <w:rFonts w:ascii="Times New Roman" w:hAnsi="Times New Roman" w:cs="Times New Roman"/>
          <w:sz w:val="18"/>
          <w:szCs w:val="18"/>
        </w:rPr>
        <w:t xml:space="preserve">el artículo </w:t>
      </w:r>
      <w:r w:rsidRPr="0003125B">
        <w:rPr>
          <w:rFonts w:ascii="Times New Roman" w:hAnsi="Times New Roman" w:cs="Times New Roman"/>
          <w:sz w:val="18"/>
          <w:szCs w:val="18"/>
        </w:rPr>
        <w:t xml:space="preserve">112 </w:t>
      </w:r>
      <w:r>
        <w:rPr>
          <w:rFonts w:ascii="Times New Roman" w:hAnsi="Times New Roman" w:cs="Times New Roman"/>
          <w:sz w:val="18"/>
          <w:szCs w:val="18"/>
        </w:rPr>
        <w:t xml:space="preserve">al </w:t>
      </w:r>
      <w:r w:rsidRPr="0003125B">
        <w:rPr>
          <w:rFonts w:ascii="Times New Roman" w:hAnsi="Times New Roman" w:cs="Times New Roman"/>
          <w:sz w:val="18"/>
          <w:szCs w:val="18"/>
        </w:rPr>
        <w:t xml:space="preserve">periodo probatorio, </w:t>
      </w:r>
      <w:r>
        <w:rPr>
          <w:rFonts w:ascii="Times New Roman" w:hAnsi="Times New Roman" w:cs="Times New Roman"/>
          <w:sz w:val="18"/>
          <w:szCs w:val="18"/>
        </w:rPr>
        <w:t xml:space="preserve">el artículo </w:t>
      </w:r>
      <w:r w:rsidRPr="0003125B">
        <w:rPr>
          <w:rFonts w:ascii="Times New Roman" w:hAnsi="Times New Roman" w:cs="Times New Roman"/>
          <w:sz w:val="18"/>
          <w:szCs w:val="18"/>
        </w:rPr>
        <w:t xml:space="preserve">113 </w:t>
      </w:r>
      <w:r>
        <w:rPr>
          <w:rFonts w:ascii="Times New Roman" w:hAnsi="Times New Roman" w:cs="Times New Roman"/>
          <w:sz w:val="18"/>
          <w:szCs w:val="18"/>
        </w:rPr>
        <w:t xml:space="preserve">al </w:t>
      </w:r>
      <w:r w:rsidRPr="0003125B">
        <w:rPr>
          <w:rFonts w:ascii="Times New Roman" w:hAnsi="Times New Roman" w:cs="Times New Roman"/>
          <w:sz w:val="18"/>
          <w:szCs w:val="18"/>
        </w:rPr>
        <w:t xml:space="preserve">acto administrativo que decide de fondo, </w:t>
      </w:r>
      <w:r>
        <w:rPr>
          <w:rFonts w:ascii="Times New Roman" w:hAnsi="Times New Roman" w:cs="Times New Roman"/>
          <w:sz w:val="18"/>
          <w:szCs w:val="18"/>
        </w:rPr>
        <w:t xml:space="preserve">el artículo </w:t>
      </w:r>
      <w:r w:rsidRPr="0003125B">
        <w:rPr>
          <w:rFonts w:ascii="Times New Roman" w:hAnsi="Times New Roman" w:cs="Times New Roman"/>
          <w:sz w:val="18"/>
          <w:szCs w:val="18"/>
        </w:rPr>
        <w:t xml:space="preserve">114 </w:t>
      </w:r>
      <w:r>
        <w:rPr>
          <w:rFonts w:ascii="Times New Roman" w:hAnsi="Times New Roman" w:cs="Times New Roman"/>
          <w:sz w:val="18"/>
          <w:szCs w:val="18"/>
        </w:rPr>
        <w:t xml:space="preserve">al contenido </w:t>
      </w:r>
      <w:r w:rsidRPr="0003125B">
        <w:rPr>
          <w:rFonts w:ascii="Times New Roman" w:hAnsi="Times New Roman" w:cs="Times New Roman"/>
          <w:sz w:val="18"/>
          <w:szCs w:val="18"/>
        </w:rPr>
        <w:t xml:space="preserve">de la liquidación oficial, </w:t>
      </w:r>
      <w:r>
        <w:rPr>
          <w:rFonts w:ascii="Times New Roman" w:hAnsi="Times New Roman" w:cs="Times New Roman"/>
          <w:sz w:val="18"/>
          <w:szCs w:val="18"/>
        </w:rPr>
        <w:t xml:space="preserve">el artículo </w:t>
      </w:r>
      <w:r w:rsidRPr="0003125B">
        <w:rPr>
          <w:rFonts w:ascii="Times New Roman" w:hAnsi="Times New Roman" w:cs="Times New Roman"/>
          <w:sz w:val="18"/>
          <w:szCs w:val="18"/>
        </w:rPr>
        <w:t xml:space="preserve">115 </w:t>
      </w:r>
      <w:r>
        <w:rPr>
          <w:rFonts w:ascii="Times New Roman" w:hAnsi="Times New Roman" w:cs="Times New Roman"/>
          <w:sz w:val="18"/>
          <w:szCs w:val="18"/>
        </w:rPr>
        <w:t xml:space="preserve">al </w:t>
      </w:r>
      <w:r w:rsidRPr="0003125B">
        <w:rPr>
          <w:rFonts w:ascii="Times New Roman" w:hAnsi="Times New Roman" w:cs="Times New Roman"/>
          <w:sz w:val="18"/>
          <w:szCs w:val="18"/>
        </w:rPr>
        <w:t xml:space="preserve">contenido de la resolución sancionatoria y </w:t>
      </w:r>
      <w:r>
        <w:rPr>
          <w:rFonts w:ascii="Times New Roman" w:hAnsi="Times New Roman" w:cs="Times New Roman"/>
          <w:sz w:val="18"/>
          <w:szCs w:val="18"/>
        </w:rPr>
        <w:t xml:space="preserve">el artículo </w:t>
      </w:r>
      <w:r w:rsidRPr="0003125B">
        <w:rPr>
          <w:rFonts w:ascii="Times New Roman" w:hAnsi="Times New Roman" w:cs="Times New Roman"/>
          <w:sz w:val="18"/>
          <w:szCs w:val="18"/>
        </w:rPr>
        <w:t>116</w:t>
      </w:r>
      <w:r>
        <w:rPr>
          <w:rFonts w:ascii="Times New Roman" w:hAnsi="Times New Roman" w:cs="Times New Roman"/>
          <w:sz w:val="18"/>
          <w:szCs w:val="18"/>
        </w:rPr>
        <w:t xml:space="preserve"> al</w:t>
      </w:r>
      <w:r w:rsidRPr="0003125B">
        <w:rPr>
          <w:rFonts w:ascii="Times New Roman" w:hAnsi="Times New Roman" w:cs="Times New Roman"/>
          <w:sz w:val="18"/>
          <w:szCs w:val="18"/>
        </w:rPr>
        <w:t xml:space="preserve"> trámite </w:t>
      </w:r>
      <w:r w:rsidRPr="0003125B">
        <w:rPr>
          <w:rFonts w:ascii="Times New Roman" w:hAnsi="Times New Roman" w:cs="Times New Roman"/>
          <w:sz w:val="18"/>
          <w:szCs w:val="18"/>
        </w:rPr>
        <w:t>para el pago de liquidaciones oficiales y sanciones</w:t>
      </w:r>
      <w:r>
        <w:rPr>
          <w:rFonts w:ascii="Times New Roman" w:hAnsi="Times New Roman" w:cs="Times New Roman"/>
          <w:sz w:val="18"/>
          <w:szCs w:val="18"/>
        </w:rPr>
        <w:t>.</w:t>
      </w:r>
    </w:p>
  </w:footnote>
  <w:footnote w:id="116">
    <w:p w:rsidR="000E6BF6" w:rsidRPr="00BD0525" w:rsidRDefault="006671C3" w:rsidP="000E6BF6">
      <w:pPr>
        <w:pStyle w:val="Textonotapie"/>
        <w:jc w:val="both"/>
        <w:rPr>
          <w:rFonts w:ascii="Times New Roman" w:hAnsi="Times New Roman" w:cs="Times New Roman"/>
          <w:sz w:val="18"/>
          <w:szCs w:val="18"/>
        </w:rPr>
      </w:pPr>
      <w:r w:rsidRPr="00BD0525">
        <w:rPr>
          <w:rStyle w:val="Refdenotaalpie"/>
          <w:rFonts w:ascii="Times New Roman" w:hAnsi="Times New Roman" w:cs="Times New Roman"/>
          <w:sz w:val="18"/>
          <w:szCs w:val="18"/>
        </w:rPr>
        <w:footnoteRef/>
      </w:r>
      <w:r w:rsidRPr="00BD0525">
        <w:rPr>
          <w:rFonts w:ascii="Times New Roman" w:hAnsi="Times New Roman" w:cs="Times New Roman"/>
          <w:sz w:val="18"/>
          <w:szCs w:val="18"/>
        </w:rPr>
        <w:t xml:space="preserve"> </w:t>
      </w:r>
      <w:r>
        <w:rPr>
          <w:rFonts w:ascii="Times New Roman" w:hAnsi="Times New Roman" w:cs="Times New Roman"/>
          <w:sz w:val="18"/>
          <w:szCs w:val="18"/>
        </w:rPr>
        <w:t>Expone la finalidad que respalda cada uno de los cinco títulos que integran el decreto demandado y, por tanto, involucrando los contenidos normativos demandados, además de señalar que el presente decreto ley contiene disposiciones relativas al régimen sanc</w:t>
      </w:r>
      <w:r>
        <w:rPr>
          <w:rFonts w:ascii="Times New Roman" w:hAnsi="Times New Roman" w:cs="Times New Roman"/>
          <w:sz w:val="18"/>
          <w:szCs w:val="18"/>
        </w:rPr>
        <w:t xml:space="preserve">ionatorio aplicables </w:t>
      </w:r>
      <w:r w:rsidRPr="00BD0525">
        <w:rPr>
          <w:rFonts w:ascii="Times New Roman" w:hAnsi="Times New Roman" w:cs="Times New Roman"/>
          <w:i/>
          <w:sz w:val="18"/>
          <w:szCs w:val="18"/>
        </w:rPr>
        <w:t>con ocasión del incumplimiento de obligaciones, responsabilidades, trámites y procedimientos previstos en el Decreto 1165 de 2019</w:t>
      </w:r>
      <w:r>
        <w:rPr>
          <w:rFonts w:ascii="Times New Roman" w:hAnsi="Times New Roman" w:cs="Times New Roman"/>
          <w:sz w:val="18"/>
          <w:szCs w:val="18"/>
        </w:rPr>
        <w:t xml:space="preserve">, entre otros.   </w:t>
      </w:r>
    </w:p>
  </w:footnote>
  <w:footnote w:id="117">
    <w:p w:rsidR="000E6BF6" w:rsidRPr="00805030" w:rsidRDefault="006671C3" w:rsidP="000E6BF6">
      <w:pPr>
        <w:pStyle w:val="Textonotapie"/>
        <w:jc w:val="both"/>
        <w:rPr>
          <w:rFonts w:ascii="Times New Roman" w:hAnsi="Times New Roman" w:cs="Times New Roman"/>
          <w:sz w:val="18"/>
          <w:szCs w:val="18"/>
        </w:rPr>
      </w:pPr>
      <w:r w:rsidRPr="00805030">
        <w:rPr>
          <w:rStyle w:val="Refdenotaalpie"/>
          <w:rFonts w:ascii="Times New Roman" w:hAnsi="Times New Roman" w:cs="Times New Roman"/>
          <w:sz w:val="18"/>
          <w:szCs w:val="18"/>
        </w:rPr>
        <w:footnoteRef/>
      </w:r>
      <w:r w:rsidRPr="00805030">
        <w:rPr>
          <w:rFonts w:ascii="Times New Roman" w:hAnsi="Times New Roman" w:cs="Times New Roman"/>
          <w:sz w:val="18"/>
          <w:szCs w:val="18"/>
        </w:rPr>
        <w:t xml:space="preserve"> </w:t>
      </w:r>
      <w:r>
        <w:rPr>
          <w:rFonts w:ascii="Times New Roman" w:hAnsi="Times New Roman" w:cs="Times New Roman"/>
          <w:sz w:val="18"/>
          <w:szCs w:val="18"/>
        </w:rPr>
        <w:t xml:space="preserve">Los artículos 7 y 9 del DL 920/23 hacen parte del título I sobre disposiciones aplicables al régimen sancionatorio, al decomiso y al procedimiento, y los artículos 29, 31, 35 y 48 se inscriben en el título II que se denomina régimen sancionatorio. </w:t>
      </w:r>
      <w:r w:rsidRPr="006E79A1">
        <w:rPr>
          <w:rFonts w:ascii="Times New Roman" w:hAnsi="Times New Roman" w:cs="Times New Roman"/>
          <w:i/>
          <w:sz w:val="18"/>
          <w:szCs w:val="18"/>
        </w:rPr>
        <w:t>Respecto</w:t>
      </w:r>
      <w:r w:rsidRPr="006E79A1">
        <w:rPr>
          <w:rFonts w:ascii="Times New Roman" w:hAnsi="Times New Roman" w:cs="Times New Roman"/>
          <w:i/>
          <w:sz w:val="18"/>
          <w:szCs w:val="18"/>
        </w:rPr>
        <w:t xml:space="preserve"> al título I</w:t>
      </w:r>
      <w:r>
        <w:rPr>
          <w:rFonts w:ascii="Times New Roman" w:hAnsi="Times New Roman" w:cs="Times New Roman"/>
          <w:sz w:val="18"/>
          <w:szCs w:val="18"/>
        </w:rPr>
        <w:t xml:space="preserve"> se señala que “establece el objeto y ámbito de aplicación del presente decreto ley incorporando los conceptos que impactan de manera transversal o dan inicio a las investigaciones (…), entre ellos, principios orientadores, facultades de fiscal</w:t>
      </w:r>
      <w:r>
        <w:rPr>
          <w:rFonts w:ascii="Times New Roman" w:hAnsi="Times New Roman" w:cs="Times New Roman"/>
          <w:sz w:val="18"/>
          <w:szCs w:val="18"/>
        </w:rPr>
        <w:t xml:space="preserve">ización asociados a sanciones, decomiso de mercancías y procedimiento aplicable, obligación de informar y la sanción correspondiente, independencia de procesos y responsabilidades”. </w:t>
      </w:r>
      <w:r w:rsidRPr="006E79A1">
        <w:rPr>
          <w:rFonts w:ascii="Times New Roman" w:hAnsi="Times New Roman" w:cs="Times New Roman"/>
          <w:i/>
          <w:sz w:val="18"/>
          <w:szCs w:val="18"/>
        </w:rPr>
        <w:t>En cuanto al título II</w:t>
      </w:r>
      <w:r>
        <w:rPr>
          <w:rFonts w:ascii="Times New Roman" w:hAnsi="Times New Roman" w:cs="Times New Roman"/>
          <w:sz w:val="18"/>
          <w:szCs w:val="18"/>
        </w:rPr>
        <w:t xml:space="preserve"> se indica que “establece el nuevo régimen sancionat</w:t>
      </w:r>
      <w:r>
        <w:rPr>
          <w:rFonts w:ascii="Times New Roman" w:hAnsi="Times New Roman" w:cs="Times New Roman"/>
          <w:sz w:val="18"/>
          <w:szCs w:val="18"/>
        </w:rPr>
        <w:t>orio enfatizando las garantías y principios constitucionales aplicables a los usuarios aduaneros, para lo cual se desarrollan aspectos como: la implementación de los estándares internacionales de Auditoria Posterior al Despacho (…) asociados al procedimien</w:t>
      </w:r>
      <w:r>
        <w:rPr>
          <w:rFonts w:ascii="Times New Roman" w:hAnsi="Times New Roman" w:cs="Times New Roman"/>
          <w:sz w:val="18"/>
          <w:szCs w:val="18"/>
        </w:rPr>
        <w:t>to de aprehensión, decomiso e imposición de sanciones para facilitar y promover el cumplimiento voluntario de las obligaciones, brindándole acompañamiento al usuario para prevenir la comisión de infracciones aduaneras o la reincidencia (…). Que, en aras de</w:t>
      </w:r>
      <w:r>
        <w:rPr>
          <w:rFonts w:ascii="Times New Roman" w:hAnsi="Times New Roman" w:cs="Times New Roman"/>
          <w:sz w:val="18"/>
          <w:szCs w:val="18"/>
        </w:rPr>
        <w:t xml:space="preserve"> fortalecer las garantías procesales para los usuarios aduaneros, resulta necesario que, tanto las infracciones como sus (…) sanciones se determinen por operación y no por declaración (…). Que la clasificación de las infracciones se determina a partir del </w:t>
      </w:r>
      <w:r>
        <w:rPr>
          <w:rFonts w:ascii="Times New Roman" w:hAnsi="Times New Roman" w:cs="Times New Roman"/>
          <w:sz w:val="18"/>
          <w:szCs w:val="18"/>
        </w:rPr>
        <w:t>daño causado al bien jurídico tutelado, el análisis de las conductas infractoras y la sanción aplicable (…), de acuerdo con las obligaciones y responsabilidades de los usuarios aduaneros, clasificándolas en gravísimas, graves y leves, garantizando congruen</w:t>
      </w:r>
      <w:r>
        <w:rPr>
          <w:rFonts w:ascii="Times New Roman" w:hAnsi="Times New Roman" w:cs="Times New Roman"/>
          <w:sz w:val="18"/>
          <w:szCs w:val="18"/>
        </w:rPr>
        <w:t>cia en los montos de su tasación en aplicación de los principios de igualdad, proporcionalidad y no imposición de doble sanción por un mismo hecho. Que estas infracciones solo serán aplicables cuando exista una norma sustantiva escrita y cierta que clasifi</w:t>
      </w:r>
      <w:r>
        <w:rPr>
          <w:rFonts w:ascii="Times New Roman" w:hAnsi="Times New Roman" w:cs="Times New Roman"/>
          <w:sz w:val="18"/>
          <w:szCs w:val="18"/>
        </w:rPr>
        <w:t xml:space="preserve">que las obligaciones aduaneras y la conducta del usuario aduanero sea posterior a su vigencia (…). Que la actividad de los usuarios aduaneros compromete bienes jurídicos tutelados importantes (…) por lo que la normatividad aduanera exige de ellos un deber </w:t>
      </w:r>
      <w:r>
        <w:rPr>
          <w:rFonts w:ascii="Times New Roman" w:hAnsi="Times New Roman" w:cs="Times New Roman"/>
          <w:sz w:val="18"/>
          <w:szCs w:val="18"/>
        </w:rPr>
        <w:t xml:space="preserve">máximo de diligencia. En consecuencia, el régimen sancionatorio aduanero, establece como principio aplicable a todas las infracciones aduaneras, que la conducta prohibida se materializa con la sola inobservancia de la norma y compromete la responsabilidad </w:t>
      </w:r>
      <w:r>
        <w:rPr>
          <w:rFonts w:ascii="Times New Roman" w:hAnsi="Times New Roman" w:cs="Times New Roman"/>
          <w:sz w:val="18"/>
          <w:szCs w:val="18"/>
        </w:rPr>
        <w:t>del usuario quien solo podrá excusarse de ella probando la existencia u ocurrencia de un evento eximente de responsabilidad”.</w:t>
      </w:r>
    </w:p>
  </w:footnote>
  <w:footnote w:id="118">
    <w:p w:rsidR="000E6BF6" w:rsidRPr="000A4EF0" w:rsidRDefault="006671C3" w:rsidP="000E6BF6">
      <w:pPr>
        <w:pStyle w:val="Textonotapie"/>
        <w:jc w:val="both"/>
        <w:rPr>
          <w:rFonts w:ascii="Times New Roman" w:hAnsi="Times New Roman" w:cs="Times New Roman"/>
          <w:sz w:val="18"/>
          <w:szCs w:val="18"/>
        </w:rPr>
      </w:pPr>
      <w:r w:rsidRPr="000A4EF0">
        <w:rPr>
          <w:rStyle w:val="Refdenotaalpie"/>
          <w:rFonts w:ascii="Times New Roman" w:hAnsi="Times New Roman" w:cs="Times New Roman"/>
          <w:sz w:val="18"/>
          <w:szCs w:val="18"/>
        </w:rPr>
        <w:footnoteRef/>
      </w:r>
      <w:r w:rsidRPr="000A4EF0">
        <w:rPr>
          <w:rFonts w:ascii="Times New Roman" w:hAnsi="Times New Roman" w:cs="Times New Roman"/>
          <w:sz w:val="18"/>
          <w:szCs w:val="18"/>
        </w:rPr>
        <w:t xml:space="preserve"> </w:t>
      </w:r>
      <w:r>
        <w:rPr>
          <w:rFonts w:ascii="Times New Roman" w:hAnsi="Times New Roman" w:cs="Times New Roman"/>
          <w:sz w:val="18"/>
          <w:szCs w:val="18"/>
        </w:rPr>
        <w:t xml:space="preserve">Entre otros se cita el principio de legalidad (num. 2), el principio de tipicidad (num. 4) y el principio de eficacia (num. 6). </w:t>
      </w:r>
      <w:r>
        <w:rPr>
          <w:rFonts w:ascii="Times New Roman" w:hAnsi="Times New Roman" w:cs="Times New Roman"/>
          <w:sz w:val="18"/>
          <w:szCs w:val="18"/>
        </w:rPr>
        <w:t xml:space="preserve">Además, señala que “La determinación de infracciones categorizadas en el presente decreto por incumplimiento de las obligaciones categorizadas será procedente cuando estas sean definidas y clasificadas en la </w:t>
      </w:r>
      <w:r w:rsidRPr="00BD0525">
        <w:rPr>
          <w:rFonts w:ascii="Times New Roman" w:hAnsi="Times New Roman" w:cs="Times New Roman"/>
          <w:i/>
          <w:sz w:val="18"/>
          <w:szCs w:val="18"/>
        </w:rPr>
        <w:t>normatividad aduanera sustancial</w:t>
      </w:r>
      <w:r>
        <w:rPr>
          <w:rFonts w:ascii="Times New Roman" w:hAnsi="Times New Roman" w:cs="Times New Roman"/>
          <w:sz w:val="18"/>
          <w:szCs w:val="18"/>
        </w:rPr>
        <w:t xml:space="preserve"> expedida en des</w:t>
      </w:r>
      <w:r>
        <w:rPr>
          <w:rFonts w:ascii="Times New Roman" w:hAnsi="Times New Roman" w:cs="Times New Roman"/>
          <w:sz w:val="18"/>
          <w:szCs w:val="18"/>
        </w:rPr>
        <w:t xml:space="preserve">arrollo de los numerales 11 y 25 del artículo 189 de la Constitución Política, según corresponda, una vez entren en vigencia”. </w:t>
      </w:r>
    </w:p>
  </w:footnote>
  <w:footnote w:id="119">
    <w:p w:rsidR="000E6BF6" w:rsidRPr="001371EE" w:rsidRDefault="006671C3" w:rsidP="000E6BF6">
      <w:pPr>
        <w:pStyle w:val="Textonotapie"/>
        <w:jc w:val="both"/>
        <w:rPr>
          <w:rFonts w:ascii="Times New Roman" w:hAnsi="Times New Roman" w:cs="Times New Roman"/>
          <w:sz w:val="18"/>
          <w:szCs w:val="18"/>
          <w:lang w:val="es-ES"/>
        </w:rPr>
      </w:pPr>
      <w:r w:rsidRPr="001371EE">
        <w:rPr>
          <w:rStyle w:val="Refdenotaalpie"/>
          <w:rFonts w:ascii="Times New Roman" w:hAnsi="Times New Roman" w:cs="Times New Roman"/>
          <w:sz w:val="18"/>
          <w:szCs w:val="18"/>
        </w:rPr>
        <w:footnoteRef/>
      </w:r>
      <w:r w:rsidRPr="001371EE">
        <w:rPr>
          <w:rFonts w:ascii="Times New Roman" w:hAnsi="Times New Roman" w:cs="Times New Roman"/>
          <w:sz w:val="18"/>
          <w:szCs w:val="18"/>
        </w:rPr>
        <w:t xml:space="preserve"> En la Sentencia C-189/17 se establece los dos ámbitos del requisito de certeza: “Conforme a la exigencia de certeza, de una pa</w:t>
      </w:r>
      <w:r w:rsidRPr="001371EE">
        <w:rPr>
          <w:rFonts w:ascii="Times New Roman" w:hAnsi="Times New Roman" w:cs="Times New Roman"/>
          <w:sz w:val="18"/>
          <w:szCs w:val="18"/>
        </w:rPr>
        <w:t>rte, se requiere que los cargos tengan por objeto un enunciado normativo perteneciente al ordenamiento jurídico e ir dirigidos a impugnar la disposición señalada en la demanda y, de la otra, que la norma sea susceptible de inferirse del enunciado acusado y</w:t>
      </w:r>
      <w:r w:rsidRPr="001371EE">
        <w:rPr>
          <w:rFonts w:ascii="Times New Roman" w:hAnsi="Times New Roman" w:cs="Times New Roman"/>
          <w:sz w:val="18"/>
          <w:szCs w:val="18"/>
        </w:rPr>
        <w:t xml:space="preserve"> no constituir el producto de una construcción exclusivamente subjetiva, con base en presunciones, conjeturas o sospechas del actor”. Así mismo, en la Sentencia C-190 de 2023 se manifestó: “[L]a interpretación ofrecida por el accionante desconoce el sistem</w:t>
      </w:r>
      <w:r w:rsidRPr="001371EE">
        <w:rPr>
          <w:rFonts w:ascii="Times New Roman" w:hAnsi="Times New Roman" w:cs="Times New Roman"/>
          <w:sz w:val="18"/>
          <w:szCs w:val="18"/>
        </w:rPr>
        <w:t>a normativo en el cual se halla inserto (…). Así, estructura el cargo desechando cualquier mención a ingredientes que, si bien se encuentran regulados en otros apartes normativos de la ley acusada, son indispensables para entender su alcance objetivo. En e</w:t>
      </w:r>
      <w:r w:rsidRPr="001371EE">
        <w:rPr>
          <w:rFonts w:ascii="Times New Roman" w:hAnsi="Times New Roman" w:cs="Times New Roman"/>
          <w:sz w:val="18"/>
          <w:szCs w:val="18"/>
        </w:rPr>
        <w:t>sa medida, el actor partió de una interpretación aislada de la norma demandada, cuando una lectura sistemática e integral de la ley (…) le permitía hallar razones que podrían descartar o le imponía sopesar el alcance de sus escasas afirmaciones. (…)”.</w:t>
      </w:r>
    </w:p>
  </w:footnote>
  <w:footnote w:id="120">
    <w:p w:rsidR="000E6BF6" w:rsidRPr="001371EE" w:rsidRDefault="006671C3" w:rsidP="000E6BF6">
      <w:pPr>
        <w:pStyle w:val="Textonotapie"/>
        <w:jc w:val="both"/>
        <w:rPr>
          <w:rFonts w:ascii="Times New Roman" w:hAnsi="Times New Roman" w:cs="Times New Roman"/>
          <w:sz w:val="18"/>
          <w:szCs w:val="18"/>
        </w:rPr>
      </w:pPr>
      <w:r w:rsidRPr="001371EE">
        <w:rPr>
          <w:rStyle w:val="Refdenotaalpie"/>
          <w:rFonts w:ascii="Times New Roman" w:hAnsi="Times New Roman" w:cs="Times New Roman"/>
          <w:sz w:val="18"/>
          <w:szCs w:val="18"/>
        </w:rPr>
        <w:footnoteRef/>
      </w:r>
      <w:r w:rsidRPr="001371EE">
        <w:rPr>
          <w:rFonts w:ascii="Times New Roman" w:hAnsi="Times New Roman" w:cs="Times New Roman"/>
          <w:sz w:val="18"/>
          <w:szCs w:val="18"/>
        </w:rPr>
        <w:t xml:space="preserve"> Lo</w:t>
      </w:r>
      <w:r w:rsidRPr="001371EE">
        <w:rPr>
          <w:rFonts w:ascii="Times New Roman" w:hAnsi="Times New Roman" w:cs="Times New Roman"/>
          <w:sz w:val="18"/>
          <w:szCs w:val="18"/>
        </w:rPr>
        <w:t>s parágrafos 1, 2 y 3 traen a colación otras circunstancias de presentación de la caducidad dependiendo de la infracción involucrada, para lo cual se instituyen diferentes tiempos.</w:t>
      </w:r>
    </w:p>
  </w:footnote>
  <w:footnote w:id="121">
    <w:p w:rsidR="000E6BF6" w:rsidRPr="001371EE" w:rsidRDefault="006671C3" w:rsidP="000E6BF6">
      <w:pPr>
        <w:pStyle w:val="Textonotapie"/>
        <w:rPr>
          <w:rFonts w:ascii="Times New Roman" w:hAnsi="Times New Roman" w:cs="Times New Roman"/>
          <w:sz w:val="18"/>
          <w:szCs w:val="18"/>
          <w:lang w:val="es-ES"/>
        </w:rPr>
      </w:pPr>
      <w:r w:rsidRPr="001371EE">
        <w:rPr>
          <w:rStyle w:val="Refdenotaalpie"/>
          <w:rFonts w:ascii="Times New Roman" w:hAnsi="Times New Roman" w:cs="Times New Roman"/>
          <w:sz w:val="18"/>
          <w:szCs w:val="18"/>
        </w:rPr>
        <w:footnoteRef/>
      </w:r>
      <w:r w:rsidRPr="001371EE">
        <w:rPr>
          <w:rFonts w:ascii="Times New Roman" w:hAnsi="Times New Roman" w:cs="Times New Roman"/>
          <w:sz w:val="18"/>
          <w:szCs w:val="18"/>
        </w:rPr>
        <w:t xml:space="preserve"> Se debe anotar que el artículo 108 del Decreto Ley 920 de 2023 contiene u</w:t>
      </w:r>
      <w:r w:rsidRPr="001371EE">
        <w:rPr>
          <w:rFonts w:ascii="Times New Roman" w:hAnsi="Times New Roman" w:cs="Times New Roman"/>
          <w:sz w:val="18"/>
          <w:szCs w:val="18"/>
        </w:rPr>
        <w:t xml:space="preserve">n inciso similar al acusado por el actor. </w:t>
      </w:r>
    </w:p>
  </w:footnote>
  <w:footnote w:id="122">
    <w:p w:rsidR="000E6BF6" w:rsidRPr="00D84D68" w:rsidRDefault="006671C3" w:rsidP="000E6BF6">
      <w:pPr>
        <w:pStyle w:val="Textonotapie"/>
        <w:jc w:val="both"/>
        <w:rPr>
          <w:rFonts w:ascii="Times New Roman" w:hAnsi="Times New Roman" w:cs="Times New Roman"/>
          <w:sz w:val="18"/>
          <w:szCs w:val="18"/>
        </w:rPr>
      </w:pPr>
      <w:r w:rsidRPr="001371EE">
        <w:rPr>
          <w:rStyle w:val="Refdenotaalpie"/>
          <w:rFonts w:ascii="Times New Roman" w:hAnsi="Times New Roman" w:cs="Times New Roman"/>
          <w:sz w:val="18"/>
          <w:szCs w:val="18"/>
        </w:rPr>
        <w:footnoteRef/>
      </w:r>
      <w:r w:rsidRPr="001371EE">
        <w:rPr>
          <w:rFonts w:ascii="Times New Roman" w:hAnsi="Times New Roman" w:cs="Times New Roman"/>
          <w:sz w:val="18"/>
          <w:szCs w:val="18"/>
        </w:rPr>
        <w:t xml:space="preserve"> La Ley 1609 de 2013 constituye la ley marco de aduanas y el Decreto 1165 de 2019 el régimen de aduanas que se expidió en desarrollo de dicha ley marco, el cual ha sido objeto de modificaciones a través del Decreto 360 de 2021 y recientemente por el Decret</w:t>
      </w:r>
      <w:r w:rsidRPr="001371EE">
        <w:rPr>
          <w:rFonts w:ascii="Times New Roman" w:hAnsi="Times New Roman" w:cs="Times New Roman"/>
          <w:sz w:val="18"/>
          <w:szCs w:val="18"/>
        </w:rPr>
        <w:t>o 0659 de 2024 (22 de mayo). El régimen sancionatorio de Aduanas (Decreto Ley 920/23), remite expresamente al régimen de aduanas (Decreto ejecutivo 1165/19 y sus modificaciones), expedido en virtud del artículo 189. 25 de la Constitución, al regular las re</w:t>
      </w:r>
      <w:r w:rsidRPr="001371EE">
        <w:rPr>
          <w:rFonts w:ascii="Times New Roman" w:hAnsi="Times New Roman" w:cs="Times New Roman"/>
          <w:sz w:val="18"/>
          <w:szCs w:val="18"/>
        </w:rPr>
        <w:t>laciones jurídicas entre la administración y quienes intervienen en el ingreso, permanencia, traslado y salida de las mercancías, hacia y desde el territorio aduanero nacional (art. 1, Dcto. 1165/19) y contemplar disposiciones relacionadas con los derechos</w:t>
      </w:r>
      <w:r w:rsidRPr="001371EE">
        <w:rPr>
          <w:rFonts w:ascii="Times New Roman" w:hAnsi="Times New Roman" w:cs="Times New Roman"/>
          <w:sz w:val="18"/>
          <w:szCs w:val="18"/>
        </w:rPr>
        <w:t xml:space="preserve"> y obligaciones de los usuarios aduaneros, los procesos, trámites, términos y condiciones sobre los diferentes regímenes aduaneros, que comprende, entre otros, las declaraciones que se deben presentar, los documentos soporte de las operaciones de comercio </w:t>
      </w:r>
      <w:r w:rsidRPr="001371EE">
        <w:rPr>
          <w:rFonts w:ascii="Times New Roman" w:hAnsi="Times New Roman" w:cs="Times New Roman"/>
          <w:sz w:val="18"/>
          <w:szCs w:val="18"/>
        </w:rPr>
        <w:t>exterior, los plazos para su presentación y, en general, todas aquellas que permitan el legítimo desarrollo del comercio exterior en condiciones que protejan la seguridad nacional (Dcto. 0659/24). Así mismo, el artículo 155</w:t>
      </w:r>
      <w:r w:rsidRPr="001371EE">
        <w:t xml:space="preserve"> </w:t>
      </w:r>
      <w:r w:rsidRPr="001371EE">
        <w:rPr>
          <w:rFonts w:ascii="Times New Roman" w:hAnsi="Times New Roman" w:cs="Times New Roman"/>
          <w:sz w:val="18"/>
          <w:szCs w:val="18"/>
        </w:rPr>
        <w:t>derogó los títulos 14, 15 y 16 d</w:t>
      </w:r>
      <w:r w:rsidRPr="001371EE">
        <w:rPr>
          <w:rFonts w:ascii="Times New Roman" w:hAnsi="Times New Roman" w:cs="Times New Roman"/>
          <w:sz w:val="18"/>
          <w:szCs w:val="18"/>
        </w:rPr>
        <w:t>el Decreto 1165 de 2019. De otro lado, en la Sentencia C-441 de 2021 la Corte refirió al ámbito de competencia de las leyes marco en materia de</w:t>
      </w:r>
      <w:r w:rsidRPr="00D84D68">
        <w:rPr>
          <w:rFonts w:ascii="Times New Roman" w:hAnsi="Times New Roman" w:cs="Times New Roman"/>
          <w:sz w:val="18"/>
          <w:szCs w:val="18"/>
        </w:rPr>
        <w:t xml:space="preserve"> aranceles, tarifas y demás disposiciones concernientes al régimen de aduanas, y la potestad regulatoria del ejec</w:t>
      </w:r>
      <w:r w:rsidRPr="00D84D68">
        <w:rPr>
          <w:rFonts w:ascii="Times New Roman" w:hAnsi="Times New Roman" w:cs="Times New Roman"/>
          <w:sz w:val="18"/>
          <w:szCs w:val="18"/>
        </w:rPr>
        <w:t>utivo en esta materia (arts. 150.19, lit. c) y 189.25 de la Constitución). Luego de delimitar algunas de las materias propias de este tipo de leyes concluyó que “no todos los aspectos del régimen de aduanas están sometidos a la técnica legislativa de las l</w:t>
      </w:r>
      <w:r w:rsidRPr="00D84D68">
        <w:rPr>
          <w:rFonts w:ascii="Times New Roman" w:hAnsi="Times New Roman" w:cs="Times New Roman"/>
          <w:sz w:val="18"/>
          <w:szCs w:val="18"/>
        </w:rPr>
        <w:t>eyes marco y de los decretos que las desarrollan, sino solo aquellas modificaciones de los aranceles, tarifas y demás disposiciones concernientes a este régimen encaminadas al logro de objetivos que tengan un claro y marcado propósito comercial y que, adem</w:t>
      </w:r>
      <w:r w:rsidRPr="00D84D68">
        <w:rPr>
          <w:rFonts w:ascii="Times New Roman" w:hAnsi="Times New Roman" w:cs="Times New Roman"/>
          <w:sz w:val="18"/>
          <w:szCs w:val="18"/>
        </w:rPr>
        <w:t>ás, obedezcan al carácter dinámico y altamente especializado que caracteriza a las materias objeto de dicha regulación especial. Por lo tanto, aquellos asuntos que persigan intereses distintos o ajenos a una política comercial, seguirán siendo de competenc</w:t>
      </w:r>
      <w:r w:rsidRPr="00D84D68">
        <w:rPr>
          <w:rFonts w:ascii="Times New Roman" w:hAnsi="Times New Roman" w:cs="Times New Roman"/>
          <w:sz w:val="18"/>
          <w:szCs w:val="18"/>
        </w:rPr>
        <w:t>ia exclusiva del legislador, no obstante que guarden relación con el régimen aduanero, como pueden ser los objetivos atinentes a la política fiscal, sancionatoria o penal”.</w:t>
      </w:r>
    </w:p>
  </w:footnote>
  <w:footnote w:id="123">
    <w:p w:rsidR="000E6BF6" w:rsidRPr="00D84D68" w:rsidRDefault="006671C3" w:rsidP="000E6BF6">
      <w:pPr>
        <w:pStyle w:val="Textonotapie"/>
        <w:rPr>
          <w:rFonts w:ascii="Times New Roman" w:hAnsi="Times New Roman" w:cs="Times New Roman"/>
          <w:sz w:val="18"/>
          <w:szCs w:val="18"/>
        </w:rPr>
      </w:pPr>
      <w:r w:rsidRPr="00D84D68">
        <w:rPr>
          <w:rStyle w:val="Refdenotaalpie"/>
          <w:rFonts w:ascii="Times New Roman" w:hAnsi="Times New Roman" w:cs="Times New Roman"/>
          <w:sz w:val="18"/>
          <w:szCs w:val="18"/>
        </w:rPr>
        <w:footnoteRef/>
      </w:r>
      <w:r w:rsidRPr="00D84D68">
        <w:rPr>
          <w:rFonts w:ascii="Times New Roman" w:hAnsi="Times New Roman" w:cs="Times New Roman"/>
          <w:sz w:val="18"/>
          <w:szCs w:val="18"/>
        </w:rPr>
        <w:t xml:space="preserve"> Artículo 1. Objeto y ámbito de aplicación.</w:t>
      </w:r>
    </w:p>
  </w:footnote>
  <w:footnote w:id="124">
    <w:p w:rsidR="000E6BF6" w:rsidRPr="00D84D68" w:rsidRDefault="006671C3" w:rsidP="000E6BF6">
      <w:pPr>
        <w:pStyle w:val="Textonotapie"/>
        <w:jc w:val="both"/>
        <w:rPr>
          <w:rFonts w:ascii="Times New Roman" w:hAnsi="Times New Roman" w:cs="Times New Roman"/>
          <w:sz w:val="18"/>
          <w:szCs w:val="18"/>
        </w:rPr>
      </w:pPr>
      <w:r w:rsidRPr="00D84D68">
        <w:rPr>
          <w:rStyle w:val="Refdenotaalpie"/>
          <w:rFonts w:ascii="Times New Roman" w:hAnsi="Times New Roman" w:cs="Times New Roman"/>
          <w:sz w:val="18"/>
          <w:szCs w:val="18"/>
        </w:rPr>
        <w:footnoteRef/>
      </w:r>
      <w:r w:rsidRPr="00D84D68">
        <w:rPr>
          <w:rFonts w:ascii="Times New Roman" w:hAnsi="Times New Roman" w:cs="Times New Roman"/>
          <w:sz w:val="18"/>
          <w:szCs w:val="18"/>
        </w:rPr>
        <w:t xml:space="preserve"> </w:t>
      </w:r>
      <w:r>
        <w:rPr>
          <w:rFonts w:ascii="Times New Roman" w:hAnsi="Times New Roman" w:cs="Times New Roman"/>
          <w:sz w:val="18"/>
          <w:szCs w:val="18"/>
        </w:rPr>
        <w:t>Artículo 2. Principios generales apl</w:t>
      </w:r>
      <w:r>
        <w:rPr>
          <w:rFonts w:ascii="Times New Roman" w:hAnsi="Times New Roman" w:cs="Times New Roman"/>
          <w:sz w:val="18"/>
          <w:szCs w:val="18"/>
        </w:rPr>
        <w:t xml:space="preserve">icables a este decreto (favorabilidad, legalidad, prohibición de doble sanción por la misma infracción o aprehensión por el mismo hecho, tipicidad, prohibición de la analogía y eficacia). </w:t>
      </w:r>
    </w:p>
  </w:footnote>
  <w:footnote w:id="125">
    <w:p w:rsidR="000E6BF6" w:rsidRPr="00336D4A" w:rsidRDefault="006671C3" w:rsidP="000E6BF6">
      <w:pPr>
        <w:pStyle w:val="Textonotapie"/>
        <w:rPr>
          <w:rFonts w:ascii="Times New Roman" w:hAnsi="Times New Roman" w:cs="Times New Roman"/>
          <w:sz w:val="18"/>
          <w:szCs w:val="18"/>
        </w:rPr>
      </w:pPr>
      <w:r w:rsidRPr="00336D4A">
        <w:rPr>
          <w:rStyle w:val="Refdenotaalpie"/>
          <w:rFonts w:ascii="Times New Roman" w:hAnsi="Times New Roman" w:cs="Times New Roman"/>
          <w:sz w:val="18"/>
          <w:szCs w:val="18"/>
        </w:rPr>
        <w:footnoteRef/>
      </w:r>
      <w:r w:rsidRPr="00336D4A">
        <w:rPr>
          <w:rFonts w:ascii="Times New Roman" w:hAnsi="Times New Roman" w:cs="Times New Roman"/>
          <w:sz w:val="18"/>
          <w:szCs w:val="18"/>
        </w:rPr>
        <w:t xml:space="preserve"> Artículo 576. Control aduanero. </w:t>
      </w:r>
    </w:p>
  </w:footnote>
  <w:footnote w:id="126">
    <w:p w:rsidR="000E6BF6" w:rsidRPr="00B909A3" w:rsidRDefault="006671C3" w:rsidP="000E6BF6">
      <w:pPr>
        <w:pStyle w:val="Textonotapie"/>
        <w:jc w:val="both"/>
        <w:rPr>
          <w:rFonts w:ascii="Times New Roman" w:hAnsi="Times New Roman" w:cs="Times New Roman"/>
          <w:sz w:val="18"/>
          <w:szCs w:val="18"/>
        </w:rPr>
      </w:pPr>
      <w:r w:rsidRPr="00B909A3">
        <w:rPr>
          <w:rStyle w:val="Refdenotaalpie"/>
          <w:rFonts w:ascii="Times New Roman" w:hAnsi="Times New Roman" w:cs="Times New Roman"/>
          <w:sz w:val="18"/>
          <w:szCs w:val="18"/>
        </w:rPr>
        <w:footnoteRef/>
      </w:r>
      <w:r w:rsidRPr="00B909A3">
        <w:rPr>
          <w:rFonts w:ascii="Times New Roman" w:hAnsi="Times New Roman" w:cs="Times New Roman"/>
          <w:sz w:val="18"/>
          <w:szCs w:val="18"/>
        </w:rPr>
        <w:t xml:space="preserve"> </w:t>
      </w:r>
      <w:r>
        <w:rPr>
          <w:rFonts w:ascii="Times New Roman" w:hAnsi="Times New Roman" w:cs="Times New Roman"/>
          <w:sz w:val="18"/>
          <w:szCs w:val="18"/>
        </w:rPr>
        <w:t xml:space="preserve">“Artículo 581. </w:t>
      </w:r>
      <w:r w:rsidRPr="00B909A3">
        <w:rPr>
          <w:rFonts w:ascii="Times New Roman" w:hAnsi="Times New Roman" w:cs="Times New Roman"/>
          <w:sz w:val="18"/>
          <w:szCs w:val="18"/>
        </w:rPr>
        <w:t>C</w:t>
      </w:r>
      <w:r>
        <w:rPr>
          <w:rFonts w:ascii="Times New Roman" w:hAnsi="Times New Roman" w:cs="Times New Roman"/>
          <w:sz w:val="18"/>
          <w:szCs w:val="18"/>
        </w:rPr>
        <w:t>ontrol posteri</w:t>
      </w:r>
      <w:r>
        <w:rPr>
          <w:rFonts w:ascii="Times New Roman" w:hAnsi="Times New Roman" w:cs="Times New Roman"/>
          <w:sz w:val="18"/>
          <w:szCs w:val="18"/>
        </w:rPr>
        <w:t xml:space="preserve">or o de fiscalización. </w:t>
      </w:r>
      <w:r w:rsidRPr="00B909A3">
        <w:rPr>
          <w:rFonts w:ascii="Times New Roman" w:hAnsi="Times New Roman" w:cs="Times New Roman"/>
          <w:sz w:val="18"/>
          <w:szCs w:val="18"/>
        </w:rPr>
        <w:t>En esta etapa el control se llevará a cabo sobre las mercancías, los documentos relativos a las operaciones comerciales, las operaciones de perfeccionamiento. Esto, mediante comprobaciones, estudios o investigaciones que buscan estab</w:t>
      </w:r>
      <w:r w:rsidRPr="00B909A3">
        <w:rPr>
          <w:rFonts w:ascii="Times New Roman" w:hAnsi="Times New Roman" w:cs="Times New Roman"/>
          <w:sz w:val="18"/>
          <w:szCs w:val="18"/>
        </w:rPr>
        <w:t>lecer el acatamiento de la obligación aduanera por parte de los usuarios aduaneros, la exactitud de los datos consignados en declaraciones aduaneras presentadas durante un determinado período de tiempo, el cumplimiento de los requisitos exigidos para un ré</w:t>
      </w:r>
      <w:r w:rsidRPr="00B909A3">
        <w:rPr>
          <w:rFonts w:ascii="Times New Roman" w:hAnsi="Times New Roman" w:cs="Times New Roman"/>
          <w:sz w:val="18"/>
          <w:szCs w:val="18"/>
        </w:rPr>
        <w:t>gimen o modalidad aduanera determinada, así como de los requisitos exigidos a las mercancías sometidas a un régimen aduanero con o sin pago de tributos aduaneros.</w:t>
      </w:r>
      <w:r>
        <w:rPr>
          <w:rFonts w:ascii="Times New Roman" w:hAnsi="Times New Roman" w:cs="Times New Roman"/>
          <w:sz w:val="18"/>
          <w:szCs w:val="18"/>
        </w:rPr>
        <w:t xml:space="preserve"> </w:t>
      </w:r>
      <w:r w:rsidRPr="00B909A3">
        <w:rPr>
          <w:rFonts w:ascii="Times New Roman" w:hAnsi="Times New Roman" w:cs="Times New Roman"/>
          <w:sz w:val="18"/>
          <w:szCs w:val="18"/>
        </w:rPr>
        <w:t xml:space="preserve">A estos efectos, se aplicarán controles por auditoría, por sectores o empresas, para lo cual </w:t>
      </w:r>
      <w:r w:rsidRPr="00B909A3">
        <w:rPr>
          <w:rFonts w:ascii="Times New Roman" w:hAnsi="Times New Roman" w:cs="Times New Roman"/>
          <w:sz w:val="18"/>
          <w:szCs w:val="18"/>
        </w:rPr>
        <w:t>se verificarán los libros pertinentes, registros, sistemas y soportes contables y datos comerciales, pertenecientes a las personas auditadas y sus relacionados. Los resultados se aplicarán a las declaraciones aduaneras que correspondan.</w:t>
      </w:r>
      <w:r>
        <w:rPr>
          <w:rFonts w:ascii="Times New Roman" w:hAnsi="Times New Roman" w:cs="Times New Roman"/>
          <w:sz w:val="18"/>
          <w:szCs w:val="18"/>
        </w:rPr>
        <w:t xml:space="preserve"> </w:t>
      </w:r>
      <w:r w:rsidRPr="00B909A3">
        <w:rPr>
          <w:rFonts w:ascii="Times New Roman" w:hAnsi="Times New Roman" w:cs="Times New Roman"/>
          <w:sz w:val="18"/>
          <w:szCs w:val="18"/>
        </w:rPr>
        <w:t>La autoridad aduane</w:t>
      </w:r>
      <w:r w:rsidRPr="00B909A3">
        <w:rPr>
          <w:rFonts w:ascii="Times New Roman" w:hAnsi="Times New Roman" w:cs="Times New Roman"/>
          <w:sz w:val="18"/>
          <w:szCs w:val="18"/>
        </w:rPr>
        <w:t>ra podrá abstenerse de iniciar un proceso administrativo, en los eventos previstos por la reglamentación al respecto</w:t>
      </w:r>
      <w:r>
        <w:rPr>
          <w:rFonts w:ascii="Times New Roman" w:hAnsi="Times New Roman" w:cs="Times New Roman"/>
          <w:sz w:val="18"/>
          <w:szCs w:val="18"/>
        </w:rPr>
        <w:t>”</w:t>
      </w:r>
      <w:r w:rsidRPr="00B909A3">
        <w:rPr>
          <w:rFonts w:ascii="Times New Roman" w:hAnsi="Times New Roman" w:cs="Times New Roman"/>
          <w:sz w:val="18"/>
          <w:szCs w:val="18"/>
        </w:rPr>
        <w:t>.</w:t>
      </w:r>
    </w:p>
  </w:footnote>
  <w:footnote w:id="127">
    <w:p w:rsidR="000E6BF6" w:rsidRPr="001371EE" w:rsidRDefault="006671C3" w:rsidP="000E6BF6">
      <w:pPr>
        <w:pStyle w:val="Textonotapie"/>
        <w:jc w:val="both"/>
        <w:rPr>
          <w:rFonts w:ascii="Times New Roman" w:hAnsi="Times New Roman" w:cs="Times New Roman"/>
          <w:sz w:val="18"/>
          <w:szCs w:val="18"/>
        </w:rPr>
      </w:pPr>
      <w:r w:rsidRPr="001371EE">
        <w:rPr>
          <w:rStyle w:val="Refdenotaalpie"/>
          <w:rFonts w:ascii="Times New Roman" w:hAnsi="Times New Roman" w:cs="Times New Roman"/>
          <w:sz w:val="18"/>
          <w:szCs w:val="18"/>
        </w:rPr>
        <w:footnoteRef/>
      </w:r>
      <w:r w:rsidRPr="001371EE">
        <w:rPr>
          <w:rFonts w:ascii="Times New Roman" w:hAnsi="Times New Roman" w:cs="Times New Roman"/>
          <w:sz w:val="18"/>
          <w:szCs w:val="18"/>
        </w:rPr>
        <w:t xml:space="preserve"> Sentencia C-146 de 2017. Además, en la C-069 de 2023 se sostuvo: “la jurisprudencia de esta Corte, se ha encargado de señalar cuándo un</w:t>
      </w:r>
      <w:r w:rsidRPr="001371EE">
        <w:rPr>
          <w:rFonts w:ascii="Times New Roman" w:hAnsi="Times New Roman" w:cs="Times New Roman"/>
          <w:sz w:val="18"/>
          <w:szCs w:val="18"/>
        </w:rPr>
        <w:t xml:space="preserve"> concepto jurídico indeterminado viola el principio de legalidad. Esto, bajo el siguiente criterio: “[E]l principio de legalidad no es vulnerado por cualquier indeterminación normativa, </w:t>
      </w:r>
      <w:r w:rsidRPr="001371EE">
        <w:rPr>
          <w:rFonts w:ascii="Times New Roman" w:hAnsi="Times New Roman" w:cs="Times New Roman"/>
          <w:i/>
          <w:iCs/>
          <w:sz w:val="18"/>
          <w:szCs w:val="18"/>
        </w:rPr>
        <w:t>sino por una indeterminación insuperable</w:t>
      </w:r>
      <w:r w:rsidRPr="001371EE">
        <w:rPr>
          <w:rFonts w:ascii="Times New Roman" w:hAnsi="Times New Roman" w:cs="Times New Roman"/>
          <w:sz w:val="18"/>
          <w:szCs w:val="18"/>
        </w:rPr>
        <w:t xml:space="preserve">, situación que se presenta </w:t>
      </w:r>
      <w:r w:rsidRPr="001371EE">
        <w:rPr>
          <w:rFonts w:ascii="Times New Roman" w:hAnsi="Times New Roman" w:cs="Times New Roman"/>
          <w:sz w:val="18"/>
          <w:szCs w:val="18"/>
        </w:rPr>
        <w:t>cuando una norma es ambigua y ‘ni aun con apoyo en argumentos jurídicos razonables es posible trazar una frontera que divida con suficiente claridad el comportamiento lícito del ilícito’. De acuerdo con este criterio, una indeterminación inicial se entiend</w:t>
      </w:r>
      <w:r w:rsidRPr="001371EE">
        <w:rPr>
          <w:rFonts w:ascii="Times New Roman" w:hAnsi="Times New Roman" w:cs="Times New Roman"/>
          <w:sz w:val="18"/>
          <w:szCs w:val="18"/>
        </w:rPr>
        <w:t>e superada si (i) como resultado de la interpretación razonable se asegura un grado admisible de previsibilidad a los destinatarios de la ley, (ii) se garantiza el derecho de defensa pues una eventual imputación o acusación por violar la norma es susceptib</w:t>
      </w:r>
      <w:r w:rsidRPr="001371EE">
        <w:rPr>
          <w:rFonts w:ascii="Times New Roman" w:hAnsi="Times New Roman" w:cs="Times New Roman"/>
          <w:sz w:val="18"/>
          <w:szCs w:val="18"/>
        </w:rPr>
        <w:t>le de ser refutada y (iii) el sentido del precepto es tan claro que es posible definir cuál es el comportamiento que pretende prevenirse o estimularse”.</w:t>
      </w:r>
    </w:p>
  </w:footnote>
  <w:footnote w:id="128">
    <w:p w:rsidR="000E6BF6" w:rsidRPr="001371EE" w:rsidRDefault="006671C3" w:rsidP="000E6BF6">
      <w:pPr>
        <w:pStyle w:val="Textonotapie"/>
        <w:jc w:val="both"/>
        <w:rPr>
          <w:rFonts w:ascii="Times New Roman" w:hAnsi="Times New Roman" w:cs="Times New Roman"/>
          <w:sz w:val="18"/>
          <w:szCs w:val="18"/>
          <w:lang w:val="es-ES"/>
        </w:rPr>
      </w:pPr>
      <w:r w:rsidRPr="001371EE">
        <w:rPr>
          <w:rStyle w:val="Refdenotaalpie"/>
          <w:rFonts w:ascii="Times New Roman" w:hAnsi="Times New Roman" w:cs="Times New Roman"/>
          <w:sz w:val="18"/>
          <w:szCs w:val="18"/>
        </w:rPr>
        <w:footnoteRef/>
      </w:r>
      <w:r w:rsidRPr="001371EE">
        <w:rPr>
          <w:rFonts w:ascii="Times New Roman" w:hAnsi="Times New Roman" w:cs="Times New Roman"/>
          <w:sz w:val="18"/>
          <w:szCs w:val="18"/>
        </w:rPr>
        <w:t xml:space="preserve"> Adicionalmente, el inciso que acusa el actor contempla que “se podrá imponer la sanción prevista en e</w:t>
      </w:r>
      <w:r w:rsidRPr="001371EE">
        <w:rPr>
          <w:rFonts w:ascii="Times New Roman" w:hAnsi="Times New Roman" w:cs="Times New Roman"/>
          <w:sz w:val="18"/>
          <w:szCs w:val="18"/>
        </w:rPr>
        <w:t>l inciso anterior”, no obstante, leído este no se verifica con claridad (mercancías objeto de toma de muestras), por lo que pareciera incurrir en un posible error de técnica legislativa (cfr. Sentencia C-189 de 2019).</w:t>
      </w:r>
    </w:p>
  </w:footnote>
  <w:footnote w:id="129">
    <w:p w:rsidR="000E6BF6" w:rsidRPr="001371EE" w:rsidRDefault="006671C3" w:rsidP="000E6BF6">
      <w:pPr>
        <w:pStyle w:val="Textonotapie"/>
        <w:jc w:val="both"/>
        <w:rPr>
          <w:rFonts w:ascii="Times New Roman" w:hAnsi="Times New Roman" w:cs="Times New Roman"/>
          <w:sz w:val="18"/>
          <w:szCs w:val="18"/>
          <w:lang w:val="es-ES"/>
        </w:rPr>
      </w:pPr>
      <w:r w:rsidRPr="001371EE">
        <w:rPr>
          <w:rStyle w:val="Refdenotaalpie"/>
          <w:rFonts w:ascii="Times New Roman" w:hAnsi="Times New Roman" w:cs="Times New Roman"/>
          <w:sz w:val="18"/>
          <w:szCs w:val="18"/>
        </w:rPr>
        <w:footnoteRef/>
      </w:r>
      <w:r w:rsidRPr="001371EE">
        <w:rPr>
          <w:rFonts w:ascii="Times New Roman" w:hAnsi="Times New Roman" w:cs="Times New Roman"/>
          <w:sz w:val="18"/>
          <w:szCs w:val="18"/>
        </w:rPr>
        <w:t xml:space="preserve"> </w:t>
      </w:r>
      <w:r w:rsidRPr="001371EE">
        <w:rPr>
          <w:rFonts w:ascii="Times New Roman" w:hAnsi="Times New Roman" w:cs="Times New Roman"/>
          <w:sz w:val="18"/>
          <w:szCs w:val="18"/>
          <w:lang w:val="es-ES"/>
        </w:rPr>
        <w:t>El demandante tampoco tuvo en cuenta</w:t>
      </w:r>
      <w:r w:rsidRPr="001371EE">
        <w:rPr>
          <w:rFonts w:ascii="Times New Roman" w:hAnsi="Times New Roman" w:cs="Times New Roman"/>
          <w:sz w:val="18"/>
          <w:szCs w:val="18"/>
          <w:lang w:val="es-ES"/>
        </w:rPr>
        <w:t xml:space="preserve"> algunos considerandos del Decreto Ley 920 de 2023, que señalan: (i) “[q]ue la clasificación de las infracciones se determina a partir del daño causado al bien jurídico tutelado, el análisis de las conductas infractoras y la sanción aplicable a cada una de</w:t>
      </w:r>
      <w:r w:rsidRPr="001371EE">
        <w:rPr>
          <w:rFonts w:ascii="Times New Roman" w:hAnsi="Times New Roman" w:cs="Times New Roman"/>
          <w:sz w:val="18"/>
          <w:szCs w:val="18"/>
          <w:lang w:val="es-ES"/>
        </w:rPr>
        <w:t xml:space="preserve"> ellas, de acuerdo con las obligaciones y responsabilidades de los usuarios aduaneros, clasificándolas en gravísimas, graves y leves, garantizando congruencia en los montos de su tasación en aplicación de los principios de igualdad, proporcionalidad y no i</w:t>
      </w:r>
      <w:r w:rsidRPr="001371EE">
        <w:rPr>
          <w:rFonts w:ascii="Times New Roman" w:hAnsi="Times New Roman" w:cs="Times New Roman"/>
          <w:sz w:val="18"/>
          <w:szCs w:val="18"/>
          <w:lang w:val="es-ES"/>
        </w:rPr>
        <w:t>mposición de doble sanción por un mismo hecho”; y (ii) “[q]ue la actividad de los usuarios aduaneros compromete bienes jurídicos tutelados importantes que deben ser protegidos por el Estado, por lo que la normatividad [sic] aduanera exige de ellos un deber</w:t>
      </w:r>
      <w:r w:rsidRPr="001371EE">
        <w:rPr>
          <w:rFonts w:ascii="Times New Roman" w:hAnsi="Times New Roman" w:cs="Times New Roman"/>
          <w:sz w:val="18"/>
          <w:szCs w:val="18"/>
          <w:lang w:val="es-ES"/>
        </w:rPr>
        <w:t xml:space="preserve"> máximo de diligencia. En consecuencia, el régimen sancionatorio aduanero, [sic] establece como principio aplicable a todas las infracciones aduaneras, [sic] que la conducta prohibida se materializa con la sola inobservancia de la norma y compromete la res</w:t>
      </w:r>
      <w:r w:rsidRPr="001371EE">
        <w:rPr>
          <w:rFonts w:ascii="Times New Roman" w:hAnsi="Times New Roman" w:cs="Times New Roman"/>
          <w:sz w:val="18"/>
          <w:szCs w:val="18"/>
          <w:lang w:val="es-ES"/>
        </w:rPr>
        <w:t>ponsabilidad del usuario aduanero quien solo podrá excusarse de ella probando la existencia u ocurrencia de un evento eximente de responsabilidad”.</w:t>
      </w:r>
    </w:p>
  </w:footnote>
  <w:footnote w:id="130">
    <w:p w:rsidR="000E6BF6" w:rsidRPr="001371EE" w:rsidRDefault="006671C3" w:rsidP="000E6BF6">
      <w:pPr>
        <w:spacing w:after="0" w:line="240" w:lineRule="auto"/>
        <w:jc w:val="both"/>
        <w:rPr>
          <w:rFonts w:ascii="Times New Roman" w:hAnsi="Times New Roman" w:cs="Times New Roman"/>
          <w:sz w:val="18"/>
          <w:szCs w:val="18"/>
        </w:rPr>
      </w:pPr>
      <w:r w:rsidRPr="001371EE">
        <w:rPr>
          <w:rStyle w:val="Refdenotaalpie"/>
          <w:rFonts w:ascii="Times New Roman" w:hAnsi="Times New Roman" w:cs="Times New Roman"/>
          <w:sz w:val="18"/>
          <w:szCs w:val="18"/>
        </w:rPr>
        <w:footnoteRef/>
      </w:r>
      <w:r w:rsidRPr="001371EE">
        <w:rPr>
          <w:rFonts w:ascii="Times New Roman" w:hAnsi="Times New Roman" w:cs="Times New Roman"/>
          <w:sz w:val="18"/>
          <w:szCs w:val="18"/>
        </w:rPr>
        <w:t xml:space="preserve"> “Conforme lo señala el artículo 13 de la Ley 1066 de 2006, o la norma que lo modifique o sustituya, en mat</w:t>
      </w:r>
      <w:r w:rsidRPr="001371EE">
        <w:rPr>
          <w:rFonts w:ascii="Times New Roman" w:hAnsi="Times New Roman" w:cs="Times New Roman"/>
          <w:sz w:val="18"/>
          <w:szCs w:val="18"/>
        </w:rPr>
        <w:t>eria aduanera se aplicará la solidaridad y subsidiariedad sobre el monto total de los tributos aduaneros, sanciones, intereses y su actualización, en la forma establecida en los artículos 793, 794, 794-1 y 8281 del Estatuto Tributario. La vinculación se ha</w:t>
      </w:r>
      <w:r w:rsidRPr="001371EE">
        <w:rPr>
          <w:rFonts w:ascii="Times New Roman" w:hAnsi="Times New Roman" w:cs="Times New Roman"/>
          <w:sz w:val="18"/>
          <w:szCs w:val="18"/>
        </w:rPr>
        <w:t>rá conforme con el procedimiento señalado en el Título VIII del Libro Quinto de dicho Estatuto y demás normas que lo adicionen, sustituyan y complementen”.</w:t>
      </w:r>
    </w:p>
    <w:p w:rsidR="000E6BF6" w:rsidRPr="001371EE" w:rsidRDefault="006671C3" w:rsidP="000E6BF6">
      <w:pPr>
        <w:pStyle w:val="Textonotapie"/>
        <w:rPr>
          <w:lang w:val="es-ES"/>
        </w:rPr>
      </w:pPr>
    </w:p>
  </w:footnote>
  <w:footnote w:id="131">
    <w:p w:rsidR="000E6BF6" w:rsidRPr="002533AF" w:rsidRDefault="006671C3" w:rsidP="000E6BF6">
      <w:pPr>
        <w:pStyle w:val="Textonotapie"/>
        <w:jc w:val="both"/>
        <w:rPr>
          <w:rFonts w:ascii="Times New Roman" w:hAnsi="Times New Roman" w:cs="Times New Roman"/>
          <w:sz w:val="18"/>
          <w:szCs w:val="18"/>
        </w:rPr>
      </w:pPr>
      <w:r w:rsidRPr="001371EE">
        <w:rPr>
          <w:rStyle w:val="Refdenotaalpie"/>
          <w:rFonts w:ascii="Times New Roman" w:hAnsi="Times New Roman" w:cs="Times New Roman"/>
          <w:sz w:val="18"/>
          <w:szCs w:val="18"/>
        </w:rPr>
        <w:footnoteRef/>
      </w:r>
      <w:r w:rsidRPr="001371EE">
        <w:rPr>
          <w:rFonts w:ascii="Times New Roman" w:hAnsi="Times New Roman" w:cs="Times New Roman"/>
          <w:sz w:val="18"/>
          <w:szCs w:val="18"/>
        </w:rPr>
        <w:t xml:space="preserve"> Aludió al numeral 10 del artículo 7 y al artículo 3 del DL 920/23, así mismo, a los artículos 2, </w:t>
      </w:r>
      <w:r w:rsidRPr="001371EE">
        <w:rPr>
          <w:rFonts w:ascii="Times New Roman" w:hAnsi="Times New Roman" w:cs="Times New Roman"/>
          <w:sz w:val="18"/>
          <w:szCs w:val="18"/>
        </w:rPr>
        <w:t>3, 7, 34, 50 (parcial), 82 y 110 del Decreto 1165 de 2019, además de los artículos 102 a 107 del Estatuto Orgánico del Sistema Financiero.</w:t>
      </w:r>
      <w:r>
        <w:rPr>
          <w:rFonts w:ascii="Times New Roman" w:hAnsi="Times New Roman" w:cs="Times New Roman"/>
          <w:sz w:val="18"/>
          <w:szCs w:val="18"/>
        </w:rPr>
        <w:t xml:space="preserve">  </w:t>
      </w:r>
    </w:p>
  </w:footnote>
  <w:footnote w:id="132">
    <w:p w:rsidR="000E6BF6" w:rsidRPr="00CB3C8A" w:rsidRDefault="006671C3" w:rsidP="000E6BF6">
      <w:pPr>
        <w:pStyle w:val="Textonotapie"/>
        <w:jc w:val="both"/>
        <w:rPr>
          <w:rFonts w:ascii="Times New Roman" w:hAnsi="Times New Roman" w:cs="Times New Roman"/>
          <w:sz w:val="18"/>
          <w:szCs w:val="18"/>
        </w:rPr>
      </w:pPr>
      <w:r w:rsidRPr="00CB3C8A">
        <w:rPr>
          <w:rStyle w:val="Refdenotaalpie"/>
          <w:rFonts w:ascii="Times New Roman" w:hAnsi="Times New Roman" w:cs="Times New Roman"/>
          <w:sz w:val="18"/>
          <w:szCs w:val="18"/>
        </w:rPr>
        <w:footnoteRef/>
      </w:r>
      <w:r w:rsidRPr="00CB3C8A">
        <w:rPr>
          <w:rFonts w:ascii="Times New Roman" w:hAnsi="Times New Roman" w:cs="Times New Roman"/>
          <w:sz w:val="18"/>
          <w:szCs w:val="18"/>
        </w:rPr>
        <w:t xml:space="preserve"> </w:t>
      </w:r>
      <w:r>
        <w:rPr>
          <w:rFonts w:ascii="Times New Roman" w:hAnsi="Times New Roman" w:cs="Times New Roman"/>
          <w:sz w:val="18"/>
          <w:szCs w:val="18"/>
        </w:rPr>
        <w:t>El artículo 34 del Decreto 1165/19 señala: “</w:t>
      </w:r>
      <w:r w:rsidRPr="00CB3C8A">
        <w:rPr>
          <w:rFonts w:ascii="Times New Roman" w:hAnsi="Times New Roman" w:cs="Times New Roman"/>
          <w:i/>
          <w:sz w:val="18"/>
          <w:szCs w:val="18"/>
        </w:rPr>
        <w:t>Agencias de aduanas</w:t>
      </w:r>
      <w:r>
        <w:rPr>
          <w:rFonts w:ascii="Times New Roman" w:hAnsi="Times New Roman" w:cs="Times New Roman"/>
          <w:sz w:val="18"/>
          <w:szCs w:val="18"/>
        </w:rPr>
        <w:t>. (…) son las personas jurídicas autorizadas por l</w:t>
      </w:r>
      <w:r>
        <w:rPr>
          <w:rFonts w:ascii="Times New Roman" w:hAnsi="Times New Roman" w:cs="Times New Roman"/>
          <w:sz w:val="18"/>
          <w:szCs w:val="18"/>
        </w:rPr>
        <w:t>a (…) DIAN para ejercer el agenciamiento aduanero, actividad auxiliar de la función pública aduanera de naturaleza mercantil y de servicio, orientada a garantizar que los usuarios de comercio exterior que utilicen sus servicios cumplan con las normas legal</w:t>
      </w:r>
      <w:r>
        <w:rPr>
          <w:rFonts w:ascii="Times New Roman" w:hAnsi="Times New Roman" w:cs="Times New Roman"/>
          <w:sz w:val="18"/>
          <w:szCs w:val="18"/>
        </w:rPr>
        <w:t xml:space="preserve">es existentes en materia de importación, exportación y tránsito aduanero y cualquier operación o procedimiento aduanero inherente a dichas actividades. Las agencias de aduanas tienen como fin esencial colaborar con las autoridades aduaneras en la estricta </w:t>
      </w:r>
      <w:r>
        <w:rPr>
          <w:rFonts w:ascii="Times New Roman" w:hAnsi="Times New Roman" w:cs="Times New Roman"/>
          <w:sz w:val="18"/>
          <w:szCs w:val="18"/>
        </w:rPr>
        <w:t>aplicación de las normas legales relacionadas con el comercio exterior para el adecuado desarrollo de los regímenes, modalidades aduaneras y demás actividades y procedimientos derivados de los mismos (…)”.</w:t>
      </w:r>
    </w:p>
  </w:footnote>
  <w:footnote w:id="133">
    <w:p w:rsidR="000E6BF6" w:rsidRPr="003212E4" w:rsidRDefault="006671C3" w:rsidP="000E6BF6">
      <w:pPr>
        <w:pStyle w:val="Textonotapie"/>
        <w:jc w:val="both"/>
        <w:rPr>
          <w:rFonts w:ascii="Times New Roman" w:hAnsi="Times New Roman" w:cs="Times New Roman"/>
          <w:sz w:val="18"/>
          <w:szCs w:val="18"/>
        </w:rPr>
      </w:pPr>
      <w:r w:rsidRPr="003212E4">
        <w:rPr>
          <w:rStyle w:val="Refdenotaalpie"/>
          <w:rFonts w:ascii="Times New Roman" w:hAnsi="Times New Roman" w:cs="Times New Roman"/>
          <w:sz w:val="18"/>
          <w:szCs w:val="18"/>
        </w:rPr>
        <w:footnoteRef/>
      </w:r>
      <w:r w:rsidRPr="003212E4">
        <w:rPr>
          <w:rFonts w:ascii="Times New Roman" w:hAnsi="Times New Roman" w:cs="Times New Roman"/>
          <w:sz w:val="18"/>
          <w:szCs w:val="18"/>
        </w:rPr>
        <w:t xml:space="preserve"> </w:t>
      </w:r>
      <w:r>
        <w:rPr>
          <w:rFonts w:ascii="Times New Roman" w:hAnsi="Times New Roman" w:cs="Times New Roman"/>
          <w:sz w:val="18"/>
          <w:szCs w:val="18"/>
        </w:rPr>
        <w:t>“</w:t>
      </w:r>
      <w:r w:rsidRPr="00CB3C8A">
        <w:rPr>
          <w:rFonts w:ascii="Times New Roman" w:hAnsi="Times New Roman" w:cs="Times New Roman"/>
          <w:i/>
          <w:sz w:val="18"/>
          <w:szCs w:val="18"/>
        </w:rPr>
        <w:t>Responsabilidad de las agencias de aduanas</w:t>
      </w:r>
      <w:r w:rsidRPr="003212E4">
        <w:rPr>
          <w:rFonts w:ascii="Times New Roman" w:hAnsi="Times New Roman" w:cs="Times New Roman"/>
          <w:sz w:val="18"/>
          <w:szCs w:val="18"/>
        </w:rPr>
        <w:t>. Las</w:t>
      </w:r>
      <w:r w:rsidRPr="003212E4">
        <w:rPr>
          <w:rFonts w:ascii="Times New Roman" w:hAnsi="Times New Roman" w:cs="Times New Roman"/>
          <w:sz w:val="18"/>
          <w:szCs w:val="18"/>
        </w:rPr>
        <w:t xml:space="preserve"> agencias de aduanas que actúen ante las autoridades aduaneras serán responsables administrativamente por las infracciones derivadas del ejercicio de su actividad.</w:t>
      </w:r>
      <w:r>
        <w:rPr>
          <w:rFonts w:ascii="Times New Roman" w:hAnsi="Times New Roman" w:cs="Times New Roman"/>
          <w:sz w:val="18"/>
          <w:szCs w:val="18"/>
        </w:rPr>
        <w:t xml:space="preserve"> </w:t>
      </w:r>
      <w:r w:rsidRPr="00CB3C8A">
        <w:rPr>
          <w:rFonts w:ascii="Times New Roman" w:hAnsi="Times New Roman" w:cs="Times New Roman"/>
          <w:i/>
          <w:sz w:val="18"/>
          <w:szCs w:val="18"/>
        </w:rPr>
        <w:t>Igualmente, serán responsables por la exactitud y veracidad de la información contenida en l</w:t>
      </w:r>
      <w:r w:rsidRPr="00CB3C8A">
        <w:rPr>
          <w:rFonts w:ascii="Times New Roman" w:hAnsi="Times New Roman" w:cs="Times New Roman"/>
          <w:i/>
          <w:sz w:val="18"/>
          <w:szCs w:val="18"/>
        </w:rPr>
        <w:t>os documentos que suscriban sus agentes de aduanas acreditados ante la Unidad Administrativa Especial Dirección de Impuestos y Aduanas Nacionales (DIAN) y responderán administrativamente cuando por su actuación como declarantes hagan incurrir a su mandante</w:t>
      </w:r>
      <w:r w:rsidRPr="00CB3C8A">
        <w:rPr>
          <w:rFonts w:ascii="Times New Roman" w:hAnsi="Times New Roman" w:cs="Times New Roman"/>
          <w:i/>
          <w:sz w:val="18"/>
          <w:szCs w:val="18"/>
        </w:rPr>
        <w:t xml:space="preserve"> o usuario de comercio exterior que utilice sus servicios en infracciones administrativas aduaneras que conlleven la liquidación de mayores tributos aduaneros, la imposición de sanciones o el decomiso de las mercancías. Lo anterior, sin perjuicio de las ac</w:t>
      </w:r>
      <w:r w:rsidRPr="00CB3C8A">
        <w:rPr>
          <w:rFonts w:ascii="Times New Roman" w:hAnsi="Times New Roman" w:cs="Times New Roman"/>
          <w:i/>
          <w:sz w:val="18"/>
          <w:szCs w:val="18"/>
        </w:rPr>
        <w:t>ciones legales que puedan adelantar los mandantes o usuarios de comercio exterior que utilicen sus servicios contra las agencias de aduanas. Parágrafo. Las agencias de aduanas responderán directamente por el pago de los tributos aduaneros y sanciones pecun</w:t>
      </w:r>
      <w:r w:rsidRPr="00CB3C8A">
        <w:rPr>
          <w:rFonts w:ascii="Times New Roman" w:hAnsi="Times New Roman" w:cs="Times New Roman"/>
          <w:i/>
          <w:sz w:val="18"/>
          <w:szCs w:val="18"/>
        </w:rPr>
        <w:t>iarias que se causen por las operaciones en las que se determine la ocurrencia de alguna de las circunstancias consagradas en el numeral 9 del artículo 597 de este decreto, respecto del importador o exportador</w:t>
      </w:r>
      <w:r>
        <w:rPr>
          <w:rFonts w:ascii="Times New Roman" w:hAnsi="Times New Roman" w:cs="Times New Roman"/>
          <w:sz w:val="18"/>
          <w:szCs w:val="18"/>
        </w:rPr>
        <w:t>”</w:t>
      </w:r>
      <w:r w:rsidRPr="003212E4">
        <w:rPr>
          <w:rFonts w:ascii="Times New Roman" w:hAnsi="Times New Roman" w:cs="Times New Roman"/>
          <w:sz w:val="18"/>
          <w:szCs w:val="18"/>
        </w:rPr>
        <w:t>.</w:t>
      </w:r>
    </w:p>
  </w:footnote>
  <w:footnote w:id="134">
    <w:p w:rsidR="000E6BF6" w:rsidRPr="0077791E" w:rsidRDefault="006671C3" w:rsidP="000E6BF6">
      <w:pPr>
        <w:pStyle w:val="Textonotapie"/>
        <w:jc w:val="both"/>
        <w:rPr>
          <w:rFonts w:ascii="Times New Roman" w:hAnsi="Times New Roman" w:cs="Times New Roman"/>
          <w:sz w:val="18"/>
          <w:szCs w:val="18"/>
        </w:rPr>
      </w:pPr>
      <w:r w:rsidRPr="0077791E">
        <w:rPr>
          <w:rStyle w:val="Refdenotaalpie"/>
          <w:rFonts w:ascii="Times New Roman" w:hAnsi="Times New Roman" w:cs="Times New Roman"/>
          <w:sz w:val="18"/>
          <w:szCs w:val="18"/>
        </w:rPr>
        <w:footnoteRef/>
      </w:r>
      <w:r w:rsidRPr="0077791E">
        <w:rPr>
          <w:rFonts w:ascii="Times New Roman" w:hAnsi="Times New Roman" w:cs="Times New Roman"/>
          <w:sz w:val="18"/>
          <w:szCs w:val="18"/>
        </w:rPr>
        <w:t xml:space="preserve"> </w:t>
      </w:r>
      <w:r>
        <w:rPr>
          <w:rFonts w:ascii="Times New Roman" w:hAnsi="Times New Roman" w:cs="Times New Roman"/>
          <w:sz w:val="18"/>
          <w:szCs w:val="18"/>
        </w:rPr>
        <w:t>“</w:t>
      </w:r>
      <w:r w:rsidRPr="00C95ECE">
        <w:rPr>
          <w:rFonts w:ascii="Times New Roman" w:hAnsi="Times New Roman" w:cs="Times New Roman"/>
          <w:i/>
          <w:sz w:val="18"/>
          <w:szCs w:val="18"/>
        </w:rPr>
        <w:t>Conocimiento del cliente</w:t>
      </w:r>
      <w:r w:rsidRPr="0077791E">
        <w:rPr>
          <w:rFonts w:ascii="Times New Roman" w:hAnsi="Times New Roman" w:cs="Times New Roman"/>
          <w:sz w:val="18"/>
          <w:szCs w:val="18"/>
        </w:rPr>
        <w:t>. Con el propósit</w:t>
      </w:r>
      <w:r w:rsidRPr="0077791E">
        <w:rPr>
          <w:rFonts w:ascii="Times New Roman" w:hAnsi="Times New Roman" w:cs="Times New Roman"/>
          <w:sz w:val="18"/>
          <w:szCs w:val="18"/>
        </w:rPr>
        <w:t xml:space="preserve">o de protegerse de prácticas relacionadas con lavado de activos, contrabando, evasión y cualquier otra conducta irregular, las agencias de aduanas tienen la obligación de establecer mecanismos de control que les </w:t>
      </w:r>
      <w:r>
        <w:rPr>
          <w:rFonts w:ascii="Times New Roman" w:hAnsi="Times New Roman" w:cs="Times New Roman"/>
          <w:sz w:val="18"/>
          <w:szCs w:val="18"/>
        </w:rPr>
        <w:t>p</w:t>
      </w:r>
      <w:r w:rsidRPr="0077791E">
        <w:rPr>
          <w:rFonts w:ascii="Times New Roman" w:hAnsi="Times New Roman" w:cs="Times New Roman"/>
          <w:sz w:val="18"/>
          <w:szCs w:val="18"/>
        </w:rPr>
        <w:t>ermita asegurar una relación contractual tr</w:t>
      </w:r>
      <w:r w:rsidRPr="0077791E">
        <w:rPr>
          <w:rFonts w:ascii="Times New Roman" w:hAnsi="Times New Roman" w:cs="Times New Roman"/>
          <w:sz w:val="18"/>
          <w:szCs w:val="18"/>
        </w:rPr>
        <w:t>ansparente con sus clientes.</w:t>
      </w:r>
      <w:r>
        <w:rPr>
          <w:rFonts w:ascii="Times New Roman" w:hAnsi="Times New Roman" w:cs="Times New Roman"/>
          <w:sz w:val="18"/>
          <w:szCs w:val="18"/>
        </w:rPr>
        <w:t xml:space="preserve"> </w:t>
      </w:r>
      <w:r w:rsidRPr="0077791E">
        <w:rPr>
          <w:rFonts w:ascii="Times New Roman" w:hAnsi="Times New Roman" w:cs="Times New Roman"/>
          <w:sz w:val="18"/>
          <w:szCs w:val="18"/>
        </w:rPr>
        <w:t>En desarrollo de lo anterior, deberán conocer a su cliente y obtener como mínimo la siguiente información debidamente soportada:</w:t>
      </w:r>
      <w:r>
        <w:rPr>
          <w:rFonts w:ascii="Times New Roman" w:hAnsi="Times New Roman" w:cs="Times New Roman"/>
          <w:sz w:val="18"/>
          <w:szCs w:val="18"/>
        </w:rPr>
        <w:t xml:space="preserve"> </w:t>
      </w:r>
      <w:r w:rsidRPr="0077791E">
        <w:rPr>
          <w:rFonts w:ascii="Times New Roman" w:hAnsi="Times New Roman" w:cs="Times New Roman"/>
          <w:sz w:val="18"/>
          <w:szCs w:val="18"/>
        </w:rPr>
        <w:t>1. Existencia de la persona natural o jurídica.</w:t>
      </w:r>
      <w:r>
        <w:rPr>
          <w:rFonts w:ascii="Times New Roman" w:hAnsi="Times New Roman" w:cs="Times New Roman"/>
          <w:sz w:val="18"/>
          <w:szCs w:val="18"/>
        </w:rPr>
        <w:t xml:space="preserve"> </w:t>
      </w:r>
      <w:r w:rsidRPr="0077791E">
        <w:rPr>
          <w:rFonts w:ascii="Times New Roman" w:hAnsi="Times New Roman" w:cs="Times New Roman"/>
          <w:sz w:val="18"/>
          <w:szCs w:val="18"/>
        </w:rPr>
        <w:t>2. Nombres y apellidos completos o razón social.</w:t>
      </w:r>
      <w:r>
        <w:rPr>
          <w:rFonts w:ascii="Times New Roman" w:hAnsi="Times New Roman" w:cs="Times New Roman"/>
          <w:sz w:val="18"/>
          <w:szCs w:val="18"/>
        </w:rPr>
        <w:t xml:space="preserve"> </w:t>
      </w:r>
      <w:r w:rsidRPr="0077791E">
        <w:rPr>
          <w:rFonts w:ascii="Times New Roman" w:hAnsi="Times New Roman" w:cs="Times New Roman"/>
          <w:sz w:val="18"/>
          <w:szCs w:val="18"/>
        </w:rPr>
        <w:t>3</w:t>
      </w:r>
      <w:r w:rsidRPr="0077791E">
        <w:rPr>
          <w:rFonts w:ascii="Times New Roman" w:hAnsi="Times New Roman" w:cs="Times New Roman"/>
          <w:sz w:val="18"/>
          <w:szCs w:val="18"/>
        </w:rPr>
        <w:t>. Dirección, domicilio y teléfonos de la persona natural o jurídica.</w:t>
      </w:r>
      <w:r>
        <w:rPr>
          <w:rFonts w:ascii="Times New Roman" w:hAnsi="Times New Roman" w:cs="Times New Roman"/>
          <w:sz w:val="18"/>
          <w:szCs w:val="18"/>
        </w:rPr>
        <w:t xml:space="preserve"> </w:t>
      </w:r>
      <w:r w:rsidRPr="0077791E">
        <w:rPr>
          <w:rFonts w:ascii="Times New Roman" w:hAnsi="Times New Roman" w:cs="Times New Roman"/>
          <w:sz w:val="18"/>
          <w:szCs w:val="18"/>
        </w:rPr>
        <w:t>4. Profesión, oficio o actividad económica.</w:t>
      </w:r>
      <w:r>
        <w:rPr>
          <w:rFonts w:ascii="Times New Roman" w:hAnsi="Times New Roman" w:cs="Times New Roman"/>
          <w:sz w:val="18"/>
          <w:szCs w:val="18"/>
        </w:rPr>
        <w:t xml:space="preserve"> </w:t>
      </w:r>
      <w:r w:rsidRPr="0077791E">
        <w:rPr>
          <w:rFonts w:ascii="Times New Roman" w:hAnsi="Times New Roman" w:cs="Times New Roman"/>
          <w:sz w:val="18"/>
          <w:szCs w:val="18"/>
        </w:rPr>
        <w:t>5. Capacidad financiera para realizar la operación de comercio exterior.</w:t>
      </w:r>
      <w:r>
        <w:rPr>
          <w:rFonts w:ascii="Times New Roman" w:hAnsi="Times New Roman" w:cs="Times New Roman"/>
          <w:sz w:val="18"/>
          <w:szCs w:val="18"/>
        </w:rPr>
        <w:t xml:space="preserve"> (…)”. El Decreto 0659 de 2024 modificó el parágrafo 1 y adicionó el pa</w:t>
      </w:r>
      <w:r>
        <w:rPr>
          <w:rFonts w:ascii="Times New Roman" w:hAnsi="Times New Roman" w:cs="Times New Roman"/>
          <w:sz w:val="18"/>
          <w:szCs w:val="18"/>
        </w:rPr>
        <w:t xml:space="preserve">rágrafo 2. </w:t>
      </w:r>
    </w:p>
  </w:footnote>
  <w:footnote w:id="135">
    <w:p w:rsidR="000E6BF6" w:rsidRPr="00974BAB" w:rsidRDefault="006671C3" w:rsidP="000E6BF6">
      <w:pPr>
        <w:pStyle w:val="Textonotapie"/>
        <w:jc w:val="both"/>
        <w:rPr>
          <w:rFonts w:ascii="Times New Roman" w:hAnsi="Times New Roman" w:cs="Times New Roman"/>
          <w:sz w:val="18"/>
          <w:szCs w:val="18"/>
        </w:rPr>
      </w:pPr>
      <w:r w:rsidRPr="00974BAB">
        <w:rPr>
          <w:rStyle w:val="Refdenotaalpie"/>
          <w:rFonts w:ascii="Times New Roman" w:hAnsi="Times New Roman" w:cs="Times New Roman"/>
          <w:sz w:val="18"/>
          <w:szCs w:val="18"/>
        </w:rPr>
        <w:footnoteRef/>
      </w:r>
      <w:r w:rsidRPr="00974BAB">
        <w:rPr>
          <w:rFonts w:ascii="Times New Roman" w:hAnsi="Times New Roman" w:cs="Times New Roman"/>
          <w:sz w:val="18"/>
          <w:szCs w:val="18"/>
        </w:rPr>
        <w:t xml:space="preserve"> </w:t>
      </w:r>
      <w:r>
        <w:rPr>
          <w:rFonts w:ascii="Times New Roman" w:hAnsi="Times New Roman" w:cs="Times New Roman"/>
          <w:sz w:val="18"/>
          <w:szCs w:val="18"/>
        </w:rPr>
        <w:t>“</w:t>
      </w:r>
      <w:r w:rsidRPr="00974BAB">
        <w:rPr>
          <w:rFonts w:ascii="Times New Roman" w:hAnsi="Times New Roman" w:cs="Times New Roman"/>
          <w:i/>
          <w:sz w:val="18"/>
          <w:szCs w:val="18"/>
        </w:rPr>
        <w:t>Causales de aprehensión y decomiso de mercancías</w:t>
      </w:r>
      <w:r>
        <w:rPr>
          <w:rFonts w:ascii="Times New Roman" w:hAnsi="Times New Roman" w:cs="Times New Roman"/>
          <w:sz w:val="18"/>
          <w:szCs w:val="18"/>
        </w:rPr>
        <w:t xml:space="preserve">. Dará lugar a la aprehensión y decomiso de las mercancías, la ocurrencia de cualquiera de los siguientes eventos: (…). 8. Cuando se hubieren introducido al territorio aduanero nacional </w:t>
      </w:r>
      <w:r>
        <w:rPr>
          <w:rFonts w:ascii="Times New Roman" w:hAnsi="Times New Roman" w:cs="Times New Roman"/>
          <w:sz w:val="18"/>
          <w:szCs w:val="18"/>
        </w:rPr>
        <w:t>mercancías respecto de las cuales se determine la ocurrencia de alguna de las circunstancias consagradas en el numeral 10 del artículo 7 del presente decreto (…)”.</w:t>
      </w:r>
    </w:p>
  </w:footnote>
  <w:footnote w:id="136">
    <w:p w:rsidR="000E6BF6" w:rsidRPr="001371EE" w:rsidRDefault="006671C3" w:rsidP="000E6BF6">
      <w:pPr>
        <w:pStyle w:val="Textonotapie"/>
        <w:jc w:val="both"/>
        <w:rPr>
          <w:rFonts w:ascii="Times New Roman" w:hAnsi="Times New Roman" w:cs="Times New Roman"/>
          <w:sz w:val="18"/>
          <w:szCs w:val="18"/>
          <w:lang w:val="es-ES"/>
        </w:rPr>
      </w:pPr>
      <w:r w:rsidRPr="001371EE">
        <w:rPr>
          <w:rStyle w:val="Refdenotaalpie"/>
          <w:rFonts w:ascii="Times New Roman" w:hAnsi="Times New Roman" w:cs="Times New Roman"/>
          <w:sz w:val="18"/>
          <w:szCs w:val="18"/>
        </w:rPr>
        <w:footnoteRef/>
      </w:r>
      <w:r w:rsidRPr="001371EE">
        <w:rPr>
          <w:rFonts w:ascii="Times New Roman" w:hAnsi="Times New Roman" w:cs="Times New Roman"/>
          <w:sz w:val="18"/>
          <w:szCs w:val="18"/>
        </w:rPr>
        <w:t xml:space="preserve"> “Los usuarios aduaneros que hayan incurrido en alguna de las infracciones previstas en est</w:t>
      </w:r>
      <w:r w:rsidRPr="001371EE">
        <w:rPr>
          <w:rFonts w:ascii="Times New Roman" w:hAnsi="Times New Roman" w:cs="Times New Roman"/>
          <w:sz w:val="18"/>
          <w:szCs w:val="18"/>
        </w:rPr>
        <w:t>e decreto estarán exonerados de responsabilidad cuando hayan cometido la Infracción bajo alguna de las siguientes circunstancias, debidamente demostradas ante la autoridad aduanera: 1. Fuerza mayor. 2. Caso fortuito. 3. Cuando con un hecho imprevisible e i</w:t>
      </w:r>
      <w:r w:rsidRPr="001371EE">
        <w:rPr>
          <w:rFonts w:ascii="Times New Roman" w:hAnsi="Times New Roman" w:cs="Times New Roman"/>
          <w:sz w:val="18"/>
          <w:szCs w:val="18"/>
        </w:rPr>
        <w:t xml:space="preserve">rresistible ocasionado por un tercero, distinto al obligado aduanero, hace incurrir al usuario en una infracción administrativa aduanera. Este numeral se aplicará sin importar si el causante del hecho es otro obligado aduanero. 4. En cumplimiento de orden </w:t>
      </w:r>
      <w:r w:rsidRPr="001371EE">
        <w:rPr>
          <w:rFonts w:ascii="Times New Roman" w:hAnsi="Times New Roman" w:cs="Times New Roman"/>
          <w:sz w:val="18"/>
          <w:szCs w:val="18"/>
        </w:rPr>
        <w:t>legítima de autoridad competente, distinta a la autoridad aduanera. 5. Por salvar un derecho propio o ajeno de un peligro actual o inminente, inevitable de otra manera, causado por un hecho externo y que no tenga el deber jurídico de afrontar. 6. Cuando no</w:t>
      </w:r>
      <w:r w:rsidRPr="001371EE">
        <w:rPr>
          <w:rFonts w:ascii="Times New Roman" w:hAnsi="Times New Roman" w:cs="Times New Roman"/>
          <w:sz w:val="18"/>
          <w:szCs w:val="18"/>
        </w:rPr>
        <w:t xml:space="preserve"> se cumplan las obligaciones aduaneras a través de los Servicios Informáticos Electrónicos, debido a fallas imprevistas e irresistibles en los sistemas informáticos propios, siempre y cuando tales obligaciones se satisfagan de forma manual en los términos </w:t>
      </w:r>
      <w:r w:rsidRPr="001371EE">
        <w:rPr>
          <w:rFonts w:ascii="Times New Roman" w:hAnsi="Times New Roman" w:cs="Times New Roman"/>
          <w:sz w:val="18"/>
          <w:szCs w:val="18"/>
        </w:rPr>
        <w:t>y condiciones establecidos por la Unidad Administrativa Especial Dirección de Impuestos y Aduanas Nacionales (DIAN). 7. Cuando se trate de infracciones generadas por contingencias en los Servicios Informáticos Electrónicos. Parágrafo 1°. Cuando en ejecució</w:t>
      </w:r>
      <w:r w:rsidRPr="001371EE">
        <w:rPr>
          <w:rFonts w:ascii="Times New Roman" w:hAnsi="Times New Roman" w:cs="Times New Roman"/>
          <w:sz w:val="18"/>
          <w:szCs w:val="18"/>
        </w:rPr>
        <w:t xml:space="preserve">n de· un proceso administrativo, alguno de los investigados solicite ser exonerado de responsabilidad y aporte pruebas que sustenten su solicitud, la exoneración será tramitada con el procedimiento que se adelanta y se resolverá con el acto administrativo </w:t>
      </w:r>
      <w:r w:rsidRPr="001371EE">
        <w:rPr>
          <w:rFonts w:ascii="Times New Roman" w:hAnsi="Times New Roman" w:cs="Times New Roman"/>
          <w:sz w:val="18"/>
          <w:szCs w:val="18"/>
        </w:rPr>
        <w:t>que decide sobre el proceso. Parágrafo 2°. También habrá lugar a declarar la exoneración de la responsabilidad cuando el obligado aduanero pruebe que los hechos no están tipificados”.</w:t>
      </w:r>
    </w:p>
  </w:footnote>
  <w:footnote w:id="137">
    <w:p w:rsidR="000E6BF6" w:rsidRPr="001B32CE" w:rsidRDefault="006671C3" w:rsidP="000E6BF6">
      <w:pPr>
        <w:pStyle w:val="Textonotapie"/>
        <w:jc w:val="both"/>
        <w:rPr>
          <w:rFonts w:ascii="Times New Roman" w:hAnsi="Times New Roman" w:cs="Times New Roman"/>
          <w:sz w:val="18"/>
          <w:szCs w:val="18"/>
        </w:rPr>
      </w:pPr>
      <w:r w:rsidRPr="001371EE">
        <w:rPr>
          <w:rStyle w:val="Refdenotaalpie"/>
          <w:rFonts w:ascii="Times New Roman" w:hAnsi="Times New Roman" w:cs="Times New Roman"/>
          <w:sz w:val="18"/>
          <w:szCs w:val="18"/>
        </w:rPr>
        <w:footnoteRef/>
      </w:r>
      <w:r w:rsidRPr="001371EE">
        <w:rPr>
          <w:rFonts w:ascii="Times New Roman" w:hAnsi="Times New Roman" w:cs="Times New Roman"/>
          <w:sz w:val="18"/>
          <w:szCs w:val="18"/>
        </w:rPr>
        <w:t xml:space="preserve"> “</w:t>
      </w:r>
      <w:r w:rsidRPr="001371EE">
        <w:rPr>
          <w:rFonts w:ascii="Times New Roman" w:hAnsi="Times New Roman" w:cs="Times New Roman"/>
          <w:i/>
          <w:sz w:val="18"/>
          <w:szCs w:val="18"/>
        </w:rPr>
        <w:t>Vinculación de terceros al proceso</w:t>
      </w:r>
      <w:r w:rsidRPr="001371EE">
        <w:rPr>
          <w:rFonts w:ascii="Times New Roman" w:hAnsi="Times New Roman" w:cs="Times New Roman"/>
          <w:sz w:val="18"/>
          <w:szCs w:val="18"/>
        </w:rPr>
        <w:t>. En los procesos administrativos s</w:t>
      </w:r>
      <w:r w:rsidRPr="001371EE">
        <w:rPr>
          <w:rFonts w:ascii="Times New Roman" w:hAnsi="Times New Roman" w:cs="Times New Roman"/>
          <w:sz w:val="18"/>
          <w:szCs w:val="18"/>
        </w:rPr>
        <w:t>ancionatorios o de formulación de liquidación oficial se</w:t>
      </w:r>
      <w:r>
        <w:rPr>
          <w:rFonts w:ascii="Times New Roman" w:hAnsi="Times New Roman" w:cs="Times New Roman"/>
          <w:sz w:val="18"/>
          <w:szCs w:val="18"/>
        </w:rPr>
        <w:t xml:space="preserve"> deberán vincular a los usuarios aduaneros, con el objeto de establecer su responsabilidad e imponer la sanción a que haya lugar (…). Para tal efecto, si aun no se hubiera dictado el auto que decrete </w:t>
      </w:r>
      <w:r>
        <w:rPr>
          <w:rFonts w:ascii="Times New Roman" w:hAnsi="Times New Roman" w:cs="Times New Roman"/>
          <w:sz w:val="18"/>
          <w:szCs w:val="18"/>
        </w:rPr>
        <w:t>pruebas, se podrán formular requerimientos especiales que fueren necesarios; (…). En el auto que decrete pruebas se resolverán las solicitudes de práctica de pruebas que formulen todos los vinculados. Parágrafo. Cuando se determine la ausencia de responsab</w:t>
      </w:r>
      <w:r>
        <w:rPr>
          <w:rFonts w:ascii="Times New Roman" w:hAnsi="Times New Roman" w:cs="Times New Roman"/>
          <w:sz w:val="18"/>
          <w:szCs w:val="18"/>
        </w:rPr>
        <w:t xml:space="preserve">ilidad del tercero vinculado al proceso se señalará expresamente tal circunstancia en el acto administrativo que decide de fondo”.   </w:t>
      </w:r>
    </w:p>
  </w:footnote>
  <w:footnote w:id="138">
    <w:p w:rsidR="000E6BF6" w:rsidRPr="00AE2915" w:rsidRDefault="006671C3" w:rsidP="000E6BF6">
      <w:pPr>
        <w:pStyle w:val="Textonotapie"/>
        <w:jc w:val="both"/>
        <w:rPr>
          <w:rFonts w:ascii="Times New Roman" w:hAnsi="Times New Roman" w:cs="Times New Roman"/>
          <w:sz w:val="18"/>
          <w:szCs w:val="18"/>
        </w:rPr>
      </w:pPr>
      <w:r w:rsidRPr="00AE2915">
        <w:rPr>
          <w:rStyle w:val="Refdenotaalpie"/>
          <w:rFonts w:ascii="Times New Roman" w:hAnsi="Times New Roman" w:cs="Times New Roman"/>
          <w:sz w:val="18"/>
          <w:szCs w:val="18"/>
        </w:rPr>
        <w:footnoteRef/>
      </w:r>
      <w:r w:rsidRPr="00AE2915">
        <w:rPr>
          <w:rFonts w:ascii="Times New Roman" w:hAnsi="Times New Roman" w:cs="Times New Roman"/>
          <w:sz w:val="18"/>
          <w:szCs w:val="18"/>
        </w:rPr>
        <w:t xml:space="preserve"> </w:t>
      </w:r>
      <w:r>
        <w:rPr>
          <w:rFonts w:ascii="Times New Roman" w:hAnsi="Times New Roman" w:cs="Times New Roman"/>
          <w:sz w:val="18"/>
          <w:szCs w:val="18"/>
        </w:rPr>
        <w:t>Artículos 88 (documento de objeción a la aprehensión), 89 (periodo probatorio) y 90 (acto administrativo que decide de f</w:t>
      </w:r>
      <w:r>
        <w:rPr>
          <w:rFonts w:ascii="Times New Roman" w:hAnsi="Times New Roman" w:cs="Times New Roman"/>
          <w:sz w:val="18"/>
          <w:szCs w:val="18"/>
        </w:rPr>
        <w:t>ondo).</w:t>
      </w:r>
    </w:p>
  </w:footnote>
  <w:footnote w:id="139">
    <w:p w:rsidR="000E6BF6" w:rsidRPr="0028561A" w:rsidRDefault="006671C3" w:rsidP="000E6BF6">
      <w:pPr>
        <w:pStyle w:val="Textonotapie"/>
        <w:rPr>
          <w:rFonts w:ascii="Times New Roman" w:hAnsi="Times New Roman" w:cs="Times New Roman"/>
          <w:sz w:val="18"/>
          <w:szCs w:val="18"/>
        </w:rPr>
      </w:pPr>
      <w:r w:rsidRPr="0028561A">
        <w:rPr>
          <w:rStyle w:val="Refdenotaalpie"/>
          <w:rFonts w:ascii="Times New Roman" w:hAnsi="Times New Roman" w:cs="Times New Roman"/>
          <w:sz w:val="18"/>
          <w:szCs w:val="18"/>
        </w:rPr>
        <w:footnoteRef/>
      </w:r>
      <w:r w:rsidRPr="0028561A">
        <w:rPr>
          <w:rFonts w:ascii="Times New Roman" w:hAnsi="Times New Roman" w:cs="Times New Roman"/>
          <w:sz w:val="18"/>
          <w:szCs w:val="18"/>
        </w:rPr>
        <w:t xml:space="preserve"> </w:t>
      </w:r>
      <w:r>
        <w:rPr>
          <w:rFonts w:ascii="Times New Roman" w:hAnsi="Times New Roman" w:cs="Times New Roman"/>
          <w:sz w:val="18"/>
          <w:szCs w:val="18"/>
        </w:rPr>
        <w:t>Comité de Revisión de Aprehensiones.</w:t>
      </w:r>
    </w:p>
  </w:footnote>
  <w:footnote w:id="140">
    <w:p w:rsidR="000E6BF6" w:rsidRPr="00B36F63" w:rsidRDefault="006671C3" w:rsidP="000E6BF6">
      <w:pPr>
        <w:pStyle w:val="Textonotapie"/>
        <w:jc w:val="both"/>
        <w:rPr>
          <w:rFonts w:ascii="Times New Roman" w:hAnsi="Times New Roman" w:cs="Times New Roman"/>
          <w:sz w:val="18"/>
          <w:szCs w:val="18"/>
          <w:lang w:val="es-ES"/>
        </w:rPr>
      </w:pPr>
      <w:r w:rsidRPr="00B36F63">
        <w:rPr>
          <w:rStyle w:val="Refdenotaalpie"/>
          <w:rFonts w:ascii="Times New Roman" w:hAnsi="Times New Roman" w:cs="Times New Roman"/>
          <w:sz w:val="18"/>
          <w:szCs w:val="18"/>
        </w:rPr>
        <w:footnoteRef/>
      </w:r>
      <w:r w:rsidRPr="00B36F63">
        <w:rPr>
          <w:rFonts w:ascii="Times New Roman" w:hAnsi="Times New Roman" w:cs="Times New Roman"/>
          <w:sz w:val="18"/>
          <w:szCs w:val="18"/>
        </w:rPr>
        <w:t xml:space="preserve"> </w:t>
      </w:r>
      <w:r w:rsidRPr="00B36F63">
        <w:rPr>
          <w:rFonts w:ascii="Times New Roman" w:hAnsi="Times New Roman" w:cs="Times New Roman"/>
          <w:sz w:val="18"/>
          <w:szCs w:val="18"/>
          <w:lang w:val="es-ES"/>
        </w:rPr>
        <w:t>En la Sentencia C-025 de 2020 se expuso que la claridad comprende: “(…) que la presentación de los argumentos tenga un orden que haga posible identificar su alcance y propósito (…) Este requisito se incumple,</w:t>
      </w:r>
      <w:r w:rsidRPr="00B36F63">
        <w:rPr>
          <w:rFonts w:ascii="Times New Roman" w:hAnsi="Times New Roman" w:cs="Times New Roman"/>
          <w:sz w:val="18"/>
          <w:szCs w:val="18"/>
          <w:lang w:val="es-ES"/>
        </w:rPr>
        <w:t xml:space="preserve"> por ejemplo, cuando (…) (c) no es posible identificar exactamente el alcance o el sentido de lo pretendido”</w:t>
      </w:r>
    </w:p>
  </w:footnote>
  <w:footnote w:id="141">
    <w:p w:rsidR="000E6BF6" w:rsidRPr="00D021D4" w:rsidRDefault="006671C3" w:rsidP="000E6BF6">
      <w:pPr>
        <w:pStyle w:val="Textonotapie"/>
        <w:rPr>
          <w:rFonts w:ascii="Times New Roman" w:hAnsi="Times New Roman" w:cs="Times New Roman"/>
          <w:sz w:val="18"/>
          <w:szCs w:val="18"/>
        </w:rPr>
      </w:pPr>
      <w:r w:rsidRPr="00D021D4">
        <w:rPr>
          <w:rStyle w:val="Refdenotaalpie"/>
          <w:rFonts w:ascii="Times New Roman" w:hAnsi="Times New Roman" w:cs="Times New Roman"/>
          <w:sz w:val="18"/>
          <w:szCs w:val="18"/>
        </w:rPr>
        <w:footnoteRef/>
      </w:r>
      <w:r w:rsidRPr="00D021D4">
        <w:rPr>
          <w:rFonts w:ascii="Times New Roman" w:hAnsi="Times New Roman" w:cs="Times New Roman"/>
          <w:sz w:val="18"/>
          <w:szCs w:val="18"/>
        </w:rPr>
        <w:t xml:space="preserve"> </w:t>
      </w:r>
      <w:r>
        <w:rPr>
          <w:rFonts w:ascii="Times New Roman" w:hAnsi="Times New Roman" w:cs="Times New Roman"/>
          <w:sz w:val="18"/>
          <w:szCs w:val="18"/>
        </w:rPr>
        <w:t>Cfr. Sentencia C-189 de 2017.</w:t>
      </w:r>
    </w:p>
  </w:footnote>
  <w:footnote w:id="142">
    <w:p w:rsidR="000E6BF6" w:rsidRPr="00B36F63" w:rsidRDefault="006671C3" w:rsidP="000E6BF6">
      <w:pPr>
        <w:pStyle w:val="Textonotapie"/>
        <w:jc w:val="both"/>
        <w:rPr>
          <w:rFonts w:ascii="Times New Roman" w:hAnsi="Times New Roman" w:cs="Times New Roman"/>
          <w:sz w:val="18"/>
          <w:szCs w:val="18"/>
          <w:lang w:val="es-ES"/>
        </w:rPr>
      </w:pPr>
      <w:r w:rsidRPr="00B36F63">
        <w:rPr>
          <w:rStyle w:val="Refdenotaalpie"/>
          <w:rFonts w:ascii="Times New Roman" w:hAnsi="Times New Roman" w:cs="Times New Roman"/>
          <w:sz w:val="18"/>
          <w:szCs w:val="18"/>
        </w:rPr>
        <w:footnoteRef/>
      </w:r>
      <w:r w:rsidRPr="00B36F63">
        <w:rPr>
          <w:rFonts w:ascii="Times New Roman" w:hAnsi="Times New Roman" w:cs="Times New Roman"/>
          <w:sz w:val="18"/>
          <w:szCs w:val="18"/>
        </w:rPr>
        <w:t xml:space="preserve"> </w:t>
      </w:r>
      <w:r w:rsidRPr="00B36F63">
        <w:rPr>
          <w:rFonts w:ascii="Times New Roman" w:hAnsi="Times New Roman" w:cs="Times New Roman"/>
          <w:sz w:val="18"/>
          <w:szCs w:val="18"/>
          <w:lang w:val="es-ES"/>
        </w:rPr>
        <w:t xml:space="preserve">En la sentencia C-025 de 2020 se </w:t>
      </w:r>
      <w:r>
        <w:rPr>
          <w:rFonts w:ascii="Times New Roman" w:hAnsi="Times New Roman" w:cs="Times New Roman"/>
          <w:sz w:val="18"/>
          <w:szCs w:val="18"/>
          <w:lang w:val="es-ES"/>
        </w:rPr>
        <w:t>reiteró</w:t>
      </w:r>
      <w:r w:rsidRPr="00B36F63">
        <w:rPr>
          <w:rFonts w:ascii="Times New Roman" w:hAnsi="Times New Roman" w:cs="Times New Roman"/>
          <w:sz w:val="18"/>
          <w:szCs w:val="18"/>
          <w:lang w:val="es-ES"/>
        </w:rPr>
        <w:t xml:space="preserve">: </w:t>
      </w:r>
      <w:r>
        <w:rPr>
          <w:rFonts w:ascii="Times New Roman" w:hAnsi="Times New Roman" w:cs="Times New Roman"/>
          <w:sz w:val="18"/>
          <w:szCs w:val="18"/>
          <w:lang w:val="es-ES"/>
        </w:rPr>
        <w:t xml:space="preserve">“La pertinencia corresponde a un rasgo especial de la argumentación </w:t>
      </w:r>
      <w:r>
        <w:rPr>
          <w:rFonts w:ascii="Times New Roman" w:hAnsi="Times New Roman" w:cs="Times New Roman"/>
          <w:sz w:val="18"/>
          <w:szCs w:val="18"/>
          <w:lang w:val="es-ES"/>
        </w:rPr>
        <w:t>cuando tiene por objeto alegar la invalidez constitucional de una ley. (…) Ello excluye como argumentos admisibles los que se (…) limitan a expresar ´puntos de vista subjetivos´, de manera que se pretende emplear la acción pública ´para resolver un problem</w:t>
      </w:r>
      <w:r>
        <w:rPr>
          <w:rFonts w:ascii="Times New Roman" w:hAnsi="Times New Roman" w:cs="Times New Roman"/>
          <w:sz w:val="18"/>
          <w:szCs w:val="18"/>
          <w:lang w:val="es-ES"/>
        </w:rPr>
        <w:t>a particular´”.</w:t>
      </w:r>
    </w:p>
  </w:footnote>
  <w:footnote w:id="143">
    <w:p w:rsidR="000E6BF6" w:rsidRPr="00B07F06" w:rsidRDefault="006671C3" w:rsidP="000E6BF6">
      <w:pPr>
        <w:pStyle w:val="Textonotapie"/>
        <w:jc w:val="both"/>
        <w:rPr>
          <w:rFonts w:ascii="Times New Roman" w:hAnsi="Times New Roman" w:cs="Times New Roman"/>
          <w:sz w:val="18"/>
          <w:szCs w:val="18"/>
          <w:lang w:val="es-ES"/>
        </w:rPr>
      </w:pPr>
      <w:r w:rsidRPr="00B07F06">
        <w:rPr>
          <w:rStyle w:val="Refdenotaalpie"/>
          <w:rFonts w:ascii="Times New Roman" w:hAnsi="Times New Roman" w:cs="Times New Roman"/>
          <w:sz w:val="18"/>
          <w:szCs w:val="18"/>
        </w:rPr>
        <w:footnoteRef/>
      </w:r>
      <w:r w:rsidRPr="00B07F06">
        <w:rPr>
          <w:rFonts w:ascii="Times New Roman" w:hAnsi="Times New Roman" w:cs="Times New Roman"/>
          <w:sz w:val="18"/>
          <w:szCs w:val="18"/>
        </w:rPr>
        <w:t xml:space="preserve"> </w:t>
      </w:r>
      <w:r>
        <w:rPr>
          <w:rFonts w:ascii="Times New Roman" w:hAnsi="Times New Roman" w:cs="Times New Roman"/>
          <w:sz w:val="18"/>
          <w:szCs w:val="18"/>
        </w:rPr>
        <w:t>En</w:t>
      </w:r>
      <w:r w:rsidRPr="00B07F06">
        <w:rPr>
          <w:rFonts w:ascii="Times New Roman" w:hAnsi="Times New Roman" w:cs="Times New Roman"/>
          <w:sz w:val="18"/>
          <w:szCs w:val="18"/>
        </w:rPr>
        <w:t xml:space="preserve"> la Sentencia C-955 de 2000 se sostuvo: “las razones de inconveniencia que esgrima -que pueden ser válidas y, en todo caso, son respetables desde el punto de vista de la libertad de expresión-, no son suficientes para hacer que operen l</w:t>
      </w:r>
      <w:r w:rsidRPr="00B07F06">
        <w:rPr>
          <w:rFonts w:ascii="Times New Roman" w:hAnsi="Times New Roman" w:cs="Times New Roman"/>
          <w:sz w:val="18"/>
          <w:szCs w:val="18"/>
        </w:rPr>
        <w:t>os mecanismos de control de constitucionalidad, que requieren un elemental soporte argumentativo expresado ante el juez para que se inicie, tramite y decida con fuerza de cosa juzgada y de modo definitivo si el precepto acusado se aparta de la Constitución</w:t>
      </w:r>
      <w:r w:rsidRPr="00B07F06">
        <w:rPr>
          <w:rFonts w:ascii="Times New Roman" w:hAnsi="Times New Roman" w:cs="Times New Roman"/>
          <w:sz w:val="18"/>
          <w:szCs w:val="18"/>
        </w:rPr>
        <w:t>”.</w:t>
      </w:r>
    </w:p>
  </w:footnote>
  <w:footnote w:id="144">
    <w:p w:rsidR="000E6BF6" w:rsidRPr="00B07F06" w:rsidRDefault="006671C3" w:rsidP="000E6BF6">
      <w:pPr>
        <w:pStyle w:val="Textonotapie"/>
        <w:jc w:val="both"/>
        <w:rPr>
          <w:rFonts w:ascii="Times New Roman" w:hAnsi="Times New Roman" w:cs="Times New Roman"/>
          <w:sz w:val="18"/>
          <w:szCs w:val="18"/>
          <w:lang w:val="es-ES"/>
        </w:rPr>
      </w:pPr>
      <w:r w:rsidRPr="00B07F06">
        <w:rPr>
          <w:rStyle w:val="Refdenotaalpie"/>
          <w:rFonts w:ascii="Times New Roman" w:hAnsi="Times New Roman" w:cs="Times New Roman"/>
          <w:sz w:val="18"/>
          <w:szCs w:val="18"/>
        </w:rPr>
        <w:footnoteRef/>
      </w:r>
      <w:r w:rsidRPr="00B07F06">
        <w:rPr>
          <w:rFonts w:ascii="Times New Roman" w:hAnsi="Times New Roman" w:cs="Times New Roman"/>
          <w:sz w:val="18"/>
          <w:szCs w:val="18"/>
        </w:rPr>
        <w:t xml:space="preserve"> En </w:t>
      </w:r>
      <w:r>
        <w:rPr>
          <w:rFonts w:ascii="Times New Roman" w:hAnsi="Times New Roman" w:cs="Times New Roman"/>
          <w:sz w:val="18"/>
          <w:szCs w:val="18"/>
        </w:rPr>
        <w:t>la</w:t>
      </w:r>
      <w:r w:rsidRPr="00B07F06">
        <w:rPr>
          <w:rFonts w:ascii="Times New Roman" w:hAnsi="Times New Roman" w:cs="Times New Roman"/>
          <w:sz w:val="18"/>
          <w:szCs w:val="18"/>
        </w:rPr>
        <w:t xml:space="preserve"> Sentencia C-176 de 2004 se </w:t>
      </w:r>
      <w:r>
        <w:rPr>
          <w:rFonts w:ascii="Times New Roman" w:hAnsi="Times New Roman" w:cs="Times New Roman"/>
          <w:sz w:val="18"/>
          <w:szCs w:val="18"/>
        </w:rPr>
        <w:t>indicó:</w:t>
      </w:r>
      <w:r w:rsidRPr="00C74E0C">
        <w:t xml:space="preserve"> </w:t>
      </w:r>
      <w:r w:rsidRPr="00C74E0C">
        <w:rPr>
          <w:rFonts w:ascii="Times New Roman" w:hAnsi="Times New Roman" w:cs="Times New Roman"/>
          <w:sz w:val="18"/>
          <w:szCs w:val="18"/>
        </w:rPr>
        <w:t xml:space="preserve">“esta </w:t>
      </w:r>
      <w:r>
        <w:rPr>
          <w:rFonts w:ascii="Times New Roman" w:hAnsi="Times New Roman" w:cs="Times New Roman"/>
          <w:sz w:val="18"/>
          <w:szCs w:val="18"/>
        </w:rPr>
        <w:t>c</w:t>
      </w:r>
      <w:r w:rsidRPr="00C74E0C">
        <w:rPr>
          <w:rFonts w:ascii="Times New Roman" w:hAnsi="Times New Roman" w:cs="Times New Roman"/>
          <w:sz w:val="18"/>
          <w:szCs w:val="18"/>
        </w:rPr>
        <w:t xml:space="preserve">orporación ha explicado que los motivos expuestos para argumentar la inconstitucionalidad de una norma deben obedecer a criterios objetivos. Las razones no pueden basarse en la aplicación favorable o adversa </w:t>
      </w:r>
      <w:r>
        <w:rPr>
          <w:rFonts w:ascii="Times New Roman" w:hAnsi="Times New Roman" w:cs="Times New Roman"/>
          <w:sz w:val="18"/>
          <w:szCs w:val="18"/>
        </w:rPr>
        <w:t>(…)</w:t>
      </w:r>
      <w:r w:rsidRPr="00C74E0C">
        <w:rPr>
          <w:rFonts w:ascii="Times New Roman" w:hAnsi="Times New Roman" w:cs="Times New Roman"/>
          <w:sz w:val="18"/>
          <w:szCs w:val="18"/>
        </w:rPr>
        <w:t xml:space="preserve">, o </w:t>
      </w:r>
      <w:r>
        <w:rPr>
          <w:rFonts w:ascii="Times New Roman" w:hAnsi="Times New Roman" w:cs="Times New Roman"/>
          <w:sz w:val="18"/>
          <w:szCs w:val="18"/>
        </w:rPr>
        <w:t>(…)</w:t>
      </w:r>
      <w:r w:rsidRPr="00C74E0C">
        <w:rPr>
          <w:rFonts w:ascii="Times New Roman" w:hAnsi="Times New Roman" w:cs="Times New Roman"/>
          <w:sz w:val="18"/>
          <w:szCs w:val="18"/>
        </w:rPr>
        <w:t xml:space="preserve"> la mera inconformidad del solicitante</w:t>
      </w:r>
      <w:r w:rsidRPr="00C74E0C">
        <w:rPr>
          <w:rFonts w:ascii="Times New Roman" w:hAnsi="Times New Roman" w:cs="Times New Roman"/>
          <w:sz w:val="18"/>
          <w:szCs w:val="18"/>
        </w:rPr>
        <w:t xml:space="preserve"> con la disposición</w:t>
      </w:r>
      <w:r>
        <w:rPr>
          <w:rFonts w:ascii="Times New Roman" w:hAnsi="Times New Roman" w:cs="Times New Roman"/>
          <w:sz w:val="18"/>
          <w:szCs w:val="18"/>
        </w:rPr>
        <w:t>”.</w:t>
      </w:r>
    </w:p>
  </w:footnote>
  <w:footnote w:id="145">
    <w:p w:rsidR="000E6BF6" w:rsidRPr="00D021D4" w:rsidRDefault="006671C3" w:rsidP="000E6BF6">
      <w:pPr>
        <w:pStyle w:val="Textonotapie"/>
        <w:rPr>
          <w:rFonts w:ascii="Times New Roman" w:hAnsi="Times New Roman" w:cs="Times New Roman"/>
          <w:sz w:val="18"/>
          <w:szCs w:val="18"/>
        </w:rPr>
      </w:pPr>
      <w:r w:rsidRPr="00D021D4">
        <w:rPr>
          <w:rStyle w:val="Refdenotaalpie"/>
          <w:rFonts w:ascii="Times New Roman" w:hAnsi="Times New Roman" w:cs="Times New Roman"/>
          <w:sz w:val="18"/>
          <w:szCs w:val="18"/>
        </w:rPr>
        <w:footnoteRef/>
      </w:r>
      <w:r w:rsidRPr="00D021D4">
        <w:rPr>
          <w:rFonts w:ascii="Times New Roman" w:hAnsi="Times New Roman" w:cs="Times New Roman"/>
          <w:sz w:val="18"/>
          <w:szCs w:val="18"/>
        </w:rPr>
        <w:t xml:space="preserve"> </w:t>
      </w:r>
      <w:r>
        <w:rPr>
          <w:rFonts w:ascii="Times New Roman" w:hAnsi="Times New Roman" w:cs="Times New Roman"/>
          <w:sz w:val="18"/>
          <w:szCs w:val="18"/>
        </w:rPr>
        <w:t>Cfr. Sentencia C-190 de 2023.</w:t>
      </w:r>
    </w:p>
  </w:footnote>
  <w:footnote w:id="146">
    <w:p w:rsidR="000E6BF6" w:rsidRPr="00876DA9" w:rsidRDefault="006671C3" w:rsidP="000E6BF6">
      <w:pPr>
        <w:pStyle w:val="Textonotapie"/>
        <w:rPr>
          <w:rFonts w:ascii="Times New Roman" w:hAnsi="Times New Roman" w:cs="Times New Roman"/>
          <w:sz w:val="18"/>
          <w:szCs w:val="18"/>
        </w:rPr>
      </w:pPr>
      <w:r w:rsidRPr="00876DA9">
        <w:rPr>
          <w:rStyle w:val="Refdenotaalpie"/>
          <w:rFonts w:ascii="Times New Roman" w:hAnsi="Times New Roman" w:cs="Times New Roman"/>
          <w:sz w:val="18"/>
          <w:szCs w:val="18"/>
        </w:rPr>
        <w:footnoteRef/>
      </w:r>
      <w:r w:rsidRPr="00876DA9">
        <w:rPr>
          <w:rFonts w:ascii="Times New Roman" w:hAnsi="Times New Roman" w:cs="Times New Roman"/>
          <w:sz w:val="18"/>
          <w:szCs w:val="18"/>
        </w:rPr>
        <w:t xml:space="preserve"> Cfr. Sentencia C-190 de 2023.</w:t>
      </w:r>
    </w:p>
  </w:footnote>
  <w:footnote w:id="147">
    <w:p w:rsidR="000E6BF6" w:rsidRPr="00BE477C" w:rsidRDefault="006671C3" w:rsidP="000E6BF6">
      <w:pPr>
        <w:pStyle w:val="Textonotapie"/>
        <w:jc w:val="both"/>
        <w:rPr>
          <w:rFonts w:ascii="Times New Roman" w:hAnsi="Times New Roman" w:cs="Times New Roman"/>
          <w:sz w:val="18"/>
          <w:szCs w:val="18"/>
        </w:rPr>
      </w:pPr>
      <w:r w:rsidRPr="00BE477C">
        <w:rPr>
          <w:rStyle w:val="Refdenotaalpie"/>
          <w:rFonts w:ascii="Times New Roman" w:hAnsi="Times New Roman" w:cs="Times New Roman"/>
          <w:sz w:val="18"/>
          <w:szCs w:val="18"/>
        </w:rPr>
        <w:footnoteRef/>
      </w:r>
      <w:r w:rsidRPr="00BE477C">
        <w:rPr>
          <w:rFonts w:ascii="Times New Roman" w:hAnsi="Times New Roman" w:cs="Times New Roman"/>
          <w:sz w:val="18"/>
          <w:szCs w:val="18"/>
        </w:rPr>
        <w:t xml:space="preserve"> </w:t>
      </w:r>
      <w:r>
        <w:rPr>
          <w:rFonts w:ascii="Times New Roman" w:hAnsi="Times New Roman" w:cs="Times New Roman"/>
          <w:sz w:val="18"/>
          <w:szCs w:val="18"/>
        </w:rPr>
        <w:t>De otra parte, en la Sentencia C-595 de 2010 se señaló: “[L]</w:t>
      </w:r>
      <w:r w:rsidRPr="009A2376">
        <w:rPr>
          <w:rFonts w:ascii="Times New Roman" w:hAnsi="Times New Roman" w:cs="Times New Roman"/>
          <w:sz w:val="18"/>
          <w:szCs w:val="18"/>
        </w:rPr>
        <w:t>a integración de la unidad normativa (</w:t>
      </w:r>
      <w:r>
        <w:rPr>
          <w:rFonts w:ascii="Times New Roman" w:hAnsi="Times New Roman" w:cs="Times New Roman"/>
          <w:sz w:val="18"/>
          <w:szCs w:val="18"/>
        </w:rPr>
        <w:t>…)</w:t>
      </w:r>
      <w:r w:rsidRPr="009A2376">
        <w:rPr>
          <w:rFonts w:ascii="Times New Roman" w:hAnsi="Times New Roman" w:cs="Times New Roman"/>
          <w:sz w:val="18"/>
          <w:szCs w:val="18"/>
        </w:rPr>
        <w:t xml:space="preserve"> reviste carácter excepcional dado que a la Corte no le corresponde revisar oficiosamente las leyes (</w:t>
      </w:r>
      <w:r>
        <w:rPr>
          <w:rFonts w:ascii="Times New Roman" w:hAnsi="Times New Roman" w:cs="Times New Roman"/>
          <w:sz w:val="18"/>
          <w:szCs w:val="18"/>
        </w:rPr>
        <w:t>…</w:t>
      </w:r>
      <w:r w:rsidRPr="009A2376">
        <w:rPr>
          <w:rFonts w:ascii="Times New Roman" w:hAnsi="Times New Roman" w:cs="Times New Roman"/>
          <w:sz w:val="18"/>
          <w:szCs w:val="18"/>
        </w:rPr>
        <w:t>), sino pronunciarse sobre aquellas que fueran demandadas por un ciudadano -control rogado-, además que el proceso de control de constitucionalidad se sur</w:t>
      </w:r>
      <w:r w:rsidRPr="009A2376">
        <w:rPr>
          <w:rFonts w:ascii="Times New Roman" w:hAnsi="Times New Roman" w:cs="Times New Roman"/>
          <w:sz w:val="18"/>
          <w:szCs w:val="18"/>
        </w:rPr>
        <w:t>te con la participación ciudadana, la opinión de expertos y el concepto del Procurador General de la Nación (</w:t>
      </w:r>
      <w:r>
        <w:rPr>
          <w:rFonts w:ascii="Times New Roman" w:hAnsi="Times New Roman" w:cs="Times New Roman"/>
          <w:sz w:val="18"/>
          <w:szCs w:val="18"/>
        </w:rPr>
        <w:t>…</w:t>
      </w:r>
      <w:r w:rsidRPr="009A2376">
        <w:rPr>
          <w:rFonts w:ascii="Times New Roman" w:hAnsi="Times New Roman" w:cs="Times New Roman"/>
          <w:sz w:val="18"/>
          <w:szCs w:val="18"/>
        </w:rPr>
        <w:t>)</w:t>
      </w:r>
      <w:r>
        <w:rPr>
          <w:rFonts w:ascii="Times New Roman" w:hAnsi="Times New Roman" w:cs="Times New Roman"/>
          <w:sz w:val="18"/>
          <w:szCs w:val="18"/>
        </w:rPr>
        <w:t>”</w:t>
      </w:r>
      <w:r w:rsidRPr="009A2376">
        <w:rPr>
          <w:rFonts w:ascii="Times New Roman" w:hAnsi="Times New Roman" w:cs="Times New Roman"/>
          <w:sz w:val="18"/>
          <w:szCs w:val="18"/>
        </w:rPr>
        <w:t>.</w:t>
      </w:r>
    </w:p>
  </w:footnote>
  <w:footnote w:id="148">
    <w:p w:rsidR="000E6BF6" w:rsidRPr="00BD3A61" w:rsidRDefault="006671C3" w:rsidP="000E6BF6">
      <w:pPr>
        <w:pStyle w:val="Textonotapie"/>
        <w:rPr>
          <w:rFonts w:ascii="Times New Roman" w:hAnsi="Times New Roman" w:cs="Times New Roman"/>
          <w:sz w:val="18"/>
          <w:szCs w:val="18"/>
        </w:rPr>
      </w:pPr>
      <w:r w:rsidRPr="00BD3A61">
        <w:rPr>
          <w:rFonts w:ascii="Times New Roman" w:hAnsi="Times New Roman" w:cs="Times New Roman"/>
          <w:color w:val="000000" w:themeColor="text1"/>
          <w:sz w:val="18"/>
          <w:szCs w:val="18"/>
          <w:vertAlign w:val="superscript"/>
        </w:rPr>
        <w:footnoteRef/>
      </w:r>
      <w:r w:rsidRPr="00BD3A61">
        <w:rPr>
          <w:rFonts w:ascii="Times New Roman" w:hAnsi="Times New Roman" w:cs="Times New Roman"/>
          <w:color w:val="000000" w:themeColor="text1"/>
          <w:sz w:val="18"/>
          <w:szCs w:val="18"/>
        </w:rPr>
        <w:t xml:space="preserve"> Sentencia C-023 de 2021</w:t>
      </w:r>
    </w:p>
  </w:footnote>
  <w:footnote w:id="149">
    <w:p w:rsidR="000E6BF6" w:rsidRPr="00BD3969" w:rsidRDefault="006671C3" w:rsidP="000E6BF6">
      <w:pPr>
        <w:pStyle w:val="Textonotapie"/>
        <w:rPr>
          <w:rFonts w:ascii="Times New Roman" w:hAnsi="Times New Roman" w:cs="Times New Roman"/>
          <w:sz w:val="18"/>
          <w:szCs w:val="18"/>
        </w:rPr>
      </w:pPr>
      <w:r w:rsidRPr="00BD3969">
        <w:rPr>
          <w:rStyle w:val="Refdenotaalpie"/>
          <w:rFonts w:ascii="Times New Roman" w:hAnsi="Times New Roman" w:cs="Times New Roman"/>
          <w:sz w:val="18"/>
          <w:szCs w:val="18"/>
        </w:rPr>
        <w:footnoteRef/>
      </w:r>
      <w:r w:rsidRPr="00BD3969">
        <w:rPr>
          <w:rFonts w:ascii="Times New Roman" w:hAnsi="Times New Roman" w:cs="Times New Roman"/>
          <w:sz w:val="18"/>
          <w:szCs w:val="18"/>
        </w:rPr>
        <w:t xml:space="preserve"> Sentencia C-298 de 2022.</w:t>
      </w:r>
    </w:p>
  </w:footnote>
  <w:footnote w:id="150">
    <w:p w:rsidR="000E6BF6" w:rsidRPr="00BD3969" w:rsidRDefault="006671C3" w:rsidP="000E6BF6">
      <w:pPr>
        <w:pStyle w:val="Textonotapie"/>
        <w:rPr>
          <w:rFonts w:ascii="Times New Roman" w:hAnsi="Times New Roman" w:cs="Times New Roman"/>
          <w:sz w:val="18"/>
          <w:szCs w:val="18"/>
        </w:rPr>
      </w:pPr>
      <w:r w:rsidRPr="00BD3969">
        <w:rPr>
          <w:rStyle w:val="Refdenotaalpie"/>
          <w:rFonts w:ascii="Times New Roman" w:hAnsi="Times New Roman" w:cs="Times New Roman"/>
          <w:sz w:val="18"/>
          <w:szCs w:val="18"/>
        </w:rPr>
        <w:footnoteRef/>
      </w:r>
      <w:r w:rsidRPr="00BD3969">
        <w:rPr>
          <w:rFonts w:ascii="Times New Roman" w:hAnsi="Times New Roman" w:cs="Times New Roman"/>
          <w:sz w:val="18"/>
          <w:szCs w:val="18"/>
        </w:rPr>
        <w:t xml:space="preserve"> Cfr. Sentencia</w:t>
      </w:r>
      <w:r>
        <w:rPr>
          <w:rFonts w:ascii="Times New Roman" w:hAnsi="Times New Roman" w:cs="Times New Roman"/>
          <w:sz w:val="18"/>
          <w:szCs w:val="18"/>
        </w:rPr>
        <w:t>s</w:t>
      </w:r>
      <w:r w:rsidRPr="00BD3969">
        <w:rPr>
          <w:rFonts w:ascii="Times New Roman" w:hAnsi="Times New Roman" w:cs="Times New Roman"/>
          <w:sz w:val="18"/>
          <w:szCs w:val="18"/>
        </w:rPr>
        <w:t xml:space="preserve"> C-190 de 2023</w:t>
      </w:r>
      <w:r>
        <w:rPr>
          <w:rFonts w:ascii="Times New Roman" w:hAnsi="Times New Roman" w:cs="Times New Roman"/>
          <w:sz w:val="18"/>
          <w:szCs w:val="18"/>
        </w:rPr>
        <w:t xml:space="preserve"> y C-250 de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E249B0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A83EC9EA"/>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9BCC54E6"/>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7E30899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FB9648F6"/>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B0C722E"/>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9F8D4FE"/>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3FE8ED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EF8EC0C"/>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E1A032AC"/>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7D12062"/>
    <w:multiLevelType w:val="hybridMultilevel"/>
    <w:tmpl w:val="FB021462"/>
    <w:lvl w:ilvl="0" w:tplc="1488EE3A">
      <w:start w:val="1"/>
      <w:numFmt w:val="decimal"/>
      <w:lvlText w:val="%1."/>
      <w:lvlJc w:val="left"/>
      <w:pPr>
        <w:ind w:left="786" w:hanging="360"/>
      </w:pPr>
      <w:rPr>
        <w:i w:val="0"/>
        <w:sz w:val="28"/>
        <w:szCs w:val="2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E414F3D"/>
    <w:multiLevelType w:val="hybridMultilevel"/>
    <w:tmpl w:val="DC2650D6"/>
    <w:lvl w:ilvl="0" w:tplc="DCB4601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9F37E5"/>
    <w:multiLevelType w:val="hybridMultilevel"/>
    <w:tmpl w:val="7F42A906"/>
    <w:lvl w:ilvl="0" w:tplc="2BF8288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4940"/>
    <w:rsid w:val="006671C3"/>
    <w:rsid w:val="00A04940"/>
    <w:rsid w:val="00C46C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47E550D8-0819-4F88-ACAD-9132AFE97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0E6BF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0E6BF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link w:val="Ttulo3Car"/>
    <w:uiPriority w:val="9"/>
    <w:qFormat/>
    <w:rsid w:val="000E6BF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Ttulo4">
    <w:name w:val="heading 4"/>
    <w:basedOn w:val="Normal"/>
    <w:next w:val="Normal"/>
    <w:link w:val="Ttulo4Car"/>
    <w:uiPriority w:val="9"/>
    <w:semiHidden/>
    <w:unhideWhenUsed/>
    <w:qFormat/>
    <w:rsid w:val="000E6BF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0E6BF6"/>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0E6BF6"/>
    <w:pPr>
      <w:keepNext/>
      <w:keepLines/>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0E6BF6"/>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0E6BF6"/>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0E6BF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E6BF6"/>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semiHidden/>
    <w:rsid w:val="000E6BF6"/>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0E6BF6"/>
    <w:rPr>
      <w:rFonts w:ascii="Times New Roman" w:eastAsia="Times New Roman" w:hAnsi="Times New Roman" w:cs="Times New Roman"/>
      <w:b/>
      <w:bCs/>
      <w:sz w:val="27"/>
      <w:szCs w:val="27"/>
      <w:lang w:eastAsia="es-CO"/>
    </w:rPr>
  </w:style>
  <w:style w:type="character" w:customStyle="1" w:styleId="Ttulo4Car">
    <w:name w:val="Título 4 Car"/>
    <w:basedOn w:val="Fuentedeprrafopredeter"/>
    <w:link w:val="Ttulo4"/>
    <w:uiPriority w:val="9"/>
    <w:semiHidden/>
    <w:rsid w:val="000E6BF6"/>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uiPriority w:val="9"/>
    <w:semiHidden/>
    <w:rsid w:val="000E6BF6"/>
    <w:rPr>
      <w:rFonts w:asciiTheme="majorHAnsi" w:eastAsiaTheme="majorEastAsia" w:hAnsiTheme="majorHAnsi" w:cstheme="majorBidi"/>
      <w:color w:val="2E74B5" w:themeColor="accent1" w:themeShade="BF"/>
    </w:rPr>
  </w:style>
  <w:style w:type="character" w:customStyle="1" w:styleId="Ttulo6Car">
    <w:name w:val="Título 6 Car"/>
    <w:basedOn w:val="Fuentedeprrafopredeter"/>
    <w:link w:val="Ttulo6"/>
    <w:uiPriority w:val="9"/>
    <w:semiHidden/>
    <w:rsid w:val="000E6BF6"/>
    <w:rPr>
      <w:rFonts w:asciiTheme="majorHAnsi" w:eastAsiaTheme="majorEastAsia" w:hAnsiTheme="majorHAnsi" w:cstheme="majorBidi"/>
      <w:color w:val="1F4D78" w:themeColor="accent1" w:themeShade="7F"/>
    </w:rPr>
  </w:style>
  <w:style w:type="character" w:customStyle="1" w:styleId="Ttulo7Car">
    <w:name w:val="Título 7 Car"/>
    <w:basedOn w:val="Fuentedeprrafopredeter"/>
    <w:link w:val="Ttulo7"/>
    <w:uiPriority w:val="9"/>
    <w:semiHidden/>
    <w:rsid w:val="000E6BF6"/>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uiPriority w:val="9"/>
    <w:semiHidden/>
    <w:rsid w:val="000E6BF6"/>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0E6BF6"/>
    <w:rPr>
      <w:rFonts w:asciiTheme="majorHAnsi" w:eastAsiaTheme="majorEastAsia" w:hAnsiTheme="majorHAnsi" w:cstheme="majorBidi"/>
      <w:i/>
      <w:iCs/>
      <w:color w:val="272727" w:themeColor="text1" w:themeTint="D8"/>
      <w:sz w:val="21"/>
      <w:szCs w:val="21"/>
    </w:rPr>
  </w:style>
  <w:style w:type="numbering" w:customStyle="1" w:styleId="Sinlista1">
    <w:name w:val="Sin lista1"/>
    <w:next w:val="Sinlista"/>
    <w:uiPriority w:val="99"/>
    <w:semiHidden/>
    <w:unhideWhenUsed/>
    <w:rsid w:val="000E6BF6"/>
  </w:style>
  <w:style w:type="numbering" w:customStyle="1" w:styleId="Sinlista11">
    <w:name w:val="Sin lista11"/>
    <w:next w:val="Sinlista"/>
    <w:uiPriority w:val="99"/>
    <w:semiHidden/>
    <w:unhideWhenUsed/>
    <w:rsid w:val="000E6BF6"/>
  </w:style>
  <w:style w:type="paragraph" w:styleId="Textonotapie">
    <w:name w:val="footnote text"/>
    <w:aliases w:val="Footnote Text Char Char Char Char Char,Footnote Text Char Char Char Char,Ref. de nota al pie1,FA Fu,texto de nota al pie,Footnote Text Char,Footnote Text Char Char Char Char Char Char Char Char,Footnote Text Char Char Cha,Footnote Te,ft"/>
    <w:basedOn w:val="Normal"/>
    <w:link w:val="TextonotapieCar"/>
    <w:uiPriority w:val="99"/>
    <w:unhideWhenUsed/>
    <w:qFormat/>
    <w:rsid w:val="000E6BF6"/>
    <w:pPr>
      <w:spacing w:after="0" w:line="240" w:lineRule="auto"/>
    </w:pPr>
    <w:rPr>
      <w:sz w:val="20"/>
      <w:szCs w:val="20"/>
    </w:rPr>
  </w:style>
  <w:style w:type="character" w:customStyle="1" w:styleId="TextonotapieCar">
    <w:name w:val="Texto nota pie Car"/>
    <w:aliases w:val="Footnote Text Char Char Char Char Char Car,Footnote Text Char Char Char Char Car,Ref. de nota al pie1 Car,FA Fu Car,texto de nota al pie Car,Footnote Text Char Car,Footnote Text Char Char Char Char Char Char Char Char Car,ft Car"/>
    <w:basedOn w:val="Fuentedeprrafopredeter"/>
    <w:link w:val="Textonotapie"/>
    <w:uiPriority w:val="99"/>
    <w:qFormat/>
    <w:rsid w:val="000E6BF6"/>
    <w:rPr>
      <w:sz w:val="20"/>
      <w:szCs w:val="20"/>
    </w:rPr>
  </w:style>
  <w:style w:type="character" w:styleId="Refdenotaalpie">
    <w:name w:val="footnote reference"/>
    <w:aliases w:val="Texto de nota al pie,Footnotes refss,Appel note de bas de page,Ref. de nota al pie 2,referencia nota al pie,Fago Fußnotenzeichen,Footnote number,BVI fnr,f,4_G,16 Point,Superscript 6 Point,Texto nota al pie,Footnote Reference Char3,FC"/>
    <w:basedOn w:val="Fuentedeprrafopredeter"/>
    <w:link w:val="4GChar"/>
    <w:uiPriority w:val="99"/>
    <w:unhideWhenUsed/>
    <w:qFormat/>
    <w:rsid w:val="000E6BF6"/>
    <w:rPr>
      <w:vertAlign w:val="superscript"/>
    </w:rPr>
  </w:style>
  <w:style w:type="paragraph" w:styleId="Prrafodelista">
    <w:name w:val="List Paragraph"/>
    <w:aliases w:val="Lista1,titulo 3,Párrafo de lista1,Bullets,Ha,Párrafo de lista2,Lista vistosa - Énfasis 11,Cuadrícula clara - Énfasis 31,Dot pt,F5 List Paragraph,List Paragraph1,No Spacing1,List Paragraph Char Char Char,Indicator Text,lp1,Footnote,Foot"/>
    <w:basedOn w:val="Normal"/>
    <w:link w:val="PrrafodelistaCar"/>
    <w:uiPriority w:val="34"/>
    <w:qFormat/>
    <w:rsid w:val="000E6BF6"/>
    <w:pPr>
      <w:ind w:left="720"/>
      <w:contextualSpacing/>
    </w:pPr>
  </w:style>
  <w:style w:type="paragraph" w:styleId="Sinespaciado">
    <w:name w:val="No Spacing"/>
    <w:uiPriority w:val="1"/>
    <w:qFormat/>
    <w:rsid w:val="000E6BF6"/>
    <w:pPr>
      <w:spacing w:after="0" w:line="240" w:lineRule="auto"/>
    </w:pPr>
  </w:style>
  <w:style w:type="character" w:styleId="Hipervnculo">
    <w:name w:val="Hyperlink"/>
    <w:basedOn w:val="Fuentedeprrafopredeter"/>
    <w:uiPriority w:val="99"/>
    <w:unhideWhenUsed/>
    <w:rsid w:val="000E6BF6"/>
    <w:rPr>
      <w:color w:val="0563C1" w:themeColor="hyperlink"/>
      <w:u w:val="single"/>
    </w:rPr>
  </w:style>
  <w:style w:type="paragraph" w:styleId="Textodeglobo">
    <w:name w:val="Balloon Text"/>
    <w:basedOn w:val="Normal"/>
    <w:link w:val="TextodegloboCar"/>
    <w:uiPriority w:val="99"/>
    <w:semiHidden/>
    <w:unhideWhenUsed/>
    <w:rsid w:val="000E6BF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E6BF6"/>
    <w:rPr>
      <w:rFonts w:ascii="Segoe UI" w:hAnsi="Segoe UI" w:cs="Segoe UI"/>
      <w:sz w:val="18"/>
      <w:szCs w:val="18"/>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0E6BF6"/>
    <w:pPr>
      <w:spacing w:after="0" w:line="240" w:lineRule="auto"/>
      <w:jc w:val="both"/>
    </w:pPr>
    <w:rPr>
      <w:vertAlign w:val="superscript"/>
    </w:rPr>
  </w:style>
  <w:style w:type="character" w:customStyle="1" w:styleId="Mencinsinresolver1">
    <w:name w:val="Mención sin resolver1"/>
    <w:basedOn w:val="Fuentedeprrafopredeter"/>
    <w:uiPriority w:val="99"/>
    <w:semiHidden/>
    <w:unhideWhenUsed/>
    <w:rsid w:val="000E6BF6"/>
    <w:rPr>
      <w:color w:val="605E5C"/>
      <w:shd w:val="clear" w:color="auto" w:fill="E1DFDD"/>
    </w:rPr>
  </w:style>
  <w:style w:type="paragraph" w:styleId="Encabezado">
    <w:name w:val="header"/>
    <w:basedOn w:val="Normal"/>
    <w:link w:val="EncabezadoCar"/>
    <w:uiPriority w:val="99"/>
    <w:unhideWhenUsed/>
    <w:rsid w:val="000E6BF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E6BF6"/>
  </w:style>
  <w:style w:type="paragraph" w:styleId="Piedepgina">
    <w:name w:val="footer"/>
    <w:basedOn w:val="Normal"/>
    <w:link w:val="PiedepginaCar"/>
    <w:uiPriority w:val="99"/>
    <w:unhideWhenUsed/>
    <w:rsid w:val="000E6BF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E6BF6"/>
  </w:style>
  <w:style w:type="paragraph" w:customStyle="1" w:styleId="Refdenotaalpie2">
    <w:name w:val="Ref. de nota al pie2"/>
    <w:aliases w:val="Pie de pagina"/>
    <w:basedOn w:val="Normal"/>
    <w:uiPriority w:val="99"/>
    <w:rsid w:val="000E6BF6"/>
    <w:pPr>
      <w:spacing w:line="240" w:lineRule="exact"/>
      <w:jc w:val="both"/>
    </w:pPr>
    <w:rPr>
      <w:vertAlign w:val="superscript"/>
    </w:rPr>
  </w:style>
  <w:style w:type="table" w:customStyle="1" w:styleId="Tablaconcuadrcula2">
    <w:name w:val="Tabla con cuadrícula2"/>
    <w:basedOn w:val="Tablanormal"/>
    <w:next w:val="Tablaconcuadrcula"/>
    <w:uiPriority w:val="39"/>
    <w:rsid w:val="000E6BF6"/>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0E6B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0E6BF6"/>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2">
    <w:name w:val="Texto nota pie Car2"/>
    <w:aliases w:val="Footnote Text Char Char Char Char Char Car1,Footnote Text Char Char Char Char Car1,Ref. de nota al pie1 Car1,FA Fu Car1,texto de nota al pie Car1,Footnote Text Char Car1,Footnote Text Char Char Char Char Char Char Char Char Car1"/>
    <w:uiPriority w:val="99"/>
    <w:qFormat/>
    <w:locked/>
    <w:rsid w:val="000E6BF6"/>
    <w:rPr>
      <w:rFonts w:ascii="Times New Roman" w:hAnsi="Times New Roman"/>
      <w:sz w:val="20"/>
      <w:lang w:val="x-none" w:eastAsia="es-ES"/>
    </w:rPr>
  </w:style>
  <w:style w:type="table" w:customStyle="1" w:styleId="Tablaconcuadrcula1">
    <w:name w:val="Tabla con cuadrícula1"/>
    <w:basedOn w:val="Tablanormal"/>
    <w:next w:val="Tablaconcuadrcula"/>
    <w:uiPriority w:val="39"/>
    <w:rsid w:val="000E6B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E6BF6"/>
    <w:pPr>
      <w:autoSpaceDE w:val="0"/>
      <w:autoSpaceDN w:val="0"/>
      <w:adjustRightInd w:val="0"/>
      <w:spacing w:after="0" w:line="240" w:lineRule="auto"/>
    </w:pPr>
    <w:rPr>
      <w:rFonts w:ascii="Times New Roman" w:hAnsi="Times New Roman" w:cs="Times New Roman"/>
      <w:color w:val="000000"/>
      <w:sz w:val="24"/>
      <w:szCs w:val="24"/>
    </w:rPr>
  </w:style>
  <w:style w:type="character" w:styleId="Refdecomentario">
    <w:name w:val="annotation reference"/>
    <w:basedOn w:val="Fuentedeprrafopredeter"/>
    <w:uiPriority w:val="99"/>
    <w:semiHidden/>
    <w:unhideWhenUsed/>
    <w:rsid w:val="000E6BF6"/>
    <w:rPr>
      <w:sz w:val="16"/>
      <w:szCs w:val="16"/>
    </w:rPr>
  </w:style>
  <w:style w:type="paragraph" w:styleId="Textocomentario">
    <w:name w:val="annotation text"/>
    <w:basedOn w:val="Normal"/>
    <w:link w:val="TextocomentarioCar"/>
    <w:uiPriority w:val="99"/>
    <w:unhideWhenUsed/>
    <w:rsid w:val="000E6BF6"/>
    <w:pPr>
      <w:spacing w:line="240" w:lineRule="auto"/>
    </w:pPr>
    <w:rPr>
      <w:sz w:val="20"/>
      <w:szCs w:val="20"/>
    </w:rPr>
  </w:style>
  <w:style w:type="character" w:customStyle="1" w:styleId="TextocomentarioCar">
    <w:name w:val="Texto comentario Car"/>
    <w:basedOn w:val="Fuentedeprrafopredeter"/>
    <w:link w:val="Textocomentario"/>
    <w:uiPriority w:val="99"/>
    <w:rsid w:val="000E6BF6"/>
    <w:rPr>
      <w:sz w:val="20"/>
      <w:szCs w:val="20"/>
    </w:rPr>
  </w:style>
  <w:style w:type="paragraph" w:styleId="Asuntodelcomentario">
    <w:name w:val="annotation subject"/>
    <w:basedOn w:val="Textocomentario"/>
    <w:next w:val="Textocomentario"/>
    <w:link w:val="AsuntodelcomentarioCar"/>
    <w:uiPriority w:val="99"/>
    <w:semiHidden/>
    <w:unhideWhenUsed/>
    <w:rsid w:val="000E6BF6"/>
    <w:rPr>
      <w:b/>
      <w:bCs/>
    </w:rPr>
  </w:style>
  <w:style w:type="character" w:customStyle="1" w:styleId="AsuntodelcomentarioCar">
    <w:name w:val="Asunto del comentario Car"/>
    <w:basedOn w:val="TextocomentarioCar"/>
    <w:link w:val="Asuntodelcomentario"/>
    <w:uiPriority w:val="99"/>
    <w:semiHidden/>
    <w:rsid w:val="000E6BF6"/>
    <w:rPr>
      <w:b/>
      <w:bCs/>
      <w:sz w:val="20"/>
      <w:szCs w:val="20"/>
    </w:rPr>
  </w:style>
  <w:style w:type="character" w:customStyle="1" w:styleId="PrrafodelistaCar">
    <w:name w:val="Párrafo de lista Car"/>
    <w:aliases w:val="Lista1 Car,titulo 3 Car,Párrafo de lista1 Car,Bullets Car,Ha Car,Párrafo de lista2 Car,Lista vistosa - Énfasis 11 Car,Cuadrícula clara - Énfasis 31 Car,Dot pt Car,F5 List Paragraph Car,List Paragraph1 Car,No Spacing1 Car,lp1 Car"/>
    <w:link w:val="Prrafodelista"/>
    <w:uiPriority w:val="34"/>
    <w:qFormat/>
    <w:locked/>
    <w:rsid w:val="000E6BF6"/>
  </w:style>
  <w:style w:type="paragraph" w:styleId="Textoindependiente">
    <w:name w:val="Body Text"/>
    <w:basedOn w:val="Normal"/>
    <w:link w:val="TextoindependienteCar"/>
    <w:uiPriority w:val="99"/>
    <w:rsid w:val="000E6BF6"/>
    <w:pPr>
      <w:widowControl w:val="0"/>
      <w:autoSpaceDE w:val="0"/>
      <w:autoSpaceDN w:val="0"/>
      <w:spacing w:after="0" w:line="360" w:lineRule="atLeast"/>
      <w:jc w:val="both"/>
    </w:pPr>
    <w:rPr>
      <w:rFonts w:ascii="Times New Roman" w:eastAsia="Times New Roman" w:hAnsi="Times New Roman" w:cs="Times New Roman"/>
      <w:sz w:val="28"/>
      <w:szCs w:val="20"/>
      <w:lang w:val="es-ES" w:eastAsia="es-ES"/>
    </w:rPr>
  </w:style>
  <w:style w:type="character" w:customStyle="1" w:styleId="TextoindependienteCar">
    <w:name w:val="Texto independiente Car"/>
    <w:basedOn w:val="Fuentedeprrafopredeter"/>
    <w:link w:val="Textoindependiente"/>
    <w:uiPriority w:val="99"/>
    <w:rsid w:val="000E6BF6"/>
    <w:rPr>
      <w:rFonts w:ascii="Times New Roman" w:eastAsia="Times New Roman" w:hAnsi="Times New Roman" w:cs="Times New Roman"/>
      <w:sz w:val="28"/>
      <w:szCs w:val="20"/>
      <w:lang w:val="es-ES" w:eastAsia="es-ES"/>
    </w:rPr>
  </w:style>
  <w:style w:type="paragraph" w:customStyle="1" w:styleId="rvps11">
    <w:name w:val="rvps11"/>
    <w:basedOn w:val="Normal"/>
    <w:rsid w:val="000E6BF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rsid w:val="000E6BF6"/>
  </w:style>
  <w:style w:type="character" w:customStyle="1" w:styleId="rvts7">
    <w:name w:val="rvts7"/>
    <w:rsid w:val="000E6BF6"/>
  </w:style>
  <w:style w:type="character" w:customStyle="1" w:styleId="rvts14">
    <w:name w:val="rvts14"/>
    <w:rsid w:val="000E6BF6"/>
  </w:style>
  <w:style w:type="paragraph" w:styleId="NormalWeb">
    <w:name w:val="Normal (Web)"/>
    <w:basedOn w:val="Normal"/>
    <w:uiPriority w:val="99"/>
    <w:unhideWhenUsed/>
    <w:rsid w:val="000E6BF6"/>
    <w:rPr>
      <w:rFonts w:ascii="Times New Roman" w:hAnsi="Times New Roman" w:cs="Times New Roman"/>
      <w:sz w:val="24"/>
      <w:szCs w:val="24"/>
    </w:rPr>
  </w:style>
  <w:style w:type="paragraph" w:styleId="Bibliografa">
    <w:name w:val="Bibliography"/>
    <w:basedOn w:val="Normal"/>
    <w:next w:val="Normal"/>
    <w:uiPriority w:val="37"/>
    <w:semiHidden/>
    <w:unhideWhenUsed/>
    <w:rsid w:val="000E6BF6"/>
  </w:style>
  <w:style w:type="paragraph" w:styleId="Cierre">
    <w:name w:val="Closing"/>
    <w:basedOn w:val="Normal"/>
    <w:link w:val="CierreCar"/>
    <w:uiPriority w:val="99"/>
    <w:semiHidden/>
    <w:unhideWhenUsed/>
    <w:rsid w:val="000E6BF6"/>
    <w:pPr>
      <w:spacing w:after="0" w:line="240" w:lineRule="auto"/>
      <w:ind w:left="4252"/>
    </w:pPr>
  </w:style>
  <w:style w:type="character" w:customStyle="1" w:styleId="CierreCar">
    <w:name w:val="Cierre Car"/>
    <w:basedOn w:val="Fuentedeprrafopredeter"/>
    <w:link w:val="Cierre"/>
    <w:uiPriority w:val="99"/>
    <w:semiHidden/>
    <w:rsid w:val="000E6BF6"/>
  </w:style>
  <w:style w:type="paragraph" w:styleId="Cita">
    <w:name w:val="Quote"/>
    <w:basedOn w:val="Normal"/>
    <w:next w:val="Normal"/>
    <w:link w:val="CitaCar"/>
    <w:uiPriority w:val="29"/>
    <w:qFormat/>
    <w:rsid w:val="000E6BF6"/>
    <w:pPr>
      <w:spacing w:before="200"/>
      <w:ind w:left="864" w:right="864"/>
      <w:jc w:val="center"/>
    </w:pPr>
    <w:rPr>
      <w:i/>
      <w:iCs/>
      <w:color w:val="404040" w:themeColor="text1" w:themeTint="BF"/>
    </w:rPr>
  </w:style>
  <w:style w:type="character" w:customStyle="1" w:styleId="CitaCar">
    <w:name w:val="Cita Car"/>
    <w:basedOn w:val="Fuentedeprrafopredeter"/>
    <w:link w:val="Cita"/>
    <w:uiPriority w:val="29"/>
    <w:rsid w:val="000E6BF6"/>
    <w:rPr>
      <w:i/>
      <w:iCs/>
      <w:color w:val="404040" w:themeColor="text1" w:themeTint="BF"/>
    </w:rPr>
  </w:style>
  <w:style w:type="paragraph" w:styleId="Citadestacada">
    <w:name w:val="Intense Quote"/>
    <w:basedOn w:val="Normal"/>
    <w:next w:val="Normal"/>
    <w:link w:val="CitadestacadaCar"/>
    <w:uiPriority w:val="30"/>
    <w:qFormat/>
    <w:rsid w:val="000E6BF6"/>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0E6BF6"/>
    <w:rPr>
      <w:i/>
      <w:iCs/>
      <w:color w:val="5B9BD5" w:themeColor="accent1"/>
    </w:rPr>
  </w:style>
  <w:style w:type="paragraph" w:styleId="Continuarlista">
    <w:name w:val="List Continue"/>
    <w:basedOn w:val="Normal"/>
    <w:uiPriority w:val="99"/>
    <w:semiHidden/>
    <w:unhideWhenUsed/>
    <w:rsid w:val="000E6BF6"/>
    <w:pPr>
      <w:spacing w:after="120"/>
      <w:ind w:left="283"/>
      <w:contextualSpacing/>
    </w:pPr>
  </w:style>
  <w:style w:type="paragraph" w:styleId="Continuarlista2">
    <w:name w:val="List Continue 2"/>
    <w:basedOn w:val="Normal"/>
    <w:uiPriority w:val="99"/>
    <w:semiHidden/>
    <w:unhideWhenUsed/>
    <w:rsid w:val="000E6BF6"/>
    <w:pPr>
      <w:spacing w:after="120"/>
      <w:ind w:left="566"/>
      <w:contextualSpacing/>
    </w:pPr>
  </w:style>
  <w:style w:type="paragraph" w:styleId="Continuarlista3">
    <w:name w:val="List Continue 3"/>
    <w:basedOn w:val="Normal"/>
    <w:uiPriority w:val="99"/>
    <w:semiHidden/>
    <w:unhideWhenUsed/>
    <w:rsid w:val="000E6BF6"/>
    <w:pPr>
      <w:spacing w:after="120"/>
      <w:ind w:left="849"/>
      <w:contextualSpacing/>
    </w:pPr>
  </w:style>
  <w:style w:type="paragraph" w:styleId="Continuarlista4">
    <w:name w:val="List Continue 4"/>
    <w:basedOn w:val="Normal"/>
    <w:uiPriority w:val="99"/>
    <w:semiHidden/>
    <w:unhideWhenUsed/>
    <w:rsid w:val="000E6BF6"/>
    <w:pPr>
      <w:spacing w:after="120"/>
      <w:ind w:left="1132"/>
      <w:contextualSpacing/>
    </w:pPr>
  </w:style>
  <w:style w:type="paragraph" w:styleId="Continuarlista5">
    <w:name w:val="List Continue 5"/>
    <w:basedOn w:val="Normal"/>
    <w:uiPriority w:val="99"/>
    <w:semiHidden/>
    <w:unhideWhenUsed/>
    <w:rsid w:val="000E6BF6"/>
    <w:pPr>
      <w:spacing w:after="120"/>
      <w:ind w:left="1415"/>
      <w:contextualSpacing/>
    </w:pPr>
  </w:style>
  <w:style w:type="paragraph" w:styleId="Descripcin">
    <w:name w:val="caption"/>
    <w:basedOn w:val="Normal"/>
    <w:next w:val="Normal"/>
    <w:uiPriority w:val="35"/>
    <w:semiHidden/>
    <w:unhideWhenUsed/>
    <w:qFormat/>
    <w:rsid w:val="000E6BF6"/>
    <w:pPr>
      <w:spacing w:after="200" w:line="240" w:lineRule="auto"/>
    </w:pPr>
    <w:rPr>
      <w:i/>
      <w:iCs/>
      <w:color w:val="44546A" w:themeColor="text2"/>
      <w:sz w:val="18"/>
      <w:szCs w:val="18"/>
    </w:rPr>
  </w:style>
  <w:style w:type="paragraph" w:styleId="DireccinHTML">
    <w:name w:val="HTML Address"/>
    <w:basedOn w:val="Normal"/>
    <w:link w:val="DireccinHTMLCar"/>
    <w:uiPriority w:val="99"/>
    <w:semiHidden/>
    <w:unhideWhenUsed/>
    <w:rsid w:val="000E6BF6"/>
    <w:pPr>
      <w:spacing w:after="0" w:line="240" w:lineRule="auto"/>
    </w:pPr>
    <w:rPr>
      <w:i/>
      <w:iCs/>
    </w:rPr>
  </w:style>
  <w:style w:type="character" w:customStyle="1" w:styleId="DireccinHTMLCar">
    <w:name w:val="Dirección HTML Car"/>
    <w:basedOn w:val="Fuentedeprrafopredeter"/>
    <w:link w:val="DireccinHTML"/>
    <w:uiPriority w:val="99"/>
    <w:semiHidden/>
    <w:rsid w:val="000E6BF6"/>
    <w:rPr>
      <w:i/>
      <w:iCs/>
    </w:rPr>
  </w:style>
  <w:style w:type="paragraph" w:styleId="Direccinsobre">
    <w:name w:val="envelope address"/>
    <w:basedOn w:val="Normal"/>
    <w:uiPriority w:val="99"/>
    <w:semiHidden/>
    <w:unhideWhenUsed/>
    <w:rsid w:val="000E6BF6"/>
    <w:pPr>
      <w:framePr w:w="7920" w:h="1980" w:hRule="exact" w:hSpace="141"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cabezadodelista">
    <w:name w:val="toa heading"/>
    <w:basedOn w:val="Normal"/>
    <w:next w:val="Normal"/>
    <w:uiPriority w:val="99"/>
    <w:semiHidden/>
    <w:unhideWhenUsed/>
    <w:rsid w:val="000E6BF6"/>
    <w:pPr>
      <w:spacing w:before="120"/>
    </w:pPr>
    <w:rPr>
      <w:rFonts w:asciiTheme="majorHAnsi" w:eastAsiaTheme="majorEastAsia" w:hAnsiTheme="majorHAnsi" w:cstheme="majorBidi"/>
      <w:b/>
      <w:bCs/>
      <w:sz w:val="24"/>
      <w:szCs w:val="24"/>
    </w:rPr>
  </w:style>
  <w:style w:type="paragraph" w:styleId="Encabezadodemensaje">
    <w:name w:val="Message Header"/>
    <w:basedOn w:val="Normal"/>
    <w:link w:val="EncabezadodemensajeCar"/>
    <w:uiPriority w:val="99"/>
    <w:semiHidden/>
    <w:unhideWhenUsed/>
    <w:rsid w:val="000E6BF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semiHidden/>
    <w:rsid w:val="000E6BF6"/>
    <w:rPr>
      <w:rFonts w:asciiTheme="majorHAnsi" w:eastAsiaTheme="majorEastAsia" w:hAnsiTheme="majorHAnsi" w:cstheme="majorBidi"/>
      <w:sz w:val="24"/>
      <w:szCs w:val="24"/>
      <w:shd w:val="pct20" w:color="auto" w:fill="auto"/>
    </w:rPr>
  </w:style>
  <w:style w:type="paragraph" w:styleId="Encabezadodenota">
    <w:name w:val="Note Heading"/>
    <w:basedOn w:val="Normal"/>
    <w:next w:val="Normal"/>
    <w:link w:val="EncabezadodenotaCar"/>
    <w:uiPriority w:val="99"/>
    <w:semiHidden/>
    <w:unhideWhenUsed/>
    <w:rsid w:val="000E6BF6"/>
    <w:pPr>
      <w:spacing w:after="0" w:line="240" w:lineRule="auto"/>
    </w:pPr>
  </w:style>
  <w:style w:type="character" w:customStyle="1" w:styleId="EncabezadodenotaCar">
    <w:name w:val="Encabezado de nota Car"/>
    <w:basedOn w:val="Fuentedeprrafopredeter"/>
    <w:link w:val="Encabezadodenota"/>
    <w:uiPriority w:val="99"/>
    <w:semiHidden/>
    <w:rsid w:val="000E6BF6"/>
  </w:style>
  <w:style w:type="paragraph" w:styleId="Fecha">
    <w:name w:val="Date"/>
    <w:basedOn w:val="Normal"/>
    <w:next w:val="Normal"/>
    <w:link w:val="FechaCar"/>
    <w:uiPriority w:val="99"/>
    <w:semiHidden/>
    <w:unhideWhenUsed/>
    <w:rsid w:val="000E6BF6"/>
  </w:style>
  <w:style w:type="character" w:customStyle="1" w:styleId="FechaCar">
    <w:name w:val="Fecha Car"/>
    <w:basedOn w:val="Fuentedeprrafopredeter"/>
    <w:link w:val="Fecha"/>
    <w:uiPriority w:val="99"/>
    <w:semiHidden/>
    <w:rsid w:val="000E6BF6"/>
  </w:style>
  <w:style w:type="paragraph" w:styleId="Firma">
    <w:name w:val="Signature"/>
    <w:basedOn w:val="Normal"/>
    <w:link w:val="FirmaCar"/>
    <w:uiPriority w:val="99"/>
    <w:semiHidden/>
    <w:unhideWhenUsed/>
    <w:rsid w:val="000E6BF6"/>
    <w:pPr>
      <w:spacing w:after="0" w:line="240" w:lineRule="auto"/>
      <w:ind w:left="4252"/>
    </w:pPr>
  </w:style>
  <w:style w:type="character" w:customStyle="1" w:styleId="FirmaCar">
    <w:name w:val="Firma Car"/>
    <w:basedOn w:val="Fuentedeprrafopredeter"/>
    <w:link w:val="Firma"/>
    <w:uiPriority w:val="99"/>
    <w:semiHidden/>
    <w:rsid w:val="000E6BF6"/>
  </w:style>
  <w:style w:type="paragraph" w:styleId="Firmadecorreoelectrnico">
    <w:name w:val="E-mail Signature"/>
    <w:basedOn w:val="Normal"/>
    <w:link w:val="FirmadecorreoelectrnicoCar"/>
    <w:uiPriority w:val="99"/>
    <w:semiHidden/>
    <w:unhideWhenUsed/>
    <w:rsid w:val="000E6BF6"/>
    <w:pPr>
      <w:spacing w:after="0" w:line="240" w:lineRule="auto"/>
    </w:pPr>
  </w:style>
  <w:style w:type="character" w:customStyle="1" w:styleId="FirmadecorreoelectrnicoCar">
    <w:name w:val="Firma de correo electrónico Car"/>
    <w:basedOn w:val="Fuentedeprrafopredeter"/>
    <w:link w:val="Firmadecorreoelectrnico"/>
    <w:uiPriority w:val="99"/>
    <w:semiHidden/>
    <w:rsid w:val="000E6BF6"/>
  </w:style>
  <w:style w:type="paragraph" w:styleId="HTMLconformatoprevio">
    <w:name w:val="HTML Preformatted"/>
    <w:basedOn w:val="Normal"/>
    <w:link w:val="HTMLconformatoprevioCar"/>
    <w:uiPriority w:val="99"/>
    <w:semiHidden/>
    <w:unhideWhenUsed/>
    <w:rsid w:val="000E6BF6"/>
    <w:pPr>
      <w:spacing w:after="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0E6BF6"/>
    <w:rPr>
      <w:rFonts w:ascii="Consolas" w:hAnsi="Consolas"/>
      <w:sz w:val="20"/>
      <w:szCs w:val="20"/>
    </w:rPr>
  </w:style>
  <w:style w:type="paragraph" w:styleId="ndice1">
    <w:name w:val="index 1"/>
    <w:basedOn w:val="Normal"/>
    <w:next w:val="Normal"/>
    <w:autoRedefine/>
    <w:uiPriority w:val="99"/>
    <w:semiHidden/>
    <w:unhideWhenUsed/>
    <w:rsid w:val="000E6BF6"/>
    <w:pPr>
      <w:spacing w:after="0" w:line="240" w:lineRule="auto"/>
      <w:ind w:left="220" w:hanging="220"/>
    </w:pPr>
  </w:style>
  <w:style w:type="paragraph" w:styleId="ndice2">
    <w:name w:val="index 2"/>
    <w:basedOn w:val="Normal"/>
    <w:next w:val="Normal"/>
    <w:autoRedefine/>
    <w:uiPriority w:val="99"/>
    <w:semiHidden/>
    <w:unhideWhenUsed/>
    <w:rsid w:val="000E6BF6"/>
    <w:pPr>
      <w:spacing w:after="0" w:line="240" w:lineRule="auto"/>
      <w:ind w:left="440" w:hanging="220"/>
    </w:pPr>
  </w:style>
  <w:style w:type="paragraph" w:styleId="ndice3">
    <w:name w:val="index 3"/>
    <w:basedOn w:val="Normal"/>
    <w:next w:val="Normal"/>
    <w:autoRedefine/>
    <w:uiPriority w:val="99"/>
    <w:semiHidden/>
    <w:unhideWhenUsed/>
    <w:rsid w:val="000E6BF6"/>
    <w:pPr>
      <w:spacing w:after="0" w:line="240" w:lineRule="auto"/>
      <w:ind w:left="660" w:hanging="220"/>
    </w:pPr>
  </w:style>
  <w:style w:type="paragraph" w:styleId="ndice4">
    <w:name w:val="index 4"/>
    <w:basedOn w:val="Normal"/>
    <w:next w:val="Normal"/>
    <w:autoRedefine/>
    <w:uiPriority w:val="99"/>
    <w:semiHidden/>
    <w:unhideWhenUsed/>
    <w:rsid w:val="000E6BF6"/>
    <w:pPr>
      <w:spacing w:after="0" w:line="240" w:lineRule="auto"/>
      <w:ind w:left="880" w:hanging="220"/>
    </w:pPr>
  </w:style>
  <w:style w:type="paragraph" w:styleId="ndice5">
    <w:name w:val="index 5"/>
    <w:basedOn w:val="Normal"/>
    <w:next w:val="Normal"/>
    <w:autoRedefine/>
    <w:uiPriority w:val="99"/>
    <w:semiHidden/>
    <w:unhideWhenUsed/>
    <w:rsid w:val="000E6BF6"/>
    <w:pPr>
      <w:spacing w:after="0" w:line="240" w:lineRule="auto"/>
      <w:ind w:left="1100" w:hanging="220"/>
    </w:pPr>
  </w:style>
  <w:style w:type="paragraph" w:styleId="ndice6">
    <w:name w:val="index 6"/>
    <w:basedOn w:val="Normal"/>
    <w:next w:val="Normal"/>
    <w:autoRedefine/>
    <w:uiPriority w:val="99"/>
    <w:semiHidden/>
    <w:unhideWhenUsed/>
    <w:rsid w:val="000E6BF6"/>
    <w:pPr>
      <w:spacing w:after="0" w:line="240" w:lineRule="auto"/>
      <w:ind w:left="1320" w:hanging="220"/>
    </w:pPr>
  </w:style>
  <w:style w:type="paragraph" w:styleId="ndice7">
    <w:name w:val="index 7"/>
    <w:basedOn w:val="Normal"/>
    <w:next w:val="Normal"/>
    <w:autoRedefine/>
    <w:uiPriority w:val="99"/>
    <w:semiHidden/>
    <w:unhideWhenUsed/>
    <w:rsid w:val="000E6BF6"/>
    <w:pPr>
      <w:spacing w:after="0" w:line="240" w:lineRule="auto"/>
      <w:ind w:left="1540" w:hanging="220"/>
    </w:pPr>
  </w:style>
  <w:style w:type="paragraph" w:styleId="ndice8">
    <w:name w:val="index 8"/>
    <w:basedOn w:val="Normal"/>
    <w:next w:val="Normal"/>
    <w:autoRedefine/>
    <w:uiPriority w:val="99"/>
    <w:semiHidden/>
    <w:unhideWhenUsed/>
    <w:rsid w:val="000E6BF6"/>
    <w:pPr>
      <w:spacing w:after="0" w:line="240" w:lineRule="auto"/>
      <w:ind w:left="1760" w:hanging="220"/>
    </w:pPr>
  </w:style>
  <w:style w:type="paragraph" w:styleId="ndice9">
    <w:name w:val="index 9"/>
    <w:basedOn w:val="Normal"/>
    <w:next w:val="Normal"/>
    <w:autoRedefine/>
    <w:uiPriority w:val="99"/>
    <w:semiHidden/>
    <w:unhideWhenUsed/>
    <w:rsid w:val="000E6BF6"/>
    <w:pPr>
      <w:spacing w:after="0" w:line="240" w:lineRule="auto"/>
      <w:ind w:left="1980" w:hanging="220"/>
    </w:pPr>
  </w:style>
  <w:style w:type="paragraph" w:styleId="Lista">
    <w:name w:val="List"/>
    <w:basedOn w:val="Normal"/>
    <w:uiPriority w:val="99"/>
    <w:semiHidden/>
    <w:unhideWhenUsed/>
    <w:rsid w:val="000E6BF6"/>
    <w:pPr>
      <w:ind w:left="283" w:hanging="283"/>
      <w:contextualSpacing/>
    </w:pPr>
  </w:style>
  <w:style w:type="paragraph" w:styleId="Lista2">
    <w:name w:val="List 2"/>
    <w:basedOn w:val="Normal"/>
    <w:uiPriority w:val="99"/>
    <w:semiHidden/>
    <w:unhideWhenUsed/>
    <w:rsid w:val="000E6BF6"/>
    <w:pPr>
      <w:ind w:left="566" w:hanging="283"/>
      <w:contextualSpacing/>
    </w:pPr>
  </w:style>
  <w:style w:type="paragraph" w:styleId="Lista3">
    <w:name w:val="List 3"/>
    <w:basedOn w:val="Normal"/>
    <w:uiPriority w:val="99"/>
    <w:semiHidden/>
    <w:unhideWhenUsed/>
    <w:rsid w:val="000E6BF6"/>
    <w:pPr>
      <w:ind w:left="849" w:hanging="283"/>
      <w:contextualSpacing/>
    </w:pPr>
  </w:style>
  <w:style w:type="paragraph" w:styleId="Lista4">
    <w:name w:val="List 4"/>
    <w:basedOn w:val="Normal"/>
    <w:uiPriority w:val="99"/>
    <w:semiHidden/>
    <w:unhideWhenUsed/>
    <w:rsid w:val="000E6BF6"/>
    <w:pPr>
      <w:ind w:left="1132" w:hanging="283"/>
      <w:contextualSpacing/>
    </w:pPr>
  </w:style>
  <w:style w:type="paragraph" w:styleId="Lista5">
    <w:name w:val="List 5"/>
    <w:basedOn w:val="Normal"/>
    <w:uiPriority w:val="99"/>
    <w:semiHidden/>
    <w:unhideWhenUsed/>
    <w:rsid w:val="000E6BF6"/>
    <w:pPr>
      <w:ind w:left="1415" w:hanging="283"/>
      <w:contextualSpacing/>
    </w:pPr>
  </w:style>
  <w:style w:type="paragraph" w:styleId="Listaconnmeros">
    <w:name w:val="List Number"/>
    <w:basedOn w:val="Normal"/>
    <w:uiPriority w:val="99"/>
    <w:semiHidden/>
    <w:unhideWhenUsed/>
    <w:rsid w:val="000E6BF6"/>
    <w:pPr>
      <w:numPr>
        <w:numId w:val="1"/>
      </w:numPr>
      <w:contextualSpacing/>
    </w:pPr>
  </w:style>
  <w:style w:type="paragraph" w:styleId="Listaconnmeros2">
    <w:name w:val="List Number 2"/>
    <w:basedOn w:val="Normal"/>
    <w:uiPriority w:val="99"/>
    <w:semiHidden/>
    <w:unhideWhenUsed/>
    <w:rsid w:val="000E6BF6"/>
    <w:pPr>
      <w:numPr>
        <w:numId w:val="2"/>
      </w:numPr>
      <w:contextualSpacing/>
    </w:pPr>
  </w:style>
  <w:style w:type="paragraph" w:styleId="Listaconnmeros3">
    <w:name w:val="List Number 3"/>
    <w:basedOn w:val="Normal"/>
    <w:uiPriority w:val="99"/>
    <w:semiHidden/>
    <w:unhideWhenUsed/>
    <w:rsid w:val="000E6BF6"/>
    <w:pPr>
      <w:numPr>
        <w:numId w:val="3"/>
      </w:numPr>
      <w:contextualSpacing/>
    </w:pPr>
  </w:style>
  <w:style w:type="paragraph" w:styleId="Listaconnmeros4">
    <w:name w:val="List Number 4"/>
    <w:basedOn w:val="Normal"/>
    <w:uiPriority w:val="99"/>
    <w:semiHidden/>
    <w:unhideWhenUsed/>
    <w:rsid w:val="000E6BF6"/>
    <w:pPr>
      <w:numPr>
        <w:numId w:val="4"/>
      </w:numPr>
      <w:contextualSpacing/>
    </w:pPr>
  </w:style>
  <w:style w:type="paragraph" w:styleId="Listaconnmeros5">
    <w:name w:val="List Number 5"/>
    <w:basedOn w:val="Normal"/>
    <w:uiPriority w:val="99"/>
    <w:semiHidden/>
    <w:unhideWhenUsed/>
    <w:rsid w:val="000E6BF6"/>
    <w:pPr>
      <w:numPr>
        <w:numId w:val="5"/>
      </w:numPr>
      <w:contextualSpacing/>
    </w:pPr>
  </w:style>
  <w:style w:type="paragraph" w:styleId="Listaconvietas">
    <w:name w:val="List Bullet"/>
    <w:basedOn w:val="Normal"/>
    <w:uiPriority w:val="99"/>
    <w:semiHidden/>
    <w:unhideWhenUsed/>
    <w:rsid w:val="000E6BF6"/>
    <w:pPr>
      <w:numPr>
        <w:numId w:val="6"/>
      </w:numPr>
      <w:contextualSpacing/>
    </w:pPr>
  </w:style>
  <w:style w:type="paragraph" w:styleId="Listaconvietas2">
    <w:name w:val="List Bullet 2"/>
    <w:basedOn w:val="Normal"/>
    <w:uiPriority w:val="99"/>
    <w:semiHidden/>
    <w:unhideWhenUsed/>
    <w:rsid w:val="000E6BF6"/>
    <w:pPr>
      <w:numPr>
        <w:numId w:val="7"/>
      </w:numPr>
      <w:contextualSpacing/>
    </w:pPr>
  </w:style>
  <w:style w:type="paragraph" w:styleId="Listaconvietas3">
    <w:name w:val="List Bullet 3"/>
    <w:basedOn w:val="Normal"/>
    <w:uiPriority w:val="99"/>
    <w:semiHidden/>
    <w:unhideWhenUsed/>
    <w:rsid w:val="000E6BF6"/>
    <w:pPr>
      <w:numPr>
        <w:numId w:val="8"/>
      </w:numPr>
      <w:contextualSpacing/>
    </w:pPr>
  </w:style>
  <w:style w:type="paragraph" w:styleId="Listaconvietas4">
    <w:name w:val="List Bullet 4"/>
    <w:basedOn w:val="Normal"/>
    <w:uiPriority w:val="99"/>
    <w:semiHidden/>
    <w:unhideWhenUsed/>
    <w:rsid w:val="000E6BF6"/>
    <w:pPr>
      <w:numPr>
        <w:numId w:val="9"/>
      </w:numPr>
      <w:contextualSpacing/>
    </w:pPr>
  </w:style>
  <w:style w:type="paragraph" w:styleId="Listaconvietas5">
    <w:name w:val="List Bullet 5"/>
    <w:basedOn w:val="Normal"/>
    <w:uiPriority w:val="99"/>
    <w:semiHidden/>
    <w:unhideWhenUsed/>
    <w:rsid w:val="000E6BF6"/>
    <w:pPr>
      <w:numPr>
        <w:numId w:val="10"/>
      </w:numPr>
      <w:contextualSpacing/>
    </w:pPr>
  </w:style>
  <w:style w:type="paragraph" w:styleId="Mapadeldocumento">
    <w:name w:val="Document Map"/>
    <w:basedOn w:val="Normal"/>
    <w:link w:val="MapadeldocumentoCar"/>
    <w:uiPriority w:val="99"/>
    <w:semiHidden/>
    <w:unhideWhenUsed/>
    <w:rsid w:val="000E6BF6"/>
    <w:pPr>
      <w:spacing w:after="0" w:line="240" w:lineRule="auto"/>
    </w:pPr>
    <w:rPr>
      <w:rFonts w:ascii="Segoe UI" w:hAnsi="Segoe UI" w:cs="Segoe UI"/>
      <w:sz w:val="16"/>
      <w:szCs w:val="16"/>
    </w:rPr>
  </w:style>
  <w:style w:type="character" w:customStyle="1" w:styleId="MapadeldocumentoCar">
    <w:name w:val="Mapa del documento Car"/>
    <w:basedOn w:val="Fuentedeprrafopredeter"/>
    <w:link w:val="Mapadeldocumento"/>
    <w:uiPriority w:val="99"/>
    <w:semiHidden/>
    <w:rsid w:val="000E6BF6"/>
    <w:rPr>
      <w:rFonts w:ascii="Segoe UI" w:hAnsi="Segoe UI" w:cs="Segoe UI"/>
      <w:sz w:val="16"/>
      <w:szCs w:val="16"/>
    </w:rPr>
  </w:style>
  <w:style w:type="paragraph" w:styleId="Remitedesobre">
    <w:name w:val="envelope return"/>
    <w:basedOn w:val="Normal"/>
    <w:uiPriority w:val="99"/>
    <w:semiHidden/>
    <w:unhideWhenUsed/>
    <w:rsid w:val="000E6BF6"/>
    <w:pPr>
      <w:spacing w:after="0" w:line="240" w:lineRule="auto"/>
    </w:pPr>
    <w:rPr>
      <w:rFonts w:asciiTheme="majorHAnsi" w:eastAsiaTheme="majorEastAsia" w:hAnsiTheme="majorHAnsi" w:cstheme="majorBidi"/>
      <w:sz w:val="20"/>
      <w:szCs w:val="20"/>
    </w:rPr>
  </w:style>
  <w:style w:type="paragraph" w:styleId="Saludo">
    <w:name w:val="Salutation"/>
    <w:basedOn w:val="Normal"/>
    <w:next w:val="Normal"/>
    <w:link w:val="SaludoCar"/>
    <w:uiPriority w:val="99"/>
    <w:semiHidden/>
    <w:unhideWhenUsed/>
    <w:rsid w:val="000E6BF6"/>
  </w:style>
  <w:style w:type="character" w:customStyle="1" w:styleId="SaludoCar">
    <w:name w:val="Saludo Car"/>
    <w:basedOn w:val="Fuentedeprrafopredeter"/>
    <w:link w:val="Saludo"/>
    <w:uiPriority w:val="99"/>
    <w:semiHidden/>
    <w:rsid w:val="000E6BF6"/>
  </w:style>
  <w:style w:type="paragraph" w:styleId="Sangra2detindependiente">
    <w:name w:val="Body Text Indent 2"/>
    <w:basedOn w:val="Normal"/>
    <w:link w:val="Sangra2detindependienteCar"/>
    <w:uiPriority w:val="99"/>
    <w:semiHidden/>
    <w:unhideWhenUsed/>
    <w:rsid w:val="000E6BF6"/>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0E6BF6"/>
  </w:style>
  <w:style w:type="paragraph" w:styleId="Sangra3detindependiente">
    <w:name w:val="Body Text Indent 3"/>
    <w:basedOn w:val="Normal"/>
    <w:link w:val="Sangra3detindependienteCar"/>
    <w:uiPriority w:val="99"/>
    <w:semiHidden/>
    <w:unhideWhenUsed/>
    <w:rsid w:val="000E6BF6"/>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0E6BF6"/>
    <w:rPr>
      <w:sz w:val="16"/>
      <w:szCs w:val="16"/>
    </w:rPr>
  </w:style>
  <w:style w:type="paragraph" w:styleId="Sangradetextonormal">
    <w:name w:val="Body Text Indent"/>
    <w:basedOn w:val="Normal"/>
    <w:link w:val="SangradetextonormalCar"/>
    <w:uiPriority w:val="99"/>
    <w:semiHidden/>
    <w:unhideWhenUsed/>
    <w:rsid w:val="000E6BF6"/>
    <w:pPr>
      <w:spacing w:after="120"/>
      <w:ind w:left="283"/>
    </w:pPr>
  </w:style>
  <w:style w:type="character" w:customStyle="1" w:styleId="SangradetextonormalCar">
    <w:name w:val="Sangría de texto normal Car"/>
    <w:basedOn w:val="Fuentedeprrafopredeter"/>
    <w:link w:val="Sangradetextonormal"/>
    <w:uiPriority w:val="99"/>
    <w:semiHidden/>
    <w:rsid w:val="000E6BF6"/>
  </w:style>
  <w:style w:type="paragraph" w:styleId="Sangranormal">
    <w:name w:val="Normal Indent"/>
    <w:basedOn w:val="Normal"/>
    <w:uiPriority w:val="99"/>
    <w:semiHidden/>
    <w:unhideWhenUsed/>
    <w:rsid w:val="000E6BF6"/>
    <w:pPr>
      <w:ind w:left="708"/>
    </w:pPr>
  </w:style>
  <w:style w:type="paragraph" w:styleId="Subttulo">
    <w:name w:val="Subtitle"/>
    <w:basedOn w:val="Normal"/>
    <w:next w:val="Normal"/>
    <w:link w:val="SubttuloCar"/>
    <w:uiPriority w:val="11"/>
    <w:qFormat/>
    <w:rsid w:val="000E6BF6"/>
    <w:pPr>
      <w:numPr>
        <w:ilvl w:val="1"/>
      </w:numPr>
    </w:pPr>
    <w:rPr>
      <w:color w:val="5A5A5A" w:themeColor="text1" w:themeTint="A5"/>
      <w:spacing w:val="15"/>
    </w:rPr>
  </w:style>
  <w:style w:type="character" w:customStyle="1" w:styleId="SubttuloCar">
    <w:name w:val="Subtítulo Car"/>
    <w:basedOn w:val="Fuentedeprrafopredeter"/>
    <w:link w:val="Subttulo"/>
    <w:uiPriority w:val="11"/>
    <w:rsid w:val="000E6BF6"/>
    <w:rPr>
      <w:rFonts w:eastAsiaTheme="minorEastAsia"/>
      <w:color w:val="5A5A5A" w:themeColor="text1" w:themeTint="A5"/>
      <w:spacing w:val="15"/>
    </w:rPr>
  </w:style>
  <w:style w:type="paragraph" w:styleId="Tabladeilustraciones">
    <w:name w:val="table of figures"/>
    <w:basedOn w:val="Normal"/>
    <w:next w:val="Normal"/>
    <w:uiPriority w:val="99"/>
    <w:semiHidden/>
    <w:unhideWhenUsed/>
    <w:rsid w:val="000E6BF6"/>
    <w:pPr>
      <w:spacing w:after="0"/>
    </w:pPr>
  </w:style>
  <w:style w:type="paragraph" w:styleId="TDC1">
    <w:name w:val="toc 1"/>
    <w:basedOn w:val="Normal"/>
    <w:next w:val="Normal"/>
    <w:autoRedefine/>
    <w:uiPriority w:val="39"/>
    <w:semiHidden/>
    <w:unhideWhenUsed/>
    <w:rsid w:val="000E6BF6"/>
    <w:pPr>
      <w:spacing w:after="100"/>
    </w:pPr>
  </w:style>
  <w:style w:type="paragraph" w:styleId="TDC2">
    <w:name w:val="toc 2"/>
    <w:basedOn w:val="Normal"/>
    <w:next w:val="Normal"/>
    <w:autoRedefine/>
    <w:uiPriority w:val="39"/>
    <w:semiHidden/>
    <w:unhideWhenUsed/>
    <w:rsid w:val="000E6BF6"/>
    <w:pPr>
      <w:spacing w:after="100"/>
      <w:ind w:left="220"/>
    </w:pPr>
  </w:style>
  <w:style w:type="paragraph" w:styleId="TDC3">
    <w:name w:val="toc 3"/>
    <w:basedOn w:val="Normal"/>
    <w:next w:val="Normal"/>
    <w:autoRedefine/>
    <w:uiPriority w:val="39"/>
    <w:semiHidden/>
    <w:unhideWhenUsed/>
    <w:rsid w:val="000E6BF6"/>
    <w:pPr>
      <w:spacing w:after="100"/>
      <w:ind w:left="440"/>
    </w:pPr>
  </w:style>
  <w:style w:type="paragraph" w:styleId="TDC4">
    <w:name w:val="toc 4"/>
    <w:basedOn w:val="Normal"/>
    <w:next w:val="Normal"/>
    <w:autoRedefine/>
    <w:uiPriority w:val="39"/>
    <w:semiHidden/>
    <w:unhideWhenUsed/>
    <w:rsid w:val="000E6BF6"/>
    <w:pPr>
      <w:spacing w:after="100"/>
      <w:ind w:left="660"/>
    </w:pPr>
  </w:style>
  <w:style w:type="paragraph" w:styleId="TDC5">
    <w:name w:val="toc 5"/>
    <w:basedOn w:val="Normal"/>
    <w:next w:val="Normal"/>
    <w:autoRedefine/>
    <w:uiPriority w:val="39"/>
    <w:semiHidden/>
    <w:unhideWhenUsed/>
    <w:rsid w:val="000E6BF6"/>
    <w:pPr>
      <w:spacing w:after="100"/>
      <w:ind w:left="880"/>
    </w:pPr>
  </w:style>
  <w:style w:type="paragraph" w:styleId="TDC6">
    <w:name w:val="toc 6"/>
    <w:basedOn w:val="Normal"/>
    <w:next w:val="Normal"/>
    <w:autoRedefine/>
    <w:uiPriority w:val="39"/>
    <w:semiHidden/>
    <w:unhideWhenUsed/>
    <w:rsid w:val="000E6BF6"/>
    <w:pPr>
      <w:spacing w:after="100"/>
      <w:ind w:left="1100"/>
    </w:pPr>
  </w:style>
  <w:style w:type="paragraph" w:styleId="TDC7">
    <w:name w:val="toc 7"/>
    <w:basedOn w:val="Normal"/>
    <w:next w:val="Normal"/>
    <w:autoRedefine/>
    <w:uiPriority w:val="39"/>
    <w:semiHidden/>
    <w:unhideWhenUsed/>
    <w:rsid w:val="000E6BF6"/>
    <w:pPr>
      <w:spacing w:after="100"/>
      <w:ind w:left="1320"/>
    </w:pPr>
  </w:style>
  <w:style w:type="paragraph" w:styleId="TDC8">
    <w:name w:val="toc 8"/>
    <w:basedOn w:val="Normal"/>
    <w:next w:val="Normal"/>
    <w:autoRedefine/>
    <w:uiPriority w:val="39"/>
    <w:semiHidden/>
    <w:unhideWhenUsed/>
    <w:rsid w:val="000E6BF6"/>
    <w:pPr>
      <w:spacing w:after="100"/>
      <w:ind w:left="1540"/>
    </w:pPr>
  </w:style>
  <w:style w:type="paragraph" w:styleId="TDC9">
    <w:name w:val="toc 9"/>
    <w:basedOn w:val="Normal"/>
    <w:next w:val="Normal"/>
    <w:autoRedefine/>
    <w:uiPriority w:val="39"/>
    <w:semiHidden/>
    <w:unhideWhenUsed/>
    <w:rsid w:val="000E6BF6"/>
    <w:pPr>
      <w:spacing w:after="100"/>
      <w:ind w:left="1760"/>
    </w:pPr>
  </w:style>
  <w:style w:type="paragraph" w:styleId="Textoconsangra">
    <w:name w:val="table of authorities"/>
    <w:basedOn w:val="Normal"/>
    <w:next w:val="Normal"/>
    <w:uiPriority w:val="99"/>
    <w:semiHidden/>
    <w:unhideWhenUsed/>
    <w:rsid w:val="000E6BF6"/>
    <w:pPr>
      <w:spacing w:after="0"/>
      <w:ind w:left="220" w:hanging="220"/>
    </w:pPr>
  </w:style>
  <w:style w:type="paragraph" w:styleId="Textodebloque">
    <w:name w:val="Block Text"/>
    <w:basedOn w:val="Normal"/>
    <w:uiPriority w:val="99"/>
    <w:semiHidden/>
    <w:unhideWhenUsed/>
    <w:rsid w:val="000E6BF6"/>
    <w:pPr>
      <w:pBdr>
        <w:top w:val="single" w:sz="2" w:space="10" w:color="5B9BD5" w:themeColor="accent1"/>
        <w:left w:val="single" w:sz="2" w:space="10" w:color="5B9BD5" w:themeColor="accent1"/>
        <w:bottom w:val="single" w:sz="2" w:space="10" w:color="5B9BD5" w:themeColor="accent1"/>
        <w:right w:val="single" w:sz="2" w:space="10" w:color="5B9BD5" w:themeColor="accent1"/>
      </w:pBdr>
      <w:ind w:left="1152" w:right="1152"/>
    </w:pPr>
    <w:rPr>
      <w:i/>
      <w:iCs/>
      <w:color w:val="5B9BD5" w:themeColor="accent1"/>
    </w:rPr>
  </w:style>
  <w:style w:type="paragraph" w:styleId="Textoindependiente2">
    <w:name w:val="Body Text 2"/>
    <w:basedOn w:val="Normal"/>
    <w:link w:val="Textoindependiente2Car"/>
    <w:uiPriority w:val="99"/>
    <w:semiHidden/>
    <w:unhideWhenUsed/>
    <w:rsid w:val="000E6BF6"/>
    <w:pPr>
      <w:spacing w:after="120" w:line="480" w:lineRule="auto"/>
    </w:pPr>
  </w:style>
  <w:style w:type="character" w:customStyle="1" w:styleId="Textoindependiente2Car">
    <w:name w:val="Texto independiente 2 Car"/>
    <w:basedOn w:val="Fuentedeprrafopredeter"/>
    <w:link w:val="Textoindependiente2"/>
    <w:uiPriority w:val="99"/>
    <w:semiHidden/>
    <w:rsid w:val="000E6BF6"/>
  </w:style>
  <w:style w:type="paragraph" w:styleId="Textoindependiente3">
    <w:name w:val="Body Text 3"/>
    <w:basedOn w:val="Normal"/>
    <w:link w:val="Textoindependiente3Car"/>
    <w:uiPriority w:val="99"/>
    <w:semiHidden/>
    <w:unhideWhenUsed/>
    <w:rsid w:val="000E6BF6"/>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0E6BF6"/>
    <w:rPr>
      <w:sz w:val="16"/>
      <w:szCs w:val="16"/>
    </w:rPr>
  </w:style>
  <w:style w:type="paragraph" w:styleId="Textoindependienteprimerasangra">
    <w:name w:val="Body Text First Indent"/>
    <w:basedOn w:val="Textoindependiente"/>
    <w:link w:val="TextoindependienteprimerasangraCar"/>
    <w:uiPriority w:val="99"/>
    <w:semiHidden/>
    <w:unhideWhenUsed/>
    <w:rsid w:val="000E6BF6"/>
    <w:pPr>
      <w:widowControl/>
      <w:autoSpaceDE/>
      <w:autoSpaceDN/>
      <w:spacing w:after="160" w:line="259" w:lineRule="auto"/>
      <w:ind w:firstLine="360"/>
      <w:jc w:val="left"/>
    </w:pPr>
    <w:rPr>
      <w:rFonts w:asciiTheme="minorHAnsi" w:eastAsiaTheme="minorHAnsi" w:hAnsiTheme="minorHAnsi" w:cstheme="minorBidi"/>
      <w:sz w:val="22"/>
      <w:szCs w:val="22"/>
      <w:lang w:val="es-CO" w:eastAsia="en-US"/>
    </w:rPr>
  </w:style>
  <w:style w:type="character" w:customStyle="1" w:styleId="TextoindependienteprimerasangraCar">
    <w:name w:val="Texto independiente primera sangría Car"/>
    <w:basedOn w:val="TextoindependienteCar"/>
    <w:link w:val="Textoindependienteprimerasangra"/>
    <w:uiPriority w:val="99"/>
    <w:semiHidden/>
    <w:rsid w:val="000E6BF6"/>
    <w:rPr>
      <w:rFonts w:ascii="Times New Roman" w:eastAsia="Times New Roman" w:hAnsi="Times New Roman" w:cs="Times New Roman"/>
      <w:sz w:val="28"/>
      <w:szCs w:val="20"/>
      <w:lang w:val="es-ES" w:eastAsia="es-ES"/>
    </w:rPr>
  </w:style>
  <w:style w:type="paragraph" w:styleId="Textoindependienteprimerasangra2">
    <w:name w:val="Body Text First Indent 2"/>
    <w:basedOn w:val="Sangradetextonormal"/>
    <w:link w:val="Textoindependienteprimerasangra2Car"/>
    <w:uiPriority w:val="99"/>
    <w:semiHidden/>
    <w:unhideWhenUsed/>
    <w:rsid w:val="000E6BF6"/>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0E6BF6"/>
  </w:style>
  <w:style w:type="paragraph" w:styleId="Textomacro">
    <w:name w:val="macro"/>
    <w:link w:val="TextomacroCar"/>
    <w:uiPriority w:val="99"/>
    <w:semiHidden/>
    <w:unhideWhenUsed/>
    <w:rsid w:val="000E6BF6"/>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TextomacroCar">
    <w:name w:val="Texto macro Car"/>
    <w:basedOn w:val="Fuentedeprrafopredeter"/>
    <w:link w:val="Textomacro"/>
    <w:uiPriority w:val="99"/>
    <w:semiHidden/>
    <w:rsid w:val="000E6BF6"/>
    <w:rPr>
      <w:rFonts w:ascii="Consolas" w:hAnsi="Consolas"/>
      <w:sz w:val="20"/>
      <w:szCs w:val="20"/>
    </w:rPr>
  </w:style>
  <w:style w:type="paragraph" w:styleId="Textonotaalfinal">
    <w:name w:val="endnote text"/>
    <w:basedOn w:val="Normal"/>
    <w:link w:val="TextonotaalfinalCar"/>
    <w:uiPriority w:val="99"/>
    <w:semiHidden/>
    <w:unhideWhenUsed/>
    <w:rsid w:val="000E6BF6"/>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0E6BF6"/>
    <w:rPr>
      <w:sz w:val="20"/>
      <w:szCs w:val="20"/>
    </w:rPr>
  </w:style>
  <w:style w:type="paragraph" w:styleId="Textosinformato">
    <w:name w:val="Plain Text"/>
    <w:basedOn w:val="Normal"/>
    <w:link w:val="TextosinformatoCar"/>
    <w:uiPriority w:val="99"/>
    <w:semiHidden/>
    <w:unhideWhenUsed/>
    <w:rsid w:val="000E6BF6"/>
    <w:pPr>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semiHidden/>
    <w:rsid w:val="000E6BF6"/>
    <w:rPr>
      <w:rFonts w:ascii="Consolas" w:hAnsi="Consolas"/>
      <w:sz w:val="21"/>
      <w:szCs w:val="21"/>
    </w:rPr>
  </w:style>
  <w:style w:type="paragraph" w:styleId="Ttulo">
    <w:name w:val="Title"/>
    <w:basedOn w:val="Normal"/>
    <w:next w:val="Normal"/>
    <w:link w:val="TtuloCar"/>
    <w:uiPriority w:val="10"/>
    <w:qFormat/>
    <w:rsid w:val="000E6BF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E6BF6"/>
    <w:rPr>
      <w:rFonts w:asciiTheme="majorHAnsi" w:eastAsiaTheme="majorEastAsia" w:hAnsiTheme="majorHAnsi" w:cstheme="majorBidi"/>
      <w:spacing w:val="-10"/>
      <w:kern w:val="28"/>
      <w:sz w:val="56"/>
      <w:szCs w:val="56"/>
    </w:rPr>
  </w:style>
  <w:style w:type="paragraph" w:styleId="Ttulodendice">
    <w:name w:val="index heading"/>
    <w:basedOn w:val="Normal"/>
    <w:next w:val="ndice1"/>
    <w:uiPriority w:val="99"/>
    <w:semiHidden/>
    <w:unhideWhenUsed/>
    <w:rsid w:val="000E6BF6"/>
    <w:rPr>
      <w:rFonts w:asciiTheme="majorHAnsi" w:eastAsiaTheme="majorEastAsia" w:hAnsiTheme="majorHAnsi" w:cstheme="majorBidi"/>
      <w:b/>
      <w:bCs/>
    </w:rPr>
  </w:style>
  <w:style w:type="paragraph" w:styleId="TtuloTDC">
    <w:name w:val="TOC Heading"/>
    <w:basedOn w:val="Ttulo1"/>
    <w:next w:val="Normal"/>
    <w:uiPriority w:val="39"/>
    <w:semiHidden/>
    <w:unhideWhenUsed/>
    <w:qFormat/>
    <w:rsid w:val="000E6BF6"/>
    <w:pPr>
      <w:outlineLvl w:val="9"/>
    </w:pPr>
  </w:style>
  <w:style w:type="numbering" w:customStyle="1" w:styleId="Sinlista2">
    <w:name w:val="Sin lista2"/>
    <w:next w:val="Sinlista"/>
    <w:uiPriority w:val="99"/>
    <w:semiHidden/>
    <w:unhideWhenUsed/>
    <w:rsid w:val="000E6BF6"/>
  </w:style>
  <w:style w:type="character" w:customStyle="1" w:styleId="TextonotapieCar6">
    <w:name w:val="Texto nota pie Car6"/>
    <w:aliases w:val="Ref. de nota al pie1 Car13,Texto de nota al pie Car13,Fago Fußnotenzeichen Car13,Appel note de bas de page Car13,referencia nota al pie Car13,Footnotes refss Car13,Pie de Página Car13,FC Car13,Nota de pie Car13,f Car13"/>
    <w:basedOn w:val="Fuentedeprrafopredeter"/>
    <w:uiPriority w:val="99"/>
    <w:semiHidden/>
    <w:rsid w:val="000E6BF6"/>
    <w:rPr>
      <w:rFonts w:ascii="Times New Roman" w:hAnsi="Times New Roman" w:cs="Times New Roman"/>
      <w:lang w:val="x-none" w:eastAsia="es-MX"/>
    </w:rPr>
  </w:style>
  <w:style w:type="character" w:customStyle="1" w:styleId="TextonotapieCar5">
    <w:name w:val="Texto nota pie Car5"/>
    <w:aliases w:val="Ref. de nota al pie1 Car12,Texto de nota al pie Car12,Fago Fußnotenzeichen Car12,Appel note de bas de page Car12,referencia nota al pie Car12,Footnotes refss Car12,Pie de Página Car12,FC Car12,Nota de pie Car12,f Car12"/>
    <w:basedOn w:val="Fuentedeprrafopredeter"/>
    <w:uiPriority w:val="99"/>
    <w:semiHidden/>
    <w:rsid w:val="000E6BF6"/>
    <w:rPr>
      <w:rFonts w:ascii="Times New Roman" w:hAnsi="Times New Roman" w:cs="Times New Roman"/>
      <w:lang w:val="x-none" w:eastAsia="es-MX"/>
    </w:rPr>
  </w:style>
  <w:style w:type="character" w:customStyle="1" w:styleId="TextonotapieCar4">
    <w:name w:val="Texto nota pie Car4"/>
    <w:aliases w:val="Ref. de nota al pie1 Car11,Texto de nota al pie Car11,Fago Fußnotenzeichen Car11,Appel note de bas de page Car11,referencia nota al pie Car11,Footnotes refss Car11,Pie de Página Car11,FC Car11,Nota de pie Car11,f Car11"/>
    <w:basedOn w:val="Fuentedeprrafopredeter"/>
    <w:uiPriority w:val="99"/>
    <w:semiHidden/>
    <w:rsid w:val="000E6BF6"/>
    <w:rPr>
      <w:rFonts w:ascii="Times New Roman" w:hAnsi="Times New Roman" w:cs="Times New Roman"/>
      <w:lang w:val="x-none" w:eastAsia="es-MX"/>
    </w:rPr>
  </w:style>
  <w:style w:type="character" w:customStyle="1" w:styleId="baj">
    <w:name w:val="b_aj"/>
    <w:basedOn w:val="Fuentedeprrafopredeter"/>
    <w:rsid w:val="000E6BF6"/>
    <w:rPr>
      <w:rFonts w:cs="Times New Roman"/>
    </w:rPr>
  </w:style>
  <w:style w:type="table" w:customStyle="1" w:styleId="Tablaconcuadrcula3">
    <w:name w:val="Tabla con cuadrícula3"/>
    <w:basedOn w:val="Tablanormal"/>
    <w:next w:val="Tablaconcuadrcula"/>
    <w:uiPriority w:val="39"/>
    <w:rsid w:val="000E6BF6"/>
    <w:pPr>
      <w:spacing w:after="0" w:line="240" w:lineRule="auto"/>
    </w:pPr>
    <w:rPr>
      <w:rFonts w:ascii="Calibri" w:eastAsia="Times New Roman" w:hAnsi="Calibri"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aj">
    <w:name w:val="i_aj"/>
    <w:basedOn w:val="Fuentedeprrafopredeter"/>
    <w:rsid w:val="000E6BF6"/>
    <w:rPr>
      <w:rFonts w:cs="Times New Roman"/>
    </w:rPr>
  </w:style>
  <w:style w:type="paragraph" w:customStyle="1" w:styleId="bodytext21">
    <w:name w:val="bodytext21"/>
    <w:basedOn w:val="Normal"/>
    <w:rsid w:val="000E6BF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visitado">
    <w:name w:val="FollowedHyperlink"/>
    <w:basedOn w:val="Fuentedeprrafopredeter"/>
    <w:uiPriority w:val="99"/>
    <w:semiHidden/>
    <w:unhideWhenUsed/>
    <w:rsid w:val="000E6BF6"/>
    <w:rPr>
      <w:rFonts w:cs="Times New Roman"/>
      <w:color w:val="954F72"/>
      <w:u w:val="single"/>
    </w:rPr>
  </w:style>
  <w:style w:type="paragraph" w:customStyle="1" w:styleId="Estilo1">
    <w:name w:val="Estilo1"/>
    <w:basedOn w:val="Normal"/>
    <w:link w:val="Estilo1Car"/>
    <w:qFormat/>
    <w:rsid w:val="000E6BF6"/>
    <w:pPr>
      <w:widowControl w:val="0"/>
      <w:spacing w:after="0" w:line="240" w:lineRule="auto"/>
      <w:ind w:left="360" w:hanging="360"/>
      <w:jc w:val="both"/>
    </w:pPr>
    <w:rPr>
      <w:rFonts w:ascii="Times New Roman" w:eastAsia="Times New Roman" w:hAnsi="Times New Roman" w:cs="Times New Roman"/>
      <w:sz w:val="28"/>
      <w:szCs w:val="28"/>
    </w:rPr>
  </w:style>
  <w:style w:type="character" w:customStyle="1" w:styleId="Estilo1Car">
    <w:name w:val="Estilo1 Car"/>
    <w:link w:val="Estilo1"/>
    <w:locked/>
    <w:rsid w:val="000E6BF6"/>
    <w:rPr>
      <w:rFonts w:ascii="Times New Roman" w:eastAsia="Times New Roman" w:hAnsi="Times New Roman" w:cs="Times New Roman"/>
      <w:sz w:val="28"/>
      <w:szCs w:val="28"/>
      <w:lang w:eastAsia="es-CO"/>
    </w:rPr>
  </w:style>
  <w:style w:type="paragraph" w:customStyle="1" w:styleId="normal1">
    <w:name w:val="normal1"/>
    <w:basedOn w:val="Normal"/>
    <w:rsid w:val="000E6BF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justificado">
    <w:name w:val="normaljustificado"/>
    <w:basedOn w:val="Normal"/>
    <w:rsid w:val="000E6BF6"/>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0E6BF6"/>
    <w:rPr>
      <w:rFonts w:cs="Times New Roman"/>
      <w:b/>
    </w:rPr>
  </w:style>
  <w:style w:type="character" w:styleId="nfasis">
    <w:name w:val="Emphasis"/>
    <w:basedOn w:val="Fuentedeprrafopredeter"/>
    <w:uiPriority w:val="20"/>
    <w:qFormat/>
    <w:rsid w:val="000E6BF6"/>
    <w:rPr>
      <w:rFonts w:cs="Times New Roman"/>
      <w:i/>
    </w:rPr>
  </w:style>
  <w:style w:type="paragraph" w:styleId="Revisin">
    <w:name w:val="Revision"/>
    <w:hidden/>
    <w:uiPriority w:val="99"/>
    <w:semiHidden/>
    <w:rsid w:val="000E6BF6"/>
    <w:pPr>
      <w:spacing w:after="0" w:line="240" w:lineRule="auto"/>
    </w:pPr>
    <w:rPr>
      <w:rFonts w:ascii="Times New Roman" w:eastAsia="Times New Roman" w:hAnsi="Times New Roman" w:cs="Times New Roman"/>
      <w:sz w:val="24"/>
      <w:szCs w:val="24"/>
      <w:lang w:eastAsia="es-MX"/>
    </w:rPr>
  </w:style>
  <w:style w:type="character" w:customStyle="1" w:styleId="elema1">
    <w:name w:val="elema1"/>
    <w:basedOn w:val="Fuentedeprrafopredeter"/>
    <w:rsid w:val="000E6BF6"/>
    <w:rPr>
      <w:rFonts w:cs="Times New Roman"/>
    </w:rPr>
  </w:style>
  <w:style w:type="character" w:customStyle="1" w:styleId="textonotapiecar0">
    <w:name w:val="textonotapiecar"/>
    <w:basedOn w:val="Fuentedeprrafopredeter"/>
    <w:rsid w:val="000E6BF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16858</Words>
  <Characters>92719</Characters>
  <Application>Microsoft Office Word</Application>
  <DocSecurity>0</DocSecurity>
  <Lines>772</Lines>
  <Paragraphs>218</Paragraphs>
  <ScaleCrop>false</ScaleCrop>
  <Company/>
  <LinksUpToDate>false</LinksUpToDate>
  <CharactersWithSpaces>109359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2024-09-09T15:48:00Z</dcterms:created>
  <dcterms:modified xsi:type="dcterms:W3CDTF">2024-09-09T15:48:00Z</dcterms:modified>
</cp:coreProperties>
</file>