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048A" w:rsidRPr="00491C4A" w:rsidRDefault="006D264C">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491C4A">
        <w:rPr>
          <w:rFonts w:ascii="Times New Roman" w:hAnsi="Times New Roman"/>
          <w:sz w:val="28"/>
          <w:szCs w:val="24"/>
        </w:rPr>
        <w:t xml:space="preserve"> </w:t>
      </w:r>
    </w:p>
    <w:p w:rsidR="006C048A" w:rsidRPr="00491C4A" w:rsidRDefault="006C048A">
      <w:pPr>
        <w:widowControl w:val="0"/>
        <w:autoSpaceDE w:val="0"/>
        <w:autoSpaceDN w:val="0"/>
        <w:adjustRightInd w:val="0"/>
        <w:spacing w:after="0" w:line="240" w:lineRule="auto"/>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center"/>
        <w:rPr>
          <w:rFonts w:ascii="Times New Roman" w:hAnsi="Times New Roman"/>
          <w:b/>
          <w:bCs/>
          <w:sz w:val="28"/>
          <w:szCs w:val="28"/>
        </w:rPr>
      </w:pPr>
      <w:r w:rsidRPr="00491C4A">
        <w:rPr>
          <w:rFonts w:ascii="Times New Roman" w:hAnsi="Times New Roman"/>
          <w:b/>
          <w:bCs/>
          <w:sz w:val="28"/>
          <w:szCs w:val="28"/>
        </w:rPr>
        <w:t xml:space="preserve">TEMAS-SUBTEMAS </w:t>
      </w:r>
    </w:p>
    <w:p w:rsidR="006C048A" w:rsidRPr="00491C4A" w:rsidRDefault="006C048A">
      <w:pPr>
        <w:widowControl w:val="0"/>
        <w:autoSpaceDE w:val="0"/>
        <w:autoSpaceDN w:val="0"/>
        <w:adjustRightInd w:val="0"/>
        <w:spacing w:after="0" w:line="240" w:lineRule="auto"/>
        <w:jc w:val="center"/>
        <w:rPr>
          <w:rFonts w:ascii="Times New Roman" w:hAnsi="Times New Roman"/>
          <w:b/>
          <w:bCs/>
          <w:sz w:val="28"/>
          <w:szCs w:val="28"/>
        </w:rPr>
      </w:pPr>
    </w:p>
    <w:p w:rsidR="006C048A" w:rsidRPr="00491C4A" w:rsidRDefault="006D264C">
      <w:pPr>
        <w:widowControl w:val="0"/>
        <w:autoSpaceDE w:val="0"/>
        <w:autoSpaceDN w:val="0"/>
        <w:adjustRightInd w:val="0"/>
        <w:spacing w:after="0" w:line="240" w:lineRule="auto"/>
        <w:jc w:val="center"/>
        <w:rPr>
          <w:rFonts w:ascii="Times New Roman" w:hAnsi="Times New Roman"/>
          <w:sz w:val="28"/>
          <w:szCs w:val="28"/>
        </w:rPr>
      </w:pPr>
      <w:r w:rsidRPr="00491C4A">
        <w:rPr>
          <w:rFonts w:ascii="Times New Roman" w:hAnsi="Times New Roman"/>
          <w:b/>
          <w:bCs/>
          <w:sz w:val="28"/>
          <w:szCs w:val="28"/>
        </w:rPr>
        <w:t xml:space="preserve">Sentencia C-323/25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CONSECUTIVIDAD EN PLAN NACIONAL DE DESARROLLO</w:t>
      </w:r>
      <w:r w:rsidRPr="00491C4A">
        <w:rPr>
          <w:rFonts w:ascii="Times New Roman" w:hAnsi="Times New Roman"/>
          <w:sz w:val="28"/>
          <w:szCs w:val="28"/>
        </w:rPr>
        <w:t>-No se configura elusión del debate parlamentario</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(i) la norma fue anunciada para votación en bloque sin que ningún Representante a la Cámara se opusiera o solicitara su discusión y votación individual, (ii) efectivamente existió un espacio para la discusión de la propuesta (si bien había una proposición de sacar del bloque el artículo, está fue retirada); (iii) existió una razón temática para votar en bloque, esto fue, los artículos que quedaron sin proposiciones o “limpios” porque en el transcurso de la discusión fueron dejadas como constancias las proposiciones que se habían presentado; y (iv) fue también aprobada por la mayoría de la plenaria de la Cámara de Representantes, por lo que no podría haber ocurrido una elusión del debate.</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CONSECUTIVIDAD EN TRAMITE LEGISLATIVO</w:t>
      </w:r>
      <w:r w:rsidRPr="00491C4A">
        <w:rPr>
          <w:rFonts w:ascii="Times New Roman" w:hAnsi="Times New Roman"/>
          <w:sz w:val="28"/>
          <w:szCs w:val="28"/>
        </w:rPr>
        <w:t>-No exige reabrir el debate</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la Sala Plena no encuentra un vicio de procedimiento en la formación del artículo 233 de la Ley 2294 de 2023 por no haberse accedido a la reapertura del artículo 207 en la Plenaria de la Cámara de Representantes. La jurisprudencia constitucional ha dado vía libre a este tipo de iniciativas, pero ha señalado con toda claridad que la garantía del principio de consecutividad no exige que los debates sean reabiertos. Este principio está orientado a que se satisfagan en su integridad los debates exigidos por la Constitución para cada una de las leyes, lo que queda agotado con la primera votación de los asuntos, siempre que para esta se garantice el derecho de los congresistas a debatir los asuntos puestos a su consideración, a quienes corresponde adelantar sus funciones con diligencia.</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PRINCIPIOS DE LEGALIDAD Y CERTEZA TRIBUTARIA</w:t>
      </w:r>
      <w:r w:rsidRPr="00491C4A">
        <w:rPr>
          <w:rFonts w:ascii="Times New Roman" w:hAnsi="Times New Roman"/>
          <w:sz w:val="28"/>
          <w:szCs w:val="28"/>
        </w:rPr>
        <w:t xml:space="preserve">-No se vulnera por norma del Plan Nacional de Desarrollo que modificó régimen de transferencias del sector eléctrico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PROGRESIVIDAD Y PROHIBICION DE REGRESIVIDAD</w:t>
      </w:r>
      <w:r w:rsidRPr="00491C4A">
        <w:rPr>
          <w:rFonts w:ascii="Times New Roman" w:hAnsi="Times New Roman"/>
          <w:sz w:val="28"/>
          <w:szCs w:val="28"/>
        </w:rPr>
        <w:t>-No se vulnera por norma tributaria por cuanto no tiene efecto regresivo en la protección del derecho al ambiente sano</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xml:space="preserve">La Corte encuentra que no está demostrado que la medida acusada tenga un efecto regresivo en la protección del derecho al ambiente sano, en tanto no existe evidencia de que el aumento de la tarifa de las transferencias eléctricas prevista en el artículo 233 de la Ley 2294 de 2023 impida, retrase o retroceda el cumplimiento de los compromisos de mitigación del cambio climático. En adición, el objetivo que persigue la norma en lugar de hacerla regresiva le confiere un contenido progresivo en términos de protección ambiental, y de garantía de otros derechos que la Constitución Política reconoce a las comunidades que soportan los efectos de las medidas de protección ambiental. En consecuencia, el artículo 233 de la Ley 2294 de 2023 será declarado exequible por el cargo de violación del principio de progresividad y no regresividad en materia ambiental.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ACCION DE INCONSTITUCIONALIDAD POR VICIOS DE FORMA</w:t>
      </w:r>
      <w:r w:rsidRPr="00491C4A">
        <w:rPr>
          <w:rFonts w:ascii="Times New Roman" w:hAnsi="Times New Roman"/>
          <w:sz w:val="28"/>
          <w:szCs w:val="28"/>
        </w:rPr>
        <w:t xml:space="preserve">-Término de caducidad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COSA JUZGADA CONSTITUCIONAL</w:t>
      </w:r>
      <w:r w:rsidRPr="00491C4A">
        <w:rPr>
          <w:rFonts w:ascii="Times New Roman" w:hAnsi="Times New Roman"/>
          <w:sz w:val="28"/>
          <w:szCs w:val="28"/>
        </w:rPr>
        <w:t xml:space="preserve">-Tipología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COSA JUZGADA</w:t>
      </w:r>
      <w:r w:rsidRPr="00491C4A">
        <w:rPr>
          <w:rFonts w:ascii="Times New Roman" w:hAnsi="Times New Roman"/>
          <w:sz w:val="28"/>
          <w:szCs w:val="28"/>
        </w:rPr>
        <w:t xml:space="preserve">-Efectos respecto de decisiones de exequibilidad e inexequibilidad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COSA JUZGADA CONSTITUCIONAL FORMAL RELATIVA</w:t>
      </w:r>
      <w:r w:rsidRPr="00491C4A">
        <w:rPr>
          <w:rFonts w:ascii="Times New Roman" w:hAnsi="Times New Roman"/>
          <w:sz w:val="28"/>
          <w:szCs w:val="28"/>
        </w:rPr>
        <w:t xml:space="preserve">-Configuración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DEMANDA DE INCONSTITUCIONALIDAD CONTRA NORMA DEL PLAN NACIONAL DE DESARROLLO</w:t>
      </w:r>
      <w:r w:rsidRPr="00491C4A">
        <w:rPr>
          <w:rFonts w:ascii="Times New Roman" w:hAnsi="Times New Roman"/>
          <w:sz w:val="28"/>
          <w:szCs w:val="28"/>
        </w:rPr>
        <w:t xml:space="preserve">-Estarse a lo resuelto en la sentencia C-143 de 2025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PRO ACTIONE EN DEMANDA DE INCONSTITUCIONALIDAD</w:t>
      </w:r>
      <w:r w:rsidRPr="00491C4A">
        <w:rPr>
          <w:rFonts w:ascii="Times New Roman" w:hAnsi="Times New Roman"/>
          <w:sz w:val="28"/>
          <w:szCs w:val="28"/>
        </w:rPr>
        <w:t>-Aplicación</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cuando el mérito del cargo dependa de determinar la naturaleza o el alcance de la disposición acusada, cuando estos no son evidentes, la Corte debe maximizar la garantía democrática que subyace a la acción pública de inconstitucionalidad. Esto, por cuanto, la aparente tensión existente entre el carácter público de la acción de inconstitucionalidad y la exigencia de una carga argumentativa mínima a los ciudadanos demandantes se resuelve mediante la prevalencia del principio pro actione, en virtud del cual, en caso de duda razonable sobre la procedencia de un recurso de defensa judicial se prefiera su estudio de fondo sobre su improcedencia. Así, de manera excepcional, cuando el alcance de la disposición acusada admita varias interpretaciones posibles, su análisis habrá de efectuarse en una decisión de fondo y no mediante un pronunciamiento inhibitorio.</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CONSECUTIVIDAD EN TRAMITE LEGISLATIVO</w:t>
      </w:r>
      <w:r w:rsidRPr="00491C4A">
        <w:rPr>
          <w:rFonts w:ascii="Times New Roman" w:hAnsi="Times New Roman"/>
          <w:sz w:val="28"/>
          <w:szCs w:val="28"/>
        </w:rPr>
        <w:t xml:space="preserve">-Contenido y alcance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CONTROL DE CONSTITUCIONALIDAD DE DEBATE PARLAMENTARIO</w:t>
      </w:r>
      <w:r w:rsidRPr="00491C4A">
        <w:rPr>
          <w:rFonts w:ascii="Times New Roman" w:hAnsi="Times New Roman"/>
          <w:sz w:val="28"/>
          <w:szCs w:val="28"/>
        </w:rPr>
        <w:t>-No juzgamiento de calidad y suficiencia</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el control de constitucionalidad de las leyes en cuanto a su proceso de formación no autoriza al juez constitucional a valorar la intensidad, calidad o suficiencia del debate congresional. Siempre que la Corte ha analizado si hubo una elusión del debate en un trámite legislativo concreto, ha sido cuidadosa en señalar que este escrutinio no implica determinar si el debate fue de calidad. En efecto -según se ha sostenido por la jurisprudencia constitucional- el estudio sobre la calidad del debate escapa de las competencias de la Corte. En contraste, lo que sí se debe estudiar, es (i) si las condiciones para el correcto desarrollo del mismo se dieron, y (ii) si el debate existió al menos en un mínimo grado, y en ese sentido la voluntad democrática se formó de manera adecuada en cada una de las instancias del Congreso de la República; cumpliendo así las exigencias previstas en el artículo 157 de la Constitución Política. Esto implica -por supuesto- verificar si los congresistas conocieron el proyecto de ley, y sobre él deliberaron y votaron.</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TRAMITE LEGISLATIVO</w:t>
      </w:r>
      <w:r w:rsidRPr="00491C4A">
        <w:rPr>
          <w:rFonts w:ascii="Times New Roman" w:hAnsi="Times New Roman"/>
          <w:sz w:val="28"/>
          <w:szCs w:val="28"/>
        </w:rPr>
        <w:t xml:space="preserve">-Clasificación de proposiciones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TRAMITE LEGISLATIVO</w:t>
      </w:r>
      <w:r w:rsidRPr="00491C4A">
        <w:rPr>
          <w:rFonts w:ascii="Times New Roman" w:hAnsi="Times New Roman"/>
          <w:sz w:val="28"/>
          <w:szCs w:val="28"/>
        </w:rPr>
        <w:t xml:space="preserve">-Inexistencia de regulación para reabrir el debate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VOTACION EN BLOQUE</w:t>
      </w:r>
      <w:r w:rsidRPr="00491C4A">
        <w:rPr>
          <w:rFonts w:ascii="Times New Roman" w:hAnsi="Times New Roman"/>
          <w:sz w:val="28"/>
          <w:szCs w:val="28"/>
        </w:rPr>
        <w:t>-Validez</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la votación en bloque constituye una herramienta jurídicamente válida, reconocida tanto por la Ley 5 de 1992 como por la jurisprudencia constitucional, orientada a garantizar la eficiencia y racionalidad del trámite legislativo. Este mecanismo, que permite someter a decisión conjunta varios artículos de un proyecto de ley, resulta compatible con la Constitución siempre que no se utilice para impedir el ejercicio efectivo del derecho al debate ni para vulnerar las garantías institucionales de deliberación propias del Congreso.</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LEGALIDAD Y CERTEZA DEL TRIBUTO</w:t>
      </w:r>
      <w:r w:rsidRPr="00491C4A">
        <w:rPr>
          <w:rFonts w:ascii="Times New Roman" w:hAnsi="Times New Roman"/>
          <w:sz w:val="28"/>
          <w:szCs w:val="28"/>
        </w:rPr>
        <w:t xml:space="preserve">-Contenido y alcance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CERTEZA TRIBUTARIA</w:t>
      </w:r>
      <w:r w:rsidRPr="00491C4A">
        <w:rPr>
          <w:rFonts w:ascii="Times New Roman" w:hAnsi="Times New Roman"/>
          <w:sz w:val="28"/>
          <w:szCs w:val="28"/>
        </w:rPr>
        <w:t xml:space="preserve">-Se deriva del principio de legalidad tributaria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CERTEZA EN MATERIA TRIBUTARIA</w:t>
      </w:r>
      <w:r w:rsidRPr="00491C4A">
        <w:rPr>
          <w:rFonts w:ascii="Times New Roman" w:hAnsi="Times New Roman"/>
          <w:sz w:val="28"/>
          <w:szCs w:val="28"/>
        </w:rPr>
        <w:t xml:space="preserve">-Obligación del legislador de definir claramente los elementos del tributo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CERTEZA TRIBUTARIA</w:t>
      </w:r>
      <w:r w:rsidRPr="00491C4A">
        <w:rPr>
          <w:rFonts w:ascii="Times New Roman" w:hAnsi="Times New Roman"/>
          <w:sz w:val="28"/>
          <w:szCs w:val="28"/>
        </w:rPr>
        <w:t>-Casos en que se vulnera</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solo se desconoce este principio cuando la oscuridad normativa resulta insuperable y persiste una incertidumbre que impide determinar los elementos estructurales del gravamen... la exigencia de certeza tributaria no se traduce en la prohibición de toda forma de remisión normativa, sino únicamente en la proscripción de enunciados cuyo grado de ambigüedad o vaguedad haga imposible identificar, siquiera por vía interpretativa, los elementos básicos del tributo.</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POTESTAD REGLAMENTARIA EN MATERIA TRIBUTARIA</w:t>
      </w:r>
      <w:r w:rsidRPr="00491C4A">
        <w:rPr>
          <w:rFonts w:ascii="Times New Roman" w:hAnsi="Times New Roman"/>
          <w:sz w:val="28"/>
          <w:szCs w:val="28"/>
        </w:rPr>
        <w:t xml:space="preserve">-Alcance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IMPUESTOS, TASAS Y CONTRIBUCIONES PARAFISCALES</w:t>
      </w:r>
      <w:r w:rsidRPr="00491C4A">
        <w:rPr>
          <w:rFonts w:ascii="Times New Roman" w:hAnsi="Times New Roman"/>
          <w:sz w:val="28"/>
          <w:szCs w:val="28"/>
        </w:rPr>
        <w:t xml:space="preserve">-Concepto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TASAS</w:t>
      </w:r>
      <w:r w:rsidRPr="00491C4A">
        <w:rPr>
          <w:rFonts w:ascii="Times New Roman" w:hAnsi="Times New Roman"/>
          <w:sz w:val="28"/>
          <w:szCs w:val="28"/>
        </w:rPr>
        <w:t>-Características</w:t>
      </w:r>
      <w:r w:rsidRPr="00491C4A">
        <w:rPr>
          <w:rFonts w:ascii="Times New Roman" w:hAnsi="Times New Roman"/>
          <w:b/>
          <w:bCs/>
          <w:sz w:val="28"/>
          <w:szCs w:val="28"/>
        </w:rPr>
        <w:t>/IMPUESTOS</w:t>
      </w:r>
      <w:r w:rsidRPr="00491C4A">
        <w:rPr>
          <w:rFonts w:ascii="Times New Roman" w:hAnsi="Times New Roman"/>
          <w:sz w:val="28"/>
          <w:szCs w:val="28"/>
        </w:rPr>
        <w:t>-Características</w:t>
      </w:r>
      <w:r w:rsidRPr="00491C4A">
        <w:rPr>
          <w:rFonts w:ascii="Times New Roman" w:hAnsi="Times New Roman"/>
          <w:b/>
          <w:bCs/>
          <w:sz w:val="28"/>
          <w:szCs w:val="28"/>
        </w:rPr>
        <w:t>/CONTRIBUCIONES</w:t>
      </w:r>
      <w:r w:rsidRPr="00491C4A">
        <w:rPr>
          <w:rFonts w:ascii="Times New Roman" w:hAnsi="Times New Roman"/>
          <w:sz w:val="28"/>
          <w:szCs w:val="28"/>
        </w:rPr>
        <w:t xml:space="preserve">-Características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IMPUESTOS, TASAS Y CONTRIBUCIONES ESPECIALES</w:t>
      </w:r>
      <w:r w:rsidRPr="00491C4A">
        <w:rPr>
          <w:rFonts w:ascii="Times New Roman" w:hAnsi="Times New Roman"/>
          <w:sz w:val="28"/>
          <w:szCs w:val="28"/>
        </w:rPr>
        <w:t>-Diferencias</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i/>
          <w:iCs/>
          <w:sz w:val="28"/>
          <w:szCs w:val="28"/>
        </w:rPr>
        <w:t>(...) la distinción entre tipos de tributos es relevante debido a que la Constitución prevé condiciones diferentes para el cumplimiento de los principios de reserva de ley y de legalidad en función del tipo de tributo del que se trate. Por un lado, en el caso de tasas y contribuciones, la autoridad puede fijar la tarifa, pero el sistema para definir costos y beneficios, y su reparto, debe ser establecido por ley, ordenanza o acuerdo; en contraste con los impuestos, cuyos elementos deben ser determinados por estas mismas fuentes normativas. Además, el recaudo de las tasas y contribuciones se limita a la recuperación de costos o participación en los beneficios percibidos, mientras que en los impuestos esta limitación no es aplicable.</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TRIBUTO</w:t>
      </w:r>
      <w:r w:rsidRPr="00491C4A">
        <w:rPr>
          <w:rFonts w:ascii="Times New Roman" w:hAnsi="Times New Roman"/>
          <w:sz w:val="28"/>
          <w:szCs w:val="28"/>
        </w:rPr>
        <w:t xml:space="preserve">-Elementos estructurales en materia de transferencias del sector eléctrico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DEBERES DE LOS CIUDADANOS</w:t>
      </w:r>
      <w:r w:rsidRPr="00491C4A">
        <w:rPr>
          <w:rFonts w:ascii="Times New Roman" w:hAnsi="Times New Roman"/>
          <w:sz w:val="28"/>
          <w:szCs w:val="28"/>
        </w:rPr>
        <w:t xml:space="preserve">-Contribuir al financiamiento de los gastos e inversiones del Estado en justicia y equidad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NO REGRESIVIDAD EN MATERIA AMBIENTAL</w:t>
      </w:r>
      <w:r w:rsidRPr="00491C4A">
        <w:rPr>
          <w:rFonts w:ascii="Times New Roman" w:hAnsi="Times New Roman"/>
          <w:sz w:val="28"/>
          <w:szCs w:val="28"/>
        </w:rPr>
        <w:t xml:space="preserve">-Alcance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PRINCIPIO DE PROGRESIVIDAD Y PROHIBICION DE REGRESIVIDAD EN DERECHOS SOCIALES, ECONOMICOS Y CULTURALES</w:t>
      </w:r>
      <w:r w:rsidRPr="00491C4A">
        <w:rPr>
          <w:rFonts w:ascii="Times New Roman" w:hAnsi="Times New Roman"/>
          <w:sz w:val="28"/>
          <w:szCs w:val="28"/>
        </w:rPr>
        <w:t>-Límites a la potestad de configuración de ley tributaria</w:t>
      </w:r>
      <w:r w:rsidRPr="00491C4A">
        <w:rPr>
          <w:rFonts w:ascii="Times New Roman" w:hAnsi="Times New Roman"/>
          <w:b/>
          <w:bCs/>
          <w:sz w:val="28"/>
          <w:szCs w:val="28"/>
        </w:rPr>
        <w:t>/CONFIGURACION LEGISLATIVA EN MATERIA TRIBUTARIA</w:t>
      </w:r>
      <w:r w:rsidRPr="00491C4A">
        <w:rPr>
          <w:rFonts w:ascii="Times New Roman" w:hAnsi="Times New Roman"/>
          <w:sz w:val="28"/>
          <w:szCs w:val="28"/>
        </w:rPr>
        <w:t xml:space="preserve">-Condiciones para desmontar o reducir una institución tributaria en sus alcances protectores de derechos sociales fundamentales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DERECHO AL AMBIENTE SANO</w:t>
      </w:r>
      <w:r w:rsidRPr="00491C4A">
        <w:rPr>
          <w:rFonts w:ascii="Times New Roman" w:hAnsi="Times New Roman"/>
          <w:sz w:val="28"/>
          <w:szCs w:val="28"/>
        </w:rPr>
        <w:t xml:space="preserve">-Desarrollo sostenible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6D264C">
      <w:pPr>
        <w:widowControl w:val="0"/>
        <w:autoSpaceDE w:val="0"/>
        <w:autoSpaceDN w:val="0"/>
        <w:adjustRightInd w:val="0"/>
        <w:spacing w:after="0" w:line="240" w:lineRule="auto"/>
        <w:jc w:val="both"/>
        <w:rPr>
          <w:rFonts w:ascii="Times New Roman" w:hAnsi="Times New Roman"/>
          <w:sz w:val="28"/>
          <w:szCs w:val="28"/>
        </w:rPr>
      </w:pPr>
      <w:r w:rsidRPr="00491C4A">
        <w:rPr>
          <w:rFonts w:ascii="Times New Roman" w:hAnsi="Times New Roman"/>
          <w:b/>
          <w:bCs/>
          <w:sz w:val="28"/>
          <w:szCs w:val="28"/>
        </w:rPr>
        <w:t>CAMBIO CLIMÁTICO</w:t>
      </w:r>
      <w:r w:rsidRPr="00491C4A">
        <w:rPr>
          <w:rFonts w:ascii="Times New Roman" w:hAnsi="Times New Roman"/>
          <w:sz w:val="28"/>
          <w:szCs w:val="28"/>
        </w:rPr>
        <w:t xml:space="preserve">-Obligaciones de mitigación y adaptación del sector energético </w:t>
      </w:r>
    </w:p>
    <w:p w:rsidR="006C048A" w:rsidRPr="00491C4A" w:rsidRDefault="006C048A">
      <w:pPr>
        <w:widowControl w:val="0"/>
        <w:autoSpaceDE w:val="0"/>
        <w:autoSpaceDN w:val="0"/>
        <w:adjustRightInd w:val="0"/>
        <w:spacing w:after="0" w:line="240" w:lineRule="auto"/>
        <w:jc w:val="both"/>
        <w:rPr>
          <w:rFonts w:ascii="Times New Roman" w:hAnsi="Times New Roman"/>
          <w:sz w:val="28"/>
          <w:szCs w:val="28"/>
        </w:rPr>
      </w:pPr>
    </w:p>
    <w:p w:rsidR="006C048A" w:rsidRPr="00491C4A" w:rsidRDefault="00491C4A">
      <w:pPr>
        <w:widowControl w:val="0"/>
        <w:autoSpaceDE w:val="0"/>
        <w:autoSpaceDN w:val="0"/>
        <w:adjustRightInd w:val="0"/>
        <w:spacing w:after="0" w:line="240" w:lineRule="auto"/>
        <w:jc w:val="both"/>
        <w:rPr>
          <w:rFonts w:ascii="Times New Roman" w:hAnsi="Times New Roman"/>
          <w:sz w:val="28"/>
        </w:rPr>
      </w:pPr>
      <w:r w:rsidRPr="00491C4A">
        <w:rPr>
          <w:rFonts w:ascii="Times New Roman" w:hAnsi="Times New Roman"/>
          <w:sz w:val="28"/>
          <w:szCs w:val="28"/>
        </w:rPr>
        <w:pict>
          <v:rect id="_x0000_i1025" style="width:0;height:1.5pt" o:hralign="center" o:hrstd="t" o:hr="t" fillcolor="#a0a0a0" stroked="f"/>
        </w:pict>
      </w:r>
    </w:p>
    <w:p w:rsidR="009A6345" w:rsidRPr="00491C4A" w:rsidRDefault="00491C4A" w:rsidP="00256A35">
      <w:pPr>
        <w:pStyle w:val="Encabezado"/>
        <w:tabs>
          <w:tab w:val="center" w:pos="4678"/>
        </w:tabs>
        <w:jc w:val="center"/>
        <w:rPr>
          <w:rFonts w:ascii="Times New Roman" w:hAnsi="Times New Roman"/>
          <w:b/>
          <w:bCs/>
          <w:sz w:val="28"/>
          <w:szCs w:val="28"/>
          <w:lang w:val="es-ES"/>
        </w:rPr>
      </w:pPr>
      <w:bookmarkStart w:id="1" w:name="_Hlk161652658"/>
      <w:r w:rsidRPr="00491C4A">
        <w:rPr>
          <w:rFonts w:ascii="Times New Roman" w:hAnsi="Times New Roman"/>
          <w:b/>
          <w:bCs/>
          <w:sz w:val="28"/>
          <w:szCs w:val="28"/>
          <w:lang w:val="es-ES"/>
        </w:rPr>
        <w:t>REPÚBLICA DE COLOMBIA</w:t>
      </w:r>
    </w:p>
    <w:p w:rsidR="009A6345" w:rsidRPr="00491C4A" w:rsidRDefault="00491C4A" w:rsidP="00256A35">
      <w:pPr>
        <w:pStyle w:val="Encabezado"/>
        <w:jc w:val="center"/>
        <w:rPr>
          <w:rFonts w:ascii="Times New Roman" w:hAnsi="Times New Roman"/>
          <w:b/>
          <w:bCs/>
          <w:sz w:val="28"/>
          <w:szCs w:val="28"/>
          <w:lang w:val="es-ES"/>
        </w:rPr>
      </w:pPr>
      <w:r w:rsidRPr="00491C4A">
        <w:rPr>
          <w:rFonts w:ascii="Times New Roman" w:hAnsi="Times New Roman"/>
          <w:b/>
          <w:noProof/>
          <w:sz w:val="28"/>
          <w:szCs w:val="28"/>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style="width:62.25pt;height:62.25pt;visibility:visible;mso-wrap-style:square">
            <v:imagedata r:id="rId7" o:title=""/>
          </v:shape>
        </w:pict>
      </w:r>
    </w:p>
    <w:p w:rsidR="009A6345" w:rsidRPr="00491C4A" w:rsidRDefault="00491C4A" w:rsidP="00256A35">
      <w:pPr>
        <w:pStyle w:val="Encabezado"/>
        <w:jc w:val="center"/>
        <w:rPr>
          <w:rFonts w:ascii="Times New Roman" w:hAnsi="Times New Roman"/>
          <w:b/>
          <w:bCs/>
          <w:sz w:val="28"/>
          <w:szCs w:val="28"/>
          <w:lang w:val="es-ES"/>
        </w:rPr>
      </w:pPr>
      <w:r w:rsidRPr="00491C4A">
        <w:rPr>
          <w:rFonts w:ascii="Times New Roman" w:hAnsi="Times New Roman"/>
          <w:b/>
          <w:bCs/>
          <w:sz w:val="28"/>
          <w:szCs w:val="28"/>
          <w:lang w:val="es-ES"/>
        </w:rPr>
        <w:t>CORTE CONSTITUCIONAL</w:t>
      </w:r>
    </w:p>
    <w:p w:rsidR="009A6345" w:rsidRPr="00491C4A" w:rsidRDefault="00491C4A" w:rsidP="00256A35">
      <w:pPr>
        <w:pStyle w:val="Encabezado"/>
        <w:jc w:val="center"/>
        <w:rPr>
          <w:rFonts w:ascii="Times New Roman" w:hAnsi="Times New Roman"/>
          <w:b/>
          <w:bCs/>
          <w:sz w:val="28"/>
          <w:szCs w:val="28"/>
          <w:lang w:val="es-ES"/>
        </w:rPr>
      </w:pPr>
      <w:r w:rsidRPr="00491C4A">
        <w:rPr>
          <w:rFonts w:ascii="Times New Roman" w:hAnsi="Times New Roman"/>
          <w:b/>
          <w:bCs/>
          <w:sz w:val="28"/>
          <w:szCs w:val="28"/>
          <w:lang w:val="es-ES"/>
        </w:rPr>
        <w:t>Sala Plena</w:t>
      </w:r>
    </w:p>
    <w:p w:rsidR="009A6345" w:rsidRPr="00491C4A" w:rsidRDefault="00491C4A" w:rsidP="00256A35">
      <w:pPr>
        <w:jc w:val="center"/>
        <w:rPr>
          <w:rFonts w:ascii="Times New Roman" w:hAnsi="Times New Roman"/>
          <w:b/>
          <w:bCs/>
          <w:sz w:val="28"/>
          <w:szCs w:val="28"/>
          <w:lang w:val="es-ES"/>
        </w:rPr>
      </w:pPr>
    </w:p>
    <w:p w:rsidR="009A6345" w:rsidRPr="00491C4A" w:rsidRDefault="00491C4A" w:rsidP="00256A35">
      <w:pPr>
        <w:jc w:val="center"/>
        <w:rPr>
          <w:rFonts w:ascii="Times New Roman" w:hAnsi="Times New Roman"/>
          <w:b/>
          <w:bCs/>
          <w:sz w:val="28"/>
          <w:szCs w:val="28"/>
          <w:lang w:val="es-ES"/>
        </w:rPr>
      </w:pPr>
      <w:r w:rsidRPr="00491C4A">
        <w:rPr>
          <w:rFonts w:ascii="Times New Roman" w:hAnsi="Times New Roman"/>
          <w:b/>
          <w:bCs/>
          <w:sz w:val="28"/>
          <w:szCs w:val="28"/>
          <w:lang w:val="es-ES"/>
        </w:rPr>
        <w:t>SENTENCIA C-</w:t>
      </w:r>
      <w:r w:rsidRPr="00491C4A">
        <w:rPr>
          <w:rFonts w:ascii="Times New Roman" w:hAnsi="Times New Roman"/>
          <w:b/>
          <w:bCs/>
          <w:sz w:val="28"/>
          <w:szCs w:val="28"/>
          <w:lang w:val="es-ES"/>
        </w:rPr>
        <w:t>323</w:t>
      </w:r>
      <w:r w:rsidRPr="00491C4A">
        <w:rPr>
          <w:rFonts w:ascii="Times New Roman" w:hAnsi="Times New Roman"/>
          <w:b/>
          <w:bCs/>
          <w:sz w:val="28"/>
          <w:szCs w:val="28"/>
          <w:lang w:val="es-ES"/>
        </w:rPr>
        <w:t xml:space="preserve"> DE 202</w:t>
      </w:r>
      <w:r w:rsidRPr="00491C4A">
        <w:rPr>
          <w:rFonts w:ascii="Times New Roman" w:hAnsi="Times New Roman"/>
          <w:b/>
          <w:bCs/>
          <w:sz w:val="28"/>
          <w:szCs w:val="28"/>
          <w:lang w:val="es-ES"/>
        </w:rPr>
        <w:t>5</w:t>
      </w:r>
    </w:p>
    <w:p w:rsidR="009A6345" w:rsidRPr="00491C4A" w:rsidRDefault="00491C4A" w:rsidP="00E17260">
      <w:pPr>
        <w:jc w:val="center"/>
        <w:rPr>
          <w:rFonts w:ascii="Times New Roman" w:hAnsi="Times New Roman"/>
          <w:b/>
          <w:sz w:val="28"/>
          <w:szCs w:val="28"/>
          <w:lang w:val="es-ES"/>
        </w:rPr>
      </w:pPr>
    </w:p>
    <w:p w:rsidR="009A6345" w:rsidRPr="00491C4A" w:rsidRDefault="00491C4A" w:rsidP="00E17260">
      <w:pPr>
        <w:ind w:left="3855"/>
        <w:jc w:val="both"/>
        <w:rPr>
          <w:rFonts w:ascii="Times New Roman" w:hAnsi="Times New Roman"/>
          <w:sz w:val="28"/>
          <w:szCs w:val="28"/>
          <w:lang w:val="es-ES"/>
        </w:rPr>
      </w:pPr>
      <w:r w:rsidRPr="00491C4A">
        <w:rPr>
          <w:rFonts w:ascii="Times New Roman" w:hAnsi="Times New Roman"/>
          <w:b/>
          <w:bCs/>
          <w:sz w:val="28"/>
          <w:szCs w:val="28"/>
          <w:lang w:val="es-ES"/>
        </w:rPr>
        <w:t>Expediente:</w:t>
      </w:r>
      <w:bookmarkStart w:id="2" w:name="_Hlk54189211"/>
      <w:r w:rsidRPr="00491C4A">
        <w:rPr>
          <w:rFonts w:ascii="Times New Roman" w:hAnsi="Times New Roman"/>
          <w:b/>
          <w:sz w:val="28"/>
          <w:szCs w:val="28"/>
          <w:lang w:val="es-ES"/>
        </w:rPr>
        <w:t xml:space="preserve"> </w:t>
      </w:r>
      <w:r w:rsidRPr="00491C4A">
        <w:rPr>
          <w:rFonts w:ascii="Times New Roman" w:hAnsi="Times New Roman"/>
          <w:bCs/>
          <w:sz w:val="28"/>
          <w:szCs w:val="28"/>
          <w:lang w:val="es-ES"/>
        </w:rPr>
        <w:t>D-15.</w:t>
      </w:r>
      <w:r w:rsidRPr="00491C4A">
        <w:rPr>
          <w:rFonts w:ascii="Times New Roman" w:hAnsi="Times New Roman"/>
          <w:bCs/>
          <w:sz w:val="28"/>
          <w:szCs w:val="28"/>
          <w:lang w:val="es-ES"/>
        </w:rPr>
        <w:t>525</w:t>
      </w:r>
    </w:p>
    <w:bookmarkEnd w:id="2"/>
    <w:p w:rsidR="009A6345" w:rsidRPr="00491C4A" w:rsidRDefault="00491C4A" w:rsidP="00E17260">
      <w:pPr>
        <w:ind w:left="3855"/>
        <w:rPr>
          <w:rFonts w:ascii="Times New Roman" w:hAnsi="Times New Roman"/>
          <w:sz w:val="28"/>
          <w:szCs w:val="28"/>
          <w:lang w:val="es-ES"/>
        </w:rPr>
      </w:pPr>
    </w:p>
    <w:p w:rsidR="009A6345" w:rsidRPr="00491C4A" w:rsidRDefault="00491C4A" w:rsidP="00E17260">
      <w:pPr>
        <w:pStyle w:val="Style5"/>
        <w:widowControl/>
        <w:spacing w:line="240" w:lineRule="auto"/>
        <w:ind w:left="3855"/>
        <w:rPr>
          <w:rFonts w:ascii="Times New Roman" w:hAnsi="Times New Roman"/>
          <w:i/>
          <w:iCs/>
          <w:sz w:val="28"/>
          <w:szCs w:val="28"/>
          <w:lang w:val="es-ES" w:eastAsia="es-ES"/>
        </w:rPr>
      </w:pPr>
      <w:r w:rsidRPr="00491C4A">
        <w:rPr>
          <w:rFonts w:ascii="Times New Roman" w:hAnsi="Times New Roman"/>
          <w:sz w:val="28"/>
          <w:szCs w:val="28"/>
          <w:lang w:val="es-ES" w:eastAsia="es-ES"/>
        </w:rPr>
        <w:t xml:space="preserve">Demanda de inconstitucionalidad contra el artículo </w:t>
      </w:r>
      <w:r w:rsidRPr="00491C4A">
        <w:rPr>
          <w:rFonts w:ascii="Times New Roman" w:hAnsi="Times New Roman"/>
          <w:sz w:val="28"/>
          <w:szCs w:val="28"/>
          <w:lang w:val="es-ES" w:eastAsia="es-ES"/>
        </w:rPr>
        <w:t>233</w:t>
      </w:r>
      <w:r w:rsidRPr="00491C4A">
        <w:rPr>
          <w:rFonts w:ascii="Times New Roman" w:hAnsi="Times New Roman"/>
          <w:sz w:val="28"/>
          <w:szCs w:val="28"/>
          <w:lang w:val="es-ES" w:eastAsia="es-ES"/>
        </w:rPr>
        <w:t xml:space="preserve"> de la Ley 22</w:t>
      </w:r>
      <w:r w:rsidRPr="00491C4A">
        <w:rPr>
          <w:rFonts w:ascii="Times New Roman" w:hAnsi="Times New Roman"/>
          <w:sz w:val="28"/>
          <w:szCs w:val="28"/>
          <w:lang w:val="es-ES" w:eastAsia="es-ES"/>
        </w:rPr>
        <w:t>94</w:t>
      </w:r>
      <w:r w:rsidRPr="00491C4A">
        <w:rPr>
          <w:rFonts w:ascii="Times New Roman" w:hAnsi="Times New Roman"/>
          <w:sz w:val="28"/>
          <w:szCs w:val="28"/>
          <w:lang w:val="es-ES" w:eastAsia="es-ES"/>
        </w:rPr>
        <w:t xml:space="preserve"> de 20</w:t>
      </w:r>
      <w:r w:rsidRPr="00491C4A">
        <w:rPr>
          <w:rFonts w:ascii="Times New Roman" w:hAnsi="Times New Roman"/>
          <w:sz w:val="28"/>
          <w:szCs w:val="28"/>
          <w:lang w:val="es-ES" w:eastAsia="es-ES"/>
        </w:rPr>
        <w:t>2</w:t>
      </w:r>
      <w:r w:rsidRPr="00491C4A">
        <w:rPr>
          <w:rFonts w:ascii="Times New Roman" w:hAnsi="Times New Roman"/>
          <w:sz w:val="28"/>
          <w:szCs w:val="28"/>
          <w:lang w:val="es-ES" w:eastAsia="es-ES"/>
        </w:rPr>
        <w:t xml:space="preserve">3, </w:t>
      </w:r>
      <w:r w:rsidRPr="00491C4A">
        <w:rPr>
          <w:rFonts w:ascii="Times New Roman" w:hAnsi="Times New Roman"/>
          <w:i/>
          <w:iCs/>
          <w:sz w:val="28"/>
          <w:szCs w:val="28"/>
          <w:lang w:val="es-ES" w:eastAsia="es-ES"/>
        </w:rPr>
        <w:t>“</w:t>
      </w:r>
      <w:r w:rsidRPr="00491C4A">
        <w:rPr>
          <w:rFonts w:ascii="Times New Roman" w:hAnsi="Times New Roman"/>
          <w:sz w:val="28"/>
          <w:szCs w:val="28"/>
          <w:lang w:val="es-ES" w:eastAsia="es-ES"/>
        </w:rPr>
        <w:t>[p]</w:t>
      </w:r>
      <w:r w:rsidRPr="00491C4A">
        <w:rPr>
          <w:rFonts w:ascii="Times New Roman" w:hAnsi="Times New Roman"/>
          <w:sz w:val="28"/>
          <w:szCs w:val="28"/>
          <w:lang w:val="es-ES" w:eastAsia="es-ES"/>
        </w:rPr>
        <w:t>or</w:t>
      </w:r>
      <w:r w:rsidRPr="00491C4A">
        <w:rPr>
          <w:rFonts w:ascii="Times New Roman" w:hAnsi="Times New Roman"/>
          <w:sz w:val="28"/>
          <w:szCs w:val="28"/>
          <w:lang w:val="es-ES" w:eastAsia="es-ES"/>
        </w:rPr>
        <w:t xml:space="preserve"> el cual</w:t>
      </w:r>
      <w:r w:rsidRPr="00491C4A">
        <w:rPr>
          <w:rFonts w:ascii="Times New Roman" w:hAnsi="Times New Roman"/>
          <w:sz w:val="28"/>
          <w:szCs w:val="28"/>
          <w:lang w:val="es-ES" w:eastAsia="es-ES"/>
        </w:rPr>
        <w:t xml:space="preserve"> se expide el Plan Nacional de Desarrollo 2022-2024 ‘Colom</w:t>
      </w:r>
      <w:r w:rsidRPr="00491C4A">
        <w:rPr>
          <w:rFonts w:ascii="Times New Roman" w:hAnsi="Times New Roman"/>
          <w:sz w:val="28"/>
          <w:szCs w:val="28"/>
          <w:lang w:val="es-ES" w:eastAsia="es-ES"/>
        </w:rPr>
        <w:t>bia</w:t>
      </w:r>
      <w:r w:rsidRPr="00491C4A">
        <w:rPr>
          <w:rFonts w:ascii="Times New Roman" w:hAnsi="Times New Roman"/>
          <w:sz w:val="28"/>
          <w:szCs w:val="28"/>
          <w:lang w:val="es-ES" w:eastAsia="es-ES"/>
        </w:rPr>
        <w:t xml:space="preserve"> Potencia Mundial de Vida’”. </w:t>
      </w:r>
    </w:p>
    <w:p w:rsidR="009A6345" w:rsidRPr="00491C4A" w:rsidRDefault="00491C4A" w:rsidP="00E17260">
      <w:pPr>
        <w:autoSpaceDE w:val="0"/>
        <w:autoSpaceDN w:val="0"/>
        <w:ind w:left="3855"/>
        <w:jc w:val="both"/>
        <w:rPr>
          <w:rFonts w:ascii="Times New Roman" w:hAnsi="Times New Roman"/>
          <w:b/>
          <w:sz w:val="28"/>
          <w:szCs w:val="28"/>
          <w:lang w:val="pt-BR"/>
        </w:rPr>
      </w:pPr>
    </w:p>
    <w:p w:rsidR="009A6345" w:rsidRPr="00491C4A" w:rsidRDefault="00491C4A" w:rsidP="00E17260">
      <w:pPr>
        <w:autoSpaceDE w:val="0"/>
        <w:autoSpaceDN w:val="0"/>
        <w:ind w:left="3855"/>
        <w:jc w:val="both"/>
        <w:rPr>
          <w:rFonts w:ascii="Times New Roman" w:hAnsi="Times New Roman"/>
          <w:bCs/>
          <w:sz w:val="28"/>
          <w:szCs w:val="28"/>
          <w:lang w:val="pt-BR"/>
        </w:rPr>
      </w:pPr>
      <w:r w:rsidRPr="00491C4A">
        <w:rPr>
          <w:rFonts w:ascii="Times New Roman" w:hAnsi="Times New Roman"/>
          <w:b/>
          <w:sz w:val="28"/>
          <w:szCs w:val="28"/>
          <w:lang w:val="pt-BR"/>
        </w:rPr>
        <w:t>Demandante</w:t>
      </w:r>
      <w:r w:rsidRPr="00491C4A">
        <w:rPr>
          <w:rFonts w:ascii="Times New Roman" w:hAnsi="Times New Roman"/>
          <w:b/>
          <w:sz w:val="28"/>
          <w:szCs w:val="28"/>
          <w:lang w:val="pt-BR"/>
        </w:rPr>
        <w:t>s</w:t>
      </w:r>
      <w:r w:rsidRPr="00491C4A">
        <w:rPr>
          <w:rFonts w:ascii="Times New Roman" w:hAnsi="Times New Roman"/>
          <w:b/>
          <w:sz w:val="28"/>
          <w:szCs w:val="28"/>
          <w:lang w:val="pt-BR"/>
        </w:rPr>
        <w:t xml:space="preserve">: </w:t>
      </w:r>
      <w:r w:rsidRPr="00491C4A">
        <w:rPr>
          <w:rFonts w:ascii="Times New Roman" w:hAnsi="Times New Roman"/>
          <w:bCs/>
          <w:sz w:val="28"/>
          <w:szCs w:val="28"/>
          <w:lang w:val="pt-BR"/>
        </w:rPr>
        <w:t xml:space="preserve">José Fernando Plata Puyana y </w:t>
      </w:r>
      <w:r w:rsidRPr="00491C4A">
        <w:rPr>
          <w:rFonts w:ascii="Times New Roman" w:hAnsi="Times New Roman"/>
          <w:bCs/>
          <w:sz w:val="28"/>
          <w:szCs w:val="28"/>
          <w:lang w:val="pt-BR"/>
        </w:rPr>
        <w:t>Felipe Serrano Pinilla</w:t>
      </w:r>
    </w:p>
    <w:p w:rsidR="009A6345" w:rsidRPr="00491C4A" w:rsidRDefault="00491C4A" w:rsidP="00E17260">
      <w:pPr>
        <w:ind w:left="3855"/>
        <w:rPr>
          <w:rFonts w:ascii="Times New Roman" w:hAnsi="Times New Roman"/>
          <w:sz w:val="28"/>
          <w:szCs w:val="28"/>
          <w:lang w:val="pt-BR"/>
        </w:rPr>
      </w:pPr>
    </w:p>
    <w:p w:rsidR="009A6345" w:rsidRPr="00491C4A" w:rsidRDefault="00491C4A" w:rsidP="00E17260">
      <w:pPr>
        <w:ind w:left="3855"/>
        <w:jc w:val="both"/>
        <w:rPr>
          <w:rFonts w:ascii="Times New Roman" w:hAnsi="Times New Roman"/>
          <w:sz w:val="28"/>
          <w:szCs w:val="28"/>
          <w:lang w:val="es-ES"/>
        </w:rPr>
      </w:pPr>
      <w:r w:rsidRPr="00491C4A">
        <w:rPr>
          <w:rFonts w:ascii="Times New Roman" w:hAnsi="Times New Roman"/>
          <w:b/>
          <w:sz w:val="28"/>
          <w:szCs w:val="28"/>
          <w:lang w:val="es-ES"/>
        </w:rPr>
        <w:t xml:space="preserve">Magistrado ponente: </w:t>
      </w:r>
      <w:r w:rsidRPr="00491C4A">
        <w:rPr>
          <w:rFonts w:ascii="Times New Roman" w:hAnsi="Times New Roman"/>
          <w:sz w:val="28"/>
          <w:szCs w:val="28"/>
          <w:lang w:val="es-ES"/>
        </w:rPr>
        <w:t>Jorge Enrique Ibáñez Najar</w:t>
      </w:r>
    </w:p>
    <w:p w:rsidR="009A6345" w:rsidRPr="00491C4A" w:rsidRDefault="00491C4A" w:rsidP="00E17260">
      <w:pPr>
        <w:tabs>
          <w:tab w:val="left" w:pos="8505"/>
        </w:tabs>
        <w:jc w:val="both"/>
        <w:rPr>
          <w:rFonts w:ascii="Times New Roman" w:hAnsi="Times New Roman"/>
          <w:sz w:val="28"/>
          <w:szCs w:val="28"/>
          <w:lang w:val="es-ES" w:eastAsia="es-ES"/>
        </w:rPr>
      </w:pPr>
    </w:p>
    <w:p w:rsidR="009A6345" w:rsidRPr="00491C4A" w:rsidRDefault="00491C4A" w:rsidP="00E17260">
      <w:pPr>
        <w:tabs>
          <w:tab w:val="left" w:pos="8505"/>
        </w:tabs>
        <w:jc w:val="both"/>
        <w:rPr>
          <w:rFonts w:ascii="Times New Roman" w:hAnsi="Times New Roman"/>
          <w:sz w:val="28"/>
          <w:szCs w:val="28"/>
          <w:lang w:val="es-ES" w:eastAsia="es-ES"/>
        </w:rPr>
      </w:pPr>
      <w:r w:rsidRPr="00491C4A">
        <w:rPr>
          <w:rFonts w:ascii="Times New Roman" w:hAnsi="Times New Roman"/>
          <w:sz w:val="28"/>
          <w:szCs w:val="28"/>
          <w:lang w:val="es-ES" w:eastAsia="es-ES"/>
        </w:rPr>
        <w:t xml:space="preserve">Bogotá D.C., </w:t>
      </w:r>
      <w:r w:rsidRPr="00491C4A">
        <w:rPr>
          <w:rFonts w:ascii="Times New Roman" w:hAnsi="Times New Roman"/>
          <w:sz w:val="28"/>
          <w:szCs w:val="28"/>
          <w:lang w:val="es-ES" w:eastAsia="es-ES"/>
        </w:rPr>
        <w:t>treinta</w:t>
      </w:r>
      <w:r w:rsidRPr="00491C4A">
        <w:rPr>
          <w:rFonts w:ascii="Times New Roman" w:hAnsi="Times New Roman"/>
          <w:sz w:val="28"/>
          <w:szCs w:val="28"/>
          <w:lang w:val="es-ES" w:eastAsia="es-ES"/>
        </w:rPr>
        <w:t xml:space="preserve"> (</w:t>
      </w:r>
      <w:r w:rsidRPr="00491C4A">
        <w:rPr>
          <w:rFonts w:ascii="Times New Roman" w:hAnsi="Times New Roman"/>
          <w:sz w:val="28"/>
          <w:szCs w:val="28"/>
          <w:lang w:val="es-ES" w:eastAsia="es-ES"/>
        </w:rPr>
        <w:t>30</w:t>
      </w:r>
      <w:r w:rsidRPr="00491C4A">
        <w:rPr>
          <w:rFonts w:ascii="Times New Roman" w:hAnsi="Times New Roman"/>
          <w:sz w:val="28"/>
          <w:szCs w:val="28"/>
          <w:lang w:val="es-ES" w:eastAsia="es-ES"/>
        </w:rPr>
        <w:t xml:space="preserve">) de </w:t>
      </w:r>
      <w:r w:rsidRPr="00491C4A">
        <w:rPr>
          <w:rFonts w:ascii="Times New Roman" w:hAnsi="Times New Roman"/>
          <w:sz w:val="28"/>
          <w:szCs w:val="28"/>
          <w:lang w:val="es-ES" w:eastAsia="es-ES"/>
        </w:rPr>
        <w:t>julio</w:t>
      </w:r>
      <w:r w:rsidRPr="00491C4A">
        <w:rPr>
          <w:rFonts w:ascii="Times New Roman" w:hAnsi="Times New Roman"/>
          <w:sz w:val="28"/>
          <w:szCs w:val="28"/>
          <w:lang w:val="es-ES" w:eastAsia="es-ES"/>
        </w:rPr>
        <w:t xml:space="preserve"> de dos mil veinti</w:t>
      </w:r>
      <w:r w:rsidRPr="00491C4A">
        <w:rPr>
          <w:rFonts w:ascii="Times New Roman" w:hAnsi="Times New Roman"/>
          <w:sz w:val="28"/>
          <w:szCs w:val="28"/>
          <w:lang w:val="es-ES" w:eastAsia="es-ES"/>
        </w:rPr>
        <w:t>c</w:t>
      </w:r>
      <w:r w:rsidRPr="00491C4A">
        <w:rPr>
          <w:rFonts w:ascii="Times New Roman" w:hAnsi="Times New Roman"/>
          <w:sz w:val="28"/>
          <w:szCs w:val="28"/>
          <w:lang w:val="es-ES" w:eastAsia="es-ES"/>
        </w:rPr>
        <w:t>inco</w:t>
      </w:r>
      <w:r w:rsidRPr="00491C4A">
        <w:rPr>
          <w:rFonts w:ascii="Times New Roman" w:hAnsi="Times New Roman"/>
          <w:sz w:val="28"/>
          <w:szCs w:val="28"/>
          <w:lang w:val="es-ES" w:eastAsia="es-ES"/>
        </w:rPr>
        <w:t xml:space="preserve"> (202</w:t>
      </w:r>
      <w:r w:rsidRPr="00491C4A">
        <w:rPr>
          <w:rFonts w:ascii="Times New Roman" w:hAnsi="Times New Roman"/>
          <w:sz w:val="28"/>
          <w:szCs w:val="28"/>
          <w:lang w:val="es-ES" w:eastAsia="es-ES"/>
        </w:rPr>
        <w:t>5</w:t>
      </w:r>
      <w:r w:rsidRPr="00491C4A">
        <w:rPr>
          <w:rFonts w:ascii="Times New Roman" w:hAnsi="Times New Roman"/>
          <w:sz w:val="28"/>
          <w:szCs w:val="28"/>
          <w:lang w:val="es-ES" w:eastAsia="es-ES"/>
        </w:rPr>
        <w:t>)</w:t>
      </w:r>
    </w:p>
    <w:p w:rsidR="009A6345" w:rsidRPr="00491C4A" w:rsidRDefault="00491C4A" w:rsidP="00E17260">
      <w:pPr>
        <w:rPr>
          <w:rFonts w:ascii="Times New Roman" w:hAnsi="Times New Roman"/>
          <w:sz w:val="28"/>
          <w:szCs w:val="28"/>
          <w:lang w:val="es-ES"/>
        </w:rPr>
      </w:pPr>
    </w:p>
    <w:p w:rsidR="009A6345" w:rsidRPr="00491C4A" w:rsidRDefault="00491C4A" w:rsidP="00E17260">
      <w:pPr>
        <w:shd w:val="clear" w:color="auto" w:fill="FFFFFF"/>
        <w:jc w:val="both"/>
        <w:rPr>
          <w:rFonts w:ascii="Times New Roman" w:hAnsi="Times New Roman"/>
          <w:sz w:val="28"/>
          <w:szCs w:val="28"/>
        </w:rPr>
      </w:pPr>
      <w:r w:rsidRPr="00491C4A">
        <w:rPr>
          <w:rFonts w:ascii="Times New Roman" w:hAnsi="Times New Roman"/>
          <w:sz w:val="28"/>
          <w:szCs w:val="28"/>
          <w:lang w:val="es-ES_tradnl"/>
        </w:rPr>
        <w:t>La Sala Plena de la Corte Constitucional, en ejercicio de sus competencias constitucionales y legales, en especial las previstas por los artículos 241 y 242 de la Constitución Política y en el Decreto Ley 2067 de 1991, profi</w:t>
      </w:r>
      <w:r w:rsidRPr="00491C4A">
        <w:rPr>
          <w:rFonts w:ascii="Times New Roman" w:hAnsi="Times New Roman"/>
          <w:sz w:val="28"/>
          <w:szCs w:val="28"/>
          <w:lang w:val="es-ES_tradnl"/>
        </w:rPr>
        <w:t>ere la siguiente</w:t>
      </w:r>
    </w:p>
    <w:p w:rsidR="009A6345" w:rsidRPr="00491C4A" w:rsidRDefault="00491C4A" w:rsidP="00E17260">
      <w:pPr>
        <w:shd w:val="clear" w:color="auto" w:fill="FFFFFF"/>
        <w:jc w:val="both"/>
        <w:rPr>
          <w:rFonts w:ascii="Times New Roman" w:hAnsi="Times New Roman"/>
          <w:sz w:val="28"/>
          <w:szCs w:val="28"/>
          <w:lang w:val="es-ES_tradnl"/>
        </w:rPr>
      </w:pPr>
    </w:p>
    <w:p w:rsidR="009A6345" w:rsidRPr="00491C4A" w:rsidRDefault="00491C4A" w:rsidP="00E17260">
      <w:pPr>
        <w:shd w:val="clear" w:color="auto" w:fill="FFFFFF"/>
        <w:jc w:val="center"/>
        <w:rPr>
          <w:rFonts w:ascii="Times New Roman" w:hAnsi="Times New Roman"/>
          <w:b/>
          <w:bCs/>
          <w:sz w:val="28"/>
          <w:szCs w:val="28"/>
          <w:lang w:val="es-ES_tradnl"/>
        </w:rPr>
      </w:pPr>
      <w:r w:rsidRPr="00491C4A">
        <w:rPr>
          <w:rFonts w:ascii="Times New Roman" w:hAnsi="Times New Roman"/>
          <w:b/>
          <w:bCs/>
          <w:sz w:val="28"/>
          <w:szCs w:val="28"/>
          <w:lang w:val="es-ES_tradnl"/>
        </w:rPr>
        <w:t>SENTENCIA</w:t>
      </w:r>
    </w:p>
    <w:p w:rsidR="009A6345" w:rsidRPr="00491C4A" w:rsidRDefault="00491C4A" w:rsidP="00E17260">
      <w:pPr>
        <w:rPr>
          <w:rFonts w:ascii="Times New Roman" w:hAnsi="Times New Roman"/>
          <w:sz w:val="28"/>
          <w:szCs w:val="28"/>
        </w:rPr>
      </w:pPr>
    </w:p>
    <w:p w:rsidR="0010547E" w:rsidRPr="00491C4A" w:rsidRDefault="00491C4A" w:rsidP="00E17260">
      <w:pPr>
        <w:pStyle w:val="Ttulo1"/>
        <w:numPr>
          <w:ilvl w:val="0"/>
          <w:numId w:val="2"/>
        </w:numPr>
        <w:spacing w:before="0" w:after="0"/>
        <w:ind w:left="720"/>
        <w:rPr>
          <w:rFonts w:ascii="Times New Roman" w:hAnsi="Times New Roman"/>
          <w:b/>
          <w:bCs/>
          <w:color w:val="auto"/>
          <w:sz w:val="28"/>
          <w:szCs w:val="28"/>
        </w:rPr>
      </w:pPr>
      <w:bookmarkStart w:id="3" w:name="_Toc200753640"/>
      <w:r w:rsidRPr="00491C4A">
        <w:rPr>
          <w:rFonts w:ascii="Times New Roman" w:hAnsi="Times New Roman"/>
          <w:b/>
          <w:bCs/>
          <w:color w:val="auto"/>
          <w:sz w:val="28"/>
          <w:szCs w:val="28"/>
        </w:rPr>
        <w:t>SÍNTESIS DE LA DECISIÓN</w:t>
      </w:r>
      <w:bookmarkEnd w:id="3"/>
    </w:p>
    <w:p w:rsidR="00007965" w:rsidRPr="00491C4A" w:rsidRDefault="00491C4A" w:rsidP="00007965">
      <w:pPr>
        <w:rPr>
          <w:rFonts w:ascii="Times New Roman" w:hAnsi="Times New Roman"/>
          <w:sz w:val="28"/>
          <w:szCs w:val="28"/>
        </w:rPr>
      </w:pPr>
    </w:p>
    <w:p w:rsidR="002C79CA" w:rsidRPr="00491C4A" w:rsidRDefault="00491C4A" w:rsidP="002C79CA">
      <w:pPr>
        <w:pStyle w:val="Prrafodelista"/>
        <w:ind w:left="0"/>
        <w:jc w:val="both"/>
        <w:rPr>
          <w:rFonts w:ascii="Times New Roman" w:hAnsi="Times New Roman"/>
          <w:sz w:val="28"/>
          <w:szCs w:val="28"/>
        </w:rPr>
      </w:pPr>
      <w:r w:rsidRPr="00491C4A">
        <w:rPr>
          <w:rFonts w:ascii="Times New Roman" w:hAnsi="Times New Roman"/>
          <w:sz w:val="28"/>
          <w:szCs w:val="28"/>
        </w:rPr>
        <w:t xml:space="preserve">La Corte resolvió la acción pública de inconstitucionalidad promovida por los ciudadanos José Fernando Plata Puyana y Felipe Serrano Pinilla contra el artículo 233 de la Ley 2294 de 2023, por la presunta violación de los artículos 79, 80, 150.12, 157, 158 </w:t>
      </w:r>
      <w:r w:rsidRPr="00491C4A">
        <w:rPr>
          <w:rFonts w:ascii="Times New Roman" w:hAnsi="Times New Roman"/>
          <w:sz w:val="28"/>
          <w:szCs w:val="28"/>
        </w:rPr>
        <w:t>y 338 de la Constitución Política. Los accionantes presentaron cuatro cargos de inconstitucionalidad: (i) violación del principio de consecutividad; (ii) violación del principio de unidad de materia; (iii) violación del principio de legalidad y certeza tri</w:t>
      </w:r>
      <w:r w:rsidRPr="00491C4A">
        <w:rPr>
          <w:rFonts w:ascii="Times New Roman" w:hAnsi="Times New Roman"/>
          <w:sz w:val="28"/>
          <w:szCs w:val="28"/>
        </w:rPr>
        <w:t>butaria y (iv) violación del principio de no regresividad en materia ambiental.</w:t>
      </w:r>
    </w:p>
    <w:p w:rsidR="002C79CA" w:rsidRPr="00491C4A" w:rsidRDefault="00491C4A" w:rsidP="006911AD">
      <w:pPr>
        <w:pStyle w:val="Prrafodelista"/>
        <w:ind w:left="0"/>
        <w:jc w:val="both"/>
        <w:rPr>
          <w:rFonts w:ascii="Times New Roman" w:hAnsi="Times New Roman"/>
          <w:sz w:val="28"/>
          <w:szCs w:val="28"/>
        </w:rPr>
      </w:pPr>
    </w:p>
    <w:p w:rsidR="002C79CA" w:rsidRPr="00491C4A" w:rsidRDefault="00491C4A" w:rsidP="002C79CA">
      <w:pPr>
        <w:pStyle w:val="Prrafodelista"/>
        <w:ind w:left="0"/>
        <w:jc w:val="both"/>
        <w:rPr>
          <w:rFonts w:ascii="Times New Roman" w:hAnsi="Times New Roman"/>
          <w:i/>
          <w:iCs/>
          <w:sz w:val="28"/>
          <w:szCs w:val="28"/>
        </w:rPr>
      </w:pPr>
      <w:r w:rsidRPr="00491C4A">
        <w:rPr>
          <w:rFonts w:ascii="Times New Roman" w:hAnsi="Times New Roman"/>
          <w:sz w:val="28"/>
          <w:szCs w:val="28"/>
        </w:rPr>
        <w:t>A modo de cuestión previa, la Corte constató que en la Sentencia C-143 de 2025 se concluyó que el</w:t>
      </w:r>
      <w:r w:rsidRPr="00491C4A">
        <w:rPr>
          <w:rFonts w:ascii="Times New Roman" w:hAnsi="Times New Roman"/>
          <w:i/>
          <w:iCs/>
          <w:sz w:val="28"/>
          <w:szCs w:val="28"/>
          <w:shd w:val="clear" w:color="auto" w:fill="FFFFFF"/>
        </w:rPr>
        <w:t xml:space="preserve"> </w:t>
      </w:r>
      <w:r w:rsidRPr="00491C4A">
        <w:rPr>
          <w:rFonts w:ascii="Times New Roman" w:hAnsi="Times New Roman"/>
          <w:sz w:val="28"/>
          <w:szCs w:val="28"/>
          <w:shd w:val="clear" w:color="auto" w:fill="FFFFFF"/>
        </w:rPr>
        <w:t xml:space="preserve">artículo 233 de la Ley 2294 de 2023 </w:t>
      </w:r>
      <w:r w:rsidRPr="00491C4A">
        <w:rPr>
          <w:rFonts w:ascii="Times New Roman" w:hAnsi="Times New Roman"/>
          <w:sz w:val="28"/>
          <w:szCs w:val="28"/>
        </w:rPr>
        <w:t>no vulneró el principio de unidad de mate</w:t>
      </w:r>
      <w:r w:rsidRPr="00491C4A">
        <w:rPr>
          <w:rFonts w:ascii="Times New Roman" w:hAnsi="Times New Roman"/>
          <w:sz w:val="28"/>
          <w:szCs w:val="28"/>
        </w:rPr>
        <w:t xml:space="preserve">ria, y se declaró su exequibilidad por ese cargo. Dado que el segundo cargo formulado en la demanda decidida en esta oportunidad se dirige contra el mismo artículo 233 de la Ley 2294 de 2023 y reprocha el presunto incumplimiento del principio de unidad de </w:t>
      </w:r>
      <w:r w:rsidRPr="00491C4A">
        <w:rPr>
          <w:rFonts w:ascii="Times New Roman" w:hAnsi="Times New Roman"/>
          <w:sz w:val="28"/>
          <w:szCs w:val="28"/>
        </w:rPr>
        <w:t xml:space="preserve">materia, la Corte concluyó que en este caso se configuró el fenómeno de la cosa juzgada constitucional formal relativa.  En consecuencia, decidió estarse a resuelto en la referida sentencia C-143 de 2025 respecto del cargo formulado por la vulneración del </w:t>
      </w:r>
      <w:r w:rsidRPr="00491C4A">
        <w:rPr>
          <w:rFonts w:ascii="Times New Roman" w:hAnsi="Times New Roman"/>
          <w:sz w:val="28"/>
          <w:szCs w:val="28"/>
        </w:rPr>
        <w:t>principio de unidad de materia.</w:t>
      </w:r>
    </w:p>
    <w:p w:rsidR="002C79CA" w:rsidRPr="00491C4A" w:rsidRDefault="00491C4A" w:rsidP="006911AD">
      <w:pPr>
        <w:pStyle w:val="Prrafodelista"/>
        <w:ind w:left="0"/>
        <w:jc w:val="both"/>
        <w:rPr>
          <w:rFonts w:ascii="Times New Roman" w:hAnsi="Times New Roman"/>
          <w:sz w:val="28"/>
          <w:szCs w:val="28"/>
        </w:rPr>
      </w:pPr>
    </w:p>
    <w:p w:rsidR="002C79CA" w:rsidRPr="00491C4A" w:rsidRDefault="00491C4A" w:rsidP="002C79CA">
      <w:pPr>
        <w:pStyle w:val="Prrafodelista"/>
        <w:ind w:left="0"/>
        <w:jc w:val="both"/>
        <w:rPr>
          <w:rFonts w:ascii="Times New Roman" w:hAnsi="Times New Roman"/>
          <w:sz w:val="28"/>
          <w:szCs w:val="28"/>
        </w:rPr>
      </w:pPr>
      <w:r w:rsidRPr="00491C4A">
        <w:rPr>
          <w:rFonts w:ascii="Times New Roman" w:hAnsi="Times New Roman"/>
          <w:sz w:val="28"/>
          <w:szCs w:val="28"/>
        </w:rPr>
        <w:t xml:space="preserve">Hecho esto, la Corte se dispuso a resolver los siguientes tres problemas jurídicos: </w:t>
      </w:r>
      <w:r w:rsidRPr="00491C4A">
        <w:rPr>
          <w:rFonts w:ascii="Times New Roman" w:hAnsi="Times New Roman"/>
          <w:i/>
          <w:iCs/>
          <w:sz w:val="28"/>
          <w:szCs w:val="28"/>
        </w:rPr>
        <w:t xml:space="preserve">Primero, </w:t>
      </w:r>
      <w:r w:rsidRPr="00491C4A">
        <w:rPr>
          <w:rFonts w:ascii="Times New Roman" w:hAnsi="Times New Roman"/>
          <w:sz w:val="28"/>
          <w:szCs w:val="28"/>
        </w:rPr>
        <w:t>¿el Congreso de la República vulneró el principio de consecutividad previsto en el artículo 157 de la Constitución Política, al ap</w:t>
      </w:r>
      <w:r w:rsidRPr="00491C4A">
        <w:rPr>
          <w:rFonts w:ascii="Times New Roman" w:hAnsi="Times New Roman"/>
          <w:sz w:val="28"/>
          <w:szCs w:val="28"/>
        </w:rPr>
        <w:t xml:space="preserve">robar el artículo 233 de la Ley 2294 de 2023, por la negativa de la mesa directiva de la plenaria de la Cámara de Representantes a reabrir la discusión sobre esa disposición que había sido solicitada en una proposición? </w:t>
      </w:r>
      <w:r w:rsidRPr="00491C4A">
        <w:rPr>
          <w:rFonts w:ascii="Times New Roman" w:hAnsi="Times New Roman"/>
          <w:i/>
          <w:iCs/>
          <w:sz w:val="28"/>
          <w:szCs w:val="28"/>
        </w:rPr>
        <w:t xml:space="preserve">Segundo, </w:t>
      </w:r>
      <w:r w:rsidRPr="00491C4A">
        <w:rPr>
          <w:rFonts w:ascii="Times New Roman" w:hAnsi="Times New Roman"/>
          <w:sz w:val="28"/>
          <w:szCs w:val="28"/>
        </w:rPr>
        <w:t xml:space="preserve">¿el artículo 233 de la Ley </w:t>
      </w:r>
      <w:r w:rsidRPr="00491C4A">
        <w:rPr>
          <w:rFonts w:ascii="Times New Roman" w:hAnsi="Times New Roman"/>
          <w:sz w:val="28"/>
          <w:szCs w:val="28"/>
        </w:rPr>
        <w:t xml:space="preserve">2294 de 2023 vulnera los principios de legalidad y certeza tributaria previstos en los artículos 150.12 y 338 de la Constitución Política por: </w:t>
      </w:r>
      <w:r w:rsidRPr="00491C4A">
        <w:rPr>
          <w:rFonts w:ascii="Times New Roman" w:hAnsi="Times New Roman"/>
          <w:i/>
          <w:iCs/>
          <w:sz w:val="28"/>
          <w:szCs w:val="28"/>
        </w:rPr>
        <w:t>a)</w:t>
      </w:r>
      <w:r w:rsidRPr="00491C4A">
        <w:rPr>
          <w:rFonts w:ascii="Times New Roman" w:hAnsi="Times New Roman"/>
          <w:sz w:val="28"/>
          <w:szCs w:val="28"/>
        </w:rPr>
        <w:t xml:space="preserve"> no determinar de forma precisa uno de los sujetos pasivos de la contribución al definirlo como </w:t>
      </w:r>
      <w:r w:rsidRPr="00491C4A">
        <w:rPr>
          <w:rFonts w:ascii="Times New Roman" w:hAnsi="Times New Roman"/>
          <w:i/>
          <w:iCs/>
          <w:sz w:val="28"/>
          <w:szCs w:val="28"/>
        </w:rPr>
        <w:t>“las plantas co</w:t>
      </w:r>
      <w:r w:rsidRPr="00491C4A">
        <w:rPr>
          <w:rFonts w:ascii="Times New Roman" w:hAnsi="Times New Roman"/>
          <w:i/>
          <w:iCs/>
          <w:sz w:val="28"/>
          <w:szCs w:val="28"/>
        </w:rPr>
        <w:t xml:space="preserve">n asignación de obligaciones” </w:t>
      </w:r>
      <w:r w:rsidRPr="00491C4A">
        <w:rPr>
          <w:rFonts w:ascii="Times New Roman" w:hAnsi="Times New Roman"/>
          <w:sz w:val="28"/>
          <w:szCs w:val="28"/>
        </w:rPr>
        <w:t>en el parágrafo sexto adicionado al artículo 54 de la ley 143 de 1994; o</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 xml:space="preserve">b) </w:t>
      </w:r>
      <w:r w:rsidRPr="00491C4A">
        <w:rPr>
          <w:rFonts w:ascii="Times New Roman" w:hAnsi="Times New Roman"/>
          <w:sz w:val="28"/>
          <w:szCs w:val="28"/>
        </w:rPr>
        <w:t xml:space="preserve">no determinar de forma precisa los beneficiarios de los recursos provenientes de las transferencias eléctricas en el parágrafo </w:t>
      </w:r>
      <w:r w:rsidRPr="00491C4A">
        <w:rPr>
          <w:rFonts w:ascii="Times New Roman" w:hAnsi="Times New Roman"/>
          <w:sz w:val="28"/>
          <w:szCs w:val="28"/>
        </w:rPr>
        <w:t>7°</w:t>
      </w:r>
      <w:r w:rsidRPr="00491C4A">
        <w:rPr>
          <w:rFonts w:ascii="Times New Roman" w:hAnsi="Times New Roman"/>
          <w:sz w:val="28"/>
          <w:szCs w:val="28"/>
        </w:rPr>
        <w:t xml:space="preserve"> adicionado al artículo 54 de la </w:t>
      </w:r>
      <w:r w:rsidRPr="00491C4A">
        <w:rPr>
          <w:rFonts w:ascii="Times New Roman" w:hAnsi="Times New Roman"/>
          <w:sz w:val="28"/>
          <w:szCs w:val="28"/>
        </w:rPr>
        <w:t>L</w:t>
      </w:r>
      <w:r w:rsidRPr="00491C4A">
        <w:rPr>
          <w:rFonts w:ascii="Times New Roman" w:hAnsi="Times New Roman"/>
          <w:sz w:val="28"/>
          <w:szCs w:val="28"/>
        </w:rPr>
        <w:t>ey 143 de 1994? Y</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 xml:space="preserve">tercero </w:t>
      </w:r>
      <w:r w:rsidRPr="00491C4A">
        <w:rPr>
          <w:rFonts w:ascii="Times New Roman" w:hAnsi="Times New Roman"/>
          <w:sz w:val="28"/>
          <w:szCs w:val="28"/>
        </w:rPr>
        <w:t xml:space="preserve">¿el artículo 233 de la Ley 2294 de 2023 desconoce los artículos 79 y 80 de la Constitución Política y el artículo 2.1. del PIDESC, en particular los principios de progresividad y no regresividad </w:t>
      </w:r>
      <w:r w:rsidRPr="00491C4A">
        <w:rPr>
          <w:rFonts w:ascii="Times New Roman" w:hAnsi="Times New Roman"/>
          <w:sz w:val="28"/>
          <w:szCs w:val="28"/>
        </w:rPr>
        <w:t>en materia ambiental</w:t>
      </w:r>
      <w:r w:rsidRPr="00491C4A">
        <w:rPr>
          <w:rFonts w:ascii="Times New Roman" w:hAnsi="Times New Roman"/>
          <w:sz w:val="28"/>
          <w:szCs w:val="28"/>
        </w:rPr>
        <w:t>,</w:t>
      </w:r>
      <w:r w:rsidRPr="00491C4A">
        <w:rPr>
          <w:rFonts w:ascii="Times New Roman" w:hAnsi="Times New Roman"/>
          <w:sz w:val="28"/>
          <w:szCs w:val="28"/>
        </w:rPr>
        <w:t xml:space="preserve"> al aumentar la tarifa de las transferencias eléctricas que deben pagar las plantas de generación de energía eléctrica con FNCER?   </w:t>
      </w:r>
    </w:p>
    <w:p w:rsidR="002C79CA" w:rsidRPr="00491C4A" w:rsidRDefault="00491C4A" w:rsidP="006911AD">
      <w:pPr>
        <w:pStyle w:val="Prrafodelista"/>
        <w:ind w:left="0"/>
        <w:jc w:val="both"/>
        <w:rPr>
          <w:rFonts w:ascii="Times New Roman" w:hAnsi="Times New Roman"/>
          <w:sz w:val="28"/>
          <w:szCs w:val="28"/>
        </w:rPr>
      </w:pPr>
    </w:p>
    <w:p w:rsidR="006911AD" w:rsidRPr="00491C4A" w:rsidRDefault="00491C4A" w:rsidP="006911AD">
      <w:pPr>
        <w:pStyle w:val="Prrafodelista"/>
        <w:ind w:left="0"/>
        <w:jc w:val="both"/>
        <w:rPr>
          <w:rFonts w:ascii="Times New Roman" w:hAnsi="Times New Roman"/>
          <w:sz w:val="28"/>
          <w:szCs w:val="28"/>
        </w:rPr>
      </w:pPr>
      <w:r w:rsidRPr="00491C4A">
        <w:rPr>
          <w:rFonts w:ascii="Times New Roman" w:hAnsi="Times New Roman"/>
          <w:sz w:val="28"/>
          <w:szCs w:val="28"/>
        </w:rPr>
        <w:t>Analizado el asunto, l</w:t>
      </w:r>
      <w:r w:rsidRPr="00491C4A">
        <w:rPr>
          <w:rFonts w:ascii="Times New Roman" w:hAnsi="Times New Roman"/>
          <w:sz w:val="28"/>
          <w:szCs w:val="28"/>
        </w:rPr>
        <w:t xml:space="preserve">a </w:t>
      </w:r>
      <w:r w:rsidRPr="00491C4A">
        <w:rPr>
          <w:rFonts w:ascii="Times New Roman" w:hAnsi="Times New Roman"/>
          <w:sz w:val="28"/>
          <w:szCs w:val="28"/>
        </w:rPr>
        <w:t>Corte</w:t>
      </w:r>
      <w:r w:rsidRPr="00491C4A">
        <w:rPr>
          <w:rFonts w:ascii="Times New Roman" w:hAnsi="Times New Roman"/>
          <w:sz w:val="28"/>
          <w:szCs w:val="28"/>
        </w:rPr>
        <w:t xml:space="preserve"> </w:t>
      </w:r>
      <w:r w:rsidRPr="00491C4A">
        <w:rPr>
          <w:rFonts w:ascii="Times New Roman" w:hAnsi="Times New Roman"/>
          <w:sz w:val="28"/>
          <w:szCs w:val="28"/>
        </w:rPr>
        <w:t>concluy</w:t>
      </w:r>
      <w:r w:rsidRPr="00491C4A">
        <w:rPr>
          <w:rFonts w:ascii="Times New Roman" w:hAnsi="Times New Roman"/>
          <w:sz w:val="28"/>
          <w:szCs w:val="28"/>
        </w:rPr>
        <w:t>ó</w:t>
      </w:r>
      <w:r w:rsidRPr="00491C4A">
        <w:rPr>
          <w:rFonts w:ascii="Times New Roman" w:hAnsi="Times New Roman"/>
          <w:sz w:val="28"/>
          <w:szCs w:val="28"/>
        </w:rPr>
        <w:t xml:space="preserve"> que </w:t>
      </w:r>
      <w:r w:rsidRPr="00491C4A">
        <w:rPr>
          <w:rFonts w:ascii="Times New Roman" w:hAnsi="Times New Roman"/>
          <w:sz w:val="28"/>
          <w:szCs w:val="28"/>
        </w:rPr>
        <w:t>en el trámite de aprobación del artículo 233 de la Ley 229</w:t>
      </w:r>
      <w:r w:rsidRPr="00491C4A">
        <w:rPr>
          <w:rFonts w:ascii="Times New Roman" w:hAnsi="Times New Roman"/>
          <w:sz w:val="28"/>
          <w:szCs w:val="28"/>
        </w:rPr>
        <w:t xml:space="preserve">4 de 2023 no se vulneró </w:t>
      </w:r>
      <w:r w:rsidRPr="00491C4A">
        <w:rPr>
          <w:rFonts w:ascii="Times New Roman" w:hAnsi="Times New Roman"/>
          <w:sz w:val="28"/>
          <w:szCs w:val="28"/>
        </w:rPr>
        <w:t>el principio de consecutividad</w:t>
      </w:r>
      <w:r w:rsidRPr="00491C4A">
        <w:rPr>
          <w:rFonts w:ascii="Times New Roman" w:hAnsi="Times New Roman"/>
          <w:sz w:val="28"/>
          <w:szCs w:val="28"/>
        </w:rPr>
        <w:t xml:space="preserve"> </w:t>
      </w:r>
      <w:r w:rsidRPr="00491C4A">
        <w:rPr>
          <w:rFonts w:ascii="Times New Roman" w:hAnsi="Times New Roman"/>
          <w:sz w:val="28"/>
          <w:szCs w:val="28"/>
        </w:rPr>
        <w:t xml:space="preserve">previsto en el </w:t>
      </w:r>
      <w:r w:rsidRPr="00491C4A">
        <w:rPr>
          <w:rFonts w:ascii="Times New Roman" w:hAnsi="Times New Roman"/>
          <w:sz w:val="28"/>
          <w:szCs w:val="28"/>
        </w:rPr>
        <w:t>art</w:t>
      </w:r>
      <w:r w:rsidRPr="00491C4A">
        <w:rPr>
          <w:rFonts w:ascii="Times New Roman" w:hAnsi="Times New Roman"/>
          <w:sz w:val="28"/>
          <w:szCs w:val="28"/>
        </w:rPr>
        <w:t>ículo</w:t>
      </w:r>
      <w:r w:rsidRPr="00491C4A">
        <w:rPr>
          <w:rFonts w:ascii="Times New Roman" w:hAnsi="Times New Roman"/>
          <w:sz w:val="28"/>
          <w:szCs w:val="28"/>
        </w:rPr>
        <w:t xml:space="preserve"> 157 </w:t>
      </w:r>
      <w:r w:rsidRPr="00491C4A">
        <w:rPr>
          <w:rFonts w:ascii="Times New Roman" w:hAnsi="Times New Roman"/>
          <w:sz w:val="28"/>
          <w:szCs w:val="28"/>
        </w:rPr>
        <w:t>de la Constitución Política</w:t>
      </w:r>
      <w:r w:rsidRPr="00491C4A">
        <w:rPr>
          <w:rFonts w:ascii="Times New Roman" w:hAnsi="Times New Roman"/>
          <w:sz w:val="28"/>
          <w:szCs w:val="28"/>
        </w:rPr>
        <w:t xml:space="preserve">, dado que </w:t>
      </w:r>
      <w:r w:rsidRPr="00491C4A">
        <w:rPr>
          <w:rFonts w:ascii="Times New Roman" w:hAnsi="Times New Roman"/>
          <w:sz w:val="28"/>
          <w:szCs w:val="28"/>
        </w:rPr>
        <w:t xml:space="preserve">el artículo fue sometido a consideración y </w:t>
      </w:r>
      <w:r w:rsidRPr="00491C4A">
        <w:rPr>
          <w:rFonts w:ascii="Times New Roman" w:hAnsi="Times New Roman"/>
          <w:sz w:val="28"/>
          <w:szCs w:val="28"/>
        </w:rPr>
        <w:t xml:space="preserve">fue </w:t>
      </w:r>
      <w:r w:rsidRPr="00491C4A">
        <w:rPr>
          <w:rFonts w:ascii="Times New Roman" w:hAnsi="Times New Roman"/>
          <w:sz w:val="28"/>
          <w:szCs w:val="28"/>
        </w:rPr>
        <w:t xml:space="preserve">aprobado mediante votación en bloque sin que se manifestara reparo alguno en la </w:t>
      </w:r>
      <w:r w:rsidRPr="00491C4A">
        <w:rPr>
          <w:rFonts w:ascii="Times New Roman" w:hAnsi="Times New Roman"/>
          <w:sz w:val="28"/>
          <w:szCs w:val="28"/>
        </w:rPr>
        <w:t>Pl</w:t>
      </w:r>
      <w:r w:rsidRPr="00491C4A">
        <w:rPr>
          <w:rFonts w:ascii="Times New Roman" w:hAnsi="Times New Roman"/>
          <w:sz w:val="28"/>
          <w:szCs w:val="28"/>
        </w:rPr>
        <w:t>e</w:t>
      </w:r>
      <w:r w:rsidRPr="00491C4A">
        <w:rPr>
          <w:rFonts w:ascii="Times New Roman" w:hAnsi="Times New Roman"/>
          <w:sz w:val="28"/>
          <w:szCs w:val="28"/>
        </w:rPr>
        <w:t>naria</w:t>
      </w:r>
      <w:r w:rsidRPr="00491C4A">
        <w:rPr>
          <w:rFonts w:ascii="Times New Roman" w:hAnsi="Times New Roman"/>
          <w:sz w:val="28"/>
          <w:szCs w:val="28"/>
        </w:rPr>
        <w:t xml:space="preserve"> de la Cámara de Representantes</w:t>
      </w:r>
      <w:r w:rsidRPr="00491C4A">
        <w:rPr>
          <w:rFonts w:ascii="Times New Roman" w:hAnsi="Times New Roman"/>
          <w:sz w:val="28"/>
          <w:szCs w:val="28"/>
        </w:rPr>
        <w:t xml:space="preserve"> al respecto. La Corte</w:t>
      </w:r>
      <w:r w:rsidRPr="00491C4A">
        <w:rPr>
          <w:rFonts w:ascii="Times New Roman" w:hAnsi="Times New Roman"/>
          <w:sz w:val="28"/>
          <w:szCs w:val="28"/>
        </w:rPr>
        <w:t xml:space="preserve"> </w:t>
      </w:r>
      <w:r w:rsidRPr="00491C4A">
        <w:rPr>
          <w:rFonts w:ascii="Times New Roman" w:hAnsi="Times New Roman"/>
          <w:sz w:val="28"/>
          <w:szCs w:val="28"/>
        </w:rPr>
        <w:t>indicó que la negativa a reabrir el debate sobre este artículo no implica violación del principio de consecutividad</w:t>
      </w:r>
      <w:r w:rsidRPr="00491C4A">
        <w:rPr>
          <w:rFonts w:ascii="Times New Roman" w:hAnsi="Times New Roman"/>
          <w:sz w:val="28"/>
          <w:szCs w:val="28"/>
        </w:rPr>
        <w:t xml:space="preserve">. </w:t>
      </w:r>
    </w:p>
    <w:p w:rsidR="006911AD" w:rsidRPr="00491C4A" w:rsidRDefault="00491C4A" w:rsidP="006911AD">
      <w:pPr>
        <w:pStyle w:val="Prrafodelista"/>
        <w:ind w:left="0"/>
        <w:jc w:val="both"/>
        <w:rPr>
          <w:rFonts w:ascii="Times New Roman" w:hAnsi="Times New Roman"/>
          <w:sz w:val="28"/>
          <w:szCs w:val="28"/>
        </w:rPr>
      </w:pPr>
    </w:p>
    <w:p w:rsidR="006911AD" w:rsidRPr="00491C4A" w:rsidRDefault="00491C4A" w:rsidP="006911AD">
      <w:pPr>
        <w:pStyle w:val="Prrafodelista"/>
        <w:ind w:left="0"/>
        <w:jc w:val="both"/>
        <w:rPr>
          <w:rFonts w:ascii="Times New Roman" w:hAnsi="Times New Roman"/>
          <w:sz w:val="28"/>
          <w:szCs w:val="28"/>
        </w:rPr>
      </w:pPr>
      <w:r w:rsidRPr="00491C4A">
        <w:rPr>
          <w:rFonts w:ascii="Times New Roman" w:hAnsi="Times New Roman"/>
          <w:sz w:val="28"/>
          <w:szCs w:val="28"/>
        </w:rPr>
        <w:t>Adicionalmente</w:t>
      </w:r>
      <w:r w:rsidRPr="00491C4A">
        <w:rPr>
          <w:rFonts w:ascii="Times New Roman" w:hAnsi="Times New Roman"/>
          <w:sz w:val="28"/>
          <w:szCs w:val="28"/>
        </w:rPr>
        <w:t xml:space="preserve">, </w:t>
      </w:r>
      <w:r w:rsidRPr="00491C4A">
        <w:rPr>
          <w:rFonts w:ascii="Times New Roman" w:hAnsi="Times New Roman"/>
          <w:sz w:val="28"/>
          <w:szCs w:val="28"/>
        </w:rPr>
        <w:t xml:space="preserve">la Corte concluyó que la expresión </w:t>
      </w:r>
      <w:r w:rsidRPr="00491C4A">
        <w:rPr>
          <w:rFonts w:ascii="Times New Roman" w:hAnsi="Times New Roman"/>
          <w:i/>
          <w:iCs/>
          <w:sz w:val="28"/>
          <w:szCs w:val="28"/>
        </w:rPr>
        <w:t xml:space="preserve">“plantas con asignación de </w:t>
      </w:r>
      <w:r w:rsidRPr="00491C4A">
        <w:rPr>
          <w:rFonts w:ascii="Times New Roman" w:hAnsi="Times New Roman"/>
          <w:i/>
          <w:iCs/>
          <w:sz w:val="28"/>
          <w:szCs w:val="28"/>
        </w:rPr>
        <w:t>obligaciones”</w:t>
      </w:r>
      <w:r w:rsidRPr="00491C4A">
        <w:rPr>
          <w:rFonts w:ascii="Times New Roman" w:hAnsi="Times New Roman"/>
          <w:sz w:val="28"/>
          <w:szCs w:val="28"/>
        </w:rPr>
        <w:t xml:space="preserve"> contenida en</w:t>
      </w:r>
      <w:r w:rsidRPr="00491C4A">
        <w:rPr>
          <w:rFonts w:ascii="Times New Roman" w:hAnsi="Times New Roman"/>
          <w:sz w:val="28"/>
          <w:szCs w:val="28"/>
        </w:rPr>
        <w:t xml:space="preserve"> </w:t>
      </w:r>
      <w:r w:rsidRPr="00491C4A">
        <w:rPr>
          <w:rFonts w:ascii="Times New Roman" w:hAnsi="Times New Roman"/>
          <w:sz w:val="28"/>
          <w:szCs w:val="28"/>
        </w:rPr>
        <w:t xml:space="preserve">el parágrafo 6° adicionado al artículo 54 de la Ley 143 de 1994 por efecto de la disposición acusada </w:t>
      </w:r>
      <w:r w:rsidRPr="00491C4A">
        <w:rPr>
          <w:rFonts w:ascii="Times New Roman" w:hAnsi="Times New Roman"/>
          <w:sz w:val="28"/>
          <w:szCs w:val="28"/>
        </w:rPr>
        <w:t xml:space="preserve">no contraría </w:t>
      </w:r>
      <w:r w:rsidRPr="00491C4A">
        <w:rPr>
          <w:rFonts w:ascii="Times New Roman" w:hAnsi="Times New Roman"/>
          <w:sz w:val="28"/>
          <w:szCs w:val="28"/>
        </w:rPr>
        <w:t>los principios de legalidad y certeza tributaria</w:t>
      </w:r>
      <w:r w:rsidRPr="00491C4A">
        <w:rPr>
          <w:rFonts w:ascii="Times New Roman" w:hAnsi="Times New Roman"/>
          <w:sz w:val="28"/>
          <w:szCs w:val="28"/>
        </w:rPr>
        <w:t xml:space="preserve"> previstos en los </w:t>
      </w:r>
      <w:r w:rsidRPr="00491C4A">
        <w:rPr>
          <w:rFonts w:ascii="Times New Roman" w:hAnsi="Times New Roman"/>
          <w:sz w:val="28"/>
          <w:szCs w:val="28"/>
        </w:rPr>
        <w:t>art</w:t>
      </w:r>
      <w:r w:rsidRPr="00491C4A">
        <w:rPr>
          <w:rFonts w:ascii="Times New Roman" w:hAnsi="Times New Roman"/>
          <w:sz w:val="28"/>
          <w:szCs w:val="28"/>
        </w:rPr>
        <w:t>ículos</w:t>
      </w:r>
      <w:r w:rsidRPr="00491C4A">
        <w:rPr>
          <w:rFonts w:ascii="Times New Roman" w:hAnsi="Times New Roman"/>
          <w:sz w:val="28"/>
          <w:szCs w:val="28"/>
        </w:rPr>
        <w:t xml:space="preserve"> 150.12 y 338 </w:t>
      </w:r>
      <w:r w:rsidRPr="00491C4A">
        <w:rPr>
          <w:rFonts w:ascii="Times New Roman" w:hAnsi="Times New Roman"/>
          <w:sz w:val="28"/>
          <w:szCs w:val="28"/>
        </w:rPr>
        <w:t>de la Constitución Polític</w:t>
      </w:r>
      <w:r w:rsidRPr="00491C4A">
        <w:rPr>
          <w:rFonts w:ascii="Times New Roman" w:hAnsi="Times New Roman"/>
          <w:sz w:val="28"/>
          <w:szCs w:val="28"/>
        </w:rPr>
        <w:t>a</w:t>
      </w:r>
      <w:r w:rsidRPr="00491C4A">
        <w:rPr>
          <w:rFonts w:ascii="Times New Roman" w:hAnsi="Times New Roman"/>
          <w:sz w:val="28"/>
          <w:szCs w:val="28"/>
        </w:rPr>
        <w:t>. S</w:t>
      </w:r>
      <w:r w:rsidRPr="00491C4A">
        <w:rPr>
          <w:rFonts w:ascii="Times New Roman" w:hAnsi="Times New Roman"/>
          <w:sz w:val="28"/>
          <w:szCs w:val="28"/>
        </w:rPr>
        <w:t xml:space="preserve">iguiendo los estándares jurisprudenciales </w:t>
      </w:r>
      <w:r w:rsidRPr="00491C4A">
        <w:rPr>
          <w:rFonts w:ascii="Times New Roman" w:hAnsi="Times New Roman"/>
          <w:sz w:val="28"/>
          <w:szCs w:val="28"/>
        </w:rPr>
        <w:t>sobre la materia</w:t>
      </w:r>
      <w:r w:rsidRPr="00491C4A">
        <w:rPr>
          <w:rFonts w:ascii="Times New Roman" w:hAnsi="Times New Roman"/>
          <w:sz w:val="28"/>
          <w:szCs w:val="28"/>
        </w:rPr>
        <w:t xml:space="preserve">, </w:t>
      </w:r>
      <w:r w:rsidRPr="00491C4A">
        <w:rPr>
          <w:rFonts w:ascii="Times New Roman" w:hAnsi="Times New Roman"/>
          <w:sz w:val="28"/>
          <w:szCs w:val="28"/>
        </w:rPr>
        <w:t xml:space="preserve">la posible indeterminación presente en el lenguaje empleado </w:t>
      </w:r>
      <w:r w:rsidRPr="00491C4A">
        <w:rPr>
          <w:rFonts w:ascii="Times New Roman" w:hAnsi="Times New Roman"/>
          <w:sz w:val="28"/>
          <w:szCs w:val="28"/>
        </w:rPr>
        <w:t>en</w:t>
      </w:r>
      <w:r w:rsidRPr="00491C4A">
        <w:rPr>
          <w:rFonts w:ascii="Times New Roman" w:hAnsi="Times New Roman"/>
          <w:sz w:val="28"/>
          <w:szCs w:val="28"/>
        </w:rPr>
        <w:t xml:space="preserve"> la norma es superable a partir de</w:t>
      </w:r>
      <w:r w:rsidRPr="00491C4A">
        <w:rPr>
          <w:rFonts w:ascii="Times New Roman" w:hAnsi="Times New Roman"/>
          <w:sz w:val="28"/>
          <w:szCs w:val="28"/>
        </w:rPr>
        <w:t>l uso</w:t>
      </w:r>
      <w:r w:rsidRPr="00491C4A">
        <w:rPr>
          <w:rFonts w:ascii="Times New Roman" w:hAnsi="Times New Roman"/>
          <w:sz w:val="28"/>
          <w:szCs w:val="28"/>
        </w:rPr>
        <w:t xml:space="preserve"> </w:t>
      </w:r>
      <w:r w:rsidRPr="00491C4A">
        <w:rPr>
          <w:rFonts w:ascii="Times New Roman" w:hAnsi="Times New Roman"/>
          <w:sz w:val="28"/>
          <w:szCs w:val="28"/>
        </w:rPr>
        <w:t xml:space="preserve">de </w:t>
      </w:r>
      <w:r w:rsidRPr="00491C4A">
        <w:rPr>
          <w:rFonts w:ascii="Times New Roman" w:hAnsi="Times New Roman"/>
          <w:sz w:val="28"/>
          <w:szCs w:val="28"/>
        </w:rPr>
        <w:t>técnicas hermenéuticas y</w:t>
      </w:r>
      <w:r w:rsidRPr="00491C4A">
        <w:rPr>
          <w:rFonts w:ascii="Times New Roman" w:hAnsi="Times New Roman"/>
          <w:sz w:val="28"/>
          <w:szCs w:val="28"/>
        </w:rPr>
        <w:t xml:space="preserve"> </w:t>
      </w:r>
      <w:r w:rsidRPr="00491C4A">
        <w:rPr>
          <w:rFonts w:ascii="Times New Roman" w:hAnsi="Times New Roman"/>
          <w:sz w:val="28"/>
          <w:szCs w:val="28"/>
        </w:rPr>
        <w:t xml:space="preserve">de </w:t>
      </w:r>
      <w:r w:rsidRPr="00491C4A">
        <w:rPr>
          <w:rFonts w:ascii="Times New Roman" w:hAnsi="Times New Roman"/>
          <w:sz w:val="28"/>
          <w:szCs w:val="28"/>
        </w:rPr>
        <w:t xml:space="preserve">la consulta del marco regulatorio especializado. </w:t>
      </w:r>
      <w:r w:rsidRPr="00491C4A">
        <w:rPr>
          <w:rFonts w:ascii="Times New Roman" w:hAnsi="Times New Roman"/>
          <w:sz w:val="28"/>
          <w:szCs w:val="28"/>
        </w:rPr>
        <w:t>Igualmente</w:t>
      </w:r>
      <w:r w:rsidRPr="00491C4A">
        <w:rPr>
          <w:rFonts w:ascii="Times New Roman" w:hAnsi="Times New Roman"/>
          <w:sz w:val="28"/>
          <w:szCs w:val="28"/>
        </w:rPr>
        <w:t xml:space="preserve">, la Sala </w:t>
      </w:r>
      <w:r w:rsidRPr="00491C4A">
        <w:rPr>
          <w:rFonts w:ascii="Times New Roman" w:hAnsi="Times New Roman"/>
          <w:sz w:val="28"/>
          <w:szCs w:val="28"/>
        </w:rPr>
        <w:t xml:space="preserve">concluyó que </w:t>
      </w:r>
      <w:r w:rsidRPr="00491C4A">
        <w:rPr>
          <w:rFonts w:ascii="Times New Roman" w:hAnsi="Times New Roman"/>
          <w:sz w:val="28"/>
          <w:szCs w:val="28"/>
        </w:rPr>
        <w:t xml:space="preserve">el parágrafo </w:t>
      </w:r>
      <w:r w:rsidRPr="00491C4A">
        <w:rPr>
          <w:rFonts w:ascii="Times New Roman" w:hAnsi="Times New Roman"/>
          <w:sz w:val="28"/>
          <w:szCs w:val="28"/>
        </w:rPr>
        <w:t xml:space="preserve">7° </w:t>
      </w:r>
      <w:r w:rsidRPr="00491C4A">
        <w:rPr>
          <w:rFonts w:ascii="Times New Roman" w:hAnsi="Times New Roman"/>
          <w:sz w:val="28"/>
          <w:szCs w:val="28"/>
        </w:rPr>
        <w:t>del artículo 233 de la Ley 2294 no contradice los principios de legalidad y certeza tributaria respecto a la determinación de los beneficiarios de la contribución establecida en dicha norma. Una interpretación sistemática del artículo 54 de la Ley 143 de 1</w:t>
      </w:r>
      <w:r w:rsidRPr="00491C4A">
        <w:rPr>
          <w:rFonts w:ascii="Times New Roman" w:hAnsi="Times New Roman"/>
          <w:sz w:val="28"/>
          <w:szCs w:val="28"/>
        </w:rPr>
        <w:t>994 conduce sin hesitación a la conclusión de que el parágrafo 7 determina la destinación de las transferencias eléctricas que pagan las plantas nuevas y las plantas en operación o con asignación de obligaciones a la entrada en vigencia de la ley en tarifa</w:t>
      </w:r>
      <w:r w:rsidRPr="00491C4A">
        <w:rPr>
          <w:rFonts w:ascii="Times New Roman" w:hAnsi="Times New Roman"/>
          <w:sz w:val="28"/>
          <w:szCs w:val="28"/>
        </w:rPr>
        <w:t xml:space="preserve">s máximas del 6% y el 4% respectivamente.  La incertidumbre </w:t>
      </w:r>
      <w:r w:rsidRPr="00491C4A">
        <w:rPr>
          <w:rFonts w:ascii="Times New Roman" w:hAnsi="Times New Roman"/>
          <w:sz w:val="28"/>
          <w:szCs w:val="28"/>
        </w:rPr>
        <w:t>planteada por</w:t>
      </w:r>
      <w:r w:rsidRPr="00491C4A">
        <w:rPr>
          <w:rFonts w:ascii="Times New Roman" w:hAnsi="Times New Roman"/>
          <w:sz w:val="28"/>
          <w:szCs w:val="28"/>
        </w:rPr>
        <w:t xml:space="preserve"> los accionantes no se deriva de una interpretación natural del lenguaje utilizado en la redacción de la norma, sino de una lectura forzada de </w:t>
      </w:r>
      <w:r w:rsidRPr="00491C4A">
        <w:rPr>
          <w:rFonts w:ascii="Times New Roman" w:hAnsi="Times New Roman"/>
          <w:sz w:val="28"/>
          <w:szCs w:val="28"/>
        </w:rPr>
        <w:t>é</w:t>
      </w:r>
      <w:r w:rsidRPr="00491C4A">
        <w:rPr>
          <w:rFonts w:ascii="Times New Roman" w:hAnsi="Times New Roman"/>
          <w:sz w:val="28"/>
          <w:szCs w:val="28"/>
        </w:rPr>
        <w:t xml:space="preserve">sta que resta efecto útil por lo menos </w:t>
      </w:r>
      <w:r w:rsidRPr="00491C4A">
        <w:rPr>
          <w:rFonts w:ascii="Times New Roman" w:hAnsi="Times New Roman"/>
          <w:sz w:val="28"/>
          <w:szCs w:val="28"/>
        </w:rPr>
        <w:t>a algunos de sus apartes, pese a que el legislador no previó su derogatoria tácita o expresa. Dicho de otra manera, la contradicción alegada es apenas aparente, por lo que no es cierto que los sujetos beneficiarios del parágrafo 7° no estén claramente dete</w:t>
      </w:r>
      <w:r w:rsidRPr="00491C4A">
        <w:rPr>
          <w:rFonts w:ascii="Times New Roman" w:hAnsi="Times New Roman"/>
          <w:sz w:val="28"/>
          <w:szCs w:val="28"/>
        </w:rPr>
        <w:t>rminados, en contravía de lo ordenado en los artículos 150.2 y 338 constitucionales.</w:t>
      </w:r>
    </w:p>
    <w:p w:rsidR="006911AD" w:rsidRPr="00491C4A" w:rsidRDefault="00491C4A" w:rsidP="006911AD">
      <w:pPr>
        <w:pStyle w:val="Prrafodelista"/>
        <w:ind w:left="0"/>
        <w:jc w:val="both"/>
        <w:rPr>
          <w:rFonts w:ascii="Times New Roman" w:hAnsi="Times New Roman"/>
          <w:sz w:val="28"/>
          <w:szCs w:val="28"/>
        </w:rPr>
      </w:pPr>
    </w:p>
    <w:p w:rsidR="002C79CA" w:rsidRPr="00491C4A" w:rsidRDefault="00491C4A" w:rsidP="002C79CA">
      <w:pPr>
        <w:pStyle w:val="Prrafodelista"/>
        <w:ind w:left="0"/>
        <w:jc w:val="both"/>
        <w:rPr>
          <w:rFonts w:ascii="Times New Roman" w:hAnsi="Times New Roman"/>
          <w:sz w:val="28"/>
          <w:szCs w:val="28"/>
        </w:rPr>
      </w:pPr>
      <w:r w:rsidRPr="00491C4A">
        <w:rPr>
          <w:rFonts w:ascii="Times New Roman" w:hAnsi="Times New Roman"/>
          <w:sz w:val="28"/>
          <w:szCs w:val="28"/>
        </w:rPr>
        <w:t xml:space="preserve">Por último, </w:t>
      </w:r>
      <w:r w:rsidRPr="00491C4A">
        <w:rPr>
          <w:rFonts w:ascii="Times New Roman" w:hAnsi="Times New Roman"/>
          <w:sz w:val="28"/>
          <w:szCs w:val="28"/>
        </w:rPr>
        <w:t>la Corte</w:t>
      </w:r>
      <w:r w:rsidRPr="00491C4A">
        <w:rPr>
          <w:rFonts w:ascii="Times New Roman" w:hAnsi="Times New Roman"/>
          <w:sz w:val="28"/>
          <w:szCs w:val="28"/>
        </w:rPr>
        <w:t xml:space="preserve"> </w:t>
      </w:r>
      <w:r w:rsidRPr="00491C4A">
        <w:rPr>
          <w:rFonts w:ascii="Times New Roman" w:hAnsi="Times New Roman"/>
          <w:sz w:val="28"/>
          <w:szCs w:val="28"/>
        </w:rPr>
        <w:t>encontró que el artículo 233</w:t>
      </w:r>
      <w:r w:rsidRPr="00491C4A">
        <w:rPr>
          <w:rFonts w:ascii="Times New Roman" w:hAnsi="Times New Roman"/>
          <w:sz w:val="28"/>
          <w:szCs w:val="28"/>
        </w:rPr>
        <w:t xml:space="preserve"> </w:t>
      </w:r>
      <w:r w:rsidRPr="00491C4A">
        <w:rPr>
          <w:rFonts w:ascii="Times New Roman" w:hAnsi="Times New Roman"/>
          <w:sz w:val="28"/>
          <w:szCs w:val="28"/>
        </w:rPr>
        <w:t>de la Ley 2294 de 2023</w:t>
      </w:r>
      <w:r w:rsidRPr="00491C4A">
        <w:rPr>
          <w:rFonts w:ascii="Times New Roman" w:hAnsi="Times New Roman"/>
          <w:sz w:val="28"/>
          <w:szCs w:val="28"/>
        </w:rPr>
        <w:t xml:space="preserve"> </w:t>
      </w:r>
      <w:r w:rsidRPr="00491C4A">
        <w:rPr>
          <w:rFonts w:ascii="Times New Roman" w:hAnsi="Times New Roman"/>
          <w:sz w:val="28"/>
          <w:szCs w:val="28"/>
        </w:rPr>
        <w:t xml:space="preserve">no es contrario al principio de progresividad y no regresividad en </w:t>
      </w:r>
      <w:r w:rsidRPr="00491C4A">
        <w:rPr>
          <w:rFonts w:ascii="Times New Roman" w:hAnsi="Times New Roman"/>
          <w:sz w:val="28"/>
          <w:szCs w:val="28"/>
        </w:rPr>
        <w:t xml:space="preserve">la protección del ambiente (art. 79 y 80 CP; </w:t>
      </w:r>
      <w:r w:rsidRPr="00491C4A">
        <w:rPr>
          <w:rFonts w:ascii="Times New Roman" w:hAnsi="Times New Roman"/>
          <w:sz w:val="28"/>
          <w:szCs w:val="28"/>
        </w:rPr>
        <w:t xml:space="preserve">y </w:t>
      </w:r>
      <w:r w:rsidRPr="00491C4A">
        <w:rPr>
          <w:rFonts w:ascii="Times New Roman" w:hAnsi="Times New Roman"/>
          <w:sz w:val="28"/>
          <w:szCs w:val="28"/>
        </w:rPr>
        <w:t xml:space="preserve">artículo </w:t>
      </w:r>
      <w:r w:rsidRPr="00491C4A">
        <w:rPr>
          <w:rFonts w:ascii="Times New Roman" w:hAnsi="Times New Roman"/>
          <w:sz w:val="28"/>
          <w:szCs w:val="28"/>
        </w:rPr>
        <w:t>2.1 de</w:t>
      </w:r>
      <w:r w:rsidRPr="00491C4A">
        <w:rPr>
          <w:rFonts w:ascii="Times New Roman" w:hAnsi="Times New Roman"/>
          <w:sz w:val="28"/>
          <w:szCs w:val="28"/>
        </w:rPr>
        <w:t>l PIDESC)</w:t>
      </w:r>
      <w:r w:rsidRPr="00491C4A">
        <w:rPr>
          <w:rFonts w:ascii="Times New Roman" w:hAnsi="Times New Roman"/>
          <w:sz w:val="28"/>
          <w:szCs w:val="28"/>
        </w:rPr>
        <w:t xml:space="preserve">. Esto por cuanto no está demostrado que la medida acusada tenga un efecto regresivo en la protección del derecho al ambiente sano, en tanto no existe evidencia de que el aumento de la </w:t>
      </w:r>
      <w:r w:rsidRPr="00491C4A">
        <w:rPr>
          <w:rFonts w:ascii="Times New Roman" w:hAnsi="Times New Roman"/>
          <w:sz w:val="28"/>
          <w:szCs w:val="28"/>
        </w:rPr>
        <w:t xml:space="preserve">tarifa de las transferencias eléctricas prevista en el artículo 233 de la Ley 2294 de 2023 impida, retrase o retroceda el cumplimiento de los compromisos de mitigación del cambio climático. En adición, el objetivo que persigue la norma en lugar de hacerla </w:t>
      </w:r>
      <w:r w:rsidRPr="00491C4A">
        <w:rPr>
          <w:rFonts w:ascii="Times New Roman" w:hAnsi="Times New Roman"/>
          <w:sz w:val="28"/>
          <w:szCs w:val="28"/>
        </w:rPr>
        <w:t xml:space="preserve">regresiva le confiere un contenido progresivo en términos de protección ambiental, y de garantía de otros derechos que la Constitución Política reconoce a las comunidades que soportan los efectos de las medidas de protección ambiental. </w:t>
      </w:r>
    </w:p>
    <w:p w:rsidR="007D68BF" w:rsidRPr="00491C4A" w:rsidRDefault="00491C4A" w:rsidP="002C79CA">
      <w:pPr>
        <w:pStyle w:val="Prrafodelista"/>
        <w:ind w:left="0"/>
        <w:jc w:val="both"/>
        <w:rPr>
          <w:rFonts w:ascii="Times New Roman" w:hAnsi="Times New Roman"/>
          <w:sz w:val="28"/>
          <w:szCs w:val="28"/>
        </w:rPr>
      </w:pPr>
    </w:p>
    <w:p w:rsidR="007D68BF" w:rsidRPr="00491C4A" w:rsidRDefault="00491C4A" w:rsidP="002C79CA">
      <w:pPr>
        <w:pStyle w:val="Prrafodelista"/>
        <w:ind w:left="0"/>
        <w:jc w:val="both"/>
        <w:rPr>
          <w:rFonts w:ascii="Times New Roman" w:hAnsi="Times New Roman"/>
          <w:sz w:val="28"/>
          <w:szCs w:val="28"/>
        </w:rPr>
      </w:pPr>
      <w:r w:rsidRPr="00491C4A">
        <w:rPr>
          <w:rFonts w:ascii="Times New Roman" w:hAnsi="Times New Roman"/>
          <w:sz w:val="28"/>
          <w:szCs w:val="28"/>
        </w:rPr>
        <w:t>En consecuencia, l</w:t>
      </w:r>
      <w:r w:rsidRPr="00491C4A">
        <w:rPr>
          <w:rFonts w:ascii="Times New Roman" w:hAnsi="Times New Roman"/>
          <w:sz w:val="28"/>
          <w:szCs w:val="28"/>
        </w:rPr>
        <w:t>a Corte declaró la exequibilidad del artículo 233 de la Ley 2294 de 2023 por los tres cargos analizados.</w:t>
      </w:r>
    </w:p>
    <w:p w:rsidR="00AF33B7" w:rsidRPr="00491C4A" w:rsidRDefault="00491C4A" w:rsidP="002C79CA">
      <w:pPr>
        <w:pStyle w:val="Prrafodelista"/>
        <w:ind w:left="0"/>
        <w:jc w:val="both"/>
        <w:rPr>
          <w:rFonts w:ascii="Times New Roman" w:hAnsi="Times New Roman"/>
          <w:sz w:val="28"/>
          <w:szCs w:val="28"/>
        </w:rPr>
      </w:pPr>
    </w:p>
    <w:p w:rsidR="00406673" w:rsidRPr="00491C4A" w:rsidRDefault="00491C4A" w:rsidP="00E4767B">
      <w:pPr>
        <w:rPr>
          <w:rFonts w:ascii="Times New Roman" w:hAnsi="Times New Roman"/>
          <w:kern w:val="1"/>
          <w:sz w:val="28"/>
          <w:szCs w:val="28"/>
        </w:rPr>
      </w:pPr>
    </w:p>
    <w:p w:rsidR="00E4767B" w:rsidRPr="00491C4A" w:rsidRDefault="00491C4A">
      <w:pPr>
        <w:pStyle w:val="TtuloTDC"/>
        <w:rPr>
          <w:rFonts w:ascii="Times New Roman" w:hAnsi="Times New Roman"/>
          <w:b/>
          <w:bCs/>
          <w:color w:val="auto"/>
          <w:sz w:val="28"/>
          <w:szCs w:val="28"/>
        </w:rPr>
      </w:pPr>
      <w:r w:rsidRPr="00491C4A">
        <w:rPr>
          <w:rFonts w:ascii="Times New Roman" w:hAnsi="Times New Roman"/>
          <w:b/>
          <w:bCs/>
          <w:color w:val="auto"/>
          <w:sz w:val="28"/>
          <w:szCs w:val="28"/>
        </w:rPr>
        <w:t>Tabla de Contenido</w:t>
      </w:r>
    </w:p>
    <w:p w:rsidR="00E4767B" w:rsidRPr="00491C4A" w:rsidRDefault="00491C4A">
      <w:pPr>
        <w:pStyle w:val="TDC1"/>
        <w:tabs>
          <w:tab w:val="left" w:pos="480"/>
          <w:tab w:val="right" w:leader="dot" w:pos="9397"/>
        </w:tabs>
        <w:rPr>
          <w:rFonts w:ascii="Times New Roman" w:hAnsi="Times New Roman"/>
          <w:noProof/>
          <w:sz w:val="28"/>
          <w:szCs w:val="28"/>
        </w:rPr>
      </w:pPr>
      <w:r w:rsidRPr="00491C4A">
        <w:rPr>
          <w:rFonts w:ascii="Times New Roman" w:hAnsi="Times New Roman"/>
          <w:sz w:val="28"/>
          <w:szCs w:val="28"/>
        </w:rPr>
        <w:fldChar w:fldCharType="begin"/>
      </w:r>
      <w:r w:rsidRPr="00491C4A">
        <w:rPr>
          <w:rFonts w:ascii="Times New Roman" w:hAnsi="Times New Roman"/>
          <w:sz w:val="28"/>
          <w:szCs w:val="28"/>
        </w:rPr>
        <w:instrText xml:space="preserve"> TOC \o "1-3" \h \z \u </w:instrText>
      </w:r>
      <w:r w:rsidRPr="00491C4A">
        <w:rPr>
          <w:rFonts w:ascii="Times New Roman" w:hAnsi="Times New Roman"/>
          <w:sz w:val="28"/>
          <w:szCs w:val="28"/>
        </w:rPr>
        <w:fldChar w:fldCharType="separate"/>
      </w:r>
      <w:hyperlink w:anchor="_Toc200753640" w:history="1">
        <w:r w:rsidRPr="00491C4A">
          <w:rPr>
            <w:rStyle w:val="Hipervnculo"/>
            <w:rFonts w:ascii="Times New Roman" w:hAnsi="Times New Roman"/>
            <w:b/>
            <w:bCs/>
            <w:noProof/>
            <w:sz w:val="28"/>
            <w:szCs w:val="28"/>
          </w:rPr>
          <w:t>I.</w:t>
        </w:r>
        <w:r w:rsidRPr="00491C4A">
          <w:rPr>
            <w:rFonts w:ascii="Times New Roman" w:hAnsi="Times New Roman"/>
            <w:noProof/>
            <w:sz w:val="28"/>
            <w:szCs w:val="28"/>
          </w:rPr>
          <w:tab/>
        </w:r>
        <w:r w:rsidRPr="00491C4A">
          <w:rPr>
            <w:rStyle w:val="Hipervnculo"/>
            <w:rFonts w:ascii="Times New Roman" w:hAnsi="Times New Roman"/>
            <w:b/>
            <w:bCs/>
            <w:noProof/>
            <w:sz w:val="28"/>
            <w:szCs w:val="28"/>
          </w:rPr>
          <w:t>SÍNTESIS DE LA DECISIÓN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_Toc200753640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1</w:t>
        </w:r>
        <w:r w:rsidRPr="00491C4A">
          <w:rPr>
            <w:rFonts w:ascii="Times New Roman" w:hAnsi="Times New Roman"/>
            <w:noProof/>
            <w:webHidden/>
            <w:sz w:val="28"/>
            <w:szCs w:val="28"/>
          </w:rPr>
          <w:fldChar w:fldCharType="end"/>
        </w:r>
      </w:hyperlink>
    </w:p>
    <w:p w:rsidR="00E4767B" w:rsidRPr="00491C4A" w:rsidRDefault="00491C4A">
      <w:pPr>
        <w:pStyle w:val="TDC1"/>
        <w:tabs>
          <w:tab w:val="left" w:pos="720"/>
          <w:tab w:val="right" w:leader="dot" w:pos="9397"/>
        </w:tabs>
        <w:rPr>
          <w:rFonts w:ascii="Times New Roman" w:hAnsi="Times New Roman"/>
          <w:noProof/>
          <w:sz w:val="28"/>
          <w:szCs w:val="28"/>
        </w:rPr>
      </w:pPr>
      <w:hyperlink w:anchor="_Toc200753641" w:history="1">
        <w:r w:rsidRPr="00491C4A">
          <w:rPr>
            <w:rStyle w:val="Hipervnculo"/>
            <w:rFonts w:ascii="Times New Roman" w:hAnsi="Times New Roman"/>
            <w:b/>
            <w:bCs/>
            <w:noProof/>
            <w:sz w:val="28"/>
            <w:szCs w:val="28"/>
          </w:rPr>
          <w:t>II.</w:t>
        </w:r>
        <w:r w:rsidRPr="00491C4A">
          <w:rPr>
            <w:rFonts w:ascii="Times New Roman" w:hAnsi="Times New Roman"/>
            <w:noProof/>
            <w:sz w:val="28"/>
            <w:szCs w:val="28"/>
          </w:rPr>
          <w:tab/>
        </w:r>
        <w:r w:rsidRPr="00491C4A">
          <w:rPr>
            <w:rStyle w:val="Hipervnculo"/>
            <w:rFonts w:ascii="Times New Roman" w:hAnsi="Times New Roman"/>
            <w:b/>
            <w:bCs/>
            <w:noProof/>
            <w:sz w:val="28"/>
            <w:szCs w:val="28"/>
          </w:rPr>
          <w:t>ANTECEDENTES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_Toc200753641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42" w:history="1">
        <w:r w:rsidRPr="00491C4A">
          <w:rPr>
            <w:rStyle w:val="Hipervnculo"/>
            <w:rFonts w:ascii="Times New Roman" w:hAnsi="Times New Roman"/>
            <w:b/>
            <w:noProof/>
            <w:sz w:val="28"/>
            <w:szCs w:val="28"/>
          </w:rPr>
          <w:t>A.</w:t>
        </w:r>
        <w:r w:rsidRPr="00491C4A">
          <w:rPr>
            <w:rFonts w:ascii="Times New Roman" w:hAnsi="Times New Roman"/>
            <w:noProof/>
            <w:sz w:val="28"/>
            <w:szCs w:val="28"/>
          </w:rPr>
          <w:tab/>
        </w:r>
        <w:r w:rsidRPr="00491C4A">
          <w:rPr>
            <w:rStyle w:val="Hipervnculo"/>
            <w:rFonts w:ascii="Times New Roman" w:hAnsi="Times New Roman"/>
            <w:b/>
            <w:noProof/>
            <w:sz w:val="28"/>
            <w:szCs w:val="28"/>
          </w:rPr>
          <w:t>Trámite d</w:t>
        </w:r>
        <w:r w:rsidRPr="00491C4A">
          <w:rPr>
            <w:rStyle w:val="Hipervnculo"/>
            <w:rFonts w:ascii="Times New Roman" w:hAnsi="Times New Roman"/>
            <w:b/>
            <w:noProof/>
            <w:sz w:val="28"/>
            <w:szCs w:val="28"/>
          </w:rPr>
          <w:t>e admisión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_Toc200753642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43" w:history="1">
        <w:r w:rsidRPr="00491C4A">
          <w:rPr>
            <w:rStyle w:val="Hipervnculo"/>
            <w:rFonts w:ascii="Times New Roman" w:hAnsi="Times New Roman"/>
            <w:b/>
            <w:noProof/>
            <w:sz w:val="28"/>
            <w:szCs w:val="28"/>
          </w:rPr>
          <w:t>B.</w:t>
        </w:r>
        <w:r w:rsidRPr="00491C4A">
          <w:rPr>
            <w:rFonts w:ascii="Times New Roman" w:hAnsi="Times New Roman"/>
            <w:noProof/>
            <w:sz w:val="28"/>
            <w:szCs w:val="28"/>
          </w:rPr>
          <w:tab/>
        </w:r>
        <w:r w:rsidRPr="00491C4A">
          <w:rPr>
            <w:rStyle w:val="Hipervnculo"/>
            <w:rFonts w:ascii="Times New Roman" w:hAnsi="Times New Roman"/>
            <w:b/>
            <w:noProof/>
            <w:sz w:val="28"/>
            <w:szCs w:val="28"/>
          </w:rPr>
          <w:t>Norma demandada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_Toc200753643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5</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44" w:history="1">
        <w:r w:rsidRPr="00491C4A">
          <w:rPr>
            <w:rStyle w:val="Hipervnculo"/>
            <w:rFonts w:ascii="Times New Roman" w:hAnsi="Times New Roman"/>
            <w:b/>
            <w:noProof/>
            <w:sz w:val="28"/>
            <w:szCs w:val="28"/>
          </w:rPr>
          <w:t>C.</w:t>
        </w:r>
        <w:r w:rsidRPr="00491C4A">
          <w:rPr>
            <w:rFonts w:ascii="Times New Roman" w:hAnsi="Times New Roman"/>
            <w:noProof/>
            <w:sz w:val="28"/>
            <w:szCs w:val="28"/>
          </w:rPr>
          <w:tab/>
        </w:r>
        <w:r w:rsidRPr="00491C4A">
          <w:rPr>
            <w:rStyle w:val="Hipervnculo"/>
            <w:rFonts w:ascii="Times New Roman" w:hAnsi="Times New Roman"/>
            <w:b/>
            <w:noProof/>
            <w:sz w:val="28"/>
            <w:szCs w:val="28"/>
          </w:rPr>
          <w:t>Cargos admitidos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_Toc200753644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6</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45" w:history="1">
        <w:r w:rsidRPr="00491C4A">
          <w:rPr>
            <w:rStyle w:val="Hipervnculo"/>
            <w:rFonts w:ascii="Times New Roman" w:hAnsi="Times New Roman"/>
            <w:b/>
            <w:bCs/>
            <w:i/>
            <w:iCs/>
            <w:noProof/>
            <w:sz w:val="28"/>
            <w:szCs w:val="28"/>
          </w:rPr>
          <w:t>Primer car</w:t>
        </w:r>
        <w:r w:rsidRPr="00491C4A">
          <w:rPr>
            <w:rStyle w:val="Hipervnculo"/>
            <w:rFonts w:ascii="Times New Roman" w:hAnsi="Times New Roman"/>
            <w:b/>
            <w:bCs/>
            <w:i/>
            <w:iCs/>
            <w:noProof/>
            <w:sz w:val="28"/>
            <w:szCs w:val="28"/>
          </w:rPr>
          <w:t>go: vulneración del principio de consecutividad (artículo 157 CP)</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_Toc200753645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6</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46" w:history="1">
        <w:r w:rsidRPr="00491C4A">
          <w:rPr>
            <w:rStyle w:val="Hipervnculo"/>
            <w:rFonts w:ascii="Times New Roman" w:hAnsi="Times New Roman"/>
            <w:b/>
            <w:bCs/>
            <w:i/>
            <w:iCs/>
            <w:noProof/>
            <w:sz w:val="28"/>
            <w:szCs w:val="28"/>
          </w:rPr>
          <w:t xml:space="preserve">Segundo cargo: violación del principio de unidad de materia </w:t>
        </w:r>
        <w:r w:rsidRPr="00491C4A">
          <w:rPr>
            <w:rStyle w:val="Hipervnculo"/>
            <w:rFonts w:ascii="Times New Roman" w:hAnsi="Times New Roman"/>
            <w:b/>
            <w:bCs/>
            <w:i/>
            <w:iCs/>
            <w:noProof/>
            <w:sz w:val="28"/>
            <w:szCs w:val="28"/>
          </w:rPr>
          <w:t>(artículo 158 CP)</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_Toc200753646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7</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47" w:history="1">
        <w:r w:rsidRPr="00491C4A">
          <w:rPr>
            <w:rStyle w:val="Hipervnculo"/>
            <w:rFonts w:ascii="Times New Roman" w:hAnsi="Times New Roman"/>
            <w:b/>
            <w:bCs/>
            <w:i/>
            <w:iCs/>
            <w:noProof/>
            <w:sz w:val="28"/>
            <w:szCs w:val="28"/>
          </w:rPr>
          <w:t>Tercer cargo: violación de los principios de legalidad y certeza tributaria (artículos 150.12 y 338 CP)</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w:instrText>
        </w:r>
        <w:r w:rsidRPr="00491C4A">
          <w:rPr>
            <w:rFonts w:ascii="Times New Roman" w:hAnsi="Times New Roman"/>
            <w:noProof/>
            <w:webHidden/>
            <w:sz w:val="28"/>
            <w:szCs w:val="28"/>
          </w:rPr>
          <w:instrText xml:space="preserve">EF _Toc200753647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8</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48" w:history="1">
        <w:r w:rsidRPr="00491C4A">
          <w:rPr>
            <w:rStyle w:val="Hipervnculo"/>
            <w:rFonts w:ascii="Times New Roman" w:hAnsi="Times New Roman"/>
            <w:b/>
            <w:bCs/>
            <w:noProof/>
            <w:sz w:val="28"/>
            <w:szCs w:val="28"/>
          </w:rPr>
          <w:t>Cuarto cargo: violación del principio de no regresividad en materia ambiental (artículos 79 y 80 CP, artículo 2.1 del Pacto Internacio</w:t>
        </w:r>
        <w:r w:rsidRPr="00491C4A">
          <w:rPr>
            <w:rStyle w:val="Hipervnculo"/>
            <w:rFonts w:ascii="Times New Roman" w:hAnsi="Times New Roman"/>
            <w:b/>
            <w:bCs/>
            <w:noProof/>
            <w:sz w:val="28"/>
            <w:szCs w:val="28"/>
          </w:rPr>
          <w:t>nal de Derechos Económicos, Sociales y Culturales y artículo 26 del Pacta de San José)</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_Toc200753648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9</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49" w:history="1">
        <w:r w:rsidRPr="00491C4A">
          <w:rPr>
            <w:rStyle w:val="Hipervnculo"/>
            <w:rFonts w:ascii="Times New Roman" w:hAnsi="Times New Roman"/>
            <w:b/>
            <w:bCs/>
            <w:noProof/>
            <w:sz w:val="28"/>
            <w:szCs w:val="28"/>
          </w:rPr>
          <w:t>D.</w:t>
        </w:r>
        <w:r w:rsidRPr="00491C4A">
          <w:rPr>
            <w:rFonts w:ascii="Times New Roman" w:hAnsi="Times New Roman"/>
            <w:noProof/>
            <w:sz w:val="28"/>
            <w:szCs w:val="28"/>
          </w:rPr>
          <w:tab/>
        </w:r>
        <w:r w:rsidRPr="00491C4A">
          <w:rPr>
            <w:rStyle w:val="Hipervnculo"/>
            <w:rFonts w:ascii="Times New Roman" w:hAnsi="Times New Roman"/>
            <w:b/>
            <w:noProof/>
            <w:sz w:val="28"/>
            <w:szCs w:val="28"/>
          </w:rPr>
          <w:t>Pruebas recaudadas y trasladadas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_Toc200753649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9</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50" w:history="1">
        <w:r w:rsidRPr="00491C4A">
          <w:rPr>
            <w:rStyle w:val="Hipervnculo"/>
            <w:rFonts w:ascii="Times New Roman" w:hAnsi="Times New Roman"/>
            <w:b/>
            <w:bCs/>
            <w:i/>
            <w:iCs/>
            <w:noProof/>
            <w:sz w:val="28"/>
            <w:szCs w:val="28"/>
          </w:rPr>
          <w:t>Tabla 1 – Pruebas de los antecedentes del proceso legislativo</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_Toc200753650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9</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51" w:history="1">
        <w:r w:rsidRPr="00491C4A">
          <w:rPr>
            <w:rStyle w:val="Hipervnculo"/>
            <w:rFonts w:ascii="Times New Roman" w:hAnsi="Times New Roman"/>
            <w:b/>
            <w:bCs/>
            <w:i/>
            <w:iCs/>
            <w:noProof/>
            <w:sz w:val="28"/>
            <w:szCs w:val="28"/>
          </w:rPr>
          <w:t>Tabla 2 – Obligaciones de entrega de energía en el mercado</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_Toc200753651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11</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52" w:history="1">
        <w:r w:rsidRPr="00491C4A">
          <w:rPr>
            <w:rStyle w:val="Hipervnculo"/>
            <w:rFonts w:ascii="Times New Roman" w:hAnsi="Times New Roman"/>
            <w:b/>
            <w:bCs/>
            <w:i/>
            <w:iCs/>
            <w:noProof/>
            <w:sz w:val="28"/>
            <w:szCs w:val="28"/>
          </w:rPr>
          <w:t>Tabla 3 – Obligaciones pecuniarias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_Toc200753652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12</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53" w:history="1">
        <w:r w:rsidRPr="00491C4A">
          <w:rPr>
            <w:rStyle w:val="Hipervnculo"/>
            <w:rFonts w:ascii="Times New Roman" w:hAnsi="Times New Roman"/>
            <w:b/>
            <w:bCs/>
            <w:i/>
            <w:iCs/>
            <w:noProof/>
            <w:sz w:val="28"/>
            <w:szCs w:val="28"/>
          </w:rPr>
          <w:t>Tabla 4 – Otras obligaciones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_Toc200753653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13</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54" w:history="1">
        <w:r w:rsidRPr="00491C4A">
          <w:rPr>
            <w:rStyle w:val="Hipervnculo"/>
            <w:rFonts w:ascii="Times New Roman" w:hAnsi="Times New Roman"/>
            <w:b/>
            <w:bCs/>
            <w:noProof/>
            <w:sz w:val="28"/>
            <w:szCs w:val="28"/>
          </w:rPr>
          <w:t>E.</w:t>
        </w:r>
        <w:r w:rsidRPr="00491C4A">
          <w:rPr>
            <w:rFonts w:ascii="Times New Roman" w:hAnsi="Times New Roman"/>
            <w:noProof/>
            <w:sz w:val="28"/>
            <w:szCs w:val="28"/>
          </w:rPr>
          <w:tab/>
        </w:r>
        <w:r w:rsidRPr="00491C4A">
          <w:rPr>
            <w:rStyle w:val="Hipervnculo"/>
            <w:rFonts w:ascii="Times New Roman" w:hAnsi="Times New Roman"/>
            <w:b/>
            <w:noProof/>
            <w:sz w:val="28"/>
            <w:szCs w:val="28"/>
          </w:rPr>
          <w:t>Intervenciones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_Toc200753654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20</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55" w:history="1">
        <w:r w:rsidRPr="00491C4A">
          <w:rPr>
            <w:rStyle w:val="Hipervnculo"/>
            <w:rFonts w:ascii="Times New Roman" w:hAnsi="Times New Roman"/>
            <w:b/>
            <w:bCs/>
            <w:i/>
            <w:iCs/>
            <w:noProof/>
            <w:sz w:val="28"/>
            <w:szCs w:val="28"/>
          </w:rPr>
          <w:t>Tabla 5 – Intervenciones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_Toc200753655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20</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56" w:history="1">
        <w:r w:rsidRPr="00491C4A">
          <w:rPr>
            <w:rStyle w:val="Hipervnculo"/>
            <w:rFonts w:ascii="Times New Roman" w:hAnsi="Times New Roman"/>
            <w:b/>
            <w:bCs/>
            <w:noProof/>
            <w:sz w:val="28"/>
            <w:szCs w:val="28"/>
          </w:rPr>
          <w:t>F.</w:t>
        </w:r>
        <w:r w:rsidRPr="00491C4A">
          <w:rPr>
            <w:rFonts w:ascii="Times New Roman" w:hAnsi="Times New Roman"/>
            <w:noProof/>
            <w:sz w:val="28"/>
            <w:szCs w:val="28"/>
          </w:rPr>
          <w:tab/>
        </w:r>
        <w:r w:rsidRPr="00491C4A">
          <w:rPr>
            <w:rStyle w:val="Hipervnculo"/>
            <w:rFonts w:ascii="Times New Roman" w:hAnsi="Times New Roman"/>
            <w:b/>
            <w:bCs/>
            <w:noProof/>
            <w:sz w:val="28"/>
            <w:szCs w:val="28"/>
          </w:rPr>
          <w:t>Concepto de la procuradora General de la Nación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_Toc200753656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26</w:t>
        </w:r>
        <w:r w:rsidRPr="00491C4A">
          <w:rPr>
            <w:rFonts w:ascii="Times New Roman" w:hAnsi="Times New Roman"/>
            <w:noProof/>
            <w:webHidden/>
            <w:sz w:val="28"/>
            <w:szCs w:val="28"/>
          </w:rPr>
          <w:fldChar w:fldCharType="end"/>
        </w:r>
      </w:hyperlink>
    </w:p>
    <w:p w:rsidR="00E4767B" w:rsidRPr="00491C4A" w:rsidRDefault="00491C4A">
      <w:pPr>
        <w:pStyle w:val="TDC1"/>
        <w:tabs>
          <w:tab w:val="left" w:pos="720"/>
          <w:tab w:val="right" w:leader="dot" w:pos="9397"/>
        </w:tabs>
        <w:rPr>
          <w:rFonts w:ascii="Times New Roman" w:hAnsi="Times New Roman"/>
          <w:noProof/>
          <w:sz w:val="28"/>
          <w:szCs w:val="28"/>
        </w:rPr>
      </w:pPr>
      <w:hyperlink w:anchor="_Toc200753657" w:history="1">
        <w:r w:rsidRPr="00491C4A">
          <w:rPr>
            <w:rStyle w:val="Hipervnculo"/>
            <w:rFonts w:ascii="Times New Roman" w:hAnsi="Times New Roman"/>
            <w:b/>
            <w:bCs/>
            <w:noProof/>
            <w:sz w:val="28"/>
            <w:szCs w:val="28"/>
          </w:rPr>
          <w:t>III.</w:t>
        </w:r>
        <w:r w:rsidRPr="00491C4A">
          <w:rPr>
            <w:rFonts w:ascii="Times New Roman" w:hAnsi="Times New Roman"/>
            <w:noProof/>
            <w:sz w:val="28"/>
            <w:szCs w:val="28"/>
          </w:rPr>
          <w:tab/>
        </w:r>
        <w:r w:rsidRPr="00491C4A">
          <w:rPr>
            <w:rStyle w:val="Hipervnculo"/>
            <w:rFonts w:ascii="Times New Roman" w:hAnsi="Times New Roman"/>
            <w:b/>
            <w:bCs/>
            <w:noProof/>
            <w:sz w:val="28"/>
            <w:szCs w:val="28"/>
          </w:rPr>
          <w:t>CONSIDERACIONES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_Toc200753657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27</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58" w:history="1">
        <w:r w:rsidRPr="00491C4A">
          <w:rPr>
            <w:rStyle w:val="Hipervnculo"/>
            <w:rFonts w:ascii="Times New Roman" w:hAnsi="Times New Roman"/>
            <w:b/>
            <w:bCs/>
            <w:noProof/>
            <w:sz w:val="28"/>
            <w:szCs w:val="28"/>
          </w:rPr>
          <w:t>A.</w:t>
        </w:r>
        <w:r w:rsidRPr="00491C4A">
          <w:rPr>
            <w:rFonts w:ascii="Times New Roman" w:hAnsi="Times New Roman"/>
            <w:noProof/>
            <w:sz w:val="28"/>
            <w:szCs w:val="28"/>
          </w:rPr>
          <w:tab/>
        </w:r>
        <w:r w:rsidRPr="00491C4A">
          <w:rPr>
            <w:rStyle w:val="Hipervnculo"/>
            <w:rFonts w:ascii="Times New Roman" w:hAnsi="Times New Roman"/>
            <w:b/>
            <w:bCs/>
            <w:noProof/>
            <w:sz w:val="28"/>
            <w:szCs w:val="28"/>
          </w:rPr>
          <w:t>Competencia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_Toc200753658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27</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59" w:history="1">
        <w:r w:rsidRPr="00491C4A">
          <w:rPr>
            <w:rStyle w:val="Hipervnculo"/>
            <w:rFonts w:ascii="Times New Roman" w:hAnsi="Times New Roman"/>
            <w:b/>
            <w:bCs/>
            <w:noProof/>
            <w:sz w:val="28"/>
            <w:szCs w:val="28"/>
          </w:rPr>
          <w:t>B.</w:t>
        </w:r>
        <w:r w:rsidRPr="00491C4A">
          <w:rPr>
            <w:rFonts w:ascii="Times New Roman" w:hAnsi="Times New Roman"/>
            <w:noProof/>
            <w:sz w:val="28"/>
            <w:szCs w:val="28"/>
          </w:rPr>
          <w:tab/>
        </w:r>
        <w:r w:rsidRPr="00491C4A">
          <w:rPr>
            <w:rStyle w:val="Hipervnculo"/>
            <w:rFonts w:ascii="Times New Roman" w:hAnsi="Times New Roman"/>
            <w:b/>
            <w:bCs/>
            <w:noProof/>
            <w:sz w:val="28"/>
            <w:szCs w:val="28"/>
          </w:rPr>
          <w:t>Cuestiones previas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_Toc200753659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27</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0" w:history="1">
        <w:r w:rsidRPr="00491C4A">
          <w:rPr>
            <w:rStyle w:val="Hipervnculo"/>
            <w:rFonts w:ascii="Times New Roman" w:hAnsi="Times New Roman"/>
            <w:b/>
            <w:bCs/>
            <w:i/>
            <w:iCs/>
            <w:noProof/>
            <w:sz w:val="28"/>
            <w:szCs w:val="28"/>
          </w:rPr>
          <w:t>Caducidad de los cargos por vicios</w:t>
        </w:r>
        <w:r w:rsidRPr="00491C4A">
          <w:rPr>
            <w:rStyle w:val="Hipervnculo"/>
            <w:rFonts w:ascii="Times New Roman" w:hAnsi="Times New Roman"/>
            <w:b/>
            <w:bCs/>
            <w:i/>
            <w:iCs/>
            <w:noProof/>
            <w:sz w:val="28"/>
            <w:szCs w:val="28"/>
          </w:rPr>
          <w:t xml:space="preserve"> formales: la acción de inconstitucionalidad por vicios de trámite fue presentada dentro del término de caducidad</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_Toc200753660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27</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1" w:history="1">
        <w:r w:rsidRPr="00491C4A">
          <w:rPr>
            <w:rStyle w:val="Hipervnculo"/>
            <w:rFonts w:ascii="Times New Roman" w:hAnsi="Times New Roman"/>
            <w:b/>
            <w:bCs/>
            <w:i/>
            <w:iCs/>
            <w:noProof/>
            <w:sz w:val="28"/>
            <w:szCs w:val="28"/>
          </w:rPr>
          <w:t>Verificación de la ocurrencia del fenómeno de la cosa juzgada en relación con la sentencia C-143 de 2025</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_Toc200753661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28</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2" w:history="1">
        <w:r w:rsidRPr="00491C4A">
          <w:rPr>
            <w:rStyle w:val="Hipervnculo"/>
            <w:rFonts w:ascii="Times New Roman" w:hAnsi="Times New Roman"/>
            <w:b/>
            <w:bCs/>
            <w:i/>
            <w:iCs/>
            <w:noProof/>
            <w:sz w:val="28"/>
            <w:szCs w:val="28"/>
          </w:rPr>
          <w:t>Tabla 6 – Tipos de cosa juzgada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_Toc200753662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29</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3" w:history="1">
        <w:r w:rsidRPr="00491C4A">
          <w:rPr>
            <w:rStyle w:val="Hipervnculo"/>
            <w:rFonts w:ascii="Times New Roman" w:hAnsi="Times New Roman"/>
            <w:b/>
            <w:bCs/>
            <w:i/>
            <w:iCs/>
            <w:noProof/>
            <w:sz w:val="28"/>
            <w:szCs w:val="28"/>
          </w:rPr>
          <w:t>Tabla 7 – Decisión</w:t>
        </w:r>
        <w:r w:rsidRPr="00491C4A">
          <w:rPr>
            <w:rStyle w:val="Hipervnculo"/>
            <w:rFonts w:ascii="Times New Roman" w:hAnsi="Times New Roman"/>
            <w:b/>
            <w:bCs/>
            <w:i/>
            <w:iCs/>
            <w:noProof/>
            <w:sz w:val="28"/>
            <w:szCs w:val="28"/>
          </w:rPr>
          <w:t xml:space="preserve"> a adoptar cuando se constata la cosa juzgada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_Toc200753663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30</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4" w:history="1">
        <w:r w:rsidRPr="00491C4A">
          <w:rPr>
            <w:rStyle w:val="Hipervnculo"/>
            <w:rFonts w:ascii="Times New Roman" w:hAnsi="Times New Roman"/>
            <w:b/>
            <w:bCs/>
            <w:i/>
            <w:iCs/>
            <w:noProof/>
            <w:sz w:val="28"/>
            <w:szCs w:val="28"/>
          </w:rPr>
          <w:t xml:space="preserve">Estudio de la aptitud sustantiva del cuarto cargo de inconstitucionalidad, por </w:t>
        </w:r>
        <w:r w:rsidRPr="00491C4A">
          <w:rPr>
            <w:rStyle w:val="Hipervnculo"/>
            <w:rFonts w:ascii="Times New Roman" w:hAnsi="Times New Roman"/>
            <w:b/>
            <w:bCs/>
            <w:i/>
            <w:iCs/>
            <w:noProof/>
            <w:sz w:val="28"/>
            <w:szCs w:val="28"/>
          </w:rPr>
          <w:t>la violación del principio de regresividad y no regresividad en materia ambiental</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_Toc200753664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31</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65" w:history="1">
        <w:r w:rsidRPr="00491C4A">
          <w:rPr>
            <w:rStyle w:val="Hipervnculo"/>
            <w:rFonts w:ascii="Times New Roman" w:hAnsi="Times New Roman"/>
            <w:b/>
            <w:bCs/>
            <w:noProof/>
            <w:sz w:val="28"/>
            <w:szCs w:val="28"/>
          </w:rPr>
          <w:t>C.</w:t>
        </w:r>
        <w:r w:rsidRPr="00491C4A">
          <w:rPr>
            <w:rFonts w:ascii="Times New Roman" w:hAnsi="Times New Roman"/>
            <w:noProof/>
            <w:sz w:val="28"/>
            <w:szCs w:val="28"/>
          </w:rPr>
          <w:tab/>
        </w:r>
        <w:r w:rsidRPr="00491C4A">
          <w:rPr>
            <w:rStyle w:val="Hipervnculo"/>
            <w:rFonts w:ascii="Times New Roman" w:hAnsi="Times New Roman"/>
            <w:b/>
            <w:bCs/>
            <w:noProof/>
            <w:sz w:val="28"/>
            <w:szCs w:val="28"/>
          </w:rPr>
          <w:t>Problemas jurídicos y metodología de la d</w:t>
        </w:r>
        <w:r w:rsidRPr="00491C4A">
          <w:rPr>
            <w:rStyle w:val="Hipervnculo"/>
            <w:rFonts w:ascii="Times New Roman" w:hAnsi="Times New Roman"/>
            <w:b/>
            <w:bCs/>
            <w:noProof/>
            <w:sz w:val="28"/>
            <w:szCs w:val="28"/>
          </w:rPr>
          <w:t>ecisión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_Toc200753665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34</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66" w:history="1">
        <w:r w:rsidRPr="00491C4A">
          <w:rPr>
            <w:rStyle w:val="Hipervnculo"/>
            <w:rFonts w:ascii="Times New Roman" w:hAnsi="Times New Roman"/>
            <w:b/>
            <w:bCs/>
            <w:noProof/>
            <w:sz w:val="28"/>
            <w:szCs w:val="28"/>
          </w:rPr>
          <w:t>D.</w:t>
        </w:r>
        <w:r w:rsidRPr="00491C4A">
          <w:rPr>
            <w:rFonts w:ascii="Times New Roman" w:hAnsi="Times New Roman"/>
            <w:noProof/>
            <w:sz w:val="28"/>
            <w:szCs w:val="28"/>
          </w:rPr>
          <w:tab/>
        </w:r>
        <w:r w:rsidRPr="00491C4A">
          <w:rPr>
            <w:rStyle w:val="Hipervnculo"/>
            <w:rFonts w:ascii="Times New Roman" w:hAnsi="Times New Roman"/>
            <w:b/>
            <w:bCs/>
            <w:noProof/>
            <w:sz w:val="28"/>
            <w:szCs w:val="28"/>
          </w:rPr>
          <w:t>El principio de consecutividad y las proposiciones de reapertura del debate y la votación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_Toc200753666 \h</w:instrText>
        </w:r>
        <w:r w:rsidRPr="00491C4A">
          <w:rPr>
            <w:rFonts w:ascii="Times New Roman" w:hAnsi="Times New Roman"/>
            <w:noProof/>
            <w:webHidden/>
            <w:sz w:val="28"/>
            <w:szCs w:val="28"/>
          </w:rPr>
          <w:instrText xml:space="preserve">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35</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67" w:history="1">
        <w:r w:rsidRPr="00491C4A">
          <w:rPr>
            <w:rStyle w:val="Hipervnculo"/>
            <w:rFonts w:ascii="Times New Roman" w:hAnsi="Times New Roman"/>
            <w:b/>
            <w:bCs/>
            <w:i/>
            <w:iCs/>
            <w:noProof/>
            <w:sz w:val="28"/>
            <w:szCs w:val="28"/>
          </w:rPr>
          <w:t>Tabla 8 – Tipos de proposiciones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_Toc200753667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37</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68" w:history="1">
        <w:r w:rsidRPr="00491C4A">
          <w:rPr>
            <w:rStyle w:val="Hipervnculo"/>
            <w:rFonts w:ascii="Times New Roman" w:hAnsi="Times New Roman"/>
            <w:b/>
            <w:bCs/>
            <w:noProof/>
            <w:sz w:val="28"/>
            <w:szCs w:val="28"/>
          </w:rPr>
          <w:t>E.</w:t>
        </w:r>
        <w:r w:rsidRPr="00491C4A">
          <w:rPr>
            <w:rFonts w:ascii="Times New Roman" w:hAnsi="Times New Roman"/>
            <w:noProof/>
            <w:sz w:val="28"/>
            <w:szCs w:val="28"/>
          </w:rPr>
          <w:tab/>
        </w:r>
        <w:r w:rsidRPr="00491C4A">
          <w:rPr>
            <w:rStyle w:val="Hipervnculo"/>
            <w:rFonts w:ascii="Times New Roman" w:hAnsi="Times New Roman"/>
            <w:b/>
            <w:bCs/>
            <w:noProof/>
            <w:sz w:val="28"/>
            <w:szCs w:val="28"/>
          </w:rPr>
          <w:t>Solución del cargo por vicios formales – discusión y aprobación del artículo 233 de la Ley 2294 de 2023 en la Plenaria de la Cámara de Representantes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w:instrText>
        </w:r>
        <w:r w:rsidRPr="00491C4A">
          <w:rPr>
            <w:rFonts w:ascii="Times New Roman" w:hAnsi="Times New Roman"/>
            <w:noProof/>
            <w:webHidden/>
            <w:sz w:val="28"/>
            <w:szCs w:val="28"/>
          </w:rPr>
          <w:instrText xml:space="preserve">REF _Toc200753668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42</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69" w:history="1">
        <w:r w:rsidRPr="00491C4A">
          <w:rPr>
            <w:rStyle w:val="Hipervnculo"/>
            <w:rFonts w:ascii="Times New Roman" w:hAnsi="Times New Roman"/>
            <w:b/>
            <w:bCs/>
            <w:noProof/>
            <w:sz w:val="28"/>
            <w:szCs w:val="28"/>
          </w:rPr>
          <w:t>F.</w:t>
        </w:r>
        <w:r w:rsidRPr="00491C4A">
          <w:rPr>
            <w:rFonts w:ascii="Times New Roman" w:hAnsi="Times New Roman"/>
            <w:noProof/>
            <w:sz w:val="28"/>
            <w:szCs w:val="28"/>
          </w:rPr>
          <w:tab/>
        </w:r>
        <w:r w:rsidRPr="00491C4A">
          <w:rPr>
            <w:rStyle w:val="Hipervnculo"/>
            <w:rFonts w:ascii="Times New Roman" w:hAnsi="Times New Roman"/>
            <w:b/>
            <w:bCs/>
            <w:noProof/>
            <w:sz w:val="28"/>
            <w:szCs w:val="28"/>
          </w:rPr>
          <w:t>Los principios de legalidad y certeza tributaria. Reiteración de jurisprudencia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_Toc200753669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47</w:t>
        </w:r>
        <w:r w:rsidRPr="00491C4A">
          <w:rPr>
            <w:rFonts w:ascii="Times New Roman" w:hAnsi="Times New Roman"/>
            <w:noProof/>
            <w:webHidden/>
            <w:sz w:val="28"/>
            <w:szCs w:val="28"/>
          </w:rPr>
          <w:fldChar w:fldCharType="end"/>
        </w:r>
      </w:hyperlink>
    </w:p>
    <w:p w:rsidR="00E4767B" w:rsidRPr="00491C4A" w:rsidRDefault="00491C4A">
      <w:pPr>
        <w:pStyle w:val="TDC3"/>
        <w:tabs>
          <w:tab w:val="right" w:leader="dot" w:pos="9397"/>
        </w:tabs>
        <w:rPr>
          <w:rFonts w:ascii="Times New Roman" w:hAnsi="Times New Roman"/>
          <w:noProof/>
          <w:sz w:val="28"/>
          <w:szCs w:val="28"/>
        </w:rPr>
      </w:pPr>
      <w:hyperlink w:anchor="_Toc200753670" w:history="1">
        <w:r w:rsidRPr="00491C4A">
          <w:rPr>
            <w:rStyle w:val="Hipervnculo"/>
            <w:rFonts w:ascii="Times New Roman" w:hAnsi="Times New Roman"/>
            <w:b/>
            <w:bCs/>
            <w:i/>
            <w:iCs/>
            <w:noProof/>
            <w:sz w:val="28"/>
            <w:szCs w:val="28"/>
          </w:rPr>
          <w:t>Tabla 9 – Tipos de tributos</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_Toc200753670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48</w:t>
        </w:r>
        <w:r w:rsidRPr="00491C4A">
          <w:rPr>
            <w:rFonts w:ascii="Times New Roman" w:hAnsi="Times New Roman"/>
            <w:noProof/>
            <w:webHidden/>
            <w:sz w:val="28"/>
            <w:szCs w:val="28"/>
          </w:rPr>
          <w:fldChar w:fldCharType="end"/>
        </w:r>
      </w:hyperlink>
    </w:p>
    <w:p w:rsidR="00E4767B" w:rsidRPr="00491C4A" w:rsidRDefault="00491C4A">
      <w:pPr>
        <w:pStyle w:val="TDC2"/>
        <w:tabs>
          <w:tab w:val="left" w:pos="960"/>
          <w:tab w:val="right" w:leader="dot" w:pos="9397"/>
        </w:tabs>
        <w:rPr>
          <w:rFonts w:ascii="Times New Roman" w:hAnsi="Times New Roman"/>
          <w:noProof/>
          <w:sz w:val="28"/>
          <w:szCs w:val="28"/>
        </w:rPr>
      </w:pPr>
      <w:hyperlink w:anchor="_Toc200753671" w:history="1">
        <w:r w:rsidRPr="00491C4A">
          <w:rPr>
            <w:rStyle w:val="Hipervnculo"/>
            <w:rFonts w:ascii="Times New Roman" w:hAnsi="Times New Roman"/>
            <w:b/>
            <w:bCs/>
            <w:noProof/>
            <w:sz w:val="28"/>
            <w:szCs w:val="28"/>
          </w:rPr>
          <w:t>G.</w:t>
        </w:r>
        <w:r w:rsidRPr="00491C4A">
          <w:rPr>
            <w:rFonts w:ascii="Times New Roman" w:hAnsi="Times New Roman"/>
            <w:noProof/>
            <w:sz w:val="28"/>
            <w:szCs w:val="28"/>
          </w:rPr>
          <w:tab/>
        </w:r>
        <w:r w:rsidRPr="00491C4A">
          <w:rPr>
            <w:rStyle w:val="Hipervnculo"/>
            <w:rFonts w:ascii="Times New Roman" w:hAnsi="Times New Roman"/>
            <w:b/>
            <w:bCs/>
            <w:noProof/>
            <w:sz w:val="28"/>
            <w:szCs w:val="28"/>
          </w:rPr>
          <w:t>Solución del tercer cargo, por violación de los principios de legalidad y certeza tributaria</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_Toc200753671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58</w:t>
        </w:r>
        <w:r w:rsidRPr="00491C4A">
          <w:rPr>
            <w:rFonts w:ascii="Times New Roman" w:hAnsi="Times New Roman"/>
            <w:noProof/>
            <w:webHidden/>
            <w:sz w:val="28"/>
            <w:szCs w:val="28"/>
          </w:rPr>
          <w:fldChar w:fldCharType="end"/>
        </w:r>
      </w:hyperlink>
    </w:p>
    <w:p w:rsidR="00E4767B" w:rsidRPr="00491C4A" w:rsidRDefault="00491C4A">
      <w:pPr>
        <w:pStyle w:val="TDC2"/>
        <w:tabs>
          <w:tab w:val="left" w:pos="960"/>
          <w:tab w:val="right" w:leader="dot" w:pos="9397"/>
        </w:tabs>
        <w:rPr>
          <w:rFonts w:ascii="Times New Roman" w:hAnsi="Times New Roman"/>
          <w:noProof/>
          <w:sz w:val="28"/>
          <w:szCs w:val="28"/>
        </w:rPr>
      </w:pPr>
      <w:hyperlink w:anchor="_Toc200753672" w:history="1">
        <w:r w:rsidRPr="00491C4A">
          <w:rPr>
            <w:rStyle w:val="Hipervnculo"/>
            <w:rFonts w:ascii="Times New Roman" w:hAnsi="Times New Roman"/>
            <w:b/>
            <w:bCs/>
            <w:noProof/>
            <w:sz w:val="28"/>
            <w:szCs w:val="28"/>
          </w:rPr>
          <w:t>H.</w:t>
        </w:r>
        <w:r w:rsidRPr="00491C4A">
          <w:rPr>
            <w:rFonts w:ascii="Times New Roman" w:hAnsi="Times New Roman"/>
            <w:noProof/>
            <w:sz w:val="28"/>
            <w:szCs w:val="28"/>
          </w:rPr>
          <w:tab/>
        </w:r>
        <w:r w:rsidRPr="00491C4A">
          <w:rPr>
            <w:rStyle w:val="Hipervnculo"/>
            <w:rFonts w:ascii="Times New Roman" w:hAnsi="Times New Roman"/>
            <w:b/>
            <w:bCs/>
            <w:noProof/>
            <w:sz w:val="28"/>
            <w:szCs w:val="28"/>
          </w:rPr>
          <w:t>El ejercicio de la facultad impositiva y el principio de progresividad y no regresividad en materia de DESC.</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_Toc200753672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63</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73" w:history="1">
        <w:r w:rsidRPr="00491C4A">
          <w:rPr>
            <w:rStyle w:val="Hipervnculo"/>
            <w:rFonts w:ascii="Times New Roman" w:hAnsi="Times New Roman"/>
            <w:b/>
            <w:bCs/>
            <w:noProof/>
            <w:sz w:val="28"/>
            <w:szCs w:val="28"/>
          </w:rPr>
          <w:t>I.</w:t>
        </w:r>
        <w:r w:rsidRPr="00491C4A">
          <w:rPr>
            <w:rFonts w:ascii="Times New Roman" w:hAnsi="Times New Roman"/>
            <w:noProof/>
            <w:sz w:val="28"/>
            <w:szCs w:val="28"/>
          </w:rPr>
          <w:tab/>
        </w:r>
        <w:r w:rsidRPr="00491C4A">
          <w:rPr>
            <w:rStyle w:val="Hipervnculo"/>
            <w:rFonts w:ascii="Times New Roman" w:hAnsi="Times New Roman"/>
            <w:b/>
            <w:bCs/>
            <w:noProof/>
            <w:sz w:val="28"/>
            <w:szCs w:val="28"/>
          </w:rPr>
          <w:t>El derecho al ambiente sano y los compromisos de mitigación del cambio climático</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_Toc200753673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70</w:t>
        </w:r>
        <w:r w:rsidRPr="00491C4A">
          <w:rPr>
            <w:rFonts w:ascii="Times New Roman" w:hAnsi="Times New Roman"/>
            <w:noProof/>
            <w:webHidden/>
            <w:sz w:val="28"/>
            <w:szCs w:val="28"/>
          </w:rPr>
          <w:fldChar w:fldCharType="end"/>
        </w:r>
      </w:hyperlink>
    </w:p>
    <w:p w:rsidR="00E4767B" w:rsidRPr="00491C4A" w:rsidRDefault="00491C4A">
      <w:pPr>
        <w:pStyle w:val="TDC2"/>
        <w:tabs>
          <w:tab w:val="left" w:pos="720"/>
          <w:tab w:val="right" w:leader="dot" w:pos="9397"/>
        </w:tabs>
        <w:rPr>
          <w:rFonts w:ascii="Times New Roman" w:hAnsi="Times New Roman"/>
          <w:noProof/>
          <w:sz w:val="28"/>
          <w:szCs w:val="28"/>
        </w:rPr>
      </w:pPr>
      <w:hyperlink w:anchor="_Toc200753674" w:history="1">
        <w:r w:rsidRPr="00491C4A">
          <w:rPr>
            <w:rStyle w:val="Hipervnculo"/>
            <w:rFonts w:ascii="Times New Roman" w:hAnsi="Times New Roman"/>
            <w:b/>
            <w:bCs/>
            <w:noProof/>
            <w:sz w:val="28"/>
            <w:szCs w:val="28"/>
          </w:rPr>
          <w:t>J.</w:t>
        </w:r>
        <w:r w:rsidRPr="00491C4A">
          <w:rPr>
            <w:rFonts w:ascii="Times New Roman" w:hAnsi="Times New Roman"/>
            <w:noProof/>
            <w:sz w:val="28"/>
            <w:szCs w:val="28"/>
          </w:rPr>
          <w:tab/>
        </w:r>
        <w:r w:rsidRPr="00491C4A">
          <w:rPr>
            <w:rStyle w:val="Hipervnculo"/>
            <w:rFonts w:ascii="Times New Roman" w:hAnsi="Times New Roman"/>
            <w:b/>
            <w:bCs/>
            <w:noProof/>
            <w:sz w:val="28"/>
            <w:szCs w:val="28"/>
          </w:rPr>
          <w:t>Solución del cuarto cargo, por violación del principio de progresividad y no regresividad en la protección del ambiente</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_Toc200753674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73</w:t>
        </w:r>
        <w:r w:rsidRPr="00491C4A">
          <w:rPr>
            <w:rFonts w:ascii="Times New Roman" w:hAnsi="Times New Roman"/>
            <w:noProof/>
            <w:webHidden/>
            <w:sz w:val="28"/>
            <w:szCs w:val="28"/>
          </w:rPr>
          <w:fldChar w:fldCharType="end"/>
        </w:r>
      </w:hyperlink>
    </w:p>
    <w:p w:rsidR="00E4767B" w:rsidRPr="00491C4A" w:rsidRDefault="00491C4A">
      <w:pPr>
        <w:pStyle w:val="TDC1"/>
        <w:tabs>
          <w:tab w:val="left" w:pos="720"/>
          <w:tab w:val="right" w:leader="dot" w:pos="9397"/>
        </w:tabs>
        <w:rPr>
          <w:rFonts w:ascii="Times New Roman" w:hAnsi="Times New Roman"/>
          <w:noProof/>
          <w:sz w:val="28"/>
          <w:szCs w:val="28"/>
        </w:rPr>
      </w:pPr>
      <w:hyperlink w:anchor="_Toc200753675" w:history="1">
        <w:r w:rsidRPr="00491C4A">
          <w:rPr>
            <w:rStyle w:val="Hipervnculo"/>
            <w:rFonts w:ascii="Times New Roman" w:eastAsia="Calibri" w:hAnsi="Times New Roman"/>
            <w:b/>
            <w:bCs/>
            <w:noProof/>
            <w:sz w:val="28"/>
            <w:szCs w:val="28"/>
            <w:lang w:val="es-ES" w:eastAsia="en-US"/>
          </w:rPr>
          <w:t>IV.</w:t>
        </w:r>
        <w:r w:rsidRPr="00491C4A">
          <w:rPr>
            <w:rFonts w:ascii="Times New Roman" w:hAnsi="Times New Roman"/>
            <w:noProof/>
            <w:sz w:val="28"/>
            <w:szCs w:val="28"/>
          </w:rPr>
          <w:tab/>
        </w:r>
        <w:r w:rsidRPr="00491C4A">
          <w:rPr>
            <w:rStyle w:val="Hipervnculo"/>
            <w:rFonts w:ascii="Times New Roman" w:eastAsia="Calibri" w:hAnsi="Times New Roman"/>
            <w:b/>
            <w:bCs/>
            <w:noProof/>
            <w:sz w:val="28"/>
            <w:szCs w:val="28"/>
            <w:lang w:val="es-ES" w:eastAsia="en-US"/>
          </w:rPr>
          <w:t>DECISIÓN</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_Toc200753675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77</w:t>
        </w:r>
        <w:r w:rsidRPr="00491C4A">
          <w:rPr>
            <w:rFonts w:ascii="Times New Roman" w:hAnsi="Times New Roman"/>
            <w:noProof/>
            <w:webHidden/>
            <w:sz w:val="28"/>
            <w:szCs w:val="28"/>
          </w:rPr>
          <w:fldChar w:fldCharType="end"/>
        </w:r>
      </w:hyperlink>
    </w:p>
    <w:p w:rsidR="00E4767B" w:rsidRPr="00491C4A" w:rsidRDefault="00491C4A">
      <w:pPr>
        <w:pStyle w:val="TDC1"/>
        <w:tabs>
          <w:tab w:val="right" w:leader="dot" w:pos="9397"/>
        </w:tabs>
        <w:rPr>
          <w:rFonts w:ascii="Times New Roman" w:hAnsi="Times New Roman"/>
          <w:noProof/>
          <w:sz w:val="28"/>
          <w:szCs w:val="28"/>
        </w:rPr>
      </w:pPr>
      <w:hyperlink w:anchor="_Toc200753676" w:history="1">
        <w:r w:rsidRPr="00491C4A">
          <w:rPr>
            <w:rStyle w:val="Hipervnculo"/>
            <w:rFonts w:ascii="Times New Roman" w:eastAsia="Calibri" w:hAnsi="Times New Roman"/>
            <w:b/>
            <w:bCs/>
            <w:noProof/>
            <w:sz w:val="28"/>
            <w:szCs w:val="28"/>
            <w:lang w:val="es-ES" w:eastAsia="en-US"/>
          </w:rPr>
          <w:t>RESUELVE</w:t>
        </w:r>
        <w:r w:rsidRPr="00491C4A">
          <w:rPr>
            <w:rFonts w:ascii="Times New Roman" w:hAnsi="Times New Roman"/>
            <w:noProof/>
            <w:webHidden/>
            <w:sz w:val="28"/>
            <w:szCs w:val="28"/>
          </w:rPr>
          <w:tab/>
        </w:r>
        <w:r w:rsidRPr="00491C4A">
          <w:rPr>
            <w:rFonts w:ascii="Times New Roman" w:hAnsi="Times New Roman"/>
            <w:noProof/>
            <w:webHidden/>
            <w:sz w:val="28"/>
            <w:szCs w:val="28"/>
          </w:rPr>
          <w:fldChar w:fldCharType="begin"/>
        </w:r>
        <w:r w:rsidRPr="00491C4A">
          <w:rPr>
            <w:rFonts w:ascii="Times New Roman" w:hAnsi="Times New Roman"/>
            <w:noProof/>
            <w:webHidden/>
            <w:sz w:val="28"/>
            <w:szCs w:val="28"/>
          </w:rPr>
          <w:instrText xml:space="preserve"> PAGEREF _Toc200753676 \h </w:instrText>
        </w:r>
        <w:r w:rsidRPr="00491C4A">
          <w:rPr>
            <w:rFonts w:ascii="Times New Roman" w:hAnsi="Times New Roman"/>
            <w:noProof/>
            <w:webHidden/>
            <w:sz w:val="28"/>
            <w:szCs w:val="28"/>
          </w:rPr>
        </w:r>
        <w:r w:rsidRPr="00491C4A">
          <w:rPr>
            <w:rFonts w:ascii="Times New Roman" w:hAnsi="Times New Roman"/>
            <w:noProof/>
            <w:webHidden/>
            <w:sz w:val="28"/>
            <w:szCs w:val="28"/>
          </w:rPr>
          <w:fldChar w:fldCharType="separate"/>
        </w:r>
        <w:r w:rsidRPr="00491C4A">
          <w:rPr>
            <w:rFonts w:ascii="Times New Roman" w:hAnsi="Times New Roman"/>
            <w:noProof/>
            <w:webHidden/>
            <w:sz w:val="28"/>
            <w:szCs w:val="28"/>
          </w:rPr>
          <w:t>77</w:t>
        </w:r>
        <w:r w:rsidRPr="00491C4A">
          <w:rPr>
            <w:rFonts w:ascii="Times New Roman" w:hAnsi="Times New Roman"/>
            <w:noProof/>
            <w:webHidden/>
            <w:sz w:val="28"/>
            <w:szCs w:val="28"/>
          </w:rPr>
          <w:fldChar w:fldCharType="end"/>
        </w:r>
      </w:hyperlink>
    </w:p>
    <w:p w:rsidR="00E4767B" w:rsidRPr="00491C4A" w:rsidRDefault="00491C4A">
      <w:pPr>
        <w:rPr>
          <w:rFonts w:ascii="Times New Roman" w:hAnsi="Times New Roman"/>
          <w:sz w:val="28"/>
          <w:szCs w:val="28"/>
        </w:rPr>
      </w:pPr>
      <w:r w:rsidRPr="00491C4A">
        <w:rPr>
          <w:rFonts w:ascii="Times New Roman" w:hAnsi="Times New Roman"/>
          <w:b/>
          <w:bCs/>
          <w:sz w:val="28"/>
          <w:szCs w:val="28"/>
        </w:rPr>
        <w:fldChar w:fldCharType="end"/>
      </w:r>
    </w:p>
    <w:p w:rsidR="00E4767B" w:rsidRPr="00491C4A" w:rsidRDefault="00491C4A" w:rsidP="00E4767B">
      <w:pPr>
        <w:rPr>
          <w:rFonts w:ascii="Times New Roman" w:hAnsi="Times New Roman"/>
          <w:kern w:val="1"/>
          <w:sz w:val="28"/>
          <w:szCs w:val="28"/>
        </w:rPr>
      </w:pPr>
    </w:p>
    <w:p w:rsidR="00406673" w:rsidRPr="00491C4A" w:rsidRDefault="00491C4A" w:rsidP="00AF33B7">
      <w:pPr>
        <w:pStyle w:val="Ttulo1"/>
        <w:numPr>
          <w:ilvl w:val="0"/>
          <w:numId w:val="2"/>
        </w:numPr>
        <w:spacing w:before="0" w:after="0"/>
        <w:ind w:left="360" w:hanging="360"/>
        <w:rPr>
          <w:rFonts w:ascii="Times New Roman" w:hAnsi="Times New Roman"/>
          <w:b/>
          <w:bCs/>
          <w:color w:val="auto"/>
          <w:sz w:val="28"/>
          <w:szCs w:val="28"/>
        </w:rPr>
      </w:pPr>
      <w:bookmarkStart w:id="4" w:name="_Toc200753641"/>
      <w:r w:rsidRPr="00491C4A">
        <w:rPr>
          <w:rFonts w:ascii="Times New Roman" w:hAnsi="Times New Roman"/>
          <w:b/>
          <w:bCs/>
          <w:color w:val="auto"/>
          <w:sz w:val="28"/>
          <w:szCs w:val="28"/>
        </w:rPr>
        <w:t>ANTECEDENTES</w:t>
      </w:r>
      <w:bookmarkEnd w:id="4"/>
    </w:p>
    <w:p w:rsidR="00406673" w:rsidRPr="00491C4A" w:rsidRDefault="00491C4A" w:rsidP="00406673">
      <w:pPr>
        <w:rPr>
          <w:rFonts w:ascii="Times New Roman" w:hAnsi="Times New Roman"/>
          <w:sz w:val="28"/>
          <w:szCs w:val="28"/>
        </w:rPr>
      </w:pPr>
    </w:p>
    <w:p w:rsidR="00406673" w:rsidRPr="00491C4A" w:rsidRDefault="00491C4A" w:rsidP="00406673">
      <w:pPr>
        <w:pStyle w:val="Ttulo2"/>
        <w:numPr>
          <w:ilvl w:val="0"/>
          <w:numId w:val="3"/>
        </w:numPr>
        <w:spacing w:before="0"/>
        <w:ind w:left="11" w:hanging="11"/>
        <w:rPr>
          <w:rFonts w:ascii="Times New Roman" w:hAnsi="Times New Roman"/>
          <w:b/>
          <w:color w:val="auto"/>
          <w:sz w:val="28"/>
          <w:szCs w:val="28"/>
        </w:rPr>
      </w:pPr>
      <w:bookmarkStart w:id="5" w:name="_Toc200753642"/>
      <w:r w:rsidRPr="00491C4A">
        <w:rPr>
          <w:rFonts w:ascii="Times New Roman" w:hAnsi="Times New Roman"/>
          <w:b/>
          <w:color w:val="auto"/>
          <w:sz w:val="28"/>
          <w:szCs w:val="28"/>
        </w:rPr>
        <w:t>Trámite de admisión</w:t>
      </w:r>
      <w:bookmarkEnd w:id="5"/>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hanging="11"/>
        <w:jc w:val="both"/>
        <w:rPr>
          <w:rFonts w:ascii="Times New Roman" w:hAnsi="Times New Roman"/>
          <w:sz w:val="28"/>
          <w:szCs w:val="28"/>
        </w:rPr>
      </w:pPr>
      <w:r w:rsidRPr="00491C4A">
        <w:rPr>
          <w:rFonts w:ascii="Times New Roman" w:hAnsi="Times New Roman"/>
          <w:sz w:val="28"/>
          <w:szCs w:val="28"/>
        </w:rPr>
        <w:t xml:space="preserve">El 18 de septiembre de 2023, los ciudadanos José Fernando Plata Puyana y Felipe Serrano Pinilla presentaron demanda </w:t>
      </w:r>
      <w:r w:rsidRPr="00491C4A">
        <w:rPr>
          <w:rFonts w:ascii="Times New Roman" w:hAnsi="Times New Roman"/>
          <w:sz w:val="28"/>
          <w:szCs w:val="28"/>
        </w:rPr>
        <w:t>de inconstitucionalidad contra el artículo 233 de la Ley 2294 de 2023, “</w:t>
      </w:r>
      <w:r w:rsidRPr="00491C4A">
        <w:rPr>
          <w:rFonts w:ascii="Times New Roman" w:hAnsi="Times New Roman"/>
          <w:i/>
          <w:iCs/>
          <w:sz w:val="28"/>
          <w:szCs w:val="28"/>
        </w:rPr>
        <w:t>Por el cual se expide el Plan Nacional de Desarrollo 2022-2026 ‘Colombia Potencia Mundial de Vida’</w:t>
      </w:r>
      <w:r w:rsidRPr="00491C4A">
        <w:rPr>
          <w:rFonts w:ascii="Times New Roman" w:hAnsi="Times New Roman"/>
          <w:sz w:val="28"/>
          <w:szCs w:val="28"/>
        </w:rPr>
        <w:t>”</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A s</w:t>
      </w:r>
      <w:r w:rsidRPr="00491C4A">
        <w:rPr>
          <w:rFonts w:ascii="Times New Roman" w:hAnsi="Times New Roman"/>
          <w:sz w:val="28"/>
          <w:szCs w:val="28"/>
        </w:rPr>
        <w:t>u juicio, dicha norma desconoce lo dispuesto en los artículos 79, 80, 150.12, 15</w:t>
      </w:r>
      <w:r w:rsidRPr="00491C4A">
        <w:rPr>
          <w:rFonts w:ascii="Times New Roman" w:hAnsi="Times New Roman"/>
          <w:sz w:val="28"/>
          <w:szCs w:val="28"/>
        </w:rPr>
        <w:t>7, 158 y 338 de la Constitución Política. Los accionantes presentaron cuatro cargos de inconstitucionalidad que denominaron de la siguiente forma: (i) violación del principio de consecutividad; (ii) violación del principio de unidad de materia; (iii) viola</w:t>
      </w:r>
      <w:r w:rsidRPr="00491C4A">
        <w:rPr>
          <w:rFonts w:ascii="Times New Roman" w:hAnsi="Times New Roman"/>
          <w:sz w:val="28"/>
          <w:szCs w:val="28"/>
        </w:rPr>
        <w:t>ción del principio de legalidad y certeza tributaria</w:t>
      </w:r>
      <w:r w:rsidRPr="00491C4A">
        <w:rPr>
          <w:rFonts w:ascii="Times New Roman" w:hAnsi="Times New Roman"/>
          <w:sz w:val="28"/>
          <w:szCs w:val="28"/>
        </w:rPr>
        <w:t>;</w:t>
      </w:r>
      <w:r w:rsidRPr="00491C4A">
        <w:rPr>
          <w:rFonts w:ascii="Times New Roman" w:hAnsi="Times New Roman"/>
          <w:sz w:val="28"/>
          <w:szCs w:val="28"/>
        </w:rPr>
        <w:t xml:space="preserve"> y</w:t>
      </w:r>
      <w:r w:rsidRPr="00491C4A">
        <w:rPr>
          <w:rFonts w:ascii="Times New Roman" w:hAnsi="Times New Roman"/>
          <w:sz w:val="28"/>
          <w:szCs w:val="28"/>
        </w:rPr>
        <w:t>,</w:t>
      </w:r>
      <w:r w:rsidRPr="00491C4A">
        <w:rPr>
          <w:rFonts w:ascii="Times New Roman" w:hAnsi="Times New Roman"/>
          <w:sz w:val="28"/>
          <w:szCs w:val="28"/>
        </w:rPr>
        <w:t xml:space="preserve"> (iv) violación del principio de no regresividad en materia ambiental.</w:t>
      </w:r>
      <w:r w:rsidRPr="00491C4A">
        <w:rPr>
          <w:rStyle w:val="Refdenotaalpie"/>
          <w:rFonts w:ascii="Times New Roman" w:hAnsi="Times New Roman"/>
          <w:sz w:val="28"/>
          <w:szCs w:val="28"/>
        </w:rPr>
        <w:footnoteReference w:id="1"/>
      </w:r>
      <w:r w:rsidRPr="00491C4A">
        <w:rPr>
          <w:rFonts w:ascii="Times New Roman" w:hAnsi="Times New Roman"/>
          <w:sz w:val="28"/>
          <w:szCs w:val="28"/>
        </w:rPr>
        <w:t xml:space="preserve"> Al expediente se le asignó el radicado D-15.525.</w:t>
      </w:r>
      <w:r w:rsidRPr="00491C4A">
        <w:rPr>
          <w:rStyle w:val="Refdenotaalpie"/>
          <w:rFonts w:ascii="Times New Roman" w:hAnsi="Times New Roman"/>
          <w:sz w:val="28"/>
          <w:szCs w:val="28"/>
        </w:rPr>
        <w:footnoteReference w:id="2"/>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hanging="11"/>
        <w:jc w:val="both"/>
        <w:rPr>
          <w:rFonts w:ascii="Times New Roman" w:hAnsi="Times New Roman"/>
          <w:sz w:val="28"/>
          <w:szCs w:val="28"/>
        </w:rPr>
      </w:pPr>
      <w:r w:rsidRPr="00491C4A">
        <w:rPr>
          <w:rFonts w:ascii="Times New Roman" w:hAnsi="Times New Roman"/>
          <w:sz w:val="28"/>
          <w:szCs w:val="28"/>
        </w:rPr>
        <w:t>El 25 de octubre de 2023, la Sala Plena repartió el expediente</w:t>
      </w:r>
      <w:r w:rsidRPr="00491C4A">
        <w:rPr>
          <w:rFonts w:ascii="Times New Roman" w:hAnsi="Times New Roman"/>
          <w:sz w:val="28"/>
          <w:szCs w:val="28"/>
        </w:rPr>
        <w:t>.</w:t>
      </w:r>
      <w:r w:rsidRPr="00491C4A">
        <w:rPr>
          <w:rStyle w:val="Refdenotaalpie"/>
          <w:rFonts w:ascii="Times New Roman" w:hAnsi="Times New Roman"/>
          <w:sz w:val="28"/>
          <w:szCs w:val="28"/>
        </w:rPr>
        <w:footnoteReference w:id="3"/>
      </w:r>
      <w:r w:rsidRPr="00491C4A">
        <w:rPr>
          <w:rFonts w:ascii="Times New Roman" w:hAnsi="Times New Roman"/>
          <w:sz w:val="28"/>
          <w:szCs w:val="28"/>
        </w:rPr>
        <w:t xml:space="preserve"> Mediante aut</w:t>
      </w:r>
      <w:r w:rsidRPr="00491C4A">
        <w:rPr>
          <w:rFonts w:ascii="Times New Roman" w:hAnsi="Times New Roman"/>
          <w:sz w:val="28"/>
          <w:szCs w:val="28"/>
        </w:rPr>
        <w:t>o del 14 de noviembre del mismo año, el Magistrado sustanciador admitió el primer cargo únicamente en lo relacionado a la vulneración del artículo 157 de la Constitución Política e</w:t>
      </w:r>
      <w:r w:rsidRPr="00491C4A">
        <w:rPr>
          <w:rFonts w:ascii="Times New Roman" w:hAnsi="Times New Roman"/>
          <w:kern w:val="1"/>
          <w:sz w:val="28"/>
          <w:szCs w:val="28"/>
        </w:rPr>
        <w:t xml:space="preserve"> inadmitió los demás reproches de inconstitucionalidad aducidos en la demand</w:t>
      </w:r>
      <w:r w:rsidRPr="00491C4A">
        <w:rPr>
          <w:rFonts w:ascii="Times New Roman" w:hAnsi="Times New Roman"/>
          <w:kern w:val="1"/>
          <w:sz w:val="28"/>
          <w:szCs w:val="28"/>
        </w:rPr>
        <w:t>a.</w:t>
      </w:r>
      <w:r w:rsidRPr="00491C4A">
        <w:rPr>
          <w:rStyle w:val="Refdenotaalpie"/>
          <w:rFonts w:ascii="Times New Roman" w:hAnsi="Times New Roman"/>
          <w:kern w:val="1"/>
          <w:sz w:val="28"/>
          <w:szCs w:val="28"/>
        </w:rPr>
        <w:footnoteReference w:id="4"/>
      </w:r>
      <w:r w:rsidRPr="00491C4A">
        <w:rPr>
          <w:rStyle w:val="Refdenotaalpie"/>
          <w:rFonts w:ascii="Times New Roman" w:hAnsi="Times New Roman"/>
          <w:kern w:val="1"/>
          <w:sz w:val="28"/>
          <w:szCs w:val="28"/>
        </w:rPr>
        <w:footnoteReference w:id="5"/>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hanging="11"/>
        <w:jc w:val="both"/>
        <w:rPr>
          <w:rFonts w:ascii="Times New Roman" w:hAnsi="Times New Roman"/>
          <w:sz w:val="28"/>
          <w:szCs w:val="28"/>
        </w:rPr>
      </w:pPr>
      <w:r w:rsidRPr="00491C4A">
        <w:rPr>
          <w:rFonts w:ascii="Times New Roman" w:hAnsi="Times New Roman"/>
          <w:sz w:val="28"/>
          <w:szCs w:val="28"/>
        </w:rPr>
        <w:t xml:space="preserve">De </w:t>
      </w:r>
      <w:r w:rsidRPr="00491C4A">
        <w:rPr>
          <w:rFonts w:ascii="Times New Roman" w:hAnsi="Times New Roman"/>
          <w:bCs/>
          <w:sz w:val="28"/>
          <w:szCs w:val="28"/>
        </w:rPr>
        <w:t xml:space="preserve">conformidad con la información proporcionada por la Secretaría General de esta Corte, los demandantes presentaron el escrito de corrección de la demanda el 21 de noviembre de 2023, dentro del término concedido para el efecto, el cual transcurrió </w:t>
      </w:r>
      <w:r w:rsidRPr="00491C4A">
        <w:rPr>
          <w:rFonts w:ascii="Times New Roman" w:hAnsi="Times New Roman"/>
          <w:bCs/>
          <w:sz w:val="28"/>
          <w:szCs w:val="28"/>
        </w:rPr>
        <w:t>los días 17, 20 y 21 de noviembre de 2023.</w:t>
      </w:r>
      <w:r w:rsidRPr="00491C4A">
        <w:rPr>
          <w:rStyle w:val="Refdenotaalpie"/>
          <w:rFonts w:ascii="Times New Roman" w:hAnsi="Times New Roman"/>
          <w:bCs/>
          <w:sz w:val="28"/>
          <w:szCs w:val="28"/>
        </w:rPr>
        <w:footnoteReference w:id="6"/>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hanging="11"/>
        <w:jc w:val="both"/>
        <w:rPr>
          <w:rFonts w:ascii="Times New Roman" w:hAnsi="Times New Roman"/>
          <w:sz w:val="28"/>
          <w:szCs w:val="28"/>
        </w:rPr>
      </w:pPr>
      <w:r w:rsidRPr="00491C4A">
        <w:rPr>
          <w:rFonts w:ascii="Times New Roman" w:hAnsi="Times New Roman"/>
          <w:kern w:val="1"/>
          <w:sz w:val="28"/>
          <w:szCs w:val="28"/>
        </w:rPr>
        <w:t>Una vez analizado el escrito de corrección de la demanda, en auto del 6 de diciembre de 2023 el magistrado sustanciador resolvió rechazar el primer cargo “en lo relacionado con la vulneración del artículo 160 de</w:t>
      </w:r>
      <w:r w:rsidRPr="00491C4A">
        <w:rPr>
          <w:rFonts w:ascii="Times New Roman" w:hAnsi="Times New Roman"/>
          <w:kern w:val="1"/>
          <w:sz w:val="28"/>
          <w:szCs w:val="28"/>
        </w:rPr>
        <w:t xml:space="preserve"> la Constitución Política y el principio de publicidad.” También decidió admitir los cargos segundo y cuarto en su totalidad. Por último, dispuso admitir el tercer cargo “únicamente respecto del reproche de falta de delimitación del sujeto pasivo en cuanto</w:t>
      </w:r>
      <w:r w:rsidRPr="00491C4A">
        <w:rPr>
          <w:rFonts w:ascii="Times New Roman" w:hAnsi="Times New Roman"/>
          <w:kern w:val="1"/>
          <w:sz w:val="28"/>
          <w:szCs w:val="28"/>
        </w:rPr>
        <w:t xml:space="preserve"> a las ‘plantas en operación o plantas con asignación de obligaciones’ que señala el parágrafo sexto del artículo 233 de la Ley 2294 de 2023 (…) y respecto de los beneficiarios señalados en el parágrafo séptimo de la misma norma con la expresión ‘comunidad</w:t>
      </w:r>
      <w:r w:rsidRPr="00491C4A">
        <w:rPr>
          <w:rFonts w:ascii="Times New Roman" w:hAnsi="Times New Roman"/>
          <w:kern w:val="1"/>
          <w:sz w:val="28"/>
          <w:szCs w:val="28"/>
        </w:rPr>
        <w:t>es étnicas ubicadas en los departamentos de influencia de los proyectos de generación’”.</w:t>
      </w:r>
      <w:r w:rsidRPr="00491C4A">
        <w:rPr>
          <w:rStyle w:val="Refdenotaalpie"/>
          <w:rFonts w:ascii="Times New Roman" w:hAnsi="Times New Roman"/>
          <w:kern w:val="1"/>
          <w:sz w:val="28"/>
          <w:szCs w:val="28"/>
        </w:rPr>
        <w:footnoteReference w:id="7"/>
      </w:r>
      <w:r w:rsidRPr="00491C4A">
        <w:rPr>
          <w:rStyle w:val="Refdenotaalpie"/>
          <w:rFonts w:ascii="Times New Roman" w:hAnsi="Times New Roman"/>
          <w:kern w:val="1"/>
          <w:sz w:val="28"/>
          <w:szCs w:val="28"/>
        </w:rPr>
        <w:footnoteReference w:id="8"/>
      </w:r>
      <w:r w:rsidRPr="00491C4A">
        <w:rPr>
          <w:rStyle w:val="Refdenotaalpie"/>
          <w:rFonts w:ascii="Times New Roman" w:hAnsi="Times New Roman"/>
          <w:sz w:val="28"/>
          <w:szCs w:val="28"/>
        </w:rPr>
        <w:footnoteReference w:id="9"/>
      </w:r>
    </w:p>
    <w:p w:rsidR="00406673" w:rsidRPr="00491C4A" w:rsidRDefault="00491C4A" w:rsidP="00406673">
      <w:pPr>
        <w:pStyle w:val="Prrafodelista"/>
        <w:ind w:left="0"/>
        <w:jc w:val="both"/>
        <w:rPr>
          <w:rFonts w:ascii="Times New Roman" w:hAnsi="Times New Roman"/>
          <w:sz w:val="28"/>
          <w:szCs w:val="28"/>
        </w:rPr>
      </w:pPr>
    </w:p>
    <w:p w:rsidR="00AF33B7"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2"/>
        <w:numPr>
          <w:ilvl w:val="0"/>
          <w:numId w:val="3"/>
        </w:numPr>
        <w:spacing w:before="0"/>
        <w:ind w:left="0" w:hanging="11"/>
        <w:rPr>
          <w:rFonts w:ascii="Times New Roman" w:hAnsi="Times New Roman"/>
          <w:b/>
          <w:color w:val="auto"/>
          <w:sz w:val="28"/>
          <w:szCs w:val="28"/>
        </w:rPr>
      </w:pPr>
      <w:bookmarkStart w:id="6" w:name="_Toc200753643"/>
      <w:r w:rsidRPr="00491C4A">
        <w:rPr>
          <w:rFonts w:ascii="Times New Roman" w:hAnsi="Times New Roman"/>
          <w:b/>
          <w:color w:val="auto"/>
          <w:sz w:val="28"/>
          <w:szCs w:val="28"/>
        </w:rPr>
        <w:t>Norma demandada</w:t>
      </w:r>
      <w:bookmarkEnd w:id="6"/>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shd w:val="clear" w:color="auto" w:fill="FFFFFF"/>
        </w:rPr>
        <w:t>A continuación, se transcribe el texto de la disposición demandada:</w:t>
      </w:r>
    </w:p>
    <w:p w:rsidR="00406673" w:rsidRPr="00491C4A" w:rsidRDefault="00491C4A" w:rsidP="00406673">
      <w:pPr>
        <w:pStyle w:val="centrado"/>
        <w:spacing w:before="0" w:beforeAutospacing="0" w:after="0" w:afterAutospacing="0"/>
        <w:ind w:left="283"/>
        <w:jc w:val="center"/>
        <w:rPr>
          <w:rStyle w:val="baj"/>
          <w:rFonts w:ascii="Times New Roman" w:hAnsi="Times New Roman"/>
          <w:i/>
          <w:iCs/>
          <w:sz w:val="28"/>
          <w:szCs w:val="28"/>
        </w:rPr>
      </w:pPr>
    </w:p>
    <w:p w:rsidR="00406673" w:rsidRPr="00491C4A" w:rsidRDefault="00491C4A" w:rsidP="00406673">
      <w:pPr>
        <w:pStyle w:val="centrado"/>
        <w:spacing w:before="0" w:beforeAutospacing="0" w:after="0" w:afterAutospacing="0"/>
        <w:ind w:left="284" w:right="284"/>
        <w:jc w:val="center"/>
        <w:rPr>
          <w:rStyle w:val="baj"/>
          <w:rFonts w:ascii="Times New Roman" w:hAnsi="Times New Roman"/>
          <w:b/>
          <w:i/>
          <w:iCs/>
          <w:sz w:val="28"/>
          <w:szCs w:val="28"/>
        </w:rPr>
      </w:pPr>
      <w:r w:rsidRPr="00491C4A">
        <w:rPr>
          <w:rFonts w:ascii="Times New Roman" w:hAnsi="Times New Roman"/>
          <w:i/>
          <w:sz w:val="28"/>
          <w:szCs w:val="28"/>
        </w:rPr>
        <w:t>“</w:t>
      </w:r>
      <w:r w:rsidRPr="00491C4A">
        <w:rPr>
          <w:rStyle w:val="baj"/>
          <w:rFonts w:ascii="Times New Roman" w:hAnsi="Times New Roman"/>
          <w:b/>
          <w:i/>
          <w:iCs/>
          <w:sz w:val="28"/>
          <w:szCs w:val="28"/>
        </w:rPr>
        <w:t>Ley 2294 de 2023</w:t>
      </w:r>
      <w:r w:rsidRPr="00491C4A">
        <w:rPr>
          <w:rStyle w:val="Refdenotaalpie"/>
          <w:rFonts w:ascii="Times New Roman" w:hAnsi="Times New Roman"/>
          <w:b/>
          <w:i/>
          <w:iCs/>
          <w:sz w:val="28"/>
          <w:szCs w:val="28"/>
        </w:rPr>
        <w:footnoteReference w:id="10"/>
      </w:r>
    </w:p>
    <w:p w:rsidR="00AF33B7" w:rsidRPr="00491C4A" w:rsidRDefault="00491C4A" w:rsidP="00406673">
      <w:pPr>
        <w:pStyle w:val="centrado"/>
        <w:spacing w:before="0" w:beforeAutospacing="0" w:after="0" w:afterAutospacing="0"/>
        <w:ind w:left="284" w:right="284"/>
        <w:jc w:val="center"/>
        <w:rPr>
          <w:rFonts w:ascii="Times New Roman" w:hAnsi="Times New Roman"/>
          <w:i/>
          <w:iCs/>
          <w:sz w:val="28"/>
          <w:szCs w:val="28"/>
        </w:rPr>
      </w:pPr>
    </w:p>
    <w:p w:rsidR="00406673" w:rsidRPr="00491C4A" w:rsidRDefault="00491C4A" w:rsidP="00406673">
      <w:pPr>
        <w:pStyle w:val="centrado"/>
        <w:spacing w:before="0" w:beforeAutospacing="0" w:after="0" w:afterAutospacing="0"/>
        <w:ind w:left="284" w:right="284"/>
        <w:jc w:val="center"/>
        <w:rPr>
          <w:rFonts w:ascii="Times New Roman" w:hAnsi="Times New Roman"/>
          <w:i/>
          <w:iCs/>
          <w:sz w:val="28"/>
          <w:szCs w:val="28"/>
        </w:rPr>
      </w:pPr>
      <w:r w:rsidRPr="00491C4A">
        <w:rPr>
          <w:rFonts w:ascii="Times New Roman" w:hAnsi="Times New Roman"/>
          <w:i/>
          <w:iCs/>
          <w:sz w:val="28"/>
          <w:szCs w:val="28"/>
        </w:rPr>
        <w:t xml:space="preserve">Por el cual se expide el Plan Nacional de Desarrollo </w:t>
      </w:r>
      <w:r w:rsidRPr="00491C4A">
        <w:rPr>
          <w:rFonts w:ascii="Times New Roman" w:hAnsi="Times New Roman"/>
          <w:i/>
          <w:iCs/>
          <w:sz w:val="28"/>
          <w:szCs w:val="28"/>
        </w:rPr>
        <w:t>2022-2026 ‘Colombia Potencia Mundial de la Vida’</w:t>
      </w:r>
    </w:p>
    <w:p w:rsidR="00406673" w:rsidRPr="00491C4A" w:rsidRDefault="00491C4A" w:rsidP="00406673">
      <w:pPr>
        <w:pStyle w:val="centrado"/>
        <w:spacing w:before="0" w:beforeAutospacing="0" w:after="0" w:afterAutospacing="0"/>
        <w:ind w:left="284" w:right="284"/>
        <w:jc w:val="center"/>
        <w:rPr>
          <w:rFonts w:ascii="Times New Roman" w:hAnsi="Times New Roman"/>
          <w:i/>
          <w:iCs/>
          <w:sz w:val="28"/>
          <w:szCs w:val="28"/>
        </w:rPr>
      </w:pPr>
    </w:p>
    <w:p w:rsidR="00406673" w:rsidRPr="00491C4A" w:rsidRDefault="00491C4A" w:rsidP="00406673">
      <w:pPr>
        <w:pStyle w:val="centrado"/>
        <w:spacing w:before="0" w:beforeAutospacing="0" w:after="0" w:afterAutospacing="0"/>
        <w:ind w:left="284" w:right="284"/>
        <w:jc w:val="center"/>
        <w:rPr>
          <w:rStyle w:val="baj"/>
          <w:rFonts w:ascii="Times New Roman" w:hAnsi="Times New Roman"/>
          <w:b/>
          <w:i/>
          <w:iCs/>
          <w:sz w:val="28"/>
          <w:szCs w:val="28"/>
        </w:rPr>
      </w:pPr>
      <w:r w:rsidRPr="00491C4A">
        <w:rPr>
          <w:rStyle w:val="baj"/>
          <w:rFonts w:ascii="Times New Roman" w:hAnsi="Times New Roman"/>
          <w:b/>
          <w:i/>
          <w:iCs/>
          <w:sz w:val="28"/>
          <w:szCs w:val="28"/>
        </w:rPr>
        <w:t>EL CONGRESO DE COLOMBIA</w:t>
      </w:r>
    </w:p>
    <w:p w:rsidR="00406673" w:rsidRPr="00491C4A" w:rsidRDefault="00491C4A" w:rsidP="00406673">
      <w:pPr>
        <w:pStyle w:val="centrado"/>
        <w:spacing w:before="0" w:beforeAutospacing="0" w:after="0" w:afterAutospacing="0"/>
        <w:ind w:left="284" w:right="284"/>
        <w:jc w:val="center"/>
        <w:rPr>
          <w:rFonts w:ascii="Times New Roman" w:hAnsi="Times New Roman"/>
          <w:i/>
          <w:iCs/>
          <w:sz w:val="28"/>
          <w:szCs w:val="28"/>
        </w:rPr>
      </w:pPr>
    </w:p>
    <w:p w:rsidR="00406673" w:rsidRPr="00491C4A" w:rsidRDefault="00491C4A" w:rsidP="00406673">
      <w:pPr>
        <w:pStyle w:val="centrado"/>
        <w:spacing w:before="0" w:beforeAutospacing="0" w:after="0" w:afterAutospacing="0"/>
        <w:ind w:left="284" w:right="284"/>
        <w:jc w:val="center"/>
        <w:rPr>
          <w:rStyle w:val="baj"/>
          <w:rFonts w:ascii="Times New Roman" w:hAnsi="Times New Roman"/>
          <w:b/>
          <w:i/>
          <w:iCs/>
          <w:sz w:val="28"/>
          <w:szCs w:val="28"/>
        </w:rPr>
      </w:pPr>
      <w:r w:rsidRPr="00491C4A">
        <w:rPr>
          <w:rStyle w:val="baj"/>
          <w:rFonts w:ascii="Times New Roman" w:hAnsi="Times New Roman"/>
          <w:b/>
          <w:i/>
          <w:iCs/>
          <w:sz w:val="28"/>
          <w:szCs w:val="28"/>
        </w:rPr>
        <w:t>DECRETA:</w:t>
      </w:r>
    </w:p>
    <w:p w:rsidR="00AF33B7" w:rsidRPr="00491C4A" w:rsidRDefault="00491C4A" w:rsidP="00406673">
      <w:pPr>
        <w:pStyle w:val="centrado"/>
        <w:spacing w:before="0" w:beforeAutospacing="0" w:after="0" w:afterAutospacing="0"/>
        <w:ind w:left="284" w:right="284"/>
        <w:jc w:val="center"/>
        <w:rPr>
          <w:rStyle w:val="baj"/>
          <w:rFonts w:ascii="Times New Roman" w:hAnsi="Times New Roman"/>
          <w:bCs/>
          <w:sz w:val="28"/>
          <w:szCs w:val="28"/>
        </w:rPr>
      </w:pPr>
    </w:p>
    <w:p w:rsidR="00406673" w:rsidRPr="00491C4A" w:rsidRDefault="00491C4A" w:rsidP="00406673">
      <w:pPr>
        <w:pStyle w:val="centrado"/>
        <w:spacing w:before="0" w:beforeAutospacing="0" w:after="0" w:afterAutospacing="0"/>
        <w:ind w:left="284" w:right="284"/>
        <w:jc w:val="center"/>
        <w:rPr>
          <w:rStyle w:val="baj"/>
          <w:rFonts w:ascii="Times New Roman" w:hAnsi="Times New Roman"/>
          <w:bCs/>
          <w:sz w:val="28"/>
          <w:szCs w:val="28"/>
        </w:rPr>
      </w:pPr>
      <w:r w:rsidRPr="00491C4A">
        <w:rPr>
          <w:rStyle w:val="baj"/>
          <w:rFonts w:ascii="Times New Roman" w:hAnsi="Times New Roman"/>
          <w:bCs/>
          <w:sz w:val="28"/>
          <w:szCs w:val="28"/>
        </w:rPr>
        <w:t>(…)</w:t>
      </w:r>
    </w:p>
    <w:p w:rsidR="00406673" w:rsidRPr="00491C4A" w:rsidRDefault="00491C4A" w:rsidP="00406673">
      <w:pPr>
        <w:pStyle w:val="centrado"/>
        <w:spacing w:before="0" w:beforeAutospacing="0" w:after="0" w:afterAutospacing="0"/>
        <w:ind w:left="284" w:right="284"/>
        <w:jc w:val="center"/>
        <w:rPr>
          <w:rStyle w:val="baj"/>
          <w:rFonts w:ascii="Times New Roman" w:hAnsi="Times New Roman"/>
          <w:bCs/>
          <w:sz w:val="28"/>
          <w:szCs w:val="28"/>
        </w:rPr>
      </w:pPr>
    </w:p>
    <w:p w:rsidR="00406673" w:rsidRPr="00491C4A" w:rsidRDefault="00491C4A" w:rsidP="00406673">
      <w:pPr>
        <w:ind w:left="284" w:right="284"/>
        <w:jc w:val="center"/>
        <w:rPr>
          <w:rFonts w:ascii="Times New Roman" w:hAnsi="Times New Roman"/>
          <w:b/>
          <w:bCs/>
          <w:i/>
          <w:iCs/>
          <w:sz w:val="28"/>
          <w:szCs w:val="28"/>
        </w:rPr>
      </w:pPr>
      <w:bookmarkStart w:id="7" w:name="CAPÍTULO_V-TIII"/>
      <w:r w:rsidRPr="00491C4A">
        <w:rPr>
          <w:rFonts w:ascii="Times New Roman" w:hAnsi="Times New Roman"/>
          <w:b/>
          <w:bCs/>
          <w:i/>
          <w:iCs/>
          <w:sz w:val="28"/>
          <w:szCs w:val="28"/>
        </w:rPr>
        <w:t>CAPÍTULO V</w:t>
      </w:r>
      <w:r w:rsidRPr="00491C4A">
        <w:rPr>
          <w:rFonts w:ascii="Times New Roman" w:hAnsi="Times New Roman"/>
          <w:b/>
          <w:bCs/>
          <w:i/>
          <w:iCs/>
          <w:sz w:val="28"/>
          <w:szCs w:val="28"/>
        </w:rPr>
        <w:br/>
        <w:t>TRANSFORMACIÓN PRODUCTIVA, INTERNACIONALIZACIÓN Y ACCIÓN CLIMÁTICA</w:t>
      </w:r>
    </w:p>
    <w:p w:rsidR="00406673" w:rsidRPr="00491C4A" w:rsidRDefault="00491C4A" w:rsidP="00406673">
      <w:pPr>
        <w:ind w:left="284" w:right="284"/>
        <w:jc w:val="center"/>
        <w:rPr>
          <w:rFonts w:ascii="Times New Roman" w:hAnsi="Times New Roman"/>
          <w:i/>
          <w:iCs/>
          <w:sz w:val="28"/>
          <w:szCs w:val="28"/>
        </w:rPr>
      </w:pPr>
    </w:p>
    <w:p w:rsidR="00406673" w:rsidRPr="00491C4A" w:rsidRDefault="00491C4A" w:rsidP="00406673">
      <w:pPr>
        <w:ind w:left="284" w:right="284"/>
        <w:jc w:val="center"/>
        <w:rPr>
          <w:rFonts w:ascii="Times New Roman" w:hAnsi="Times New Roman"/>
          <w:i/>
          <w:iCs/>
          <w:sz w:val="28"/>
          <w:szCs w:val="28"/>
        </w:rPr>
      </w:pPr>
      <w:bookmarkStart w:id="8" w:name="TÍTULO_I"/>
      <w:bookmarkStart w:id="9" w:name="SECCIÓN_I-CV-TIII"/>
      <w:bookmarkEnd w:id="7"/>
      <w:bookmarkEnd w:id="8"/>
      <w:r w:rsidRPr="00491C4A">
        <w:rPr>
          <w:rFonts w:ascii="Times New Roman" w:hAnsi="Times New Roman"/>
          <w:b/>
          <w:bCs/>
          <w:i/>
          <w:iCs/>
          <w:sz w:val="28"/>
          <w:szCs w:val="28"/>
        </w:rPr>
        <w:t>SECCIÓN I</w:t>
      </w:r>
      <w:bookmarkEnd w:id="9"/>
      <w:r w:rsidRPr="00491C4A">
        <w:rPr>
          <w:rFonts w:ascii="Times New Roman" w:hAnsi="Times New Roman"/>
          <w:b/>
          <w:bCs/>
          <w:i/>
          <w:iCs/>
          <w:sz w:val="28"/>
          <w:szCs w:val="28"/>
        </w:rPr>
        <w:br/>
        <w:t>TRANSICIÓN ENERGÉTICA SEGURA, CONFIABLE Y EFICIENTE PARA ALCANZAR CARBONO NEU</w:t>
      </w:r>
      <w:r w:rsidRPr="00491C4A">
        <w:rPr>
          <w:rFonts w:ascii="Times New Roman" w:hAnsi="Times New Roman"/>
          <w:b/>
          <w:bCs/>
          <w:i/>
          <w:iCs/>
          <w:sz w:val="28"/>
          <w:szCs w:val="28"/>
        </w:rPr>
        <w:t>TRALIDAD Y CONSOLIDAR TERRITORIOS RESILIENTES AL CLIMA</w:t>
      </w:r>
    </w:p>
    <w:p w:rsidR="00406673" w:rsidRPr="00491C4A" w:rsidRDefault="00491C4A" w:rsidP="00406673">
      <w:pPr>
        <w:pStyle w:val="centrado"/>
        <w:spacing w:before="0" w:beforeAutospacing="0" w:after="0" w:afterAutospacing="0"/>
        <w:ind w:left="284" w:right="284"/>
        <w:rPr>
          <w:rStyle w:val="baj"/>
          <w:rFonts w:ascii="Times New Roman" w:hAnsi="Times New Roman"/>
          <w:bCs/>
          <w:i/>
          <w:iCs/>
          <w:sz w:val="28"/>
          <w:szCs w:val="28"/>
        </w:rPr>
      </w:pPr>
      <w:r w:rsidRPr="00491C4A">
        <w:rPr>
          <w:rStyle w:val="baj"/>
          <w:rFonts w:ascii="Times New Roman" w:hAnsi="Times New Roman"/>
          <w:bCs/>
          <w:i/>
          <w:iCs/>
          <w:sz w:val="28"/>
          <w:szCs w:val="28"/>
        </w:rPr>
        <w:t>(…)</w:t>
      </w:r>
    </w:p>
    <w:p w:rsidR="00406673" w:rsidRPr="00491C4A" w:rsidRDefault="00491C4A" w:rsidP="00406673">
      <w:pPr>
        <w:pStyle w:val="NormalWeb"/>
        <w:spacing w:before="0" w:beforeAutospacing="0" w:after="0" w:afterAutospacing="0"/>
        <w:ind w:left="284" w:right="284"/>
        <w:jc w:val="both"/>
        <w:rPr>
          <w:rFonts w:ascii="Times New Roman" w:hAnsi="Times New Roman"/>
          <w:b/>
          <w:bCs/>
          <w:i/>
          <w:iCs/>
          <w:sz w:val="28"/>
          <w:szCs w:val="28"/>
        </w:rPr>
      </w:pPr>
      <w:bookmarkStart w:id="10" w:name="233"/>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r w:rsidRPr="00491C4A">
        <w:rPr>
          <w:rFonts w:ascii="Times New Roman" w:hAnsi="Times New Roman"/>
          <w:b/>
          <w:bCs/>
          <w:i/>
          <w:iCs/>
          <w:sz w:val="28"/>
          <w:szCs w:val="28"/>
        </w:rPr>
        <w:t>ARTÍCULO 233.</w:t>
      </w:r>
      <w:bookmarkEnd w:id="10"/>
      <w:r w:rsidRPr="00491C4A">
        <w:rPr>
          <w:rFonts w:ascii="Times New Roman" w:hAnsi="Times New Roman"/>
          <w:i/>
          <w:iCs/>
          <w:sz w:val="28"/>
          <w:szCs w:val="28"/>
        </w:rPr>
        <w:t> Adiciónense los parágrafos 5o, 6o y 7o al artículo </w:t>
      </w:r>
      <w:r w:rsidRPr="00491C4A">
        <w:rPr>
          <w:rFonts w:ascii="Times New Roman" w:hAnsi="Times New Roman"/>
          <w:i/>
          <w:iCs/>
          <w:sz w:val="28"/>
          <w:szCs w:val="28"/>
        </w:rPr>
        <w:t>54</w:t>
      </w:r>
      <w:r w:rsidRPr="00491C4A">
        <w:rPr>
          <w:rFonts w:ascii="Times New Roman" w:hAnsi="Times New Roman"/>
          <w:i/>
          <w:iCs/>
          <w:sz w:val="28"/>
          <w:szCs w:val="28"/>
        </w:rPr>
        <w:t> de la Ley 143 de 1994, así:</w:t>
      </w: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r w:rsidRPr="00491C4A">
        <w:rPr>
          <w:rStyle w:val="baj"/>
          <w:rFonts w:ascii="Times New Roman" w:hAnsi="Times New Roman"/>
          <w:b/>
          <w:bCs/>
          <w:i/>
          <w:iCs/>
          <w:sz w:val="28"/>
          <w:szCs w:val="28"/>
        </w:rPr>
        <w:t>Artículo 54.</w:t>
      </w:r>
    </w:p>
    <w:p w:rsidR="00406673" w:rsidRPr="00491C4A" w:rsidRDefault="00491C4A" w:rsidP="00406673">
      <w:pPr>
        <w:pStyle w:val="NormalWeb"/>
        <w:spacing w:before="0" w:beforeAutospacing="0" w:after="0" w:afterAutospacing="0"/>
        <w:ind w:left="284" w:right="284"/>
        <w:jc w:val="both"/>
        <w:rPr>
          <w:rFonts w:ascii="Times New Roman" w:hAnsi="Times New Roman"/>
          <w:sz w:val="28"/>
          <w:szCs w:val="28"/>
        </w:rPr>
      </w:pPr>
      <w:r w:rsidRPr="00491C4A">
        <w:rPr>
          <w:rFonts w:ascii="Times New Roman" w:hAnsi="Times New Roman"/>
          <w:sz w:val="28"/>
          <w:szCs w:val="28"/>
        </w:rPr>
        <w:t>(...)</w:t>
      </w:r>
    </w:p>
    <w:p w:rsidR="00AF33B7" w:rsidRPr="00491C4A" w:rsidRDefault="00491C4A" w:rsidP="00406673">
      <w:pPr>
        <w:pStyle w:val="NormalWeb"/>
        <w:spacing w:before="0" w:beforeAutospacing="0" w:after="0" w:afterAutospacing="0"/>
        <w:ind w:left="284" w:right="284"/>
        <w:jc w:val="both"/>
        <w:rPr>
          <w:rFonts w:ascii="Times New Roman" w:hAnsi="Times New Roman"/>
          <w:sz w:val="28"/>
          <w:szCs w:val="28"/>
        </w:rPr>
      </w:pP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r w:rsidRPr="00491C4A">
        <w:rPr>
          <w:rStyle w:val="baj"/>
          <w:rFonts w:ascii="Times New Roman" w:hAnsi="Times New Roman"/>
          <w:b/>
          <w:bCs/>
          <w:i/>
          <w:iCs/>
          <w:sz w:val="28"/>
          <w:szCs w:val="28"/>
        </w:rPr>
        <w:t>PARÁGRAFO 5o.</w:t>
      </w:r>
      <w:r w:rsidRPr="00491C4A">
        <w:rPr>
          <w:rFonts w:ascii="Times New Roman" w:hAnsi="Times New Roman"/>
          <w:i/>
          <w:iCs/>
          <w:sz w:val="28"/>
          <w:szCs w:val="28"/>
        </w:rPr>
        <w:t> Para aquellas plantas nuevas que aún no se encuentren en operación y que estén localizadas en áreas con la mayor radiación solar promedio anual (mayores a 5 kWh/m2/día) y de mayor velocidad promedio de viento (mayores a 4 m/s a 10 m de altura), de acuerdo</w:t>
      </w:r>
      <w:r w:rsidRPr="00491C4A">
        <w:rPr>
          <w:rFonts w:ascii="Times New Roman" w:hAnsi="Times New Roman"/>
          <w:i/>
          <w:iCs/>
          <w:sz w:val="28"/>
          <w:szCs w:val="28"/>
        </w:rPr>
        <w:t xml:space="preserve"> con los últimos datos disponibles en los atlas de radiación y velocidad de viento del </w:t>
      </w:r>
      <w:r w:rsidRPr="00491C4A">
        <w:rPr>
          <w:rFonts w:ascii="Times New Roman" w:hAnsi="Times New Roman"/>
          <w:i/>
          <w:iCs/>
          <w:sz w:val="28"/>
          <w:szCs w:val="28"/>
        </w:rPr>
        <w:t>IDEAM</w:t>
      </w:r>
      <w:r w:rsidRPr="00491C4A">
        <w:rPr>
          <w:rFonts w:ascii="Times New Roman" w:hAnsi="Times New Roman"/>
          <w:i/>
          <w:iCs/>
          <w:sz w:val="28"/>
          <w:szCs w:val="28"/>
        </w:rPr>
        <w:t>, el porcentaje de la transferencia a la que se refiere este artículo será del 6% de las ventas brutas de energía por generación propia y será implementado de maner</w:t>
      </w:r>
      <w:r w:rsidRPr="00491C4A">
        <w:rPr>
          <w:rFonts w:ascii="Times New Roman" w:hAnsi="Times New Roman"/>
          <w:i/>
          <w:iCs/>
          <w:sz w:val="28"/>
          <w:szCs w:val="28"/>
        </w:rPr>
        <w:t>a gradual, en los siguientes términos: Transcurridos dos (2) años, a partir de la entrada en vigencia de la presente ley, se aumentará dos (2) puntos porcentuales, quedando en tres por ciento (3%). Al tercer año de la entrada en vigencia de la presente ley</w:t>
      </w:r>
      <w:r w:rsidRPr="00491C4A">
        <w:rPr>
          <w:rFonts w:ascii="Times New Roman" w:hAnsi="Times New Roman"/>
          <w:i/>
          <w:iCs/>
          <w:sz w:val="28"/>
          <w:szCs w:val="28"/>
        </w:rPr>
        <w:t>, se aumentará un (1) punto porcentual, quedando en cuatro por ciento (4%). Al cuarto año de la entrada en vigencia de la presente ley, se aumentará un (1) punto porcentual, quedando en cinco por ciento (5%). A partir del quinto año de la entrada en vigenc</w:t>
      </w:r>
      <w:r w:rsidRPr="00491C4A">
        <w:rPr>
          <w:rFonts w:ascii="Times New Roman" w:hAnsi="Times New Roman"/>
          <w:i/>
          <w:iCs/>
          <w:sz w:val="28"/>
          <w:szCs w:val="28"/>
        </w:rPr>
        <w:t>ia de la presente ley, se aumentará un (1) punto porcentual, llegando al seis por ciento (6%).</w:t>
      </w: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r w:rsidRPr="00491C4A">
        <w:rPr>
          <w:rStyle w:val="baj"/>
          <w:rFonts w:ascii="Times New Roman" w:hAnsi="Times New Roman"/>
          <w:b/>
          <w:bCs/>
          <w:i/>
          <w:iCs/>
          <w:sz w:val="28"/>
          <w:szCs w:val="28"/>
        </w:rPr>
        <w:t>PARÁGRAFO 6o.</w:t>
      </w:r>
      <w:r w:rsidRPr="00491C4A">
        <w:rPr>
          <w:rFonts w:ascii="Times New Roman" w:hAnsi="Times New Roman"/>
          <w:i/>
          <w:iCs/>
          <w:sz w:val="28"/>
          <w:szCs w:val="28"/>
        </w:rPr>
        <w:t> Para plantas en operación o plantas con asignación de obligaciones al momento de la vigencia de la presente ley, que estén localizadas en áreas co</w:t>
      </w:r>
      <w:r w:rsidRPr="00491C4A">
        <w:rPr>
          <w:rFonts w:ascii="Times New Roman" w:hAnsi="Times New Roman"/>
          <w:i/>
          <w:iCs/>
          <w:sz w:val="28"/>
          <w:szCs w:val="28"/>
        </w:rPr>
        <w:t xml:space="preserve">n la mayor radiación solar promedio anual (mayores a 5 kWh/m2/día) y de mayor velocidad promedio de viento (mayores a 4 m/s a 10 m de altura), de acuerdo con los últimos datos disponibles en los atlas de radiación y velocidad de viento del </w:t>
      </w:r>
      <w:r w:rsidRPr="00491C4A">
        <w:rPr>
          <w:rFonts w:ascii="Times New Roman" w:hAnsi="Times New Roman"/>
          <w:i/>
          <w:iCs/>
          <w:sz w:val="28"/>
          <w:szCs w:val="28"/>
        </w:rPr>
        <w:t>IDEAM</w:t>
      </w:r>
      <w:r w:rsidRPr="00491C4A">
        <w:rPr>
          <w:rFonts w:ascii="Times New Roman" w:hAnsi="Times New Roman"/>
          <w:i/>
          <w:iCs/>
          <w:sz w:val="28"/>
          <w:szCs w:val="28"/>
        </w:rPr>
        <w:t>, el porcen</w:t>
      </w:r>
      <w:r w:rsidRPr="00491C4A">
        <w:rPr>
          <w:rFonts w:ascii="Times New Roman" w:hAnsi="Times New Roman"/>
          <w:i/>
          <w:iCs/>
          <w:sz w:val="28"/>
          <w:szCs w:val="28"/>
        </w:rPr>
        <w:t>taje de la transferencia a la que se refiere este artículo será del 4% de las ventas brutas de energía por generación propia y será implementado de manera gradual, en los siguientes términos: transcurridos dos (2) años, a partir de la entrada en vigencia d</w:t>
      </w:r>
      <w:r w:rsidRPr="00491C4A">
        <w:rPr>
          <w:rFonts w:ascii="Times New Roman" w:hAnsi="Times New Roman"/>
          <w:i/>
          <w:iCs/>
          <w:sz w:val="28"/>
          <w:szCs w:val="28"/>
        </w:rPr>
        <w:t>e la presente ley, se aumentará un ( 1) punto porcentual, quedando en dos por ciento (2%). Al tercer año de la entrada en vigencia de la presente ley, se aumentará un (1) punto porcentual, quedando en tres por ciento (3%). Al cuarto año de la entrada en vi</w:t>
      </w:r>
      <w:r w:rsidRPr="00491C4A">
        <w:rPr>
          <w:rFonts w:ascii="Times New Roman" w:hAnsi="Times New Roman"/>
          <w:i/>
          <w:iCs/>
          <w:sz w:val="28"/>
          <w:szCs w:val="28"/>
        </w:rPr>
        <w:t>gencia de la presente ley, se aumentará un (1) punto porcentual, quedando en cuatro por ciento (4%).</w:t>
      </w:r>
    </w:p>
    <w:p w:rsidR="00406673" w:rsidRPr="00491C4A" w:rsidRDefault="00491C4A" w:rsidP="00406673">
      <w:pPr>
        <w:pStyle w:val="NormalWeb"/>
        <w:spacing w:before="0" w:beforeAutospacing="0" w:after="0" w:afterAutospacing="0"/>
        <w:ind w:left="284" w:right="284"/>
        <w:jc w:val="both"/>
        <w:rPr>
          <w:rFonts w:ascii="Times New Roman" w:hAnsi="Times New Roman"/>
          <w:i/>
          <w:iCs/>
          <w:sz w:val="28"/>
          <w:szCs w:val="28"/>
        </w:rPr>
      </w:pPr>
    </w:p>
    <w:p w:rsidR="00406673" w:rsidRPr="00491C4A" w:rsidRDefault="00491C4A" w:rsidP="00406673">
      <w:pPr>
        <w:pStyle w:val="NormalWeb"/>
        <w:spacing w:before="0" w:beforeAutospacing="0" w:after="0" w:afterAutospacing="0"/>
        <w:ind w:left="284" w:right="284"/>
        <w:jc w:val="both"/>
        <w:rPr>
          <w:rFonts w:ascii="Times New Roman" w:hAnsi="Times New Roman"/>
          <w:sz w:val="28"/>
          <w:szCs w:val="28"/>
        </w:rPr>
      </w:pPr>
      <w:r w:rsidRPr="00491C4A">
        <w:rPr>
          <w:rStyle w:val="baj"/>
          <w:rFonts w:ascii="Times New Roman" w:hAnsi="Times New Roman"/>
          <w:b/>
          <w:bCs/>
          <w:i/>
          <w:iCs/>
          <w:sz w:val="28"/>
          <w:szCs w:val="28"/>
        </w:rPr>
        <w:t>PARÁGRAFO 7o.</w:t>
      </w:r>
      <w:r w:rsidRPr="00491C4A">
        <w:rPr>
          <w:rFonts w:ascii="Times New Roman" w:hAnsi="Times New Roman"/>
          <w:i/>
          <w:iCs/>
          <w:sz w:val="28"/>
          <w:szCs w:val="28"/>
        </w:rPr>
        <w:t> Estos recursos serán destinados a la financiación de proyectos definidos por las comunidades étnicas ubicadas en los departamentos de influe</w:t>
      </w:r>
      <w:r w:rsidRPr="00491C4A">
        <w:rPr>
          <w:rFonts w:ascii="Times New Roman" w:hAnsi="Times New Roman"/>
          <w:i/>
          <w:iCs/>
          <w:sz w:val="28"/>
          <w:szCs w:val="28"/>
        </w:rPr>
        <w:t>ncia de los proyectos de generación. Asimismo, contará con una gobernanza con participación étnica que será reglamentada por el Ministerio de Minas y Energía en un plazo de seis (6) meses después de aprobada la presente ley</w:t>
      </w:r>
      <w:r w:rsidRPr="00491C4A">
        <w:rPr>
          <w:rFonts w:ascii="Times New Roman" w:hAnsi="Times New Roman"/>
          <w:sz w:val="28"/>
          <w:szCs w:val="28"/>
        </w:rPr>
        <w:t>”.</w:t>
      </w:r>
    </w:p>
    <w:p w:rsidR="00406673" w:rsidRPr="00491C4A" w:rsidRDefault="00491C4A" w:rsidP="00406673">
      <w:pPr>
        <w:pStyle w:val="centrado"/>
        <w:spacing w:before="0" w:beforeAutospacing="0" w:after="0" w:afterAutospacing="0"/>
        <w:ind w:left="284" w:right="284"/>
        <w:jc w:val="both"/>
        <w:rPr>
          <w:rFonts w:ascii="Times New Roman" w:hAnsi="Times New Roman"/>
          <w:sz w:val="28"/>
          <w:szCs w:val="28"/>
        </w:rPr>
      </w:pPr>
    </w:p>
    <w:p w:rsidR="00AF33B7" w:rsidRPr="00491C4A" w:rsidRDefault="00491C4A" w:rsidP="00406673">
      <w:pPr>
        <w:pStyle w:val="centrado"/>
        <w:spacing w:before="0" w:beforeAutospacing="0" w:after="0" w:afterAutospacing="0"/>
        <w:ind w:left="284" w:right="284"/>
        <w:jc w:val="both"/>
        <w:rPr>
          <w:rFonts w:ascii="Times New Roman" w:hAnsi="Times New Roman"/>
          <w:sz w:val="28"/>
          <w:szCs w:val="28"/>
        </w:rPr>
      </w:pPr>
    </w:p>
    <w:p w:rsidR="00406673" w:rsidRPr="00491C4A" w:rsidRDefault="00491C4A" w:rsidP="00406673">
      <w:pPr>
        <w:pStyle w:val="Ttulo2"/>
        <w:numPr>
          <w:ilvl w:val="0"/>
          <w:numId w:val="3"/>
        </w:numPr>
        <w:spacing w:before="0"/>
        <w:ind w:left="0" w:firstLine="0"/>
        <w:jc w:val="both"/>
        <w:rPr>
          <w:rFonts w:ascii="Times New Roman" w:hAnsi="Times New Roman"/>
          <w:b/>
          <w:color w:val="auto"/>
          <w:sz w:val="28"/>
          <w:szCs w:val="28"/>
        </w:rPr>
      </w:pPr>
      <w:bookmarkStart w:id="11" w:name="_Toc200753644"/>
      <w:r w:rsidRPr="00491C4A">
        <w:rPr>
          <w:rFonts w:ascii="Times New Roman" w:hAnsi="Times New Roman"/>
          <w:b/>
          <w:color w:val="auto"/>
          <w:sz w:val="28"/>
          <w:szCs w:val="28"/>
        </w:rPr>
        <w:t>Cargos admitidos</w:t>
      </w:r>
      <w:bookmarkEnd w:id="11"/>
    </w:p>
    <w:p w:rsidR="00406673" w:rsidRPr="00491C4A" w:rsidRDefault="00491C4A" w:rsidP="00406673">
      <w:pPr>
        <w:rPr>
          <w:rFonts w:ascii="Times New Roman" w:hAnsi="Times New Roman"/>
          <w:sz w:val="28"/>
          <w:szCs w:val="28"/>
        </w:rPr>
      </w:pPr>
    </w:p>
    <w:p w:rsidR="00406673" w:rsidRPr="00491C4A" w:rsidRDefault="00491C4A" w:rsidP="00406673">
      <w:pPr>
        <w:pStyle w:val="Ttulo3"/>
        <w:spacing w:before="0" w:after="0"/>
        <w:jc w:val="both"/>
        <w:rPr>
          <w:rFonts w:ascii="Times New Roman" w:hAnsi="Times New Roman"/>
          <w:b/>
          <w:bCs/>
          <w:i/>
          <w:iCs/>
          <w:color w:val="auto"/>
        </w:rPr>
      </w:pPr>
      <w:bookmarkStart w:id="12" w:name="_Toc200753645"/>
      <w:r w:rsidRPr="00491C4A">
        <w:rPr>
          <w:rFonts w:ascii="Times New Roman" w:hAnsi="Times New Roman"/>
          <w:b/>
          <w:bCs/>
          <w:i/>
          <w:iCs/>
          <w:color w:val="auto"/>
        </w:rPr>
        <w:t>Primer cargo: vulneración del principio de consecutividad (artículo 157 CP)</w:t>
      </w:r>
      <w:bookmarkEnd w:id="12"/>
    </w:p>
    <w:p w:rsidR="00406673" w:rsidRPr="00491C4A" w:rsidRDefault="00491C4A" w:rsidP="00406673">
      <w:pPr>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bdr w:val="nil"/>
        </w:rPr>
      </w:pPr>
      <w:r w:rsidRPr="00491C4A">
        <w:rPr>
          <w:rFonts w:ascii="Times New Roman" w:hAnsi="Times New Roman"/>
          <w:sz w:val="28"/>
          <w:szCs w:val="28"/>
          <w:bdr w:val="nil"/>
        </w:rPr>
        <w:t>Los accionantes argumentaron que el trámite legislativo que culminó en la norma demandada desconoció el principio de consecutividad, previsto en el artículo 157 Constitución Polít</w:t>
      </w:r>
      <w:r w:rsidRPr="00491C4A">
        <w:rPr>
          <w:rFonts w:ascii="Times New Roman" w:hAnsi="Times New Roman"/>
          <w:sz w:val="28"/>
          <w:szCs w:val="28"/>
          <w:bdr w:val="nil"/>
        </w:rPr>
        <w:t>ica, ya que no agotó el debate correspondiente en la plenaria de la Cámara de Representantes. Alegaron que el presidente de dicha corporación omitió tramitar una proposición suscrita por diez representantes, la cual solicitaba reabrir el debate sobre el en</w:t>
      </w:r>
      <w:r w:rsidRPr="00491C4A">
        <w:rPr>
          <w:rFonts w:ascii="Times New Roman" w:hAnsi="Times New Roman"/>
          <w:sz w:val="28"/>
          <w:szCs w:val="28"/>
          <w:bdr w:val="nil"/>
        </w:rPr>
        <w:t xml:space="preserve">tonces artículo 207 del proyecto de ley. A juicio de los accionantes, esta omisión contrarió la jurisprudencia constitucional que exige debatir y votar todas las proposiciones, incluidas aquellas orientadas a reabrir discusiones, sin excusarse en la falta </w:t>
      </w:r>
      <w:r w:rsidRPr="00491C4A">
        <w:rPr>
          <w:rFonts w:ascii="Times New Roman" w:hAnsi="Times New Roman"/>
          <w:sz w:val="28"/>
          <w:szCs w:val="28"/>
          <w:bdr w:val="nil"/>
        </w:rPr>
        <w:t>de tiempo o en la complejidad del trámite legislativo</w:t>
      </w:r>
      <w:r w:rsidRPr="00491C4A">
        <w:rPr>
          <w:rFonts w:ascii="Times New Roman" w:hAnsi="Times New Roman"/>
          <w:sz w:val="28"/>
          <w:szCs w:val="28"/>
        </w:rPr>
        <w:t>.</w:t>
      </w:r>
      <w:r w:rsidRPr="00491C4A">
        <w:rPr>
          <w:rStyle w:val="Refdenotaalpie"/>
          <w:rFonts w:ascii="Times New Roman" w:hAnsi="Times New Roman"/>
          <w:sz w:val="28"/>
          <w:szCs w:val="28"/>
        </w:rPr>
        <w:footnoteReference w:id="11"/>
      </w:r>
    </w:p>
    <w:p w:rsidR="00406673" w:rsidRPr="00491C4A" w:rsidRDefault="00491C4A" w:rsidP="00406673">
      <w:pPr>
        <w:pStyle w:val="Prrafodelista"/>
        <w:ind w:left="0"/>
        <w:jc w:val="both"/>
        <w:rPr>
          <w:rFonts w:ascii="Times New Roman" w:hAnsi="Times New Roman"/>
          <w:sz w:val="28"/>
          <w:szCs w:val="28"/>
          <w:bdr w:val="nil"/>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bdr w:val="nil"/>
        </w:rPr>
        <w:t>En respaldo de su acusación, los accionantes describieron el recorrido legislativo del artículo demandado</w:t>
      </w:r>
      <w:r w:rsidRPr="00491C4A">
        <w:rPr>
          <w:rStyle w:val="Refdenotaalpie"/>
          <w:rFonts w:ascii="Times New Roman" w:hAnsi="Times New Roman"/>
          <w:sz w:val="28"/>
          <w:szCs w:val="28"/>
          <w:bdr w:val="nil"/>
        </w:rPr>
        <w:footnoteReference w:id="12"/>
      </w:r>
      <w:r w:rsidRPr="00491C4A">
        <w:rPr>
          <w:rFonts w:ascii="Times New Roman" w:hAnsi="Times New Roman"/>
          <w:sz w:val="28"/>
          <w:szCs w:val="28"/>
          <w:bdr w:val="nil"/>
        </w:rPr>
        <w:t xml:space="preserve"> y señalaron que su aprobación en bloque impidió deliberar sobre el contenido sustantivo de </w:t>
      </w:r>
      <w:r w:rsidRPr="00491C4A">
        <w:rPr>
          <w:rFonts w:ascii="Times New Roman" w:hAnsi="Times New Roman"/>
          <w:sz w:val="28"/>
          <w:szCs w:val="28"/>
          <w:bdr w:val="nil"/>
        </w:rPr>
        <w:t xml:space="preserve">la norma, en especial sobre las modificaciones al artículo 54 de la Ley 143 de 1994 y las cargas económicas que esta suponía para los proyectos de generación de energía. Denunciaron que la mesa directiva de la Cámara desestimó la proposición de reapertura </w:t>
      </w:r>
      <w:r w:rsidRPr="00491C4A">
        <w:rPr>
          <w:rFonts w:ascii="Times New Roman" w:hAnsi="Times New Roman"/>
          <w:sz w:val="28"/>
          <w:szCs w:val="28"/>
          <w:bdr w:val="nil"/>
        </w:rPr>
        <w:t>por considerar excesiva la cantidad de solicitudes, lo cual, en su criterio, impidió cumplir con los requisitos constitucionales y jurisprudenciales que rigen el trámite legislativo.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spacing w:before="0" w:after="0"/>
        <w:jc w:val="both"/>
        <w:rPr>
          <w:rFonts w:ascii="Times New Roman" w:hAnsi="Times New Roman"/>
          <w:b/>
          <w:bCs/>
          <w:i/>
          <w:iCs/>
          <w:color w:val="auto"/>
        </w:rPr>
      </w:pPr>
      <w:bookmarkStart w:id="13" w:name="_Toc200753646"/>
      <w:r w:rsidRPr="00491C4A">
        <w:rPr>
          <w:rFonts w:ascii="Times New Roman" w:hAnsi="Times New Roman"/>
          <w:b/>
          <w:bCs/>
          <w:i/>
          <w:iCs/>
          <w:color w:val="auto"/>
        </w:rPr>
        <w:t>Segundo cargo: violación del principio de unidad de materia (artículo 15</w:t>
      </w:r>
      <w:r w:rsidRPr="00491C4A">
        <w:rPr>
          <w:rFonts w:ascii="Times New Roman" w:hAnsi="Times New Roman"/>
          <w:b/>
          <w:bCs/>
          <w:i/>
          <w:iCs/>
          <w:color w:val="auto"/>
        </w:rPr>
        <w:t>8 CP)</w:t>
      </w:r>
      <w:bookmarkEnd w:id="13"/>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demandantes afirmaron que el parágrafo 7° del artículo 233 de la Ley 2294 de 2023 vulnera el principio de unidad de materia consagrado en el artículo 158 de la Constitución, porque su contenido no guarda conexidad temática con las Bases del Plan</w:t>
      </w:r>
      <w:r w:rsidRPr="00491C4A">
        <w:rPr>
          <w:rFonts w:ascii="Times New Roman" w:hAnsi="Times New Roman"/>
          <w:sz w:val="28"/>
          <w:szCs w:val="28"/>
        </w:rPr>
        <w:t xml:space="preserve"> Nacional de Desarrollo. Sostuvieron que dichas bases circunscriben el alcance territorial de la política al departamento de La Guajira, mientras que la norma acusada extiende sus efectos a comunidades étnicas ubicadas en cualquier departamento de influenc</w:t>
      </w:r>
      <w:r w:rsidRPr="00491C4A">
        <w:rPr>
          <w:rFonts w:ascii="Times New Roman" w:hAnsi="Times New Roman"/>
          <w:sz w:val="28"/>
          <w:szCs w:val="28"/>
        </w:rPr>
        <w:t>ia de los proyectos de generación, sin limitar dicha destinación al territorio guajiro.</w:t>
      </w:r>
    </w:p>
    <w:p w:rsidR="00406673" w:rsidRPr="00491C4A" w:rsidRDefault="00491C4A" w:rsidP="00406673">
      <w:pPr>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Indicaron que la disposición demandada introduce una medida de aplicación nacional que no prioriza a La Guajira ni corresponde con los proyectos estratégicos del Plan </w:t>
      </w:r>
      <w:r w:rsidRPr="00491C4A">
        <w:rPr>
          <w:rFonts w:ascii="Times New Roman" w:hAnsi="Times New Roman"/>
          <w:sz w:val="28"/>
          <w:szCs w:val="28"/>
        </w:rPr>
        <w:t>Plurianual de Inversiones. Precisaron que dicho departamento no figura entre los territorios focalizados para iniciativas de inversión diferenciada, a pesar de ser uno de los principales escenarios de impacto. En su concepto, la norma no encuentra respaldo</w:t>
      </w:r>
      <w:r w:rsidRPr="00491C4A">
        <w:rPr>
          <w:rFonts w:ascii="Times New Roman" w:hAnsi="Times New Roman"/>
          <w:sz w:val="28"/>
          <w:szCs w:val="28"/>
        </w:rPr>
        <w:t xml:space="preserve"> jurídico ni presupuestal en los instrumentos del Plan, y por tanto carece de correlación normativa, financiera y territorial con los objetivos estructurales del Plan Nacional de Desarrollo.</w:t>
      </w:r>
    </w:p>
    <w:p w:rsidR="00406673" w:rsidRPr="00491C4A" w:rsidRDefault="00491C4A" w:rsidP="00406673">
      <w:pPr>
        <w:pStyle w:val="Prrafodelista"/>
        <w:rPr>
          <w:rFonts w:ascii="Times New Roman" w:hAnsi="Times New Roman"/>
          <w:sz w:val="28"/>
          <w:szCs w:val="28"/>
        </w:rPr>
      </w:pPr>
    </w:p>
    <w:p w:rsidR="00406673" w:rsidRPr="00491C4A" w:rsidRDefault="00491C4A" w:rsidP="00406673">
      <w:pPr>
        <w:pStyle w:val="Ttulo3"/>
        <w:spacing w:before="0" w:after="0"/>
        <w:jc w:val="both"/>
        <w:rPr>
          <w:rFonts w:ascii="Times New Roman" w:hAnsi="Times New Roman"/>
          <w:b/>
          <w:bCs/>
          <w:i/>
          <w:iCs/>
          <w:color w:val="auto"/>
        </w:rPr>
      </w:pPr>
      <w:bookmarkStart w:id="14" w:name="_Toc200753647"/>
      <w:r w:rsidRPr="00491C4A">
        <w:rPr>
          <w:rFonts w:ascii="Times New Roman" w:hAnsi="Times New Roman"/>
          <w:b/>
          <w:bCs/>
          <w:i/>
          <w:iCs/>
          <w:color w:val="auto"/>
        </w:rPr>
        <w:t>Tercer cargo: violación de los principios de legalidad y certeza</w:t>
      </w:r>
      <w:r w:rsidRPr="00491C4A">
        <w:rPr>
          <w:rFonts w:ascii="Times New Roman" w:hAnsi="Times New Roman"/>
          <w:b/>
          <w:bCs/>
          <w:i/>
          <w:iCs/>
          <w:color w:val="auto"/>
        </w:rPr>
        <w:t xml:space="preserve"> tributaria (artículos 150.12 y 338 CP)</w:t>
      </w:r>
      <w:bookmarkEnd w:id="14"/>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demandantes sostuvieron que el artículo 233 de la Ley 2294 de 2023 vulnera los principios de legalidad y certeza tributaria, consagrados en los artículos 150.12 y 338 de la Constitución, al incurrir en una grave</w:t>
      </w:r>
      <w:r w:rsidRPr="00491C4A">
        <w:rPr>
          <w:rFonts w:ascii="Times New Roman" w:hAnsi="Times New Roman"/>
          <w:sz w:val="28"/>
          <w:szCs w:val="28"/>
        </w:rPr>
        <w:t xml:space="preserve"> indeterminación del sujeto pasivo en el parágrafo sexto. En su concepto, la expresión “plantas con asignación de obligaciones” carece de precisión normativa, pues no remite a una única fuente jurídica, y obliga al intérprete a realizar un inventario norma</w:t>
      </w:r>
      <w:r w:rsidRPr="00491C4A">
        <w:rPr>
          <w:rFonts w:ascii="Times New Roman" w:hAnsi="Times New Roman"/>
          <w:sz w:val="28"/>
          <w:szCs w:val="28"/>
        </w:rPr>
        <w:t>tivo disperso en múltiples actos administrativos del sector eléctrico. Indicaron que, además de la Resolución CREG 071 de 2006, existen otras disposiciones, como las Resoluciones 40590 de 2019, 075 de 2021 y 130 de 2019, que establecen distintos mecanismos</w:t>
      </w:r>
      <w:r w:rsidRPr="00491C4A">
        <w:rPr>
          <w:rFonts w:ascii="Times New Roman" w:hAnsi="Times New Roman"/>
          <w:sz w:val="28"/>
          <w:szCs w:val="28"/>
        </w:rPr>
        <w:t xml:space="preserve"> de asignación. Añadieron que otras entidades públicas, como la ANLA, las corporaciones autónomas regionales y el Ministerio del Interior, también pueden imponer obligaciones a las plantas. Finalmente, advirtieron que la noción podría incluir compromisos a</w:t>
      </w:r>
      <w:r w:rsidRPr="00491C4A">
        <w:rPr>
          <w:rFonts w:ascii="Times New Roman" w:hAnsi="Times New Roman"/>
          <w:sz w:val="28"/>
          <w:szCs w:val="28"/>
        </w:rPr>
        <w:t>sumidos contractualmente con terceros, lo que acentúa la ambigüedad de la norma.</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Asimismo, afirmaron que el parágrafo séptimo incurre en falta de certeza respecto de los beneficiarios de los recursos, debido a la confusión entre los conceptos de “departam</w:t>
      </w:r>
      <w:r w:rsidRPr="00491C4A">
        <w:rPr>
          <w:rFonts w:ascii="Times New Roman" w:hAnsi="Times New Roman"/>
          <w:sz w:val="28"/>
          <w:szCs w:val="28"/>
        </w:rPr>
        <w:t>ento de influencia” y “área de influencia”, los cuales arrojan resultados sustancialmente distintos en la identificación de las comunidades étnicas destinatarias. Aclararon que el artículo 54 de la Ley 143 de 1994 había definido como criterio el área de in</w:t>
      </w:r>
      <w:r w:rsidRPr="00491C4A">
        <w:rPr>
          <w:rFonts w:ascii="Times New Roman" w:hAnsi="Times New Roman"/>
          <w:sz w:val="28"/>
          <w:szCs w:val="28"/>
        </w:rPr>
        <w:t>fluencia establecida en los estudios de impacto ambiental y licencias correspondientes, mientras que la norma demandada adopta un criterio geográfico amplio sin delimitación técnica. Esta variación se agrava con la inclusión de criterios de radiación solar</w:t>
      </w:r>
      <w:r w:rsidRPr="00491C4A">
        <w:rPr>
          <w:rFonts w:ascii="Times New Roman" w:hAnsi="Times New Roman"/>
          <w:sz w:val="28"/>
          <w:szCs w:val="28"/>
        </w:rPr>
        <w:t xml:space="preserve"> y velocidad del viento, que extienden el alcance normativo más allá del departamento de La Guajira, al incorporar territorios como Atlántico, Magdalena y Cesar. </w:t>
      </w:r>
      <w:r w:rsidRPr="00491C4A">
        <w:rPr>
          <w:rFonts w:ascii="Times New Roman" w:hAnsi="Times New Roman"/>
          <w:sz w:val="28"/>
          <w:szCs w:val="28"/>
        </w:rPr>
        <w:t xml:space="preserve">Con una </w:t>
      </w:r>
      <w:r w:rsidRPr="00491C4A">
        <w:rPr>
          <w:rFonts w:ascii="Times New Roman" w:hAnsi="Times New Roman"/>
          <w:sz w:val="28"/>
          <w:szCs w:val="28"/>
        </w:rPr>
        <w:t>gráfica aportada en la demanda</w:t>
      </w:r>
      <w:r w:rsidRPr="00491C4A">
        <w:rPr>
          <w:rStyle w:val="Refdenotaalpie"/>
          <w:rFonts w:ascii="Times New Roman" w:hAnsi="Times New Roman"/>
          <w:sz w:val="28"/>
          <w:szCs w:val="28"/>
        </w:rPr>
        <w:footnoteReference w:id="13"/>
      </w:r>
      <w:r w:rsidRPr="00491C4A">
        <w:rPr>
          <w:rFonts w:ascii="Times New Roman" w:hAnsi="Times New Roman"/>
          <w:sz w:val="28"/>
          <w:szCs w:val="28"/>
        </w:rPr>
        <w:t>, los demandantes ilustraron cómo una comunidad ubicada</w:t>
      </w:r>
      <w:r w:rsidRPr="00491C4A">
        <w:rPr>
          <w:rFonts w:ascii="Times New Roman" w:hAnsi="Times New Roman"/>
          <w:sz w:val="28"/>
          <w:szCs w:val="28"/>
        </w:rPr>
        <w:t xml:space="preserve"> dentro de un departamento podría quedar fuera del área técnica de influencia del proyecto, lo cual genera una incertidumbre incompatible con las exigencias de determinación normativa propias del sistema tributario.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jc w:val="both"/>
        <w:rPr>
          <w:rFonts w:ascii="Times New Roman" w:hAnsi="Times New Roman"/>
          <w:b/>
          <w:bCs/>
          <w:color w:val="auto"/>
        </w:rPr>
      </w:pPr>
      <w:bookmarkStart w:id="15" w:name="_Toc200753648"/>
      <w:r w:rsidRPr="00491C4A">
        <w:rPr>
          <w:rFonts w:ascii="Times New Roman" w:hAnsi="Times New Roman"/>
          <w:b/>
          <w:bCs/>
          <w:color w:val="auto"/>
        </w:rPr>
        <w:t>Cuarto cargo: violación del principio d</w:t>
      </w:r>
      <w:r w:rsidRPr="00491C4A">
        <w:rPr>
          <w:rFonts w:ascii="Times New Roman" w:hAnsi="Times New Roman"/>
          <w:b/>
          <w:bCs/>
          <w:color w:val="auto"/>
        </w:rPr>
        <w:t>e no regresividad en materia ambiental (artículos 79 y 80 CP, artículo 2.1 del Pacto Internacional de Derechos Económicos, Sociales y Culturales y artículo 26 del Pacta de San José)</w:t>
      </w:r>
      <w:bookmarkEnd w:id="15"/>
    </w:p>
    <w:p w:rsidR="00406673" w:rsidRPr="00491C4A" w:rsidRDefault="00491C4A" w:rsidP="00406673">
      <w:pPr>
        <w:rPr>
          <w:rFonts w:ascii="Times New Roman" w:hAnsi="Times New Roman"/>
          <w:i/>
          <w:iCs/>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 xml:space="preserve">En criterio de los accionantes, la norma demandada viola el principio de </w:t>
      </w:r>
      <w:r w:rsidRPr="00491C4A">
        <w:rPr>
          <w:rFonts w:ascii="Times New Roman" w:hAnsi="Times New Roman"/>
          <w:sz w:val="28"/>
          <w:szCs w:val="28"/>
        </w:rPr>
        <w:t>progresividad en las políticas públicas en materia ambiental, porque el aumento de los tributos es contrario a la necesidad de que el marco regulatorio del sector eléctrico prevea instrumentos de fomento económico para la generación de energía mediante fue</w:t>
      </w:r>
      <w:r w:rsidRPr="00491C4A">
        <w:rPr>
          <w:rFonts w:ascii="Times New Roman" w:hAnsi="Times New Roman"/>
          <w:sz w:val="28"/>
          <w:szCs w:val="28"/>
        </w:rPr>
        <w:t>ntes renovables, en los términos de la Sentencia C-056 de 2021.</w:t>
      </w:r>
    </w:p>
    <w:p w:rsidR="00406673" w:rsidRPr="00491C4A" w:rsidRDefault="00491C4A" w:rsidP="00406673">
      <w:pPr>
        <w:pStyle w:val="Prrafodelista"/>
        <w:ind w:left="0"/>
        <w:jc w:val="both"/>
        <w:rPr>
          <w:rFonts w:ascii="Times New Roman" w:hAnsi="Times New Roman"/>
          <w:i/>
          <w:iCs/>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De esa manera, concluyeron que el artículo cuestionado “</w:t>
      </w:r>
      <w:r w:rsidRPr="00491C4A">
        <w:rPr>
          <w:rFonts w:ascii="Times New Roman" w:hAnsi="Times New Roman"/>
          <w:i/>
          <w:iCs/>
          <w:sz w:val="28"/>
          <w:szCs w:val="28"/>
        </w:rPr>
        <w:t>introduce al ordenamiento jurídico una norma que no es de fomento económico, sino de desincentivo económico, lo cual es contrario al cu</w:t>
      </w:r>
      <w:r w:rsidRPr="00491C4A">
        <w:rPr>
          <w:rFonts w:ascii="Times New Roman" w:hAnsi="Times New Roman"/>
          <w:i/>
          <w:iCs/>
          <w:sz w:val="28"/>
          <w:szCs w:val="28"/>
        </w:rPr>
        <w:t>mplimiento de los objetivos de protección al medio ambiente en términos de mitigación y adaptación al cambio climático.</w:t>
      </w:r>
      <w:r w:rsidRPr="00491C4A">
        <w:rPr>
          <w:rFonts w:ascii="Times New Roman" w:hAnsi="Times New Roman"/>
          <w:sz w:val="28"/>
          <w:szCs w:val="28"/>
        </w:rPr>
        <w:t>”</w:t>
      </w:r>
      <w:r w:rsidRPr="00491C4A">
        <w:rPr>
          <w:rStyle w:val="Refdenotaalpie"/>
          <w:rFonts w:ascii="Times New Roman" w:hAnsi="Times New Roman"/>
          <w:sz w:val="28"/>
          <w:szCs w:val="28"/>
        </w:rPr>
        <w:footnoteReference w:id="14"/>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2"/>
        <w:numPr>
          <w:ilvl w:val="0"/>
          <w:numId w:val="5"/>
        </w:numPr>
        <w:spacing w:before="0"/>
        <w:ind w:left="0" w:firstLine="0"/>
        <w:jc w:val="both"/>
        <w:rPr>
          <w:rFonts w:ascii="Times New Roman" w:hAnsi="Times New Roman"/>
          <w:b/>
          <w:color w:val="auto"/>
          <w:sz w:val="28"/>
          <w:szCs w:val="28"/>
        </w:rPr>
      </w:pPr>
      <w:bookmarkStart w:id="16" w:name="_Toc200753649"/>
      <w:r w:rsidRPr="00491C4A">
        <w:rPr>
          <w:rFonts w:ascii="Times New Roman" w:hAnsi="Times New Roman"/>
          <w:b/>
          <w:color w:val="auto"/>
          <w:sz w:val="28"/>
          <w:szCs w:val="28"/>
        </w:rPr>
        <w:t>Pruebas recaudadas y trasladadas</w:t>
      </w:r>
      <w:bookmarkEnd w:id="16"/>
    </w:p>
    <w:p w:rsidR="00406673" w:rsidRPr="00491C4A" w:rsidRDefault="00491C4A" w:rsidP="00406673">
      <w:pPr>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Conforme al traslado de las pruebas sobre el trámite legislativo desde el Expediente D-15345, la </w:t>
      </w:r>
      <w:r w:rsidRPr="00491C4A">
        <w:rPr>
          <w:rFonts w:ascii="Times New Roman" w:hAnsi="Times New Roman"/>
          <w:sz w:val="28"/>
          <w:szCs w:val="28"/>
        </w:rPr>
        <w:t>Secretaría General del Senado de la República</w:t>
      </w:r>
      <w:r w:rsidRPr="00491C4A">
        <w:rPr>
          <w:rStyle w:val="Refdenotaalpie"/>
          <w:rFonts w:ascii="Times New Roman" w:hAnsi="Times New Roman"/>
          <w:sz w:val="28"/>
          <w:szCs w:val="28"/>
        </w:rPr>
        <w:footnoteReference w:id="15"/>
      </w:r>
      <w:r w:rsidRPr="00491C4A">
        <w:rPr>
          <w:rFonts w:ascii="Times New Roman" w:hAnsi="Times New Roman"/>
          <w:sz w:val="28"/>
          <w:szCs w:val="28"/>
        </w:rPr>
        <w:t xml:space="preserve"> y la Secretaría General de la Cámara de Representantes</w:t>
      </w:r>
      <w:r w:rsidRPr="00491C4A">
        <w:rPr>
          <w:rStyle w:val="Refdenotaalpie"/>
          <w:rFonts w:ascii="Times New Roman" w:hAnsi="Times New Roman"/>
          <w:sz w:val="28"/>
          <w:szCs w:val="28"/>
        </w:rPr>
        <w:footnoteReference w:id="16"/>
      </w:r>
      <w:r w:rsidRPr="00491C4A">
        <w:rPr>
          <w:rFonts w:ascii="Times New Roman" w:hAnsi="Times New Roman"/>
          <w:sz w:val="28"/>
          <w:szCs w:val="28"/>
        </w:rPr>
        <w:t xml:space="preserve"> remitieron los antecedentes legislativos del Proyecto de Ley 338 de 2023 Cámara – 274 de 2023 Senado, correspondiente a la Ley 2294 de 2023.</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spacing w:before="0"/>
        <w:jc w:val="center"/>
        <w:rPr>
          <w:rFonts w:ascii="Times New Roman" w:hAnsi="Times New Roman"/>
          <w:b/>
          <w:bCs/>
          <w:i/>
          <w:iCs/>
          <w:color w:val="auto"/>
        </w:rPr>
      </w:pPr>
      <w:bookmarkStart w:id="17" w:name="_Toc200753650"/>
      <w:r w:rsidRPr="00491C4A">
        <w:rPr>
          <w:rFonts w:ascii="Times New Roman" w:hAnsi="Times New Roman"/>
          <w:b/>
          <w:bCs/>
          <w:i/>
          <w:iCs/>
          <w:color w:val="auto"/>
        </w:rPr>
        <w:t>Tabla 1 – P</w:t>
      </w:r>
      <w:r w:rsidRPr="00491C4A">
        <w:rPr>
          <w:rFonts w:ascii="Times New Roman" w:hAnsi="Times New Roman"/>
          <w:b/>
          <w:bCs/>
          <w:i/>
          <w:iCs/>
          <w:color w:val="auto"/>
        </w:rPr>
        <w:t>ruebas de los antecedentes del proceso legislativo</w:t>
      </w:r>
      <w:bookmarkEnd w:id="17"/>
    </w:p>
    <w:p w:rsidR="00406673" w:rsidRPr="00491C4A" w:rsidRDefault="00491C4A" w:rsidP="00406673">
      <w:pPr>
        <w:pStyle w:val="Prrafodelista"/>
        <w:ind w:left="0"/>
        <w:jc w:val="both"/>
        <w:rPr>
          <w:rFonts w:ascii="Times New Roman" w:hAnsi="Times New Roman"/>
          <w:sz w:val="28"/>
          <w:szCs w:val="28"/>
        </w:rPr>
      </w:pPr>
    </w:p>
    <w:tbl>
      <w:tblPr>
        <w:tblpPr w:leftFromText="141" w:rightFromText="141" w:vertAnchor="text" w:horzAnchor="margin" w:tblpX="250"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3194"/>
        <w:gridCol w:w="5357"/>
      </w:tblGrid>
      <w:tr w:rsidR="00491C4A" w:rsidRPr="00491C4A" w:rsidTr="00491C4A">
        <w:trPr>
          <w:trHeight w:val="394"/>
          <w:tblHeader/>
        </w:trPr>
        <w:tc>
          <w:tcPr>
            <w:tcW w:w="629" w:type="dxa"/>
            <w:shd w:val="clear" w:color="auto" w:fill="auto"/>
          </w:tcPr>
          <w:p w:rsidR="00406673" w:rsidRPr="00491C4A" w:rsidRDefault="00491C4A" w:rsidP="00491C4A">
            <w:pPr>
              <w:pStyle w:val="Prrafodelista"/>
              <w:spacing w:after="0" w:line="240" w:lineRule="auto"/>
              <w:ind w:left="-17"/>
              <w:jc w:val="center"/>
              <w:rPr>
                <w:rFonts w:ascii="Times New Roman" w:hAnsi="Times New Roman"/>
                <w:b/>
                <w:bCs/>
                <w:i/>
                <w:sz w:val="28"/>
              </w:rPr>
            </w:pPr>
            <w:r w:rsidRPr="00491C4A">
              <w:rPr>
                <w:rFonts w:ascii="Times New Roman" w:hAnsi="Times New Roman"/>
                <w:b/>
                <w:bCs/>
                <w:sz w:val="28"/>
              </w:rPr>
              <w:t>No.</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sz w:val="28"/>
              </w:rPr>
            </w:pPr>
            <w:r w:rsidRPr="00491C4A">
              <w:rPr>
                <w:rFonts w:ascii="Times New Roman" w:hAnsi="Times New Roman"/>
                <w:b/>
                <w:bCs/>
                <w:sz w:val="28"/>
              </w:rPr>
              <w:t>Gaceta del Congreso</w:t>
            </w:r>
          </w:p>
        </w:tc>
        <w:tc>
          <w:tcPr>
            <w:tcW w:w="5357"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sz w:val="28"/>
              </w:rPr>
            </w:pPr>
            <w:r w:rsidRPr="00491C4A">
              <w:rPr>
                <w:rFonts w:ascii="Times New Roman" w:hAnsi="Times New Roman"/>
                <w:b/>
                <w:bCs/>
                <w:sz w:val="28"/>
              </w:rPr>
              <w:t>Contenido</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 de 13 de febrero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Publicación del proyecto de ley</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180 del 19 de marzo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Informe de ponencia para primer debate</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2</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181 del 19 de marzo de 2023</w:t>
            </w:r>
          </w:p>
        </w:tc>
        <w:tc>
          <w:tcPr>
            <w:tcW w:w="5357" w:type="dxa"/>
            <w:shd w:val="clear" w:color="auto" w:fill="auto"/>
          </w:tcPr>
          <w:p w:rsidR="00406673" w:rsidRPr="00491C4A" w:rsidRDefault="00491C4A" w:rsidP="00491C4A">
            <w:pPr>
              <w:spacing w:after="0" w:line="240" w:lineRule="auto"/>
              <w:ind w:left="1416" w:hanging="1416"/>
              <w:rPr>
                <w:rFonts w:ascii="Times New Roman" w:hAnsi="Times New Roman"/>
                <w:i/>
                <w:sz w:val="28"/>
              </w:rPr>
            </w:pPr>
            <w:r w:rsidRPr="00491C4A">
              <w:rPr>
                <w:rFonts w:ascii="Times New Roman" w:hAnsi="Times New Roman"/>
                <w:sz w:val="28"/>
              </w:rPr>
              <w:t xml:space="preserve">Informe de ponencia para primer debate </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3</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182 del 20 de marzo de 2023</w:t>
            </w:r>
          </w:p>
        </w:tc>
        <w:tc>
          <w:tcPr>
            <w:tcW w:w="5357" w:type="dxa"/>
            <w:shd w:val="clear" w:color="auto" w:fill="auto"/>
          </w:tcPr>
          <w:p w:rsidR="00406673" w:rsidRPr="00491C4A" w:rsidRDefault="00491C4A" w:rsidP="00491C4A">
            <w:pPr>
              <w:spacing w:after="0" w:line="240" w:lineRule="auto"/>
              <w:ind w:left="1416" w:hanging="1416"/>
              <w:rPr>
                <w:rFonts w:ascii="Times New Roman" w:hAnsi="Times New Roman"/>
                <w:i/>
                <w:sz w:val="28"/>
              </w:rPr>
            </w:pPr>
            <w:r w:rsidRPr="00491C4A">
              <w:rPr>
                <w:rFonts w:ascii="Times New Roman" w:hAnsi="Times New Roman"/>
                <w:sz w:val="28"/>
              </w:rPr>
              <w:t>Informe de ponencia para primer debate negativa</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4</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183 del 20 de marzo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Informe de ponencia para primer debate negativa</w:t>
            </w:r>
          </w:p>
        </w:tc>
      </w:tr>
      <w:tr w:rsidR="00491C4A" w:rsidRPr="00491C4A" w:rsidTr="00491C4A">
        <w:trPr>
          <w:trHeight w:val="394"/>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5</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386 del 26 de abril de 2023</w:t>
            </w:r>
          </w:p>
        </w:tc>
        <w:tc>
          <w:tcPr>
            <w:tcW w:w="5357"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sz w:val="28"/>
              </w:rPr>
            </w:pPr>
            <w:r w:rsidRPr="00491C4A">
              <w:rPr>
                <w:rFonts w:ascii="Times New Roman" w:hAnsi="Times New Roman"/>
                <w:sz w:val="28"/>
              </w:rPr>
              <w:t>Ponencia para segundo debat</w:t>
            </w:r>
            <w:r w:rsidRPr="00491C4A">
              <w:rPr>
                <w:rFonts w:ascii="Times New Roman" w:hAnsi="Times New Roman"/>
                <w:sz w:val="28"/>
              </w:rPr>
              <w:t>e en la Plenaria del Senado de la República</w:t>
            </w:r>
          </w:p>
        </w:tc>
      </w:tr>
      <w:tr w:rsidR="00491C4A" w:rsidRPr="00491C4A" w:rsidTr="00491C4A">
        <w:trPr>
          <w:trHeight w:val="394"/>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6</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388 del 26 de abril de 2023</w:t>
            </w:r>
          </w:p>
        </w:tc>
        <w:tc>
          <w:tcPr>
            <w:tcW w:w="5357"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sz w:val="28"/>
              </w:rPr>
            </w:pPr>
            <w:r w:rsidRPr="00491C4A">
              <w:rPr>
                <w:rFonts w:ascii="Times New Roman" w:hAnsi="Times New Roman"/>
                <w:sz w:val="28"/>
              </w:rPr>
              <w:t>Ponencia para segundo debate en la Plenaria de la Cámara de Representantes</w:t>
            </w:r>
          </w:p>
        </w:tc>
      </w:tr>
      <w:tr w:rsidR="00491C4A" w:rsidRPr="00491C4A" w:rsidTr="00491C4A">
        <w:trPr>
          <w:trHeight w:val="394"/>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7</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417 del 4 de mayo de 2023</w:t>
            </w:r>
          </w:p>
        </w:tc>
        <w:tc>
          <w:tcPr>
            <w:tcW w:w="5357"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sz w:val="28"/>
              </w:rPr>
            </w:pPr>
            <w:r w:rsidRPr="00491C4A">
              <w:rPr>
                <w:rFonts w:ascii="Times New Roman" w:hAnsi="Times New Roman"/>
                <w:sz w:val="28"/>
              </w:rPr>
              <w:t xml:space="preserve">Texto definitivo aprobado en sesión plenaria del Senado de la República los </w:t>
            </w:r>
            <w:r w:rsidRPr="00491C4A">
              <w:rPr>
                <w:rFonts w:ascii="Times New Roman" w:hAnsi="Times New Roman"/>
                <w:sz w:val="28"/>
              </w:rPr>
              <w:t>días 02 y 03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8</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427 del 4 de mayo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 xml:space="preserve">Informe de conciliación </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9</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429 del 4 de mayo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Informe de conciliación</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10</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855 del 14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Plenaria del Senado de la República número 49 del 5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11</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 xml:space="preserve">858 del </w:t>
            </w:r>
            <w:r w:rsidRPr="00491C4A">
              <w:rPr>
                <w:rFonts w:ascii="Times New Roman" w:hAnsi="Times New Roman"/>
                <w:sz w:val="28"/>
              </w:rPr>
              <w:t>14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Comisión número 003 del 21 de marzo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12</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859 del 14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Comisión número 004 del 22 de marzo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13</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860 del 14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Comisión número 005 del 23 de marzo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14</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 xml:space="preserve">889 del 19 </w:t>
            </w:r>
            <w:r w:rsidRPr="00491C4A">
              <w:rPr>
                <w:rFonts w:ascii="Times New Roman" w:hAnsi="Times New Roman"/>
                <w:sz w:val="28"/>
              </w:rPr>
              <w:t>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Plenaria del Senado de la República número 46 del 2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15</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892 del 21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Plenaria de la Cámara de Representantes número 53 del 2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16</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902 del 25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 xml:space="preserve">Acta de Plenaria </w:t>
            </w:r>
            <w:r w:rsidRPr="00491C4A">
              <w:rPr>
                <w:rFonts w:ascii="Times New Roman" w:hAnsi="Times New Roman"/>
                <w:sz w:val="28"/>
              </w:rPr>
              <w:t>del Senado de la República número 47 del 3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17</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923 del 27 de julio de 2023</w:t>
            </w:r>
          </w:p>
        </w:tc>
        <w:tc>
          <w:tcPr>
            <w:tcW w:w="5357" w:type="dxa"/>
            <w:shd w:val="clear" w:color="auto" w:fill="auto"/>
          </w:tcPr>
          <w:p w:rsidR="00406673" w:rsidRPr="00491C4A" w:rsidRDefault="00491C4A" w:rsidP="00491C4A">
            <w:pPr>
              <w:spacing w:after="0" w:line="240" w:lineRule="auto"/>
              <w:rPr>
                <w:rFonts w:ascii="Times New Roman" w:hAnsi="Times New Roman"/>
                <w:i/>
                <w:sz w:val="28"/>
              </w:rPr>
            </w:pPr>
            <w:r w:rsidRPr="00491C4A">
              <w:rPr>
                <w:rFonts w:ascii="Times New Roman" w:hAnsi="Times New Roman"/>
                <w:sz w:val="28"/>
              </w:rPr>
              <w:t>Acta de Plenaria de la Cámara de Representantes número 56 del 5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18</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1311 del 20 de septiembre de 2023</w:t>
            </w:r>
          </w:p>
        </w:tc>
        <w:tc>
          <w:tcPr>
            <w:tcW w:w="5357"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sz w:val="28"/>
              </w:rPr>
            </w:pPr>
            <w:r w:rsidRPr="00491C4A">
              <w:rPr>
                <w:rFonts w:ascii="Times New Roman" w:hAnsi="Times New Roman"/>
                <w:sz w:val="28"/>
              </w:rPr>
              <w:t>Acta de Plenaria de la Cámara de Representantes</w:t>
            </w:r>
            <w:r w:rsidRPr="00491C4A">
              <w:rPr>
                <w:rFonts w:ascii="Times New Roman" w:hAnsi="Times New Roman"/>
                <w:sz w:val="28"/>
              </w:rPr>
              <w:t xml:space="preserve"> número 054 del 3 de mayo de 2023</w:t>
            </w:r>
          </w:p>
        </w:tc>
      </w:tr>
      <w:tr w:rsidR="00491C4A" w:rsidRPr="00491C4A" w:rsidTr="00491C4A">
        <w:trPr>
          <w:trHeight w:val="416"/>
        </w:trPr>
        <w:tc>
          <w:tcPr>
            <w:tcW w:w="629"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19</w:t>
            </w:r>
          </w:p>
        </w:tc>
        <w:tc>
          <w:tcPr>
            <w:tcW w:w="31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sz w:val="28"/>
              </w:rPr>
            </w:pPr>
            <w:r w:rsidRPr="00491C4A">
              <w:rPr>
                <w:rFonts w:ascii="Times New Roman" w:hAnsi="Times New Roman"/>
                <w:sz w:val="28"/>
              </w:rPr>
              <w:t>1143 del 25 de agosto de 2023</w:t>
            </w:r>
          </w:p>
        </w:tc>
        <w:tc>
          <w:tcPr>
            <w:tcW w:w="5357"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sz w:val="28"/>
              </w:rPr>
            </w:pPr>
            <w:r w:rsidRPr="00491C4A">
              <w:rPr>
                <w:rFonts w:ascii="Times New Roman" w:hAnsi="Times New Roman"/>
                <w:sz w:val="28"/>
              </w:rPr>
              <w:t>Acta de Plenaria de la Cámara de Representantes número 055 del 4 de mayo de 2023</w:t>
            </w:r>
          </w:p>
        </w:tc>
      </w:tr>
    </w:tbl>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Adicionalmente, la Secretaría General de la Comisión Tercera Constitucional Permanente de la Cámara de Re</w:t>
      </w:r>
      <w:r w:rsidRPr="00491C4A">
        <w:rPr>
          <w:rFonts w:ascii="Times New Roman" w:hAnsi="Times New Roman"/>
          <w:sz w:val="28"/>
          <w:szCs w:val="28"/>
        </w:rPr>
        <w:t>presentantes envío el cuadro de proposiciones.</w:t>
      </w:r>
      <w:r w:rsidRPr="00491C4A">
        <w:rPr>
          <w:rStyle w:val="Refdenotaalpie"/>
          <w:rFonts w:ascii="Times New Roman" w:hAnsi="Times New Roman"/>
          <w:sz w:val="28"/>
          <w:szCs w:val="28"/>
        </w:rPr>
        <w:footnoteReference w:id="17"/>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otra parte, en respuesta al cuestionario formulado en el Auto del 6 de diciembre de 2023, enviaron sus respuestas el Ministerio de Minas y Energía y la CREG.</w:t>
      </w:r>
      <w:r w:rsidRPr="00491C4A">
        <w:rPr>
          <w:rStyle w:val="Refdenotaalpie"/>
          <w:rFonts w:ascii="Times New Roman" w:hAnsi="Times New Roman"/>
          <w:sz w:val="28"/>
          <w:szCs w:val="28"/>
        </w:rPr>
        <w:footnoteReference w:id="18"/>
      </w:r>
    </w:p>
    <w:p w:rsidR="00406673" w:rsidRPr="00491C4A" w:rsidRDefault="00491C4A" w:rsidP="00406673">
      <w:pPr>
        <w:rPr>
          <w:rFonts w:ascii="Times New Roman" w:hAnsi="Times New Roman"/>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Respuestas del Ministerio de Minas y Energía</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cuanto a las obligaciones asignadas a las plantas de generación de energía producida a partir de fuentes no convencionales, a las que se refiere la Ley 1715 de 2014, cuya potencia nominal instalada total supere los 10.000 kilovatios, cuando se encuent</w:t>
      </w:r>
      <w:r w:rsidRPr="00491C4A">
        <w:rPr>
          <w:rFonts w:ascii="Times New Roman" w:hAnsi="Times New Roman"/>
          <w:sz w:val="28"/>
          <w:szCs w:val="28"/>
        </w:rPr>
        <w:t xml:space="preserve">ran en operación, en primer lugar el Ministerio de Minas y Energía </w:t>
      </w:r>
      <w:r w:rsidRPr="00491C4A">
        <w:rPr>
          <w:rFonts w:ascii="Times New Roman" w:hAnsi="Times New Roman"/>
          <w:sz w:val="28"/>
          <w:szCs w:val="28"/>
        </w:rPr>
        <w:t>a</w:t>
      </w:r>
      <w:r w:rsidRPr="00491C4A">
        <w:rPr>
          <w:rFonts w:ascii="Times New Roman" w:hAnsi="Times New Roman"/>
          <w:sz w:val="28"/>
          <w:szCs w:val="28"/>
        </w:rPr>
        <w:t>claró que cuando la potencia efectiva neta se encuentre entre los 1.000 y 20.000 kilovatios es opcional participar en el despacho central del sistema, “</w:t>
      </w:r>
      <w:r w:rsidRPr="00491C4A">
        <w:rPr>
          <w:rFonts w:ascii="Times New Roman" w:hAnsi="Times New Roman"/>
          <w:i/>
          <w:iCs/>
          <w:sz w:val="28"/>
          <w:szCs w:val="28"/>
        </w:rPr>
        <w:t>mientras que las plantas con potenci</w:t>
      </w:r>
      <w:r w:rsidRPr="00491C4A">
        <w:rPr>
          <w:rFonts w:ascii="Times New Roman" w:hAnsi="Times New Roman"/>
          <w:i/>
          <w:iCs/>
          <w:sz w:val="28"/>
          <w:szCs w:val="28"/>
        </w:rPr>
        <w:t>a efectiva neta igual o superior a los 20.000 kilovatios están obligadas a participar en el despacho central (Resolución CREG 096 de 2019).</w:t>
      </w:r>
      <w:r w:rsidRPr="00491C4A">
        <w:rPr>
          <w:rFonts w:ascii="Times New Roman" w:hAnsi="Times New Roman"/>
          <w:sz w:val="28"/>
          <w:szCs w:val="28"/>
        </w:rPr>
        <w:t>”</w:t>
      </w:r>
      <w:r w:rsidRPr="00491C4A">
        <w:rPr>
          <w:rStyle w:val="Refdenotaalpie"/>
          <w:rFonts w:ascii="Times New Roman" w:hAnsi="Times New Roman"/>
          <w:sz w:val="28"/>
          <w:szCs w:val="28"/>
        </w:rPr>
        <w:footnoteReference w:id="19"/>
      </w:r>
      <w:r w:rsidRPr="00491C4A">
        <w:rPr>
          <w:rFonts w:ascii="Times New Roman" w:hAnsi="Times New Roman"/>
          <w:sz w:val="28"/>
          <w:szCs w:val="28"/>
        </w:rPr>
        <w:t xml:space="preserve"> </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Posteriormente, distinguió entre obligaciones de energía en el mercado, obligaciones pecuniarias y otras obligac</w:t>
      </w:r>
      <w:r w:rsidRPr="00491C4A">
        <w:rPr>
          <w:rFonts w:ascii="Times New Roman" w:hAnsi="Times New Roman"/>
          <w:sz w:val="28"/>
          <w:szCs w:val="28"/>
        </w:rPr>
        <w:t>iones a los generadores de FNACER, las cuales se presentarán esquematizadas en las tablas 2, 3 y 4.</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spacing w:before="0"/>
        <w:jc w:val="center"/>
        <w:rPr>
          <w:rFonts w:ascii="Times New Roman" w:hAnsi="Times New Roman"/>
          <w:b/>
          <w:bCs/>
          <w:i/>
          <w:iCs/>
          <w:color w:val="auto"/>
        </w:rPr>
      </w:pPr>
      <w:bookmarkStart w:id="18" w:name="_Toc200753651"/>
      <w:r w:rsidRPr="00491C4A">
        <w:rPr>
          <w:rFonts w:ascii="Times New Roman" w:hAnsi="Times New Roman"/>
          <w:b/>
          <w:bCs/>
          <w:i/>
          <w:iCs/>
          <w:color w:val="auto"/>
        </w:rPr>
        <w:t>Tabla 2 – Obligaciones de entrega de energía en el mercado</w:t>
      </w:r>
      <w:bookmarkEnd w:id="18"/>
      <w:r w:rsidRPr="00491C4A">
        <w:rPr>
          <w:rFonts w:ascii="Times New Roman" w:hAnsi="Times New Roman"/>
          <w:b/>
          <w:bCs/>
          <w:i/>
          <w:iCs/>
          <w:color w:val="auto"/>
        </w:rPr>
        <w:t xml:space="preserve"> </w:t>
      </w:r>
    </w:p>
    <w:p w:rsidR="00406673" w:rsidRPr="00491C4A" w:rsidRDefault="00491C4A" w:rsidP="00406673">
      <w:pPr>
        <w:pStyle w:val="Prrafodelista"/>
        <w:ind w:left="0"/>
        <w:jc w:val="both"/>
        <w:rPr>
          <w:rFonts w:ascii="Times New Roman" w:hAnsi="Times New Roman"/>
          <w:iCs/>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1855"/>
        <w:gridCol w:w="5943"/>
      </w:tblGrid>
      <w:tr w:rsidR="00406673" w:rsidRPr="00491C4A" w:rsidTr="00491C4A">
        <w:tc>
          <w:tcPr>
            <w:tcW w:w="169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Fuente normativa</w:t>
            </w:r>
          </w:p>
        </w:tc>
        <w:tc>
          <w:tcPr>
            <w:tcW w:w="1843"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 xml:space="preserve">Finalidad </w:t>
            </w:r>
          </w:p>
        </w:tc>
        <w:tc>
          <w:tcPr>
            <w:tcW w:w="595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Obligaciones</w:t>
            </w:r>
          </w:p>
        </w:tc>
      </w:tr>
      <w:tr w:rsidR="00406673" w:rsidRPr="00491C4A" w:rsidTr="00491C4A">
        <w:tc>
          <w:tcPr>
            <w:tcW w:w="1696"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Resoluciones CREG 024 y 025 de 1995</w:t>
            </w:r>
          </w:p>
        </w:tc>
        <w:tc>
          <w:tcPr>
            <w:tcW w:w="1843"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Planear el </w:t>
            </w:r>
            <w:r w:rsidRPr="00491C4A">
              <w:rPr>
                <w:rFonts w:ascii="Times New Roman" w:hAnsi="Times New Roman"/>
                <w:iCs/>
                <w:sz w:val="28"/>
              </w:rPr>
              <w:t>sistema eléctrico</w:t>
            </w:r>
          </w:p>
        </w:tc>
        <w:tc>
          <w:tcPr>
            <w:tcW w:w="5954"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“Presentar la información de las ofertas y demás reportes para realizar la programación del despacho diario, cumplir con las instrucciones del Centro Nacional de Despacho (CND) en relación con el programa de generación y realizar el repor</w:t>
            </w:r>
            <w:r w:rsidRPr="00491C4A">
              <w:rPr>
                <w:rFonts w:ascii="Times New Roman" w:hAnsi="Times New Roman"/>
                <w:iCs/>
                <w:sz w:val="28"/>
              </w:rPr>
              <w:t xml:space="preserve">te para la operación en tiempo real del sistema eléctrico, enviar los reportes del funcionamiento real de las plantas de generación para efectos del análisis post-operativo, y para efectos de la liquidación comercial de las cuentas del mercado energético, </w:t>
            </w:r>
            <w:r w:rsidRPr="00491C4A">
              <w:rPr>
                <w:rFonts w:ascii="Times New Roman" w:hAnsi="Times New Roman"/>
                <w:iCs/>
                <w:sz w:val="28"/>
              </w:rPr>
              <w:t>cumplir con el esquema de garantías y realizar los pagos por las transacciones en el mercado de energía. Estas obligaciones se adquieren con el Mercado de Energía Mayorista (MEM) y con el mercado spot o bolsa de energía, cuyo operador es XM S.A. E.S.P.”</w:t>
            </w:r>
            <w:r w:rsidRPr="00491C4A">
              <w:rPr>
                <w:rStyle w:val="Refdenotaalpie"/>
                <w:rFonts w:ascii="Times New Roman" w:hAnsi="Times New Roman"/>
                <w:iCs/>
                <w:sz w:val="28"/>
              </w:rPr>
              <w:footnoteReference w:id="20"/>
            </w:r>
          </w:p>
        </w:tc>
      </w:tr>
      <w:tr w:rsidR="00406673" w:rsidRPr="00491C4A" w:rsidTr="00491C4A">
        <w:tc>
          <w:tcPr>
            <w:tcW w:w="1696"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Resolución CREG 071 de 2006</w:t>
            </w:r>
          </w:p>
        </w:tc>
        <w:tc>
          <w:tcPr>
            <w:tcW w:w="1843"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Requisitos para participar en el esquema del cargo por confiabilidad</w:t>
            </w:r>
          </w:p>
        </w:tc>
        <w:tc>
          <w:tcPr>
            <w:tcW w:w="5954" w:type="dxa"/>
            <w:shd w:val="clear" w:color="auto" w:fill="auto"/>
          </w:tcPr>
          <w:p w:rsidR="00406673" w:rsidRPr="00491C4A" w:rsidRDefault="00491C4A" w:rsidP="00491C4A">
            <w:pPr>
              <w:spacing w:after="0" w:line="240" w:lineRule="auto"/>
              <w:jc w:val="both"/>
              <w:rPr>
                <w:rFonts w:ascii="Times New Roman" w:hAnsi="Times New Roman"/>
                <w:i/>
                <w:iCs/>
                <w:sz w:val="28"/>
              </w:rPr>
            </w:pPr>
            <w:r w:rsidRPr="00491C4A">
              <w:rPr>
                <w:rFonts w:ascii="Times New Roman" w:hAnsi="Times New Roman"/>
                <w:iCs/>
                <w:sz w:val="28"/>
              </w:rPr>
              <w:t>“Presentar la información previa para participar en las subastas que determine la Comisión de Regulación de Energía y Gas (CREG), presentar los parámetros técn</w:t>
            </w:r>
            <w:r w:rsidRPr="00491C4A">
              <w:rPr>
                <w:rFonts w:ascii="Times New Roman" w:hAnsi="Times New Roman"/>
                <w:iCs/>
                <w:sz w:val="28"/>
              </w:rPr>
              <w:t>icos, ofertas y demás requerimientos al momento de la ejecución de las subastas, otorgar las garantías exigidas en los tiempos establecidos por la CREG y por el subastador, cumplir con todas las fechas definidas en el cronograma de la subasta y en sus comp</w:t>
            </w:r>
            <w:r w:rsidRPr="00491C4A">
              <w:rPr>
                <w:rFonts w:ascii="Times New Roman" w:hAnsi="Times New Roman"/>
                <w:iCs/>
                <w:sz w:val="28"/>
              </w:rPr>
              <w:t>romisos adquiridos, cumplir con las obligaciones de entrega de energía firme en los tiempos indicados y las demás establecidas en la citada norma. Estas obligaciones se adquieren con el MEM, cuyo operador es XM S.A. E.S.P”.</w:t>
            </w:r>
            <w:r w:rsidRPr="00491C4A">
              <w:rPr>
                <w:rStyle w:val="Refdenotaalpie"/>
                <w:rFonts w:ascii="Times New Roman" w:hAnsi="Times New Roman"/>
                <w:iCs/>
                <w:sz w:val="28"/>
              </w:rPr>
              <w:footnoteReference w:id="21"/>
            </w:r>
          </w:p>
        </w:tc>
      </w:tr>
      <w:tr w:rsidR="00406673" w:rsidRPr="00491C4A" w:rsidTr="00491C4A">
        <w:tc>
          <w:tcPr>
            <w:tcW w:w="1696"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Resoluciones CREG 024 de 1995 </w:t>
            </w:r>
            <w:r w:rsidRPr="00491C4A">
              <w:rPr>
                <w:rFonts w:ascii="Times New Roman" w:hAnsi="Times New Roman"/>
                <w:iCs/>
                <w:sz w:val="28"/>
              </w:rPr>
              <w:t>y 130 de 2019</w:t>
            </w:r>
          </w:p>
        </w:tc>
        <w:tc>
          <w:tcPr>
            <w:tcW w:w="1843"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Requisitos para participar en la comercialización de energía a largo plazo en el mercado regulatorio</w:t>
            </w:r>
          </w:p>
        </w:tc>
        <w:tc>
          <w:tcPr>
            <w:tcW w:w="5954"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“Cumplir con los principios, comportamientos y procedimientos establecidos en dichas normas, suscribir los contratos resultantes de las convo</w:t>
            </w:r>
            <w:r w:rsidRPr="00491C4A">
              <w:rPr>
                <w:rFonts w:ascii="Times New Roman" w:hAnsi="Times New Roman"/>
                <w:iCs/>
                <w:sz w:val="28"/>
              </w:rPr>
              <w:t>catorias, cumplir con el registro de los contratos ante XM S.A. E.S.P. o quien haga sus veces, cumplir con los compromisos establecidos en los contratos en los tiempos indicados, y las demás establecidas por la norma. Para el caso del mercado libre o no re</w:t>
            </w:r>
            <w:r w:rsidRPr="00491C4A">
              <w:rPr>
                <w:rFonts w:ascii="Times New Roman" w:hAnsi="Times New Roman"/>
                <w:iCs/>
                <w:sz w:val="28"/>
              </w:rPr>
              <w:t>gulado, los generadores deben cumplir con la libre negociación de los precios del componente de la generación. Estas obligaciones se adquieren con el comprador específico, con el MEM y con el esquema de comercialización mercado regulado o mercado no regula</w:t>
            </w:r>
            <w:r w:rsidRPr="00491C4A">
              <w:rPr>
                <w:rFonts w:ascii="Times New Roman" w:hAnsi="Times New Roman"/>
                <w:iCs/>
                <w:sz w:val="28"/>
              </w:rPr>
              <w:t>do, según sea el caso, cuyo operador es XM.”</w:t>
            </w:r>
            <w:r w:rsidRPr="00491C4A">
              <w:rPr>
                <w:rStyle w:val="Refdenotaalpie"/>
                <w:rFonts w:ascii="Times New Roman" w:hAnsi="Times New Roman"/>
                <w:iCs/>
                <w:sz w:val="28"/>
              </w:rPr>
              <w:footnoteReference w:id="22"/>
            </w:r>
          </w:p>
        </w:tc>
      </w:tr>
      <w:tr w:rsidR="00406673" w:rsidRPr="00491C4A" w:rsidTr="00491C4A">
        <w:tc>
          <w:tcPr>
            <w:tcW w:w="1696"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Resolución 40590 de 2019 del Ministerio de Minas y Energía</w:t>
            </w:r>
          </w:p>
        </w:tc>
        <w:tc>
          <w:tcPr>
            <w:tcW w:w="1843"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Requisitos para participar en el mecanismo que promueve la contratación de largo plazo para proyectos de generación de energía eléctrica complementari</w:t>
            </w:r>
            <w:r w:rsidRPr="00491C4A">
              <w:rPr>
                <w:rFonts w:ascii="Times New Roman" w:hAnsi="Times New Roman"/>
                <w:iCs/>
                <w:sz w:val="28"/>
              </w:rPr>
              <w:t xml:space="preserve">o a los mecanismos existentes en el MEM </w:t>
            </w:r>
          </w:p>
        </w:tc>
        <w:tc>
          <w:tcPr>
            <w:tcW w:w="5954"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“Presentar la información previa para participar en este mecanismo, presentar los parámetros técnicos, ofertas y demás requerimientos al momento de la ejecución del mecanismo, otorgar las garantías exigidas en los t</w:t>
            </w:r>
            <w:r w:rsidRPr="00491C4A">
              <w:rPr>
                <w:rFonts w:ascii="Times New Roman" w:hAnsi="Times New Roman"/>
                <w:iCs/>
                <w:sz w:val="28"/>
              </w:rPr>
              <w:t>iempos establecidos por la norma vigente y por el subastador, cumplir con todas las fechas definidas en el cronograma de la subasta y en sus compromisos adquiridos, suscribir los contratos resultantes de la subasta, cumplir con los compromisos establecidos</w:t>
            </w:r>
            <w:r w:rsidRPr="00491C4A">
              <w:rPr>
                <w:rFonts w:ascii="Times New Roman" w:hAnsi="Times New Roman"/>
                <w:iCs/>
                <w:sz w:val="28"/>
              </w:rPr>
              <w:t xml:space="preserve"> en los contratos en los tiempos indicados, cumplir con las obligaciones de entrega de energía en los tiempos indicados y las demás establecidas en la citada norma. Estas obligaciones se adquieren con el comprador, con el MEM y con el mecanismo que promuev</w:t>
            </w:r>
            <w:r w:rsidRPr="00491C4A">
              <w:rPr>
                <w:rFonts w:ascii="Times New Roman" w:hAnsi="Times New Roman"/>
                <w:iCs/>
                <w:sz w:val="28"/>
              </w:rPr>
              <w:t>e la contratación de largo plazo para proyectos de generación de energía, cuyo operador actual es XM.”</w:t>
            </w:r>
            <w:r w:rsidRPr="00491C4A">
              <w:rPr>
                <w:rStyle w:val="Refdenotaalpie"/>
                <w:rFonts w:ascii="Times New Roman" w:hAnsi="Times New Roman"/>
                <w:iCs/>
                <w:sz w:val="28"/>
              </w:rPr>
              <w:footnoteReference w:id="23"/>
            </w:r>
          </w:p>
        </w:tc>
      </w:tr>
    </w:tbl>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spacing w:before="0"/>
        <w:jc w:val="center"/>
        <w:rPr>
          <w:rFonts w:ascii="Times New Roman" w:hAnsi="Times New Roman"/>
          <w:b/>
          <w:bCs/>
          <w:i/>
          <w:iCs/>
          <w:color w:val="auto"/>
        </w:rPr>
      </w:pPr>
      <w:bookmarkStart w:id="19" w:name="_Toc200753652"/>
      <w:r w:rsidRPr="00491C4A">
        <w:rPr>
          <w:rFonts w:ascii="Times New Roman" w:hAnsi="Times New Roman"/>
          <w:b/>
          <w:bCs/>
          <w:i/>
          <w:iCs/>
          <w:color w:val="auto"/>
        </w:rPr>
        <w:t>Tabla 3 – Obligaciones pecuniarias</w:t>
      </w:r>
      <w:bookmarkEnd w:id="19"/>
    </w:p>
    <w:p w:rsidR="00406673" w:rsidRPr="00491C4A" w:rsidRDefault="00491C4A" w:rsidP="00406673">
      <w:pPr>
        <w:rPr>
          <w:rFonts w:ascii="Times New Roman" w:hAnsi="Times New Roman"/>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835"/>
        <w:gridCol w:w="2410"/>
      </w:tblGrid>
      <w:tr w:rsidR="00406673" w:rsidRPr="00491C4A" w:rsidTr="00491C4A">
        <w:tc>
          <w:tcPr>
            <w:tcW w:w="4248"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Sujeto Obligado</w:t>
            </w:r>
          </w:p>
        </w:tc>
        <w:tc>
          <w:tcPr>
            <w:tcW w:w="2835"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Obligaciones</w:t>
            </w:r>
          </w:p>
        </w:tc>
        <w:tc>
          <w:tcPr>
            <w:tcW w:w="2410"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Excepciones</w:t>
            </w:r>
          </w:p>
        </w:tc>
      </w:tr>
      <w:tr w:rsidR="00406673" w:rsidRPr="00491C4A" w:rsidTr="00491C4A">
        <w:tc>
          <w:tcPr>
            <w:tcW w:w="424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Plantas cuya potencia nominal instalada total supere los 10.000 </w:t>
            </w:r>
            <w:r w:rsidRPr="00491C4A">
              <w:rPr>
                <w:rFonts w:ascii="Times New Roman" w:hAnsi="Times New Roman"/>
                <w:iCs/>
                <w:sz w:val="28"/>
              </w:rPr>
              <w:t>kilovatios</w:t>
            </w:r>
          </w:p>
        </w:tc>
        <w:tc>
          <w:tcPr>
            <w:tcW w:w="2835"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Transferencia equivalente al 1% de las ventas brutas de energía por generación propia</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“La energía producida por la que ya se paguen las transferencias por generación térmica o hidroeléctrica, establecidas en el artículo 45 de la Ley 99 de 1993.”</w:t>
            </w:r>
            <w:r w:rsidRPr="00491C4A">
              <w:rPr>
                <w:rStyle w:val="Refdenotaalpie"/>
                <w:rFonts w:ascii="Times New Roman" w:hAnsi="Times New Roman"/>
                <w:iCs/>
                <w:sz w:val="28"/>
              </w:rPr>
              <w:footnoteReference w:id="24"/>
            </w:r>
          </w:p>
        </w:tc>
      </w:tr>
      <w:tr w:rsidR="00406673" w:rsidRPr="00491C4A" w:rsidTr="00491C4A">
        <w:tc>
          <w:tcPr>
            <w:tcW w:w="424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Plantas nuevas que aún no se encuentren en operación y estén localizadas en áreas con la mayor radiación solar promedio anual (mayores a 5 kWh/m2/día) y de mayor velocidad promedio de viento (mayores a 4 m/s a 10m de altura), de acuerdo con los últimos </w:t>
            </w:r>
            <w:r w:rsidRPr="00491C4A">
              <w:rPr>
                <w:rFonts w:ascii="Times New Roman" w:hAnsi="Times New Roman"/>
                <w:iCs/>
                <w:sz w:val="28"/>
              </w:rPr>
              <w:t xml:space="preserve">datos disponibles en los atlas de radiación y velocidad de viento del </w:t>
            </w:r>
            <w:r w:rsidRPr="00491C4A">
              <w:rPr>
                <w:rFonts w:ascii="Times New Roman" w:hAnsi="Times New Roman"/>
                <w:iCs/>
                <w:sz w:val="28"/>
              </w:rPr>
              <w:t>IDEAM</w:t>
            </w:r>
          </w:p>
        </w:tc>
        <w:tc>
          <w:tcPr>
            <w:tcW w:w="2835"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6% de las ventas brutas de energía por generación propia de manera progresiva a cinco años</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p>
        </w:tc>
      </w:tr>
      <w:tr w:rsidR="00406673" w:rsidRPr="00491C4A" w:rsidTr="00491C4A">
        <w:tc>
          <w:tcPr>
            <w:tcW w:w="424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Plantas de operación o plantas con asignación de obligaciones, localizadas en áreas con</w:t>
            </w:r>
            <w:r w:rsidRPr="00491C4A">
              <w:rPr>
                <w:rFonts w:ascii="Times New Roman" w:hAnsi="Times New Roman"/>
                <w:iCs/>
                <w:sz w:val="28"/>
              </w:rPr>
              <w:t xml:space="preserve"> la mayor radiación solar promedio anual (mayores a 5 kWh/m2/día) y de mayor velocidad promedio de viento (mayores a 4 m/s a 10m de altura), de acuerdo con los últimos datos disponibles en los atlas de radiación y velocidad de viento del </w:t>
            </w:r>
            <w:r w:rsidRPr="00491C4A">
              <w:rPr>
                <w:rFonts w:ascii="Times New Roman" w:hAnsi="Times New Roman"/>
                <w:iCs/>
                <w:sz w:val="28"/>
              </w:rPr>
              <w:t>IDEAM</w:t>
            </w:r>
          </w:p>
        </w:tc>
        <w:tc>
          <w:tcPr>
            <w:tcW w:w="2835"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4% de las ve</w:t>
            </w:r>
            <w:r w:rsidRPr="00491C4A">
              <w:rPr>
                <w:rFonts w:ascii="Times New Roman" w:hAnsi="Times New Roman"/>
                <w:iCs/>
                <w:sz w:val="28"/>
              </w:rPr>
              <w:t>ntas brutas de energía por generación propia, de manera progresiva a cinco años</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p>
        </w:tc>
      </w:tr>
    </w:tbl>
    <w:p w:rsidR="00406673" w:rsidRPr="00491C4A" w:rsidRDefault="00491C4A" w:rsidP="00406673">
      <w:pPr>
        <w:pStyle w:val="Prrafodelista"/>
        <w:ind w:left="0"/>
        <w:jc w:val="both"/>
        <w:rPr>
          <w:rFonts w:ascii="Times New Roman" w:hAnsi="Times New Roman"/>
          <w:iCs/>
          <w:sz w:val="28"/>
          <w:szCs w:val="28"/>
        </w:rPr>
      </w:pPr>
    </w:p>
    <w:p w:rsidR="00406673" w:rsidRPr="00491C4A" w:rsidRDefault="00491C4A" w:rsidP="00406673">
      <w:pPr>
        <w:pStyle w:val="Ttulo3"/>
        <w:spacing w:before="0"/>
        <w:jc w:val="center"/>
        <w:rPr>
          <w:rFonts w:ascii="Times New Roman" w:hAnsi="Times New Roman"/>
          <w:b/>
          <w:bCs/>
          <w:i/>
          <w:iCs/>
          <w:color w:val="auto"/>
        </w:rPr>
      </w:pPr>
      <w:bookmarkStart w:id="20" w:name="_Toc200753653"/>
      <w:r w:rsidRPr="00491C4A">
        <w:rPr>
          <w:rFonts w:ascii="Times New Roman" w:hAnsi="Times New Roman"/>
          <w:b/>
          <w:bCs/>
          <w:i/>
          <w:iCs/>
          <w:color w:val="auto"/>
        </w:rPr>
        <w:t>Tabla 4 – Otras obligaciones</w:t>
      </w:r>
      <w:bookmarkEnd w:id="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694"/>
        <w:gridCol w:w="2172"/>
      </w:tblGrid>
      <w:tr w:rsidR="00406673" w:rsidRPr="00491C4A" w:rsidTr="00491C4A">
        <w:tc>
          <w:tcPr>
            <w:tcW w:w="4531"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Entidades respecto de las cuales se generan las obligaciones</w:t>
            </w:r>
          </w:p>
        </w:tc>
        <w:tc>
          <w:tcPr>
            <w:tcW w:w="2694"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Objetivo</w:t>
            </w:r>
          </w:p>
        </w:tc>
        <w:tc>
          <w:tcPr>
            <w:tcW w:w="2172"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Obligaciones</w:t>
            </w:r>
          </w:p>
        </w:tc>
      </w:tr>
      <w:tr w:rsidR="00406673" w:rsidRPr="00491C4A" w:rsidTr="00491C4A">
        <w:tc>
          <w:tcPr>
            <w:tcW w:w="4531"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Autoridades y entidades del sector eléctrico como Ministerio de Minas y Energía, Unidad de Planeación Minero Energética, Comisión de Regulación de Energía y Gas, Superintendencia de Servicios Públicos Domiciliarios</w:t>
            </w:r>
          </w:p>
        </w:tc>
        <w:tc>
          <w:tcPr>
            <w:tcW w:w="2694"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Desarrollar la planeación, regulación, in</w:t>
            </w:r>
            <w:r w:rsidRPr="00491C4A">
              <w:rPr>
                <w:rFonts w:ascii="Times New Roman" w:hAnsi="Times New Roman"/>
                <w:iCs/>
                <w:sz w:val="28"/>
              </w:rPr>
              <w:t>spección, vigilancia y control</w:t>
            </w:r>
          </w:p>
        </w:tc>
        <w:tc>
          <w:tcPr>
            <w:tcW w:w="2172"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w:t>
            </w:r>
            <w:r w:rsidRPr="00491C4A">
              <w:rPr>
                <w:rFonts w:ascii="Times New Roman" w:hAnsi="Times New Roman"/>
                <w:iCs/>
                <w:sz w:val="28"/>
              </w:rPr>
              <w:t>ntregar la información que indique la normativa</w:t>
            </w:r>
          </w:p>
        </w:tc>
      </w:tr>
    </w:tbl>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segundo lugar, en cuanto a la finalidad del artículo 233 de la Ley 2294, señaló que esta norma busca materializar la transición energética justa y la acción climática, </w:t>
      </w:r>
      <w:r w:rsidRPr="00491C4A">
        <w:rPr>
          <w:rFonts w:ascii="Times New Roman" w:hAnsi="Times New Roman"/>
          <w:sz w:val="28"/>
          <w:szCs w:val="28"/>
        </w:rPr>
        <w:t>pertenecientes al eje cuatro del Plan Nacional de Desarrollo. Este eje comprende, entre otros aspectos, la lucha contra el cambio climático, la descarbonización, la consolidación de territorios resilientes al clima, y la democratización del uso de los recu</w:t>
      </w:r>
      <w:r w:rsidRPr="00491C4A">
        <w:rPr>
          <w:rFonts w:ascii="Times New Roman" w:hAnsi="Times New Roman"/>
          <w:sz w:val="28"/>
          <w:szCs w:val="28"/>
        </w:rPr>
        <w:t>rsos energéticos locales como las energías limpias, la generación eléctrica y el cumplimiento del Acuerdo de París.</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esa manera, los recursos provenientes del aumento en la tarifa para las plantas descritas en la norma serán destinados a la transición e</w:t>
      </w:r>
      <w:r w:rsidRPr="00491C4A">
        <w:rPr>
          <w:rFonts w:ascii="Times New Roman" w:hAnsi="Times New Roman"/>
          <w:sz w:val="28"/>
          <w:szCs w:val="28"/>
        </w:rPr>
        <w:t>nergética justa, “</w:t>
      </w:r>
      <w:r w:rsidRPr="00491C4A">
        <w:rPr>
          <w:rFonts w:ascii="Times New Roman" w:hAnsi="Times New Roman"/>
          <w:i/>
          <w:iCs/>
          <w:sz w:val="28"/>
          <w:szCs w:val="28"/>
        </w:rPr>
        <w:t>porque están dirigidos a la financiación de proyectos definidos por las comunidades étnicas ubicadas en los departamentos de influencia de los proyectos de generación de energía con fuentes no convencionales de energía renovables en los t</w:t>
      </w:r>
      <w:r w:rsidRPr="00491C4A">
        <w:rPr>
          <w:rFonts w:ascii="Times New Roman" w:hAnsi="Times New Roman"/>
          <w:i/>
          <w:iCs/>
          <w:sz w:val="28"/>
          <w:szCs w:val="28"/>
        </w:rPr>
        <w:t>erritorios con condiciones especiales de sol y viento</w:t>
      </w:r>
      <w:r w:rsidRPr="00491C4A">
        <w:rPr>
          <w:rFonts w:ascii="Times New Roman" w:hAnsi="Times New Roman"/>
          <w:sz w:val="28"/>
          <w:szCs w:val="28"/>
        </w:rPr>
        <w:t>.” Al respecto, resaltaron que, conforme con lo establecido en los artículos 79 y 80 de la Constitución Política, el IPCC y el artículo 12 de la Ley 1931 de 2018, “</w:t>
      </w:r>
      <w:r w:rsidRPr="00491C4A">
        <w:rPr>
          <w:rFonts w:ascii="Times New Roman" w:hAnsi="Times New Roman"/>
          <w:i/>
          <w:iCs/>
          <w:sz w:val="28"/>
          <w:szCs w:val="28"/>
        </w:rPr>
        <w:t xml:space="preserve">es preciso partir de la convicción de </w:t>
      </w:r>
      <w:r w:rsidRPr="00491C4A">
        <w:rPr>
          <w:rFonts w:ascii="Times New Roman" w:hAnsi="Times New Roman"/>
          <w:i/>
          <w:iCs/>
          <w:sz w:val="28"/>
          <w:szCs w:val="28"/>
        </w:rPr>
        <w:t>que las fuentes no convencionales de energías renovables son fundamentales en la lucha contra el cambio climático</w:t>
      </w:r>
      <w:r w:rsidRPr="00491C4A">
        <w:rPr>
          <w:rFonts w:ascii="Times New Roman" w:hAnsi="Times New Roman"/>
          <w:sz w:val="28"/>
          <w:szCs w:val="28"/>
        </w:rPr>
        <w:t>” y la garantía del derecho al ambiente sano.</w:t>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Adicionalmente, afirmó que el artículo 233 de la Ley 2294 “</w:t>
      </w:r>
      <w:r w:rsidRPr="00491C4A">
        <w:rPr>
          <w:rFonts w:ascii="Times New Roman" w:hAnsi="Times New Roman"/>
          <w:i/>
          <w:iCs/>
          <w:sz w:val="28"/>
          <w:szCs w:val="28"/>
        </w:rPr>
        <w:t>también busca materializar la garantí</w:t>
      </w:r>
      <w:r w:rsidRPr="00491C4A">
        <w:rPr>
          <w:rFonts w:ascii="Times New Roman" w:hAnsi="Times New Roman"/>
          <w:i/>
          <w:iCs/>
          <w:sz w:val="28"/>
          <w:szCs w:val="28"/>
        </w:rPr>
        <w:t>a de diferentes derechos que se encuentran en el ordenamiento superior colombiano y que han sido desarrollados por la jurisprudencia de la Honorable Corte Constitucional.</w:t>
      </w:r>
      <w:r w:rsidRPr="00491C4A">
        <w:rPr>
          <w:rFonts w:ascii="Times New Roman" w:hAnsi="Times New Roman"/>
          <w:sz w:val="28"/>
          <w:szCs w:val="28"/>
        </w:rPr>
        <w:t>”</w:t>
      </w:r>
      <w:r w:rsidRPr="00491C4A">
        <w:rPr>
          <w:rStyle w:val="Refdenotaalpie"/>
          <w:rFonts w:ascii="Times New Roman" w:hAnsi="Times New Roman"/>
          <w:sz w:val="28"/>
          <w:szCs w:val="28"/>
        </w:rPr>
        <w:footnoteReference w:id="25"/>
      </w:r>
      <w:r w:rsidRPr="00491C4A">
        <w:rPr>
          <w:rFonts w:ascii="Times New Roman" w:hAnsi="Times New Roman"/>
          <w:sz w:val="28"/>
          <w:szCs w:val="28"/>
        </w:rPr>
        <w:t xml:space="preserve"> En este marco relacionó la Sentencia T-302 de 2017 y argumentó que dicha norma “</w:t>
      </w:r>
      <w:r w:rsidRPr="00491C4A">
        <w:rPr>
          <w:rFonts w:ascii="Times New Roman" w:hAnsi="Times New Roman"/>
          <w:i/>
          <w:iCs/>
          <w:sz w:val="28"/>
          <w:szCs w:val="28"/>
        </w:rPr>
        <w:t xml:space="preserve">es </w:t>
      </w:r>
      <w:r w:rsidRPr="00491C4A">
        <w:rPr>
          <w:rFonts w:ascii="Times New Roman" w:hAnsi="Times New Roman"/>
          <w:i/>
          <w:iCs/>
          <w:sz w:val="28"/>
          <w:szCs w:val="28"/>
        </w:rPr>
        <w:t>parte de las medidas necesarias para detener la vulneración masiva y generalizada de los derechos del pueblo Wayúu</w:t>
      </w:r>
      <w:r w:rsidRPr="00491C4A">
        <w:rPr>
          <w:rFonts w:ascii="Times New Roman" w:hAnsi="Times New Roman"/>
          <w:sz w:val="28"/>
          <w:szCs w:val="28"/>
        </w:rPr>
        <w:t>”</w:t>
      </w:r>
      <w:r w:rsidRPr="00491C4A">
        <w:rPr>
          <w:rStyle w:val="Refdenotaalpie"/>
          <w:rFonts w:ascii="Times New Roman" w:hAnsi="Times New Roman"/>
          <w:sz w:val="28"/>
          <w:szCs w:val="28"/>
        </w:rPr>
        <w:footnoteReference w:id="26"/>
      </w:r>
      <w:r w:rsidRPr="00491C4A">
        <w:rPr>
          <w:rFonts w:ascii="Times New Roman" w:hAnsi="Times New Roman"/>
          <w:sz w:val="28"/>
          <w:szCs w:val="28"/>
        </w:rPr>
        <w:t>.</w:t>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También mencionó la Sentencia T-698 de 2011 y expuso que “</w:t>
      </w:r>
      <w:r w:rsidRPr="00491C4A">
        <w:rPr>
          <w:rFonts w:ascii="Times New Roman" w:hAnsi="Times New Roman"/>
          <w:i/>
          <w:iCs/>
          <w:sz w:val="28"/>
          <w:szCs w:val="28"/>
        </w:rPr>
        <w:t xml:space="preserve">el aumento de las transferencias a favor de las comunidades étnicas impactadas </w:t>
      </w:r>
      <w:r w:rsidRPr="00491C4A">
        <w:rPr>
          <w:rFonts w:ascii="Times New Roman" w:hAnsi="Times New Roman"/>
          <w:i/>
          <w:iCs/>
          <w:sz w:val="28"/>
          <w:szCs w:val="28"/>
        </w:rPr>
        <w:t>facilita el camino para que se implementen estas nuevas tecnologías, lo que redundará en la mitigación y adaptación frente al cambio climático</w:t>
      </w:r>
      <w:r w:rsidRPr="00491C4A">
        <w:rPr>
          <w:rFonts w:ascii="Times New Roman" w:hAnsi="Times New Roman"/>
          <w:sz w:val="28"/>
          <w:szCs w:val="28"/>
        </w:rPr>
        <w:t>.”</w:t>
      </w:r>
      <w:r w:rsidRPr="00491C4A">
        <w:rPr>
          <w:rStyle w:val="Refdenotaalpie"/>
          <w:rFonts w:ascii="Times New Roman" w:hAnsi="Times New Roman"/>
          <w:sz w:val="28"/>
          <w:szCs w:val="28"/>
        </w:rPr>
        <w:footnoteReference w:id="27"/>
      </w:r>
      <w:r w:rsidRPr="00491C4A">
        <w:rPr>
          <w:rFonts w:ascii="Times New Roman" w:hAnsi="Times New Roman"/>
          <w:sz w:val="28"/>
          <w:szCs w:val="28"/>
        </w:rPr>
        <w:t xml:space="preserve"> Puso de presente que “</w:t>
      </w:r>
      <w:r w:rsidRPr="00491C4A">
        <w:rPr>
          <w:rFonts w:ascii="Times New Roman" w:hAnsi="Times New Roman"/>
          <w:i/>
          <w:iCs/>
          <w:sz w:val="28"/>
          <w:szCs w:val="28"/>
        </w:rPr>
        <w:t>la entrada en operación de los proyectos, cuyas obligaciones iniciaban algunas en diciem</w:t>
      </w:r>
      <w:r w:rsidRPr="00491C4A">
        <w:rPr>
          <w:rFonts w:ascii="Times New Roman" w:hAnsi="Times New Roman"/>
          <w:i/>
          <w:iCs/>
          <w:sz w:val="28"/>
          <w:szCs w:val="28"/>
        </w:rPr>
        <w:t>bre de 2022, han enfrentado dificultades derivadas de conflictos socio ambientales en torno a los procesos de consulta y consentimiento previo, libre e informado y otras situaciones derivadas de los proyectos.</w:t>
      </w:r>
      <w:r w:rsidRPr="00491C4A">
        <w:rPr>
          <w:rFonts w:ascii="Times New Roman" w:hAnsi="Times New Roman"/>
          <w:sz w:val="28"/>
          <w:szCs w:val="28"/>
        </w:rPr>
        <w:t>”</w:t>
      </w:r>
      <w:r w:rsidRPr="00491C4A">
        <w:rPr>
          <w:rStyle w:val="Refdenotaalpie"/>
          <w:rFonts w:ascii="Times New Roman" w:hAnsi="Times New Roman"/>
          <w:sz w:val="28"/>
          <w:szCs w:val="28"/>
        </w:rPr>
        <w:footnoteReference w:id="28"/>
      </w:r>
      <w:r w:rsidRPr="00491C4A">
        <w:rPr>
          <w:rFonts w:ascii="Times New Roman" w:hAnsi="Times New Roman"/>
          <w:sz w:val="28"/>
          <w:szCs w:val="28"/>
        </w:rPr>
        <w:t xml:space="preserve"> Fue así como en los diálogos regionales sobr</w:t>
      </w:r>
      <w:r w:rsidRPr="00491C4A">
        <w:rPr>
          <w:rFonts w:ascii="Times New Roman" w:hAnsi="Times New Roman"/>
          <w:sz w:val="28"/>
          <w:szCs w:val="28"/>
        </w:rPr>
        <w:t>e transición energética del 10 de diciembre de 2022, las comunidades solicitaron expresamente</w:t>
      </w:r>
      <w:r w:rsidRPr="00491C4A">
        <w:rPr>
          <w:rFonts w:ascii="Times New Roman" w:hAnsi="Times New Roman"/>
          <w:sz w:val="28"/>
          <w:szCs w:val="28"/>
        </w:rPr>
        <w:t>:</w:t>
      </w:r>
    </w:p>
    <w:p w:rsidR="00406673" w:rsidRPr="00491C4A" w:rsidRDefault="00491C4A" w:rsidP="00406673">
      <w:pPr>
        <w:pStyle w:val="Prrafodelista"/>
        <w:ind w:left="397"/>
        <w:jc w:val="both"/>
        <w:rPr>
          <w:rFonts w:ascii="Times New Roman" w:hAnsi="Times New Roman"/>
          <w:sz w:val="28"/>
          <w:szCs w:val="28"/>
        </w:rPr>
      </w:pPr>
    </w:p>
    <w:p w:rsidR="00406673" w:rsidRPr="00491C4A" w:rsidRDefault="00491C4A" w:rsidP="00406673">
      <w:pPr>
        <w:pStyle w:val="Prrafodelista"/>
        <w:ind w:left="397"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Derogar el artículo 289 de la ley del PND 2018-2022 que rebajó el porcentaje de transferencias por las ventas brutas de generación de energía no convencionales</w:t>
      </w:r>
      <w:r w:rsidRPr="00491C4A">
        <w:rPr>
          <w:rFonts w:ascii="Times New Roman" w:hAnsi="Times New Roman"/>
          <w:i/>
          <w:iCs/>
          <w:sz w:val="28"/>
          <w:szCs w:val="28"/>
        </w:rPr>
        <w:t xml:space="preserve">, (con regulación en territorios étnicos) y dar un plazo máximo de 6 meses para que el gobierno presente un proyecto de ley sobre tributación justa en la transición. </w:t>
      </w:r>
      <w:r w:rsidRPr="00491C4A">
        <w:rPr>
          <w:rFonts w:ascii="Times New Roman" w:hAnsi="Times New Roman"/>
          <w:sz w:val="28"/>
          <w:szCs w:val="28"/>
        </w:rPr>
        <w:t>(…)</w:t>
      </w:r>
      <w:r w:rsidRPr="00491C4A">
        <w:rPr>
          <w:rFonts w:ascii="Times New Roman" w:hAnsi="Times New Roman"/>
          <w:i/>
          <w:iCs/>
          <w:sz w:val="28"/>
          <w:szCs w:val="28"/>
        </w:rPr>
        <w:t xml:space="preserve"> Revisar los planes de inversión con transferencias y regalías para que fortalezcan los</w:t>
      </w:r>
      <w:r w:rsidRPr="00491C4A">
        <w:rPr>
          <w:rFonts w:ascii="Times New Roman" w:hAnsi="Times New Roman"/>
          <w:i/>
          <w:iCs/>
          <w:sz w:val="28"/>
          <w:szCs w:val="28"/>
        </w:rPr>
        <w:t xml:space="preserve"> planes de vida con criterios de equidad, no discriminación ni racialización. </w:t>
      </w:r>
      <w:r w:rsidRPr="00491C4A">
        <w:rPr>
          <w:rFonts w:ascii="Times New Roman" w:hAnsi="Times New Roman"/>
          <w:sz w:val="28"/>
          <w:szCs w:val="28"/>
        </w:rPr>
        <w:t>(…)</w:t>
      </w:r>
      <w:r w:rsidRPr="00491C4A">
        <w:rPr>
          <w:rFonts w:ascii="Times New Roman" w:hAnsi="Times New Roman"/>
          <w:i/>
          <w:iCs/>
          <w:sz w:val="28"/>
          <w:szCs w:val="28"/>
        </w:rPr>
        <w:t xml:space="preserve"> Respaldar el proceso de diálogo vinculante con las comunidades Wayuu y su aporte en el proceso de definición y seguimiento de las políticas de energía que impactan a su nació</w:t>
      </w:r>
      <w:r w:rsidRPr="00491C4A">
        <w:rPr>
          <w:rFonts w:ascii="Times New Roman" w:hAnsi="Times New Roman"/>
          <w:i/>
          <w:iCs/>
          <w:sz w:val="28"/>
          <w:szCs w:val="28"/>
        </w:rPr>
        <w:t xml:space="preserve">n y a sus planes de vida. </w:t>
      </w:r>
      <w:r w:rsidRPr="00491C4A">
        <w:rPr>
          <w:rFonts w:ascii="Times New Roman" w:hAnsi="Times New Roman"/>
          <w:sz w:val="28"/>
          <w:szCs w:val="28"/>
        </w:rPr>
        <w:t>(…)</w:t>
      </w:r>
      <w:r w:rsidRPr="00491C4A">
        <w:rPr>
          <w:rFonts w:ascii="Times New Roman" w:hAnsi="Times New Roman"/>
          <w:i/>
          <w:iCs/>
          <w:sz w:val="28"/>
          <w:szCs w:val="28"/>
        </w:rPr>
        <w:t xml:space="preserve"> Incorporar en el PND bases y recursos para el impulso de iniciativas comunitarias de energía y la promoción de formas asociativas y mixtas para la generación de energía renovable. </w:t>
      </w:r>
      <w:r w:rsidRPr="00491C4A">
        <w:rPr>
          <w:rFonts w:ascii="Times New Roman" w:hAnsi="Times New Roman"/>
          <w:sz w:val="28"/>
          <w:szCs w:val="28"/>
        </w:rPr>
        <w:t>(…)</w:t>
      </w:r>
      <w:r w:rsidRPr="00491C4A">
        <w:rPr>
          <w:rFonts w:ascii="Times New Roman" w:hAnsi="Times New Roman"/>
          <w:i/>
          <w:iCs/>
          <w:sz w:val="28"/>
          <w:szCs w:val="28"/>
        </w:rPr>
        <w:t xml:space="preserve"> Promover planes comunitarios de energía qu</w:t>
      </w:r>
      <w:r w:rsidRPr="00491C4A">
        <w:rPr>
          <w:rFonts w:ascii="Times New Roman" w:hAnsi="Times New Roman"/>
          <w:i/>
          <w:iCs/>
          <w:sz w:val="28"/>
          <w:szCs w:val="28"/>
        </w:rPr>
        <w:t xml:space="preserve">e cuenten con la participación de empresas como Ecopetrol. </w:t>
      </w:r>
      <w:r w:rsidRPr="00491C4A">
        <w:rPr>
          <w:rFonts w:ascii="Times New Roman" w:hAnsi="Times New Roman"/>
          <w:sz w:val="28"/>
          <w:szCs w:val="28"/>
        </w:rPr>
        <w:t>(…)</w:t>
      </w:r>
      <w:r w:rsidRPr="00491C4A">
        <w:rPr>
          <w:rFonts w:ascii="Times New Roman" w:hAnsi="Times New Roman"/>
          <w:i/>
          <w:iCs/>
          <w:sz w:val="28"/>
          <w:szCs w:val="28"/>
        </w:rPr>
        <w:t xml:space="preserve"> Dar atención especial a los problemas de violencia, generación de conflictos y ruptura entre comunidades como resultado de acción con daño de empresas y de entidades públicas. Prevención y cont</w:t>
      </w:r>
      <w:r w:rsidRPr="00491C4A">
        <w:rPr>
          <w:rFonts w:ascii="Times New Roman" w:hAnsi="Times New Roman"/>
          <w:i/>
          <w:iCs/>
          <w:sz w:val="28"/>
          <w:szCs w:val="28"/>
        </w:rPr>
        <w:t xml:space="preserve">rol a situaciones de violencia armada en la región. </w:t>
      </w:r>
      <w:r w:rsidRPr="00491C4A">
        <w:rPr>
          <w:rFonts w:ascii="Times New Roman" w:hAnsi="Times New Roman"/>
          <w:sz w:val="28"/>
          <w:szCs w:val="28"/>
        </w:rPr>
        <w:t>(…)</w:t>
      </w:r>
      <w:r w:rsidRPr="00491C4A">
        <w:rPr>
          <w:rFonts w:ascii="Times New Roman" w:hAnsi="Times New Roman"/>
          <w:i/>
          <w:iCs/>
          <w:sz w:val="28"/>
          <w:szCs w:val="28"/>
        </w:rPr>
        <w:t xml:space="preserve"> Revisar las políticas de ciencia y tecnología, crédito nacional, financiación de entidades multilaterales y de países de alto impacto contaminador, y diseñar políticas para apoyar modelos comunitarios</w:t>
      </w:r>
      <w:r w:rsidRPr="00491C4A">
        <w:rPr>
          <w:rFonts w:ascii="Times New Roman" w:hAnsi="Times New Roman"/>
          <w:i/>
          <w:iCs/>
          <w:sz w:val="28"/>
          <w:szCs w:val="28"/>
        </w:rPr>
        <w:t xml:space="preserve"> y mixtos de energía y transición económica – socioecológica.</w:t>
      </w:r>
      <w:r w:rsidRPr="00491C4A">
        <w:rPr>
          <w:rFonts w:ascii="Times New Roman" w:hAnsi="Times New Roman"/>
          <w:sz w:val="28"/>
          <w:szCs w:val="28"/>
        </w:rPr>
        <w:t>”</w:t>
      </w:r>
      <w:r w:rsidRPr="00491C4A">
        <w:rPr>
          <w:rStyle w:val="Refdenotaalpie"/>
          <w:rFonts w:ascii="Times New Roman" w:hAnsi="Times New Roman"/>
          <w:sz w:val="28"/>
          <w:szCs w:val="28"/>
        </w:rPr>
        <w:footnoteReference w:id="29"/>
      </w:r>
    </w:p>
    <w:p w:rsidR="00406673" w:rsidRPr="00491C4A" w:rsidRDefault="00491C4A" w:rsidP="00406673">
      <w:pPr>
        <w:pStyle w:val="Prrafodelista"/>
        <w:ind w:left="397"/>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 xml:space="preserve"> También enlistaron las Sentencias C-495 de 1998 y C-594 de 2010 y arguyeron que el artículo 233 demandado contribuye a la “</w:t>
      </w:r>
      <w:r w:rsidRPr="00491C4A">
        <w:rPr>
          <w:rFonts w:ascii="Times New Roman" w:hAnsi="Times New Roman"/>
          <w:i/>
          <w:iCs/>
          <w:sz w:val="28"/>
          <w:szCs w:val="28"/>
        </w:rPr>
        <w:t>búsqueda de sustitutos energéticos que reduzcan la dependencia de c</w:t>
      </w:r>
      <w:r w:rsidRPr="00491C4A">
        <w:rPr>
          <w:rFonts w:ascii="Times New Roman" w:hAnsi="Times New Roman"/>
          <w:i/>
          <w:iCs/>
          <w:sz w:val="28"/>
          <w:szCs w:val="28"/>
        </w:rPr>
        <w:t>ombustibles fósiles, con miras a mitigar los Gases de Efecto Invernadero</w:t>
      </w:r>
      <w:r w:rsidRPr="00491C4A">
        <w:rPr>
          <w:rFonts w:ascii="Times New Roman" w:hAnsi="Times New Roman"/>
          <w:sz w:val="28"/>
          <w:szCs w:val="28"/>
        </w:rPr>
        <w:t>”</w:t>
      </w:r>
      <w:r w:rsidRPr="00491C4A">
        <w:rPr>
          <w:rStyle w:val="Refdenotaalpie"/>
          <w:rFonts w:ascii="Times New Roman" w:hAnsi="Times New Roman"/>
          <w:sz w:val="28"/>
          <w:szCs w:val="28"/>
        </w:rPr>
        <w:footnoteReference w:id="30"/>
      </w:r>
      <w:r w:rsidRPr="00491C4A">
        <w:rPr>
          <w:rFonts w:ascii="Times New Roman" w:hAnsi="Times New Roman"/>
          <w:sz w:val="28"/>
          <w:szCs w:val="28"/>
        </w:rPr>
        <w:t>, en un contexto de graves crisis ambientales y socioecológicas. Esto, en tanto que los recursos se destinarán “</w:t>
      </w:r>
      <w:r w:rsidRPr="00491C4A">
        <w:rPr>
          <w:rFonts w:ascii="Times New Roman" w:hAnsi="Times New Roman"/>
          <w:i/>
          <w:iCs/>
          <w:sz w:val="28"/>
          <w:szCs w:val="28"/>
        </w:rPr>
        <w:t>a la ejecución de proyectos de inversión en infraestructura, servicios</w:t>
      </w:r>
      <w:r w:rsidRPr="00491C4A">
        <w:rPr>
          <w:rFonts w:ascii="Times New Roman" w:hAnsi="Times New Roman"/>
          <w:i/>
          <w:iCs/>
          <w:sz w:val="28"/>
          <w:szCs w:val="28"/>
        </w:rPr>
        <w:t xml:space="preserve"> públicos, saneamiento básico y/o de agua potable, así como en proyectos que las comunidades étnicas definan, siempre que incidan directamente en su calidad de vida y bienestar.</w:t>
      </w:r>
      <w:r w:rsidRPr="00491C4A">
        <w:rPr>
          <w:rFonts w:ascii="Times New Roman" w:hAnsi="Times New Roman"/>
          <w:sz w:val="28"/>
          <w:szCs w:val="28"/>
        </w:rPr>
        <w:t>”</w:t>
      </w:r>
      <w:r w:rsidRPr="00491C4A">
        <w:rPr>
          <w:rStyle w:val="Refdenotaalpie"/>
          <w:rFonts w:ascii="Times New Roman" w:hAnsi="Times New Roman"/>
          <w:sz w:val="28"/>
          <w:szCs w:val="28"/>
        </w:rPr>
        <w:footnoteReference w:id="31"/>
      </w:r>
    </w:p>
    <w:p w:rsidR="00406673" w:rsidRPr="00491C4A" w:rsidRDefault="00491C4A" w:rsidP="00406673">
      <w:pPr>
        <w:pStyle w:val="Prrafodelista"/>
        <w:ind w:left="0"/>
        <w:jc w:val="both"/>
        <w:rPr>
          <w:rFonts w:ascii="Times New Roman" w:hAnsi="Times New Roman"/>
          <w:i/>
          <w:iCs/>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Recordaron la Sentencia T-761 de 2015 y explicaron que la norma atacada “</w:t>
      </w:r>
      <w:r w:rsidRPr="00491C4A">
        <w:rPr>
          <w:rFonts w:ascii="Times New Roman" w:hAnsi="Times New Roman"/>
          <w:i/>
          <w:iCs/>
          <w:sz w:val="28"/>
          <w:szCs w:val="28"/>
        </w:rPr>
        <w:t>co</w:t>
      </w:r>
      <w:r w:rsidRPr="00491C4A">
        <w:rPr>
          <w:rFonts w:ascii="Times New Roman" w:hAnsi="Times New Roman"/>
          <w:i/>
          <w:iCs/>
          <w:sz w:val="28"/>
          <w:szCs w:val="28"/>
        </w:rPr>
        <w:t>ntribuye a superar la pobreza energética porque tiene como objetivo mejorar las condiciones sociales para que la generación con Fuentes no Convencionales de Energía tenga un mayor impacto en la matriz energética nacional</w:t>
      </w:r>
      <w:r w:rsidRPr="00491C4A">
        <w:rPr>
          <w:rFonts w:ascii="Times New Roman" w:hAnsi="Times New Roman"/>
          <w:sz w:val="28"/>
          <w:szCs w:val="28"/>
        </w:rPr>
        <w:t>.”</w:t>
      </w:r>
      <w:r w:rsidRPr="00491C4A">
        <w:rPr>
          <w:rStyle w:val="Refdenotaalpie"/>
          <w:rFonts w:ascii="Times New Roman" w:hAnsi="Times New Roman"/>
          <w:sz w:val="28"/>
          <w:szCs w:val="28"/>
        </w:rPr>
        <w:footnoteReference w:id="32"/>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Por último, mencionaron la Sentencia T-361 de 2017, en tanto que el aumento de las transferencias del sector eléctrico ayuda a materializar la vigencia de un orden social justo (art. 2 CP), ya que se trata de una forma de redistribución de las ganancias ne</w:t>
      </w:r>
      <w:r w:rsidRPr="00491C4A">
        <w:rPr>
          <w:rFonts w:ascii="Times New Roman" w:hAnsi="Times New Roman"/>
          <w:sz w:val="28"/>
          <w:szCs w:val="28"/>
        </w:rPr>
        <w:t>tas por generación de energía con FNCER, de acuerdo con los tres principios centrales para lograr la transición energética justa decantados por la doctrina (justicias distributiva, procesal y recognitiva).</w:t>
      </w:r>
      <w:r w:rsidRPr="00491C4A">
        <w:rPr>
          <w:rStyle w:val="Refdenotaalpie"/>
          <w:rFonts w:ascii="Times New Roman" w:hAnsi="Times New Roman"/>
          <w:sz w:val="28"/>
          <w:szCs w:val="28"/>
        </w:rPr>
        <w:footnoteReference w:id="33"/>
      </w:r>
      <w:r w:rsidRPr="00491C4A">
        <w:rPr>
          <w:rFonts w:ascii="Times New Roman" w:hAnsi="Times New Roman"/>
          <w:sz w:val="28"/>
          <w:szCs w:val="28"/>
        </w:rPr>
        <w:t xml:space="preserve"> De esa manera, el Estado está compelido “</w:t>
      </w:r>
      <w:r w:rsidRPr="00491C4A">
        <w:rPr>
          <w:rFonts w:ascii="Times New Roman" w:hAnsi="Times New Roman"/>
          <w:i/>
          <w:iCs/>
          <w:sz w:val="28"/>
          <w:szCs w:val="28"/>
        </w:rPr>
        <w:t>a consid</w:t>
      </w:r>
      <w:r w:rsidRPr="00491C4A">
        <w:rPr>
          <w:rFonts w:ascii="Times New Roman" w:hAnsi="Times New Roman"/>
          <w:i/>
          <w:iCs/>
          <w:sz w:val="28"/>
          <w:szCs w:val="28"/>
        </w:rPr>
        <w:t>erar qué sectores de la sociedad son ignorados o excluidos a lo largo de la cadena de un sistema energético, con el objetivo de garantizar que la justicia energética sea pluralista y que no se limite a una tecnología, ubicación geográfica en particular o a</w:t>
      </w:r>
      <w:r w:rsidRPr="00491C4A">
        <w:rPr>
          <w:rFonts w:ascii="Times New Roman" w:hAnsi="Times New Roman"/>
          <w:i/>
          <w:iCs/>
          <w:sz w:val="28"/>
          <w:szCs w:val="28"/>
        </w:rPr>
        <w:t xml:space="preserve"> un grupo social cerrado y excluyente</w:t>
      </w:r>
      <w:r w:rsidRPr="00491C4A">
        <w:rPr>
          <w:rFonts w:ascii="Times New Roman" w:hAnsi="Times New Roman"/>
          <w:sz w:val="28"/>
          <w:szCs w:val="28"/>
        </w:rPr>
        <w:t>.”</w:t>
      </w:r>
      <w:r w:rsidRPr="00491C4A">
        <w:rPr>
          <w:rStyle w:val="Refdenotaalpie"/>
          <w:rFonts w:ascii="Times New Roman" w:hAnsi="Times New Roman"/>
          <w:sz w:val="28"/>
          <w:szCs w:val="28"/>
        </w:rPr>
        <w:footnoteReference w:id="34"/>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Ahora bien, explicaron que otro objetivo de la transición energética justa es desarrollar la Ley 1715 de 2015 (“</w:t>
      </w:r>
      <w:r w:rsidRPr="00491C4A">
        <w:rPr>
          <w:rFonts w:ascii="Times New Roman" w:hAnsi="Times New Roman"/>
          <w:i/>
          <w:iCs/>
          <w:sz w:val="28"/>
          <w:szCs w:val="28"/>
        </w:rPr>
        <w:t>la transición energética hacia energías más limpias debe ser justa o será muy difícil su implementació</w:t>
      </w:r>
      <w:r w:rsidRPr="00491C4A">
        <w:rPr>
          <w:rFonts w:ascii="Times New Roman" w:hAnsi="Times New Roman"/>
          <w:i/>
          <w:iCs/>
          <w:sz w:val="28"/>
          <w:szCs w:val="28"/>
        </w:rPr>
        <w:t>n real en los territorios</w:t>
      </w:r>
      <w:r w:rsidRPr="00491C4A">
        <w:rPr>
          <w:rFonts w:ascii="Times New Roman" w:hAnsi="Times New Roman"/>
          <w:sz w:val="28"/>
          <w:szCs w:val="28"/>
        </w:rPr>
        <w:t>”</w:t>
      </w:r>
      <w:r w:rsidRPr="00491C4A">
        <w:rPr>
          <w:rStyle w:val="Refdenotaalpie"/>
          <w:rFonts w:ascii="Times New Roman" w:hAnsi="Times New Roman"/>
          <w:sz w:val="28"/>
          <w:szCs w:val="28"/>
        </w:rPr>
        <w:footnoteReference w:id="35"/>
      </w:r>
      <w:r w:rsidRPr="00491C4A">
        <w:rPr>
          <w:rFonts w:ascii="Times New Roman" w:hAnsi="Times New Roman"/>
          <w:sz w:val="28"/>
          <w:szCs w:val="28"/>
        </w:rPr>
        <w:t>) y la Ley 2099 de 2021 (“</w:t>
      </w:r>
      <w:r w:rsidRPr="00491C4A">
        <w:rPr>
          <w:rFonts w:ascii="Times New Roman" w:hAnsi="Times New Roman"/>
          <w:i/>
          <w:iCs/>
          <w:sz w:val="28"/>
          <w:szCs w:val="28"/>
        </w:rPr>
        <w:t>que promueve la utilización de fuentes no convencionales de energía, incentiva el uso eficiente de los recursos energéticos y declara de utilidad pública e interés social las actividades de promoción y d</w:t>
      </w:r>
      <w:r w:rsidRPr="00491C4A">
        <w:rPr>
          <w:rFonts w:ascii="Times New Roman" w:hAnsi="Times New Roman"/>
          <w:i/>
          <w:iCs/>
          <w:sz w:val="28"/>
          <w:szCs w:val="28"/>
        </w:rPr>
        <w:t>esarrollo de fuentes no convencionales de energía</w:t>
      </w:r>
      <w:r w:rsidRPr="00491C4A">
        <w:rPr>
          <w:rFonts w:ascii="Times New Roman" w:hAnsi="Times New Roman"/>
          <w:sz w:val="28"/>
          <w:szCs w:val="28"/>
        </w:rPr>
        <w:t>).”</w:t>
      </w:r>
      <w:r w:rsidRPr="00491C4A">
        <w:rPr>
          <w:rStyle w:val="Refdenotaalpie"/>
          <w:rFonts w:ascii="Times New Roman" w:hAnsi="Times New Roman"/>
          <w:sz w:val="28"/>
          <w:szCs w:val="28"/>
        </w:rPr>
        <w:footnoteReference w:id="36"/>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Agregaron que la norma demandada se alinea con instrumentos internacionales “</w:t>
      </w:r>
      <w:r w:rsidRPr="00491C4A">
        <w:rPr>
          <w:rFonts w:ascii="Times New Roman" w:hAnsi="Times New Roman"/>
          <w:i/>
          <w:iCs/>
          <w:sz w:val="28"/>
          <w:szCs w:val="28"/>
        </w:rPr>
        <w:t>como la Convención Marco de las Naciones Unidas sobre el cambio climático, el Protocolo de Kyoto - Ley 629 de 2000, y el Acu</w:t>
      </w:r>
      <w:r w:rsidRPr="00491C4A">
        <w:rPr>
          <w:rFonts w:ascii="Times New Roman" w:hAnsi="Times New Roman"/>
          <w:i/>
          <w:iCs/>
          <w:sz w:val="28"/>
          <w:szCs w:val="28"/>
        </w:rPr>
        <w:t>erdo de París - Ley 1844 de 2017, entre otros. Adicionalmente, el país adoptó la Ley 1931 de 2018, por la cual se establecen directrices para la gestión del cambio climático</w:t>
      </w:r>
      <w:r w:rsidRPr="00491C4A">
        <w:rPr>
          <w:rFonts w:ascii="Times New Roman" w:hAnsi="Times New Roman"/>
          <w:sz w:val="28"/>
          <w:szCs w:val="28"/>
        </w:rPr>
        <w:t>.”</w:t>
      </w:r>
      <w:r w:rsidRPr="00491C4A">
        <w:rPr>
          <w:rStyle w:val="Refdenotaalpie"/>
          <w:rFonts w:ascii="Times New Roman" w:hAnsi="Times New Roman"/>
          <w:sz w:val="28"/>
          <w:szCs w:val="28"/>
        </w:rPr>
        <w:footnoteReference w:id="37"/>
      </w:r>
      <w:r w:rsidRPr="00491C4A">
        <w:rPr>
          <w:rFonts w:ascii="Times New Roman" w:hAnsi="Times New Roman"/>
          <w:sz w:val="28"/>
          <w:szCs w:val="28"/>
        </w:rPr>
        <w:t xml:space="preserve"> En el mismo sentido, afirmaron que el artículo 233 de la Ley 2294 se relaciona </w:t>
      </w:r>
      <w:r w:rsidRPr="00491C4A">
        <w:rPr>
          <w:rFonts w:ascii="Times New Roman" w:hAnsi="Times New Roman"/>
          <w:sz w:val="28"/>
          <w:szCs w:val="28"/>
        </w:rPr>
        <w:t>con la Política Nacional de Cambio Climático y la Estrategia de Desarrollo Bajo.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Respecto a la pregunta sobre si se consideraron alternativas diferentes a la medida adoptada, el Ministerio respondió que se eligió un punto medio entre la solicitud original</w:t>
      </w:r>
      <w:r w:rsidRPr="00491C4A">
        <w:rPr>
          <w:rFonts w:ascii="Times New Roman" w:hAnsi="Times New Roman"/>
          <w:sz w:val="28"/>
          <w:szCs w:val="28"/>
        </w:rPr>
        <w:t xml:space="preserve"> de las comunidades étnicas, -consistente en el aumento inmediato de las transferencias-, y la proposición de eliminación de algunos congresistas, de tal forma que se incorporó la gradualidad en el incremento. </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lo relativo a la relación entre área y de</w:t>
      </w:r>
      <w:r w:rsidRPr="00491C4A">
        <w:rPr>
          <w:rFonts w:ascii="Times New Roman" w:hAnsi="Times New Roman"/>
          <w:sz w:val="28"/>
          <w:szCs w:val="28"/>
        </w:rPr>
        <w:t>partamento de influencia, argumentaron que el criterio para identificar el o los departamentos es la definición del área de influencia por parte de las entidades ambientales, en los términos del parágrafo 1 del artículo 54 de la Ley 143 de 1994.</w:t>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Sobre los</w:t>
      </w:r>
      <w:r w:rsidRPr="00491C4A">
        <w:rPr>
          <w:rFonts w:ascii="Times New Roman" w:hAnsi="Times New Roman"/>
          <w:sz w:val="28"/>
          <w:szCs w:val="28"/>
        </w:rPr>
        <w:t xml:space="preserve"> proyectos que resultarán impactados con el aumento gradual de la tasa de transferencia, remitió un archivo Excel en el que relacionó 283 proyectos en operación y 397 en desarrollo, con diferenciación de distintos datos y variables.</w:t>
      </w:r>
      <w:r w:rsidRPr="00491C4A">
        <w:rPr>
          <w:rStyle w:val="Refdenotaalpie"/>
          <w:rFonts w:ascii="Times New Roman" w:hAnsi="Times New Roman"/>
          <w:sz w:val="28"/>
          <w:szCs w:val="28"/>
        </w:rPr>
        <w:footnoteReference w:id="38"/>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Adujo que no </w:t>
      </w:r>
      <w:r w:rsidRPr="00491C4A">
        <w:rPr>
          <w:rFonts w:ascii="Times New Roman" w:hAnsi="Times New Roman"/>
          <w:sz w:val="28"/>
          <w:szCs w:val="28"/>
        </w:rPr>
        <w:t>necesariamente aumentará el costo de la energía producida a partir de fuentes no convencionales, porque</w:t>
      </w:r>
    </w:p>
    <w:p w:rsidR="00406673" w:rsidRPr="00491C4A" w:rsidRDefault="00491C4A" w:rsidP="00406673">
      <w:pPr>
        <w:pStyle w:val="Prrafodelista"/>
        <w:ind w:left="284" w:right="284"/>
        <w:rPr>
          <w:rFonts w:ascii="Times New Roman" w:hAnsi="Times New Roman"/>
          <w:i/>
          <w:iCs/>
          <w:sz w:val="28"/>
          <w:szCs w:val="28"/>
        </w:rPr>
      </w:pPr>
    </w:p>
    <w:p w:rsidR="00406673" w:rsidRPr="00491C4A" w:rsidRDefault="00491C4A" w:rsidP="00406673">
      <w:pPr>
        <w:pStyle w:val="Prrafodelista"/>
        <w:ind w:left="284" w:right="284"/>
        <w:jc w:val="both"/>
        <w:rPr>
          <w:rFonts w:ascii="Times New Roman" w:hAnsi="Times New Roman"/>
          <w:i/>
          <w:iCs/>
          <w:sz w:val="28"/>
          <w:szCs w:val="28"/>
        </w:rPr>
      </w:pPr>
      <w:r w:rsidRPr="00491C4A">
        <w:rPr>
          <w:rFonts w:ascii="Times New Roman" w:hAnsi="Times New Roman"/>
          <w:i/>
          <w:iCs/>
          <w:sz w:val="28"/>
          <w:szCs w:val="28"/>
        </w:rPr>
        <w:t>“Es importante tener en cuenta que la expansión y el aumento de la penetración de las fuentes de energías limpias permite cada vez alcanzar el autoabas</w:t>
      </w:r>
      <w:r w:rsidRPr="00491C4A">
        <w:rPr>
          <w:rFonts w:ascii="Times New Roman" w:hAnsi="Times New Roman"/>
          <w:i/>
          <w:iCs/>
          <w:sz w:val="28"/>
          <w:szCs w:val="28"/>
        </w:rPr>
        <w:t>tecimiento, descarbonización de la matriz y el aumento de la competencia.</w:t>
      </w:r>
    </w:p>
    <w:p w:rsidR="00406673" w:rsidRPr="00491C4A" w:rsidRDefault="00491C4A" w:rsidP="00406673">
      <w:pPr>
        <w:ind w:right="284"/>
        <w:jc w:val="both"/>
        <w:rPr>
          <w:rFonts w:ascii="Times New Roman" w:hAnsi="Times New Roman"/>
          <w:i/>
          <w:iCs/>
          <w:sz w:val="28"/>
          <w:szCs w:val="28"/>
        </w:rPr>
      </w:pPr>
    </w:p>
    <w:p w:rsidR="00406673" w:rsidRPr="00491C4A" w:rsidRDefault="00491C4A" w:rsidP="00406673">
      <w:pPr>
        <w:pStyle w:val="Prrafodelista"/>
        <w:ind w:left="284" w:right="284"/>
        <w:jc w:val="both"/>
        <w:rPr>
          <w:rFonts w:ascii="Times New Roman" w:hAnsi="Times New Roman"/>
          <w:i/>
          <w:iCs/>
          <w:sz w:val="28"/>
          <w:szCs w:val="28"/>
        </w:rPr>
      </w:pPr>
      <w:r w:rsidRPr="00491C4A">
        <w:rPr>
          <w:rFonts w:ascii="Times New Roman" w:hAnsi="Times New Roman"/>
          <w:i/>
          <w:iCs/>
          <w:sz w:val="28"/>
          <w:szCs w:val="28"/>
        </w:rPr>
        <w:t>Según la Administración de Información de Energía de EEUU – EIA y la Agencia Internacional de las Energías Renovables – IRENA, las energías renovables han tenido un crecimiento acel</w:t>
      </w:r>
      <w:r w:rsidRPr="00491C4A">
        <w:rPr>
          <w:rFonts w:ascii="Times New Roman" w:hAnsi="Times New Roman"/>
          <w:i/>
          <w:iCs/>
          <w:sz w:val="28"/>
          <w:szCs w:val="28"/>
        </w:rPr>
        <w:t>erado en las últimas dos décadas a nivel mundial (MME, 2023). Quienes se vinculan a este mercado cuentan con al menos dos condiciones económicamente ventajosas: i) expansión de la demanda energética, ii) acelerada reducción de costos de generación con fuen</w:t>
      </w:r>
      <w:r w:rsidRPr="00491C4A">
        <w:rPr>
          <w:rFonts w:ascii="Times New Roman" w:hAnsi="Times New Roman"/>
          <w:i/>
          <w:iCs/>
          <w:sz w:val="28"/>
          <w:szCs w:val="28"/>
        </w:rPr>
        <w:t>tes de energía renovables, especialmente fotovoltáicas y eólicas. A partir del análisis de la información de la EIA, el Ministerio de Minas y Energía ha establecido que, ‘los costos de generación de electricidad con distintas tecnologías de origen renovabl</w:t>
      </w:r>
      <w:r w:rsidRPr="00491C4A">
        <w:rPr>
          <w:rFonts w:ascii="Times New Roman" w:hAnsi="Times New Roman"/>
          <w:i/>
          <w:iCs/>
          <w:sz w:val="28"/>
          <w:szCs w:val="28"/>
        </w:rPr>
        <w:t>e han experimentado fuertes reducciones que incluso están llegando a rangos por debajo de los costos de generación de combustibles fósiles. Adicionalmente, LCOE [costos nivelados de generación energética] con energía solar fotovoltaica han caído en promedi</w:t>
      </w:r>
      <w:r w:rsidRPr="00491C4A">
        <w:rPr>
          <w:rFonts w:ascii="Times New Roman" w:hAnsi="Times New Roman"/>
          <w:i/>
          <w:iCs/>
          <w:sz w:val="28"/>
          <w:szCs w:val="28"/>
        </w:rPr>
        <w:t>o para el periodo 2010 a 2021 en un valor aproximado de 88 % a nivel global. El caso de la energía eólica es similar, toda vez que los costos promedio de generación han experimentado reducciones hasta en un 67 % entre 2010 y 2021’.</w:t>
      </w:r>
    </w:p>
    <w:p w:rsidR="00406673" w:rsidRPr="00491C4A" w:rsidRDefault="00491C4A" w:rsidP="00406673">
      <w:pPr>
        <w:pStyle w:val="Prrafodelista"/>
        <w:ind w:left="284" w:right="284"/>
        <w:jc w:val="both"/>
        <w:rPr>
          <w:rFonts w:ascii="Times New Roman" w:hAnsi="Times New Roman"/>
          <w:i/>
          <w:iCs/>
          <w:sz w:val="28"/>
          <w:szCs w:val="28"/>
        </w:rPr>
      </w:pPr>
    </w:p>
    <w:p w:rsidR="00406673" w:rsidRPr="00491C4A" w:rsidRDefault="00491C4A" w:rsidP="00406673">
      <w:pPr>
        <w:pStyle w:val="Prrafodelista"/>
        <w:ind w:left="284" w:right="284"/>
        <w:jc w:val="both"/>
        <w:rPr>
          <w:rFonts w:ascii="Times New Roman" w:hAnsi="Times New Roman"/>
          <w:i/>
          <w:iCs/>
          <w:sz w:val="28"/>
          <w:szCs w:val="28"/>
        </w:rPr>
      </w:pPr>
      <w:r w:rsidRPr="00491C4A">
        <w:rPr>
          <w:rFonts w:ascii="Times New Roman" w:hAnsi="Times New Roman"/>
          <w:i/>
          <w:iCs/>
          <w:sz w:val="28"/>
          <w:szCs w:val="28"/>
        </w:rPr>
        <w:t>Bajo este esquema, el c</w:t>
      </w:r>
      <w:r w:rsidRPr="00491C4A">
        <w:rPr>
          <w:rFonts w:ascii="Times New Roman" w:hAnsi="Times New Roman"/>
          <w:i/>
          <w:iCs/>
          <w:sz w:val="28"/>
          <w:szCs w:val="28"/>
        </w:rPr>
        <w:t>osto generado por cada kwh generado es altamente competitivo con las fuentes tradicionales de generación, de allí que se trate de un mercado con altas expectativas sobre los beneficios ambientales para los territorios, así como del lucro para los generador</w:t>
      </w:r>
      <w:r w:rsidRPr="00491C4A">
        <w:rPr>
          <w:rFonts w:ascii="Times New Roman" w:hAnsi="Times New Roman"/>
          <w:i/>
          <w:iCs/>
          <w:sz w:val="28"/>
          <w:szCs w:val="28"/>
        </w:rPr>
        <w:t>es, quienes podrán usufructuar en condiciones favorables insumos energéticos provenientes de fuentes naturales de renovabilidad continua (MME2023). De este modo, las transferencias energéticas se estiman en razón a las condiciones objetivas de este mercado</w:t>
      </w:r>
      <w:r w:rsidRPr="00491C4A">
        <w:rPr>
          <w:rFonts w:ascii="Times New Roman" w:hAnsi="Times New Roman"/>
          <w:i/>
          <w:iCs/>
          <w:sz w:val="28"/>
          <w:szCs w:val="28"/>
        </w:rPr>
        <w:t>, sin que sea factible compararlas simétricamente con otras fuentes de generación que demandan mayores inversiones y dependen en mayor o menor medida de energías fósiles.</w:t>
      </w:r>
    </w:p>
    <w:p w:rsidR="00406673" w:rsidRPr="00491C4A" w:rsidRDefault="00491C4A" w:rsidP="00406673">
      <w:pPr>
        <w:pStyle w:val="Prrafodelista"/>
        <w:ind w:left="284" w:right="284"/>
        <w:jc w:val="both"/>
        <w:rPr>
          <w:rFonts w:ascii="Times New Roman" w:hAnsi="Times New Roman"/>
          <w:i/>
          <w:iCs/>
          <w:sz w:val="28"/>
          <w:szCs w:val="28"/>
        </w:rPr>
      </w:pPr>
    </w:p>
    <w:p w:rsidR="00406673" w:rsidRPr="00491C4A" w:rsidRDefault="00491C4A" w:rsidP="00406673">
      <w:pPr>
        <w:pStyle w:val="Prrafodelista"/>
        <w:ind w:left="284" w:right="284"/>
        <w:jc w:val="both"/>
        <w:rPr>
          <w:rFonts w:ascii="Times New Roman" w:hAnsi="Times New Roman"/>
          <w:sz w:val="28"/>
          <w:szCs w:val="28"/>
        </w:rPr>
      </w:pPr>
      <w:r w:rsidRPr="00491C4A">
        <w:rPr>
          <w:rFonts w:ascii="Times New Roman" w:hAnsi="Times New Roman"/>
          <w:i/>
          <w:iCs/>
          <w:sz w:val="28"/>
          <w:szCs w:val="28"/>
        </w:rPr>
        <w:t xml:space="preserve">Los artículos 11 al 14 de la Ley 2099 de 2021 definieron incentivos para la </w:t>
      </w:r>
      <w:r w:rsidRPr="00491C4A">
        <w:rPr>
          <w:rFonts w:ascii="Times New Roman" w:hAnsi="Times New Roman"/>
          <w:i/>
          <w:iCs/>
          <w:sz w:val="28"/>
          <w:szCs w:val="28"/>
        </w:rPr>
        <w:t>generación de energía eléctrica con FNCE y la gestión eficiente de la energía, como la deducción del impuesto de renta hasta el 50% de la renta líquida por 15 años (art. 11); Exclusión del impuesto a las ventas - IVA en la adquisición de bienes y servicios</w:t>
      </w:r>
      <w:r w:rsidRPr="00491C4A">
        <w:rPr>
          <w:rFonts w:ascii="Times New Roman" w:hAnsi="Times New Roman"/>
          <w:i/>
          <w:iCs/>
          <w:sz w:val="28"/>
          <w:szCs w:val="28"/>
        </w:rPr>
        <w:t xml:space="preserve"> para el desarrollo de proyectos de generación con FNCE y gestión eficiente de la energía (art.12); incentivos arancelarios para la importación de maquinaria, equipos, materiales e insumos destinados exclusivamente para labores de reinversión y de inversió</w:t>
      </w:r>
      <w:r w:rsidRPr="00491C4A">
        <w:rPr>
          <w:rFonts w:ascii="Times New Roman" w:hAnsi="Times New Roman"/>
          <w:i/>
          <w:iCs/>
          <w:sz w:val="28"/>
          <w:szCs w:val="28"/>
        </w:rPr>
        <w:t>n en proyectos con FNCE (art. 13); así como la depreciación acelerada maquinarias, equipos y obras civiles necesarias para la reinversión, inversión y operación de los proyectos de generación con fuentes no convencionales de energía -FNCE (art. 14).</w:t>
      </w:r>
      <w:r w:rsidRPr="00491C4A">
        <w:rPr>
          <w:rFonts w:ascii="Times New Roman" w:hAnsi="Times New Roman"/>
          <w:sz w:val="28"/>
          <w:szCs w:val="28"/>
        </w:rPr>
        <w:t>”</w:t>
      </w:r>
      <w:r w:rsidRPr="00491C4A">
        <w:rPr>
          <w:rStyle w:val="Refdenotaalpie"/>
          <w:rFonts w:ascii="Times New Roman" w:hAnsi="Times New Roman"/>
          <w:sz w:val="28"/>
          <w:szCs w:val="28"/>
        </w:rPr>
        <w:footnoteReference w:id="39"/>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Fre</w:t>
      </w:r>
      <w:r w:rsidRPr="00491C4A">
        <w:rPr>
          <w:rFonts w:ascii="Times New Roman" w:hAnsi="Times New Roman"/>
          <w:sz w:val="28"/>
          <w:szCs w:val="28"/>
        </w:rPr>
        <w:t>nte a la pregunta ¿cuál es el efecto que tendría el aumento en el costo de la energía producida en las plantas de generación por fuentes no convencionales respecto de su competitividad con la producción de energía mediante termoeléctricas e hidroeléctricas</w:t>
      </w:r>
      <w:r w:rsidRPr="00491C4A">
        <w:rPr>
          <w:rFonts w:ascii="Times New Roman" w:hAnsi="Times New Roman"/>
          <w:sz w:val="28"/>
          <w:szCs w:val="28"/>
        </w:rPr>
        <w:t xml:space="preserve">?, respondió que </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Prrafodelista"/>
        <w:ind w:left="284"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La propuesta del artículo 233 del Plan Nacional de Desarrollo, ubica las contribuciones al nivel de los recursos hídricos cuya capacidad instalada supere los 10 megavatios, dado que estos, según la Ley 99 de 1993, dispone que las planta</w:t>
      </w:r>
      <w:r w:rsidRPr="00491C4A">
        <w:rPr>
          <w:rFonts w:ascii="Times New Roman" w:hAnsi="Times New Roman"/>
          <w:i/>
          <w:iCs/>
          <w:sz w:val="28"/>
          <w:szCs w:val="28"/>
        </w:rPr>
        <w:t xml:space="preserve">s generadoras de energía hidroeléctrica deben transferir un porcentaje de las ventas de energía de acuerdo con la siguiente regla: “las empresas cuya potencia nominal instalada total supere los 10.000 kilovatios, transferirán el 6% de las ventas brutas de </w:t>
      </w:r>
      <w:r w:rsidRPr="00491C4A">
        <w:rPr>
          <w:rFonts w:ascii="Times New Roman" w:hAnsi="Times New Roman"/>
          <w:i/>
          <w:iCs/>
          <w:sz w:val="28"/>
          <w:szCs w:val="28"/>
        </w:rPr>
        <w:t>energía.</w:t>
      </w:r>
      <w:r w:rsidRPr="00491C4A">
        <w:rPr>
          <w:rFonts w:ascii="Times New Roman" w:hAnsi="Times New Roman"/>
          <w:sz w:val="28"/>
          <w:szCs w:val="28"/>
        </w:rPr>
        <w:t>”</w:t>
      </w:r>
      <w:r w:rsidRPr="00491C4A">
        <w:rPr>
          <w:rStyle w:val="Refdenotaalpie"/>
          <w:rFonts w:ascii="Times New Roman" w:hAnsi="Times New Roman"/>
          <w:sz w:val="28"/>
          <w:szCs w:val="28"/>
        </w:rPr>
        <w:footnoteReference w:id="40"/>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Ministerio expresó que los beneficios esperados son: (i) “</w:t>
      </w:r>
      <w:r w:rsidRPr="00491C4A">
        <w:rPr>
          <w:rFonts w:ascii="Times New Roman" w:hAnsi="Times New Roman"/>
          <w:i/>
          <w:iCs/>
          <w:sz w:val="28"/>
          <w:szCs w:val="28"/>
        </w:rPr>
        <w:t>asegurar la mejora en las condiciones de vida de las comunidades y evitar que se repitan injusticias y vulneraciones asociadas, entre otros factores históricos, a proyectos minero ene</w:t>
      </w:r>
      <w:r w:rsidRPr="00491C4A">
        <w:rPr>
          <w:rFonts w:ascii="Times New Roman" w:hAnsi="Times New Roman"/>
          <w:i/>
          <w:iCs/>
          <w:sz w:val="28"/>
          <w:szCs w:val="28"/>
        </w:rPr>
        <w:t>rgéticos</w:t>
      </w:r>
      <w:r w:rsidRPr="00491C4A">
        <w:rPr>
          <w:rFonts w:ascii="Times New Roman" w:hAnsi="Times New Roman"/>
          <w:sz w:val="28"/>
          <w:szCs w:val="28"/>
        </w:rPr>
        <w:t>”</w:t>
      </w:r>
      <w:r w:rsidRPr="00491C4A">
        <w:rPr>
          <w:rStyle w:val="Refdenotaalpie"/>
          <w:rFonts w:ascii="Times New Roman" w:hAnsi="Times New Roman"/>
          <w:sz w:val="28"/>
          <w:szCs w:val="28"/>
        </w:rPr>
        <w:footnoteReference w:id="41"/>
      </w:r>
      <w:r w:rsidRPr="00491C4A">
        <w:rPr>
          <w:rFonts w:ascii="Times New Roman" w:hAnsi="Times New Roman"/>
          <w:sz w:val="28"/>
          <w:szCs w:val="28"/>
        </w:rPr>
        <w:t>; (ii) “</w:t>
      </w:r>
      <w:r w:rsidRPr="00491C4A">
        <w:rPr>
          <w:rFonts w:ascii="Times New Roman" w:hAnsi="Times New Roman"/>
          <w:i/>
          <w:iCs/>
          <w:sz w:val="28"/>
          <w:szCs w:val="28"/>
        </w:rPr>
        <w:t>promover la prevención y reducción de la conflictividad socio ambiental con las comunidades étnicas y campesinas, en cuyos territorios se desarrollarán los proyectos asociados a la Transición Energética Justa</w:t>
      </w:r>
      <w:r w:rsidRPr="00491C4A">
        <w:rPr>
          <w:rFonts w:ascii="Times New Roman" w:hAnsi="Times New Roman"/>
          <w:sz w:val="28"/>
          <w:szCs w:val="28"/>
        </w:rPr>
        <w:t>”</w:t>
      </w:r>
      <w:r w:rsidRPr="00491C4A">
        <w:rPr>
          <w:rStyle w:val="Refdenotaalpie"/>
          <w:rFonts w:ascii="Times New Roman" w:hAnsi="Times New Roman"/>
          <w:sz w:val="28"/>
          <w:szCs w:val="28"/>
        </w:rPr>
        <w:footnoteReference w:id="42"/>
      </w:r>
      <w:r w:rsidRPr="00491C4A">
        <w:rPr>
          <w:rFonts w:ascii="Times New Roman" w:hAnsi="Times New Roman"/>
          <w:sz w:val="28"/>
          <w:szCs w:val="28"/>
        </w:rPr>
        <w:t xml:space="preserve"> y (iii) </w:t>
      </w:r>
      <w:r w:rsidRPr="00491C4A">
        <w:rPr>
          <w:rFonts w:ascii="Times New Roman" w:hAnsi="Times New Roman"/>
          <w:i/>
          <w:iCs/>
          <w:sz w:val="28"/>
          <w:szCs w:val="28"/>
        </w:rPr>
        <w:t>seguir avanzado hac</w:t>
      </w:r>
      <w:r w:rsidRPr="00491C4A">
        <w:rPr>
          <w:rFonts w:ascii="Times New Roman" w:hAnsi="Times New Roman"/>
          <w:i/>
          <w:iCs/>
          <w:sz w:val="28"/>
          <w:szCs w:val="28"/>
        </w:rPr>
        <w:t>ia la descarbonización gradual y progresiva de la economía en el marco de la Transición Energética Justa.</w:t>
      </w:r>
      <w:r w:rsidRPr="00491C4A">
        <w:rPr>
          <w:rFonts w:ascii="Times New Roman" w:hAnsi="Times New Roman"/>
          <w:sz w:val="28"/>
          <w:szCs w:val="28"/>
        </w:rPr>
        <w:t>”</w:t>
      </w:r>
      <w:r w:rsidRPr="00491C4A">
        <w:rPr>
          <w:rStyle w:val="Refdenotaalpie"/>
          <w:rFonts w:ascii="Times New Roman" w:hAnsi="Times New Roman"/>
          <w:sz w:val="28"/>
          <w:szCs w:val="28"/>
        </w:rPr>
        <w:footnoteReference w:id="43"/>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Prrafodelista"/>
        <w:ind w:left="0"/>
        <w:jc w:val="both"/>
        <w:rPr>
          <w:rFonts w:ascii="Times New Roman" w:hAnsi="Times New Roman"/>
          <w:b/>
          <w:bCs/>
          <w:i/>
          <w:iCs/>
          <w:sz w:val="28"/>
          <w:szCs w:val="28"/>
        </w:rPr>
      </w:pPr>
      <w:r w:rsidRPr="00491C4A">
        <w:rPr>
          <w:rFonts w:ascii="Times New Roman" w:hAnsi="Times New Roman"/>
          <w:b/>
          <w:bCs/>
          <w:i/>
          <w:iCs/>
          <w:sz w:val="28"/>
          <w:szCs w:val="28"/>
        </w:rPr>
        <w:t>Respuestas de la CREG</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Identificó dos etapas que deben atravesar las plantas de generación de energía no convencional cuya potencia nominal instala</w:t>
      </w:r>
      <w:r w:rsidRPr="00491C4A">
        <w:rPr>
          <w:rFonts w:ascii="Times New Roman" w:hAnsi="Times New Roman"/>
          <w:sz w:val="28"/>
          <w:szCs w:val="28"/>
        </w:rPr>
        <w:t>da total supere los 10.000 kilovatios para entrar en operación:</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2"/>
          <w:numId w:val="4"/>
        </w:numPr>
        <w:ind w:left="284" w:firstLine="0"/>
        <w:jc w:val="both"/>
        <w:rPr>
          <w:rFonts w:ascii="Times New Roman" w:hAnsi="Times New Roman"/>
          <w:sz w:val="28"/>
          <w:szCs w:val="28"/>
        </w:rPr>
      </w:pPr>
      <w:r w:rsidRPr="00491C4A">
        <w:rPr>
          <w:rFonts w:ascii="Times New Roman" w:hAnsi="Times New Roman"/>
          <w:sz w:val="28"/>
          <w:szCs w:val="28"/>
        </w:rPr>
        <w:t>Construcciones a riesgo: “</w:t>
      </w:r>
      <w:r w:rsidRPr="00491C4A">
        <w:rPr>
          <w:rFonts w:ascii="Times New Roman" w:hAnsi="Times New Roman"/>
          <w:i/>
          <w:iCs/>
          <w:sz w:val="28"/>
          <w:szCs w:val="28"/>
        </w:rPr>
        <w:t>son plantas que se construyen por el desarrollador para participar en el mercado y no tienen un compromiso de entrada establecido</w:t>
      </w:r>
      <w:r w:rsidRPr="00491C4A">
        <w:rPr>
          <w:rFonts w:ascii="Times New Roman" w:hAnsi="Times New Roman"/>
          <w:sz w:val="28"/>
          <w:szCs w:val="28"/>
        </w:rPr>
        <w:t>.”</w:t>
      </w:r>
      <w:r w:rsidRPr="00491C4A">
        <w:rPr>
          <w:rStyle w:val="Refdenotaalpie"/>
          <w:rFonts w:ascii="Times New Roman" w:hAnsi="Times New Roman"/>
          <w:sz w:val="28"/>
          <w:szCs w:val="28"/>
        </w:rPr>
        <w:footnoteReference w:id="44"/>
      </w:r>
      <w:r w:rsidRPr="00491C4A">
        <w:rPr>
          <w:rFonts w:ascii="Times New Roman" w:hAnsi="Times New Roman"/>
          <w:sz w:val="28"/>
          <w:szCs w:val="28"/>
        </w:rPr>
        <w:t xml:space="preserve"> Deben cumplir las exigencias de </w:t>
      </w:r>
      <w:r w:rsidRPr="00491C4A">
        <w:rPr>
          <w:rFonts w:ascii="Times New Roman" w:hAnsi="Times New Roman"/>
          <w:sz w:val="28"/>
          <w:szCs w:val="28"/>
        </w:rPr>
        <w:t>las Resoluciones CREG 075 de 2021 (solicitar la asignación de capacidad de transporte para el Sistema Interconectado Nacional ante la UPNE y suscribir el contrato de conexión entre el transportador y el interesado una vez sea emitido el concepto de conexió</w:t>
      </w:r>
      <w:r w:rsidRPr="00491C4A">
        <w:rPr>
          <w:rFonts w:ascii="Times New Roman" w:hAnsi="Times New Roman"/>
          <w:sz w:val="28"/>
          <w:szCs w:val="28"/>
        </w:rPr>
        <w:t>n); 060 de 2019 -art. 18- (“</w:t>
      </w:r>
      <w:r w:rsidRPr="00491C4A">
        <w:rPr>
          <w:rFonts w:ascii="Times New Roman" w:hAnsi="Times New Roman"/>
          <w:i/>
          <w:iCs/>
          <w:sz w:val="28"/>
          <w:szCs w:val="28"/>
        </w:rPr>
        <w:t>adelantar las pruebas prevista en el Reglamento de Operación antes de entrar en operación comercial</w:t>
      </w:r>
      <w:r w:rsidRPr="00491C4A">
        <w:rPr>
          <w:rFonts w:ascii="Times New Roman" w:hAnsi="Times New Roman"/>
          <w:sz w:val="28"/>
          <w:szCs w:val="28"/>
        </w:rPr>
        <w:t>”</w:t>
      </w:r>
      <w:r w:rsidRPr="00491C4A">
        <w:rPr>
          <w:rStyle w:val="Refdenotaalpie"/>
          <w:rFonts w:ascii="Times New Roman" w:hAnsi="Times New Roman"/>
          <w:sz w:val="28"/>
          <w:szCs w:val="28"/>
        </w:rPr>
        <w:footnoteReference w:id="45"/>
      </w:r>
      <w:r w:rsidRPr="00491C4A">
        <w:rPr>
          <w:rFonts w:ascii="Times New Roman" w:hAnsi="Times New Roman"/>
          <w:sz w:val="28"/>
          <w:szCs w:val="28"/>
        </w:rPr>
        <w:t>) y 157 de 2011 (“</w:t>
      </w:r>
      <w:r w:rsidRPr="00491C4A">
        <w:rPr>
          <w:rFonts w:ascii="Times New Roman" w:hAnsi="Times New Roman"/>
          <w:i/>
          <w:iCs/>
          <w:sz w:val="28"/>
          <w:szCs w:val="28"/>
        </w:rPr>
        <w:t>adelantar el registro de la frontera comercial como agente generador ante el operados del mercado.</w:t>
      </w:r>
      <w:r w:rsidRPr="00491C4A">
        <w:rPr>
          <w:rFonts w:ascii="Times New Roman" w:hAnsi="Times New Roman"/>
          <w:sz w:val="28"/>
          <w:szCs w:val="28"/>
        </w:rPr>
        <w:t>”</w:t>
      </w:r>
      <w:r w:rsidRPr="00491C4A">
        <w:rPr>
          <w:rStyle w:val="Refdenotaalpie"/>
          <w:rFonts w:ascii="Times New Roman" w:hAnsi="Times New Roman"/>
          <w:sz w:val="28"/>
          <w:szCs w:val="28"/>
        </w:rPr>
        <w:footnoteReference w:id="46"/>
      </w:r>
      <w:r w:rsidRPr="00491C4A">
        <w:rPr>
          <w:rFonts w:ascii="Times New Roman" w:hAnsi="Times New Roman"/>
          <w:sz w:val="28"/>
          <w:szCs w:val="28"/>
        </w:rPr>
        <w:t>) Adicion</w:t>
      </w:r>
      <w:r w:rsidRPr="00491C4A">
        <w:rPr>
          <w:rFonts w:ascii="Times New Roman" w:hAnsi="Times New Roman"/>
          <w:sz w:val="28"/>
          <w:szCs w:val="28"/>
        </w:rPr>
        <w:t>almente, deben cumplir las reglas expedidas por las autoridades ambientales, de tal manera que “</w:t>
      </w:r>
      <w:r w:rsidRPr="00491C4A">
        <w:rPr>
          <w:rFonts w:ascii="Times New Roman" w:hAnsi="Times New Roman"/>
          <w:i/>
          <w:iCs/>
          <w:sz w:val="28"/>
          <w:szCs w:val="28"/>
        </w:rPr>
        <w:t>deben tramitar y obtener la respectiva licencia ambiental.</w:t>
      </w:r>
      <w:r w:rsidRPr="00491C4A">
        <w:rPr>
          <w:rFonts w:ascii="Times New Roman" w:hAnsi="Times New Roman"/>
          <w:sz w:val="28"/>
          <w:szCs w:val="28"/>
        </w:rPr>
        <w:t>”</w:t>
      </w:r>
      <w:r w:rsidRPr="00491C4A">
        <w:rPr>
          <w:rStyle w:val="Refdenotaalpie"/>
          <w:rFonts w:ascii="Times New Roman" w:hAnsi="Times New Roman"/>
          <w:sz w:val="28"/>
          <w:szCs w:val="28"/>
        </w:rPr>
        <w:footnoteReference w:id="47"/>
      </w:r>
    </w:p>
    <w:p w:rsidR="00406673" w:rsidRPr="00491C4A" w:rsidRDefault="00491C4A" w:rsidP="00406673">
      <w:pPr>
        <w:pStyle w:val="Prrafodelista"/>
        <w:ind w:left="284"/>
        <w:jc w:val="both"/>
        <w:rPr>
          <w:rFonts w:ascii="Times New Roman" w:hAnsi="Times New Roman"/>
          <w:sz w:val="28"/>
          <w:szCs w:val="28"/>
        </w:rPr>
      </w:pPr>
    </w:p>
    <w:p w:rsidR="00406673" w:rsidRPr="00491C4A" w:rsidRDefault="00491C4A" w:rsidP="006911AD">
      <w:pPr>
        <w:pStyle w:val="Prrafodelista"/>
        <w:numPr>
          <w:ilvl w:val="2"/>
          <w:numId w:val="4"/>
        </w:numPr>
        <w:ind w:left="284" w:firstLine="0"/>
        <w:jc w:val="both"/>
        <w:rPr>
          <w:rFonts w:ascii="Times New Roman" w:hAnsi="Times New Roman"/>
          <w:sz w:val="28"/>
          <w:szCs w:val="28"/>
        </w:rPr>
      </w:pPr>
      <w:r w:rsidRPr="00491C4A">
        <w:rPr>
          <w:rFonts w:ascii="Times New Roman" w:hAnsi="Times New Roman"/>
          <w:sz w:val="28"/>
          <w:szCs w:val="28"/>
        </w:rPr>
        <w:t>Construcción por compromisos con el cargo de confiabilidad: “</w:t>
      </w:r>
      <w:r w:rsidRPr="00491C4A">
        <w:rPr>
          <w:rFonts w:ascii="Times New Roman" w:hAnsi="Times New Roman"/>
          <w:i/>
          <w:iCs/>
          <w:sz w:val="28"/>
          <w:szCs w:val="28"/>
        </w:rPr>
        <w:t>son plantas que se construyen para da</w:t>
      </w:r>
      <w:r w:rsidRPr="00491C4A">
        <w:rPr>
          <w:rFonts w:ascii="Times New Roman" w:hAnsi="Times New Roman"/>
          <w:i/>
          <w:iCs/>
          <w:sz w:val="28"/>
          <w:szCs w:val="28"/>
        </w:rPr>
        <w:t>r cumplimiento a las obligaciones que adquieren con el cargo por confiabilidad</w:t>
      </w:r>
      <w:r w:rsidRPr="00491C4A">
        <w:rPr>
          <w:rFonts w:ascii="Times New Roman" w:hAnsi="Times New Roman"/>
          <w:sz w:val="28"/>
          <w:szCs w:val="28"/>
        </w:rPr>
        <w:t>.”</w:t>
      </w:r>
      <w:r w:rsidRPr="00491C4A">
        <w:rPr>
          <w:rStyle w:val="Refdenotaalpie"/>
          <w:rFonts w:ascii="Times New Roman" w:hAnsi="Times New Roman"/>
          <w:sz w:val="28"/>
          <w:szCs w:val="28"/>
        </w:rPr>
        <w:footnoteReference w:id="48"/>
      </w:r>
      <w:r w:rsidRPr="00491C4A">
        <w:rPr>
          <w:rFonts w:ascii="Times New Roman" w:hAnsi="Times New Roman"/>
          <w:sz w:val="28"/>
          <w:szCs w:val="28"/>
        </w:rPr>
        <w:t xml:space="preserve"> Los compromisos recaen sobre las plantas de generación que hayan participado voluntariamente en el cargo por confiabilidad para que les fueran asignadas obligaciones de energ</w:t>
      </w:r>
      <w:r w:rsidRPr="00491C4A">
        <w:rPr>
          <w:rFonts w:ascii="Times New Roman" w:hAnsi="Times New Roman"/>
          <w:sz w:val="28"/>
          <w:szCs w:val="28"/>
        </w:rPr>
        <w:t>ía en firme y están previstos en la Resolución CREG 071 de 2006 (entrega de cronograma de construcción y curvas</w:t>
      </w:r>
      <w:r w:rsidRPr="00491C4A">
        <w:rPr>
          <w:rStyle w:val="Refdenotaalpie"/>
          <w:rFonts w:ascii="Times New Roman" w:hAnsi="Times New Roman"/>
          <w:sz w:val="28"/>
          <w:szCs w:val="28"/>
        </w:rPr>
        <w:footnoteReference w:id="49"/>
      </w:r>
      <w:r w:rsidRPr="00491C4A">
        <w:rPr>
          <w:rFonts w:ascii="Times New Roman" w:hAnsi="Times New Roman"/>
          <w:sz w:val="28"/>
          <w:szCs w:val="28"/>
        </w:rPr>
        <w:t>). Adicionalmente, “</w:t>
      </w:r>
      <w:r w:rsidRPr="00491C4A">
        <w:rPr>
          <w:rFonts w:ascii="Times New Roman" w:hAnsi="Times New Roman"/>
          <w:i/>
          <w:iCs/>
          <w:sz w:val="28"/>
          <w:szCs w:val="28"/>
        </w:rPr>
        <w:t>los</w:t>
      </w:r>
      <w:r w:rsidRPr="00491C4A">
        <w:rPr>
          <w:rFonts w:ascii="Times New Roman" w:hAnsi="Times New Roman"/>
          <w:sz w:val="28"/>
          <w:szCs w:val="28"/>
        </w:rPr>
        <w:t xml:space="preserve"> </w:t>
      </w:r>
      <w:r w:rsidRPr="00491C4A">
        <w:rPr>
          <w:rFonts w:ascii="Times New Roman" w:hAnsi="Times New Roman"/>
          <w:i/>
          <w:iCs/>
          <w:sz w:val="28"/>
          <w:szCs w:val="28"/>
        </w:rPr>
        <w:t>requisitos de conexión, pruebas y registro de frontera que se señalaron para el caso de las construcciones a riesgo, apl</w:t>
      </w:r>
      <w:r w:rsidRPr="00491C4A">
        <w:rPr>
          <w:rFonts w:ascii="Times New Roman" w:hAnsi="Times New Roman"/>
          <w:i/>
          <w:iCs/>
          <w:sz w:val="28"/>
          <w:szCs w:val="28"/>
        </w:rPr>
        <w:t>ican igualmente en este caso. Lo mismo que los temas del licenciamiento ambiental.</w:t>
      </w:r>
      <w:r w:rsidRPr="00491C4A">
        <w:rPr>
          <w:rFonts w:ascii="Times New Roman" w:hAnsi="Times New Roman"/>
          <w:sz w:val="28"/>
          <w:szCs w:val="28"/>
        </w:rPr>
        <w:t>”</w:t>
      </w:r>
      <w:r w:rsidRPr="00491C4A">
        <w:rPr>
          <w:rStyle w:val="Refdenotaalpie"/>
          <w:rFonts w:ascii="Times New Roman" w:hAnsi="Times New Roman"/>
          <w:sz w:val="28"/>
          <w:szCs w:val="28"/>
        </w:rPr>
        <w:footnoteReference w:id="50"/>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Reseñó el trámite para asignar obligaciones a las plantas que participan voluntariamente en el mecanismo de confiabilidad, lo cual comprendería el concepto general de asi</w:t>
      </w:r>
      <w:r w:rsidRPr="00491C4A">
        <w:rPr>
          <w:rFonts w:ascii="Times New Roman" w:hAnsi="Times New Roman"/>
          <w:sz w:val="28"/>
          <w:szCs w:val="28"/>
        </w:rPr>
        <w:t xml:space="preserve">gnación de obligaciones: </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Prrafodelista"/>
        <w:numPr>
          <w:ilvl w:val="0"/>
          <w:numId w:val="6"/>
        </w:numPr>
        <w:ind w:left="641" w:right="284" w:hanging="357"/>
        <w:jc w:val="both"/>
        <w:rPr>
          <w:rFonts w:ascii="Times New Roman" w:hAnsi="Times New Roman"/>
          <w:i/>
          <w:iCs/>
          <w:sz w:val="28"/>
          <w:szCs w:val="28"/>
        </w:rPr>
      </w:pPr>
      <w:r w:rsidRPr="00491C4A">
        <w:rPr>
          <w:rFonts w:ascii="Times New Roman" w:hAnsi="Times New Roman"/>
          <w:sz w:val="28"/>
          <w:szCs w:val="28"/>
        </w:rPr>
        <w:t>“</w:t>
      </w:r>
      <w:r w:rsidRPr="00491C4A">
        <w:rPr>
          <w:rFonts w:ascii="Times New Roman" w:hAnsi="Times New Roman"/>
          <w:i/>
          <w:iCs/>
          <w:sz w:val="28"/>
          <w:szCs w:val="28"/>
        </w:rPr>
        <w:t>La CREG hace un análisis de balance de oferta de energía firme y demanda esperada e identifica la conveniencia de convocar un proceso de asignación de OEF. La obligación de energía firme está definitiva como el vínculo resultante de la subasta o del mecani</w:t>
      </w:r>
      <w:r w:rsidRPr="00491C4A">
        <w:rPr>
          <w:rFonts w:ascii="Times New Roman" w:hAnsi="Times New Roman"/>
          <w:i/>
          <w:iCs/>
          <w:sz w:val="28"/>
          <w:szCs w:val="28"/>
        </w:rPr>
        <w:t xml:space="preserve">smo que haga sus veces, que impone a un generador el deber de generar, de acuerdo con el Despacho Ideal, una cantidad diaria de energía durante el Período de Vigencia de la Obligación, cuando el Precio de Bolsa supere el Precio de Escasez de Activación. </w:t>
      </w:r>
    </w:p>
    <w:p w:rsidR="00406673" w:rsidRPr="00491C4A" w:rsidRDefault="00491C4A" w:rsidP="00406673">
      <w:pPr>
        <w:pStyle w:val="Prrafodelista"/>
        <w:numPr>
          <w:ilvl w:val="0"/>
          <w:numId w:val="6"/>
        </w:numPr>
        <w:ind w:left="641" w:right="284" w:hanging="357"/>
        <w:jc w:val="both"/>
        <w:rPr>
          <w:rFonts w:ascii="Times New Roman" w:hAnsi="Times New Roman"/>
          <w:i/>
          <w:iCs/>
          <w:sz w:val="28"/>
          <w:szCs w:val="28"/>
        </w:rPr>
      </w:pPr>
      <w:r w:rsidRPr="00491C4A">
        <w:rPr>
          <w:rFonts w:ascii="Times New Roman" w:hAnsi="Times New Roman"/>
          <w:i/>
          <w:iCs/>
          <w:sz w:val="28"/>
          <w:szCs w:val="28"/>
        </w:rPr>
        <w:t>L</w:t>
      </w:r>
      <w:r w:rsidRPr="00491C4A">
        <w:rPr>
          <w:rFonts w:ascii="Times New Roman" w:hAnsi="Times New Roman"/>
          <w:i/>
          <w:iCs/>
          <w:sz w:val="28"/>
          <w:szCs w:val="28"/>
        </w:rPr>
        <w:t>a CREG expide una resolución convocando la asignación de OEF para el período de interés. En dicha resolución se incluye el cronograma con las actividades que se deben cumplir por parte de los agentes y el encargado de adelantar el proceso de asignación que</w:t>
      </w:r>
      <w:r w:rsidRPr="00491C4A">
        <w:rPr>
          <w:rFonts w:ascii="Times New Roman" w:hAnsi="Times New Roman"/>
          <w:i/>
          <w:iCs/>
          <w:sz w:val="28"/>
          <w:szCs w:val="28"/>
        </w:rPr>
        <w:t xml:space="preserve"> es el operador del mercado, la empresa XM S.A. E.S.P.</w:t>
      </w:r>
    </w:p>
    <w:p w:rsidR="00406673" w:rsidRPr="00491C4A" w:rsidRDefault="00491C4A" w:rsidP="00406673">
      <w:pPr>
        <w:pStyle w:val="Prrafodelista"/>
        <w:numPr>
          <w:ilvl w:val="0"/>
          <w:numId w:val="6"/>
        </w:numPr>
        <w:ind w:left="641" w:right="284" w:hanging="357"/>
        <w:jc w:val="both"/>
        <w:rPr>
          <w:rFonts w:ascii="Times New Roman" w:hAnsi="Times New Roman"/>
          <w:i/>
          <w:iCs/>
          <w:sz w:val="28"/>
          <w:szCs w:val="28"/>
        </w:rPr>
      </w:pPr>
      <w:r w:rsidRPr="00491C4A">
        <w:rPr>
          <w:rFonts w:ascii="Times New Roman" w:hAnsi="Times New Roman"/>
          <w:i/>
          <w:iCs/>
          <w:sz w:val="28"/>
          <w:szCs w:val="28"/>
        </w:rPr>
        <w:t>Los agentes interesados en participar en la asignación de OEF para el período convocado, declaran los parámetros técnicos de las plantas que quieren sean consideradas para que les asignen OEF. Los parámetros técnicos se declaran de acuerdo con las metodolo</w:t>
      </w:r>
      <w:r w:rsidRPr="00491C4A">
        <w:rPr>
          <w:rFonts w:ascii="Times New Roman" w:hAnsi="Times New Roman"/>
          <w:i/>
          <w:iCs/>
          <w:sz w:val="28"/>
          <w:szCs w:val="28"/>
        </w:rPr>
        <w:t>gías definidas por la CREG para cada tipo de tecnología, por ejemplo, para plantas eólicas se informa de la capacidad efectiva, la velocidad promedio del viento, la función de conversión, tal como se tiene definido en la Resolución CREG 167 de 2017, la cua</w:t>
      </w:r>
      <w:r w:rsidRPr="00491C4A">
        <w:rPr>
          <w:rFonts w:ascii="Times New Roman" w:hAnsi="Times New Roman"/>
          <w:i/>
          <w:iCs/>
          <w:sz w:val="28"/>
          <w:szCs w:val="28"/>
        </w:rPr>
        <w:t xml:space="preserve">l se modificó con la Resolución CREG 101 006 de 2023, y las plantas solares reportan irradiación, temperatura, función de conversión, lo cual se tiene definido en la Resolución CREG 201 de 2017, modificada con la Resolución CREG 101 007 de 2023. </w:t>
      </w:r>
    </w:p>
    <w:p w:rsidR="00406673" w:rsidRPr="00491C4A" w:rsidRDefault="00491C4A" w:rsidP="00406673">
      <w:pPr>
        <w:pStyle w:val="Prrafodelista"/>
        <w:numPr>
          <w:ilvl w:val="0"/>
          <w:numId w:val="6"/>
        </w:numPr>
        <w:ind w:left="641" w:right="284" w:hanging="357"/>
        <w:jc w:val="both"/>
        <w:rPr>
          <w:rFonts w:ascii="Times New Roman" w:hAnsi="Times New Roman"/>
          <w:i/>
          <w:iCs/>
          <w:sz w:val="28"/>
          <w:szCs w:val="28"/>
        </w:rPr>
      </w:pPr>
      <w:r w:rsidRPr="00491C4A">
        <w:rPr>
          <w:rFonts w:ascii="Times New Roman" w:hAnsi="Times New Roman"/>
          <w:i/>
          <w:iCs/>
          <w:sz w:val="28"/>
          <w:szCs w:val="28"/>
        </w:rPr>
        <w:t>En dichas</w:t>
      </w:r>
      <w:r w:rsidRPr="00491C4A">
        <w:rPr>
          <w:rFonts w:ascii="Times New Roman" w:hAnsi="Times New Roman"/>
          <w:i/>
          <w:iCs/>
          <w:sz w:val="28"/>
          <w:szCs w:val="28"/>
        </w:rPr>
        <w:t xml:space="preserve"> resoluciones se definen la forma de calcular la energía firme, la cual es verificada por el operador del mercado a partir de los parámetros declarados. </w:t>
      </w:r>
    </w:p>
    <w:p w:rsidR="00406673" w:rsidRPr="00491C4A" w:rsidRDefault="00491C4A" w:rsidP="00406673">
      <w:pPr>
        <w:pStyle w:val="Prrafodelista"/>
        <w:numPr>
          <w:ilvl w:val="0"/>
          <w:numId w:val="6"/>
        </w:numPr>
        <w:ind w:left="641" w:right="284" w:hanging="357"/>
        <w:jc w:val="both"/>
        <w:rPr>
          <w:rFonts w:ascii="Times New Roman" w:hAnsi="Times New Roman"/>
          <w:sz w:val="28"/>
          <w:szCs w:val="28"/>
        </w:rPr>
      </w:pPr>
      <w:r w:rsidRPr="00491C4A">
        <w:rPr>
          <w:rFonts w:ascii="Times New Roman" w:hAnsi="Times New Roman"/>
          <w:i/>
          <w:iCs/>
          <w:sz w:val="28"/>
          <w:szCs w:val="28"/>
        </w:rPr>
        <w:t>Si son plantas nuevas el desarrollador debe entregar el cronograma de construcción y la curva S en don</w:t>
      </w:r>
      <w:r w:rsidRPr="00491C4A">
        <w:rPr>
          <w:rFonts w:ascii="Times New Roman" w:hAnsi="Times New Roman"/>
          <w:i/>
          <w:iCs/>
          <w:sz w:val="28"/>
          <w:szCs w:val="28"/>
        </w:rPr>
        <w:t>de la fecha de puesta en operación debe ser antes del inicio del período de vigencia de la obligación (IPVO). Además, si son asignadas con OEF deberán entregar garantía de construcción para asegurar que el sistema va a disponer de la energía para el períod</w:t>
      </w:r>
      <w:r w:rsidRPr="00491C4A">
        <w:rPr>
          <w:rFonts w:ascii="Times New Roman" w:hAnsi="Times New Roman"/>
          <w:i/>
          <w:iCs/>
          <w:sz w:val="28"/>
          <w:szCs w:val="28"/>
        </w:rPr>
        <w:t>o comprometido</w:t>
      </w:r>
      <w:r w:rsidRPr="00491C4A">
        <w:rPr>
          <w:rFonts w:ascii="Times New Roman" w:hAnsi="Times New Roman"/>
          <w:sz w:val="28"/>
          <w:szCs w:val="28"/>
        </w:rPr>
        <w:t>.</w:t>
      </w:r>
    </w:p>
    <w:p w:rsidR="00406673" w:rsidRPr="00491C4A" w:rsidRDefault="00491C4A" w:rsidP="00406673">
      <w:pPr>
        <w:pStyle w:val="Prrafodelista"/>
        <w:numPr>
          <w:ilvl w:val="0"/>
          <w:numId w:val="6"/>
        </w:numPr>
        <w:ind w:left="641" w:right="284" w:hanging="357"/>
        <w:jc w:val="both"/>
        <w:rPr>
          <w:rFonts w:ascii="Times New Roman" w:hAnsi="Times New Roman"/>
          <w:sz w:val="28"/>
          <w:szCs w:val="28"/>
        </w:rPr>
      </w:pPr>
      <w:r w:rsidRPr="00491C4A">
        <w:rPr>
          <w:rFonts w:ascii="Times New Roman" w:hAnsi="Times New Roman"/>
          <w:i/>
          <w:iCs/>
          <w:sz w:val="28"/>
          <w:szCs w:val="28"/>
        </w:rPr>
        <w:t xml:space="preserve">Una vez se haya dado cumplimiento a los pasos anteriores, el operador del mercado procede a asignar las OEF, bien sea mediante una subasta o el mecanismo de haga sus veces según lo que haya definido por la CREG en la resolución que expidió </w:t>
      </w:r>
      <w:r w:rsidRPr="00491C4A">
        <w:rPr>
          <w:rFonts w:ascii="Times New Roman" w:hAnsi="Times New Roman"/>
          <w:i/>
          <w:iCs/>
          <w:sz w:val="28"/>
          <w:szCs w:val="28"/>
        </w:rPr>
        <w:t xml:space="preserve">convocando el proceso de asignación para el período de interés. </w:t>
      </w:r>
    </w:p>
    <w:p w:rsidR="00406673" w:rsidRPr="00491C4A" w:rsidRDefault="00491C4A" w:rsidP="00406673">
      <w:pPr>
        <w:pStyle w:val="Prrafodelista"/>
        <w:numPr>
          <w:ilvl w:val="0"/>
          <w:numId w:val="6"/>
        </w:numPr>
        <w:ind w:left="641" w:right="284" w:hanging="357"/>
        <w:jc w:val="both"/>
        <w:rPr>
          <w:rFonts w:ascii="Times New Roman" w:hAnsi="Times New Roman"/>
          <w:sz w:val="28"/>
          <w:szCs w:val="28"/>
        </w:rPr>
      </w:pPr>
      <w:r w:rsidRPr="00491C4A">
        <w:rPr>
          <w:rFonts w:ascii="Times New Roman" w:hAnsi="Times New Roman"/>
          <w:i/>
          <w:iCs/>
          <w:sz w:val="28"/>
          <w:szCs w:val="28"/>
        </w:rPr>
        <w:t xml:space="preserve"> Una vez entre en operación comercial, cumpliendo las pruebas señaladas en la respuesta señaladas en el punto 1 para el caso de las fuentes no convencionales, e iniciado el período de obligac</w:t>
      </w:r>
      <w:r w:rsidRPr="00491C4A">
        <w:rPr>
          <w:rFonts w:ascii="Times New Roman" w:hAnsi="Times New Roman"/>
          <w:i/>
          <w:iCs/>
          <w:sz w:val="28"/>
          <w:szCs w:val="28"/>
        </w:rPr>
        <w:t>ión de la obligación se da comienzo al cumplimento de las obligaciones del cargo por confiabilidad</w:t>
      </w:r>
      <w:r w:rsidRPr="00491C4A">
        <w:rPr>
          <w:rFonts w:ascii="Times New Roman" w:hAnsi="Times New Roman"/>
          <w:sz w:val="28"/>
          <w:szCs w:val="28"/>
        </w:rPr>
        <w:t>.”</w:t>
      </w:r>
      <w:r w:rsidRPr="00491C4A">
        <w:rPr>
          <w:rStyle w:val="Refdenotaalpie"/>
          <w:rFonts w:ascii="Times New Roman" w:hAnsi="Times New Roman"/>
          <w:sz w:val="28"/>
          <w:szCs w:val="28"/>
        </w:rPr>
        <w:footnoteReference w:id="51"/>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Las obligaciones asignadas a las plantas en el cargo por confiabilidad son:</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Prrafodelista"/>
        <w:ind w:left="284"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En el caso de plantas nuevas, se debe cumplir con la construcción de la pla</w:t>
      </w:r>
      <w:r w:rsidRPr="00491C4A">
        <w:rPr>
          <w:rFonts w:ascii="Times New Roman" w:hAnsi="Times New Roman"/>
          <w:i/>
          <w:iCs/>
          <w:sz w:val="28"/>
          <w:szCs w:val="28"/>
        </w:rPr>
        <w:t>nta ofrecida y entrada en operación antes del inicio del período de vigencia de la obligación (Resoluciones CREG 071 de 2006 y CREG 061 de 2007). - Mantener disponibilidad diaria de la planta para operar en caso de que lo requiera el sistema (Resolución CR</w:t>
      </w:r>
      <w:r w:rsidRPr="00491C4A">
        <w:rPr>
          <w:rFonts w:ascii="Times New Roman" w:hAnsi="Times New Roman"/>
          <w:i/>
          <w:iCs/>
          <w:sz w:val="28"/>
          <w:szCs w:val="28"/>
        </w:rPr>
        <w:t xml:space="preserve">EG 071 de 2006). - Entregar la energía firme comprometida con la planta cuando se presente la condición que activa la ejecución de las obligaciones. Dicho evento se presenta cuando el precio de bolsa de energía o mercado eléctrico de corto plazo supera el </w:t>
      </w:r>
      <w:r w:rsidRPr="00491C4A">
        <w:rPr>
          <w:rFonts w:ascii="Times New Roman" w:hAnsi="Times New Roman"/>
          <w:i/>
          <w:iCs/>
          <w:sz w:val="28"/>
          <w:szCs w:val="28"/>
        </w:rPr>
        <w:t>precio umbral definido por la CREG, el cual se denomina precio de escasez (Resolución CREG 071 de 2006). - Adelantar las pruebas que se programen por el operador para verificar la disponibilidad de la planta (Resolución CREG 085 de 2007)</w:t>
      </w:r>
      <w:r w:rsidRPr="00491C4A">
        <w:rPr>
          <w:rFonts w:ascii="Times New Roman" w:hAnsi="Times New Roman"/>
          <w:sz w:val="28"/>
          <w:szCs w:val="28"/>
        </w:rPr>
        <w:t>.”</w:t>
      </w:r>
      <w:r w:rsidRPr="00491C4A">
        <w:rPr>
          <w:rStyle w:val="Refdenotaalpie"/>
          <w:rFonts w:ascii="Times New Roman" w:hAnsi="Times New Roman"/>
          <w:sz w:val="28"/>
          <w:szCs w:val="28"/>
        </w:rPr>
        <w:footnoteReference w:id="52"/>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Indicó que el </w:t>
      </w:r>
      <w:r w:rsidRPr="00491C4A">
        <w:rPr>
          <w:rFonts w:ascii="Times New Roman" w:hAnsi="Times New Roman"/>
          <w:sz w:val="28"/>
          <w:szCs w:val="28"/>
        </w:rPr>
        <w:t>momento en el cual se entiende que una planta de generación de energía tiene asignadas obligaciones es “</w:t>
      </w:r>
      <w:r w:rsidRPr="00491C4A">
        <w:rPr>
          <w:rFonts w:ascii="Times New Roman" w:hAnsi="Times New Roman"/>
          <w:i/>
          <w:iCs/>
          <w:sz w:val="28"/>
          <w:szCs w:val="28"/>
        </w:rPr>
        <w:t>una vez se surta el proceso de asignación para el período de interés convocado por la CREG mediante resolución, el cual es adelantado por el operador de</w:t>
      </w:r>
      <w:r w:rsidRPr="00491C4A">
        <w:rPr>
          <w:rFonts w:ascii="Times New Roman" w:hAnsi="Times New Roman"/>
          <w:i/>
          <w:iCs/>
          <w:sz w:val="28"/>
          <w:szCs w:val="28"/>
        </w:rPr>
        <w:t>l mercado</w:t>
      </w:r>
      <w:r w:rsidRPr="00491C4A">
        <w:rPr>
          <w:rFonts w:ascii="Times New Roman" w:hAnsi="Times New Roman"/>
          <w:sz w:val="28"/>
          <w:szCs w:val="28"/>
        </w:rPr>
        <w:t xml:space="preserve"> (…). </w:t>
      </w:r>
      <w:r w:rsidRPr="00491C4A">
        <w:rPr>
          <w:rFonts w:ascii="Times New Roman" w:hAnsi="Times New Roman"/>
          <w:i/>
          <w:iCs/>
          <w:sz w:val="28"/>
          <w:szCs w:val="28"/>
        </w:rPr>
        <w:t>Para el caso de plantas nuevas, el agente deberá cumplir con la construcción oportuna de la planta, caso contrario se perderían</w:t>
      </w:r>
      <w:r w:rsidRPr="00491C4A">
        <w:rPr>
          <w:rFonts w:ascii="Times New Roman" w:hAnsi="Times New Roman"/>
          <w:sz w:val="28"/>
          <w:szCs w:val="28"/>
        </w:rPr>
        <w:t>.”</w:t>
      </w:r>
      <w:r w:rsidRPr="00491C4A">
        <w:rPr>
          <w:rStyle w:val="Refdenotaalpie"/>
          <w:rFonts w:ascii="Times New Roman" w:hAnsi="Times New Roman"/>
          <w:sz w:val="28"/>
          <w:szCs w:val="28"/>
        </w:rPr>
        <w:footnoteReference w:id="53"/>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Se preguntó ¿qué otras entidades podrían asign</w:t>
      </w:r>
      <w:r w:rsidRPr="00491C4A">
        <w:rPr>
          <w:rFonts w:ascii="Times New Roman" w:hAnsi="Times New Roman"/>
          <w:sz w:val="28"/>
          <w:szCs w:val="28"/>
        </w:rPr>
        <w:t>ar</w:t>
      </w:r>
      <w:r w:rsidRPr="00491C4A">
        <w:rPr>
          <w:rFonts w:ascii="Times New Roman" w:hAnsi="Times New Roman"/>
          <w:sz w:val="28"/>
          <w:szCs w:val="28"/>
        </w:rPr>
        <w:t>les obligaciones a esas plantas? Y respondió: “</w:t>
      </w:r>
      <w:r w:rsidRPr="00491C4A">
        <w:rPr>
          <w:rFonts w:ascii="Times New Roman" w:hAnsi="Times New Roman"/>
          <w:i/>
          <w:iCs/>
          <w:sz w:val="28"/>
          <w:szCs w:val="28"/>
        </w:rPr>
        <w:t>para el caso d</w:t>
      </w:r>
      <w:r w:rsidRPr="00491C4A">
        <w:rPr>
          <w:rFonts w:ascii="Times New Roman" w:hAnsi="Times New Roman"/>
          <w:i/>
          <w:iCs/>
          <w:sz w:val="28"/>
          <w:szCs w:val="28"/>
        </w:rPr>
        <w:t>e las asignaciones de las obligaciones de energía firme del cargo por confiabilidad, y como se ha explicado, la CREG adelanta la convocatoria mediante una resolución y el Operador del Mercado, la empresa XM S.A. E.S.P., por delegación de la CREG adelanta e</w:t>
      </w:r>
      <w:r w:rsidRPr="00491C4A">
        <w:rPr>
          <w:rFonts w:ascii="Times New Roman" w:hAnsi="Times New Roman"/>
          <w:i/>
          <w:iCs/>
          <w:sz w:val="28"/>
          <w:szCs w:val="28"/>
        </w:rPr>
        <w:t>l proceso de asignación de OEF a las diferentes plantas que cumplan con el proceso</w:t>
      </w:r>
      <w:r w:rsidRPr="00491C4A">
        <w:rPr>
          <w:rFonts w:ascii="Times New Roman" w:hAnsi="Times New Roman"/>
          <w:sz w:val="28"/>
          <w:szCs w:val="28"/>
        </w:rPr>
        <w:t>.”</w:t>
      </w:r>
    </w:p>
    <w:p w:rsidR="00406673" w:rsidRPr="00491C4A" w:rsidRDefault="00491C4A" w:rsidP="00406673">
      <w:pPr>
        <w:pStyle w:val="Prrafodelista"/>
        <w:ind w:left="0"/>
        <w:jc w:val="both"/>
        <w:rPr>
          <w:rFonts w:ascii="Times New Roman" w:hAnsi="Times New Roman"/>
          <w:sz w:val="28"/>
          <w:szCs w:val="28"/>
        </w:rPr>
      </w:pPr>
      <w:r w:rsidRPr="00491C4A">
        <w:rPr>
          <w:rFonts w:ascii="Times New Roman" w:hAnsi="Times New Roman"/>
          <w:sz w:val="28"/>
          <w:szCs w:val="28"/>
        </w:rPr>
        <w:tab/>
      </w:r>
    </w:p>
    <w:p w:rsidR="00406673" w:rsidRPr="00491C4A" w:rsidRDefault="00491C4A" w:rsidP="00406673">
      <w:pPr>
        <w:pStyle w:val="Ttulo2"/>
        <w:numPr>
          <w:ilvl w:val="0"/>
          <w:numId w:val="5"/>
        </w:numPr>
        <w:spacing w:before="0"/>
        <w:ind w:left="0" w:firstLine="0"/>
        <w:jc w:val="both"/>
        <w:rPr>
          <w:rFonts w:ascii="Times New Roman" w:hAnsi="Times New Roman"/>
          <w:b/>
          <w:color w:val="auto"/>
          <w:sz w:val="28"/>
          <w:szCs w:val="28"/>
        </w:rPr>
      </w:pPr>
      <w:bookmarkStart w:id="21" w:name="_Toc200753654"/>
      <w:r w:rsidRPr="00491C4A">
        <w:rPr>
          <w:rFonts w:ascii="Times New Roman" w:hAnsi="Times New Roman"/>
          <w:b/>
          <w:color w:val="auto"/>
          <w:sz w:val="28"/>
          <w:szCs w:val="28"/>
        </w:rPr>
        <w:t>Intervenciones</w:t>
      </w:r>
      <w:bookmarkEnd w:id="21"/>
    </w:p>
    <w:p w:rsidR="00406673" w:rsidRPr="00491C4A" w:rsidRDefault="00491C4A" w:rsidP="00406673">
      <w:pPr>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Dentro del término de fijación en lista, la Corte recibió once (11) intervenciones, cuyas solicitudes se sintetizan en la siguiente tabla:</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Ttulo3"/>
        <w:spacing w:before="0"/>
        <w:jc w:val="center"/>
        <w:rPr>
          <w:rFonts w:ascii="Times New Roman" w:hAnsi="Times New Roman"/>
          <w:b/>
          <w:bCs/>
          <w:i/>
          <w:iCs/>
          <w:color w:val="auto"/>
        </w:rPr>
      </w:pPr>
      <w:bookmarkStart w:id="22" w:name="_Toc200753655"/>
      <w:r w:rsidRPr="00491C4A">
        <w:rPr>
          <w:rFonts w:ascii="Times New Roman" w:hAnsi="Times New Roman"/>
          <w:b/>
          <w:bCs/>
          <w:i/>
          <w:iCs/>
          <w:color w:val="auto"/>
        </w:rPr>
        <w:t xml:space="preserve">Tabla 5 – </w:t>
      </w:r>
      <w:r w:rsidRPr="00491C4A">
        <w:rPr>
          <w:rFonts w:ascii="Times New Roman" w:hAnsi="Times New Roman"/>
          <w:b/>
          <w:bCs/>
          <w:i/>
          <w:iCs/>
          <w:color w:val="auto"/>
        </w:rPr>
        <w:t>Intervenciones</w:t>
      </w:r>
      <w:bookmarkEnd w:id="22"/>
    </w:p>
    <w:p w:rsidR="00406673" w:rsidRPr="00491C4A" w:rsidRDefault="00491C4A" w:rsidP="00406673">
      <w:pPr>
        <w:pStyle w:val="Prrafodelista"/>
        <w:ind w:left="0"/>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647"/>
        <w:gridCol w:w="2410"/>
        <w:gridCol w:w="3968"/>
      </w:tblGrid>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No.</w:t>
            </w:r>
          </w:p>
        </w:tc>
        <w:tc>
          <w:tcPr>
            <w:tcW w:w="1647"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Cs/>
                <w:sz w:val="28"/>
              </w:rPr>
            </w:pPr>
            <w:r w:rsidRPr="00491C4A">
              <w:rPr>
                <w:rFonts w:ascii="Times New Roman" w:hAnsi="Times New Roman"/>
                <w:b/>
                <w:bCs/>
                <w:iCs/>
                <w:sz w:val="28"/>
              </w:rPr>
              <w:t>Tipo de interviniente</w:t>
            </w:r>
          </w:p>
        </w:tc>
        <w:tc>
          <w:tcPr>
            <w:tcW w:w="2410"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Interviniente</w:t>
            </w:r>
          </w:p>
        </w:tc>
        <w:tc>
          <w:tcPr>
            <w:tcW w:w="3968"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b/>
                <w:bCs/>
                <w:i/>
                <w:iCs/>
                <w:sz w:val="28"/>
              </w:rPr>
            </w:pPr>
            <w:r w:rsidRPr="00491C4A">
              <w:rPr>
                <w:rFonts w:ascii="Times New Roman" w:hAnsi="Times New Roman"/>
                <w:b/>
                <w:bCs/>
                <w:iCs/>
                <w:sz w:val="28"/>
              </w:rPr>
              <w:t>Solicitud</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1</w:t>
            </w:r>
          </w:p>
        </w:tc>
        <w:tc>
          <w:tcPr>
            <w:tcW w:w="1647" w:type="dxa"/>
            <w:vMerge w:val="restart"/>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r w:rsidRPr="00491C4A">
              <w:rPr>
                <w:rFonts w:ascii="Times New Roman" w:hAnsi="Times New Roman"/>
                <w:iCs/>
                <w:sz w:val="28"/>
              </w:rPr>
              <w:t>Oficiales</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Ministerio de Minas y Energía</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Exequibilidad respecto de todos los cargos de la demanda.</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2</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Departamento Nacional de Planeación</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Exequibilidad</w:t>
            </w:r>
            <w:r w:rsidRPr="00491C4A">
              <w:rPr>
                <w:rFonts w:ascii="Times New Roman" w:hAnsi="Times New Roman"/>
                <w:iCs/>
                <w:sz w:val="28"/>
              </w:rPr>
              <w:t xml:space="preserve"> respecto de todos los cargos de la demanda.</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3</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Ministerio de Ambiente y Desarrollo Sostenible</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Exequibilidad respecto del cargo tercero. Inhibición y en subsidio exequibilidad respecto del cargo cuarto. No se pronunció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4</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Presidencia de la República</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Inhibición y en subsidio exequibilidad respecto del cuarto cargo. Exequibilidad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5</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Ministerio de Hacienda y Crédito Público</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Exequibilidad respecto de los cargos primero, segundo y tercero. No se pr</w:t>
            </w:r>
            <w:r w:rsidRPr="00491C4A">
              <w:rPr>
                <w:rFonts w:ascii="Times New Roman" w:hAnsi="Times New Roman"/>
                <w:iCs/>
                <w:sz w:val="28"/>
              </w:rPr>
              <w:t>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6</w:t>
            </w:r>
          </w:p>
        </w:tc>
        <w:tc>
          <w:tcPr>
            <w:tcW w:w="1647" w:type="dxa"/>
            <w:vMerge w:val="restart"/>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r w:rsidRPr="00491C4A">
              <w:rPr>
                <w:rFonts w:ascii="Times New Roman" w:hAnsi="Times New Roman"/>
                <w:iCs/>
                <w:sz w:val="28"/>
              </w:rPr>
              <w:t>Ciudadanas</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Asociación Colombia de Generadores de Energía Eléctrica (Acolgen)</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Inexequibilidad respecto de los cargos tercero y cuarto. No se pronunció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7</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Federación Colombiana de </w:t>
            </w:r>
            <w:r w:rsidRPr="00491C4A">
              <w:rPr>
                <w:rFonts w:ascii="Times New Roman" w:hAnsi="Times New Roman"/>
                <w:iCs/>
                <w:sz w:val="28"/>
              </w:rPr>
              <w:t>Municipios</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Inexequibilidad respecto del primer cargo. No se pronunció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8</w:t>
            </w:r>
          </w:p>
        </w:tc>
        <w:tc>
          <w:tcPr>
            <w:tcW w:w="1647" w:type="dxa"/>
            <w:vMerge/>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Universidad Externado de Colombia – Centro de Estudios Fiscales</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Exequibilidad respecto de los cargos segundo y tercero. No se pronunció respecto de los </w:t>
            </w:r>
            <w:r w:rsidRPr="00491C4A">
              <w:rPr>
                <w:rFonts w:ascii="Times New Roman" w:hAnsi="Times New Roman"/>
                <w:iCs/>
                <w:sz w:val="28"/>
              </w:rPr>
              <w:t>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9</w:t>
            </w:r>
          </w:p>
        </w:tc>
        <w:tc>
          <w:tcPr>
            <w:tcW w:w="1647" w:type="dxa"/>
            <w:vMerge w:val="restart"/>
            <w:shd w:val="clear" w:color="auto" w:fill="auto"/>
            <w:vAlign w:val="center"/>
          </w:tcPr>
          <w:p w:rsidR="00406673" w:rsidRPr="00491C4A" w:rsidRDefault="00491C4A" w:rsidP="00491C4A">
            <w:pPr>
              <w:pStyle w:val="Prrafodelista"/>
              <w:spacing w:after="0" w:line="240" w:lineRule="auto"/>
              <w:ind w:left="0"/>
              <w:jc w:val="both"/>
              <w:rPr>
                <w:rFonts w:ascii="Times New Roman" w:hAnsi="Times New Roman"/>
                <w:iCs/>
                <w:sz w:val="28"/>
              </w:rPr>
            </w:pPr>
            <w:r w:rsidRPr="00491C4A">
              <w:rPr>
                <w:rFonts w:ascii="Times New Roman" w:hAnsi="Times New Roman"/>
                <w:iCs/>
                <w:sz w:val="28"/>
              </w:rPr>
              <w:t>Expertos invitados</w:t>
            </w: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Academia Colombiana de Jurisprudencia</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Exequibilidad respecto de los cargos segundo y cuarto. Inexequibilidad respecto del cargo tercero. No se pronunció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10</w:t>
            </w:r>
          </w:p>
        </w:tc>
        <w:tc>
          <w:tcPr>
            <w:tcW w:w="1647" w:type="dxa"/>
            <w:vMerge/>
            <w:shd w:val="clear" w:color="auto" w:fill="auto"/>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 xml:space="preserve">Asociación de Energías </w:t>
            </w:r>
            <w:r w:rsidRPr="00491C4A">
              <w:rPr>
                <w:rFonts w:ascii="Times New Roman" w:hAnsi="Times New Roman"/>
                <w:iCs/>
                <w:sz w:val="28"/>
              </w:rPr>
              <w:t>Renovables Colombia (SER Colombia)</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Inexequibilidad respecto de los cargos segundo, tercero y cuarto. No se pronunció respecto de los otros cargos.</w:t>
            </w:r>
          </w:p>
        </w:tc>
      </w:tr>
      <w:tr w:rsidR="00491C4A" w:rsidRPr="00491C4A" w:rsidTr="00491C4A">
        <w:tc>
          <w:tcPr>
            <w:tcW w:w="616" w:type="dxa"/>
            <w:shd w:val="clear" w:color="auto" w:fill="auto"/>
          </w:tcPr>
          <w:p w:rsidR="00406673" w:rsidRPr="00491C4A" w:rsidRDefault="00491C4A" w:rsidP="00491C4A">
            <w:pPr>
              <w:pStyle w:val="Prrafodelista"/>
              <w:spacing w:after="0" w:line="240" w:lineRule="auto"/>
              <w:ind w:left="0"/>
              <w:jc w:val="center"/>
              <w:rPr>
                <w:rFonts w:ascii="Times New Roman" w:hAnsi="Times New Roman"/>
                <w:i/>
                <w:iCs/>
                <w:sz w:val="28"/>
              </w:rPr>
            </w:pPr>
            <w:r w:rsidRPr="00491C4A">
              <w:rPr>
                <w:rFonts w:ascii="Times New Roman" w:hAnsi="Times New Roman"/>
                <w:iCs/>
                <w:sz w:val="28"/>
              </w:rPr>
              <w:t>11</w:t>
            </w:r>
          </w:p>
        </w:tc>
        <w:tc>
          <w:tcPr>
            <w:tcW w:w="1647" w:type="dxa"/>
            <w:vMerge/>
            <w:shd w:val="clear" w:color="auto" w:fill="auto"/>
          </w:tcPr>
          <w:p w:rsidR="00406673" w:rsidRPr="00491C4A" w:rsidRDefault="00491C4A" w:rsidP="00491C4A">
            <w:pPr>
              <w:pStyle w:val="Prrafodelista"/>
              <w:spacing w:after="0" w:line="240" w:lineRule="auto"/>
              <w:ind w:left="0"/>
              <w:jc w:val="both"/>
              <w:rPr>
                <w:rFonts w:ascii="Times New Roman" w:hAnsi="Times New Roman"/>
                <w:iCs/>
                <w:sz w:val="28"/>
              </w:rPr>
            </w:pPr>
          </w:p>
        </w:tc>
        <w:tc>
          <w:tcPr>
            <w:tcW w:w="2410"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Instituto Colombiano de Derecho Tributario y Aduanero</w:t>
            </w:r>
          </w:p>
        </w:tc>
        <w:tc>
          <w:tcPr>
            <w:tcW w:w="3968" w:type="dxa"/>
            <w:shd w:val="clear" w:color="auto" w:fill="auto"/>
          </w:tcPr>
          <w:p w:rsidR="00406673" w:rsidRPr="00491C4A" w:rsidRDefault="00491C4A" w:rsidP="00491C4A">
            <w:pPr>
              <w:pStyle w:val="Prrafodelista"/>
              <w:spacing w:after="0" w:line="240" w:lineRule="auto"/>
              <w:ind w:left="0"/>
              <w:jc w:val="both"/>
              <w:rPr>
                <w:rFonts w:ascii="Times New Roman" w:hAnsi="Times New Roman"/>
                <w:i/>
                <w:iCs/>
                <w:sz w:val="28"/>
              </w:rPr>
            </w:pPr>
            <w:r w:rsidRPr="00491C4A">
              <w:rPr>
                <w:rFonts w:ascii="Times New Roman" w:hAnsi="Times New Roman"/>
                <w:iCs/>
                <w:sz w:val="28"/>
              </w:rPr>
              <w:t>Inexequibilidad</w:t>
            </w:r>
            <w:r w:rsidRPr="00491C4A">
              <w:rPr>
                <w:rFonts w:ascii="Times New Roman" w:hAnsi="Times New Roman"/>
                <w:iCs/>
                <w:sz w:val="28"/>
              </w:rPr>
              <w:t xml:space="preserve"> respecto de los cargos segundo y cuarto. Exequibilidad respecto del cargo tercero. No se pronunció respecto de los otros cargos.</w:t>
            </w:r>
          </w:p>
        </w:tc>
      </w:tr>
    </w:tbl>
    <w:p w:rsidR="00406673" w:rsidRPr="00491C4A" w:rsidRDefault="00491C4A" w:rsidP="00406673">
      <w:pPr>
        <w:rPr>
          <w:rFonts w:ascii="Times New Roman" w:hAnsi="Times New Roman"/>
          <w:i/>
          <w:iCs/>
          <w:sz w:val="28"/>
          <w:szCs w:val="28"/>
        </w:rPr>
      </w:pPr>
    </w:p>
    <w:p w:rsidR="00406673" w:rsidRPr="00491C4A" w:rsidRDefault="00491C4A" w:rsidP="00406673">
      <w:pPr>
        <w:pStyle w:val="Prrafodelista"/>
        <w:ind w:left="0"/>
        <w:jc w:val="both"/>
        <w:rPr>
          <w:rFonts w:ascii="Times New Roman" w:hAnsi="Times New Roman"/>
          <w:b/>
          <w:bCs/>
          <w:sz w:val="28"/>
          <w:szCs w:val="28"/>
        </w:rPr>
      </w:pPr>
      <w:r w:rsidRPr="00491C4A">
        <w:rPr>
          <w:rFonts w:ascii="Times New Roman" w:hAnsi="Times New Roman"/>
          <w:b/>
          <w:bCs/>
          <w:i/>
          <w:iCs/>
          <w:sz w:val="28"/>
          <w:szCs w:val="28"/>
        </w:rPr>
        <w:t xml:space="preserve">Sobre la ineptidud del cargo cuarto </w:t>
      </w:r>
    </w:p>
    <w:p w:rsidR="00406673" w:rsidRPr="00491C4A" w:rsidRDefault="00491C4A" w:rsidP="00406673">
      <w:pPr>
        <w:pStyle w:val="Prrafodelista"/>
        <w:rPr>
          <w:rFonts w:ascii="Times New Roman" w:hAnsi="Times New Roman"/>
          <w:i/>
          <w:iCs/>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54"/>
      </w:r>
      <w:r w:rsidRPr="00491C4A">
        <w:rPr>
          <w:rFonts w:ascii="Times New Roman" w:hAnsi="Times New Roman"/>
          <w:sz w:val="28"/>
          <w:szCs w:val="28"/>
        </w:rPr>
        <w:t xml:space="preserve"> solicitaron a la Corte que se inhibiera de emitir un pronunciamien</w:t>
      </w:r>
      <w:r w:rsidRPr="00491C4A">
        <w:rPr>
          <w:rFonts w:ascii="Times New Roman" w:hAnsi="Times New Roman"/>
          <w:sz w:val="28"/>
          <w:szCs w:val="28"/>
        </w:rPr>
        <w:t>to de fondo respecto del cuarto cargo, por considerar que la demanda es inepta. Afirmaron que la acusación no cumple con los requisitos mínimos de certeza y claridad exigidos por el artículo 2 del Decreto 2067 de 1991 y la jurisprudencia constitucional.</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w:t>
      </w:r>
      <w:r w:rsidRPr="00491C4A">
        <w:rPr>
          <w:rFonts w:ascii="Times New Roman" w:hAnsi="Times New Roman"/>
          <w:sz w:val="28"/>
          <w:szCs w:val="28"/>
        </w:rPr>
        <w:t>rgumentaron que la formulación del cargo parte de una interpretación aislada del texto normativo, sin un hilo argumentativo que permita comprender la presunta contradicción con el principio de no regresividad ambiental. Señalaron que los demandantes no dem</w:t>
      </w:r>
      <w:r w:rsidRPr="00491C4A">
        <w:rPr>
          <w:rFonts w:ascii="Times New Roman" w:hAnsi="Times New Roman"/>
          <w:sz w:val="28"/>
          <w:szCs w:val="28"/>
        </w:rPr>
        <w:t>ostraron de forma concreta y específica cómo la disposición acusada produce un retroceso normativo, pues se limitaron a afirmar que la medida afecta instrumentos económicos de fomento a las fuentes no convencionales de energía renovable, sin aplicar el tes</w:t>
      </w:r>
      <w:r w:rsidRPr="00491C4A">
        <w:rPr>
          <w:rFonts w:ascii="Times New Roman" w:hAnsi="Times New Roman"/>
          <w:sz w:val="28"/>
          <w:szCs w:val="28"/>
        </w:rPr>
        <w:t>t de regresividad ni justificar por qué la norma resulta regresiva. Indicaron además que los actores sustentaron su acusación únicamente en la Sentencia C-056 de 2021, sin considerar el contexto normativo general ni analizar la norma en concordancia con el</w:t>
      </w:r>
      <w:r w:rsidRPr="00491C4A">
        <w:rPr>
          <w:rFonts w:ascii="Times New Roman" w:hAnsi="Times New Roman"/>
          <w:sz w:val="28"/>
          <w:szCs w:val="28"/>
        </w:rPr>
        <w:t xml:space="preserve"> resto del Plan Nacional de Desarrollo. Por esa razón, consideró que la demanda no recae sobre una proposición jurídica real y existente, sino sobre apreciaciones subjetivas y fragmentarias que no permiten establecer la configuración de una vulneración con</w:t>
      </w:r>
      <w:r w:rsidRPr="00491C4A">
        <w:rPr>
          <w:rFonts w:ascii="Times New Roman" w:hAnsi="Times New Roman"/>
          <w:sz w:val="28"/>
          <w:szCs w:val="28"/>
        </w:rPr>
        <w:t>stitucional.</w:t>
      </w:r>
    </w:p>
    <w:p w:rsidR="00406673" w:rsidRPr="00491C4A" w:rsidRDefault="00491C4A" w:rsidP="00406673">
      <w:pPr>
        <w:pStyle w:val="Prrafodelista"/>
        <w:rPr>
          <w:rFonts w:ascii="Times New Roman" w:hAnsi="Times New Roman"/>
          <w:sz w:val="28"/>
          <w:szCs w:val="28"/>
        </w:rPr>
      </w:pPr>
    </w:p>
    <w:p w:rsidR="00406673" w:rsidRPr="00491C4A" w:rsidRDefault="00491C4A" w:rsidP="00406673">
      <w:pPr>
        <w:pStyle w:val="Prrafodelista"/>
        <w:ind w:left="0"/>
        <w:jc w:val="both"/>
        <w:rPr>
          <w:rFonts w:ascii="Times New Roman" w:hAnsi="Times New Roman"/>
          <w:b/>
          <w:bCs/>
          <w:i/>
          <w:iCs/>
          <w:sz w:val="28"/>
          <w:szCs w:val="28"/>
        </w:rPr>
      </w:pPr>
      <w:r w:rsidRPr="00491C4A">
        <w:rPr>
          <w:rFonts w:ascii="Times New Roman" w:hAnsi="Times New Roman"/>
          <w:b/>
          <w:bCs/>
          <w:i/>
          <w:iCs/>
          <w:sz w:val="28"/>
          <w:szCs w:val="28"/>
        </w:rPr>
        <w:t>Sobre la exequibilidad respecto del primer cargo</w:t>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Para defender la exequibilidad frente al primer cargo de la demanda, las intervenciones</w:t>
      </w:r>
      <w:r w:rsidRPr="00491C4A">
        <w:rPr>
          <w:rStyle w:val="Refdenotaalpie"/>
          <w:rFonts w:ascii="Times New Roman" w:hAnsi="Times New Roman"/>
          <w:sz w:val="28"/>
          <w:szCs w:val="28"/>
        </w:rPr>
        <w:footnoteReference w:id="55"/>
      </w:r>
      <w:r w:rsidRPr="00491C4A">
        <w:rPr>
          <w:rFonts w:ascii="Times New Roman" w:hAnsi="Times New Roman"/>
          <w:sz w:val="28"/>
          <w:szCs w:val="28"/>
        </w:rPr>
        <w:t xml:space="preserve"> argumentaron que la disposición acusada no vulnera el principio de consecutividad</w:t>
      </w:r>
      <w:r w:rsidRPr="00491C4A">
        <w:rPr>
          <w:rFonts w:ascii="Times New Roman" w:hAnsi="Times New Roman"/>
          <w:sz w:val="28"/>
          <w:szCs w:val="28"/>
        </w:rPr>
        <w:t xml:space="preserve"> consagrado en el artículo 157 de la Constitución. Afirmaron que la norma tuvo un trámite legislativo válido, pues fue discutida y aprobada por ambas cámaras. Precisaron que el hecho de que la Plenaria de la Cámara no hubiera aceptado reabrir la discusión </w:t>
      </w:r>
      <w:r w:rsidRPr="00491C4A">
        <w:rPr>
          <w:rFonts w:ascii="Times New Roman" w:hAnsi="Times New Roman"/>
          <w:sz w:val="28"/>
          <w:szCs w:val="28"/>
        </w:rPr>
        <w:t>de un artículo previamente aprobado no implica la existencia de un vicio de trámite. En su criterio, la solicitud de reapertura no constituye un derecho de los congresistas que imponga una obligación automática de reabrir el debate, sino una facultad sujet</w:t>
      </w:r>
      <w:r w:rsidRPr="00491C4A">
        <w:rPr>
          <w:rFonts w:ascii="Times New Roman" w:hAnsi="Times New Roman"/>
          <w:sz w:val="28"/>
          <w:szCs w:val="28"/>
        </w:rPr>
        <w:t>a a la votación mayoritaria, tal como ocurrió en este caso.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Indicaron que el principio de consecutividad no exige que se debata cada proposición que se presente, sino que el texto final haya sido aprobado en primer y segundo debate en ambas cámaras. En es</w:t>
      </w:r>
      <w:r w:rsidRPr="00491C4A">
        <w:rPr>
          <w:rFonts w:ascii="Times New Roman" w:hAnsi="Times New Roman"/>
          <w:sz w:val="28"/>
          <w:szCs w:val="28"/>
        </w:rPr>
        <w:t>e sentido, explicaron que el artículo demandado fue debatido y aprobado conforme a los requisitos constitucionales. Además, alegaron que la Corte no debe extender el contenido del principio de consecutividad más allá de lo previsto en el texto constitucion</w:t>
      </w:r>
      <w:r w:rsidRPr="00491C4A">
        <w:rPr>
          <w:rFonts w:ascii="Times New Roman" w:hAnsi="Times New Roman"/>
          <w:sz w:val="28"/>
          <w:szCs w:val="28"/>
        </w:rPr>
        <w:t>al, ni asumir una función de control sobre decisiones legítimas de las mayorías parlamentarias. Finalmente, enfatizaron que la Corte ha reconocido en su jurisprudencia que la negativa de una proposición no constituye por sí sola una omisión del deber de de</w:t>
      </w:r>
      <w:r w:rsidRPr="00491C4A">
        <w:rPr>
          <w:rFonts w:ascii="Times New Roman" w:hAnsi="Times New Roman"/>
          <w:sz w:val="28"/>
          <w:szCs w:val="28"/>
        </w:rPr>
        <w:t>batir, y que el principio de consecutividad se satisface con la existencia de un trámite reglado en el que las disposiciones hayan sido discutidas y aprobadas válidamente.</w:t>
      </w:r>
    </w:p>
    <w:p w:rsidR="00406673" w:rsidRPr="00491C4A" w:rsidRDefault="00491C4A" w:rsidP="00406673">
      <w:pPr>
        <w:rPr>
          <w:rFonts w:ascii="Times New Roman" w:hAnsi="Times New Roman"/>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Sobre la inexequibilidad respecto del primer cargo</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Un interviniente</w:t>
      </w:r>
      <w:r w:rsidRPr="00491C4A">
        <w:rPr>
          <w:rStyle w:val="Refdenotaalpie"/>
          <w:rFonts w:ascii="Times New Roman" w:hAnsi="Times New Roman"/>
          <w:sz w:val="28"/>
          <w:szCs w:val="28"/>
        </w:rPr>
        <w:footnoteReference w:id="56"/>
      </w:r>
      <w:r w:rsidRPr="00491C4A">
        <w:rPr>
          <w:rFonts w:ascii="Times New Roman" w:hAnsi="Times New Roman"/>
          <w:sz w:val="28"/>
          <w:szCs w:val="28"/>
        </w:rPr>
        <w:t xml:space="preserve"> solicitó a la</w:t>
      </w:r>
      <w:r w:rsidRPr="00491C4A">
        <w:rPr>
          <w:rFonts w:ascii="Times New Roman" w:hAnsi="Times New Roman"/>
          <w:sz w:val="28"/>
          <w:szCs w:val="28"/>
        </w:rPr>
        <w:t xml:space="preserve"> Corte Constitucional declarar la inexequibilidad del artículo 233 de la Ley 2294 de 2023, con fundamento en la violación del principio de consecutividad consagrado en el artículo 157 de la Constitución. Según la intervención, una vez que un grupo de congr</w:t>
      </w:r>
      <w:r w:rsidRPr="00491C4A">
        <w:rPr>
          <w:rFonts w:ascii="Times New Roman" w:hAnsi="Times New Roman"/>
          <w:sz w:val="28"/>
          <w:szCs w:val="28"/>
        </w:rPr>
        <w:t>esistas formula en debida forma y en tiempo una proposición para reabrir el debate de un artículo previamente aprobado, el presidente de la corporación legislativa tiene el deber de someterla a discusión. La omisión de este trámite vulnera el principio dem</w:t>
      </w:r>
      <w:r w:rsidRPr="00491C4A">
        <w:rPr>
          <w:rFonts w:ascii="Times New Roman" w:hAnsi="Times New Roman"/>
          <w:sz w:val="28"/>
          <w:szCs w:val="28"/>
        </w:rPr>
        <w:t>ocrático que fundamenta el procedimiento legislativo y compromete la validez del proceso de formación de la ley. Sostuvo que la solicitud presentada por los representantes para reabrir el debate del entonces artículo 207 del proyecto de ley fue desestimada</w:t>
      </w:r>
      <w:r w:rsidRPr="00491C4A">
        <w:rPr>
          <w:rFonts w:ascii="Times New Roman" w:hAnsi="Times New Roman"/>
          <w:sz w:val="28"/>
          <w:szCs w:val="28"/>
        </w:rPr>
        <w:t xml:space="preserve"> sin una justificación válida, lo que impidió que la plenaria expresara su voluntad sobre los efectos sustanciales de la norma. Esta omisión constituyó, a su juicio, una transgresión del principio de consecutividad, lo cual torna inconstitucional el proced</w:t>
      </w:r>
      <w:r w:rsidRPr="00491C4A">
        <w:rPr>
          <w:rFonts w:ascii="Times New Roman" w:hAnsi="Times New Roman"/>
          <w:sz w:val="28"/>
          <w:szCs w:val="28"/>
        </w:rPr>
        <w:t>imiento seguido y, por ende, la norma resultante.</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406673">
      <w:pPr>
        <w:pStyle w:val="Prrafodelista"/>
        <w:ind w:left="0"/>
        <w:jc w:val="both"/>
        <w:rPr>
          <w:rFonts w:ascii="Times New Roman" w:hAnsi="Times New Roman"/>
          <w:b/>
          <w:bCs/>
          <w:i/>
          <w:iCs/>
          <w:sz w:val="28"/>
          <w:szCs w:val="28"/>
        </w:rPr>
      </w:pPr>
      <w:r w:rsidRPr="00491C4A">
        <w:rPr>
          <w:rFonts w:ascii="Times New Roman" w:hAnsi="Times New Roman"/>
          <w:b/>
          <w:bCs/>
          <w:i/>
          <w:iCs/>
          <w:sz w:val="28"/>
          <w:szCs w:val="28"/>
        </w:rPr>
        <w:t>Sobre la exequibilidad respecto del segundo cargo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57"/>
      </w:r>
      <w:r w:rsidRPr="00491C4A">
        <w:rPr>
          <w:rFonts w:ascii="Times New Roman" w:hAnsi="Times New Roman"/>
          <w:sz w:val="28"/>
          <w:szCs w:val="28"/>
        </w:rPr>
        <w:t xml:space="preserve"> que defendieron la exequibilidad del artículo 233 de la Ley 2294 de 2023 frente al segundo cargo de la demanda, argumentaron que la no</w:t>
      </w:r>
      <w:r w:rsidRPr="00491C4A">
        <w:rPr>
          <w:rFonts w:ascii="Times New Roman" w:hAnsi="Times New Roman"/>
          <w:sz w:val="28"/>
          <w:szCs w:val="28"/>
        </w:rPr>
        <w:t>rma sí guarda conexidad con las bases del Plan Nacional de Desarrollo, por lo que no vulnera el principio de unidad de materia. Afirmaron que los parágrafos introducidos al artículo 54 de la Ley 143 de 1994 tienen relación directa y específica con las Base</w:t>
      </w:r>
      <w:r w:rsidRPr="00491C4A">
        <w:rPr>
          <w:rFonts w:ascii="Times New Roman" w:hAnsi="Times New Roman"/>
          <w:sz w:val="28"/>
          <w:szCs w:val="28"/>
        </w:rPr>
        <w:t>s del Plan Nacional de Desarrollo, particularmente con los objetivos de transición energética justa, desarrollo territorial y fortalecimiento de las comunidades étnicas. El Ministerio de Minas explicó que la norma desarrolla el eje de transformación produc</w:t>
      </w:r>
      <w:r w:rsidRPr="00491C4A">
        <w:rPr>
          <w:rFonts w:ascii="Times New Roman" w:hAnsi="Times New Roman"/>
          <w:sz w:val="28"/>
          <w:szCs w:val="28"/>
        </w:rPr>
        <w:t>tiva y acción climática, al establecer mecanismos de compensación social para territorios donde se localizan proyectos de generación con fuentes renovables. El Departamento Nacional de Planeación argumentó que existe una conexión clara entre el objetivo de</w:t>
      </w:r>
      <w:r w:rsidRPr="00491C4A">
        <w:rPr>
          <w:rFonts w:ascii="Times New Roman" w:hAnsi="Times New Roman"/>
          <w:sz w:val="28"/>
          <w:szCs w:val="28"/>
        </w:rPr>
        <w:t xml:space="preserve"> democratización energética y las medidas de transferencia previstas, las cuales buscan mejorar el relacionamiento territorial y reducir las desigualdades.</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Sostuvieron que la disposición demandada se vincula a las metas del Plan Plurianual de Inversiones </w:t>
      </w:r>
      <w:r w:rsidRPr="00491C4A">
        <w:rPr>
          <w:rFonts w:ascii="Times New Roman" w:hAnsi="Times New Roman"/>
          <w:sz w:val="28"/>
          <w:szCs w:val="28"/>
        </w:rPr>
        <w:t>y a los compromisos estatales con los pueblos étnicos, particularmente en contextos de alta conflictividad socioambiental. Destacaron que la política energética debe contemplar acciones afirmativas en favor de las comunidades afectadas por proyectos de gen</w:t>
      </w:r>
      <w:r w:rsidRPr="00491C4A">
        <w:rPr>
          <w:rFonts w:ascii="Times New Roman" w:hAnsi="Times New Roman"/>
          <w:sz w:val="28"/>
          <w:szCs w:val="28"/>
        </w:rPr>
        <w:t>eración.</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 su vez, defendieron la constitucionalidad del precepto al estimar que este contribuye a la articulación entre política energética, desarrollo sostenible y equidad territorial, dentro del marco habilitante del artículo 339 superior. Finalmente, </w:t>
      </w:r>
      <w:r w:rsidRPr="00491C4A">
        <w:rPr>
          <w:rFonts w:ascii="Times New Roman" w:hAnsi="Times New Roman"/>
          <w:sz w:val="28"/>
          <w:szCs w:val="28"/>
        </w:rPr>
        <w:t>señalaron que la medida se enmarca en las competencias del legislador para definir transferencias solidarias en el sector eléctrico, con fundamento en los principios de equidad, progresividad y sostenibilidad de la política pública energética.</w:t>
      </w:r>
    </w:p>
    <w:p w:rsidR="00406673" w:rsidRPr="00491C4A" w:rsidRDefault="00491C4A" w:rsidP="00406673">
      <w:pPr>
        <w:rPr>
          <w:rFonts w:ascii="Times New Roman" w:hAnsi="Times New Roman"/>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Sobre la in</w:t>
      </w:r>
      <w:r w:rsidRPr="00491C4A">
        <w:rPr>
          <w:rFonts w:ascii="Times New Roman" w:hAnsi="Times New Roman"/>
          <w:b/>
          <w:bCs/>
          <w:i/>
          <w:iCs/>
          <w:sz w:val="28"/>
          <w:szCs w:val="28"/>
        </w:rPr>
        <w:t>exequibilidad respecto del segundo cargo</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58"/>
      </w:r>
      <w:r w:rsidRPr="00491C4A">
        <w:rPr>
          <w:rFonts w:ascii="Times New Roman" w:hAnsi="Times New Roman"/>
          <w:sz w:val="28"/>
          <w:szCs w:val="28"/>
        </w:rPr>
        <w:t xml:space="preserve"> que solicitaron declarar la inexequibilidad del artículo 233 de la Ley 2294 de 2023 por vulnerar el principio de unidad de materia argumentaron que el parágrafo 7° introduce una asignación de re</w:t>
      </w:r>
      <w:r w:rsidRPr="00491C4A">
        <w:rPr>
          <w:rFonts w:ascii="Times New Roman" w:hAnsi="Times New Roman"/>
          <w:sz w:val="28"/>
          <w:szCs w:val="28"/>
        </w:rPr>
        <w:t xml:space="preserve">cursos que carece de justificación concreta dentro de las Bases del Plan Nacional de Desarrollo, pues su alcance se extiende más allá del departamento de La Guajira, sin conexión directa, inmediata o específica con los objetivos, prioridades territoriales </w:t>
      </w:r>
      <w:r w:rsidRPr="00491C4A">
        <w:rPr>
          <w:rFonts w:ascii="Times New Roman" w:hAnsi="Times New Roman"/>
          <w:sz w:val="28"/>
          <w:szCs w:val="28"/>
        </w:rPr>
        <w:t>y proyecciones financieras del Plan Plurianual de Inversiones. Indic</w:t>
      </w:r>
      <w:r w:rsidRPr="00491C4A">
        <w:rPr>
          <w:rFonts w:ascii="Times New Roman" w:hAnsi="Times New Roman"/>
          <w:sz w:val="28"/>
          <w:szCs w:val="28"/>
        </w:rPr>
        <w:t>aron</w:t>
      </w:r>
      <w:r w:rsidRPr="00491C4A">
        <w:rPr>
          <w:rFonts w:ascii="Times New Roman" w:hAnsi="Times New Roman"/>
          <w:sz w:val="28"/>
          <w:szCs w:val="28"/>
        </w:rPr>
        <w:t xml:space="preserve"> además que la norma tampoco guarda relación con los ejes estratégicos del plan, lo que rompe el hilo conductor exigido por la jurisprudencia constitucional para garantizar la unidad de materia.</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Además sostuvieron que la medida se aparta del modelo consti</w:t>
      </w:r>
      <w:r w:rsidRPr="00491C4A">
        <w:rPr>
          <w:rFonts w:ascii="Times New Roman" w:hAnsi="Times New Roman"/>
          <w:sz w:val="28"/>
          <w:szCs w:val="28"/>
        </w:rPr>
        <w:t>tucional de planeación presupuestal, al establecer transferencias sin sustento en el diagnóstico territorial del plan ni en la priorización de La Guajira. En su criterio, al omitir una delimitación precisa del territorio beneficiario, la norma proyecta una</w:t>
      </w:r>
      <w:r w:rsidRPr="00491C4A">
        <w:rPr>
          <w:rFonts w:ascii="Times New Roman" w:hAnsi="Times New Roman"/>
          <w:sz w:val="28"/>
          <w:szCs w:val="28"/>
        </w:rPr>
        <w:t xml:space="preserve"> expansión presupuestal sin anclaje en el marco normativo del PND, lo cual vulnera el principio de unidad de materia y compromete la coherencia normativa del sistema de planificación y ejecución del gasto público.</w:t>
      </w:r>
    </w:p>
    <w:p w:rsidR="00406673" w:rsidRPr="00491C4A" w:rsidRDefault="00491C4A" w:rsidP="00406673">
      <w:pPr>
        <w:pStyle w:val="Prrafodelista"/>
        <w:ind w:left="0"/>
        <w:jc w:val="both"/>
        <w:rPr>
          <w:rFonts w:ascii="Times New Roman" w:hAnsi="Times New Roman"/>
          <w:i/>
          <w:iCs/>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Sobre la exequibilidad</w:t>
      </w:r>
      <w:r w:rsidRPr="00491C4A">
        <w:rPr>
          <w:rFonts w:ascii="Times New Roman" w:hAnsi="Times New Roman"/>
          <w:b/>
          <w:bCs/>
          <w:i/>
          <w:iCs/>
          <w:sz w:val="28"/>
          <w:szCs w:val="28"/>
        </w:rPr>
        <w:t xml:space="preserve"> respecto del tercer cargo</w:t>
      </w:r>
    </w:p>
    <w:p w:rsidR="00406673" w:rsidRPr="00491C4A" w:rsidRDefault="00491C4A" w:rsidP="00406673">
      <w:pPr>
        <w:rPr>
          <w:rFonts w:ascii="Times New Roman" w:hAnsi="Times New Roman"/>
          <w:b/>
          <w:bCs/>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59"/>
      </w:r>
      <w:r w:rsidRPr="00491C4A">
        <w:rPr>
          <w:rFonts w:ascii="Times New Roman" w:hAnsi="Times New Roman"/>
          <w:sz w:val="28"/>
          <w:szCs w:val="28"/>
        </w:rPr>
        <w:t xml:space="preserve"> defendieron la exequibilidad de la norma frente al tercer cargo de la demanda, sostuvieron que la norma no vulnera los principios de legalidad ni de certeza tributaria. Explicaron que el sujeto pasivo de la t</w:t>
      </w:r>
      <w:r w:rsidRPr="00491C4A">
        <w:rPr>
          <w:rFonts w:ascii="Times New Roman" w:hAnsi="Times New Roman"/>
          <w:sz w:val="28"/>
          <w:szCs w:val="28"/>
        </w:rPr>
        <w:t>ransferencia se encuentra determinado de manera suficiente en el texto normativo, al referirse a las plantas con asignación de obligaciones ubicadas en zonas con alta radiación solar o velocidad del viento, de acuerdo con información objetiva producida por</w:t>
      </w:r>
      <w:r w:rsidRPr="00491C4A">
        <w:rPr>
          <w:rFonts w:ascii="Times New Roman" w:hAnsi="Times New Roman"/>
          <w:sz w:val="28"/>
          <w:szCs w:val="28"/>
        </w:rPr>
        <w:t xml:space="preserve"> el </w:t>
      </w:r>
      <w:r w:rsidRPr="00491C4A">
        <w:rPr>
          <w:rFonts w:ascii="Times New Roman" w:hAnsi="Times New Roman"/>
          <w:sz w:val="28"/>
          <w:szCs w:val="28"/>
        </w:rPr>
        <w:t>IDEAM</w:t>
      </w:r>
      <w:r w:rsidRPr="00491C4A">
        <w:rPr>
          <w:rFonts w:ascii="Times New Roman" w:hAnsi="Times New Roman"/>
          <w:sz w:val="28"/>
          <w:szCs w:val="28"/>
        </w:rPr>
        <w:t>. Señaló que, en el sector eléctrico, las asignaciones de obligaciones tienen una delimitación técnica y normativa clara, reconocida por la regulación expedida por la CREG y el Ministerio de Minas.</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Plantearon que el legislador tiene margen de con</w:t>
      </w:r>
      <w:r w:rsidRPr="00491C4A">
        <w:rPr>
          <w:rFonts w:ascii="Times New Roman" w:hAnsi="Times New Roman"/>
          <w:sz w:val="28"/>
          <w:szCs w:val="28"/>
        </w:rPr>
        <w:t>figuración para adoptar medidas de contribución solidaria como las previstas en el artículo 233, siempre que fije elementos estructurales mínimos que permitan su ejecución, lo cual consideran cumplido. Añadieron que las referencias normativas y técnicas pe</w:t>
      </w:r>
      <w:r w:rsidRPr="00491C4A">
        <w:rPr>
          <w:rFonts w:ascii="Times New Roman" w:hAnsi="Times New Roman"/>
          <w:sz w:val="28"/>
          <w:szCs w:val="28"/>
        </w:rPr>
        <w:t>rmiten identificar con certeza tanto los sujetos obligados como los beneficiarios, y que la ubicación geográfica y los criterios físicos empleados por la norma garantizan su aplicación objetiva.</w:t>
      </w:r>
    </w:p>
    <w:p w:rsidR="00406673" w:rsidRPr="00491C4A" w:rsidRDefault="00491C4A" w:rsidP="00406673">
      <w:pPr>
        <w:pStyle w:val="Prrafodelista"/>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Un interviniente</w:t>
      </w:r>
      <w:r w:rsidRPr="00491C4A">
        <w:rPr>
          <w:rStyle w:val="Refdenotaalpie"/>
          <w:rFonts w:ascii="Times New Roman" w:hAnsi="Times New Roman"/>
          <w:sz w:val="28"/>
          <w:szCs w:val="28"/>
        </w:rPr>
        <w:footnoteReference w:id="60"/>
      </w:r>
      <w:r w:rsidRPr="00491C4A">
        <w:rPr>
          <w:rFonts w:ascii="Times New Roman" w:hAnsi="Times New Roman"/>
          <w:sz w:val="28"/>
          <w:szCs w:val="28"/>
        </w:rPr>
        <w:t xml:space="preserve"> sostuvo que no se trata de un tributo en s</w:t>
      </w:r>
      <w:r w:rsidRPr="00491C4A">
        <w:rPr>
          <w:rFonts w:ascii="Times New Roman" w:hAnsi="Times New Roman"/>
          <w:sz w:val="28"/>
          <w:szCs w:val="28"/>
        </w:rPr>
        <w:t>entido estricto, sino de una transferencia sectorial con finalidad redistributiva, que se inserta dentro de los principios de equidad, progresividad y sostenibilidad del modelo energético, sin que ello exija una identificación individualizada como la que a</w:t>
      </w:r>
      <w:r w:rsidRPr="00491C4A">
        <w:rPr>
          <w:rFonts w:ascii="Times New Roman" w:hAnsi="Times New Roman"/>
          <w:sz w:val="28"/>
          <w:szCs w:val="28"/>
        </w:rPr>
        <w:t>plicaría en el marco de una obligación tributaria ordinaria.</w:t>
      </w:r>
    </w:p>
    <w:p w:rsidR="00406673" w:rsidRPr="00491C4A" w:rsidRDefault="00491C4A" w:rsidP="00406673">
      <w:pPr>
        <w:rPr>
          <w:rFonts w:ascii="Times New Roman" w:hAnsi="Times New Roman"/>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Sobre la inexequibilidad respecto del tercer cargo</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61"/>
      </w:r>
      <w:r w:rsidRPr="00491C4A">
        <w:rPr>
          <w:rFonts w:ascii="Times New Roman" w:hAnsi="Times New Roman"/>
          <w:sz w:val="28"/>
          <w:szCs w:val="28"/>
        </w:rPr>
        <w:t xml:space="preserve"> que solicitaron la declaración de inexequibilidad de la disposición acusada por violar los principios de legalidad y certe</w:t>
      </w:r>
      <w:r w:rsidRPr="00491C4A">
        <w:rPr>
          <w:rFonts w:ascii="Times New Roman" w:hAnsi="Times New Roman"/>
          <w:sz w:val="28"/>
          <w:szCs w:val="28"/>
        </w:rPr>
        <w:t>za tributaria argumentaron que la norma presenta una grave indeterminación respecto del sujeto pasivo de la obligación, ya que el concepto de “plantas con asignación de obligaciones” resulta ambiguo y no permite identificar con precisión a quiénes correspo</w:t>
      </w:r>
      <w:r w:rsidRPr="00491C4A">
        <w:rPr>
          <w:rFonts w:ascii="Times New Roman" w:hAnsi="Times New Roman"/>
          <w:sz w:val="28"/>
          <w:szCs w:val="28"/>
        </w:rPr>
        <w:t>nde efectuar las transferencias. Advirtieron que dicha expresión no aclara si se refiere a obligaciones regulatorias, contractuales, ambientales o sociales, ni establece qué autoridad las impone ni bajo qué marco normativo, lo que genera incertidumbre en l</w:t>
      </w:r>
      <w:r w:rsidRPr="00491C4A">
        <w:rPr>
          <w:rFonts w:ascii="Times New Roman" w:hAnsi="Times New Roman"/>
          <w:sz w:val="28"/>
          <w:szCs w:val="28"/>
        </w:rPr>
        <w:t>os administrados y vulnera el principio de legalidad, que exige la determinación clara de todos los elementos del tributo.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Asimismo, señalaron que el parágrafo séptimo del artículo 233 incurre en una indeterminación adicional al no identificar de forma co</w:t>
      </w:r>
      <w:r w:rsidRPr="00491C4A">
        <w:rPr>
          <w:rFonts w:ascii="Times New Roman" w:hAnsi="Times New Roman"/>
          <w:sz w:val="28"/>
          <w:szCs w:val="28"/>
        </w:rPr>
        <w:t>ncreta a los beneficiarios de las transferencias. Consideraron que el uso indistinto de los conceptos de “departamentos de influencia” y “área de influencia” conduce a resultados disímiles en la identificación de las comunidades étnicas beneficiarias, lo c</w:t>
      </w:r>
      <w:r w:rsidRPr="00491C4A">
        <w:rPr>
          <w:rFonts w:ascii="Times New Roman" w:hAnsi="Times New Roman"/>
          <w:sz w:val="28"/>
          <w:szCs w:val="28"/>
        </w:rPr>
        <w:t>ual afecta la transparencia en la asignación de los recursos. Argumentaron que esta ambigüedad no se puede superar mediante una reglamentación posterior, ya que compromete un elemento esencial del tributo. Finalmente, alertaron que esta falta de certeza no</w:t>
      </w:r>
      <w:r w:rsidRPr="00491C4A">
        <w:rPr>
          <w:rFonts w:ascii="Times New Roman" w:hAnsi="Times New Roman"/>
          <w:sz w:val="28"/>
          <w:szCs w:val="28"/>
        </w:rPr>
        <w:t>rmativa ha tenido un efecto inhibidor en el desarrollo de proyectos de energías renovables, especialmente eólicos, al aumentar los costos operativos de forma injustificada y sin correlato claro con los fines redistributivos planteados por el legislador</w:t>
      </w:r>
      <w:r w:rsidRPr="00491C4A">
        <w:rPr>
          <w:rFonts w:ascii="Times New Roman" w:hAnsi="Times New Roman"/>
          <w:sz w:val="28"/>
          <w:szCs w:val="28"/>
        </w:rPr>
        <w:t>.</w:t>
      </w:r>
    </w:p>
    <w:p w:rsidR="00406673" w:rsidRPr="00491C4A" w:rsidRDefault="00491C4A" w:rsidP="00406673">
      <w:pPr>
        <w:rPr>
          <w:rFonts w:ascii="Times New Roman" w:hAnsi="Times New Roman"/>
          <w:sz w:val="28"/>
          <w:szCs w:val="28"/>
        </w:rPr>
      </w:pPr>
    </w:p>
    <w:p w:rsidR="00406673" w:rsidRPr="00491C4A" w:rsidRDefault="00491C4A" w:rsidP="00406673">
      <w:pPr>
        <w:ind w:left="708" w:hanging="708"/>
        <w:rPr>
          <w:rFonts w:ascii="Times New Roman" w:hAnsi="Times New Roman"/>
          <w:b/>
          <w:bCs/>
          <w:i/>
          <w:iCs/>
          <w:sz w:val="28"/>
          <w:szCs w:val="28"/>
        </w:rPr>
      </w:pPr>
      <w:r w:rsidRPr="00491C4A">
        <w:rPr>
          <w:rFonts w:ascii="Times New Roman" w:hAnsi="Times New Roman"/>
          <w:b/>
          <w:bCs/>
          <w:i/>
          <w:iCs/>
          <w:sz w:val="28"/>
          <w:szCs w:val="28"/>
        </w:rPr>
        <w:t>S</w:t>
      </w:r>
      <w:r w:rsidRPr="00491C4A">
        <w:rPr>
          <w:rFonts w:ascii="Times New Roman" w:hAnsi="Times New Roman"/>
          <w:b/>
          <w:bCs/>
          <w:i/>
          <w:iCs/>
          <w:sz w:val="28"/>
          <w:szCs w:val="28"/>
        </w:rPr>
        <w:t>obre la exequibilidad respecto del cuarto cargo</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62"/>
      </w:r>
      <w:r w:rsidRPr="00491C4A">
        <w:rPr>
          <w:rFonts w:ascii="Times New Roman" w:hAnsi="Times New Roman"/>
          <w:sz w:val="28"/>
          <w:szCs w:val="28"/>
        </w:rPr>
        <w:t xml:space="preserve"> que defendieron la exequibilidad de la norma frente al cuarto cargo, sostuvieron que la norma no vulnera el principio de no regresividad ambiental. Afirmaron que la norma no implica un re</w:t>
      </w:r>
      <w:r w:rsidRPr="00491C4A">
        <w:rPr>
          <w:rFonts w:ascii="Times New Roman" w:hAnsi="Times New Roman"/>
          <w:sz w:val="28"/>
          <w:szCs w:val="28"/>
        </w:rPr>
        <w:t xml:space="preserve">troceso en la protección ambiental, ya que no disminuye estándares existentes ni elimina derechos previamente reconocidos. Por el contrario, explicaron que los ingresos generados mediante las transferencias contribuirán a financiar proyectos definidos por </w:t>
      </w:r>
      <w:r w:rsidRPr="00491C4A">
        <w:rPr>
          <w:rFonts w:ascii="Times New Roman" w:hAnsi="Times New Roman"/>
          <w:sz w:val="28"/>
          <w:szCs w:val="28"/>
        </w:rPr>
        <w:t>comunidades étnicas, lo que refuerza las medidas de justicia ambiental y permite una mayor corresponsabilidad territorial en el desarrollo energético.</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Plantearon que no existe regresividad, dado que la norma no reduce garantías ambientales previamente ado</w:t>
      </w:r>
      <w:r w:rsidRPr="00491C4A">
        <w:rPr>
          <w:rFonts w:ascii="Times New Roman" w:hAnsi="Times New Roman"/>
          <w:sz w:val="28"/>
          <w:szCs w:val="28"/>
        </w:rPr>
        <w:t>ptadas ni debilita mecanismos de participación o mitigación. Aseguraron que la transferencia tiene como fin mejorar la calidad de vida de las comunidades en las zonas de influencia de los proyectos, en consonancia con los principios de equidad ambiental. P</w:t>
      </w:r>
      <w:r w:rsidRPr="00491C4A">
        <w:rPr>
          <w:rFonts w:ascii="Times New Roman" w:hAnsi="Times New Roman"/>
          <w:sz w:val="28"/>
          <w:szCs w:val="28"/>
        </w:rPr>
        <w:t xml:space="preserve">recisaron que la medida tiene un fundamento constitucional en la cláusula de solidaridad y que su diseño normativo no elimina ninguna obligación ambiental exigible a los desarrolladores de proyectos. Sostuvo que el argumento de regresividad se basa en una </w:t>
      </w:r>
      <w:r w:rsidRPr="00491C4A">
        <w:rPr>
          <w:rFonts w:ascii="Times New Roman" w:hAnsi="Times New Roman"/>
          <w:sz w:val="28"/>
          <w:szCs w:val="28"/>
        </w:rPr>
        <w:t>lectura errada de los efectos económicos de la norma, pues la carga económica impuesta no suprime ningún estándar de protección vigente ni desincentiva el desarrollo sostenible desde una perspectiva constitucional.</w:t>
      </w:r>
    </w:p>
    <w:p w:rsidR="00406673" w:rsidRPr="00491C4A" w:rsidRDefault="00491C4A" w:rsidP="00406673">
      <w:pPr>
        <w:pStyle w:val="Prrafodelista"/>
        <w:ind w:left="1070"/>
        <w:rPr>
          <w:rFonts w:ascii="Times New Roman" w:hAnsi="Times New Roman"/>
          <w:sz w:val="28"/>
          <w:szCs w:val="28"/>
        </w:rPr>
      </w:pPr>
    </w:p>
    <w:p w:rsidR="00406673" w:rsidRPr="00491C4A" w:rsidRDefault="00491C4A" w:rsidP="00406673">
      <w:pPr>
        <w:rPr>
          <w:rFonts w:ascii="Times New Roman" w:hAnsi="Times New Roman"/>
          <w:b/>
          <w:bCs/>
          <w:i/>
          <w:iCs/>
          <w:sz w:val="28"/>
          <w:szCs w:val="28"/>
        </w:rPr>
      </w:pPr>
      <w:r w:rsidRPr="00491C4A">
        <w:rPr>
          <w:rFonts w:ascii="Times New Roman" w:hAnsi="Times New Roman"/>
          <w:b/>
          <w:bCs/>
          <w:i/>
          <w:iCs/>
          <w:sz w:val="28"/>
          <w:szCs w:val="28"/>
        </w:rPr>
        <w:t>Sobre la inexequibilidad respecto del cu</w:t>
      </w:r>
      <w:r w:rsidRPr="00491C4A">
        <w:rPr>
          <w:rFonts w:ascii="Times New Roman" w:hAnsi="Times New Roman"/>
          <w:b/>
          <w:bCs/>
          <w:i/>
          <w:iCs/>
          <w:sz w:val="28"/>
          <w:szCs w:val="28"/>
        </w:rPr>
        <w:t>arto cargo</w:t>
      </w:r>
    </w:p>
    <w:p w:rsidR="00406673" w:rsidRPr="00491C4A" w:rsidRDefault="00491C4A" w:rsidP="00406673">
      <w:pPr>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intervinientes</w:t>
      </w:r>
      <w:r w:rsidRPr="00491C4A">
        <w:rPr>
          <w:rStyle w:val="Refdenotaalpie"/>
          <w:rFonts w:ascii="Times New Roman" w:hAnsi="Times New Roman"/>
          <w:sz w:val="28"/>
          <w:szCs w:val="28"/>
        </w:rPr>
        <w:footnoteReference w:id="63"/>
      </w:r>
      <w:r w:rsidRPr="00491C4A">
        <w:rPr>
          <w:rFonts w:ascii="Times New Roman" w:hAnsi="Times New Roman"/>
          <w:sz w:val="28"/>
          <w:szCs w:val="28"/>
        </w:rPr>
        <w:t xml:space="preserve"> que solicitaron declarar la inexequibilidad</w:t>
      </w:r>
      <w:r w:rsidRPr="00491C4A">
        <w:rPr>
          <w:rFonts w:ascii="Times New Roman" w:hAnsi="Times New Roman"/>
          <w:sz w:val="28"/>
          <w:szCs w:val="28"/>
        </w:rPr>
        <w:t xml:space="preserve"> de la norma con base en el cuarto cargo de inconstitucionalidad argumentaron que la disposición vulnera el principio de no regresividad ambiental consagrado en la Constitución. Sostuvieron que la norma impone cargas económicas significativas a los proyect</w:t>
      </w:r>
      <w:r w:rsidRPr="00491C4A">
        <w:rPr>
          <w:rFonts w:ascii="Times New Roman" w:hAnsi="Times New Roman"/>
          <w:sz w:val="28"/>
          <w:szCs w:val="28"/>
        </w:rPr>
        <w:t>os de generación renovable sin una evaluación previa del impacto sobre su viabilidad financiera, lo que desincentiva su desarrollo y constituye una regresión en las condiciones normativas que fomentaban la transición energética. Resaltaron que esta carga a</w:t>
      </w:r>
      <w:r w:rsidRPr="00491C4A">
        <w:rPr>
          <w:rFonts w:ascii="Times New Roman" w:hAnsi="Times New Roman"/>
          <w:sz w:val="28"/>
          <w:szCs w:val="28"/>
        </w:rPr>
        <w:t>fecta especialmente a La Guajira, pese a ser una región prioritaria para dichos proyectos, y que su adopción no fue acompañada de un análisis técnico ni de una justificación suficiente en términos de progresividad ambiental.</w:t>
      </w:r>
    </w:p>
    <w:p w:rsidR="00406673" w:rsidRPr="00491C4A" w:rsidRDefault="00491C4A" w:rsidP="00406673">
      <w:pPr>
        <w:pStyle w:val="Prrafodelista"/>
        <w:ind w:left="0"/>
        <w:jc w:val="both"/>
        <w:rPr>
          <w:rFonts w:ascii="Times New Roman" w:hAnsi="Times New Roman"/>
          <w:sz w:val="28"/>
          <w:szCs w:val="28"/>
        </w:rPr>
      </w:pPr>
    </w:p>
    <w:p w:rsidR="0040667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Afirmaron que la disposición d</w:t>
      </w:r>
      <w:r w:rsidRPr="00491C4A">
        <w:rPr>
          <w:rFonts w:ascii="Times New Roman" w:hAnsi="Times New Roman"/>
          <w:sz w:val="28"/>
          <w:szCs w:val="28"/>
        </w:rPr>
        <w:t>emandada desincentiva las inversiones en energías renovables al elevar de manera desproporcionada las obligaciones financieras para las empresas del sector. Argumentaron que la norma rompe la coherencia con el marco normativo anterior, que había sido diseñ</w:t>
      </w:r>
      <w:r w:rsidRPr="00491C4A">
        <w:rPr>
          <w:rFonts w:ascii="Times New Roman" w:hAnsi="Times New Roman"/>
          <w:sz w:val="28"/>
          <w:szCs w:val="28"/>
        </w:rPr>
        <w:t>ado para incentivar la generación limpia, y que el nuevo esquema representa una alteración negativa sin estudios técnicos ni evidencia de que cumpla con una finalidad ambiental legítima. Coincidieron en que la medida no fue precedida de un análisis riguros</w:t>
      </w:r>
      <w:r w:rsidRPr="00491C4A">
        <w:rPr>
          <w:rFonts w:ascii="Times New Roman" w:hAnsi="Times New Roman"/>
          <w:sz w:val="28"/>
          <w:szCs w:val="28"/>
        </w:rPr>
        <w:t>o sobre su impacto económico y ambiental, ni estuvo acompañada de una motivación suficiente que permita justificar su carácter progresivo. En consecuencia, concluyeron que la norma representa una regresión en los estándares de protección y promoción de ene</w:t>
      </w:r>
      <w:r w:rsidRPr="00491C4A">
        <w:rPr>
          <w:rFonts w:ascii="Times New Roman" w:hAnsi="Times New Roman"/>
          <w:sz w:val="28"/>
          <w:szCs w:val="28"/>
        </w:rPr>
        <w:t>rgías limpias, lo que resulta contrario al bloque de constitucionalidad ambiental y a los deberes estatales de protección progresiva en materia ecológica.</w:t>
      </w:r>
    </w:p>
    <w:p w:rsidR="009A6345" w:rsidRPr="00491C4A" w:rsidRDefault="00491C4A" w:rsidP="00E17260">
      <w:pPr>
        <w:pStyle w:val="Prrafodelista"/>
        <w:ind w:left="0"/>
        <w:jc w:val="both"/>
        <w:rPr>
          <w:rFonts w:ascii="Times New Roman" w:hAnsi="Times New Roman"/>
          <w:sz w:val="28"/>
          <w:szCs w:val="28"/>
        </w:rPr>
      </w:pPr>
    </w:p>
    <w:p w:rsidR="009A6345" w:rsidRPr="00491C4A" w:rsidRDefault="00491C4A">
      <w:pPr>
        <w:pStyle w:val="Ttulo2"/>
        <w:numPr>
          <w:ilvl w:val="0"/>
          <w:numId w:val="5"/>
        </w:numPr>
        <w:spacing w:before="0" w:after="0"/>
        <w:ind w:left="0" w:firstLine="0"/>
        <w:jc w:val="both"/>
        <w:rPr>
          <w:rFonts w:ascii="Times New Roman" w:hAnsi="Times New Roman"/>
          <w:b/>
          <w:bCs/>
          <w:color w:val="auto"/>
          <w:sz w:val="28"/>
          <w:szCs w:val="28"/>
        </w:rPr>
      </w:pPr>
      <w:bookmarkStart w:id="23" w:name="_Toc200753656"/>
      <w:r w:rsidRPr="00491C4A">
        <w:rPr>
          <w:rFonts w:ascii="Times New Roman" w:hAnsi="Times New Roman"/>
          <w:b/>
          <w:bCs/>
          <w:color w:val="auto"/>
          <w:sz w:val="28"/>
          <w:szCs w:val="28"/>
        </w:rPr>
        <w:t xml:space="preserve">Concepto de la </w:t>
      </w:r>
      <w:r w:rsidRPr="00491C4A">
        <w:rPr>
          <w:rFonts w:ascii="Times New Roman" w:hAnsi="Times New Roman"/>
          <w:b/>
          <w:bCs/>
          <w:color w:val="auto"/>
          <w:sz w:val="28"/>
          <w:szCs w:val="28"/>
        </w:rPr>
        <w:t>P</w:t>
      </w:r>
      <w:r w:rsidRPr="00491C4A">
        <w:rPr>
          <w:rFonts w:ascii="Times New Roman" w:hAnsi="Times New Roman"/>
          <w:b/>
          <w:bCs/>
          <w:color w:val="auto"/>
          <w:sz w:val="28"/>
          <w:szCs w:val="28"/>
        </w:rPr>
        <w:t>rocuradora General de la Nación</w:t>
      </w:r>
      <w:r w:rsidRPr="00491C4A">
        <w:rPr>
          <w:rStyle w:val="Refdenotaalpie"/>
          <w:rFonts w:ascii="Times New Roman" w:hAnsi="Times New Roman"/>
          <w:color w:val="auto"/>
          <w:sz w:val="28"/>
          <w:szCs w:val="28"/>
        </w:rPr>
        <w:footnoteReference w:id="64"/>
      </w:r>
      <w:bookmarkEnd w:id="23"/>
    </w:p>
    <w:p w:rsidR="009A6345" w:rsidRPr="00491C4A" w:rsidRDefault="00491C4A" w:rsidP="00E17260">
      <w:pPr>
        <w:jc w:val="both"/>
        <w:rPr>
          <w:rFonts w:ascii="Times New Roman" w:hAnsi="Times New Roman"/>
          <w:sz w:val="28"/>
          <w:szCs w:val="28"/>
        </w:rPr>
      </w:pPr>
    </w:p>
    <w:p w:rsidR="009A634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w:t>
      </w:r>
      <w:r w:rsidRPr="00491C4A">
        <w:rPr>
          <w:rFonts w:ascii="Times New Roman" w:hAnsi="Times New Roman"/>
          <w:sz w:val="28"/>
          <w:szCs w:val="28"/>
        </w:rPr>
        <w:t>18 de abril de 2024</w:t>
      </w:r>
      <w:r w:rsidRPr="00491C4A">
        <w:rPr>
          <w:rFonts w:ascii="Times New Roman" w:hAnsi="Times New Roman"/>
          <w:sz w:val="28"/>
          <w:szCs w:val="28"/>
        </w:rPr>
        <w:t xml:space="preserve">, la señora </w:t>
      </w:r>
      <w:r w:rsidRPr="00491C4A">
        <w:rPr>
          <w:rFonts w:ascii="Times New Roman" w:hAnsi="Times New Roman"/>
          <w:sz w:val="28"/>
          <w:szCs w:val="28"/>
        </w:rPr>
        <w:t>P</w:t>
      </w:r>
      <w:r w:rsidRPr="00491C4A">
        <w:rPr>
          <w:rFonts w:ascii="Times New Roman" w:hAnsi="Times New Roman"/>
          <w:sz w:val="28"/>
          <w:szCs w:val="28"/>
        </w:rPr>
        <w:t xml:space="preserve">rocuradora </w:t>
      </w:r>
      <w:r w:rsidRPr="00491C4A">
        <w:rPr>
          <w:rFonts w:ascii="Times New Roman" w:hAnsi="Times New Roman"/>
          <w:sz w:val="28"/>
          <w:szCs w:val="28"/>
        </w:rPr>
        <w:t>G</w:t>
      </w:r>
      <w:r w:rsidRPr="00491C4A">
        <w:rPr>
          <w:rFonts w:ascii="Times New Roman" w:hAnsi="Times New Roman"/>
          <w:sz w:val="28"/>
          <w:szCs w:val="28"/>
        </w:rPr>
        <w:t>eneral de la Nación</w:t>
      </w:r>
      <w:r w:rsidRPr="00491C4A">
        <w:rPr>
          <w:rFonts w:ascii="Times New Roman" w:hAnsi="Times New Roman"/>
          <w:sz w:val="28"/>
          <w:szCs w:val="28"/>
        </w:rPr>
        <w:t xml:space="preserve"> remitió el concepto de su competencia, en el cual solicitó que la Corte se esté a lo resuelto “</w:t>
      </w:r>
      <w:r w:rsidRPr="00491C4A">
        <w:rPr>
          <w:rFonts w:ascii="Times New Roman" w:hAnsi="Times New Roman"/>
          <w:i/>
          <w:iCs/>
          <w:sz w:val="28"/>
          <w:szCs w:val="28"/>
        </w:rPr>
        <w:t>en la sentencia que se adopte en el proceso D-15380 y, en este sentido, declare la INEXEQUIBILIDAD del artículo 233 de la Ley 2294 de 2023.</w:t>
      </w:r>
      <w:r w:rsidRPr="00491C4A">
        <w:rPr>
          <w:rFonts w:ascii="Times New Roman" w:hAnsi="Times New Roman"/>
          <w:sz w:val="28"/>
          <w:szCs w:val="28"/>
        </w:rPr>
        <w:t>”</w:t>
      </w:r>
      <w:r w:rsidRPr="00491C4A">
        <w:rPr>
          <w:rStyle w:val="Refdenotaalpie"/>
          <w:rFonts w:ascii="Times New Roman" w:hAnsi="Times New Roman"/>
          <w:sz w:val="28"/>
          <w:szCs w:val="28"/>
        </w:rPr>
        <w:footnoteReference w:id="65"/>
      </w:r>
    </w:p>
    <w:p w:rsidR="006853FE" w:rsidRPr="00491C4A" w:rsidRDefault="00491C4A" w:rsidP="006853FE">
      <w:pPr>
        <w:pStyle w:val="Prrafodelista"/>
        <w:ind w:left="0"/>
        <w:jc w:val="both"/>
        <w:rPr>
          <w:rFonts w:ascii="Times New Roman" w:hAnsi="Times New Roman"/>
          <w:sz w:val="28"/>
          <w:szCs w:val="28"/>
        </w:rPr>
      </w:pPr>
    </w:p>
    <w:p w:rsidR="006853F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Recordó que, en el mencionado proceso de constitucionalidad l</w:t>
      </w:r>
      <w:r w:rsidRPr="00491C4A">
        <w:rPr>
          <w:rFonts w:ascii="Times New Roman" w:hAnsi="Times New Roman"/>
          <w:sz w:val="28"/>
          <w:szCs w:val="28"/>
        </w:rPr>
        <w:t xml:space="preserve">a Procuraduría General de la Nación </w:t>
      </w:r>
      <w:r w:rsidRPr="00491C4A">
        <w:rPr>
          <w:rFonts w:ascii="Times New Roman" w:hAnsi="Times New Roman"/>
          <w:sz w:val="28"/>
          <w:szCs w:val="28"/>
        </w:rPr>
        <w:t xml:space="preserve">sostuvo que el artículo 233 de la Ley 2294 de 2023 </w:t>
      </w:r>
      <w:r w:rsidRPr="00491C4A">
        <w:rPr>
          <w:rFonts w:ascii="Times New Roman" w:hAnsi="Times New Roman"/>
          <w:sz w:val="28"/>
          <w:szCs w:val="28"/>
        </w:rPr>
        <w:t xml:space="preserve">sería </w:t>
      </w:r>
      <w:r w:rsidRPr="00491C4A">
        <w:rPr>
          <w:rFonts w:ascii="Times New Roman" w:hAnsi="Times New Roman"/>
          <w:sz w:val="28"/>
          <w:szCs w:val="28"/>
        </w:rPr>
        <w:t>inexequible por violación del principio de unidad de materia, dado que la norma “</w:t>
      </w:r>
      <w:r w:rsidRPr="00491C4A">
        <w:rPr>
          <w:rFonts w:ascii="Times New Roman" w:hAnsi="Times New Roman"/>
          <w:i/>
          <w:iCs/>
          <w:sz w:val="28"/>
          <w:szCs w:val="28"/>
        </w:rPr>
        <w:t>aumenta la carga tr</w:t>
      </w:r>
      <w:r w:rsidRPr="00491C4A">
        <w:rPr>
          <w:rFonts w:ascii="Times New Roman" w:hAnsi="Times New Roman"/>
          <w:i/>
          <w:iCs/>
          <w:sz w:val="28"/>
          <w:szCs w:val="28"/>
        </w:rPr>
        <w:t>ibutaria de las compañías ubicadas en lugares propicios para la generación de energía de bajo impacto ambiental (solar y eólica) y, con ello, desincentiva su operación.</w:t>
      </w:r>
      <w:r w:rsidRPr="00491C4A">
        <w:rPr>
          <w:rFonts w:ascii="Times New Roman" w:hAnsi="Times New Roman"/>
          <w:sz w:val="28"/>
          <w:szCs w:val="28"/>
        </w:rPr>
        <w:t>”</w:t>
      </w:r>
      <w:r w:rsidRPr="00491C4A">
        <w:rPr>
          <w:rStyle w:val="Refdenotaalpie"/>
          <w:rFonts w:ascii="Times New Roman" w:hAnsi="Times New Roman"/>
          <w:sz w:val="28"/>
          <w:szCs w:val="28"/>
        </w:rPr>
        <w:footnoteReference w:id="66"/>
      </w:r>
    </w:p>
    <w:p w:rsidR="006853FE" w:rsidRPr="00491C4A" w:rsidRDefault="00491C4A" w:rsidP="006853FE">
      <w:pPr>
        <w:pStyle w:val="Prrafodelista"/>
        <w:rPr>
          <w:rFonts w:ascii="Times New Roman" w:hAnsi="Times New Roman"/>
          <w:sz w:val="28"/>
          <w:szCs w:val="28"/>
        </w:rPr>
      </w:pPr>
    </w:p>
    <w:p w:rsidR="006853F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Adicionalmente, afirmó que la norma demandada desconoció el</w:t>
      </w:r>
      <w:r w:rsidRPr="00491C4A">
        <w:rPr>
          <w:rFonts w:ascii="Times New Roman" w:hAnsi="Times New Roman"/>
          <w:sz w:val="28"/>
          <w:szCs w:val="28"/>
        </w:rPr>
        <w:t xml:space="preserve"> principio de consecutivi</w:t>
      </w:r>
      <w:r w:rsidRPr="00491C4A">
        <w:rPr>
          <w:rFonts w:ascii="Times New Roman" w:hAnsi="Times New Roman"/>
          <w:sz w:val="28"/>
          <w:szCs w:val="28"/>
        </w:rPr>
        <w:t>dad porque en la Plenaria de la Cámara de Representantes fue aprobada en bloque pese a las solicitudes de que fuera votada de forma individual y en tanto que “</w:t>
      </w:r>
      <w:r w:rsidRPr="00491C4A">
        <w:rPr>
          <w:rFonts w:ascii="Times New Roman" w:hAnsi="Times New Roman"/>
          <w:i/>
          <w:iCs/>
          <w:sz w:val="28"/>
          <w:szCs w:val="28"/>
        </w:rPr>
        <w:t>no se habilitó un espacio de deliberación reflexivo y suficiente del precepto acusado</w:t>
      </w:r>
      <w:r w:rsidRPr="00491C4A">
        <w:rPr>
          <w:rFonts w:ascii="Times New Roman" w:hAnsi="Times New Roman"/>
          <w:sz w:val="28"/>
          <w:szCs w:val="28"/>
        </w:rPr>
        <w:t xml:space="preserve">”. También </w:t>
      </w:r>
      <w:r w:rsidRPr="00491C4A">
        <w:rPr>
          <w:rFonts w:ascii="Times New Roman" w:hAnsi="Times New Roman"/>
          <w:sz w:val="28"/>
          <w:szCs w:val="28"/>
        </w:rPr>
        <w:t>a</w:t>
      </w:r>
      <w:r w:rsidRPr="00491C4A">
        <w:rPr>
          <w:rFonts w:ascii="Times New Roman" w:hAnsi="Times New Roman"/>
          <w:sz w:val="28"/>
          <w:szCs w:val="28"/>
        </w:rPr>
        <w:t>rgumentó que se menoscabaron los principios de legalidad y certeza tributaria, en tanto que “</w:t>
      </w:r>
      <w:r w:rsidRPr="00491C4A">
        <w:rPr>
          <w:rFonts w:ascii="Times New Roman" w:hAnsi="Times New Roman"/>
          <w:i/>
          <w:iCs/>
          <w:sz w:val="28"/>
          <w:szCs w:val="28"/>
        </w:rPr>
        <w:t>la norma demanda</w:t>
      </w:r>
      <w:r w:rsidRPr="00491C4A">
        <w:rPr>
          <w:rFonts w:ascii="Times New Roman" w:hAnsi="Times New Roman"/>
          <w:i/>
          <w:iCs/>
          <w:sz w:val="28"/>
          <w:szCs w:val="28"/>
        </w:rPr>
        <w:t>da</w:t>
      </w:r>
      <w:r w:rsidRPr="00491C4A">
        <w:rPr>
          <w:rFonts w:ascii="Times New Roman" w:hAnsi="Times New Roman"/>
          <w:i/>
          <w:iCs/>
          <w:sz w:val="28"/>
          <w:szCs w:val="28"/>
        </w:rPr>
        <w:t xml:space="preserve"> incorpora expresiones ambiguas en la definición del sujeto activo y los beneficiarios de la contribución parafiscal del sector eléctrico, las cuales si bien pueden llegar a ser precisadas por medio de una lectura sistemática de la legislación fiscal, lo c</w:t>
      </w:r>
      <w:r w:rsidRPr="00491C4A">
        <w:rPr>
          <w:rFonts w:ascii="Times New Roman" w:hAnsi="Times New Roman"/>
          <w:i/>
          <w:iCs/>
          <w:sz w:val="28"/>
          <w:szCs w:val="28"/>
        </w:rPr>
        <w:t>ierto es que incentivan escenarios de conflictividad e incertidumbre para las empresas</w:t>
      </w:r>
      <w:r w:rsidRPr="00491C4A">
        <w:rPr>
          <w:rFonts w:ascii="Times New Roman" w:hAnsi="Times New Roman"/>
          <w:i/>
          <w:iCs/>
          <w:sz w:val="28"/>
          <w:szCs w:val="28"/>
        </w:rPr>
        <w:t>.</w:t>
      </w:r>
      <w:r w:rsidRPr="00491C4A">
        <w:rPr>
          <w:rFonts w:ascii="Times New Roman" w:hAnsi="Times New Roman"/>
          <w:sz w:val="28"/>
          <w:szCs w:val="28"/>
        </w:rPr>
        <w:t>”</w:t>
      </w:r>
      <w:r w:rsidRPr="00491C4A">
        <w:rPr>
          <w:rStyle w:val="Refdenotaalpie"/>
          <w:rFonts w:ascii="Times New Roman" w:hAnsi="Times New Roman"/>
          <w:sz w:val="28"/>
          <w:szCs w:val="28"/>
        </w:rPr>
        <w:footnoteReference w:id="67"/>
      </w:r>
      <w:r w:rsidRPr="00491C4A">
        <w:rPr>
          <w:rFonts w:ascii="Times New Roman" w:hAnsi="Times New Roman"/>
          <w:sz w:val="28"/>
          <w:szCs w:val="28"/>
        </w:rPr>
        <w:t xml:space="preserve"> Agregó que la disposición demandada desconoce el principio de progresividad en materia ambiental, en tanto que por atender a la finalidad legítima de incrementar el g</w:t>
      </w:r>
      <w:r w:rsidRPr="00491C4A">
        <w:rPr>
          <w:rFonts w:ascii="Times New Roman" w:hAnsi="Times New Roman"/>
          <w:sz w:val="28"/>
          <w:szCs w:val="28"/>
        </w:rPr>
        <w:t xml:space="preserve">asto social para el desarrollo de las comunidades étnicas, se termina por desincentivar los programas de transición energética por el aumento de la carga impositiva. </w:t>
      </w:r>
    </w:p>
    <w:p w:rsidR="009A6345" w:rsidRPr="00491C4A" w:rsidRDefault="00491C4A" w:rsidP="00E17260">
      <w:pPr>
        <w:pStyle w:val="Prrafodelista"/>
        <w:ind w:left="0"/>
        <w:jc w:val="both"/>
        <w:rPr>
          <w:rFonts w:ascii="Times New Roman" w:hAnsi="Times New Roman"/>
          <w:sz w:val="28"/>
          <w:szCs w:val="28"/>
        </w:rPr>
      </w:pPr>
    </w:p>
    <w:p w:rsidR="003F53A2" w:rsidRPr="00491C4A" w:rsidRDefault="00491C4A" w:rsidP="00E17260">
      <w:pPr>
        <w:pStyle w:val="Prrafodelista"/>
        <w:ind w:left="0"/>
        <w:jc w:val="both"/>
        <w:rPr>
          <w:rFonts w:ascii="Times New Roman" w:hAnsi="Times New Roman"/>
          <w:sz w:val="28"/>
          <w:szCs w:val="28"/>
        </w:rPr>
      </w:pPr>
    </w:p>
    <w:p w:rsidR="009A6345" w:rsidRPr="00491C4A" w:rsidRDefault="00491C4A" w:rsidP="00E17260">
      <w:pPr>
        <w:pStyle w:val="Ttulo1"/>
        <w:numPr>
          <w:ilvl w:val="0"/>
          <w:numId w:val="2"/>
        </w:numPr>
        <w:spacing w:before="0" w:after="0"/>
        <w:ind w:left="0" w:firstLine="0"/>
        <w:jc w:val="both"/>
        <w:rPr>
          <w:rFonts w:ascii="Times New Roman" w:hAnsi="Times New Roman"/>
          <w:b/>
          <w:bCs/>
          <w:color w:val="auto"/>
          <w:sz w:val="28"/>
          <w:szCs w:val="28"/>
        </w:rPr>
      </w:pPr>
      <w:bookmarkStart w:id="24" w:name="_Toc200753657"/>
      <w:r w:rsidRPr="00491C4A">
        <w:rPr>
          <w:rFonts w:ascii="Times New Roman" w:hAnsi="Times New Roman"/>
          <w:b/>
          <w:bCs/>
          <w:color w:val="auto"/>
          <w:sz w:val="28"/>
          <w:szCs w:val="28"/>
        </w:rPr>
        <w:t>CONSIDERACIONES</w:t>
      </w:r>
      <w:bookmarkEnd w:id="24"/>
    </w:p>
    <w:p w:rsidR="009A6345" w:rsidRPr="00491C4A" w:rsidRDefault="00491C4A" w:rsidP="00E17260">
      <w:pPr>
        <w:jc w:val="both"/>
        <w:rPr>
          <w:rFonts w:ascii="Times New Roman" w:hAnsi="Times New Roman"/>
          <w:sz w:val="28"/>
          <w:szCs w:val="28"/>
        </w:rPr>
      </w:pPr>
    </w:p>
    <w:p w:rsidR="009A6345" w:rsidRPr="00491C4A" w:rsidRDefault="00491C4A">
      <w:pPr>
        <w:pStyle w:val="Ttulo2"/>
        <w:numPr>
          <w:ilvl w:val="0"/>
          <w:numId w:val="7"/>
        </w:numPr>
        <w:spacing w:before="0" w:after="0"/>
        <w:ind w:left="0" w:firstLine="0"/>
        <w:jc w:val="both"/>
        <w:rPr>
          <w:rFonts w:ascii="Times New Roman" w:hAnsi="Times New Roman"/>
          <w:b/>
          <w:bCs/>
          <w:color w:val="auto"/>
          <w:sz w:val="28"/>
          <w:szCs w:val="28"/>
        </w:rPr>
      </w:pPr>
      <w:bookmarkStart w:id="25" w:name="_Toc200753658"/>
      <w:r w:rsidRPr="00491C4A">
        <w:rPr>
          <w:rFonts w:ascii="Times New Roman" w:hAnsi="Times New Roman"/>
          <w:b/>
          <w:bCs/>
          <w:color w:val="auto"/>
          <w:sz w:val="28"/>
          <w:szCs w:val="28"/>
        </w:rPr>
        <w:t>Competencia</w:t>
      </w:r>
      <w:bookmarkEnd w:id="25"/>
    </w:p>
    <w:p w:rsidR="009A6345" w:rsidRPr="00491C4A" w:rsidRDefault="00491C4A" w:rsidP="00E17260">
      <w:pPr>
        <w:jc w:val="both"/>
        <w:rPr>
          <w:rFonts w:ascii="Times New Roman" w:hAnsi="Times New Roman"/>
          <w:sz w:val="28"/>
          <w:szCs w:val="28"/>
        </w:rPr>
      </w:pPr>
    </w:p>
    <w:p w:rsidR="009A634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 </w:t>
      </w:r>
      <w:r w:rsidRPr="00491C4A">
        <w:rPr>
          <w:rFonts w:ascii="Times New Roman" w:hAnsi="Times New Roman"/>
          <w:sz w:val="28"/>
          <w:szCs w:val="28"/>
        </w:rPr>
        <w:t>En virtud de lo previsto en</w:t>
      </w:r>
      <w:r w:rsidRPr="00491C4A">
        <w:rPr>
          <w:rFonts w:ascii="Times New Roman" w:hAnsi="Times New Roman"/>
          <w:sz w:val="28"/>
          <w:szCs w:val="28"/>
        </w:rPr>
        <w:t xml:space="preserve"> el</w:t>
      </w:r>
      <w:r w:rsidRPr="00491C4A">
        <w:rPr>
          <w:rFonts w:ascii="Times New Roman" w:hAnsi="Times New Roman"/>
          <w:sz w:val="28"/>
          <w:szCs w:val="28"/>
        </w:rPr>
        <w:t xml:space="preserve"> artículo 241.4</w:t>
      </w:r>
      <w:r w:rsidRPr="00491C4A">
        <w:rPr>
          <w:rStyle w:val="Refdenotaalpie"/>
          <w:rFonts w:ascii="Times New Roman" w:hAnsi="Times New Roman"/>
          <w:sz w:val="28"/>
          <w:szCs w:val="28"/>
        </w:rPr>
        <w:footnoteReference w:id="68"/>
      </w:r>
      <w:r w:rsidRPr="00491C4A">
        <w:rPr>
          <w:rFonts w:ascii="Times New Roman" w:hAnsi="Times New Roman"/>
          <w:sz w:val="28"/>
          <w:szCs w:val="28"/>
        </w:rPr>
        <w:t xml:space="preserve"> de la Constitución Política, la Corte Constitucional es competente para conocer y pronunciarse de forma definitiva sobre la constitucionalidad de la norma demandada, ya que se trata de una disposición contenida en una ley de la República.</w:t>
      </w:r>
      <w:r w:rsidRPr="00491C4A">
        <w:rPr>
          <w:rFonts w:ascii="Times New Roman" w:hAnsi="Times New Roman"/>
          <w:sz w:val="28"/>
          <w:szCs w:val="28"/>
        </w:rPr>
        <w:t xml:space="preserve"> </w:t>
      </w:r>
    </w:p>
    <w:p w:rsidR="009A6345" w:rsidRPr="00491C4A" w:rsidRDefault="00491C4A" w:rsidP="00E17260">
      <w:pPr>
        <w:jc w:val="both"/>
        <w:rPr>
          <w:rFonts w:ascii="Times New Roman" w:hAnsi="Times New Roman"/>
          <w:sz w:val="28"/>
          <w:szCs w:val="28"/>
        </w:rPr>
      </w:pPr>
    </w:p>
    <w:p w:rsidR="003F53A2" w:rsidRPr="00491C4A" w:rsidRDefault="00491C4A" w:rsidP="00E17260">
      <w:pPr>
        <w:jc w:val="both"/>
        <w:rPr>
          <w:rFonts w:ascii="Times New Roman" w:hAnsi="Times New Roman"/>
          <w:sz w:val="28"/>
          <w:szCs w:val="28"/>
        </w:rPr>
      </w:pPr>
    </w:p>
    <w:p w:rsidR="00172D84" w:rsidRPr="00491C4A" w:rsidRDefault="00491C4A">
      <w:pPr>
        <w:pStyle w:val="Ttulo2"/>
        <w:numPr>
          <w:ilvl w:val="0"/>
          <w:numId w:val="7"/>
        </w:numPr>
        <w:spacing w:before="0" w:after="0"/>
        <w:ind w:left="0" w:firstLine="0"/>
        <w:jc w:val="both"/>
        <w:rPr>
          <w:rFonts w:ascii="Times New Roman" w:hAnsi="Times New Roman"/>
          <w:b/>
          <w:bCs/>
          <w:color w:val="auto"/>
          <w:sz w:val="28"/>
          <w:szCs w:val="28"/>
        </w:rPr>
      </w:pPr>
      <w:bookmarkStart w:id="26" w:name="_Toc200753659"/>
      <w:r w:rsidRPr="00491C4A">
        <w:rPr>
          <w:rFonts w:ascii="Times New Roman" w:hAnsi="Times New Roman"/>
          <w:b/>
          <w:bCs/>
          <w:color w:val="auto"/>
          <w:sz w:val="28"/>
          <w:szCs w:val="28"/>
        </w:rPr>
        <w:t xml:space="preserve">Cuestiones </w:t>
      </w:r>
      <w:r w:rsidRPr="00491C4A">
        <w:rPr>
          <w:rFonts w:ascii="Times New Roman" w:hAnsi="Times New Roman"/>
          <w:b/>
          <w:bCs/>
          <w:color w:val="auto"/>
          <w:sz w:val="28"/>
          <w:szCs w:val="28"/>
        </w:rPr>
        <w:t>previas</w:t>
      </w:r>
      <w:bookmarkEnd w:id="26"/>
    </w:p>
    <w:p w:rsidR="00172D84" w:rsidRPr="00491C4A" w:rsidRDefault="00491C4A" w:rsidP="00172D84">
      <w:pPr>
        <w:rPr>
          <w:rFonts w:ascii="Times New Roman" w:hAnsi="Times New Roman"/>
          <w:sz w:val="28"/>
          <w:szCs w:val="28"/>
        </w:rPr>
      </w:pPr>
    </w:p>
    <w:p w:rsidR="000736D5" w:rsidRPr="00491C4A" w:rsidRDefault="00491C4A" w:rsidP="000736D5">
      <w:pPr>
        <w:pStyle w:val="Ttulo3"/>
        <w:spacing w:before="0" w:after="0"/>
        <w:jc w:val="both"/>
        <w:rPr>
          <w:rFonts w:ascii="Times New Roman" w:hAnsi="Times New Roman"/>
          <w:b/>
          <w:bCs/>
          <w:i/>
          <w:iCs/>
          <w:color w:val="auto"/>
        </w:rPr>
      </w:pPr>
      <w:bookmarkStart w:id="27" w:name="_Toc200753660"/>
      <w:r w:rsidRPr="00491C4A">
        <w:rPr>
          <w:rFonts w:ascii="Times New Roman" w:hAnsi="Times New Roman"/>
          <w:b/>
          <w:bCs/>
          <w:i/>
          <w:iCs/>
          <w:color w:val="auto"/>
        </w:rPr>
        <w:t>Sobre la c</w:t>
      </w:r>
      <w:r w:rsidRPr="00491C4A">
        <w:rPr>
          <w:rFonts w:ascii="Times New Roman" w:hAnsi="Times New Roman"/>
          <w:b/>
          <w:bCs/>
          <w:i/>
          <w:iCs/>
          <w:color w:val="auto"/>
        </w:rPr>
        <w:t>aducidad de los cargos por vicios formales: la acción de inconstitucionalidad por vicios de trámite fue presentada dentro del término de caducidad</w:t>
      </w:r>
      <w:bookmarkEnd w:id="27"/>
    </w:p>
    <w:p w:rsidR="000736D5" w:rsidRPr="00491C4A" w:rsidRDefault="00491C4A" w:rsidP="000736D5">
      <w:pPr>
        <w:rPr>
          <w:rFonts w:ascii="Times New Roman" w:hAnsi="Times New Roman"/>
          <w:sz w:val="28"/>
          <w:szCs w:val="28"/>
        </w:rPr>
      </w:pPr>
    </w:p>
    <w:p w:rsidR="000736D5"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shd w:val="clear" w:color="auto" w:fill="FFFFFF"/>
        </w:rPr>
        <w:t xml:space="preserve">De acuerdo con lo dispuesto </w:t>
      </w:r>
      <w:r w:rsidRPr="00491C4A">
        <w:rPr>
          <w:rFonts w:ascii="Times New Roman" w:hAnsi="Times New Roman"/>
          <w:sz w:val="28"/>
          <w:szCs w:val="28"/>
          <w:shd w:val="clear" w:color="auto" w:fill="FFFFFF"/>
        </w:rPr>
        <w:t>en</w:t>
      </w:r>
      <w:r w:rsidRPr="00491C4A">
        <w:rPr>
          <w:rFonts w:ascii="Times New Roman" w:hAnsi="Times New Roman"/>
          <w:sz w:val="28"/>
          <w:szCs w:val="28"/>
          <w:shd w:val="clear" w:color="auto" w:fill="FFFFFF"/>
        </w:rPr>
        <w:t xml:space="preserve"> el numeral 3 del artículo 242</w:t>
      </w:r>
      <w:r w:rsidRPr="00491C4A">
        <w:rPr>
          <w:rStyle w:val="Refdenotaalpie"/>
          <w:rFonts w:ascii="Times New Roman" w:hAnsi="Times New Roman"/>
          <w:sz w:val="28"/>
          <w:szCs w:val="28"/>
        </w:rPr>
        <w:footnoteReference w:id="69"/>
      </w:r>
      <w:r w:rsidRPr="00491C4A">
        <w:rPr>
          <w:rFonts w:ascii="Times New Roman" w:hAnsi="Times New Roman"/>
          <w:sz w:val="28"/>
          <w:szCs w:val="28"/>
          <w:shd w:val="clear" w:color="auto" w:fill="FFFFFF"/>
        </w:rPr>
        <w:t xml:space="preserve"> de la Constitución Política</w:t>
      </w:r>
      <w:r w:rsidRPr="00491C4A">
        <w:rPr>
          <w:rStyle w:val="Refdenotaalpie"/>
          <w:rFonts w:ascii="Times New Roman" w:hAnsi="Times New Roman"/>
          <w:sz w:val="28"/>
          <w:szCs w:val="28"/>
        </w:rPr>
        <w:footnoteReference w:id="70"/>
      </w:r>
      <w:r w:rsidRPr="00491C4A">
        <w:rPr>
          <w:rFonts w:ascii="Times New Roman" w:hAnsi="Times New Roman"/>
          <w:sz w:val="28"/>
          <w:szCs w:val="28"/>
          <w:shd w:val="clear" w:color="auto" w:fill="FFFFFF"/>
        </w:rPr>
        <w:t xml:space="preserve">, las acciones de inconstitucionalidad por vicios de forma caducan </w:t>
      </w:r>
      <w:r w:rsidRPr="00491C4A">
        <w:rPr>
          <w:rFonts w:ascii="Times New Roman" w:hAnsi="Times New Roman"/>
          <w:sz w:val="28"/>
          <w:szCs w:val="28"/>
          <w:shd w:val="clear" w:color="auto" w:fill="FFFFFF"/>
        </w:rPr>
        <w:t xml:space="preserve">al </w:t>
      </w:r>
      <w:r w:rsidRPr="00491C4A">
        <w:rPr>
          <w:rFonts w:ascii="Times New Roman" w:hAnsi="Times New Roman"/>
          <w:sz w:val="28"/>
          <w:szCs w:val="28"/>
          <w:shd w:val="clear" w:color="auto" w:fill="FFFFFF"/>
        </w:rPr>
        <w:t>término de un año, contado desde la publicación del respectivo acto.</w:t>
      </w:r>
      <w:r w:rsidRPr="00491C4A">
        <w:rPr>
          <w:rStyle w:val="Refdenotaalpie"/>
          <w:rFonts w:ascii="Times New Roman" w:hAnsi="Times New Roman"/>
          <w:sz w:val="28"/>
          <w:szCs w:val="28"/>
          <w:shd w:val="clear" w:color="auto" w:fill="FFFFFF"/>
        </w:rPr>
        <w:footnoteReference w:id="71"/>
      </w:r>
    </w:p>
    <w:p w:rsidR="000736D5" w:rsidRPr="00491C4A" w:rsidRDefault="00491C4A" w:rsidP="000736D5">
      <w:pPr>
        <w:pStyle w:val="Prrafodelista"/>
        <w:ind w:left="0"/>
        <w:jc w:val="both"/>
        <w:rPr>
          <w:rFonts w:ascii="Times New Roman" w:hAnsi="Times New Roman"/>
          <w:i/>
          <w:iCs/>
          <w:sz w:val="28"/>
          <w:szCs w:val="28"/>
        </w:rPr>
      </w:pPr>
      <w:r w:rsidRPr="00491C4A">
        <w:rPr>
          <w:rFonts w:ascii="Times New Roman" w:hAnsi="Times New Roman"/>
          <w:sz w:val="28"/>
          <w:szCs w:val="28"/>
          <w:shd w:val="clear" w:color="auto" w:fill="FFFFFF"/>
        </w:rPr>
        <w:t xml:space="preserve"> </w:t>
      </w:r>
    </w:p>
    <w:p w:rsidR="000736D5"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shd w:val="clear" w:color="auto" w:fill="FFFFFF"/>
        </w:rPr>
        <w:t xml:space="preserve">La Ley 2294 de 2023 fue promulgada y publicada en el Diario Oficial No. 52.400 del 19 de mayo de 2023 y la </w:t>
      </w:r>
      <w:r w:rsidRPr="00491C4A">
        <w:rPr>
          <w:rFonts w:ascii="Times New Roman" w:hAnsi="Times New Roman"/>
          <w:sz w:val="28"/>
          <w:szCs w:val="28"/>
          <w:shd w:val="clear" w:color="auto" w:fill="FFFFFF"/>
        </w:rPr>
        <w:t>demanda de inconstitucionalidad fue presentada el 18 de septiembre de ese año, es decir, cuando todavía no había vencido el término mencionado por no haber transcurrido un año desde su publicación, motivo por el cual se cumple con la regla prevista en el a</w:t>
      </w:r>
      <w:r w:rsidRPr="00491C4A">
        <w:rPr>
          <w:rFonts w:ascii="Times New Roman" w:hAnsi="Times New Roman"/>
          <w:sz w:val="28"/>
          <w:szCs w:val="28"/>
          <w:shd w:val="clear" w:color="auto" w:fill="FFFFFF"/>
        </w:rPr>
        <w:t>rtículo 242 de la Constitución Política.</w:t>
      </w:r>
    </w:p>
    <w:p w:rsidR="00F11D05" w:rsidRPr="00491C4A" w:rsidRDefault="00491C4A" w:rsidP="00F11D05">
      <w:pPr>
        <w:pStyle w:val="Prrafodelista"/>
        <w:ind w:left="0"/>
        <w:jc w:val="both"/>
        <w:rPr>
          <w:rFonts w:ascii="Times New Roman" w:hAnsi="Times New Roman"/>
          <w:i/>
          <w:iCs/>
          <w:sz w:val="28"/>
          <w:szCs w:val="28"/>
        </w:rPr>
      </w:pPr>
    </w:p>
    <w:p w:rsidR="003F53A2" w:rsidRPr="00491C4A" w:rsidRDefault="00491C4A" w:rsidP="00F11D05">
      <w:pPr>
        <w:pStyle w:val="Prrafodelista"/>
        <w:ind w:left="0"/>
        <w:jc w:val="both"/>
        <w:rPr>
          <w:rFonts w:ascii="Times New Roman" w:hAnsi="Times New Roman"/>
          <w:i/>
          <w:iCs/>
          <w:sz w:val="28"/>
          <w:szCs w:val="28"/>
        </w:rPr>
      </w:pPr>
    </w:p>
    <w:p w:rsidR="00F11D05" w:rsidRPr="00491C4A" w:rsidRDefault="00491C4A" w:rsidP="00F11D05">
      <w:pPr>
        <w:pStyle w:val="Ttulo3"/>
        <w:spacing w:before="0" w:after="0"/>
        <w:jc w:val="both"/>
        <w:rPr>
          <w:rFonts w:ascii="Times New Roman" w:hAnsi="Times New Roman"/>
          <w:b/>
          <w:bCs/>
          <w:i/>
          <w:iCs/>
          <w:color w:val="auto"/>
        </w:rPr>
      </w:pPr>
      <w:bookmarkStart w:id="28" w:name="_Toc200753661"/>
      <w:r w:rsidRPr="00491C4A">
        <w:rPr>
          <w:rFonts w:ascii="Times New Roman" w:hAnsi="Times New Roman"/>
          <w:b/>
          <w:bCs/>
          <w:i/>
          <w:iCs/>
          <w:color w:val="auto"/>
        </w:rPr>
        <w:t xml:space="preserve">Verificación de la ocurrencia del fenómeno de la cosa juzgada en relación con la </w:t>
      </w:r>
      <w:r w:rsidRPr="00491C4A">
        <w:rPr>
          <w:rFonts w:ascii="Times New Roman" w:hAnsi="Times New Roman"/>
          <w:b/>
          <w:bCs/>
          <w:i/>
          <w:iCs/>
          <w:color w:val="auto"/>
        </w:rPr>
        <w:t>S</w:t>
      </w:r>
      <w:r w:rsidRPr="00491C4A">
        <w:rPr>
          <w:rFonts w:ascii="Times New Roman" w:hAnsi="Times New Roman"/>
          <w:b/>
          <w:bCs/>
          <w:i/>
          <w:iCs/>
          <w:color w:val="auto"/>
        </w:rPr>
        <w:t>entencia C-143 de 2025</w:t>
      </w:r>
      <w:bookmarkEnd w:id="28"/>
    </w:p>
    <w:p w:rsidR="00F11D05" w:rsidRPr="00491C4A" w:rsidRDefault="00491C4A" w:rsidP="00F11D05">
      <w:pPr>
        <w:rPr>
          <w:rFonts w:ascii="Times New Roman" w:hAnsi="Times New Roman"/>
          <w:i/>
          <w:iCs/>
          <w:sz w:val="28"/>
          <w:szCs w:val="28"/>
        </w:rPr>
      </w:pPr>
    </w:p>
    <w:p w:rsidR="00260DAD"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La Señora Procuradora General de la Nación solicitó que la Corte Constitucional se esté a lo resuelto en la sentencia que se profiera dentro del expediente D-15380, debido a que en dicho proceso se planteó un cuestionamiento idéntico al del caso que ahora </w:t>
      </w:r>
      <w:r w:rsidRPr="00491C4A">
        <w:rPr>
          <w:rFonts w:ascii="Times New Roman" w:hAnsi="Times New Roman"/>
          <w:sz w:val="28"/>
          <w:szCs w:val="28"/>
          <w:shd w:val="clear" w:color="auto" w:fill="FFFFFF"/>
        </w:rPr>
        <w:t xml:space="preserve">ocupa a la Corte. </w:t>
      </w:r>
    </w:p>
    <w:p w:rsidR="00260DAD" w:rsidRPr="00491C4A" w:rsidRDefault="00491C4A" w:rsidP="00260DAD">
      <w:pPr>
        <w:pStyle w:val="Prrafodelista"/>
        <w:ind w:left="0"/>
        <w:jc w:val="both"/>
        <w:rPr>
          <w:rFonts w:ascii="Times New Roman" w:hAnsi="Times New Roman"/>
          <w:sz w:val="28"/>
          <w:szCs w:val="28"/>
          <w:shd w:val="clear" w:color="auto" w:fill="FFFFFF"/>
        </w:rPr>
      </w:pPr>
    </w:p>
    <w:p w:rsidR="00260DAD"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rPr>
        <w:t>L</w:t>
      </w:r>
      <w:r w:rsidRPr="00491C4A">
        <w:rPr>
          <w:rFonts w:ascii="Times New Roman" w:hAnsi="Times New Roman"/>
          <w:sz w:val="28"/>
          <w:szCs w:val="28"/>
        </w:rPr>
        <w:t xml:space="preserve">a Corte observa que en la Sentencia C-143 de 2025, mediante la cual se resolvió la demanda con el radicado D-15380, se </w:t>
      </w:r>
      <w:r w:rsidRPr="00491C4A">
        <w:rPr>
          <w:rFonts w:ascii="Times New Roman" w:hAnsi="Times New Roman"/>
          <w:sz w:val="28"/>
          <w:szCs w:val="28"/>
          <w:shd w:val="clear" w:color="auto" w:fill="FFFFFF"/>
        </w:rPr>
        <w:t xml:space="preserve">resolvió </w:t>
      </w:r>
      <w:r w:rsidRPr="00491C4A">
        <w:rPr>
          <w:rFonts w:ascii="Times New Roman" w:hAnsi="Times New Roman"/>
          <w:i/>
          <w:iCs/>
          <w:sz w:val="28"/>
          <w:szCs w:val="28"/>
          <w:shd w:val="clear" w:color="auto" w:fill="FFFFFF"/>
        </w:rPr>
        <w:t>“DECLARAR EXEQUIBLE el artículo 233 de la Ley 2294 de 2023, por no vulnerar el principio de unidad de mater</w:t>
      </w:r>
      <w:r w:rsidRPr="00491C4A">
        <w:rPr>
          <w:rFonts w:ascii="Times New Roman" w:hAnsi="Times New Roman"/>
          <w:i/>
          <w:iCs/>
          <w:sz w:val="28"/>
          <w:szCs w:val="28"/>
          <w:shd w:val="clear" w:color="auto" w:fill="FFFFFF"/>
        </w:rPr>
        <w:t>ia, conforme a las consideraciones expuestas en esta providencia.”</w:t>
      </w:r>
    </w:p>
    <w:p w:rsidR="00260DAD" w:rsidRPr="00491C4A" w:rsidRDefault="00491C4A" w:rsidP="00260DAD">
      <w:pPr>
        <w:pStyle w:val="Prrafodelista"/>
        <w:rPr>
          <w:rFonts w:ascii="Times New Roman" w:hAnsi="Times New Roman"/>
          <w:sz w:val="28"/>
          <w:szCs w:val="28"/>
        </w:rPr>
      </w:pPr>
    </w:p>
    <w:p w:rsidR="00260DAD"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rPr>
        <w:t xml:space="preserve">De acuerdo con el artículo 243 de la Constitución Política, y los artículos 48 de la Ley 270 de 1996 y 22 del Decreto 2067 de 1991, las decisiones que profiera la Corte Constitucional en </w:t>
      </w:r>
      <w:r w:rsidRPr="00491C4A">
        <w:rPr>
          <w:rFonts w:ascii="Times New Roman" w:hAnsi="Times New Roman"/>
          <w:sz w:val="28"/>
          <w:szCs w:val="28"/>
        </w:rPr>
        <w:t>ejercicio del control abstracto de constitucionalidad “</w:t>
      </w:r>
      <w:r w:rsidRPr="00491C4A">
        <w:rPr>
          <w:rFonts w:ascii="Times New Roman" w:hAnsi="Times New Roman"/>
          <w:i/>
          <w:iCs/>
          <w:sz w:val="28"/>
          <w:szCs w:val="28"/>
        </w:rPr>
        <w:t>hacen tránsito a cosa juzgada constitucional</w:t>
      </w:r>
      <w:r w:rsidRPr="00491C4A">
        <w:rPr>
          <w:rFonts w:ascii="Times New Roman" w:hAnsi="Times New Roman"/>
          <w:sz w:val="28"/>
          <w:szCs w:val="28"/>
        </w:rPr>
        <w:t>”. Por este motivo, la Corte, en general, no “</w:t>
      </w:r>
      <w:r w:rsidRPr="00491C4A">
        <w:rPr>
          <w:rFonts w:ascii="Times New Roman" w:hAnsi="Times New Roman"/>
          <w:i/>
          <w:iCs/>
          <w:sz w:val="28"/>
          <w:szCs w:val="28"/>
        </w:rPr>
        <w:t>puede volver a pronunciarse sobre un asunto ya discutido y decidido</w:t>
      </w:r>
      <w:r w:rsidRPr="00491C4A">
        <w:rPr>
          <w:rFonts w:ascii="Times New Roman" w:hAnsi="Times New Roman"/>
          <w:sz w:val="28"/>
          <w:szCs w:val="28"/>
        </w:rPr>
        <w:t>”.</w:t>
      </w:r>
      <w:r w:rsidRPr="00491C4A">
        <w:rPr>
          <w:rStyle w:val="Refdenotaalpie"/>
          <w:rFonts w:ascii="Times New Roman" w:hAnsi="Times New Roman"/>
          <w:sz w:val="28"/>
          <w:szCs w:val="28"/>
        </w:rPr>
        <w:footnoteReference w:id="72"/>
      </w:r>
      <w:r w:rsidRPr="00491C4A">
        <w:rPr>
          <w:rFonts w:ascii="Times New Roman" w:hAnsi="Times New Roman"/>
          <w:sz w:val="28"/>
          <w:szCs w:val="28"/>
        </w:rPr>
        <w:t xml:space="preserve"> Estas decisiones son inmutables, vincula</w:t>
      </w:r>
      <w:r w:rsidRPr="00491C4A">
        <w:rPr>
          <w:rFonts w:ascii="Times New Roman" w:hAnsi="Times New Roman"/>
          <w:sz w:val="28"/>
          <w:szCs w:val="28"/>
        </w:rPr>
        <w:t>ntes y definitivas,</w:t>
      </w:r>
      <w:r w:rsidRPr="00491C4A">
        <w:rPr>
          <w:rStyle w:val="Refdenotaalpie"/>
          <w:rFonts w:ascii="Times New Roman" w:hAnsi="Times New Roman"/>
          <w:sz w:val="28"/>
          <w:szCs w:val="28"/>
        </w:rPr>
        <w:footnoteReference w:id="73"/>
      </w:r>
      <w:r w:rsidRPr="00491C4A">
        <w:rPr>
          <w:rFonts w:ascii="Times New Roman" w:hAnsi="Times New Roman"/>
          <w:sz w:val="28"/>
          <w:szCs w:val="28"/>
        </w:rPr>
        <w:t xml:space="preserve"> y buscan proteger “</w:t>
      </w:r>
      <w:r w:rsidRPr="00491C4A">
        <w:rPr>
          <w:rFonts w:ascii="Times New Roman" w:hAnsi="Times New Roman"/>
          <w:i/>
          <w:iCs/>
          <w:sz w:val="28"/>
          <w:szCs w:val="28"/>
        </w:rPr>
        <w:t>la institución jurídico procesal de la cosa juzgada constitucional</w:t>
      </w:r>
      <w:r w:rsidRPr="00491C4A">
        <w:rPr>
          <w:rFonts w:ascii="Times New Roman" w:hAnsi="Times New Roman"/>
          <w:sz w:val="28"/>
          <w:szCs w:val="28"/>
        </w:rPr>
        <w:t>”.</w:t>
      </w:r>
      <w:r w:rsidRPr="00491C4A">
        <w:rPr>
          <w:rStyle w:val="Refdenotaalpie"/>
          <w:rFonts w:ascii="Times New Roman" w:hAnsi="Times New Roman"/>
          <w:sz w:val="28"/>
          <w:szCs w:val="28"/>
        </w:rPr>
        <w:footnoteReference w:id="74"/>
      </w:r>
    </w:p>
    <w:p w:rsidR="00260DAD" w:rsidRPr="00491C4A" w:rsidRDefault="00491C4A" w:rsidP="00260DAD">
      <w:pPr>
        <w:pStyle w:val="Prrafodelista"/>
        <w:rPr>
          <w:rFonts w:ascii="Times New Roman" w:hAnsi="Times New Roman"/>
          <w:sz w:val="28"/>
          <w:szCs w:val="28"/>
          <w:shd w:val="clear" w:color="auto" w:fill="FFFFFF"/>
        </w:rPr>
      </w:pPr>
    </w:p>
    <w:p w:rsidR="003C20DD" w:rsidRPr="00491C4A" w:rsidRDefault="00491C4A" w:rsidP="00EE3728">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La Corte Constitucional ha señalado que la cosa juzgada constitucional tiene categorías claramente distinguibles entre sí</w:t>
      </w:r>
      <w:r w:rsidRPr="00491C4A">
        <w:rPr>
          <w:rFonts w:ascii="Times New Roman" w:hAnsi="Times New Roman"/>
          <w:sz w:val="28"/>
          <w:szCs w:val="28"/>
          <w:shd w:val="clear" w:color="auto" w:fill="FFFFFF"/>
        </w:rPr>
        <w:t xml:space="preserve">, y su impacto </w:t>
      </w:r>
      <w:r w:rsidRPr="00491C4A">
        <w:rPr>
          <w:rFonts w:ascii="Times New Roman" w:hAnsi="Times New Roman"/>
          <w:sz w:val="28"/>
          <w:szCs w:val="28"/>
        </w:rPr>
        <w:t>varía seg</w:t>
      </w:r>
      <w:r w:rsidRPr="00491C4A">
        <w:rPr>
          <w:rFonts w:ascii="Times New Roman" w:hAnsi="Times New Roman"/>
          <w:sz w:val="28"/>
          <w:szCs w:val="28"/>
        </w:rPr>
        <w:t>ún la decisión previamente tomada</w:t>
      </w:r>
      <w:r w:rsidRPr="00491C4A">
        <w:rPr>
          <w:rFonts w:ascii="Times New Roman" w:hAnsi="Times New Roman"/>
          <w:sz w:val="28"/>
          <w:szCs w:val="28"/>
        </w:rPr>
        <w:t>, así</w:t>
      </w:r>
      <w:r w:rsidRPr="00491C4A">
        <w:rPr>
          <w:rStyle w:val="Refdenotaalpie"/>
          <w:rFonts w:ascii="Times New Roman" w:hAnsi="Times New Roman"/>
          <w:sz w:val="28"/>
          <w:szCs w:val="28"/>
        </w:rPr>
        <w:footnoteReference w:id="75"/>
      </w:r>
      <w:r w:rsidRPr="00491C4A">
        <w:rPr>
          <w:rFonts w:ascii="Times New Roman" w:hAnsi="Times New Roman"/>
          <w:sz w:val="28"/>
          <w:szCs w:val="28"/>
        </w:rPr>
        <w:t xml:space="preserve">: </w:t>
      </w:r>
    </w:p>
    <w:p w:rsidR="003C20DD" w:rsidRPr="00491C4A" w:rsidRDefault="00491C4A" w:rsidP="003C20DD">
      <w:pPr>
        <w:pStyle w:val="Ttulo3"/>
        <w:spacing w:before="0"/>
        <w:jc w:val="center"/>
        <w:rPr>
          <w:rFonts w:ascii="Times New Roman" w:hAnsi="Times New Roman"/>
          <w:b/>
          <w:bCs/>
          <w:i/>
          <w:iCs/>
          <w:color w:val="auto"/>
        </w:rPr>
      </w:pPr>
      <w:bookmarkStart w:id="29" w:name="_Toc200753663"/>
      <w:r w:rsidRPr="00491C4A">
        <w:rPr>
          <w:rFonts w:ascii="Times New Roman" w:hAnsi="Times New Roman"/>
          <w:b/>
          <w:bCs/>
          <w:i/>
          <w:iCs/>
          <w:color w:val="auto"/>
        </w:rPr>
        <w:t xml:space="preserve">Tabla </w:t>
      </w:r>
      <w:r w:rsidRPr="00491C4A">
        <w:rPr>
          <w:rFonts w:ascii="Times New Roman" w:hAnsi="Times New Roman"/>
          <w:b/>
          <w:bCs/>
          <w:i/>
          <w:iCs/>
          <w:color w:val="auto"/>
        </w:rPr>
        <w:t>6</w:t>
      </w:r>
      <w:r w:rsidRPr="00491C4A">
        <w:rPr>
          <w:rFonts w:ascii="Times New Roman" w:hAnsi="Times New Roman"/>
          <w:b/>
          <w:bCs/>
          <w:i/>
          <w:iCs/>
          <w:color w:val="auto"/>
        </w:rPr>
        <w:t xml:space="preserve"> – Decisión a adoptar cuando se constata la cosa juzgada</w:t>
      </w:r>
      <w:bookmarkEnd w:id="29"/>
    </w:p>
    <w:tbl>
      <w:tblPr>
        <w:tblW w:w="9640"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8"/>
        <w:gridCol w:w="2351"/>
        <w:gridCol w:w="1816"/>
        <w:gridCol w:w="4415"/>
      </w:tblGrid>
      <w:tr w:rsidR="00406673" w:rsidRPr="00491C4A" w:rsidTr="00822C4F">
        <w:trPr>
          <w:trHeight w:val="377"/>
          <w:tblHeader/>
        </w:trPr>
        <w:tc>
          <w:tcPr>
            <w:tcW w:w="1058" w:type="dxa"/>
          </w:tcPr>
          <w:p w:rsidR="00646234" w:rsidRPr="00491C4A" w:rsidRDefault="00491C4A" w:rsidP="00EE3728">
            <w:pPr>
              <w:rPr>
                <w:rFonts w:ascii="Times New Roman" w:hAnsi="Times New Roman"/>
                <w:b/>
                <w:bCs/>
                <w:sz w:val="28"/>
              </w:rPr>
            </w:pPr>
          </w:p>
        </w:tc>
        <w:tc>
          <w:tcPr>
            <w:tcW w:w="2351" w:type="dxa"/>
            <w:tcMar>
              <w:top w:w="150" w:type="dxa"/>
              <w:left w:w="0" w:type="dxa"/>
              <w:bottom w:w="150" w:type="dxa"/>
              <w:right w:w="150" w:type="dxa"/>
            </w:tcMar>
            <w:vAlign w:val="center"/>
            <w:hideMark/>
          </w:tcPr>
          <w:p w:rsidR="00646234" w:rsidRPr="00491C4A" w:rsidRDefault="00491C4A" w:rsidP="00822C4F">
            <w:pPr>
              <w:ind w:left="214"/>
              <w:jc w:val="center"/>
              <w:rPr>
                <w:rFonts w:ascii="Times New Roman" w:hAnsi="Times New Roman"/>
                <w:b/>
                <w:bCs/>
                <w:sz w:val="28"/>
              </w:rPr>
            </w:pPr>
            <w:r w:rsidRPr="00491C4A">
              <w:rPr>
                <w:rFonts w:ascii="Times New Roman" w:hAnsi="Times New Roman"/>
                <w:b/>
                <w:bCs/>
                <w:sz w:val="28"/>
              </w:rPr>
              <w:t>Situación</w:t>
            </w:r>
          </w:p>
        </w:tc>
        <w:tc>
          <w:tcPr>
            <w:tcW w:w="1816" w:type="dxa"/>
            <w:tcMar>
              <w:top w:w="150" w:type="dxa"/>
              <w:left w:w="150" w:type="dxa"/>
              <w:bottom w:w="150" w:type="dxa"/>
              <w:right w:w="150" w:type="dxa"/>
            </w:tcMar>
            <w:vAlign w:val="center"/>
            <w:hideMark/>
          </w:tcPr>
          <w:p w:rsidR="00646234" w:rsidRPr="00491C4A" w:rsidRDefault="00491C4A" w:rsidP="00EE3728">
            <w:pPr>
              <w:jc w:val="center"/>
              <w:rPr>
                <w:rFonts w:ascii="Times New Roman" w:hAnsi="Times New Roman"/>
                <w:b/>
                <w:bCs/>
                <w:sz w:val="28"/>
              </w:rPr>
            </w:pPr>
            <w:r w:rsidRPr="00491C4A">
              <w:rPr>
                <w:rFonts w:ascii="Times New Roman" w:hAnsi="Times New Roman"/>
                <w:b/>
                <w:bCs/>
                <w:sz w:val="28"/>
              </w:rPr>
              <w:t>Tipo de Cosa Juzgada</w:t>
            </w:r>
          </w:p>
        </w:tc>
        <w:tc>
          <w:tcPr>
            <w:tcW w:w="4415" w:type="dxa"/>
            <w:tcMar>
              <w:top w:w="150" w:type="dxa"/>
              <w:left w:w="150" w:type="dxa"/>
              <w:bottom w:w="150" w:type="dxa"/>
              <w:right w:w="150" w:type="dxa"/>
            </w:tcMar>
            <w:vAlign w:val="center"/>
            <w:hideMark/>
          </w:tcPr>
          <w:p w:rsidR="00646234" w:rsidRPr="00491C4A" w:rsidRDefault="00491C4A" w:rsidP="00EE3728">
            <w:pPr>
              <w:jc w:val="center"/>
              <w:rPr>
                <w:rFonts w:ascii="Times New Roman" w:hAnsi="Times New Roman"/>
                <w:b/>
                <w:bCs/>
                <w:sz w:val="28"/>
              </w:rPr>
            </w:pPr>
            <w:r w:rsidRPr="00491C4A">
              <w:rPr>
                <w:rFonts w:ascii="Times New Roman" w:hAnsi="Times New Roman"/>
                <w:b/>
                <w:bCs/>
                <w:sz w:val="28"/>
              </w:rPr>
              <w:t>Decisión a adoptar en el segundo caso</w:t>
            </w:r>
          </w:p>
        </w:tc>
      </w:tr>
      <w:tr w:rsidR="00406673" w:rsidRPr="00491C4A" w:rsidTr="00822C4F">
        <w:trPr>
          <w:trHeight w:val="1115"/>
        </w:trPr>
        <w:tc>
          <w:tcPr>
            <w:tcW w:w="1058" w:type="dxa"/>
            <w:vMerge w:val="restart"/>
            <w:textDirection w:val="btLr"/>
            <w:vAlign w:val="center"/>
          </w:tcPr>
          <w:p w:rsidR="00646234" w:rsidRPr="00491C4A" w:rsidRDefault="00491C4A" w:rsidP="00EE3728">
            <w:pPr>
              <w:ind w:left="113" w:right="113"/>
              <w:jc w:val="center"/>
              <w:rPr>
                <w:rFonts w:ascii="Times New Roman" w:hAnsi="Times New Roman"/>
                <w:b/>
                <w:bCs/>
                <w:sz w:val="28"/>
              </w:rPr>
            </w:pPr>
            <w:r w:rsidRPr="00491C4A">
              <w:rPr>
                <w:rFonts w:ascii="Times New Roman" w:hAnsi="Times New Roman"/>
                <w:b/>
                <w:bCs/>
                <w:sz w:val="28"/>
              </w:rPr>
              <w:t>INEXEQUIBLE</w:t>
            </w:r>
          </w:p>
        </w:tc>
        <w:tc>
          <w:tcPr>
            <w:tcW w:w="2351" w:type="dxa"/>
            <w:tcMar>
              <w:top w:w="150" w:type="dxa"/>
              <w:left w:w="0" w:type="dxa"/>
              <w:bottom w:w="150" w:type="dxa"/>
              <w:right w:w="150" w:type="dxa"/>
            </w:tcMar>
            <w:vAlign w:val="center"/>
            <w:hideMark/>
          </w:tcPr>
          <w:p w:rsidR="00646234" w:rsidRPr="00491C4A" w:rsidRDefault="00491C4A" w:rsidP="00822C4F">
            <w:pPr>
              <w:ind w:left="214"/>
              <w:rPr>
                <w:rFonts w:ascii="Times New Roman" w:hAnsi="Times New Roman"/>
                <w:sz w:val="28"/>
              </w:rPr>
            </w:pPr>
            <w:r w:rsidRPr="00491C4A">
              <w:rPr>
                <w:rFonts w:ascii="Times New Roman" w:hAnsi="Times New Roman"/>
                <w:b/>
                <w:bCs/>
                <w:sz w:val="28"/>
              </w:rPr>
              <w:t>Mismo enunciado normativo</w:t>
            </w:r>
          </w:p>
        </w:tc>
        <w:tc>
          <w:tcPr>
            <w:tcW w:w="1816"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Formal absoluta</w:t>
            </w:r>
          </w:p>
        </w:tc>
        <w:tc>
          <w:tcPr>
            <w:tcW w:w="4415"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 xml:space="preserve">Estarse a lo resuelto. </w:t>
            </w:r>
          </w:p>
          <w:p w:rsidR="00646234" w:rsidRPr="00491C4A" w:rsidRDefault="00491C4A" w:rsidP="00EE3728">
            <w:pPr>
              <w:rPr>
                <w:rFonts w:ascii="Times New Roman" w:hAnsi="Times New Roman"/>
                <w:sz w:val="28"/>
              </w:rPr>
            </w:pPr>
            <w:r w:rsidRPr="00491C4A">
              <w:rPr>
                <w:rFonts w:ascii="Times New Roman" w:hAnsi="Times New Roman"/>
                <w:sz w:val="28"/>
              </w:rPr>
              <w:t xml:space="preserve">No puede </w:t>
            </w:r>
            <w:r w:rsidRPr="00491C4A">
              <w:rPr>
                <w:rFonts w:ascii="Times New Roman" w:hAnsi="Times New Roman"/>
                <w:sz w:val="28"/>
              </w:rPr>
              <w:t>analizarse nuevamente</w:t>
            </w:r>
            <w:r w:rsidRPr="00491C4A">
              <w:rPr>
                <w:rFonts w:ascii="Times New Roman" w:hAnsi="Times New Roman"/>
                <w:sz w:val="28"/>
              </w:rPr>
              <w:t>, aun si se presentan nuevos cargos.</w:t>
            </w:r>
          </w:p>
        </w:tc>
      </w:tr>
      <w:tr w:rsidR="00406673" w:rsidRPr="00491C4A" w:rsidTr="00822C4F">
        <w:trPr>
          <w:trHeight w:val="118"/>
        </w:trPr>
        <w:tc>
          <w:tcPr>
            <w:tcW w:w="1058" w:type="dxa"/>
            <w:vMerge/>
            <w:textDirection w:val="btLr"/>
            <w:vAlign w:val="center"/>
          </w:tcPr>
          <w:p w:rsidR="00646234" w:rsidRPr="00491C4A" w:rsidRDefault="00491C4A" w:rsidP="00EE3728">
            <w:pPr>
              <w:ind w:left="113" w:right="113"/>
              <w:jc w:val="center"/>
              <w:rPr>
                <w:rFonts w:ascii="Times New Roman" w:hAnsi="Times New Roman"/>
                <w:b/>
                <w:bCs/>
                <w:sz w:val="28"/>
              </w:rPr>
            </w:pPr>
          </w:p>
        </w:tc>
        <w:tc>
          <w:tcPr>
            <w:tcW w:w="2351" w:type="dxa"/>
            <w:tcMar>
              <w:top w:w="150" w:type="dxa"/>
              <w:left w:w="0" w:type="dxa"/>
              <w:bottom w:w="150" w:type="dxa"/>
              <w:right w:w="150" w:type="dxa"/>
            </w:tcMar>
            <w:vAlign w:val="center"/>
            <w:hideMark/>
          </w:tcPr>
          <w:p w:rsidR="00646234" w:rsidRPr="00491C4A" w:rsidRDefault="00491C4A" w:rsidP="00822C4F">
            <w:pPr>
              <w:ind w:left="214"/>
              <w:rPr>
                <w:rFonts w:ascii="Times New Roman" w:hAnsi="Times New Roman"/>
                <w:sz w:val="28"/>
              </w:rPr>
            </w:pPr>
            <w:r w:rsidRPr="00491C4A">
              <w:rPr>
                <w:rFonts w:ascii="Times New Roman" w:hAnsi="Times New Roman"/>
                <w:b/>
                <w:bCs/>
                <w:sz w:val="28"/>
              </w:rPr>
              <w:t>Enunciado normativo diferente con c</w:t>
            </w:r>
            <w:r w:rsidRPr="00491C4A">
              <w:rPr>
                <w:rFonts w:ascii="Times New Roman" w:hAnsi="Times New Roman"/>
                <w:b/>
                <w:bCs/>
                <w:sz w:val="28"/>
              </w:rPr>
              <w:t>ontenido normativo idéntico</w:t>
            </w:r>
          </w:p>
        </w:tc>
        <w:tc>
          <w:tcPr>
            <w:tcW w:w="1816"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Material absoluta</w:t>
            </w:r>
          </w:p>
        </w:tc>
        <w:tc>
          <w:tcPr>
            <w:tcW w:w="4415"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Estarse a lo resuelto y declarar la inexequibilidad de la disposición acusada</w:t>
            </w:r>
          </w:p>
        </w:tc>
      </w:tr>
      <w:tr w:rsidR="00406673" w:rsidRPr="00491C4A" w:rsidTr="00822C4F">
        <w:trPr>
          <w:trHeight w:val="2420"/>
        </w:trPr>
        <w:tc>
          <w:tcPr>
            <w:tcW w:w="1058" w:type="dxa"/>
            <w:vMerge w:val="restart"/>
            <w:textDirection w:val="btLr"/>
            <w:vAlign w:val="center"/>
          </w:tcPr>
          <w:p w:rsidR="00646234" w:rsidRPr="00491C4A" w:rsidRDefault="00491C4A" w:rsidP="00EE3728">
            <w:pPr>
              <w:ind w:left="113" w:right="113"/>
              <w:jc w:val="center"/>
              <w:rPr>
                <w:rFonts w:ascii="Times New Roman" w:hAnsi="Times New Roman"/>
                <w:b/>
                <w:bCs/>
                <w:sz w:val="28"/>
              </w:rPr>
            </w:pPr>
            <w:r w:rsidRPr="00491C4A">
              <w:rPr>
                <w:rFonts w:ascii="Times New Roman" w:hAnsi="Times New Roman"/>
                <w:b/>
                <w:bCs/>
                <w:sz w:val="28"/>
              </w:rPr>
              <w:t>EXEQUIBLE</w:t>
            </w:r>
          </w:p>
        </w:tc>
        <w:tc>
          <w:tcPr>
            <w:tcW w:w="2351" w:type="dxa"/>
            <w:tcMar>
              <w:top w:w="150" w:type="dxa"/>
              <w:left w:w="0" w:type="dxa"/>
              <w:bottom w:w="150" w:type="dxa"/>
              <w:right w:w="150" w:type="dxa"/>
            </w:tcMar>
            <w:vAlign w:val="center"/>
            <w:hideMark/>
          </w:tcPr>
          <w:p w:rsidR="00646234" w:rsidRPr="00491C4A" w:rsidRDefault="00491C4A" w:rsidP="00822C4F">
            <w:pPr>
              <w:ind w:left="214"/>
              <w:rPr>
                <w:rFonts w:ascii="Times New Roman" w:hAnsi="Times New Roman"/>
                <w:sz w:val="28"/>
              </w:rPr>
            </w:pPr>
            <w:r w:rsidRPr="00491C4A">
              <w:rPr>
                <w:rFonts w:ascii="Times New Roman" w:hAnsi="Times New Roman"/>
                <w:b/>
                <w:bCs/>
                <w:sz w:val="28"/>
              </w:rPr>
              <w:t xml:space="preserve">Mismo enunciado </w:t>
            </w:r>
            <w:r w:rsidRPr="00491C4A">
              <w:rPr>
                <w:rFonts w:ascii="Times New Roman" w:hAnsi="Times New Roman"/>
                <w:b/>
                <w:bCs/>
                <w:sz w:val="28"/>
              </w:rPr>
              <w:t>normativo</w:t>
            </w:r>
          </w:p>
        </w:tc>
        <w:tc>
          <w:tcPr>
            <w:tcW w:w="1816"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Formal relativa</w:t>
            </w:r>
          </w:p>
        </w:tc>
        <w:tc>
          <w:tcPr>
            <w:tcW w:w="4415" w:type="dxa"/>
            <w:tcMar>
              <w:top w:w="150" w:type="dxa"/>
              <w:left w:w="150" w:type="dxa"/>
              <w:bottom w:w="150" w:type="dxa"/>
              <w:right w:w="150" w:type="dxa"/>
            </w:tcMar>
            <w:vAlign w:val="center"/>
            <w:hideMark/>
          </w:tcPr>
          <w:p w:rsidR="00646234" w:rsidRPr="00491C4A" w:rsidRDefault="00491C4A" w:rsidP="00EE3728">
            <w:pPr>
              <w:jc w:val="both"/>
              <w:rPr>
                <w:rFonts w:ascii="Times New Roman" w:hAnsi="Times New Roman"/>
                <w:sz w:val="28"/>
              </w:rPr>
            </w:pPr>
            <w:r w:rsidRPr="00491C4A">
              <w:rPr>
                <w:rFonts w:ascii="Times New Roman" w:hAnsi="Times New Roman"/>
                <w:sz w:val="28"/>
              </w:rPr>
              <w:t>Si la nueva demanda se formula por el mismo cargo la Corte debe estarse a lo resuelto y declarar su exequibilidad</w:t>
            </w:r>
          </w:p>
          <w:p w:rsidR="00646234" w:rsidRPr="00491C4A" w:rsidRDefault="00491C4A" w:rsidP="00EE3728">
            <w:pPr>
              <w:rPr>
                <w:rFonts w:ascii="Times New Roman" w:hAnsi="Times New Roman"/>
                <w:sz w:val="28"/>
              </w:rPr>
            </w:pPr>
            <w:r w:rsidRPr="00491C4A">
              <w:rPr>
                <w:rFonts w:ascii="Times New Roman" w:hAnsi="Times New Roman"/>
                <w:sz w:val="28"/>
              </w:rPr>
              <w:t xml:space="preserve"> </w:t>
            </w:r>
          </w:p>
          <w:p w:rsidR="00646234" w:rsidRPr="00491C4A" w:rsidRDefault="00491C4A" w:rsidP="00EE3728">
            <w:pPr>
              <w:rPr>
                <w:rFonts w:ascii="Times New Roman" w:hAnsi="Times New Roman"/>
                <w:sz w:val="28"/>
              </w:rPr>
            </w:pPr>
            <w:r w:rsidRPr="00491C4A">
              <w:rPr>
                <w:rFonts w:ascii="Times New Roman" w:hAnsi="Times New Roman"/>
                <w:sz w:val="28"/>
              </w:rPr>
              <w:t>No puede reexaminarse la norma por los mismos cargos.</w:t>
            </w:r>
          </w:p>
          <w:p w:rsidR="00822C4F" w:rsidRPr="00491C4A" w:rsidRDefault="00491C4A" w:rsidP="00EE3728">
            <w:pPr>
              <w:rPr>
                <w:rFonts w:ascii="Times New Roman" w:hAnsi="Times New Roman"/>
                <w:sz w:val="28"/>
              </w:rPr>
            </w:pPr>
          </w:p>
          <w:p w:rsidR="00646234" w:rsidRPr="00491C4A" w:rsidRDefault="00491C4A" w:rsidP="00EE3728">
            <w:pPr>
              <w:rPr>
                <w:rFonts w:ascii="Times New Roman" w:hAnsi="Times New Roman"/>
                <w:sz w:val="28"/>
              </w:rPr>
            </w:pPr>
            <w:r w:rsidRPr="00491C4A">
              <w:rPr>
                <w:rFonts w:ascii="Times New Roman" w:hAnsi="Times New Roman"/>
                <w:sz w:val="28"/>
              </w:rPr>
              <w:t>Si el cargo es diferente se podrá decidir nuevamente</w:t>
            </w:r>
            <w:r w:rsidRPr="00491C4A">
              <w:rPr>
                <w:rFonts w:ascii="Times New Roman" w:hAnsi="Times New Roman"/>
                <w:sz w:val="28"/>
              </w:rPr>
              <w:t>.</w:t>
            </w:r>
          </w:p>
          <w:p w:rsidR="00E27484" w:rsidRPr="00491C4A" w:rsidRDefault="00491C4A" w:rsidP="00E27484">
            <w:pPr>
              <w:jc w:val="both"/>
              <w:rPr>
                <w:rFonts w:ascii="Times New Roman" w:hAnsi="Times New Roman"/>
                <w:sz w:val="28"/>
              </w:rPr>
            </w:pPr>
            <w:r w:rsidRPr="00491C4A">
              <w:rPr>
                <w:rFonts w:ascii="Times New Roman" w:hAnsi="Times New Roman"/>
                <w:sz w:val="28"/>
              </w:rPr>
              <w:t xml:space="preserve">En </w:t>
            </w:r>
            <w:r w:rsidRPr="00491C4A">
              <w:rPr>
                <w:rFonts w:ascii="Times New Roman" w:hAnsi="Times New Roman"/>
                <w:sz w:val="28"/>
              </w:rPr>
              <w:t>situaciones excepcionales la Corte puede apartarse del precedente si justifica un cambio de criterio.</w:t>
            </w:r>
          </w:p>
        </w:tc>
      </w:tr>
      <w:tr w:rsidR="00406673" w:rsidRPr="00491C4A" w:rsidTr="00822C4F">
        <w:trPr>
          <w:trHeight w:val="118"/>
        </w:trPr>
        <w:tc>
          <w:tcPr>
            <w:tcW w:w="1058" w:type="dxa"/>
            <w:vMerge/>
          </w:tcPr>
          <w:p w:rsidR="00646234" w:rsidRPr="00491C4A" w:rsidRDefault="00491C4A" w:rsidP="00EE3728">
            <w:pPr>
              <w:rPr>
                <w:rFonts w:ascii="Times New Roman" w:hAnsi="Times New Roman"/>
                <w:b/>
                <w:bCs/>
                <w:sz w:val="28"/>
              </w:rPr>
            </w:pPr>
          </w:p>
        </w:tc>
        <w:tc>
          <w:tcPr>
            <w:tcW w:w="2351" w:type="dxa"/>
            <w:tcMar>
              <w:top w:w="150" w:type="dxa"/>
              <w:left w:w="0" w:type="dxa"/>
              <w:bottom w:w="150" w:type="dxa"/>
              <w:right w:w="150" w:type="dxa"/>
            </w:tcMar>
            <w:vAlign w:val="center"/>
            <w:hideMark/>
          </w:tcPr>
          <w:p w:rsidR="00646234" w:rsidRPr="00491C4A" w:rsidRDefault="00491C4A" w:rsidP="00822C4F">
            <w:pPr>
              <w:ind w:left="214"/>
              <w:rPr>
                <w:rFonts w:ascii="Times New Roman" w:hAnsi="Times New Roman"/>
                <w:sz w:val="28"/>
              </w:rPr>
            </w:pPr>
            <w:r w:rsidRPr="00491C4A">
              <w:rPr>
                <w:rFonts w:ascii="Times New Roman" w:hAnsi="Times New Roman"/>
                <w:b/>
                <w:bCs/>
                <w:sz w:val="28"/>
              </w:rPr>
              <w:t>Enunciado normativo diferente con c</w:t>
            </w:r>
            <w:r w:rsidRPr="00491C4A">
              <w:rPr>
                <w:rFonts w:ascii="Times New Roman" w:hAnsi="Times New Roman"/>
                <w:b/>
                <w:bCs/>
                <w:sz w:val="28"/>
              </w:rPr>
              <w:t>ontenido normativo idéntico</w:t>
            </w:r>
          </w:p>
        </w:tc>
        <w:tc>
          <w:tcPr>
            <w:tcW w:w="1816" w:type="dxa"/>
            <w:tcMar>
              <w:top w:w="150" w:type="dxa"/>
              <w:left w:w="150" w:type="dxa"/>
              <w:bottom w:w="150" w:type="dxa"/>
              <w:right w:w="150" w:type="dxa"/>
            </w:tcMar>
            <w:vAlign w:val="center"/>
            <w:hideMark/>
          </w:tcPr>
          <w:p w:rsidR="00646234" w:rsidRPr="00491C4A" w:rsidRDefault="00491C4A" w:rsidP="00EE3728">
            <w:pPr>
              <w:rPr>
                <w:rFonts w:ascii="Times New Roman" w:hAnsi="Times New Roman"/>
                <w:sz w:val="28"/>
              </w:rPr>
            </w:pPr>
            <w:r w:rsidRPr="00491C4A">
              <w:rPr>
                <w:rFonts w:ascii="Times New Roman" w:hAnsi="Times New Roman"/>
                <w:sz w:val="28"/>
              </w:rPr>
              <w:t>Material relativa</w:t>
            </w:r>
          </w:p>
        </w:tc>
        <w:tc>
          <w:tcPr>
            <w:tcW w:w="4415" w:type="dxa"/>
            <w:tcMar>
              <w:top w:w="150" w:type="dxa"/>
              <w:left w:w="150" w:type="dxa"/>
              <w:bottom w:w="150" w:type="dxa"/>
              <w:right w:w="150" w:type="dxa"/>
            </w:tcMar>
            <w:vAlign w:val="center"/>
            <w:hideMark/>
          </w:tcPr>
          <w:p w:rsidR="00646234" w:rsidRPr="00491C4A" w:rsidRDefault="00491C4A" w:rsidP="00822C4F">
            <w:pPr>
              <w:jc w:val="both"/>
              <w:rPr>
                <w:rFonts w:ascii="Times New Roman" w:hAnsi="Times New Roman"/>
                <w:sz w:val="28"/>
              </w:rPr>
            </w:pPr>
            <w:r w:rsidRPr="00491C4A">
              <w:rPr>
                <w:rFonts w:ascii="Times New Roman" w:hAnsi="Times New Roman"/>
                <w:sz w:val="28"/>
              </w:rPr>
              <w:t>Si la nueva demanda se formula por el mismo cargo la Corte deberá estar</w:t>
            </w:r>
            <w:r w:rsidRPr="00491C4A">
              <w:rPr>
                <w:rFonts w:ascii="Times New Roman" w:hAnsi="Times New Roman"/>
                <w:sz w:val="28"/>
              </w:rPr>
              <w:t>se a lo resuelto en la sentencia anterior y declarar su exequibilidad.</w:t>
            </w:r>
          </w:p>
          <w:p w:rsidR="00822C4F" w:rsidRPr="00491C4A" w:rsidRDefault="00491C4A" w:rsidP="00EE3728">
            <w:pPr>
              <w:rPr>
                <w:rFonts w:ascii="Times New Roman" w:hAnsi="Times New Roman"/>
                <w:sz w:val="28"/>
              </w:rPr>
            </w:pPr>
          </w:p>
          <w:p w:rsidR="00646234" w:rsidRPr="00491C4A" w:rsidRDefault="00491C4A" w:rsidP="00EE3728">
            <w:pPr>
              <w:rPr>
                <w:rFonts w:ascii="Times New Roman" w:hAnsi="Times New Roman"/>
                <w:sz w:val="28"/>
              </w:rPr>
            </w:pPr>
            <w:r w:rsidRPr="00491C4A">
              <w:rPr>
                <w:rFonts w:ascii="Times New Roman" w:hAnsi="Times New Roman"/>
                <w:sz w:val="28"/>
              </w:rPr>
              <w:t>Si el cargo es diferente se podrá decidir nuevamente</w:t>
            </w:r>
          </w:p>
          <w:p w:rsidR="00822C4F" w:rsidRPr="00491C4A" w:rsidRDefault="00491C4A" w:rsidP="00EE3728">
            <w:pPr>
              <w:jc w:val="both"/>
              <w:rPr>
                <w:rFonts w:ascii="Times New Roman" w:hAnsi="Times New Roman"/>
                <w:sz w:val="28"/>
              </w:rPr>
            </w:pPr>
          </w:p>
          <w:p w:rsidR="00646234" w:rsidRPr="00491C4A" w:rsidRDefault="00491C4A" w:rsidP="00EE3728">
            <w:pPr>
              <w:jc w:val="both"/>
              <w:rPr>
                <w:rFonts w:ascii="Times New Roman" w:hAnsi="Times New Roman"/>
                <w:sz w:val="28"/>
              </w:rPr>
            </w:pPr>
            <w:r w:rsidRPr="00491C4A">
              <w:rPr>
                <w:rFonts w:ascii="Times New Roman" w:hAnsi="Times New Roman"/>
                <w:sz w:val="28"/>
              </w:rPr>
              <w:t>En situaciones excepcionales la</w:t>
            </w:r>
            <w:r w:rsidRPr="00491C4A">
              <w:rPr>
                <w:rFonts w:ascii="Times New Roman" w:hAnsi="Times New Roman"/>
                <w:sz w:val="28"/>
              </w:rPr>
              <w:t xml:space="preserve"> </w:t>
            </w:r>
            <w:r w:rsidRPr="00491C4A">
              <w:rPr>
                <w:rFonts w:ascii="Times New Roman" w:hAnsi="Times New Roman"/>
                <w:sz w:val="28"/>
              </w:rPr>
              <w:t>Corte </w:t>
            </w:r>
            <w:r w:rsidRPr="00491C4A">
              <w:rPr>
                <w:rFonts w:ascii="Times New Roman" w:hAnsi="Times New Roman"/>
                <w:sz w:val="28"/>
              </w:rPr>
              <w:t>puede apartarse</w:t>
            </w:r>
            <w:r w:rsidRPr="00491C4A">
              <w:rPr>
                <w:rFonts w:ascii="Times New Roman" w:hAnsi="Times New Roman"/>
                <w:sz w:val="28"/>
              </w:rPr>
              <w:t> del precedente si justifica un cambio de criterio.</w:t>
            </w:r>
          </w:p>
        </w:tc>
      </w:tr>
    </w:tbl>
    <w:p w:rsidR="00646234" w:rsidRPr="00491C4A" w:rsidRDefault="00491C4A" w:rsidP="00646234">
      <w:pPr>
        <w:pStyle w:val="Prrafodelista"/>
        <w:ind w:left="0"/>
        <w:jc w:val="both"/>
        <w:rPr>
          <w:rFonts w:ascii="Times New Roman" w:hAnsi="Times New Roman"/>
          <w:sz w:val="28"/>
          <w:szCs w:val="28"/>
          <w:shd w:val="clear" w:color="auto" w:fill="FFFFFF"/>
        </w:rPr>
      </w:pPr>
    </w:p>
    <w:p w:rsidR="008A65F8"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 xml:space="preserve">La Corte constata que </w:t>
      </w:r>
      <w:r w:rsidRPr="00491C4A">
        <w:rPr>
          <w:rFonts w:ascii="Times New Roman" w:hAnsi="Times New Roman"/>
          <w:sz w:val="28"/>
          <w:szCs w:val="28"/>
        </w:rPr>
        <w:t xml:space="preserve">en </w:t>
      </w:r>
      <w:r w:rsidRPr="00491C4A">
        <w:rPr>
          <w:rFonts w:ascii="Times New Roman" w:hAnsi="Times New Roman"/>
          <w:sz w:val="28"/>
          <w:szCs w:val="28"/>
        </w:rPr>
        <w:t>la Sentencia C-</w:t>
      </w:r>
      <w:r w:rsidRPr="00491C4A">
        <w:rPr>
          <w:rFonts w:ascii="Times New Roman" w:hAnsi="Times New Roman"/>
          <w:sz w:val="28"/>
          <w:szCs w:val="28"/>
        </w:rPr>
        <w:t xml:space="preserve">143 </w:t>
      </w:r>
      <w:r w:rsidRPr="00491C4A">
        <w:rPr>
          <w:rFonts w:ascii="Times New Roman" w:hAnsi="Times New Roman"/>
          <w:sz w:val="28"/>
          <w:szCs w:val="28"/>
        </w:rPr>
        <w:t>de 202</w:t>
      </w:r>
      <w:r w:rsidRPr="00491C4A">
        <w:rPr>
          <w:rFonts w:ascii="Times New Roman" w:hAnsi="Times New Roman"/>
          <w:sz w:val="28"/>
          <w:szCs w:val="28"/>
        </w:rPr>
        <w:t>5</w:t>
      </w:r>
      <w:r w:rsidRPr="00491C4A">
        <w:rPr>
          <w:rFonts w:ascii="Times New Roman" w:hAnsi="Times New Roman"/>
          <w:sz w:val="28"/>
          <w:szCs w:val="28"/>
        </w:rPr>
        <w:t xml:space="preserve"> </w:t>
      </w:r>
      <w:r w:rsidRPr="00491C4A">
        <w:rPr>
          <w:rFonts w:ascii="Times New Roman" w:hAnsi="Times New Roman"/>
          <w:sz w:val="28"/>
          <w:szCs w:val="28"/>
        </w:rPr>
        <w:t xml:space="preserve">la Corte resolvió un cargo formulado contra </w:t>
      </w:r>
      <w:r w:rsidRPr="00491C4A">
        <w:rPr>
          <w:rFonts w:ascii="Times New Roman" w:hAnsi="Times New Roman"/>
          <w:sz w:val="28"/>
          <w:szCs w:val="28"/>
        </w:rPr>
        <w:t>el</w:t>
      </w:r>
      <w:r w:rsidRPr="00491C4A">
        <w:rPr>
          <w:rFonts w:ascii="Times New Roman" w:hAnsi="Times New Roman"/>
          <w:i/>
          <w:iCs/>
          <w:sz w:val="28"/>
          <w:szCs w:val="28"/>
          <w:shd w:val="clear" w:color="auto" w:fill="FFFFFF"/>
        </w:rPr>
        <w:t xml:space="preserve"> </w:t>
      </w:r>
      <w:r w:rsidRPr="00491C4A">
        <w:rPr>
          <w:rFonts w:ascii="Times New Roman" w:hAnsi="Times New Roman"/>
          <w:sz w:val="28"/>
          <w:szCs w:val="28"/>
          <w:shd w:val="clear" w:color="auto" w:fill="FFFFFF"/>
        </w:rPr>
        <w:t>artículo 233 de la Ley 2294 de 2023 por la presunta vulneración del principio de unidad de materia</w:t>
      </w:r>
      <w:r w:rsidRPr="00491C4A">
        <w:rPr>
          <w:rFonts w:ascii="Times New Roman" w:hAnsi="Times New Roman"/>
          <w:sz w:val="28"/>
          <w:szCs w:val="28"/>
        </w:rPr>
        <w:t xml:space="preserve">. </w:t>
      </w:r>
      <w:r w:rsidRPr="00491C4A">
        <w:rPr>
          <w:rFonts w:ascii="Times New Roman" w:hAnsi="Times New Roman"/>
          <w:sz w:val="28"/>
          <w:szCs w:val="28"/>
        </w:rPr>
        <w:t xml:space="preserve">Analizado el asunto, la Corte Constitucional concluyó que </w:t>
      </w:r>
      <w:r w:rsidRPr="00491C4A">
        <w:rPr>
          <w:rFonts w:ascii="Times New Roman" w:hAnsi="Times New Roman"/>
          <w:sz w:val="28"/>
          <w:szCs w:val="28"/>
        </w:rPr>
        <w:t>la disposición acusad</w:t>
      </w:r>
      <w:r w:rsidRPr="00491C4A">
        <w:rPr>
          <w:rFonts w:ascii="Times New Roman" w:hAnsi="Times New Roman"/>
          <w:sz w:val="28"/>
          <w:szCs w:val="28"/>
        </w:rPr>
        <w:t>a no vulneró el principio de unidad de materia, y declaró su exequibilidad</w:t>
      </w:r>
      <w:r w:rsidRPr="00491C4A">
        <w:rPr>
          <w:rStyle w:val="Refdenotaalpie"/>
          <w:rFonts w:ascii="Times New Roman" w:hAnsi="Times New Roman"/>
          <w:sz w:val="28"/>
          <w:szCs w:val="28"/>
        </w:rPr>
        <w:footnoteReference w:id="76"/>
      </w:r>
      <w:r w:rsidRPr="00491C4A">
        <w:rPr>
          <w:rFonts w:ascii="Times New Roman" w:hAnsi="Times New Roman"/>
          <w:sz w:val="28"/>
          <w:szCs w:val="28"/>
        </w:rPr>
        <w:t xml:space="preserve">. Dado que el segundo cargo formulado en la demanda que se debe decidir en este caso </w:t>
      </w:r>
      <w:r w:rsidRPr="00491C4A">
        <w:rPr>
          <w:rFonts w:ascii="Times New Roman" w:hAnsi="Times New Roman"/>
          <w:sz w:val="28"/>
          <w:szCs w:val="28"/>
        </w:rPr>
        <w:t>se dirige contra el mismo artículo 233 de la Ley 2294 de 2023 y reprocha el presunto incumplimie</w:t>
      </w:r>
      <w:r w:rsidRPr="00491C4A">
        <w:rPr>
          <w:rFonts w:ascii="Times New Roman" w:hAnsi="Times New Roman"/>
          <w:sz w:val="28"/>
          <w:szCs w:val="28"/>
        </w:rPr>
        <w:t xml:space="preserve">nto del principio de unidad de materia, la Corte concluye que en este caso se ha configurado el fenómeno de la cosa juzgada constitucional formal relativa. </w:t>
      </w:r>
      <w:r w:rsidRPr="00491C4A">
        <w:rPr>
          <w:rFonts w:ascii="Times New Roman" w:hAnsi="Times New Roman"/>
          <w:sz w:val="28"/>
          <w:szCs w:val="28"/>
        </w:rPr>
        <w:t xml:space="preserve"> </w:t>
      </w:r>
    </w:p>
    <w:p w:rsidR="008A65F8" w:rsidRPr="00491C4A" w:rsidRDefault="00491C4A" w:rsidP="008A65F8">
      <w:pPr>
        <w:pStyle w:val="Prrafodelista"/>
        <w:ind w:left="0"/>
        <w:jc w:val="both"/>
        <w:rPr>
          <w:rFonts w:ascii="Times New Roman" w:hAnsi="Times New Roman"/>
          <w:i/>
          <w:iCs/>
          <w:sz w:val="28"/>
          <w:szCs w:val="28"/>
        </w:rPr>
      </w:pPr>
    </w:p>
    <w:p w:rsidR="00F11D05"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En consecuencia, la Corte</w:t>
      </w:r>
      <w:r w:rsidRPr="00491C4A">
        <w:rPr>
          <w:rFonts w:ascii="Times New Roman" w:hAnsi="Times New Roman"/>
          <w:sz w:val="28"/>
          <w:szCs w:val="28"/>
        </w:rPr>
        <w:t xml:space="preserve"> se estará a resuelto </w:t>
      </w:r>
      <w:r w:rsidRPr="00491C4A">
        <w:rPr>
          <w:rFonts w:ascii="Times New Roman" w:hAnsi="Times New Roman"/>
          <w:sz w:val="28"/>
          <w:szCs w:val="28"/>
        </w:rPr>
        <w:t>en la referida sentencia C-</w:t>
      </w:r>
      <w:r w:rsidRPr="00491C4A">
        <w:rPr>
          <w:rFonts w:ascii="Times New Roman" w:hAnsi="Times New Roman"/>
          <w:sz w:val="28"/>
          <w:szCs w:val="28"/>
        </w:rPr>
        <w:t>143</w:t>
      </w:r>
      <w:r w:rsidRPr="00491C4A">
        <w:rPr>
          <w:rFonts w:ascii="Times New Roman" w:hAnsi="Times New Roman"/>
          <w:sz w:val="28"/>
          <w:szCs w:val="28"/>
        </w:rPr>
        <w:t xml:space="preserve"> de 202</w:t>
      </w:r>
      <w:r w:rsidRPr="00491C4A">
        <w:rPr>
          <w:rFonts w:ascii="Times New Roman" w:hAnsi="Times New Roman"/>
          <w:sz w:val="28"/>
          <w:szCs w:val="28"/>
        </w:rPr>
        <w:t>5</w:t>
      </w:r>
      <w:r w:rsidRPr="00491C4A">
        <w:rPr>
          <w:rFonts w:ascii="Times New Roman" w:hAnsi="Times New Roman"/>
          <w:sz w:val="28"/>
          <w:szCs w:val="28"/>
        </w:rPr>
        <w:t xml:space="preserve"> respecto </w:t>
      </w:r>
      <w:r w:rsidRPr="00491C4A">
        <w:rPr>
          <w:rFonts w:ascii="Times New Roman" w:hAnsi="Times New Roman"/>
          <w:sz w:val="28"/>
          <w:szCs w:val="28"/>
        </w:rPr>
        <w:t>del cargo formulado por la vulneración del principio de unidad de materia</w:t>
      </w:r>
      <w:r w:rsidRPr="00491C4A">
        <w:rPr>
          <w:rFonts w:ascii="Times New Roman" w:hAnsi="Times New Roman"/>
          <w:sz w:val="28"/>
          <w:szCs w:val="28"/>
        </w:rPr>
        <w:t>.</w:t>
      </w:r>
    </w:p>
    <w:p w:rsidR="00406673" w:rsidRPr="00491C4A" w:rsidRDefault="00491C4A" w:rsidP="00406673">
      <w:pPr>
        <w:pStyle w:val="Prrafodelista"/>
        <w:ind w:left="0"/>
        <w:jc w:val="both"/>
        <w:rPr>
          <w:rFonts w:ascii="Times New Roman" w:hAnsi="Times New Roman"/>
          <w:i/>
          <w:iCs/>
          <w:sz w:val="28"/>
          <w:szCs w:val="28"/>
        </w:rPr>
      </w:pPr>
    </w:p>
    <w:p w:rsidR="003F53A2" w:rsidRPr="00491C4A" w:rsidRDefault="00491C4A" w:rsidP="00406673">
      <w:pPr>
        <w:pStyle w:val="Prrafodelista"/>
        <w:ind w:left="0"/>
        <w:jc w:val="both"/>
        <w:rPr>
          <w:rFonts w:ascii="Times New Roman" w:hAnsi="Times New Roman"/>
          <w:i/>
          <w:iCs/>
          <w:sz w:val="28"/>
          <w:szCs w:val="28"/>
        </w:rPr>
      </w:pPr>
    </w:p>
    <w:p w:rsidR="00282ECE" w:rsidRPr="00491C4A" w:rsidRDefault="00491C4A" w:rsidP="00282ECE">
      <w:pPr>
        <w:pStyle w:val="Ttulo3"/>
        <w:spacing w:before="0" w:after="0"/>
        <w:jc w:val="both"/>
        <w:rPr>
          <w:rFonts w:ascii="Times New Roman" w:hAnsi="Times New Roman"/>
          <w:b/>
          <w:bCs/>
          <w:i/>
          <w:iCs/>
          <w:color w:val="auto"/>
        </w:rPr>
      </w:pPr>
      <w:bookmarkStart w:id="30" w:name="_Toc200753664"/>
      <w:r w:rsidRPr="00491C4A">
        <w:rPr>
          <w:rFonts w:ascii="Times New Roman" w:hAnsi="Times New Roman"/>
          <w:b/>
          <w:bCs/>
          <w:i/>
          <w:iCs/>
          <w:color w:val="auto"/>
        </w:rPr>
        <w:t xml:space="preserve">Estudio de la aptitud </w:t>
      </w:r>
      <w:r w:rsidRPr="00491C4A">
        <w:rPr>
          <w:rFonts w:ascii="Times New Roman" w:hAnsi="Times New Roman"/>
          <w:b/>
          <w:bCs/>
          <w:i/>
          <w:iCs/>
          <w:color w:val="auto"/>
        </w:rPr>
        <w:t xml:space="preserve">sustantiva </w:t>
      </w:r>
      <w:r w:rsidRPr="00491C4A">
        <w:rPr>
          <w:rFonts w:ascii="Times New Roman" w:hAnsi="Times New Roman"/>
          <w:b/>
          <w:bCs/>
          <w:i/>
          <w:iCs/>
          <w:color w:val="auto"/>
        </w:rPr>
        <w:t xml:space="preserve">del cuarto cargo de </w:t>
      </w:r>
      <w:r w:rsidRPr="00491C4A">
        <w:rPr>
          <w:rFonts w:ascii="Times New Roman" w:hAnsi="Times New Roman"/>
          <w:b/>
          <w:bCs/>
          <w:i/>
          <w:iCs/>
          <w:color w:val="auto"/>
        </w:rPr>
        <w:t>in</w:t>
      </w:r>
      <w:r w:rsidRPr="00491C4A">
        <w:rPr>
          <w:rFonts w:ascii="Times New Roman" w:hAnsi="Times New Roman"/>
          <w:b/>
          <w:bCs/>
          <w:i/>
          <w:iCs/>
          <w:color w:val="auto"/>
        </w:rPr>
        <w:t>constitucionalidad</w:t>
      </w:r>
      <w:r w:rsidRPr="00491C4A">
        <w:rPr>
          <w:rFonts w:ascii="Times New Roman" w:hAnsi="Times New Roman"/>
          <w:b/>
          <w:bCs/>
          <w:i/>
          <w:iCs/>
          <w:color w:val="auto"/>
        </w:rPr>
        <w:t>, por la violación del principio</w:t>
      </w:r>
      <w:r w:rsidRPr="00491C4A">
        <w:rPr>
          <w:rFonts w:ascii="Times New Roman" w:hAnsi="Times New Roman"/>
          <w:b/>
          <w:bCs/>
          <w:i/>
          <w:iCs/>
          <w:color w:val="auto"/>
        </w:rPr>
        <w:t xml:space="preserve"> de </w:t>
      </w:r>
      <w:r w:rsidRPr="00491C4A">
        <w:rPr>
          <w:rFonts w:ascii="Times New Roman" w:hAnsi="Times New Roman"/>
          <w:b/>
          <w:bCs/>
          <w:i/>
          <w:iCs/>
          <w:color w:val="auto"/>
        </w:rPr>
        <w:t>progresividad</w:t>
      </w:r>
      <w:r w:rsidRPr="00491C4A">
        <w:rPr>
          <w:rFonts w:ascii="Times New Roman" w:hAnsi="Times New Roman"/>
          <w:b/>
          <w:bCs/>
          <w:i/>
          <w:iCs/>
          <w:color w:val="auto"/>
        </w:rPr>
        <w:t xml:space="preserve"> y no regresividad en materia ambiental</w:t>
      </w:r>
      <w:bookmarkEnd w:id="30"/>
    </w:p>
    <w:p w:rsidR="00282ECE" w:rsidRPr="00491C4A" w:rsidRDefault="00491C4A" w:rsidP="00282ECE">
      <w:pPr>
        <w:rPr>
          <w:rFonts w:ascii="Times New Roman" w:hAnsi="Times New Roman"/>
          <w:sz w:val="28"/>
          <w:szCs w:val="28"/>
        </w:rPr>
      </w:pPr>
    </w:p>
    <w:p w:rsidR="00A27A74"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Como se anunció </w:t>
      </w:r>
      <w:r w:rsidRPr="00491C4A">
        <w:rPr>
          <w:rFonts w:ascii="Times New Roman" w:hAnsi="Times New Roman"/>
          <w:sz w:val="28"/>
          <w:szCs w:val="28"/>
          <w:shd w:val="clear" w:color="auto" w:fill="FFFFFF"/>
        </w:rPr>
        <w:t>en el resumen de antecedentes,</w:t>
      </w:r>
      <w:r w:rsidRPr="00491C4A">
        <w:rPr>
          <w:rFonts w:ascii="Times New Roman" w:hAnsi="Times New Roman"/>
          <w:sz w:val="28"/>
          <w:szCs w:val="28"/>
          <w:shd w:val="clear" w:color="auto" w:fill="FFFFFF"/>
        </w:rPr>
        <w:t xml:space="preserve"> e</w:t>
      </w:r>
      <w:r w:rsidRPr="00491C4A">
        <w:rPr>
          <w:rFonts w:ascii="Times New Roman" w:hAnsi="Times New Roman"/>
          <w:sz w:val="28"/>
          <w:szCs w:val="28"/>
          <w:shd w:val="clear" w:color="auto" w:fill="FFFFFF"/>
        </w:rPr>
        <w:t>n su intervención e</w:t>
      </w:r>
      <w:r w:rsidRPr="00491C4A">
        <w:rPr>
          <w:rFonts w:ascii="Times New Roman" w:hAnsi="Times New Roman"/>
          <w:sz w:val="28"/>
          <w:szCs w:val="28"/>
          <w:shd w:val="clear" w:color="auto" w:fill="FFFFFF"/>
        </w:rPr>
        <w:t xml:space="preserve">l Ministerio de Ambiente y Desarrollo </w:t>
      </w:r>
      <w:r w:rsidRPr="00491C4A">
        <w:rPr>
          <w:rFonts w:ascii="Times New Roman" w:hAnsi="Times New Roman"/>
          <w:sz w:val="28"/>
          <w:szCs w:val="28"/>
          <w:shd w:val="clear" w:color="auto" w:fill="FFFFFF"/>
        </w:rPr>
        <w:t>S</w:t>
      </w:r>
      <w:r w:rsidRPr="00491C4A">
        <w:rPr>
          <w:rFonts w:ascii="Times New Roman" w:hAnsi="Times New Roman"/>
          <w:sz w:val="28"/>
          <w:szCs w:val="28"/>
          <w:shd w:val="clear" w:color="auto" w:fill="FFFFFF"/>
        </w:rPr>
        <w:t xml:space="preserve">ostenible </w:t>
      </w:r>
      <w:r w:rsidRPr="00491C4A">
        <w:rPr>
          <w:rFonts w:ascii="Times New Roman" w:hAnsi="Times New Roman"/>
          <w:sz w:val="28"/>
          <w:szCs w:val="28"/>
          <w:shd w:val="clear" w:color="auto" w:fill="FFFFFF"/>
        </w:rPr>
        <w:t xml:space="preserve">y la Presidencia de la República </w:t>
      </w:r>
      <w:r w:rsidRPr="00491C4A">
        <w:rPr>
          <w:rFonts w:ascii="Times New Roman" w:hAnsi="Times New Roman"/>
          <w:sz w:val="28"/>
          <w:szCs w:val="28"/>
          <w:shd w:val="clear" w:color="auto" w:fill="FFFFFF"/>
        </w:rPr>
        <w:t>sostuv</w:t>
      </w:r>
      <w:r w:rsidRPr="00491C4A">
        <w:rPr>
          <w:rFonts w:ascii="Times New Roman" w:hAnsi="Times New Roman"/>
          <w:sz w:val="28"/>
          <w:szCs w:val="28"/>
          <w:shd w:val="clear" w:color="auto" w:fill="FFFFFF"/>
        </w:rPr>
        <w:t xml:space="preserve">ieron </w:t>
      </w:r>
      <w:r w:rsidRPr="00491C4A">
        <w:rPr>
          <w:rFonts w:ascii="Times New Roman" w:hAnsi="Times New Roman"/>
          <w:sz w:val="28"/>
          <w:szCs w:val="28"/>
          <w:shd w:val="clear" w:color="auto" w:fill="FFFFFF"/>
        </w:rPr>
        <w:t>que</w:t>
      </w:r>
      <w:r w:rsidRPr="00491C4A">
        <w:rPr>
          <w:rFonts w:ascii="Times New Roman" w:hAnsi="Times New Roman"/>
          <w:sz w:val="28"/>
          <w:szCs w:val="28"/>
          <w:shd w:val="clear" w:color="auto" w:fill="FFFFFF"/>
        </w:rPr>
        <w:t xml:space="preserve"> el cuarto cargo </w:t>
      </w:r>
      <w:r w:rsidRPr="00491C4A">
        <w:rPr>
          <w:rFonts w:ascii="Times New Roman" w:hAnsi="Times New Roman"/>
          <w:sz w:val="28"/>
          <w:szCs w:val="28"/>
          <w:shd w:val="clear" w:color="auto" w:fill="FFFFFF"/>
        </w:rPr>
        <w:t xml:space="preserve">formulado por la presunta violación del principio de progresividad y no regresividad es inepto pues carece de </w:t>
      </w:r>
      <w:r w:rsidRPr="00491C4A">
        <w:rPr>
          <w:rFonts w:ascii="Times New Roman" w:hAnsi="Times New Roman"/>
          <w:sz w:val="28"/>
          <w:szCs w:val="28"/>
          <w:shd w:val="clear" w:color="auto" w:fill="FFFFFF"/>
        </w:rPr>
        <w:t>claridad, certeza, especificidad y pertinencia.</w:t>
      </w:r>
      <w:r w:rsidRPr="00491C4A">
        <w:rPr>
          <w:rFonts w:ascii="Times New Roman" w:hAnsi="Times New Roman"/>
          <w:sz w:val="28"/>
          <w:szCs w:val="28"/>
          <w:shd w:val="clear" w:color="auto" w:fill="FFFFFF"/>
        </w:rPr>
        <w:t xml:space="preserve"> </w:t>
      </w:r>
    </w:p>
    <w:p w:rsidR="00A27A74" w:rsidRPr="00491C4A" w:rsidRDefault="00491C4A" w:rsidP="00A27A74">
      <w:pPr>
        <w:pStyle w:val="Prrafodelista"/>
        <w:ind w:left="0"/>
        <w:jc w:val="both"/>
        <w:rPr>
          <w:rFonts w:ascii="Times New Roman" w:hAnsi="Times New Roman"/>
          <w:sz w:val="28"/>
          <w:szCs w:val="28"/>
          <w:shd w:val="clear" w:color="auto" w:fill="FFFFFF"/>
        </w:rPr>
      </w:pPr>
    </w:p>
    <w:p w:rsidR="00C509CF" w:rsidRPr="00491C4A" w:rsidRDefault="00491C4A" w:rsidP="005C7D5E">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En particular, los intervinientes oficiales afirman que no existe un hilo conductor que permita </w:t>
      </w:r>
      <w:r w:rsidRPr="00491C4A">
        <w:rPr>
          <w:rFonts w:ascii="Times New Roman" w:hAnsi="Times New Roman"/>
          <w:sz w:val="28"/>
          <w:szCs w:val="28"/>
          <w:shd w:val="clear" w:color="auto" w:fill="FFFFFF"/>
        </w:rPr>
        <w:t xml:space="preserve">comprender el contenido de la acusación y la justificación en la que se basa. </w:t>
      </w:r>
      <w:r w:rsidRPr="00491C4A">
        <w:rPr>
          <w:rFonts w:ascii="Times New Roman" w:hAnsi="Times New Roman"/>
          <w:sz w:val="28"/>
          <w:szCs w:val="28"/>
          <w:shd w:val="clear" w:color="auto" w:fill="FFFFFF"/>
        </w:rPr>
        <w:t xml:space="preserve">Afirman que el cargo se </w:t>
      </w:r>
      <w:r w:rsidRPr="00491C4A">
        <w:rPr>
          <w:rFonts w:ascii="Times New Roman" w:hAnsi="Times New Roman"/>
          <w:sz w:val="28"/>
          <w:szCs w:val="28"/>
          <w:shd w:val="clear" w:color="auto" w:fill="FFFFFF"/>
        </w:rPr>
        <w:t>fundamen</w:t>
      </w:r>
      <w:r w:rsidRPr="00491C4A">
        <w:rPr>
          <w:rFonts w:ascii="Times New Roman" w:hAnsi="Times New Roman"/>
          <w:sz w:val="28"/>
          <w:szCs w:val="28"/>
          <w:shd w:val="clear" w:color="auto" w:fill="FFFFFF"/>
        </w:rPr>
        <w:t>ta en apreciaciones subjetivas de la norma y desconoce que el principio de no regresividad en materia ambiental es sustancialmente diferente al in</w:t>
      </w:r>
      <w:r w:rsidRPr="00491C4A">
        <w:rPr>
          <w:rFonts w:ascii="Times New Roman" w:hAnsi="Times New Roman"/>
          <w:sz w:val="28"/>
          <w:szCs w:val="28"/>
          <w:shd w:val="clear" w:color="auto" w:fill="FFFFFF"/>
        </w:rPr>
        <w:t>strumento económico que establece la norma.</w:t>
      </w:r>
      <w:r w:rsidRPr="00491C4A">
        <w:rPr>
          <w:rFonts w:ascii="Times New Roman" w:hAnsi="Times New Roman"/>
          <w:sz w:val="28"/>
          <w:szCs w:val="28"/>
          <w:shd w:val="clear" w:color="auto" w:fill="FFFFFF"/>
        </w:rPr>
        <w:t xml:space="preserve"> </w:t>
      </w:r>
    </w:p>
    <w:p w:rsidR="00E84CF8" w:rsidRPr="00491C4A" w:rsidRDefault="00491C4A" w:rsidP="000E1EEB">
      <w:pPr>
        <w:pStyle w:val="Prrafodelista"/>
        <w:ind w:left="708"/>
        <w:jc w:val="both"/>
        <w:rPr>
          <w:rFonts w:ascii="Times New Roman" w:hAnsi="Times New Roman"/>
          <w:sz w:val="28"/>
          <w:szCs w:val="28"/>
          <w:shd w:val="clear" w:color="auto" w:fill="FFFFFF"/>
        </w:rPr>
      </w:pPr>
    </w:p>
    <w:p w:rsidR="0097799D"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Procede la Corte a analizar los reparos formulados por </w:t>
      </w:r>
      <w:r w:rsidRPr="00491C4A">
        <w:rPr>
          <w:rFonts w:ascii="Times New Roman" w:hAnsi="Times New Roman"/>
          <w:sz w:val="28"/>
          <w:szCs w:val="28"/>
          <w:shd w:val="clear" w:color="auto" w:fill="FFFFFF"/>
        </w:rPr>
        <w:t xml:space="preserve">los intervinientes oficiales. </w:t>
      </w:r>
      <w:r w:rsidRPr="00491C4A">
        <w:rPr>
          <w:rFonts w:ascii="Times New Roman" w:hAnsi="Times New Roman"/>
          <w:sz w:val="28"/>
          <w:szCs w:val="28"/>
          <w:shd w:val="clear" w:color="auto" w:fill="FFFFFF"/>
        </w:rPr>
        <w:t>En desarrollo del artículo 2° del Decreto 2067 de 1991</w:t>
      </w:r>
      <w:r w:rsidRPr="00491C4A">
        <w:rPr>
          <w:rFonts w:ascii="Times New Roman" w:hAnsi="Times New Roman"/>
          <w:sz w:val="28"/>
          <w:szCs w:val="28"/>
          <w:shd w:val="clear" w:color="auto" w:fill="FFFFFF"/>
        </w:rPr>
        <w:t>,</w:t>
      </w:r>
      <w:r w:rsidRPr="00491C4A">
        <w:rPr>
          <w:rFonts w:ascii="Times New Roman" w:hAnsi="Times New Roman"/>
          <w:sz w:val="28"/>
          <w:szCs w:val="28"/>
          <w:shd w:val="clear" w:color="auto" w:fill="FFFFFF"/>
        </w:rPr>
        <w:t xml:space="preserve"> la jurisprudencia constitucional, a partir de las Sentencias C-1052 de 2001 y C-865 de 2005, ha reiterado</w:t>
      </w:r>
      <w:r w:rsidRPr="00491C4A">
        <w:rPr>
          <w:rFonts w:ascii="Times New Roman" w:hAnsi="Times New Roman"/>
          <w:sz w:val="28"/>
          <w:szCs w:val="28"/>
          <w:shd w:val="clear" w:color="auto" w:fill="FFFFFF"/>
        </w:rPr>
        <w:t xml:space="preserve"> que el requisito de claridad se refiere a que exista un hilo conducto</w:t>
      </w:r>
      <w:r w:rsidRPr="00491C4A">
        <w:rPr>
          <w:rFonts w:ascii="Times New Roman" w:hAnsi="Times New Roman"/>
          <w:sz w:val="28"/>
          <w:szCs w:val="28"/>
          <w:shd w:val="clear" w:color="auto" w:fill="FFFFFF"/>
        </w:rPr>
        <w:t>r</w:t>
      </w:r>
      <w:r w:rsidRPr="00491C4A">
        <w:rPr>
          <w:rFonts w:ascii="Times New Roman" w:hAnsi="Times New Roman"/>
          <w:sz w:val="28"/>
          <w:szCs w:val="28"/>
          <w:shd w:val="clear" w:color="auto" w:fill="FFFFFF"/>
        </w:rPr>
        <w:t xml:space="preserve"> en la argumentación que permita</w:t>
      </w:r>
      <w:r w:rsidRPr="00491C4A">
        <w:rPr>
          <w:rFonts w:ascii="Times New Roman" w:hAnsi="Times New Roman"/>
          <w:sz w:val="28"/>
          <w:szCs w:val="28"/>
          <w:shd w:val="clear" w:color="auto" w:fill="FFFFFF"/>
        </w:rPr>
        <w:t xml:space="preserve"> comprender el contenido de la demanda y las ra</w:t>
      </w:r>
      <w:r w:rsidRPr="00491C4A">
        <w:rPr>
          <w:rFonts w:ascii="Times New Roman" w:hAnsi="Times New Roman"/>
          <w:sz w:val="28"/>
          <w:szCs w:val="28"/>
          <w:shd w:val="clear" w:color="auto" w:fill="FFFFFF"/>
        </w:rPr>
        <w:t>zones en las que se sustenta</w:t>
      </w:r>
      <w:r w:rsidRPr="00491C4A">
        <w:rPr>
          <w:rFonts w:ascii="Times New Roman" w:hAnsi="Times New Roman"/>
          <w:sz w:val="28"/>
          <w:szCs w:val="28"/>
          <w:shd w:val="clear" w:color="auto" w:fill="FFFFFF"/>
        </w:rPr>
        <w:t>.</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La</w:t>
      </w:r>
      <w:r w:rsidRPr="00491C4A">
        <w:rPr>
          <w:rFonts w:ascii="Times New Roman" w:hAnsi="Times New Roman"/>
          <w:sz w:val="28"/>
          <w:szCs w:val="28"/>
          <w:shd w:val="clear" w:color="auto" w:fill="FFFFFF"/>
        </w:rPr>
        <w:t xml:space="preserve"> certeza exige que la acusación recaiga sobre una proposición jurídica real y existente </w:t>
      </w:r>
      <w:r w:rsidRPr="00491C4A">
        <w:rPr>
          <w:rFonts w:ascii="Times New Roman" w:hAnsi="Times New Roman"/>
          <w:sz w:val="28"/>
          <w:szCs w:val="28"/>
          <w:shd w:val="clear" w:color="auto" w:fill="FFFFFF"/>
        </w:rPr>
        <w:t xml:space="preserve">y no sobre una deducida por </w:t>
      </w:r>
      <w:r w:rsidRPr="00491C4A">
        <w:rPr>
          <w:rFonts w:ascii="Times New Roman" w:hAnsi="Times New Roman"/>
          <w:sz w:val="28"/>
          <w:szCs w:val="28"/>
          <w:shd w:val="clear" w:color="auto" w:fill="FFFFFF"/>
        </w:rPr>
        <w:t>los</w:t>
      </w:r>
      <w:r w:rsidRPr="00491C4A">
        <w:rPr>
          <w:rFonts w:ascii="Times New Roman" w:hAnsi="Times New Roman"/>
          <w:sz w:val="28"/>
          <w:szCs w:val="28"/>
          <w:shd w:val="clear" w:color="auto" w:fill="FFFFFF"/>
        </w:rPr>
        <w:t xml:space="preserve"> demandante</w:t>
      </w:r>
      <w:r w:rsidRPr="00491C4A">
        <w:rPr>
          <w:rFonts w:ascii="Times New Roman" w:hAnsi="Times New Roman"/>
          <w:sz w:val="28"/>
          <w:szCs w:val="28"/>
          <w:shd w:val="clear" w:color="auto" w:fill="FFFFFF"/>
        </w:rPr>
        <w:t>s</w:t>
      </w:r>
      <w:r w:rsidRPr="00491C4A">
        <w:rPr>
          <w:rFonts w:ascii="Times New Roman" w:hAnsi="Times New Roman"/>
          <w:sz w:val="28"/>
          <w:szCs w:val="28"/>
          <w:shd w:val="clear" w:color="auto" w:fill="FFFFFF"/>
        </w:rPr>
        <w:t xml:space="preserve"> de manera subjetiva</w:t>
      </w:r>
      <w:r w:rsidRPr="00491C4A">
        <w:rPr>
          <w:rFonts w:ascii="Times New Roman" w:hAnsi="Times New Roman"/>
          <w:sz w:val="28"/>
          <w:szCs w:val="28"/>
          <w:shd w:val="clear" w:color="auto" w:fill="FFFFFF"/>
        </w:rPr>
        <w:t>.</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L</w:t>
      </w:r>
      <w:r w:rsidRPr="00491C4A">
        <w:rPr>
          <w:rFonts w:ascii="Times New Roman" w:hAnsi="Times New Roman"/>
          <w:sz w:val="28"/>
          <w:szCs w:val="28"/>
          <w:shd w:val="clear" w:color="auto" w:fill="FFFFFF"/>
        </w:rPr>
        <w:t xml:space="preserve">a especificidad </w:t>
      </w:r>
      <w:r w:rsidRPr="00491C4A">
        <w:rPr>
          <w:rFonts w:ascii="Times New Roman" w:hAnsi="Times New Roman"/>
          <w:sz w:val="28"/>
          <w:szCs w:val="28"/>
          <w:shd w:val="clear" w:color="auto" w:fill="FFFFFF"/>
        </w:rPr>
        <w:t>supone que la parte actora muestr</w:t>
      </w:r>
      <w:r w:rsidRPr="00491C4A">
        <w:rPr>
          <w:rFonts w:ascii="Times New Roman" w:hAnsi="Times New Roman"/>
          <w:sz w:val="28"/>
          <w:szCs w:val="28"/>
          <w:shd w:val="clear" w:color="auto" w:fill="FFFFFF"/>
        </w:rPr>
        <w:t>e</w:t>
      </w:r>
      <w:r w:rsidRPr="00491C4A">
        <w:rPr>
          <w:rFonts w:ascii="Times New Roman" w:hAnsi="Times New Roman"/>
          <w:sz w:val="28"/>
          <w:szCs w:val="28"/>
          <w:shd w:val="clear" w:color="auto" w:fill="FFFFFF"/>
        </w:rPr>
        <w:t xml:space="preserve"> cómo la norma legal</w:t>
      </w:r>
      <w:r w:rsidRPr="00491C4A">
        <w:rPr>
          <w:rFonts w:ascii="Times New Roman" w:hAnsi="Times New Roman"/>
          <w:sz w:val="28"/>
          <w:szCs w:val="28"/>
          <w:shd w:val="clear" w:color="auto" w:fill="FFFFFF"/>
        </w:rPr>
        <w:t xml:space="preserve"> vulnera la Constitución Política</w:t>
      </w:r>
      <w:r w:rsidRPr="00491C4A">
        <w:rPr>
          <w:rFonts w:ascii="Times New Roman" w:hAnsi="Times New Roman"/>
          <w:sz w:val="28"/>
          <w:szCs w:val="28"/>
          <w:shd w:val="clear" w:color="auto" w:fill="FFFFFF"/>
        </w:rPr>
        <w:t>. L</w:t>
      </w:r>
      <w:r w:rsidRPr="00491C4A">
        <w:rPr>
          <w:rFonts w:ascii="Times New Roman" w:hAnsi="Times New Roman"/>
          <w:sz w:val="28"/>
          <w:szCs w:val="28"/>
          <w:shd w:val="clear" w:color="auto" w:fill="FFFFFF"/>
        </w:rPr>
        <w:t xml:space="preserve">a pertinencia </w:t>
      </w:r>
      <w:r w:rsidRPr="00491C4A">
        <w:rPr>
          <w:rFonts w:ascii="Times New Roman" w:hAnsi="Times New Roman"/>
          <w:sz w:val="28"/>
          <w:szCs w:val="28"/>
          <w:shd w:val="clear" w:color="auto" w:fill="FFFFFF"/>
        </w:rPr>
        <w:t>significa que los argumentos presentados deben ser de naturaleza estrictamente constitucional</w:t>
      </w:r>
      <w:r w:rsidRPr="00491C4A">
        <w:rPr>
          <w:rFonts w:ascii="Times New Roman" w:hAnsi="Times New Roman"/>
          <w:sz w:val="28"/>
          <w:szCs w:val="28"/>
          <w:shd w:val="clear" w:color="auto" w:fill="FFFFFF"/>
        </w:rPr>
        <w:t>. Por último,</w:t>
      </w:r>
      <w:r w:rsidRPr="00491C4A">
        <w:rPr>
          <w:rFonts w:ascii="Times New Roman" w:hAnsi="Times New Roman"/>
          <w:sz w:val="28"/>
          <w:szCs w:val="28"/>
          <w:shd w:val="clear" w:color="auto" w:fill="FFFFFF"/>
        </w:rPr>
        <w:t xml:space="preserve"> la suficiencia se satisface cuando la demanda tiene un alcance persuasivo. </w:t>
      </w:r>
    </w:p>
    <w:p w:rsidR="00DE396A" w:rsidRPr="00491C4A" w:rsidRDefault="00491C4A" w:rsidP="00DE396A">
      <w:pPr>
        <w:pStyle w:val="Prrafodelista"/>
        <w:rPr>
          <w:rFonts w:ascii="Times New Roman" w:hAnsi="Times New Roman"/>
          <w:sz w:val="28"/>
          <w:szCs w:val="28"/>
          <w:shd w:val="clear" w:color="auto" w:fill="FFFFFF"/>
        </w:rPr>
      </w:pPr>
    </w:p>
    <w:p w:rsidR="002B0AD1"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La Corte observa que los cuestionamientos sobre la aptitud sustantiva de la demanda no ofrecen elementos para valorar nuevamente </w:t>
      </w:r>
      <w:r w:rsidRPr="00491C4A">
        <w:rPr>
          <w:rFonts w:ascii="Times New Roman" w:hAnsi="Times New Roman"/>
          <w:sz w:val="28"/>
          <w:szCs w:val="28"/>
          <w:shd w:val="clear" w:color="auto" w:fill="FFFFFF"/>
        </w:rPr>
        <w:t>la admisibilidad de la demanda. Los intervinientes se limitan a señalar que el cargo carece de claridad, pero no justifican las</w:t>
      </w:r>
      <w:r w:rsidRPr="00491C4A">
        <w:rPr>
          <w:rFonts w:ascii="Times New Roman" w:hAnsi="Times New Roman"/>
          <w:sz w:val="28"/>
          <w:szCs w:val="28"/>
          <w:shd w:val="clear" w:color="auto" w:fill="FFFFFF"/>
        </w:rPr>
        <w:t xml:space="preserve"> razones de su dicho. Así mismo, señalan que el cargo se basa en una lectura subjetiva de la norma, pero no indican cuál es, a su juicio, el verdadero alcance de la disposición, ni por qué </w:t>
      </w:r>
      <w:r w:rsidRPr="00491C4A">
        <w:rPr>
          <w:rFonts w:ascii="Times New Roman" w:hAnsi="Times New Roman"/>
          <w:sz w:val="28"/>
          <w:szCs w:val="28"/>
          <w:shd w:val="clear" w:color="auto" w:fill="FFFFFF"/>
        </w:rPr>
        <w:t>implicaría la ineptitud del cargo formulado.</w:t>
      </w:r>
    </w:p>
    <w:p w:rsidR="002B0AD1" w:rsidRPr="00491C4A" w:rsidRDefault="00491C4A" w:rsidP="002B0AD1">
      <w:pPr>
        <w:pStyle w:val="Prrafodelista"/>
        <w:rPr>
          <w:rFonts w:ascii="Times New Roman" w:hAnsi="Times New Roman"/>
          <w:sz w:val="28"/>
          <w:szCs w:val="28"/>
          <w:shd w:val="clear" w:color="auto" w:fill="FFFFFF"/>
        </w:rPr>
      </w:pPr>
    </w:p>
    <w:p w:rsidR="00E56FDF"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Lo anterior sería suf</w:t>
      </w:r>
      <w:r w:rsidRPr="00491C4A">
        <w:rPr>
          <w:rFonts w:ascii="Times New Roman" w:hAnsi="Times New Roman"/>
          <w:sz w:val="28"/>
          <w:szCs w:val="28"/>
          <w:shd w:val="clear" w:color="auto" w:fill="FFFFFF"/>
        </w:rPr>
        <w:t>iciente para que la Corte se abstuviera de evaluar nuevamente la aptitud sustantiva de la demanda</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Sin embargo, con el propósito de aclarar cualquier duda al respecto, la Sala Plena reitera las consideraciones expresadas por el Magistrado sustanciador en e</w:t>
      </w:r>
      <w:r w:rsidRPr="00491C4A">
        <w:rPr>
          <w:rFonts w:ascii="Times New Roman" w:hAnsi="Times New Roman"/>
          <w:sz w:val="28"/>
          <w:szCs w:val="28"/>
          <w:shd w:val="clear" w:color="auto" w:fill="FFFFFF"/>
        </w:rPr>
        <w:t xml:space="preserve">l proceso de admisión de la demanda. El cargo es claro, pues los demandantes ofrecen un argumento que sigue un hilo conductor lógico para afirmar que el aumento de la tarifa de la contribución prevista en </w:t>
      </w:r>
      <w:r w:rsidRPr="00491C4A">
        <w:rPr>
          <w:rFonts w:ascii="Times New Roman" w:hAnsi="Times New Roman"/>
          <w:sz w:val="28"/>
          <w:szCs w:val="28"/>
          <w:shd w:val="clear" w:color="auto" w:fill="FFFFFF"/>
        </w:rPr>
        <w:t>el artículo 233 de la Ley 2294</w:t>
      </w:r>
      <w:r w:rsidRPr="00491C4A">
        <w:rPr>
          <w:rFonts w:ascii="Times New Roman" w:hAnsi="Times New Roman"/>
          <w:sz w:val="28"/>
          <w:szCs w:val="28"/>
          <w:shd w:val="clear" w:color="auto" w:fill="FFFFFF"/>
        </w:rPr>
        <w:t xml:space="preserve"> es una medida regres</w:t>
      </w:r>
      <w:r w:rsidRPr="00491C4A">
        <w:rPr>
          <w:rFonts w:ascii="Times New Roman" w:hAnsi="Times New Roman"/>
          <w:sz w:val="28"/>
          <w:szCs w:val="28"/>
          <w:shd w:val="clear" w:color="auto" w:fill="FFFFFF"/>
        </w:rPr>
        <w:t>iva en materia ambiental por cuanto reduce un incentivo tributario diseñado para promover el desarrollo de proyectos de energía con base en fuentes no convencionales de energía renovable.</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Afirman que la medida desconoce la obligación internacional identifi</w:t>
      </w:r>
      <w:r w:rsidRPr="00491C4A">
        <w:rPr>
          <w:rFonts w:ascii="Times New Roman" w:hAnsi="Times New Roman"/>
          <w:sz w:val="28"/>
          <w:szCs w:val="28"/>
          <w:shd w:val="clear" w:color="auto" w:fill="FFFFFF"/>
        </w:rPr>
        <w:t xml:space="preserve">cada en la Sentencia C-056 de 2021 consistente en crear medidas de fomento económico para las actividades de generación eléctrica que no produzcan gases de efecto invernadero, para mitigar y adaptarse a los efectos del cambio climático. </w:t>
      </w:r>
      <w:r w:rsidRPr="00491C4A">
        <w:rPr>
          <w:rFonts w:ascii="Times New Roman" w:hAnsi="Times New Roman"/>
          <w:sz w:val="28"/>
          <w:szCs w:val="28"/>
          <w:shd w:val="clear" w:color="auto" w:fill="FFFFFF"/>
        </w:rPr>
        <w:t>A juicio de los acc</w:t>
      </w:r>
      <w:r w:rsidRPr="00491C4A">
        <w:rPr>
          <w:rFonts w:ascii="Times New Roman" w:hAnsi="Times New Roman"/>
          <w:sz w:val="28"/>
          <w:szCs w:val="28"/>
          <w:shd w:val="clear" w:color="auto" w:fill="FFFFFF"/>
        </w:rPr>
        <w:t>ionantes esta medida reduce el nivel de protección ambiental y por lo mismo, desconoce los principios de progresividad y no regresividad.</w:t>
      </w:r>
      <w:r w:rsidRPr="00491C4A">
        <w:rPr>
          <w:rFonts w:ascii="Times New Roman" w:hAnsi="Times New Roman"/>
          <w:sz w:val="28"/>
          <w:szCs w:val="28"/>
          <w:shd w:val="clear" w:color="auto" w:fill="FFFFFF"/>
        </w:rPr>
        <w:t xml:space="preserve"> </w:t>
      </w:r>
    </w:p>
    <w:p w:rsidR="00E56FDF" w:rsidRPr="00491C4A" w:rsidRDefault="00491C4A" w:rsidP="00E56FDF">
      <w:pPr>
        <w:pStyle w:val="Prrafodelista"/>
        <w:ind w:left="0"/>
        <w:jc w:val="both"/>
        <w:rPr>
          <w:rFonts w:ascii="Times New Roman" w:hAnsi="Times New Roman"/>
          <w:sz w:val="28"/>
          <w:szCs w:val="28"/>
          <w:shd w:val="clear" w:color="auto" w:fill="FFFFFF"/>
        </w:rPr>
      </w:pPr>
    </w:p>
    <w:p w:rsidR="00B278B0"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El cargo, además, cumple el requisito de certeza pues, en efecto, la disposición demandada </w:t>
      </w:r>
      <w:r w:rsidRPr="00491C4A">
        <w:rPr>
          <w:rFonts w:ascii="Times New Roman" w:hAnsi="Times New Roman"/>
          <w:sz w:val="28"/>
          <w:szCs w:val="28"/>
          <w:shd w:val="clear" w:color="auto" w:fill="FFFFFF"/>
        </w:rPr>
        <w:t xml:space="preserve">aumenta la carga impositiva </w:t>
      </w:r>
      <w:r w:rsidRPr="00491C4A">
        <w:rPr>
          <w:rFonts w:ascii="Times New Roman" w:hAnsi="Times New Roman"/>
          <w:sz w:val="28"/>
          <w:szCs w:val="28"/>
          <w:shd w:val="clear" w:color="auto" w:fill="FFFFFF"/>
        </w:rPr>
        <w:t xml:space="preserve">que deben asumir los proyectos de </w:t>
      </w:r>
      <w:r w:rsidRPr="00491C4A">
        <w:rPr>
          <w:rFonts w:ascii="Times New Roman" w:hAnsi="Times New Roman"/>
          <w:sz w:val="28"/>
          <w:szCs w:val="28"/>
          <w:shd w:val="clear" w:color="auto" w:fill="FFFFFF"/>
        </w:rPr>
        <w:t xml:space="preserve">generación de energía a partir de fuentes </w:t>
      </w:r>
      <w:r w:rsidRPr="00491C4A">
        <w:rPr>
          <w:rFonts w:ascii="Times New Roman" w:hAnsi="Times New Roman"/>
          <w:sz w:val="28"/>
          <w:szCs w:val="28"/>
          <w:shd w:val="clear" w:color="auto" w:fill="FFFFFF"/>
        </w:rPr>
        <w:t xml:space="preserve">no convencionales de energía </w:t>
      </w:r>
      <w:r w:rsidRPr="00491C4A">
        <w:rPr>
          <w:rFonts w:ascii="Times New Roman" w:hAnsi="Times New Roman"/>
          <w:sz w:val="28"/>
          <w:szCs w:val="28"/>
          <w:shd w:val="clear" w:color="auto" w:fill="FFFFFF"/>
        </w:rPr>
        <w:t>renovable, e</w:t>
      </w:r>
      <w:r w:rsidRPr="00491C4A">
        <w:rPr>
          <w:rFonts w:ascii="Times New Roman" w:hAnsi="Times New Roman"/>
          <w:sz w:val="28"/>
          <w:szCs w:val="28"/>
          <w:shd w:val="clear" w:color="auto" w:fill="FFFFFF"/>
        </w:rPr>
        <w:t>n tanto que el artículo 54 de la Ley 143 de 199</w:t>
      </w:r>
      <w:r w:rsidRPr="00491C4A">
        <w:rPr>
          <w:rFonts w:ascii="Times New Roman" w:hAnsi="Times New Roman"/>
          <w:sz w:val="28"/>
          <w:szCs w:val="28"/>
          <w:shd w:val="clear" w:color="auto" w:fill="FFFFFF"/>
        </w:rPr>
        <w:t xml:space="preserve">4, modificado por el artículo </w:t>
      </w:r>
      <w:r w:rsidRPr="00491C4A">
        <w:rPr>
          <w:rFonts w:ascii="Times New Roman" w:hAnsi="Times New Roman"/>
          <w:sz w:val="28"/>
          <w:szCs w:val="28"/>
          <w:shd w:val="clear" w:color="auto" w:fill="FFFFFF"/>
        </w:rPr>
        <w:t>286 de la Ley 1955 de 2019</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previam</w:t>
      </w:r>
      <w:r w:rsidRPr="00491C4A">
        <w:rPr>
          <w:rFonts w:ascii="Times New Roman" w:hAnsi="Times New Roman"/>
          <w:sz w:val="28"/>
          <w:szCs w:val="28"/>
          <w:shd w:val="clear" w:color="auto" w:fill="FFFFFF"/>
        </w:rPr>
        <w:t xml:space="preserve">ente establecía una tasa menor </w:t>
      </w:r>
      <w:r w:rsidRPr="00491C4A">
        <w:rPr>
          <w:rFonts w:ascii="Times New Roman" w:hAnsi="Times New Roman"/>
          <w:sz w:val="28"/>
          <w:szCs w:val="28"/>
          <w:shd w:val="clear" w:color="auto" w:fill="FFFFFF"/>
        </w:rPr>
        <w:t>a las transferencias eléctricas</w:t>
      </w:r>
      <w:r w:rsidRPr="00491C4A">
        <w:rPr>
          <w:rFonts w:ascii="Times New Roman" w:hAnsi="Times New Roman"/>
          <w:sz w:val="28"/>
          <w:szCs w:val="28"/>
          <w:shd w:val="clear" w:color="auto" w:fill="FFFFFF"/>
        </w:rPr>
        <w:t>.</w:t>
      </w:r>
      <w:r w:rsidRPr="00491C4A">
        <w:rPr>
          <w:rFonts w:ascii="Times New Roman" w:hAnsi="Times New Roman"/>
          <w:sz w:val="28"/>
          <w:szCs w:val="28"/>
          <w:shd w:val="clear" w:color="auto" w:fill="FFFFFF"/>
        </w:rPr>
        <w:t xml:space="preserve"> </w:t>
      </w:r>
    </w:p>
    <w:p w:rsidR="00E56FDF" w:rsidRPr="00491C4A" w:rsidRDefault="00491C4A" w:rsidP="00E56FDF">
      <w:pPr>
        <w:pStyle w:val="Prrafodelista"/>
        <w:rPr>
          <w:rFonts w:ascii="Times New Roman" w:hAnsi="Times New Roman"/>
          <w:sz w:val="28"/>
          <w:szCs w:val="28"/>
          <w:shd w:val="clear" w:color="auto" w:fill="FFFFFF"/>
        </w:rPr>
      </w:pPr>
    </w:p>
    <w:p w:rsidR="002D6447"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La Corte reconoce </w:t>
      </w:r>
      <w:r w:rsidRPr="00491C4A">
        <w:rPr>
          <w:rFonts w:ascii="Times New Roman" w:hAnsi="Times New Roman"/>
          <w:sz w:val="28"/>
          <w:szCs w:val="28"/>
          <w:shd w:val="clear" w:color="auto" w:fill="FFFFFF"/>
        </w:rPr>
        <w:t>que</w:t>
      </w:r>
      <w:r w:rsidRPr="00491C4A">
        <w:rPr>
          <w:rFonts w:ascii="Times New Roman" w:hAnsi="Times New Roman"/>
          <w:sz w:val="28"/>
          <w:szCs w:val="28"/>
          <w:shd w:val="clear" w:color="auto" w:fill="FFFFFF"/>
        </w:rPr>
        <w:t>, tal como lo sugieren los intervinientes, no es claro que una medida que modifica un incentivo tributario pueda ser calificada como una medida regresiva</w:t>
      </w:r>
      <w:r w:rsidRPr="00491C4A">
        <w:rPr>
          <w:rFonts w:ascii="Times New Roman" w:hAnsi="Times New Roman"/>
          <w:sz w:val="28"/>
          <w:szCs w:val="28"/>
          <w:shd w:val="clear" w:color="auto" w:fill="FFFFFF"/>
        </w:rPr>
        <w:t xml:space="preserve"> en materia ambiental</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 xml:space="preserve">Sin embargo, también es cierto </w:t>
      </w:r>
      <w:r w:rsidRPr="00491C4A">
        <w:rPr>
          <w:rFonts w:ascii="Times New Roman" w:hAnsi="Times New Roman"/>
          <w:sz w:val="28"/>
          <w:szCs w:val="28"/>
          <w:shd w:val="clear" w:color="auto" w:fill="FFFFFF"/>
        </w:rPr>
        <w:t xml:space="preserve">que </w:t>
      </w:r>
      <w:r w:rsidRPr="00491C4A">
        <w:rPr>
          <w:rFonts w:ascii="Times New Roman" w:hAnsi="Times New Roman"/>
          <w:sz w:val="28"/>
          <w:szCs w:val="28"/>
          <w:shd w:val="clear" w:color="auto" w:fill="FFFFFF"/>
        </w:rPr>
        <w:t>es razonable inferir que</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el aumento de la carga tributaria puede</w:t>
      </w:r>
      <w:r w:rsidRPr="00491C4A">
        <w:rPr>
          <w:rFonts w:ascii="Times New Roman" w:hAnsi="Times New Roman"/>
          <w:sz w:val="28"/>
          <w:szCs w:val="28"/>
          <w:shd w:val="clear" w:color="auto" w:fill="FFFFFF"/>
        </w:rPr>
        <w:t xml:space="preserve"> </w:t>
      </w:r>
      <w:r w:rsidRPr="00491C4A">
        <w:rPr>
          <w:rFonts w:ascii="Times New Roman" w:hAnsi="Times New Roman"/>
          <w:sz w:val="28"/>
          <w:szCs w:val="28"/>
          <w:shd w:val="clear" w:color="auto" w:fill="FFFFFF"/>
        </w:rPr>
        <w:t xml:space="preserve">generar costos adicionales </w:t>
      </w:r>
      <w:r w:rsidRPr="00491C4A">
        <w:rPr>
          <w:rFonts w:ascii="Times New Roman" w:hAnsi="Times New Roman"/>
          <w:sz w:val="28"/>
          <w:szCs w:val="28"/>
          <w:shd w:val="clear" w:color="auto" w:fill="FFFFFF"/>
        </w:rPr>
        <w:t xml:space="preserve">que desincentiven </w:t>
      </w:r>
      <w:r w:rsidRPr="00491C4A">
        <w:rPr>
          <w:rFonts w:ascii="Times New Roman" w:hAnsi="Times New Roman"/>
          <w:sz w:val="28"/>
          <w:szCs w:val="28"/>
          <w:shd w:val="clear" w:color="auto" w:fill="FFFFFF"/>
        </w:rPr>
        <w:t xml:space="preserve">el desarrollo de proyectos que pueden </w:t>
      </w:r>
      <w:r w:rsidRPr="00491C4A">
        <w:rPr>
          <w:rFonts w:ascii="Times New Roman" w:hAnsi="Times New Roman"/>
          <w:sz w:val="28"/>
          <w:szCs w:val="28"/>
          <w:shd w:val="clear" w:color="auto" w:fill="FFFFFF"/>
        </w:rPr>
        <w:t>mitigar o reducir las emisiones que generan impact</w:t>
      </w:r>
      <w:r w:rsidRPr="00491C4A">
        <w:rPr>
          <w:rFonts w:ascii="Times New Roman" w:hAnsi="Times New Roman"/>
          <w:sz w:val="28"/>
          <w:szCs w:val="28"/>
          <w:shd w:val="clear" w:color="auto" w:fill="FFFFFF"/>
        </w:rPr>
        <w:t>os negativos al ambiental, y esto pueda ser calificado como un retroceso en materia de protección ambiental.</w:t>
      </w:r>
    </w:p>
    <w:p w:rsidR="002D6447" w:rsidRPr="00491C4A" w:rsidRDefault="00491C4A" w:rsidP="002D6447">
      <w:pPr>
        <w:pStyle w:val="Prrafodelista"/>
        <w:rPr>
          <w:rFonts w:ascii="Times New Roman" w:hAnsi="Times New Roman"/>
          <w:sz w:val="28"/>
          <w:szCs w:val="28"/>
          <w:shd w:val="clear" w:color="auto" w:fill="FFFFFF"/>
          <w:lang w:eastAsia="es-MX"/>
        </w:rPr>
      </w:pPr>
    </w:p>
    <w:p w:rsidR="008D5565"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lang w:eastAsia="es-MX"/>
        </w:rPr>
        <w:t xml:space="preserve">La jurisprudencia constitucional ha señalado que </w:t>
      </w:r>
      <w:r w:rsidRPr="00491C4A">
        <w:rPr>
          <w:rFonts w:ascii="Times New Roman" w:hAnsi="Times New Roman"/>
          <w:i/>
          <w:iCs/>
          <w:sz w:val="28"/>
          <w:szCs w:val="28"/>
          <w:shd w:val="clear" w:color="auto" w:fill="FFFFFF"/>
          <w:lang w:eastAsia="es-MX"/>
        </w:rPr>
        <w:t>“las razones que respaldan los cargos de inconstitucionalidad sean ciertas significa que la deman</w:t>
      </w:r>
      <w:r w:rsidRPr="00491C4A">
        <w:rPr>
          <w:rFonts w:ascii="Times New Roman" w:hAnsi="Times New Roman"/>
          <w:i/>
          <w:iCs/>
          <w:sz w:val="28"/>
          <w:szCs w:val="28"/>
          <w:shd w:val="clear" w:color="auto" w:fill="FFFFFF"/>
          <w:lang w:eastAsia="es-MX"/>
        </w:rPr>
        <w:t>da recaiga sobre una proposición jurídica real y existente “y no simplemente [sobre una] deducida por el actor, o implícita” e incluso sobre otras normas vigentes que, en todo caso, no son el objeto concreto de la demanda</w:t>
      </w:r>
      <w:r w:rsidRPr="00491C4A">
        <w:rPr>
          <w:rFonts w:ascii="Times New Roman" w:hAnsi="Times New Roman"/>
          <w:i/>
          <w:iCs/>
          <w:sz w:val="28"/>
          <w:szCs w:val="28"/>
          <w:lang w:eastAsia="es-MX"/>
        </w:rPr>
        <w:t>.</w:t>
      </w:r>
      <w:r w:rsidRPr="00491C4A">
        <w:rPr>
          <w:rFonts w:ascii="Times New Roman" w:hAnsi="Times New Roman"/>
          <w:i/>
          <w:iCs/>
          <w:sz w:val="28"/>
          <w:szCs w:val="28"/>
          <w:shd w:val="clear" w:color="auto" w:fill="FFFFFF"/>
          <w:lang w:eastAsia="es-MX"/>
        </w:rPr>
        <w:t>  Así, el ejercicio de la acción pública de inconstitucionalidad supone la confrontación del texto constitucional con una norma legal que tiene un contenido verificable a partir de la interpretación de su propio texto; “esa técnica de control difiere, ento</w:t>
      </w:r>
      <w:r w:rsidRPr="00491C4A">
        <w:rPr>
          <w:rFonts w:ascii="Times New Roman" w:hAnsi="Times New Roman"/>
          <w:i/>
          <w:iCs/>
          <w:sz w:val="28"/>
          <w:szCs w:val="28"/>
          <w:shd w:val="clear" w:color="auto" w:fill="FFFFFF"/>
          <w:lang w:eastAsia="es-MX"/>
        </w:rPr>
        <w:t>nces, de aquella [otra] encaminada a establecer proposiciones inexistentes, que no han sido suministradas por el legislador, para pretender deducir la inconstitucionalidad de las mismas cuando del texto normativo no se desprenden.”</w:t>
      </w:r>
      <w:r w:rsidRPr="00491C4A">
        <w:rPr>
          <w:rStyle w:val="Refdenotaalpie"/>
          <w:rFonts w:ascii="Times New Roman" w:hAnsi="Times New Roman"/>
          <w:i/>
          <w:iCs/>
          <w:sz w:val="28"/>
          <w:szCs w:val="28"/>
          <w:shd w:val="clear" w:color="auto" w:fill="FFFFFF"/>
          <w:lang w:eastAsia="es-MX"/>
        </w:rPr>
        <w:footnoteReference w:id="77"/>
      </w:r>
    </w:p>
    <w:p w:rsidR="008D5565" w:rsidRPr="00491C4A" w:rsidRDefault="00491C4A" w:rsidP="008D5565">
      <w:pPr>
        <w:pStyle w:val="Prrafodelista"/>
        <w:rPr>
          <w:rFonts w:ascii="Times New Roman" w:hAnsi="Times New Roman"/>
          <w:sz w:val="28"/>
          <w:szCs w:val="28"/>
        </w:rPr>
      </w:pPr>
    </w:p>
    <w:p w:rsidR="008D5565"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rPr>
        <w:t xml:space="preserve">En la Sentencia C-272 </w:t>
      </w:r>
      <w:r w:rsidRPr="00491C4A">
        <w:rPr>
          <w:rFonts w:ascii="Times New Roman" w:hAnsi="Times New Roman"/>
          <w:sz w:val="28"/>
          <w:szCs w:val="28"/>
        </w:rPr>
        <w:t xml:space="preserve">de 2022 la Corte </w:t>
      </w:r>
      <w:r w:rsidRPr="00491C4A">
        <w:rPr>
          <w:rFonts w:ascii="Times New Roman" w:hAnsi="Times New Roman"/>
          <w:sz w:val="28"/>
          <w:szCs w:val="28"/>
        </w:rPr>
        <w:t xml:space="preserve">reiteró que cuando </w:t>
      </w:r>
      <w:r w:rsidRPr="00491C4A">
        <w:rPr>
          <w:rFonts w:ascii="Times New Roman" w:hAnsi="Times New Roman"/>
          <w:sz w:val="28"/>
          <w:szCs w:val="28"/>
        </w:rPr>
        <w:t>el mérito del cargo dependa de determinar la naturaleza o el alcance de la disposición acusada, cuando estos no son evidentes</w:t>
      </w:r>
      <w:r w:rsidRPr="00491C4A">
        <w:rPr>
          <w:rFonts w:ascii="Times New Roman" w:hAnsi="Times New Roman"/>
          <w:sz w:val="28"/>
          <w:szCs w:val="28"/>
        </w:rPr>
        <w:t xml:space="preserve">, </w:t>
      </w:r>
      <w:r w:rsidRPr="00491C4A">
        <w:rPr>
          <w:rFonts w:ascii="Times New Roman" w:hAnsi="Times New Roman"/>
          <w:sz w:val="28"/>
          <w:szCs w:val="28"/>
        </w:rPr>
        <w:t>la Corte debe maximizar la garantía democrática que subyace a la acción pública de inconstitu</w:t>
      </w:r>
      <w:r w:rsidRPr="00491C4A">
        <w:rPr>
          <w:rFonts w:ascii="Times New Roman" w:hAnsi="Times New Roman"/>
          <w:sz w:val="28"/>
          <w:szCs w:val="28"/>
        </w:rPr>
        <w:t xml:space="preserve">cionalidad. </w:t>
      </w:r>
      <w:r w:rsidRPr="00491C4A">
        <w:rPr>
          <w:rFonts w:ascii="Times New Roman" w:hAnsi="Times New Roman"/>
          <w:sz w:val="28"/>
          <w:szCs w:val="28"/>
        </w:rPr>
        <w:t>Esto, por cuanto, l</w:t>
      </w:r>
      <w:r w:rsidRPr="00491C4A">
        <w:rPr>
          <w:rFonts w:ascii="Times New Roman" w:hAnsi="Times New Roman"/>
          <w:sz w:val="28"/>
          <w:szCs w:val="28"/>
        </w:rPr>
        <w:t xml:space="preserve">a aparente tensión existente entre el carácter público de la acción de inconstitucionalidad y la exigencia de una carga argumentativa mínima a los ciudadanos demandantes se resuelve mediante la prevalencia del principio </w:t>
      </w:r>
      <w:r w:rsidRPr="00491C4A">
        <w:rPr>
          <w:rFonts w:ascii="Times New Roman" w:hAnsi="Times New Roman"/>
          <w:i/>
          <w:iCs/>
          <w:sz w:val="28"/>
          <w:szCs w:val="28"/>
        </w:rPr>
        <w:t>pro a</w:t>
      </w:r>
      <w:r w:rsidRPr="00491C4A">
        <w:rPr>
          <w:rFonts w:ascii="Times New Roman" w:hAnsi="Times New Roman"/>
          <w:i/>
          <w:iCs/>
          <w:sz w:val="28"/>
          <w:szCs w:val="28"/>
        </w:rPr>
        <w:t>ctione</w:t>
      </w:r>
      <w:r w:rsidRPr="00491C4A">
        <w:rPr>
          <w:rFonts w:ascii="Times New Roman" w:hAnsi="Times New Roman"/>
          <w:sz w:val="28"/>
          <w:szCs w:val="28"/>
        </w:rPr>
        <w:t>, en virtud del cual, en caso de duda razonable sobre la procedencia de un recurso de defensa judicial se prefiera su estudio de fondo sobre su improcedencia</w:t>
      </w:r>
      <w:r w:rsidRPr="00491C4A">
        <w:rPr>
          <w:rFonts w:ascii="Times New Roman" w:hAnsi="Times New Roman"/>
          <w:sz w:val="28"/>
          <w:szCs w:val="28"/>
          <w:vertAlign w:val="superscript"/>
        </w:rPr>
        <w:footnoteReference w:id="78"/>
      </w:r>
      <w:r w:rsidRPr="00491C4A">
        <w:rPr>
          <w:rFonts w:ascii="Times New Roman" w:hAnsi="Times New Roman"/>
          <w:sz w:val="28"/>
          <w:szCs w:val="28"/>
        </w:rPr>
        <w:t xml:space="preserve">. </w:t>
      </w:r>
      <w:r w:rsidRPr="00491C4A">
        <w:rPr>
          <w:rFonts w:ascii="Times New Roman" w:hAnsi="Times New Roman"/>
          <w:sz w:val="28"/>
          <w:szCs w:val="28"/>
        </w:rPr>
        <w:t>Así, de manera excepcional, cuando el alcance de la disposición acusada admita varias inte</w:t>
      </w:r>
      <w:r w:rsidRPr="00491C4A">
        <w:rPr>
          <w:rFonts w:ascii="Times New Roman" w:hAnsi="Times New Roman"/>
          <w:sz w:val="28"/>
          <w:szCs w:val="28"/>
        </w:rPr>
        <w:t xml:space="preserve">rpretaciones </w:t>
      </w:r>
      <w:r w:rsidRPr="00491C4A">
        <w:rPr>
          <w:rFonts w:ascii="Times New Roman" w:hAnsi="Times New Roman"/>
          <w:sz w:val="28"/>
          <w:szCs w:val="28"/>
          <w:lang w:val="es-ES"/>
        </w:rPr>
        <w:t>posibles, su análisis habrá de efectuarse en una decisión de fondo y no mediante un pronunciamiento inhibitorio.</w:t>
      </w:r>
    </w:p>
    <w:p w:rsidR="008D5565" w:rsidRPr="00491C4A" w:rsidRDefault="00491C4A" w:rsidP="008D5565">
      <w:pPr>
        <w:pStyle w:val="Prrafodelista"/>
        <w:rPr>
          <w:rFonts w:ascii="Times New Roman" w:hAnsi="Times New Roman"/>
          <w:sz w:val="28"/>
          <w:szCs w:val="28"/>
          <w:lang w:val="es-ES"/>
        </w:rPr>
      </w:pPr>
    </w:p>
    <w:p w:rsidR="00434117"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lang w:val="es-ES"/>
        </w:rPr>
        <w:t xml:space="preserve">Admitir lo contrario implicaría negar a los ciudadanos el ejercicio de la acción pública de inconstitucionalidad sobre una disposición </w:t>
      </w:r>
      <w:r w:rsidRPr="00491C4A">
        <w:rPr>
          <w:rFonts w:ascii="Times New Roman" w:hAnsi="Times New Roman"/>
          <w:sz w:val="28"/>
          <w:szCs w:val="28"/>
          <w:lang w:val="es-ES"/>
        </w:rPr>
        <w:t xml:space="preserve">cuyo alcance </w:t>
      </w:r>
      <w:r w:rsidRPr="00491C4A">
        <w:rPr>
          <w:rFonts w:ascii="Times New Roman" w:hAnsi="Times New Roman"/>
          <w:sz w:val="28"/>
          <w:szCs w:val="28"/>
          <w:lang w:val="es-ES"/>
        </w:rPr>
        <w:t>no es unívoc</w:t>
      </w:r>
      <w:r w:rsidRPr="00491C4A">
        <w:rPr>
          <w:rFonts w:ascii="Times New Roman" w:hAnsi="Times New Roman"/>
          <w:sz w:val="28"/>
          <w:szCs w:val="28"/>
          <w:lang w:val="es-ES"/>
        </w:rPr>
        <w:t>o</w:t>
      </w:r>
      <w:r w:rsidRPr="00491C4A">
        <w:rPr>
          <w:rFonts w:ascii="Times New Roman" w:hAnsi="Times New Roman"/>
          <w:sz w:val="28"/>
          <w:szCs w:val="28"/>
          <w:lang w:val="es-ES"/>
        </w:rPr>
        <w:t>. Por ello, si la Corte encuentra que la interpretación de la disposición contra la cual se dir</w:t>
      </w:r>
      <w:r w:rsidRPr="00491C4A">
        <w:rPr>
          <w:rFonts w:ascii="Times New Roman" w:hAnsi="Times New Roman"/>
          <w:sz w:val="28"/>
          <w:szCs w:val="28"/>
          <w:lang w:val="es-ES"/>
        </w:rPr>
        <w:t xml:space="preserve">ige la acusación es plausible y razonable, y no obedece únicamente a una posición personal del accionante, en virtud del principio </w:t>
      </w:r>
      <w:r w:rsidRPr="00491C4A">
        <w:rPr>
          <w:rFonts w:ascii="Times New Roman" w:hAnsi="Times New Roman"/>
          <w:i/>
          <w:iCs/>
          <w:sz w:val="28"/>
          <w:szCs w:val="28"/>
          <w:lang w:val="es-ES"/>
        </w:rPr>
        <w:t xml:space="preserve">pro actione </w:t>
      </w:r>
      <w:r w:rsidRPr="00491C4A">
        <w:rPr>
          <w:rFonts w:ascii="Times New Roman" w:hAnsi="Times New Roman"/>
          <w:sz w:val="28"/>
          <w:szCs w:val="28"/>
          <w:lang w:val="es-ES"/>
        </w:rPr>
        <w:t xml:space="preserve">deberá estudiar el asunto de fondo. En contraste, cuando la Corte debe interpretar por sí misma, o de oficio, el </w:t>
      </w:r>
      <w:r w:rsidRPr="00491C4A">
        <w:rPr>
          <w:rFonts w:ascii="Times New Roman" w:hAnsi="Times New Roman"/>
          <w:sz w:val="28"/>
          <w:szCs w:val="28"/>
          <w:lang w:val="es-ES"/>
        </w:rPr>
        <w:t>sentido de la disposición o de la norma acusada o, cuando la interpretación dada por el ciudadano no es razonable o corresponde a su opinión personal y aislada de forma que el cargo formulado no genere una duda seria de inconstitucionalidad, será procedent</w:t>
      </w:r>
      <w:r w:rsidRPr="00491C4A">
        <w:rPr>
          <w:rFonts w:ascii="Times New Roman" w:hAnsi="Times New Roman"/>
          <w:sz w:val="28"/>
          <w:szCs w:val="28"/>
          <w:lang w:val="es-ES"/>
        </w:rPr>
        <w:t xml:space="preserve">e un fallo inhibitorio.  </w:t>
      </w:r>
    </w:p>
    <w:p w:rsidR="007200D7" w:rsidRPr="00491C4A" w:rsidRDefault="00491C4A" w:rsidP="008D5565">
      <w:pPr>
        <w:rPr>
          <w:rFonts w:ascii="Times New Roman" w:hAnsi="Times New Roman"/>
          <w:sz w:val="28"/>
          <w:szCs w:val="28"/>
          <w:shd w:val="clear" w:color="auto" w:fill="FFFFFF"/>
        </w:rPr>
      </w:pPr>
    </w:p>
    <w:p w:rsidR="002975A8" w:rsidRPr="00491C4A" w:rsidRDefault="00491C4A" w:rsidP="006911AD">
      <w:pPr>
        <w:pStyle w:val="Prrafodelista"/>
        <w:numPr>
          <w:ilvl w:val="0"/>
          <w:numId w:val="4"/>
        </w:numPr>
        <w:ind w:left="0" w:firstLine="0"/>
        <w:jc w:val="both"/>
        <w:rPr>
          <w:rFonts w:ascii="Times New Roman" w:hAnsi="Times New Roman"/>
          <w:sz w:val="28"/>
          <w:szCs w:val="28"/>
          <w:shd w:val="clear" w:color="auto" w:fill="FFFFFF"/>
        </w:rPr>
      </w:pPr>
      <w:r w:rsidRPr="00491C4A">
        <w:rPr>
          <w:rFonts w:ascii="Times New Roman" w:hAnsi="Times New Roman"/>
          <w:sz w:val="28"/>
          <w:szCs w:val="28"/>
          <w:shd w:val="clear" w:color="auto" w:fill="FFFFFF"/>
        </w:rPr>
        <w:t xml:space="preserve">Por lo anterior, la Sala </w:t>
      </w:r>
      <w:r w:rsidRPr="00491C4A">
        <w:rPr>
          <w:rFonts w:ascii="Times New Roman" w:hAnsi="Times New Roman"/>
          <w:sz w:val="28"/>
          <w:szCs w:val="28"/>
          <w:shd w:val="clear" w:color="auto" w:fill="FFFFFF"/>
        </w:rPr>
        <w:t>no accederá a la petición de</w:t>
      </w:r>
      <w:r w:rsidRPr="00491C4A">
        <w:rPr>
          <w:rFonts w:ascii="Times New Roman" w:hAnsi="Times New Roman"/>
          <w:sz w:val="28"/>
          <w:szCs w:val="28"/>
          <w:shd w:val="clear" w:color="auto" w:fill="FFFFFF"/>
        </w:rPr>
        <w:t xml:space="preserve">l </w:t>
      </w:r>
      <w:r w:rsidRPr="00491C4A">
        <w:rPr>
          <w:rFonts w:ascii="Times New Roman" w:hAnsi="Times New Roman"/>
          <w:sz w:val="28"/>
          <w:szCs w:val="28"/>
          <w:shd w:val="clear" w:color="auto" w:fill="FFFFFF"/>
        </w:rPr>
        <w:t xml:space="preserve">Ministerio de Ambiente y Desarrollo Sostenible </w:t>
      </w:r>
      <w:r w:rsidRPr="00491C4A">
        <w:rPr>
          <w:rFonts w:ascii="Times New Roman" w:hAnsi="Times New Roman"/>
          <w:sz w:val="28"/>
          <w:szCs w:val="28"/>
          <w:shd w:val="clear" w:color="auto" w:fill="FFFFFF"/>
        </w:rPr>
        <w:t xml:space="preserve">y </w:t>
      </w:r>
      <w:r w:rsidRPr="00491C4A">
        <w:rPr>
          <w:rFonts w:ascii="Times New Roman" w:hAnsi="Times New Roman"/>
          <w:sz w:val="28"/>
          <w:szCs w:val="28"/>
          <w:shd w:val="clear" w:color="auto" w:fill="FFFFFF"/>
        </w:rPr>
        <w:t xml:space="preserve">del Departamento Administrativo de </w:t>
      </w:r>
      <w:r w:rsidRPr="00491C4A">
        <w:rPr>
          <w:rFonts w:ascii="Times New Roman" w:hAnsi="Times New Roman"/>
          <w:sz w:val="28"/>
          <w:szCs w:val="28"/>
          <w:shd w:val="clear" w:color="auto" w:fill="FFFFFF"/>
        </w:rPr>
        <w:t xml:space="preserve">la Presidencia de la República </w:t>
      </w:r>
      <w:r w:rsidRPr="00491C4A">
        <w:rPr>
          <w:rFonts w:ascii="Times New Roman" w:hAnsi="Times New Roman"/>
          <w:sz w:val="28"/>
          <w:szCs w:val="28"/>
          <w:shd w:val="clear" w:color="auto" w:fill="FFFFFF"/>
        </w:rPr>
        <w:t>de inhibirse respecto del cuarto cargo de inconstitucionali</w:t>
      </w:r>
      <w:r w:rsidRPr="00491C4A">
        <w:rPr>
          <w:rFonts w:ascii="Times New Roman" w:hAnsi="Times New Roman"/>
          <w:sz w:val="28"/>
          <w:szCs w:val="28"/>
          <w:shd w:val="clear" w:color="auto" w:fill="FFFFFF"/>
        </w:rPr>
        <w:t xml:space="preserve">dad de la demanda y </w:t>
      </w:r>
      <w:r w:rsidRPr="00491C4A">
        <w:rPr>
          <w:rFonts w:ascii="Times New Roman" w:hAnsi="Times New Roman"/>
          <w:sz w:val="28"/>
          <w:szCs w:val="28"/>
          <w:shd w:val="clear" w:color="auto" w:fill="FFFFFF"/>
        </w:rPr>
        <w:t>procederá a estudiar</w:t>
      </w:r>
      <w:r w:rsidRPr="00491C4A">
        <w:rPr>
          <w:rFonts w:ascii="Times New Roman" w:hAnsi="Times New Roman"/>
          <w:sz w:val="28"/>
          <w:szCs w:val="28"/>
          <w:shd w:val="clear" w:color="auto" w:fill="FFFFFF"/>
        </w:rPr>
        <w:t>lo</w:t>
      </w:r>
      <w:r w:rsidRPr="00491C4A">
        <w:rPr>
          <w:rFonts w:ascii="Times New Roman" w:hAnsi="Times New Roman"/>
          <w:sz w:val="28"/>
          <w:szCs w:val="28"/>
          <w:shd w:val="clear" w:color="auto" w:fill="FFFFFF"/>
        </w:rPr>
        <w:t xml:space="preserve"> de fondo</w:t>
      </w:r>
      <w:r w:rsidRPr="00491C4A">
        <w:rPr>
          <w:rFonts w:ascii="Times New Roman" w:hAnsi="Times New Roman"/>
          <w:sz w:val="28"/>
          <w:szCs w:val="28"/>
          <w:shd w:val="clear" w:color="auto" w:fill="FFFFFF"/>
        </w:rPr>
        <w:t>.</w:t>
      </w:r>
    </w:p>
    <w:p w:rsidR="00B27C89" w:rsidRPr="00491C4A" w:rsidRDefault="00491C4A" w:rsidP="00B27C89">
      <w:pPr>
        <w:pStyle w:val="Prrafodelista"/>
        <w:ind w:left="0"/>
        <w:jc w:val="both"/>
        <w:rPr>
          <w:rFonts w:ascii="Times New Roman" w:hAnsi="Times New Roman"/>
          <w:sz w:val="28"/>
          <w:szCs w:val="28"/>
          <w:shd w:val="clear" w:color="auto" w:fill="FFFFFF"/>
        </w:rPr>
      </w:pPr>
    </w:p>
    <w:p w:rsidR="003F53A2" w:rsidRPr="00491C4A" w:rsidRDefault="00491C4A" w:rsidP="00B27C89">
      <w:pPr>
        <w:pStyle w:val="Prrafodelista"/>
        <w:ind w:left="0"/>
        <w:jc w:val="both"/>
        <w:rPr>
          <w:rFonts w:ascii="Times New Roman" w:hAnsi="Times New Roman"/>
          <w:sz w:val="28"/>
          <w:szCs w:val="28"/>
          <w:shd w:val="clear" w:color="auto" w:fill="FFFFFF"/>
        </w:rPr>
      </w:pPr>
    </w:p>
    <w:p w:rsidR="00D05B5E" w:rsidRPr="00491C4A" w:rsidRDefault="00491C4A">
      <w:pPr>
        <w:pStyle w:val="Ttulo2"/>
        <w:numPr>
          <w:ilvl w:val="0"/>
          <w:numId w:val="7"/>
        </w:numPr>
        <w:spacing w:before="0" w:after="0"/>
        <w:ind w:left="0" w:firstLine="0"/>
        <w:jc w:val="both"/>
        <w:rPr>
          <w:rFonts w:ascii="Times New Roman" w:hAnsi="Times New Roman"/>
          <w:b/>
          <w:bCs/>
          <w:color w:val="auto"/>
          <w:sz w:val="28"/>
          <w:szCs w:val="28"/>
        </w:rPr>
      </w:pPr>
      <w:bookmarkStart w:id="31" w:name="_Toc200753665"/>
      <w:r w:rsidRPr="00491C4A">
        <w:rPr>
          <w:rFonts w:ascii="Times New Roman" w:hAnsi="Times New Roman"/>
          <w:b/>
          <w:bCs/>
          <w:color w:val="auto"/>
          <w:sz w:val="28"/>
          <w:szCs w:val="28"/>
        </w:rPr>
        <w:t>Problema</w:t>
      </w:r>
      <w:r w:rsidRPr="00491C4A">
        <w:rPr>
          <w:rFonts w:ascii="Times New Roman" w:hAnsi="Times New Roman"/>
          <w:b/>
          <w:bCs/>
          <w:color w:val="auto"/>
          <w:sz w:val="28"/>
          <w:szCs w:val="28"/>
        </w:rPr>
        <w:t>s</w:t>
      </w:r>
      <w:r w:rsidRPr="00491C4A">
        <w:rPr>
          <w:rFonts w:ascii="Times New Roman" w:hAnsi="Times New Roman"/>
          <w:b/>
          <w:bCs/>
          <w:color w:val="auto"/>
          <w:sz w:val="28"/>
          <w:szCs w:val="28"/>
        </w:rPr>
        <w:t xml:space="preserve"> jurídicos y metodología de </w:t>
      </w:r>
      <w:r w:rsidRPr="00491C4A">
        <w:rPr>
          <w:rFonts w:ascii="Times New Roman" w:hAnsi="Times New Roman"/>
          <w:b/>
          <w:bCs/>
          <w:color w:val="auto"/>
          <w:sz w:val="28"/>
          <w:szCs w:val="28"/>
        </w:rPr>
        <w:t xml:space="preserve">la </w:t>
      </w:r>
      <w:r w:rsidRPr="00491C4A">
        <w:rPr>
          <w:rFonts w:ascii="Times New Roman" w:hAnsi="Times New Roman"/>
          <w:b/>
          <w:bCs/>
          <w:color w:val="auto"/>
          <w:sz w:val="28"/>
          <w:szCs w:val="28"/>
        </w:rPr>
        <w:t>decisión</w:t>
      </w:r>
      <w:bookmarkEnd w:id="31"/>
    </w:p>
    <w:p w:rsidR="00D05B5E" w:rsidRPr="00491C4A" w:rsidRDefault="00491C4A" w:rsidP="00D05B5E">
      <w:pPr>
        <w:rPr>
          <w:rFonts w:ascii="Times New Roman" w:hAnsi="Times New Roman"/>
          <w:sz w:val="28"/>
          <w:szCs w:val="28"/>
        </w:rPr>
      </w:pPr>
    </w:p>
    <w:p w:rsidR="00A02D7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Corresponde a la Sala Plena </w:t>
      </w:r>
      <w:r w:rsidRPr="00491C4A">
        <w:rPr>
          <w:rFonts w:ascii="Times New Roman" w:hAnsi="Times New Roman"/>
          <w:sz w:val="28"/>
          <w:szCs w:val="28"/>
        </w:rPr>
        <w:t>resolver los s</w:t>
      </w:r>
      <w:r w:rsidRPr="00491C4A">
        <w:rPr>
          <w:rFonts w:ascii="Times New Roman" w:hAnsi="Times New Roman"/>
          <w:sz w:val="28"/>
          <w:szCs w:val="28"/>
        </w:rPr>
        <w:t xml:space="preserve">iguientes problemas jurídicos. </w:t>
      </w:r>
    </w:p>
    <w:p w:rsidR="00A02D7E" w:rsidRPr="00491C4A" w:rsidRDefault="00491C4A" w:rsidP="00A02D7E">
      <w:pPr>
        <w:pStyle w:val="Prrafodelista"/>
        <w:ind w:left="0"/>
        <w:jc w:val="both"/>
        <w:rPr>
          <w:rFonts w:ascii="Times New Roman" w:hAnsi="Times New Roman"/>
          <w:sz w:val="28"/>
          <w:szCs w:val="28"/>
        </w:rPr>
      </w:pPr>
    </w:p>
    <w:p w:rsidR="007C07B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b/>
          <w:bCs/>
          <w:sz w:val="28"/>
          <w:szCs w:val="28"/>
        </w:rPr>
        <w:t>Primer problema jurídico:</w:t>
      </w:r>
      <w:r w:rsidRPr="00491C4A">
        <w:rPr>
          <w:rFonts w:ascii="Times New Roman" w:hAnsi="Times New Roman"/>
          <w:sz w:val="28"/>
          <w:szCs w:val="28"/>
        </w:rPr>
        <w:t xml:space="preserve"> </w:t>
      </w:r>
      <w:r w:rsidRPr="00491C4A">
        <w:rPr>
          <w:rFonts w:ascii="Times New Roman" w:hAnsi="Times New Roman"/>
          <w:sz w:val="28"/>
          <w:szCs w:val="28"/>
        </w:rPr>
        <w:t>¿El Congreso de la República vulneró el principio de consecutividad previsto en el artículo 157 de la Constitución Política, al aprobar el</w:t>
      </w:r>
      <w:r w:rsidRPr="00491C4A">
        <w:rPr>
          <w:rFonts w:ascii="Times New Roman" w:hAnsi="Times New Roman"/>
          <w:sz w:val="28"/>
          <w:szCs w:val="28"/>
        </w:rPr>
        <w:t xml:space="preserve"> artículo 233 de la Ley 2294 de 2023, </w:t>
      </w:r>
      <w:r w:rsidRPr="00491C4A">
        <w:rPr>
          <w:rFonts w:ascii="Times New Roman" w:hAnsi="Times New Roman"/>
          <w:sz w:val="28"/>
          <w:szCs w:val="28"/>
        </w:rPr>
        <w:t xml:space="preserve">por la negativa de la mesa directiva </w:t>
      </w:r>
      <w:r w:rsidRPr="00491C4A">
        <w:rPr>
          <w:rFonts w:ascii="Times New Roman" w:hAnsi="Times New Roman"/>
          <w:sz w:val="28"/>
          <w:szCs w:val="28"/>
        </w:rPr>
        <w:t>d</w:t>
      </w:r>
      <w:r w:rsidRPr="00491C4A">
        <w:rPr>
          <w:rFonts w:ascii="Times New Roman" w:hAnsi="Times New Roman"/>
          <w:sz w:val="28"/>
          <w:szCs w:val="28"/>
        </w:rPr>
        <w:t>e</w:t>
      </w:r>
      <w:r w:rsidRPr="00491C4A">
        <w:rPr>
          <w:rFonts w:ascii="Times New Roman" w:hAnsi="Times New Roman"/>
          <w:sz w:val="28"/>
          <w:szCs w:val="28"/>
        </w:rPr>
        <w:t xml:space="preserve"> la plenaria de la Cámara de Representant</w:t>
      </w:r>
      <w:r w:rsidRPr="00491C4A">
        <w:rPr>
          <w:rFonts w:ascii="Times New Roman" w:hAnsi="Times New Roman"/>
          <w:sz w:val="28"/>
          <w:szCs w:val="28"/>
        </w:rPr>
        <w:t>es</w:t>
      </w:r>
      <w:r w:rsidRPr="00491C4A">
        <w:rPr>
          <w:rFonts w:ascii="Times New Roman" w:hAnsi="Times New Roman"/>
          <w:sz w:val="28"/>
          <w:szCs w:val="28"/>
        </w:rPr>
        <w:t xml:space="preserve"> a</w:t>
      </w:r>
      <w:r w:rsidRPr="00491C4A">
        <w:rPr>
          <w:rFonts w:ascii="Times New Roman" w:hAnsi="Times New Roman"/>
          <w:sz w:val="28"/>
          <w:szCs w:val="28"/>
        </w:rPr>
        <w:t xml:space="preserve"> reabrir la discusión sobre esa disposición </w:t>
      </w:r>
      <w:r w:rsidRPr="00491C4A">
        <w:rPr>
          <w:rFonts w:ascii="Times New Roman" w:hAnsi="Times New Roman"/>
          <w:sz w:val="28"/>
          <w:szCs w:val="28"/>
        </w:rPr>
        <w:t xml:space="preserve">que había sido </w:t>
      </w:r>
      <w:r w:rsidRPr="00491C4A">
        <w:rPr>
          <w:rFonts w:ascii="Times New Roman" w:hAnsi="Times New Roman"/>
          <w:sz w:val="28"/>
          <w:szCs w:val="28"/>
        </w:rPr>
        <w:t>solicitada</w:t>
      </w:r>
      <w:r w:rsidRPr="00491C4A">
        <w:rPr>
          <w:rFonts w:ascii="Times New Roman" w:hAnsi="Times New Roman"/>
          <w:sz w:val="28"/>
          <w:szCs w:val="28"/>
        </w:rPr>
        <w:t xml:space="preserve"> en una proposición</w:t>
      </w:r>
      <w:r w:rsidRPr="00491C4A">
        <w:rPr>
          <w:rFonts w:ascii="Times New Roman" w:hAnsi="Times New Roman"/>
          <w:sz w:val="28"/>
          <w:szCs w:val="28"/>
        </w:rPr>
        <w:t>?</w:t>
      </w:r>
    </w:p>
    <w:p w:rsidR="007C07B6" w:rsidRPr="00491C4A" w:rsidRDefault="00491C4A" w:rsidP="007C07B6">
      <w:pPr>
        <w:pStyle w:val="Prrafodelista"/>
        <w:rPr>
          <w:rFonts w:ascii="Times New Roman" w:hAnsi="Times New Roman"/>
          <w:b/>
          <w:bCs/>
          <w:sz w:val="28"/>
          <w:szCs w:val="28"/>
        </w:rPr>
      </w:pPr>
    </w:p>
    <w:p w:rsidR="007C07B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b/>
          <w:bCs/>
          <w:sz w:val="28"/>
          <w:szCs w:val="28"/>
        </w:rPr>
        <w:t>Segundo problema jurídico:</w:t>
      </w:r>
      <w:r w:rsidRPr="00491C4A">
        <w:rPr>
          <w:rFonts w:ascii="Times New Roman" w:hAnsi="Times New Roman"/>
          <w:sz w:val="28"/>
          <w:szCs w:val="28"/>
        </w:rPr>
        <w:t xml:space="preserve"> </w:t>
      </w:r>
      <w:r w:rsidRPr="00491C4A">
        <w:rPr>
          <w:rFonts w:ascii="Times New Roman" w:hAnsi="Times New Roman"/>
          <w:sz w:val="28"/>
          <w:szCs w:val="28"/>
        </w:rPr>
        <w:t xml:space="preserve">¿El </w:t>
      </w:r>
      <w:r w:rsidRPr="00491C4A">
        <w:rPr>
          <w:rFonts w:ascii="Times New Roman" w:hAnsi="Times New Roman"/>
          <w:sz w:val="28"/>
          <w:szCs w:val="28"/>
        </w:rPr>
        <w:t>art</w:t>
      </w:r>
      <w:r w:rsidRPr="00491C4A">
        <w:rPr>
          <w:rFonts w:ascii="Times New Roman" w:hAnsi="Times New Roman"/>
          <w:sz w:val="28"/>
          <w:szCs w:val="28"/>
        </w:rPr>
        <w:t>ículo 233 de la Ley 2294 de 2023</w:t>
      </w:r>
      <w:r w:rsidRPr="00491C4A">
        <w:rPr>
          <w:rFonts w:ascii="Times New Roman" w:hAnsi="Times New Roman"/>
          <w:sz w:val="28"/>
          <w:szCs w:val="28"/>
        </w:rPr>
        <w:t xml:space="preserve"> vulnera los principios de legalidad y certeza tributaria previst</w:t>
      </w:r>
      <w:r w:rsidRPr="00491C4A">
        <w:rPr>
          <w:rFonts w:ascii="Times New Roman" w:hAnsi="Times New Roman"/>
          <w:sz w:val="28"/>
          <w:szCs w:val="28"/>
        </w:rPr>
        <w:t>o</w:t>
      </w:r>
      <w:r w:rsidRPr="00491C4A">
        <w:rPr>
          <w:rFonts w:ascii="Times New Roman" w:hAnsi="Times New Roman"/>
          <w:sz w:val="28"/>
          <w:szCs w:val="28"/>
        </w:rPr>
        <w:t>s en los artículos 150.12 y 3</w:t>
      </w:r>
      <w:r w:rsidRPr="00491C4A">
        <w:rPr>
          <w:rFonts w:ascii="Times New Roman" w:hAnsi="Times New Roman"/>
          <w:sz w:val="28"/>
          <w:szCs w:val="28"/>
        </w:rPr>
        <w:t>38 de la Constitución Política por</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a)</w:t>
      </w:r>
      <w:r w:rsidRPr="00491C4A">
        <w:rPr>
          <w:rFonts w:ascii="Times New Roman" w:hAnsi="Times New Roman"/>
          <w:sz w:val="28"/>
          <w:szCs w:val="28"/>
        </w:rPr>
        <w:t xml:space="preserve"> </w:t>
      </w:r>
      <w:r w:rsidRPr="00491C4A">
        <w:rPr>
          <w:rFonts w:ascii="Times New Roman" w:hAnsi="Times New Roman"/>
          <w:sz w:val="28"/>
          <w:szCs w:val="28"/>
        </w:rPr>
        <w:t xml:space="preserve">no determinar de forma precisa </w:t>
      </w:r>
      <w:r w:rsidRPr="00491C4A">
        <w:rPr>
          <w:rFonts w:ascii="Times New Roman" w:hAnsi="Times New Roman"/>
          <w:sz w:val="28"/>
          <w:szCs w:val="28"/>
        </w:rPr>
        <w:t xml:space="preserve">uno de </w:t>
      </w:r>
      <w:r w:rsidRPr="00491C4A">
        <w:rPr>
          <w:rFonts w:ascii="Times New Roman" w:hAnsi="Times New Roman"/>
          <w:sz w:val="28"/>
          <w:szCs w:val="28"/>
        </w:rPr>
        <w:t>los</w:t>
      </w:r>
      <w:r w:rsidRPr="00491C4A">
        <w:rPr>
          <w:rFonts w:ascii="Times New Roman" w:hAnsi="Times New Roman"/>
          <w:sz w:val="28"/>
          <w:szCs w:val="28"/>
        </w:rPr>
        <w:t xml:space="preserve"> sujeto</w:t>
      </w:r>
      <w:r w:rsidRPr="00491C4A">
        <w:rPr>
          <w:rFonts w:ascii="Times New Roman" w:hAnsi="Times New Roman"/>
          <w:sz w:val="28"/>
          <w:szCs w:val="28"/>
        </w:rPr>
        <w:t>s</w:t>
      </w:r>
      <w:r w:rsidRPr="00491C4A">
        <w:rPr>
          <w:rFonts w:ascii="Times New Roman" w:hAnsi="Times New Roman"/>
          <w:sz w:val="28"/>
          <w:szCs w:val="28"/>
        </w:rPr>
        <w:t xml:space="preserve"> pasivo</w:t>
      </w:r>
      <w:r w:rsidRPr="00491C4A">
        <w:rPr>
          <w:rFonts w:ascii="Times New Roman" w:hAnsi="Times New Roman"/>
          <w:sz w:val="28"/>
          <w:szCs w:val="28"/>
        </w:rPr>
        <w:t>s de la contribución</w:t>
      </w:r>
      <w:r w:rsidRPr="00491C4A">
        <w:rPr>
          <w:rFonts w:ascii="Times New Roman" w:hAnsi="Times New Roman"/>
          <w:sz w:val="28"/>
          <w:szCs w:val="28"/>
        </w:rPr>
        <w:t xml:space="preserve"> al </w:t>
      </w:r>
      <w:r w:rsidRPr="00491C4A">
        <w:rPr>
          <w:rFonts w:ascii="Times New Roman" w:hAnsi="Times New Roman"/>
          <w:sz w:val="28"/>
          <w:szCs w:val="28"/>
        </w:rPr>
        <w:t xml:space="preserve">definirlo como </w:t>
      </w:r>
      <w:r w:rsidRPr="00491C4A">
        <w:rPr>
          <w:rFonts w:ascii="Times New Roman" w:hAnsi="Times New Roman"/>
          <w:i/>
          <w:iCs/>
          <w:sz w:val="28"/>
          <w:szCs w:val="28"/>
        </w:rPr>
        <w:t>“</w:t>
      </w:r>
      <w:r w:rsidRPr="00491C4A">
        <w:rPr>
          <w:rFonts w:ascii="Times New Roman" w:hAnsi="Times New Roman"/>
          <w:i/>
          <w:iCs/>
          <w:sz w:val="28"/>
          <w:szCs w:val="28"/>
        </w:rPr>
        <w:t>las plantas con asignación de obligaciones</w:t>
      </w:r>
      <w:r w:rsidRPr="00491C4A">
        <w:rPr>
          <w:rFonts w:ascii="Times New Roman" w:hAnsi="Times New Roman"/>
          <w:i/>
          <w:iCs/>
          <w:sz w:val="28"/>
          <w:szCs w:val="28"/>
        </w:rPr>
        <w:t>”</w:t>
      </w:r>
      <w:r w:rsidRPr="00491C4A">
        <w:rPr>
          <w:rFonts w:ascii="Times New Roman" w:hAnsi="Times New Roman"/>
          <w:i/>
          <w:iCs/>
          <w:sz w:val="28"/>
          <w:szCs w:val="28"/>
        </w:rPr>
        <w:t xml:space="preserve"> </w:t>
      </w:r>
      <w:r w:rsidRPr="00491C4A">
        <w:rPr>
          <w:rFonts w:ascii="Times New Roman" w:hAnsi="Times New Roman"/>
          <w:sz w:val="28"/>
          <w:szCs w:val="28"/>
        </w:rPr>
        <w:t xml:space="preserve">en el parágrafo sexto adicionado al artículo 54 de la </w:t>
      </w:r>
      <w:r w:rsidRPr="00491C4A">
        <w:rPr>
          <w:rFonts w:ascii="Times New Roman" w:hAnsi="Times New Roman"/>
          <w:sz w:val="28"/>
          <w:szCs w:val="28"/>
        </w:rPr>
        <w:t>L</w:t>
      </w:r>
      <w:r w:rsidRPr="00491C4A">
        <w:rPr>
          <w:rFonts w:ascii="Times New Roman" w:hAnsi="Times New Roman"/>
          <w:sz w:val="28"/>
          <w:szCs w:val="28"/>
        </w:rPr>
        <w:t>ey 143 de 1994</w:t>
      </w:r>
      <w:r w:rsidRPr="00491C4A">
        <w:rPr>
          <w:rFonts w:ascii="Times New Roman" w:hAnsi="Times New Roman"/>
          <w:sz w:val="28"/>
          <w:szCs w:val="28"/>
        </w:rPr>
        <w:t xml:space="preserve">; o </w:t>
      </w:r>
      <w:r w:rsidRPr="00491C4A">
        <w:rPr>
          <w:rFonts w:ascii="Times New Roman" w:hAnsi="Times New Roman"/>
          <w:i/>
          <w:iCs/>
          <w:sz w:val="28"/>
          <w:szCs w:val="28"/>
        </w:rPr>
        <w:t xml:space="preserve">b) </w:t>
      </w:r>
      <w:r w:rsidRPr="00491C4A">
        <w:rPr>
          <w:rFonts w:ascii="Times New Roman" w:hAnsi="Times New Roman"/>
          <w:sz w:val="28"/>
          <w:szCs w:val="28"/>
        </w:rPr>
        <w:t>no determinar de forma precisa los beneficiarios de los recursos provenientes de las transferencias eléctricas</w:t>
      </w:r>
      <w:r w:rsidRPr="00491C4A">
        <w:rPr>
          <w:rFonts w:ascii="Times New Roman" w:hAnsi="Times New Roman"/>
          <w:sz w:val="28"/>
          <w:szCs w:val="28"/>
        </w:rPr>
        <w:t xml:space="preserve"> en el parágrafo séptimo adicionado al artículo 54 de la </w:t>
      </w:r>
      <w:r w:rsidRPr="00491C4A">
        <w:rPr>
          <w:rFonts w:ascii="Times New Roman" w:hAnsi="Times New Roman"/>
          <w:sz w:val="28"/>
          <w:szCs w:val="28"/>
        </w:rPr>
        <w:t>L</w:t>
      </w:r>
      <w:r w:rsidRPr="00491C4A">
        <w:rPr>
          <w:rFonts w:ascii="Times New Roman" w:hAnsi="Times New Roman"/>
          <w:sz w:val="28"/>
          <w:szCs w:val="28"/>
        </w:rPr>
        <w:t>ey 143 de 1994</w:t>
      </w:r>
      <w:r w:rsidRPr="00491C4A">
        <w:rPr>
          <w:rFonts w:ascii="Times New Roman" w:hAnsi="Times New Roman"/>
          <w:sz w:val="28"/>
          <w:szCs w:val="28"/>
        </w:rPr>
        <w:t>?</w:t>
      </w:r>
      <w:r w:rsidRPr="00491C4A">
        <w:rPr>
          <w:rFonts w:ascii="Times New Roman" w:hAnsi="Times New Roman"/>
          <w:sz w:val="28"/>
          <w:szCs w:val="28"/>
        </w:rPr>
        <w:t xml:space="preserve"> </w:t>
      </w:r>
    </w:p>
    <w:p w:rsidR="007C07B6" w:rsidRPr="00491C4A" w:rsidRDefault="00491C4A" w:rsidP="007C07B6">
      <w:pPr>
        <w:pStyle w:val="Prrafodelista"/>
        <w:rPr>
          <w:rFonts w:ascii="Times New Roman" w:hAnsi="Times New Roman"/>
          <w:b/>
          <w:bCs/>
          <w:sz w:val="28"/>
          <w:szCs w:val="28"/>
        </w:rPr>
      </w:pPr>
    </w:p>
    <w:p w:rsidR="007C07B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b/>
          <w:bCs/>
          <w:sz w:val="28"/>
          <w:szCs w:val="28"/>
        </w:rPr>
        <w:t>Tercer problema jurídico:</w:t>
      </w:r>
      <w:r w:rsidRPr="00491C4A">
        <w:rPr>
          <w:rFonts w:ascii="Times New Roman" w:hAnsi="Times New Roman"/>
          <w:sz w:val="28"/>
          <w:szCs w:val="28"/>
        </w:rPr>
        <w:t xml:space="preserve"> </w:t>
      </w:r>
      <w:r w:rsidRPr="00491C4A">
        <w:rPr>
          <w:rFonts w:ascii="Times New Roman" w:hAnsi="Times New Roman"/>
          <w:sz w:val="28"/>
          <w:szCs w:val="28"/>
        </w:rPr>
        <w:t>¿</w:t>
      </w:r>
      <w:r w:rsidRPr="00491C4A">
        <w:rPr>
          <w:rFonts w:ascii="Times New Roman" w:hAnsi="Times New Roman"/>
          <w:sz w:val="28"/>
          <w:szCs w:val="28"/>
        </w:rPr>
        <w:t>e</w:t>
      </w:r>
      <w:r w:rsidRPr="00491C4A">
        <w:rPr>
          <w:rFonts w:ascii="Times New Roman" w:hAnsi="Times New Roman"/>
          <w:sz w:val="28"/>
          <w:szCs w:val="28"/>
        </w:rPr>
        <w:t xml:space="preserve">l artículo 233 de la Ley 2294 de 2023 </w:t>
      </w:r>
      <w:r w:rsidRPr="00491C4A">
        <w:rPr>
          <w:rFonts w:ascii="Times New Roman" w:hAnsi="Times New Roman"/>
          <w:sz w:val="28"/>
          <w:szCs w:val="28"/>
        </w:rPr>
        <w:t>desc</w:t>
      </w:r>
      <w:r w:rsidRPr="00491C4A">
        <w:rPr>
          <w:rFonts w:ascii="Times New Roman" w:hAnsi="Times New Roman"/>
          <w:sz w:val="28"/>
          <w:szCs w:val="28"/>
        </w:rPr>
        <w:t>onoce los artículos 79 y 80 de la Constitución Política y el artículo 2.1. del PIDESC, en particular los principios de progresividad y no regresividad en materia ambiental al aumentar la tarifa de las transferencias eléctricas que deben pagar las plantas d</w:t>
      </w:r>
      <w:r w:rsidRPr="00491C4A">
        <w:rPr>
          <w:rFonts w:ascii="Times New Roman" w:hAnsi="Times New Roman"/>
          <w:sz w:val="28"/>
          <w:szCs w:val="28"/>
        </w:rPr>
        <w:t>e generación de energía eléctrica con FNCER</w:t>
      </w:r>
      <w:r w:rsidRPr="00491C4A">
        <w:rPr>
          <w:rFonts w:ascii="Times New Roman" w:hAnsi="Times New Roman"/>
          <w:sz w:val="28"/>
          <w:szCs w:val="28"/>
        </w:rPr>
        <w:t>?</w:t>
      </w:r>
      <w:r w:rsidRPr="00491C4A">
        <w:rPr>
          <w:rFonts w:ascii="Times New Roman" w:hAnsi="Times New Roman"/>
          <w:sz w:val="28"/>
          <w:szCs w:val="28"/>
        </w:rPr>
        <w:t xml:space="preserve">   </w:t>
      </w:r>
    </w:p>
    <w:p w:rsidR="007C07B6" w:rsidRPr="00491C4A" w:rsidRDefault="00491C4A" w:rsidP="007C07B6">
      <w:pPr>
        <w:pStyle w:val="Prrafodelista"/>
        <w:rPr>
          <w:rFonts w:ascii="Times New Roman" w:hAnsi="Times New Roman"/>
          <w:sz w:val="28"/>
          <w:szCs w:val="28"/>
        </w:rPr>
      </w:pPr>
    </w:p>
    <w:p w:rsidR="008C1FE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Para </w:t>
      </w:r>
      <w:r w:rsidRPr="00491C4A">
        <w:rPr>
          <w:rFonts w:ascii="Times New Roman" w:hAnsi="Times New Roman"/>
          <w:sz w:val="28"/>
          <w:szCs w:val="28"/>
        </w:rPr>
        <w:t>res</w:t>
      </w:r>
      <w:r w:rsidRPr="00491C4A">
        <w:rPr>
          <w:rFonts w:ascii="Times New Roman" w:hAnsi="Times New Roman"/>
          <w:sz w:val="28"/>
          <w:szCs w:val="28"/>
        </w:rPr>
        <w:t xml:space="preserve">olver los problemas listados, </w:t>
      </w:r>
      <w:r w:rsidRPr="00491C4A">
        <w:rPr>
          <w:rFonts w:ascii="Times New Roman" w:hAnsi="Times New Roman"/>
          <w:sz w:val="28"/>
          <w:szCs w:val="28"/>
        </w:rPr>
        <w:t xml:space="preserve">la Sala </w:t>
      </w:r>
      <w:r w:rsidRPr="00491C4A">
        <w:rPr>
          <w:rFonts w:ascii="Times New Roman" w:hAnsi="Times New Roman"/>
          <w:sz w:val="28"/>
          <w:szCs w:val="28"/>
        </w:rPr>
        <w:t xml:space="preserve">se referirá al principio de consecutividad, </w:t>
      </w:r>
      <w:r w:rsidRPr="00491C4A">
        <w:rPr>
          <w:rFonts w:ascii="Times New Roman" w:hAnsi="Times New Roman"/>
          <w:sz w:val="28"/>
          <w:szCs w:val="28"/>
        </w:rPr>
        <w:t xml:space="preserve">la votación en bloque y </w:t>
      </w:r>
      <w:r w:rsidRPr="00491C4A">
        <w:rPr>
          <w:rFonts w:ascii="Times New Roman" w:hAnsi="Times New Roman"/>
          <w:sz w:val="28"/>
          <w:szCs w:val="28"/>
        </w:rPr>
        <w:t xml:space="preserve">las proposiciones de reapertura del debate y la votación, para luego solucionar </w:t>
      </w:r>
      <w:r w:rsidRPr="00491C4A">
        <w:rPr>
          <w:rFonts w:ascii="Times New Roman" w:hAnsi="Times New Roman"/>
          <w:sz w:val="28"/>
          <w:szCs w:val="28"/>
        </w:rPr>
        <w:t>e</w:t>
      </w:r>
      <w:r w:rsidRPr="00491C4A">
        <w:rPr>
          <w:rFonts w:ascii="Times New Roman" w:hAnsi="Times New Roman"/>
          <w:sz w:val="28"/>
          <w:szCs w:val="28"/>
        </w:rPr>
        <w:t xml:space="preserve">l </w:t>
      </w:r>
      <w:r w:rsidRPr="00491C4A">
        <w:rPr>
          <w:rFonts w:ascii="Times New Roman" w:hAnsi="Times New Roman"/>
          <w:sz w:val="28"/>
          <w:szCs w:val="28"/>
        </w:rPr>
        <w:t xml:space="preserve">primer </w:t>
      </w:r>
      <w:r w:rsidRPr="00491C4A">
        <w:rPr>
          <w:rFonts w:ascii="Times New Roman" w:hAnsi="Times New Roman"/>
          <w:sz w:val="28"/>
          <w:szCs w:val="28"/>
        </w:rPr>
        <w:t>problema jurídico</w:t>
      </w:r>
      <w:r w:rsidRPr="00491C4A">
        <w:rPr>
          <w:rFonts w:ascii="Times New Roman" w:hAnsi="Times New Roman"/>
          <w:sz w:val="28"/>
          <w:szCs w:val="28"/>
        </w:rPr>
        <w:t>.</w:t>
      </w:r>
      <w:r w:rsidRPr="00491C4A">
        <w:rPr>
          <w:rFonts w:ascii="Times New Roman" w:hAnsi="Times New Roman"/>
          <w:sz w:val="28"/>
          <w:szCs w:val="28"/>
        </w:rPr>
        <w:t xml:space="preserve"> </w:t>
      </w:r>
    </w:p>
    <w:p w:rsidR="008C1FEA" w:rsidRPr="00491C4A" w:rsidRDefault="00491C4A" w:rsidP="008C1FEA">
      <w:pPr>
        <w:pStyle w:val="Prrafodelista"/>
        <w:rPr>
          <w:rFonts w:ascii="Times New Roman" w:hAnsi="Times New Roman"/>
          <w:sz w:val="28"/>
          <w:szCs w:val="28"/>
        </w:rPr>
      </w:pPr>
    </w:p>
    <w:p w:rsidR="00D05B5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caso de desestimarse el único cargo por vicios formales, corresponde</w:t>
      </w:r>
      <w:r w:rsidRPr="00491C4A">
        <w:rPr>
          <w:rFonts w:ascii="Times New Roman" w:hAnsi="Times New Roman"/>
          <w:sz w:val="28"/>
          <w:szCs w:val="28"/>
        </w:rPr>
        <w:t>rá</w:t>
      </w:r>
      <w:r w:rsidRPr="00491C4A">
        <w:rPr>
          <w:rFonts w:ascii="Times New Roman" w:hAnsi="Times New Roman"/>
          <w:sz w:val="28"/>
          <w:szCs w:val="28"/>
        </w:rPr>
        <w:t xml:space="preserve"> abordar los problemas jurídicos restantes</w:t>
      </w:r>
      <w:r w:rsidRPr="00491C4A">
        <w:rPr>
          <w:rFonts w:ascii="Times New Roman" w:hAnsi="Times New Roman"/>
          <w:sz w:val="28"/>
          <w:szCs w:val="28"/>
        </w:rPr>
        <w:t xml:space="preserve"> de forma independiente. Para el efecto</w:t>
      </w:r>
      <w:r w:rsidRPr="00491C4A">
        <w:rPr>
          <w:rFonts w:ascii="Times New Roman" w:hAnsi="Times New Roman"/>
          <w:sz w:val="28"/>
          <w:szCs w:val="28"/>
        </w:rPr>
        <w:t xml:space="preserve">, </w:t>
      </w:r>
      <w:r w:rsidRPr="00491C4A">
        <w:rPr>
          <w:rFonts w:ascii="Times New Roman" w:hAnsi="Times New Roman"/>
          <w:i/>
          <w:iCs/>
          <w:sz w:val="28"/>
          <w:szCs w:val="28"/>
        </w:rPr>
        <w:t>(i)</w:t>
      </w:r>
      <w:r w:rsidRPr="00491C4A">
        <w:rPr>
          <w:rFonts w:ascii="Times New Roman" w:hAnsi="Times New Roman"/>
          <w:sz w:val="28"/>
          <w:szCs w:val="28"/>
        </w:rPr>
        <w:t xml:space="preserve"> </w:t>
      </w:r>
      <w:r w:rsidRPr="00491C4A">
        <w:rPr>
          <w:rFonts w:ascii="Times New Roman" w:hAnsi="Times New Roman"/>
          <w:sz w:val="28"/>
          <w:szCs w:val="28"/>
        </w:rPr>
        <w:t xml:space="preserve">reiterará su jurisprudencia </w:t>
      </w:r>
      <w:r w:rsidRPr="00491C4A">
        <w:rPr>
          <w:rFonts w:ascii="Times New Roman" w:hAnsi="Times New Roman"/>
          <w:sz w:val="28"/>
          <w:szCs w:val="28"/>
        </w:rPr>
        <w:t>sobre los principios de legalidad y certeza tri</w:t>
      </w:r>
      <w:r w:rsidRPr="00491C4A">
        <w:rPr>
          <w:rFonts w:ascii="Times New Roman" w:hAnsi="Times New Roman"/>
          <w:sz w:val="28"/>
          <w:szCs w:val="28"/>
        </w:rPr>
        <w:t xml:space="preserve">butaria; </w:t>
      </w:r>
      <w:r w:rsidRPr="00491C4A">
        <w:rPr>
          <w:rFonts w:ascii="Times New Roman" w:hAnsi="Times New Roman"/>
          <w:sz w:val="28"/>
          <w:szCs w:val="28"/>
        </w:rPr>
        <w:t xml:space="preserve">y </w:t>
      </w:r>
      <w:r w:rsidRPr="00491C4A">
        <w:rPr>
          <w:rFonts w:ascii="Times New Roman" w:hAnsi="Times New Roman"/>
          <w:i/>
          <w:iCs/>
          <w:sz w:val="28"/>
          <w:szCs w:val="28"/>
        </w:rPr>
        <w:t>(ii)</w:t>
      </w:r>
      <w:r w:rsidRPr="00491C4A">
        <w:rPr>
          <w:rFonts w:ascii="Times New Roman" w:hAnsi="Times New Roman"/>
          <w:sz w:val="28"/>
          <w:szCs w:val="28"/>
        </w:rPr>
        <w:t xml:space="preserve"> resolverá el cargo relativo a la presunta violación de los principios de legalidad y certeza tributaria. Acto seguido, </w:t>
      </w:r>
      <w:r w:rsidRPr="00491C4A">
        <w:rPr>
          <w:rFonts w:ascii="Times New Roman" w:hAnsi="Times New Roman"/>
          <w:i/>
          <w:iCs/>
          <w:sz w:val="28"/>
          <w:szCs w:val="28"/>
        </w:rPr>
        <w:t xml:space="preserve">(iii) </w:t>
      </w:r>
      <w:r w:rsidRPr="00491C4A">
        <w:rPr>
          <w:rFonts w:ascii="Times New Roman" w:hAnsi="Times New Roman"/>
          <w:sz w:val="28"/>
          <w:szCs w:val="28"/>
        </w:rPr>
        <w:t xml:space="preserve">se referirá al ejercicio de la facultad impositiva y el principio de progresividad y no regresividad en materia de </w:t>
      </w:r>
      <w:r w:rsidRPr="00491C4A">
        <w:rPr>
          <w:rFonts w:ascii="Times New Roman" w:hAnsi="Times New Roman"/>
          <w:sz w:val="28"/>
          <w:szCs w:val="28"/>
        </w:rPr>
        <w:t xml:space="preserve">DESC; </w:t>
      </w:r>
      <w:r w:rsidRPr="00491C4A">
        <w:rPr>
          <w:rFonts w:ascii="Times New Roman" w:hAnsi="Times New Roman"/>
          <w:i/>
          <w:iCs/>
          <w:sz w:val="28"/>
          <w:szCs w:val="28"/>
        </w:rPr>
        <w:t>(iv)</w:t>
      </w:r>
      <w:r w:rsidRPr="00491C4A">
        <w:rPr>
          <w:rFonts w:ascii="Times New Roman" w:hAnsi="Times New Roman"/>
          <w:sz w:val="28"/>
          <w:szCs w:val="28"/>
        </w:rPr>
        <w:t xml:space="preserve"> reiterará su jurisprudencia en relación con el derecho al ambiente sano y los compromisos de mitigación del cambio climático, para </w:t>
      </w:r>
      <w:r w:rsidRPr="00491C4A">
        <w:rPr>
          <w:rFonts w:ascii="Times New Roman" w:hAnsi="Times New Roman"/>
          <w:i/>
          <w:iCs/>
          <w:sz w:val="28"/>
          <w:szCs w:val="28"/>
        </w:rPr>
        <w:t xml:space="preserve">(v) </w:t>
      </w:r>
      <w:r w:rsidRPr="00491C4A">
        <w:rPr>
          <w:rFonts w:ascii="Times New Roman" w:hAnsi="Times New Roman"/>
          <w:sz w:val="28"/>
          <w:szCs w:val="28"/>
        </w:rPr>
        <w:t>por último resolver el cargo formulado por el presunto desconocimiento del principio de progresividad y no reg</w:t>
      </w:r>
      <w:r w:rsidRPr="00491C4A">
        <w:rPr>
          <w:rFonts w:ascii="Times New Roman" w:hAnsi="Times New Roman"/>
          <w:sz w:val="28"/>
          <w:szCs w:val="28"/>
        </w:rPr>
        <w:t>resividad en materia ambiental.</w:t>
      </w:r>
    </w:p>
    <w:p w:rsidR="00B52374" w:rsidRPr="00491C4A" w:rsidRDefault="00491C4A" w:rsidP="00B52374">
      <w:pPr>
        <w:pStyle w:val="Prrafodelista"/>
        <w:rPr>
          <w:rFonts w:ascii="Times New Roman" w:hAnsi="Times New Roman"/>
          <w:sz w:val="28"/>
          <w:szCs w:val="28"/>
        </w:rPr>
      </w:pPr>
    </w:p>
    <w:p w:rsidR="0037461D" w:rsidRPr="00491C4A" w:rsidRDefault="00491C4A" w:rsidP="00ED2BB7">
      <w:pPr>
        <w:pStyle w:val="Ttulo2"/>
        <w:numPr>
          <w:ilvl w:val="0"/>
          <w:numId w:val="7"/>
        </w:numPr>
        <w:spacing w:before="0" w:after="0"/>
        <w:ind w:left="0" w:firstLine="0"/>
        <w:jc w:val="both"/>
        <w:rPr>
          <w:rFonts w:ascii="Times New Roman" w:hAnsi="Times New Roman"/>
          <w:b/>
          <w:bCs/>
          <w:color w:val="auto"/>
          <w:sz w:val="28"/>
          <w:szCs w:val="28"/>
        </w:rPr>
      </w:pPr>
      <w:bookmarkStart w:id="32" w:name="_Toc200753666"/>
      <w:r w:rsidRPr="00491C4A">
        <w:rPr>
          <w:rFonts w:ascii="Times New Roman" w:hAnsi="Times New Roman"/>
          <w:b/>
          <w:bCs/>
          <w:color w:val="auto"/>
          <w:sz w:val="28"/>
          <w:szCs w:val="28"/>
        </w:rPr>
        <w:t>El principio de consecutividad y las proposiciones de reapertura del debate y la votación</w:t>
      </w:r>
      <w:bookmarkEnd w:id="32"/>
      <w:r w:rsidRPr="00491C4A">
        <w:rPr>
          <w:rFonts w:ascii="Times New Roman" w:hAnsi="Times New Roman"/>
          <w:b/>
          <w:bCs/>
          <w:color w:val="auto"/>
          <w:sz w:val="28"/>
          <w:szCs w:val="28"/>
        </w:rPr>
        <w:t xml:space="preserve"> </w:t>
      </w:r>
    </w:p>
    <w:p w:rsidR="00ED2BB7" w:rsidRPr="00491C4A" w:rsidRDefault="00491C4A" w:rsidP="00ED2BB7">
      <w:pPr>
        <w:rPr>
          <w:rFonts w:ascii="Times New Roman" w:hAnsi="Times New Roman"/>
          <w:sz w:val="28"/>
          <w:szCs w:val="28"/>
        </w:rPr>
      </w:pPr>
    </w:p>
    <w:p w:rsidR="005C370B"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artículo 157 de la Constitución Política</w:t>
      </w:r>
      <w:r w:rsidRPr="00491C4A">
        <w:rPr>
          <w:rFonts w:ascii="Times New Roman" w:hAnsi="Times New Roman"/>
          <w:sz w:val="28"/>
          <w:szCs w:val="28"/>
        </w:rPr>
        <w:t xml:space="preserve"> prevé las condiciones que debe cumplir un proyecto para convertirse en ley</w:t>
      </w:r>
      <w:r w:rsidRPr="00491C4A">
        <w:rPr>
          <w:rFonts w:ascii="Times New Roman" w:hAnsi="Times New Roman"/>
          <w:sz w:val="28"/>
          <w:szCs w:val="28"/>
        </w:rPr>
        <w:t xml:space="preserve">. Estas </w:t>
      </w:r>
      <w:r w:rsidRPr="00491C4A">
        <w:rPr>
          <w:rFonts w:ascii="Times New Roman" w:hAnsi="Times New Roman"/>
          <w:sz w:val="28"/>
          <w:szCs w:val="28"/>
        </w:rPr>
        <w:t>comprenden su aprobación en prim</w:t>
      </w:r>
      <w:r w:rsidRPr="00491C4A">
        <w:rPr>
          <w:rFonts w:ascii="Times New Roman" w:hAnsi="Times New Roman"/>
          <w:sz w:val="28"/>
          <w:szCs w:val="28"/>
        </w:rPr>
        <w:t xml:space="preserve">er debate en las respectivas comisiones, así como en segundo debate en las plenarias de cada cámara (numerales 2 y 3). </w:t>
      </w:r>
      <w:r w:rsidRPr="00491C4A">
        <w:rPr>
          <w:rFonts w:ascii="Times New Roman" w:hAnsi="Times New Roman"/>
          <w:sz w:val="28"/>
          <w:szCs w:val="28"/>
        </w:rPr>
        <w:t>“</w:t>
      </w:r>
      <w:r w:rsidRPr="00491C4A">
        <w:rPr>
          <w:rFonts w:ascii="Times New Roman" w:hAnsi="Times New Roman"/>
          <w:i/>
          <w:iCs/>
          <w:sz w:val="28"/>
          <w:szCs w:val="28"/>
        </w:rPr>
        <w:t>La Corte ha explicado que la exigencia de consecutividad se relaciona de manera inescindible con el prin</w:t>
      </w:r>
      <w:r w:rsidRPr="00491C4A">
        <w:rPr>
          <w:rFonts w:ascii="Times New Roman" w:hAnsi="Times New Roman"/>
          <w:i/>
          <w:iCs/>
          <w:sz w:val="28"/>
          <w:szCs w:val="28"/>
        </w:rPr>
        <w:t>cipio democrático, según el cual la deliberación es el fundamento de la legitimidad del procedimiento legislativo</w:t>
      </w:r>
      <w:r w:rsidRPr="00491C4A">
        <w:rPr>
          <w:rFonts w:ascii="Times New Roman" w:hAnsi="Times New Roman"/>
          <w:sz w:val="28"/>
          <w:szCs w:val="28"/>
        </w:rPr>
        <w:t>.”</w:t>
      </w:r>
      <w:r w:rsidRPr="00491C4A">
        <w:rPr>
          <w:rStyle w:val="Refdenotaalpie"/>
          <w:rFonts w:ascii="Times New Roman" w:hAnsi="Times New Roman"/>
          <w:sz w:val="28"/>
          <w:szCs w:val="28"/>
        </w:rPr>
        <w:footnoteReference w:id="79"/>
      </w:r>
    </w:p>
    <w:p w:rsidR="005C370B" w:rsidRPr="00491C4A" w:rsidRDefault="00491C4A" w:rsidP="005C370B">
      <w:pPr>
        <w:pStyle w:val="Prrafodelista"/>
        <w:rPr>
          <w:rFonts w:ascii="Times New Roman" w:hAnsi="Times New Roman"/>
          <w:sz w:val="28"/>
          <w:szCs w:val="28"/>
        </w:rPr>
      </w:pPr>
    </w:p>
    <w:p w:rsidR="0040047C"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acuerdo con lo previsto en los artículos 15</w:t>
      </w:r>
      <w:r w:rsidRPr="00491C4A">
        <w:rPr>
          <w:rFonts w:ascii="Times New Roman" w:hAnsi="Times New Roman"/>
          <w:sz w:val="28"/>
          <w:szCs w:val="28"/>
        </w:rPr>
        <w:t>1 y</w:t>
      </w:r>
      <w:r w:rsidRPr="00491C4A">
        <w:rPr>
          <w:rFonts w:ascii="Times New Roman" w:hAnsi="Times New Roman"/>
          <w:sz w:val="28"/>
          <w:szCs w:val="28"/>
        </w:rPr>
        <w:t xml:space="preserve"> 341</w:t>
      </w:r>
      <w:r w:rsidRPr="00491C4A">
        <w:rPr>
          <w:rFonts w:ascii="Times New Roman" w:hAnsi="Times New Roman"/>
          <w:sz w:val="28"/>
          <w:szCs w:val="28"/>
        </w:rPr>
        <w:t xml:space="preserve"> </w:t>
      </w:r>
      <w:r w:rsidRPr="00491C4A">
        <w:rPr>
          <w:rFonts w:ascii="Times New Roman" w:hAnsi="Times New Roman"/>
          <w:sz w:val="28"/>
          <w:szCs w:val="28"/>
        </w:rPr>
        <w:t>de la Constitución Política</w:t>
      </w:r>
      <w:r w:rsidRPr="00491C4A">
        <w:rPr>
          <w:rFonts w:ascii="Times New Roman" w:hAnsi="Times New Roman"/>
          <w:sz w:val="28"/>
          <w:szCs w:val="28"/>
        </w:rPr>
        <w:t>,</w:t>
      </w:r>
      <w:r w:rsidRPr="00491C4A">
        <w:rPr>
          <w:rFonts w:ascii="Times New Roman" w:hAnsi="Times New Roman"/>
          <w:sz w:val="28"/>
          <w:szCs w:val="28"/>
        </w:rPr>
        <w:t xml:space="preserve"> así como en </w:t>
      </w:r>
      <w:r w:rsidRPr="00491C4A">
        <w:rPr>
          <w:rFonts w:ascii="Times New Roman" w:hAnsi="Times New Roman"/>
          <w:sz w:val="28"/>
          <w:szCs w:val="28"/>
        </w:rPr>
        <w:t xml:space="preserve">los artículos 214 y 169 de </w:t>
      </w:r>
      <w:r w:rsidRPr="00491C4A">
        <w:rPr>
          <w:rFonts w:ascii="Times New Roman" w:hAnsi="Times New Roman"/>
          <w:sz w:val="28"/>
          <w:szCs w:val="28"/>
        </w:rPr>
        <w:t xml:space="preserve">la Ley Orgánica </w:t>
      </w:r>
      <w:r w:rsidRPr="00491C4A">
        <w:rPr>
          <w:rFonts w:ascii="Times New Roman" w:hAnsi="Times New Roman"/>
          <w:sz w:val="28"/>
          <w:szCs w:val="28"/>
        </w:rPr>
        <w:t>5° de 1992</w:t>
      </w:r>
      <w:r w:rsidRPr="00491C4A">
        <w:rPr>
          <w:rFonts w:ascii="Times New Roman" w:hAnsi="Times New Roman"/>
          <w:sz w:val="28"/>
          <w:szCs w:val="28"/>
        </w:rPr>
        <w:t xml:space="preserve"> y</w:t>
      </w:r>
      <w:r w:rsidRPr="00491C4A">
        <w:rPr>
          <w:rFonts w:ascii="Times New Roman" w:hAnsi="Times New Roman"/>
          <w:sz w:val="28"/>
          <w:szCs w:val="28"/>
        </w:rPr>
        <w:t xml:space="preserve"> </w:t>
      </w:r>
      <w:r w:rsidRPr="00491C4A">
        <w:rPr>
          <w:rFonts w:ascii="Times New Roman" w:hAnsi="Times New Roman"/>
          <w:sz w:val="28"/>
          <w:szCs w:val="28"/>
        </w:rPr>
        <w:t xml:space="preserve">el artículo 20 de la Ley </w:t>
      </w:r>
      <w:r w:rsidRPr="00491C4A">
        <w:rPr>
          <w:rFonts w:ascii="Times New Roman" w:hAnsi="Times New Roman"/>
          <w:sz w:val="28"/>
          <w:szCs w:val="28"/>
        </w:rPr>
        <w:t>152 de 1994, las comisiones de asuntos económicos de las dos cámaras deliberan de manera conjunta</w:t>
      </w:r>
      <w:r w:rsidRPr="00491C4A">
        <w:rPr>
          <w:rFonts w:ascii="Times New Roman" w:hAnsi="Times New Roman"/>
          <w:sz w:val="28"/>
          <w:szCs w:val="28"/>
        </w:rPr>
        <w:t xml:space="preserve"> para dar primer debate a los proyectos de ley que contengan el Plan Nacional de Inversiones</w:t>
      </w:r>
      <w:r w:rsidRPr="00491C4A">
        <w:rPr>
          <w:rFonts w:ascii="Times New Roman" w:hAnsi="Times New Roman"/>
          <w:sz w:val="28"/>
          <w:szCs w:val="28"/>
        </w:rPr>
        <w:t xml:space="preserve"> </w:t>
      </w:r>
      <w:r w:rsidRPr="00491C4A">
        <w:rPr>
          <w:rFonts w:ascii="Times New Roman" w:hAnsi="Times New Roman"/>
          <w:sz w:val="28"/>
          <w:szCs w:val="28"/>
        </w:rPr>
        <w:t xml:space="preserve">(PNI) </w:t>
      </w:r>
      <w:r w:rsidRPr="00491C4A">
        <w:rPr>
          <w:rFonts w:ascii="Times New Roman" w:hAnsi="Times New Roman"/>
          <w:sz w:val="28"/>
          <w:szCs w:val="28"/>
        </w:rPr>
        <w:t>y</w:t>
      </w:r>
      <w:r w:rsidRPr="00491C4A">
        <w:rPr>
          <w:rFonts w:ascii="Times New Roman" w:hAnsi="Times New Roman"/>
          <w:sz w:val="28"/>
          <w:szCs w:val="28"/>
        </w:rPr>
        <w:t xml:space="preserve"> el Plan Nacional de Desarrollo (PND)</w:t>
      </w:r>
      <w:r w:rsidRPr="00491C4A">
        <w:rPr>
          <w:rFonts w:ascii="Times New Roman" w:hAnsi="Times New Roman"/>
          <w:sz w:val="28"/>
          <w:szCs w:val="28"/>
        </w:rPr>
        <w:t xml:space="preserve"> y,</w:t>
      </w:r>
      <w:r w:rsidRPr="00491C4A">
        <w:rPr>
          <w:rFonts w:ascii="Times New Roman" w:hAnsi="Times New Roman"/>
          <w:sz w:val="28"/>
          <w:szCs w:val="28"/>
        </w:rPr>
        <w:t xml:space="preserve"> posteriormente se surte el debate en cada una de las plenarias</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En esa medida, e</w:t>
      </w:r>
      <w:r w:rsidRPr="00491C4A">
        <w:rPr>
          <w:rFonts w:ascii="Times New Roman" w:hAnsi="Times New Roman"/>
          <w:sz w:val="28"/>
          <w:szCs w:val="28"/>
        </w:rPr>
        <w:t xml:space="preserve">sta corporación ha indicado que </w:t>
      </w:r>
      <w:r w:rsidRPr="00491C4A">
        <w:rPr>
          <w:rFonts w:ascii="Times New Roman" w:hAnsi="Times New Roman"/>
          <w:sz w:val="28"/>
          <w:szCs w:val="28"/>
        </w:rPr>
        <w:t>el objeto de análisis derivado del principio de consecutividad</w:t>
      </w:r>
      <w:r w:rsidRPr="00491C4A">
        <w:rPr>
          <w:rFonts w:ascii="Times New Roman" w:hAnsi="Times New Roman"/>
          <w:sz w:val="28"/>
          <w:szCs w:val="28"/>
        </w:rPr>
        <w:t>, respecto de una Ley Plurianual de Inver</w:t>
      </w:r>
      <w:r w:rsidRPr="00491C4A">
        <w:rPr>
          <w:rFonts w:ascii="Times New Roman" w:hAnsi="Times New Roman"/>
          <w:sz w:val="28"/>
          <w:szCs w:val="28"/>
        </w:rPr>
        <w:t xml:space="preserve">siones, </w:t>
      </w:r>
      <w:r w:rsidRPr="00491C4A">
        <w:rPr>
          <w:rFonts w:ascii="Times New Roman" w:hAnsi="Times New Roman"/>
          <w:sz w:val="28"/>
          <w:szCs w:val="28"/>
        </w:rPr>
        <w:t>supone verificar “</w:t>
      </w:r>
      <w:r w:rsidRPr="00491C4A">
        <w:rPr>
          <w:rFonts w:ascii="Times New Roman" w:hAnsi="Times New Roman"/>
          <w:i/>
          <w:iCs/>
          <w:sz w:val="28"/>
          <w:szCs w:val="28"/>
        </w:rPr>
        <w:t xml:space="preserve">si se surtieron los debates exigidos tanto en las </w:t>
      </w:r>
      <w:r w:rsidRPr="00491C4A">
        <w:rPr>
          <w:rFonts w:ascii="Times New Roman" w:hAnsi="Times New Roman"/>
          <w:i/>
          <w:iCs/>
          <w:sz w:val="28"/>
          <w:szCs w:val="28"/>
        </w:rPr>
        <w:t>comisiones de asuntos económicos de cada Cámara como en las Plenarias del Senado de la República y la Cámara de Representantes, respectivamente.</w:t>
      </w:r>
      <w:r w:rsidRPr="00491C4A">
        <w:rPr>
          <w:rFonts w:ascii="Times New Roman" w:hAnsi="Times New Roman"/>
          <w:sz w:val="28"/>
          <w:szCs w:val="28"/>
        </w:rPr>
        <w:t>”</w:t>
      </w:r>
      <w:r w:rsidRPr="00491C4A">
        <w:rPr>
          <w:rStyle w:val="Refdenotaalpie"/>
          <w:rFonts w:ascii="Times New Roman" w:hAnsi="Times New Roman"/>
          <w:sz w:val="28"/>
          <w:szCs w:val="28"/>
        </w:rPr>
        <w:footnoteReference w:id="80"/>
      </w:r>
    </w:p>
    <w:p w:rsidR="00E92ACC" w:rsidRPr="00491C4A" w:rsidRDefault="00491C4A" w:rsidP="00E92ACC">
      <w:pPr>
        <w:pStyle w:val="Prrafodelista"/>
        <w:rPr>
          <w:rFonts w:ascii="Times New Roman" w:hAnsi="Times New Roman"/>
          <w:sz w:val="28"/>
          <w:szCs w:val="28"/>
        </w:rPr>
      </w:pPr>
    </w:p>
    <w:p w:rsidR="00F401A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Corte Constitucional ha </w:t>
      </w:r>
      <w:r w:rsidRPr="00491C4A">
        <w:rPr>
          <w:rFonts w:ascii="Times New Roman" w:hAnsi="Times New Roman"/>
          <w:sz w:val="28"/>
          <w:szCs w:val="28"/>
        </w:rPr>
        <w:t>indic</w:t>
      </w:r>
      <w:r w:rsidRPr="00491C4A">
        <w:rPr>
          <w:rFonts w:ascii="Times New Roman" w:hAnsi="Times New Roman"/>
          <w:sz w:val="28"/>
          <w:szCs w:val="28"/>
        </w:rPr>
        <w:t>ado</w:t>
      </w:r>
      <w:r w:rsidRPr="00491C4A">
        <w:rPr>
          <w:rFonts w:ascii="Times New Roman" w:hAnsi="Times New Roman"/>
          <w:sz w:val="28"/>
          <w:szCs w:val="28"/>
        </w:rPr>
        <w:t xml:space="preserve"> que cuando no se agota alguna de las mencionadas etapas estructurales del procedimiento legislativo</w:t>
      </w:r>
      <w:r w:rsidRPr="00491C4A">
        <w:rPr>
          <w:rFonts w:ascii="Times New Roman" w:hAnsi="Times New Roman"/>
          <w:sz w:val="28"/>
          <w:szCs w:val="28"/>
        </w:rPr>
        <w:t xml:space="preserve"> se elude el debate</w:t>
      </w:r>
      <w:r w:rsidRPr="00491C4A">
        <w:rPr>
          <w:rFonts w:ascii="Times New Roman" w:hAnsi="Times New Roman"/>
          <w:sz w:val="28"/>
          <w:szCs w:val="28"/>
        </w:rPr>
        <w:t xml:space="preserve">, lo que acarrea como consecuencia la configuración de un vicio insubsanable que da lugar a la declaratoria de </w:t>
      </w:r>
      <w:r w:rsidRPr="00491C4A">
        <w:rPr>
          <w:rFonts w:ascii="Times New Roman" w:hAnsi="Times New Roman"/>
          <w:sz w:val="28"/>
          <w:szCs w:val="28"/>
        </w:rPr>
        <w:t>inexequibilidad</w:t>
      </w:r>
      <w:r w:rsidRPr="00491C4A">
        <w:rPr>
          <w:rFonts w:ascii="Times New Roman" w:hAnsi="Times New Roman"/>
          <w:sz w:val="28"/>
          <w:szCs w:val="28"/>
        </w:rPr>
        <w:t xml:space="preserve"> del precepto normativo expedi</w:t>
      </w:r>
      <w:r w:rsidRPr="00491C4A">
        <w:rPr>
          <w:rFonts w:ascii="Times New Roman" w:hAnsi="Times New Roman"/>
          <w:sz w:val="28"/>
          <w:szCs w:val="28"/>
        </w:rPr>
        <w:t>d</w:t>
      </w:r>
      <w:r w:rsidRPr="00491C4A">
        <w:rPr>
          <w:rFonts w:ascii="Times New Roman" w:hAnsi="Times New Roman"/>
          <w:sz w:val="28"/>
          <w:szCs w:val="28"/>
        </w:rPr>
        <w:t>o sin el lleno de los requisitos constitucionales</w:t>
      </w:r>
      <w:r w:rsidRPr="00491C4A">
        <w:rPr>
          <w:rFonts w:ascii="Times New Roman" w:hAnsi="Times New Roman"/>
          <w:sz w:val="28"/>
          <w:szCs w:val="28"/>
        </w:rPr>
        <w:t>.</w:t>
      </w:r>
      <w:r w:rsidRPr="00491C4A">
        <w:rPr>
          <w:rStyle w:val="Refdenotaalpie"/>
          <w:rFonts w:ascii="Times New Roman" w:hAnsi="Times New Roman"/>
          <w:sz w:val="28"/>
          <w:szCs w:val="28"/>
        </w:rPr>
        <w:footnoteReference w:id="81"/>
      </w:r>
    </w:p>
    <w:p w:rsidR="00546C63" w:rsidRPr="00491C4A" w:rsidRDefault="00491C4A" w:rsidP="00546C63">
      <w:pPr>
        <w:pStyle w:val="Prrafodelista"/>
        <w:rPr>
          <w:rFonts w:ascii="Times New Roman" w:hAnsi="Times New Roman"/>
          <w:sz w:val="28"/>
          <w:szCs w:val="28"/>
        </w:rPr>
      </w:pPr>
    </w:p>
    <w:p w:rsidR="00546C6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Ahora bien, debe resaltarse que el control de constitucionalidad de las leyes en cuanto a su proceso de formación no autoriza al juez constitucional a valorar la intensidad</w:t>
      </w:r>
      <w:r w:rsidRPr="00491C4A">
        <w:rPr>
          <w:rFonts w:ascii="Times New Roman" w:hAnsi="Times New Roman"/>
          <w:sz w:val="28"/>
          <w:szCs w:val="28"/>
        </w:rPr>
        <w:t>, calidad o suficiencia del debate congresional. S</w:t>
      </w:r>
      <w:r w:rsidRPr="00491C4A">
        <w:rPr>
          <w:rFonts w:ascii="Times New Roman" w:hAnsi="Times New Roman"/>
          <w:bCs/>
          <w:color w:val="000000"/>
          <w:sz w:val="28"/>
          <w:szCs w:val="28"/>
        </w:rPr>
        <w:t xml:space="preserve">iempre que la Corte ha analizado si hubo una elusión del debate en un trámite legislativo concreto, ha sido cuidadosa en señalar que este escrutinio no implica determinar si el debate fue de </w:t>
      </w:r>
      <w:r w:rsidRPr="00491C4A">
        <w:rPr>
          <w:rFonts w:ascii="Times New Roman" w:hAnsi="Times New Roman"/>
          <w:bCs/>
          <w:i/>
          <w:color w:val="000000"/>
          <w:sz w:val="28"/>
          <w:szCs w:val="28"/>
        </w:rPr>
        <w:t>calidad</w:t>
      </w:r>
      <w:r w:rsidRPr="00491C4A">
        <w:rPr>
          <w:rFonts w:ascii="Times New Roman" w:hAnsi="Times New Roman"/>
          <w:bCs/>
          <w:color w:val="000000"/>
          <w:sz w:val="28"/>
          <w:szCs w:val="28"/>
        </w:rPr>
        <w:t>. En efe</w:t>
      </w:r>
      <w:r w:rsidRPr="00491C4A">
        <w:rPr>
          <w:rFonts w:ascii="Times New Roman" w:hAnsi="Times New Roman"/>
          <w:bCs/>
          <w:color w:val="000000"/>
          <w:sz w:val="28"/>
          <w:szCs w:val="28"/>
        </w:rPr>
        <w:t xml:space="preserve">cto -según se ha sostenido por la jurisprudencia constitucional- el estudio sobre la calidad del debate escapa de las competencias de la Corte. En contraste, lo que sí se debe estudiar, es </w:t>
      </w:r>
      <w:r w:rsidRPr="00491C4A">
        <w:rPr>
          <w:rFonts w:ascii="Times New Roman" w:hAnsi="Times New Roman"/>
          <w:bCs/>
          <w:i/>
          <w:color w:val="000000"/>
          <w:sz w:val="28"/>
          <w:szCs w:val="28"/>
        </w:rPr>
        <w:t>(i)</w:t>
      </w:r>
      <w:r w:rsidRPr="00491C4A">
        <w:rPr>
          <w:rFonts w:ascii="Times New Roman" w:hAnsi="Times New Roman"/>
          <w:bCs/>
          <w:color w:val="000000"/>
          <w:sz w:val="28"/>
          <w:szCs w:val="28"/>
        </w:rPr>
        <w:t xml:space="preserve"> </w:t>
      </w:r>
      <w:r w:rsidRPr="00491C4A">
        <w:rPr>
          <w:rFonts w:ascii="Times New Roman" w:hAnsi="Times New Roman"/>
          <w:color w:val="000000"/>
          <w:sz w:val="28"/>
          <w:szCs w:val="28"/>
          <w:shd w:val="clear" w:color="auto" w:fill="FFFFFF"/>
        </w:rPr>
        <w:t>si las condiciones para el correcto desarrollo del mismo se die</w:t>
      </w:r>
      <w:r w:rsidRPr="00491C4A">
        <w:rPr>
          <w:rFonts w:ascii="Times New Roman" w:hAnsi="Times New Roman"/>
          <w:color w:val="000000"/>
          <w:sz w:val="28"/>
          <w:szCs w:val="28"/>
          <w:shd w:val="clear" w:color="auto" w:fill="FFFFFF"/>
        </w:rPr>
        <w:t xml:space="preserve">ron, y </w:t>
      </w:r>
      <w:r w:rsidRPr="00491C4A">
        <w:rPr>
          <w:rFonts w:ascii="Times New Roman" w:hAnsi="Times New Roman"/>
          <w:i/>
          <w:color w:val="000000"/>
          <w:sz w:val="28"/>
          <w:szCs w:val="28"/>
          <w:shd w:val="clear" w:color="auto" w:fill="FFFFFF"/>
        </w:rPr>
        <w:t>(ii)</w:t>
      </w:r>
      <w:r w:rsidRPr="00491C4A">
        <w:rPr>
          <w:rFonts w:ascii="Times New Roman" w:hAnsi="Times New Roman"/>
          <w:color w:val="000000"/>
          <w:sz w:val="28"/>
          <w:szCs w:val="28"/>
          <w:shd w:val="clear" w:color="auto" w:fill="FFFFFF"/>
        </w:rPr>
        <w:t xml:space="preserve"> si </w:t>
      </w:r>
      <w:r w:rsidRPr="00491C4A">
        <w:rPr>
          <w:rFonts w:ascii="Times New Roman" w:hAnsi="Times New Roman"/>
          <w:bCs/>
          <w:color w:val="000000"/>
          <w:sz w:val="28"/>
          <w:szCs w:val="28"/>
        </w:rPr>
        <w:t xml:space="preserve">el debate existió al menos en un mínimo grado, y en ese sentido la voluntad democrática se formó de manera adecuada en cada una de las instancias del Congreso de la República; cumpliendo así las exigencias previstas en el artículo 157 de la </w:t>
      </w:r>
      <w:r w:rsidRPr="00491C4A">
        <w:rPr>
          <w:rFonts w:ascii="Times New Roman" w:hAnsi="Times New Roman"/>
          <w:bCs/>
          <w:color w:val="000000"/>
          <w:sz w:val="28"/>
          <w:szCs w:val="28"/>
        </w:rPr>
        <w:t>Constitución Política. Esto implica -por supuesto- verificar si los congresistas conocieron el proyecto de ley, y sobre él deliberaron y votaron.</w:t>
      </w:r>
      <w:r w:rsidRPr="00491C4A">
        <w:rPr>
          <w:rStyle w:val="Refdenotaalpie"/>
          <w:rFonts w:ascii="Times New Roman" w:hAnsi="Times New Roman"/>
          <w:bCs/>
          <w:color w:val="000000"/>
          <w:sz w:val="28"/>
          <w:szCs w:val="28"/>
        </w:rPr>
        <w:footnoteReference w:id="82"/>
      </w:r>
      <w:r w:rsidRPr="00491C4A">
        <w:rPr>
          <w:rFonts w:ascii="Times New Roman" w:hAnsi="Times New Roman"/>
          <w:bCs/>
          <w:color w:val="000000"/>
          <w:sz w:val="28"/>
          <w:szCs w:val="28"/>
        </w:rPr>
        <w:t xml:space="preserve"> </w:t>
      </w:r>
    </w:p>
    <w:p w:rsidR="00546C63" w:rsidRPr="00491C4A" w:rsidRDefault="00491C4A" w:rsidP="00546C63">
      <w:pPr>
        <w:pStyle w:val="Prrafodelista"/>
        <w:rPr>
          <w:rFonts w:ascii="Times New Roman" w:hAnsi="Times New Roman"/>
          <w:sz w:val="28"/>
          <w:szCs w:val="28"/>
        </w:rPr>
      </w:pPr>
    </w:p>
    <w:p w:rsidR="00546C6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Corte ha sido enfática en reiterar que ninguna de las normas constitucionales o legales que regulan el </w:t>
      </w:r>
      <w:r w:rsidRPr="00491C4A">
        <w:rPr>
          <w:rFonts w:ascii="Times New Roman" w:hAnsi="Times New Roman"/>
          <w:sz w:val="28"/>
          <w:szCs w:val="28"/>
        </w:rPr>
        <w:t>procedimiento legislativo exige que los proyectos de ley o de acto legislativo sean objeto de una deliberación bajo ciertos estándares de intensidad o profundidad argumentativa, ni mucho menos que las distintas posiciones deban exponerse con determinadas c</w:t>
      </w:r>
      <w:r w:rsidRPr="00491C4A">
        <w:rPr>
          <w:rFonts w:ascii="Times New Roman" w:hAnsi="Times New Roman"/>
          <w:sz w:val="28"/>
          <w:szCs w:val="28"/>
        </w:rPr>
        <w:t>ondiciones de calidad. En ese sentido, la jurisprudencia ha descartado de manera consistente que el control de forma pueda derivar en una suerte de evaluación sustancial de la deliberación, incompatible con el respeto a la autonomía del Congreso y a los de</w:t>
      </w:r>
      <w:r w:rsidRPr="00491C4A">
        <w:rPr>
          <w:rFonts w:ascii="Times New Roman" w:hAnsi="Times New Roman"/>
          <w:sz w:val="28"/>
          <w:szCs w:val="28"/>
        </w:rPr>
        <w:t>rechos políticos de sus integrantes.</w:t>
      </w:r>
    </w:p>
    <w:p w:rsidR="00546C63" w:rsidRPr="00491C4A" w:rsidRDefault="00491C4A" w:rsidP="00546C63">
      <w:pPr>
        <w:pStyle w:val="Prrafodelista"/>
        <w:rPr>
          <w:rFonts w:ascii="Times New Roman" w:hAnsi="Times New Roman"/>
          <w:sz w:val="28"/>
          <w:szCs w:val="28"/>
        </w:rPr>
      </w:pPr>
    </w:p>
    <w:p w:rsidR="00546C6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Conforme lo expuesto en la Sentencia C-473 de 2004, el debate se entiende realizado cuando se cumplen los requisitos formales previstos en la Constitución y en el reglamento del Congreso, y no está sujeto a un juicio s</w:t>
      </w:r>
      <w:r w:rsidRPr="00491C4A">
        <w:rPr>
          <w:rFonts w:ascii="Times New Roman" w:hAnsi="Times New Roman"/>
          <w:sz w:val="28"/>
          <w:szCs w:val="28"/>
        </w:rPr>
        <w:t>obre su vigor o extensión. En efecto, esta providencia dejó claro que el concepto de “</w:t>
      </w:r>
      <w:r w:rsidRPr="00491C4A">
        <w:rPr>
          <w:rFonts w:ascii="Times New Roman" w:hAnsi="Times New Roman"/>
          <w:i/>
          <w:iCs/>
          <w:sz w:val="28"/>
          <w:szCs w:val="28"/>
        </w:rPr>
        <w:t>debate</w:t>
      </w:r>
      <w:r w:rsidRPr="00491C4A">
        <w:rPr>
          <w:rFonts w:ascii="Times New Roman" w:hAnsi="Times New Roman"/>
          <w:sz w:val="28"/>
          <w:szCs w:val="28"/>
        </w:rPr>
        <w:t>”, según el artículo 94 de la Ley 5ª de 1992, exige únicamente que el asunto sea sometido a consideración de la célula legislativa correspondiente, y se garantice l</w:t>
      </w:r>
      <w:r w:rsidRPr="00491C4A">
        <w:rPr>
          <w:rFonts w:ascii="Times New Roman" w:hAnsi="Times New Roman"/>
          <w:sz w:val="28"/>
          <w:szCs w:val="28"/>
        </w:rPr>
        <w:t xml:space="preserve">a oportunidad de intervención a los congresistas, mas no la obligación de ejercer dicha facultad. La omisión de intervenciones o la escasa participación no constituyen, </w:t>
      </w:r>
      <w:r w:rsidRPr="00491C4A">
        <w:rPr>
          <w:rFonts w:ascii="Times New Roman" w:hAnsi="Times New Roman"/>
          <w:i/>
          <w:iCs/>
          <w:sz w:val="28"/>
          <w:szCs w:val="28"/>
        </w:rPr>
        <w:t>per se</w:t>
      </w:r>
      <w:r w:rsidRPr="00491C4A">
        <w:rPr>
          <w:rFonts w:ascii="Times New Roman" w:hAnsi="Times New Roman"/>
          <w:sz w:val="28"/>
          <w:szCs w:val="28"/>
        </w:rPr>
        <w:t>, vicios de procedimiento.</w:t>
      </w:r>
    </w:p>
    <w:p w:rsidR="00546C63" w:rsidRPr="00491C4A" w:rsidRDefault="00491C4A" w:rsidP="00546C63">
      <w:pPr>
        <w:pStyle w:val="Prrafodelista"/>
        <w:rPr>
          <w:rFonts w:ascii="Times New Roman" w:hAnsi="Times New Roman"/>
          <w:sz w:val="28"/>
          <w:szCs w:val="28"/>
        </w:rPr>
      </w:pPr>
    </w:p>
    <w:p w:rsidR="00546C6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Este criterio se enmarca dentro del principio de inst</w:t>
      </w:r>
      <w:r w:rsidRPr="00491C4A">
        <w:rPr>
          <w:rFonts w:ascii="Times New Roman" w:hAnsi="Times New Roman"/>
          <w:sz w:val="28"/>
          <w:szCs w:val="28"/>
        </w:rPr>
        <w:t>rumentalidad de las formas, según el cual las reglas procedimentales no tienen un valor autónomo, sino que deben interpretarse teleológicamente, al servicio de fines sustantivos como la formación libre e ilustrada de la voluntad democrática. Así lo reconoc</w:t>
      </w:r>
      <w:r w:rsidRPr="00491C4A">
        <w:rPr>
          <w:rFonts w:ascii="Times New Roman" w:hAnsi="Times New Roman"/>
          <w:sz w:val="28"/>
          <w:szCs w:val="28"/>
        </w:rPr>
        <w:t>ió la jurisprudencia en la Sentencia C-737 de 2001, según la cual, aunque las formas no son irrelevantes, su exigencia debe ser razonable y proporcional, de modo que no se transformen en obstáculos que desvirtúen el ejercicio mismo de la función legislativ</w:t>
      </w:r>
      <w:r w:rsidRPr="00491C4A">
        <w:rPr>
          <w:rFonts w:ascii="Times New Roman" w:hAnsi="Times New Roman"/>
          <w:sz w:val="28"/>
          <w:szCs w:val="28"/>
        </w:rPr>
        <w:t>a.</w:t>
      </w:r>
    </w:p>
    <w:p w:rsidR="00546C63" w:rsidRPr="00491C4A" w:rsidRDefault="00491C4A" w:rsidP="00546C63">
      <w:pPr>
        <w:jc w:val="both"/>
        <w:rPr>
          <w:rFonts w:ascii="Times New Roman" w:hAnsi="Times New Roman"/>
          <w:sz w:val="28"/>
          <w:szCs w:val="28"/>
        </w:rPr>
      </w:pPr>
    </w:p>
    <w:p w:rsidR="00831064" w:rsidRPr="00491C4A" w:rsidRDefault="00491C4A" w:rsidP="00831064">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Así, cabe destacar que incluso en materias particularmente sensibles, como la tributaria, en la que opera el principio de </w:t>
      </w:r>
      <w:r w:rsidRPr="00491C4A">
        <w:rPr>
          <w:rFonts w:ascii="Times New Roman" w:hAnsi="Times New Roman"/>
          <w:i/>
          <w:iCs/>
          <w:sz w:val="28"/>
          <w:szCs w:val="28"/>
        </w:rPr>
        <w:t>“no tributación sin representación”</w:t>
      </w:r>
      <w:r w:rsidRPr="00491C4A">
        <w:rPr>
          <w:rFonts w:ascii="Times New Roman" w:hAnsi="Times New Roman"/>
          <w:sz w:val="28"/>
          <w:szCs w:val="28"/>
        </w:rPr>
        <w:t>, la Corte ha sostenido que la Constitución exige que exista debate, pero no provee criterios para evaluar su suficiencia. Así fue señalado en la Sentencia C-776 de 2003, citada expresamente en la Sentencia C-473 de 2004. De este modo, el juicio de validez</w:t>
      </w:r>
      <w:r w:rsidRPr="00491C4A">
        <w:rPr>
          <w:rFonts w:ascii="Times New Roman" w:hAnsi="Times New Roman"/>
          <w:sz w:val="28"/>
          <w:szCs w:val="28"/>
        </w:rPr>
        <w:t xml:space="preserve"> del procedimiento legislativo debe concentrarse en verificar que se hayan cumplido los requisitos formales previstos en la Constitución Política y en el reglamento, sin que resulte admisible extender el control a valoraciones subjetivas sobre el contenido</w:t>
      </w:r>
      <w:r w:rsidRPr="00491C4A">
        <w:rPr>
          <w:rFonts w:ascii="Times New Roman" w:hAnsi="Times New Roman"/>
          <w:sz w:val="28"/>
          <w:szCs w:val="28"/>
        </w:rPr>
        <w:t>, la duración o el tono de la deliberación parlamentaria.</w:t>
      </w:r>
    </w:p>
    <w:p w:rsidR="00831064" w:rsidRPr="00491C4A" w:rsidRDefault="00491C4A" w:rsidP="00831064">
      <w:pPr>
        <w:pStyle w:val="Prrafodelista"/>
        <w:rPr>
          <w:rFonts w:ascii="Times New Roman" w:hAnsi="Times New Roman"/>
          <w:sz w:val="28"/>
          <w:szCs w:val="28"/>
        </w:rPr>
      </w:pPr>
    </w:p>
    <w:p w:rsidR="00123544" w:rsidRPr="00491C4A" w:rsidRDefault="00491C4A" w:rsidP="00831064">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ese sentido, como se señaló previamente, el</w:t>
      </w:r>
      <w:r w:rsidRPr="00491C4A">
        <w:rPr>
          <w:rFonts w:ascii="Times New Roman" w:hAnsi="Times New Roman"/>
          <w:sz w:val="28"/>
          <w:szCs w:val="28"/>
        </w:rPr>
        <w:t xml:space="preserve"> artículo 94 de la Ley 5</w:t>
      </w:r>
      <w:r w:rsidRPr="00491C4A">
        <w:rPr>
          <w:rFonts w:ascii="Times New Roman" w:hAnsi="Times New Roman"/>
          <w:sz w:val="28"/>
          <w:szCs w:val="28"/>
        </w:rPr>
        <w:t>ª</w:t>
      </w:r>
      <w:r w:rsidRPr="00491C4A">
        <w:rPr>
          <w:rFonts w:ascii="Times New Roman" w:hAnsi="Times New Roman"/>
          <w:sz w:val="28"/>
          <w:szCs w:val="28"/>
        </w:rPr>
        <w:t xml:space="preserve"> de 1992 prevé que </w:t>
      </w:r>
      <w:r w:rsidRPr="00491C4A">
        <w:rPr>
          <w:rFonts w:ascii="Times New Roman" w:hAnsi="Times New Roman"/>
          <w:sz w:val="28"/>
          <w:szCs w:val="28"/>
        </w:rPr>
        <w:t>“</w:t>
      </w:r>
      <w:r w:rsidRPr="00491C4A">
        <w:rPr>
          <w:rFonts w:ascii="Times New Roman" w:hAnsi="Times New Roman"/>
          <w:i/>
          <w:iCs/>
          <w:sz w:val="28"/>
          <w:szCs w:val="28"/>
        </w:rPr>
        <w:t>el sometimiento a discusión de cualquier propo</w:t>
      </w:r>
      <w:r w:rsidRPr="00491C4A">
        <w:rPr>
          <w:rFonts w:ascii="Times New Roman" w:hAnsi="Times New Roman"/>
          <w:i/>
          <w:iCs/>
          <w:sz w:val="28"/>
          <w:szCs w:val="28"/>
        </w:rPr>
        <w:t>sición o proyecto sobre cuya adopción deba resolver la respe</w:t>
      </w:r>
      <w:r w:rsidRPr="00491C4A">
        <w:rPr>
          <w:rFonts w:ascii="Times New Roman" w:hAnsi="Times New Roman"/>
          <w:i/>
          <w:iCs/>
          <w:sz w:val="28"/>
          <w:szCs w:val="28"/>
        </w:rPr>
        <w:t>ctiva corporación</w:t>
      </w:r>
      <w:r w:rsidRPr="00491C4A">
        <w:rPr>
          <w:rFonts w:ascii="Times New Roman" w:hAnsi="Times New Roman"/>
          <w:i/>
          <w:iCs/>
          <w:sz w:val="28"/>
          <w:szCs w:val="28"/>
        </w:rPr>
        <w:t xml:space="preserve"> es lo que constituye el debate</w:t>
      </w:r>
      <w:r w:rsidRPr="00491C4A">
        <w:rPr>
          <w:rFonts w:ascii="Times New Roman" w:hAnsi="Times New Roman"/>
          <w:sz w:val="28"/>
          <w:szCs w:val="28"/>
        </w:rPr>
        <w:t>”</w:t>
      </w:r>
      <w:r w:rsidRPr="00491C4A">
        <w:rPr>
          <w:rStyle w:val="Refdenotaalpie"/>
          <w:rFonts w:ascii="Times New Roman" w:hAnsi="Times New Roman"/>
          <w:sz w:val="28"/>
          <w:szCs w:val="28"/>
        </w:rPr>
        <w:footnoteReference w:id="83"/>
      </w:r>
      <w:r w:rsidRPr="00491C4A">
        <w:rPr>
          <w:rFonts w:ascii="Times New Roman" w:hAnsi="Times New Roman"/>
          <w:sz w:val="28"/>
          <w:szCs w:val="28"/>
        </w:rPr>
        <w:t>. A</w:t>
      </w:r>
      <w:r w:rsidRPr="00491C4A">
        <w:rPr>
          <w:rFonts w:ascii="Times New Roman" w:hAnsi="Times New Roman"/>
          <w:sz w:val="28"/>
          <w:szCs w:val="28"/>
        </w:rPr>
        <w:t xml:space="preserve"> su turno, </w:t>
      </w:r>
      <w:r w:rsidRPr="00491C4A">
        <w:rPr>
          <w:rFonts w:ascii="Times New Roman" w:hAnsi="Times New Roman"/>
          <w:sz w:val="28"/>
          <w:szCs w:val="28"/>
        </w:rPr>
        <w:t>el artículo 123</w:t>
      </w:r>
      <w:r w:rsidRPr="00491C4A">
        <w:rPr>
          <w:rFonts w:ascii="Times New Roman" w:hAnsi="Times New Roman"/>
          <w:sz w:val="28"/>
          <w:szCs w:val="28"/>
        </w:rPr>
        <w:t xml:space="preserve">.5 de la misma </w:t>
      </w:r>
      <w:r w:rsidRPr="00491C4A">
        <w:rPr>
          <w:rFonts w:ascii="Times New Roman" w:hAnsi="Times New Roman"/>
          <w:sz w:val="28"/>
          <w:szCs w:val="28"/>
        </w:rPr>
        <w:t>L</w:t>
      </w:r>
      <w:r w:rsidRPr="00491C4A">
        <w:rPr>
          <w:rFonts w:ascii="Times New Roman" w:hAnsi="Times New Roman"/>
          <w:sz w:val="28"/>
          <w:szCs w:val="28"/>
        </w:rPr>
        <w:t xml:space="preserve">ey </w:t>
      </w:r>
      <w:r w:rsidRPr="00491C4A">
        <w:rPr>
          <w:rFonts w:ascii="Times New Roman" w:hAnsi="Times New Roman"/>
          <w:sz w:val="28"/>
          <w:szCs w:val="28"/>
        </w:rPr>
        <w:t>establece que “</w:t>
      </w:r>
      <w:r w:rsidRPr="00491C4A">
        <w:rPr>
          <w:rFonts w:ascii="Times New Roman" w:hAnsi="Times New Roman"/>
          <w:i/>
          <w:iCs/>
          <w:sz w:val="28"/>
          <w:szCs w:val="28"/>
        </w:rPr>
        <w:t>todas las proposiciones deben ser sometidas a discusión antes de v</w:t>
      </w:r>
      <w:r w:rsidRPr="00491C4A">
        <w:rPr>
          <w:rFonts w:ascii="Times New Roman" w:hAnsi="Times New Roman"/>
          <w:i/>
          <w:iCs/>
          <w:sz w:val="28"/>
          <w:szCs w:val="28"/>
        </w:rPr>
        <w:t>o</w:t>
      </w:r>
      <w:r w:rsidRPr="00491C4A">
        <w:rPr>
          <w:rFonts w:ascii="Times New Roman" w:hAnsi="Times New Roman"/>
          <w:i/>
          <w:iCs/>
          <w:sz w:val="28"/>
          <w:szCs w:val="28"/>
        </w:rPr>
        <w:t>tarse</w:t>
      </w:r>
      <w:r w:rsidRPr="00491C4A">
        <w:rPr>
          <w:rFonts w:ascii="Times New Roman" w:hAnsi="Times New Roman"/>
          <w:i/>
          <w:iCs/>
          <w:sz w:val="28"/>
          <w:szCs w:val="28"/>
        </w:rPr>
        <w:t>, con las excepciones establecidas en este Reglamento”</w:t>
      </w:r>
      <w:r w:rsidRPr="00491C4A">
        <w:rPr>
          <w:rStyle w:val="Refdenotaalpie"/>
          <w:rFonts w:ascii="Times New Roman" w:hAnsi="Times New Roman"/>
          <w:i/>
          <w:iCs/>
          <w:sz w:val="28"/>
          <w:szCs w:val="28"/>
        </w:rPr>
        <w:footnoteReference w:id="84"/>
      </w:r>
      <w:r w:rsidRPr="00491C4A">
        <w:rPr>
          <w:rFonts w:ascii="Times New Roman" w:hAnsi="Times New Roman"/>
          <w:i/>
          <w:iCs/>
          <w:sz w:val="28"/>
          <w:szCs w:val="28"/>
        </w:rPr>
        <w:t xml:space="preserve">. </w:t>
      </w:r>
      <w:r w:rsidRPr="00491C4A">
        <w:rPr>
          <w:rFonts w:ascii="Times New Roman" w:hAnsi="Times New Roman"/>
          <w:sz w:val="28"/>
          <w:szCs w:val="28"/>
        </w:rPr>
        <w:t xml:space="preserve">Por su parte, </w:t>
      </w:r>
      <w:r w:rsidRPr="00491C4A">
        <w:rPr>
          <w:rFonts w:ascii="Times New Roman" w:hAnsi="Times New Roman"/>
          <w:sz w:val="28"/>
          <w:szCs w:val="28"/>
        </w:rPr>
        <w:t>el artículo 112 señala que, e</w:t>
      </w:r>
      <w:r w:rsidRPr="00491C4A">
        <w:rPr>
          <w:rFonts w:ascii="Times New Roman" w:hAnsi="Times New Roman"/>
          <w:sz w:val="28"/>
          <w:szCs w:val="28"/>
        </w:rPr>
        <w:t>n discusión,</w:t>
      </w:r>
      <w:r w:rsidRPr="00491C4A">
        <w:rPr>
          <w:rFonts w:ascii="Times New Roman" w:hAnsi="Times New Roman"/>
          <w:sz w:val="28"/>
          <w:szCs w:val="28"/>
        </w:rPr>
        <w:t xml:space="preserve"> </w:t>
      </w:r>
      <w:r w:rsidRPr="00491C4A">
        <w:rPr>
          <w:rFonts w:ascii="Times New Roman" w:hAnsi="Times New Roman"/>
          <w:sz w:val="28"/>
          <w:szCs w:val="28"/>
        </w:rPr>
        <w:t>solo serán admisi</w:t>
      </w:r>
      <w:r w:rsidRPr="00491C4A">
        <w:rPr>
          <w:rFonts w:ascii="Times New Roman" w:hAnsi="Times New Roman"/>
          <w:sz w:val="28"/>
          <w:szCs w:val="28"/>
        </w:rPr>
        <w:t xml:space="preserve">bles </w:t>
      </w:r>
      <w:r w:rsidRPr="00491C4A">
        <w:rPr>
          <w:rFonts w:ascii="Times New Roman" w:hAnsi="Times New Roman"/>
          <w:sz w:val="28"/>
          <w:szCs w:val="28"/>
        </w:rPr>
        <w:t>las solicitudes de: modificación, adición, suspensión, orden, informe oral o lectura de documentos, declaración de sesión permanente y votación nominal o secreta.</w:t>
      </w:r>
      <w:r w:rsidRPr="00491C4A">
        <w:rPr>
          <w:rFonts w:ascii="Times New Roman" w:hAnsi="Times New Roman"/>
          <w:sz w:val="28"/>
          <w:szCs w:val="28"/>
        </w:rPr>
        <w:t xml:space="preserve"> A continuación</w:t>
      </w:r>
      <w:r w:rsidRPr="00491C4A">
        <w:rPr>
          <w:rFonts w:ascii="Times New Roman" w:hAnsi="Times New Roman"/>
          <w:sz w:val="28"/>
          <w:szCs w:val="28"/>
        </w:rPr>
        <w:t>,</w:t>
      </w:r>
      <w:r w:rsidRPr="00491C4A">
        <w:rPr>
          <w:rFonts w:ascii="Times New Roman" w:hAnsi="Times New Roman"/>
          <w:sz w:val="28"/>
          <w:szCs w:val="28"/>
        </w:rPr>
        <w:t xml:space="preserve"> se resume el </w:t>
      </w:r>
      <w:r w:rsidRPr="00491C4A">
        <w:rPr>
          <w:rFonts w:ascii="Times New Roman" w:hAnsi="Times New Roman"/>
          <w:sz w:val="28"/>
          <w:szCs w:val="28"/>
        </w:rPr>
        <w:t>contenido del artículo 114 de la Ley 5 de 1992</w:t>
      </w:r>
      <w:r w:rsidRPr="00491C4A">
        <w:rPr>
          <w:rFonts w:ascii="Times New Roman" w:hAnsi="Times New Roman"/>
          <w:sz w:val="28"/>
          <w:szCs w:val="28"/>
        </w:rPr>
        <w:t xml:space="preserve"> que define cada tipo de proposición:</w:t>
      </w:r>
    </w:p>
    <w:p w:rsidR="002917AF" w:rsidRPr="00491C4A" w:rsidRDefault="00491C4A" w:rsidP="002917AF">
      <w:pPr>
        <w:pStyle w:val="Prrafodelista"/>
        <w:ind w:left="567"/>
        <w:jc w:val="both"/>
        <w:rPr>
          <w:rFonts w:ascii="Times New Roman" w:hAnsi="Times New Roman"/>
          <w:sz w:val="28"/>
          <w:szCs w:val="28"/>
        </w:rPr>
      </w:pPr>
    </w:p>
    <w:p w:rsidR="00C21D7B" w:rsidRPr="00491C4A" w:rsidRDefault="00491C4A" w:rsidP="00C21D7B">
      <w:pPr>
        <w:pStyle w:val="Ttulo3"/>
        <w:spacing w:before="0"/>
        <w:jc w:val="center"/>
        <w:rPr>
          <w:rFonts w:ascii="Times New Roman" w:hAnsi="Times New Roman"/>
          <w:b/>
          <w:bCs/>
          <w:i/>
          <w:iCs/>
          <w:color w:val="auto"/>
        </w:rPr>
      </w:pPr>
      <w:bookmarkStart w:id="33" w:name="_Toc200753667"/>
      <w:r w:rsidRPr="00491C4A">
        <w:rPr>
          <w:rFonts w:ascii="Times New Roman" w:hAnsi="Times New Roman"/>
          <w:b/>
          <w:bCs/>
          <w:i/>
          <w:iCs/>
          <w:color w:val="auto"/>
        </w:rPr>
        <w:t xml:space="preserve">Tabla </w:t>
      </w:r>
      <w:r w:rsidRPr="00491C4A">
        <w:rPr>
          <w:rFonts w:ascii="Times New Roman" w:hAnsi="Times New Roman"/>
          <w:b/>
          <w:bCs/>
          <w:i/>
          <w:iCs/>
          <w:color w:val="auto"/>
        </w:rPr>
        <w:t>7</w:t>
      </w:r>
      <w:r w:rsidRPr="00491C4A">
        <w:rPr>
          <w:rFonts w:ascii="Times New Roman" w:hAnsi="Times New Roman"/>
          <w:b/>
          <w:bCs/>
          <w:i/>
          <w:iCs/>
          <w:color w:val="auto"/>
        </w:rPr>
        <w:t xml:space="preserve"> – Tipos de proposiciones</w:t>
      </w:r>
      <w:bookmarkEnd w:id="33"/>
    </w:p>
    <w:p w:rsidR="00C21D7B" w:rsidRPr="00491C4A" w:rsidRDefault="00491C4A" w:rsidP="002917AF">
      <w:pPr>
        <w:pStyle w:val="Prrafodelista"/>
        <w:ind w:left="567"/>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657"/>
      </w:tblGrid>
      <w:tr w:rsidR="001062E5" w:rsidRPr="00491C4A" w:rsidTr="00491C4A">
        <w:tc>
          <w:tcPr>
            <w:tcW w:w="926" w:type="pct"/>
            <w:shd w:val="clear" w:color="auto" w:fill="auto"/>
            <w:vAlign w:val="center"/>
          </w:tcPr>
          <w:p w:rsidR="001062E5" w:rsidRPr="00491C4A" w:rsidRDefault="00491C4A" w:rsidP="00491C4A">
            <w:pPr>
              <w:pStyle w:val="Prrafodelista"/>
              <w:spacing w:after="0" w:line="240" w:lineRule="auto"/>
              <w:ind w:left="0"/>
              <w:jc w:val="center"/>
              <w:rPr>
                <w:rFonts w:ascii="Times New Roman" w:hAnsi="Times New Roman"/>
                <w:b/>
                <w:bCs/>
                <w:sz w:val="28"/>
              </w:rPr>
            </w:pPr>
            <w:r w:rsidRPr="00491C4A">
              <w:rPr>
                <w:rFonts w:ascii="Times New Roman" w:hAnsi="Times New Roman"/>
                <w:b/>
                <w:bCs/>
                <w:sz w:val="28"/>
              </w:rPr>
              <w:t>Tipo de proposición</w:t>
            </w:r>
          </w:p>
        </w:tc>
        <w:tc>
          <w:tcPr>
            <w:tcW w:w="4074" w:type="pct"/>
            <w:shd w:val="clear" w:color="auto" w:fill="auto"/>
            <w:vAlign w:val="center"/>
          </w:tcPr>
          <w:p w:rsidR="001062E5" w:rsidRPr="00491C4A" w:rsidRDefault="00491C4A" w:rsidP="00491C4A">
            <w:pPr>
              <w:pStyle w:val="Prrafodelista"/>
              <w:spacing w:after="0" w:line="240" w:lineRule="auto"/>
              <w:ind w:left="0"/>
              <w:jc w:val="center"/>
              <w:rPr>
                <w:rFonts w:ascii="Times New Roman" w:hAnsi="Times New Roman"/>
                <w:b/>
                <w:bCs/>
                <w:sz w:val="28"/>
              </w:rPr>
            </w:pPr>
            <w:r w:rsidRPr="00491C4A">
              <w:rPr>
                <w:rFonts w:ascii="Times New Roman" w:hAnsi="Times New Roman"/>
                <w:b/>
                <w:bCs/>
                <w:sz w:val="28"/>
              </w:rPr>
              <w:t>Definición</w:t>
            </w:r>
          </w:p>
        </w:tc>
      </w:tr>
      <w:tr w:rsidR="001062E5" w:rsidRPr="00491C4A" w:rsidTr="00491C4A">
        <w:tc>
          <w:tcPr>
            <w:tcW w:w="926"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Style w:val="baj"/>
                <w:rFonts w:ascii="Times New Roman" w:hAnsi="Times New Roman"/>
                <w:b/>
                <w:bCs/>
                <w:sz w:val="28"/>
              </w:rPr>
              <w:t>Principal</w:t>
            </w:r>
            <w:r w:rsidRPr="00491C4A">
              <w:rPr>
                <w:rFonts w:ascii="Times New Roman" w:hAnsi="Times New Roman"/>
                <w:sz w:val="28"/>
              </w:rPr>
              <w:t xml:space="preserve">. </w:t>
            </w:r>
          </w:p>
        </w:tc>
        <w:tc>
          <w:tcPr>
            <w:tcW w:w="4074"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Fonts w:ascii="Times New Roman" w:hAnsi="Times New Roman"/>
                <w:sz w:val="28"/>
              </w:rPr>
              <w:t xml:space="preserve">Es la moción o iniciativa que se presenta por primera vez a la consideración y decisión de </w:t>
            </w:r>
            <w:r w:rsidRPr="00491C4A">
              <w:rPr>
                <w:rFonts w:ascii="Times New Roman" w:hAnsi="Times New Roman"/>
                <w:sz w:val="28"/>
              </w:rPr>
              <w:t>una Comisión o de una de las Cámaras</w:t>
            </w:r>
          </w:p>
        </w:tc>
      </w:tr>
      <w:tr w:rsidR="001062E5" w:rsidRPr="00491C4A" w:rsidTr="00491C4A">
        <w:tc>
          <w:tcPr>
            <w:tcW w:w="926"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Style w:val="baj"/>
                <w:rFonts w:ascii="Times New Roman" w:hAnsi="Times New Roman"/>
                <w:b/>
                <w:bCs/>
                <w:sz w:val="28"/>
              </w:rPr>
              <w:t>Sustitutiva</w:t>
            </w:r>
            <w:r w:rsidRPr="00491C4A">
              <w:rPr>
                <w:rFonts w:ascii="Times New Roman" w:hAnsi="Times New Roman"/>
                <w:sz w:val="28"/>
              </w:rPr>
              <w:t xml:space="preserve">. </w:t>
            </w:r>
          </w:p>
        </w:tc>
        <w:tc>
          <w:tcPr>
            <w:tcW w:w="4074"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Fonts w:ascii="Times New Roman" w:hAnsi="Times New Roman"/>
                <w:sz w:val="28"/>
              </w:rPr>
              <w:t>Es la que tiende a reemplazar a la principal, y se discute y decide primero en lugar de la que se pretende sustituir. Aprobada la sustitutiva, desaparece la principal.</w:t>
            </w:r>
          </w:p>
        </w:tc>
      </w:tr>
      <w:tr w:rsidR="001062E5" w:rsidRPr="00491C4A" w:rsidTr="00491C4A">
        <w:tc>
          <w:tcPr>
            <w:tcW w:w="926" w:type="pct"/>
            <w:shd w:val="clear" w:color="auto" w:fill="auto"/>
          </w:tcPr>
          <w:p w:rsidR="001062E5" w:rsidRPr="00491C4A" w:rsidRDefault="00491C4A" w:rsidP="00491C4A">
            <w:pPr>
              <w:pStyle w:val="Prrafodelista"/>
              <w:spacing w:after="0" w:line="240" w:lineRule="auto"/>
              <w:ind w:left="0"/>
              <w:jc w:val="both"/>
              <w:rPr>
                <w:rStyle w:val="baj"/>
                <w:rFonts w:ascii="Times New Roman" w:hAnsi="Times New Roman"/>
                <w:b/>
                <w:bCs/>
                <w:sz w:val="28"/>
              </w:rPr>
            </w:pPr>
            <w:r w:rsidRPr="00491C4A">
              <w:rPr>
                <w:rStyle w:val="baj"/>
                <w:rFonts w:ascii="Times New Roman" w:hAnsi="Times New Roman"/>
                <w:b/>
                <w:bCs/>
                <w:sz w:val="28"/>
              </w:rPr>
              <w:t>Suspensiva</w:t>
            </w:r>
            <w:r w:rsidRPr="00491C4A">
              <w:rPr>
                <w:rFonts w:ascii="Times New Roman" w:hAnsi="Times New Roman"/>
                <w:sz w:val="28"/>
              </w:rPr>
              <w:t xml:space="preserve">. </w:t>
            </w:r>
          </w:p>
        </w:tc>
        <w:tc>
          <w:tcPr>
            <w:tcW w:w="4074"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Fonts w:ascii="Times New Roman" w:hAnsi="Times New Roman"/>
                <w:sz w:val="28"/>
              </w:rPr>
              <w:t>Es la que tiene por ob</w:t>
            </w:r>
            <w:r w:rsidRPr="00491C4A">
              <w:rPr>
                <w:rFonts w:ascii="Times New Roman" w:hAnsi="Times New Roman"/>
                <w:sz w:val="28"/>
              </w:rPr>
              <w:t xml:space="preserve">jeto suspender el debate mientras se considera otro asunto que deba decidirse con prelación, pero para volver a él una vez resuelto el caso que motiva la suspensión. (…) Se discute y resuelve separadamente de la principal y con prelación a cualquiera otra </w:t>
            </w:r>
            <w:r w:rsidRPr="00491C4A">
              <w:rPr>
                <w:rFonts w:ascii="Times New Roman" w:hAnsi="Times New Roman"/>
                <w:sz w:val="28"/>
              </w:rPr>
              <w:t>que no sea de sesión permanente</w:t>
            </w:r>
          </w:p>
        </w:tc>
      </w:tr>
      <w:tr w:rsidR="001062E5" w:rsidRPr="00491C4A" w:rsidTr="00491C4A">
        <w:tc>
          <w:tcPr>
            <w:tcW w:w="926" w:type="pct"/>
            <w:shd w:val="clear" w:color="auto" w:fill="auto"/>
          </w:tcPr>
          <w:p w:rsidR="001062E5" w:rsidRPr="00491C4A" w:rsidRDefault="00491C4A" w:rsidP="00491C4A">
            <w:pPr>
              <w:pStyle w:val="Prrafodelista"/>
              <w:spacing w:after="0" w:line="240" w:lineRule="auto"/>
              <w:ind w:left="0"/>
              <w:jc w:val="both"/>
              <w:rPr>
                <w:rStyle w:val="baj"/>
                <w:rFonts w:ascii="Times New Roman" w:hAnsi="Times New Roman"/>
                <w:b/>
                <w:bCs/>
                <w:sz w:val="28"/>
              </w:rPr>
            </w:pPr>
            <w:r w:rsidRPr="00491C4A">
              <w:rPr>
                <w:rStyle w:val="baj"/>
                <w:rFonts w:ascii="Times New Roman" w:hAnsi="Times New Roman"/>
                <w:b/>
                <w:bCs/>
                <w:sz w:val="28"/>
              </w:rPr>
              <w:t>Modificativa</w:t>
            </w:r>
          </w:p>
        </w:tc>
        <w:tc>
          <w:tcPr>
            <w:tcW w:w="4074"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Fonts w:ascii="Times New Roman" w:hAnsi="Times New Roman"/>
                <w:sz w:val="28"/>
              </w:rPr>
              <w:t>Es la que aclara la principal; varía su redacción sin cambiarle el contenido esencial de la misma; hace dos o más de la principal para su mayor comprensión o claridad; obtiene que dos o más temas, dos o más art</w:t>
            </w:r>
            <w:r w:rsidRPr="00491C4A">
              <w:rPr>
                <w:rFonts w:ascii="Times New Roman" w:hAnsi="Times New Roman"/>
                <w:sz w:val="28"/>
              </w:rPr>
              <w:t>ículos que versen sobre materia igual, o similar, se discutan y resuelvan en una sola; o traslada lo que se discute a otro lugar del proyecto, o tema que se debate, por razones de conveniencia o coordinación que se aduzcan. (…)</w:t>
            </w:r>
          </w:p>
        </w:tc>
      </w:tr>
      <w:tr w:rsidR="001062E5" w:rsidRPr="00491C4A" w:rsidTr="00491C4A">
        <w:tc>
          <w:tcPr>
            <w:tcW w:w="926" w:type="pct"/>
            <w:shd w:val="clear" w:color="auto" w:fill="auto"/>
          </w:tcPr>
          <w:p w:rsidR="001062E5" w:rsidRPr="00491C4A" w:rsidRDefault="00491C4A" w:rsidP="00491C4A">
            <w:pPr>
              <w:pStyle w:val="Prrafodelista"/>
              <w:spacing w:after="0" w:line="240" w:lineRule="auto"/>
              <w:ind w:left="0"/>
              <w:jc w:val="both"/>
              <w:rPr>
                <w:rStyle w:val="baj"/>
                <w:rFonts w:ascii="Times New Roman" w:hAnsi="Times New Roman"/>
                <w:b/>
                <w:bCs/>
                <w:sz w:val="28"/>
              </w:rPr>
            </w:pPr>
            <w:r w:rsidRPr="00491C4A">
              <w:rPr>
                <w:rStyle w:val="baj"/>
                <w:rFonts w:ascii="Times New Roman" w:hAnsi="Times New Roman"/>
                <w:b/>
                <w:bCs/>
                <w:sz w:val="28"/>
              </w:rPr>
              <w:t>Especial</w:t>
            </w:r>
          </w:p>
        </w:tc>
        <w:tc>
          <w:tcPr>
            <w:tcW w:w="4074" w:type="pct"/>
            <w:shd w:val="clear" w:color="auto" w:fill="auto"/>
          </w:tcPr>
          <w:p w:rsidR="001062E5" w:rsidRPr="00491C4A" w:rsidRDefault="00491C4A" w:rsidP="00491C4A">
            <w:pPr>
              <w:pStyle w:val="Prrafodelista"/>
              <w:spacing w:after="0" w:line="240" w:lineRule="auto"/>
              <w:ind w:left="0"/>
              <w:jc w:val="both"/>
              <w:rPr>
                <w:rFonts w:ascii="Times New Roman" w:hAnsi="Times New Roman"/>
                <w:sz w:val="28"/>
              </w:rPr>
            </w:pPr>
            <w:r w:rsidRPr="00491C4A">
              <w:rPr>
                <w:rFonts w:ascii="Times New Roman" w:hAnsi="Times New Roman"/>
                <w:sz w:val="28"/>
              </w:rPr>
              <w:t>Es la que no admit</w:t>
            </w:r>
            <w:r w:rsidRPr="00491C4A">
              <w:rPr>
                <w:rFonts w:ascii="Times New Roman" w:hAnsi="Times New Roman"/>
                <w:sz w:val="28"/>
              </w:rPr>
              <w:t>e discusión, y puede presentarse oralmente. Se considera la de suficiente ilustración, la de sesión permanente y la de alteración del orden del día. (…)</w:t>
            </w:r>
          </w:p>
        </w:tc>
      </w:tr>
    </w:tbl>
    <w:p w:rsidR="001062E5" w:rsidRPr="00491C4A" w:rsidRDefault="00491C4A" w:rsidP="002917AF">
      <w:pPr>
        <w:pStyle w:val="Prrafodelista"/>
        <w:ind w:left="567"/>
        <w:jc w:val="both"/>
        <w:rPr>
          <w:rFonts w:ascii="Times New Roman" w:hAnsi="Times New Roman"/>
          <w:sz w:val="28"/>
          <w:szCs w:val="28"/>
        </w:rPr>
      </w:pPr>
    </w:p>
    <w:p w:rsidR="00252278"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Como se observa, las proposiciones dirigidas a reabrir el debate </w:t>
      </w:r>
      <w:r w:rsidRPr="00491C4A">
        <w:rPr>
          <w:rFonts w:ascii="Times New Roman" w:hAnsi="Times New Roman"/>
          <w:sz w:val="28"/>
          <w:szCs w:val="28"/>
        </w:rPr>
        <w:t xml:space="preserve">no están expresamente reguladas en la Ley </w:t>
      </w:r>
      <w:r w:rsidRPr="00491C4A">
        <w:rPr>
          <w:rFonts w:ascii="Times New Roman" w:hAnsi="Times New Roman"/>
          <w:sz w:val="28"/>
          <w:szCs w:val="28"/>
        </w:rPr>
        <w:t>5 de 1992</w:t>
      </w:r>
      <w:r w:rsidRPr="00491C4A">
        <w:rPr>
          <w:rFonts w:ascii="Times New Roman" w:hAnsi="Times New Roman"/>
          <w:sz w:val="28"/>
          <w:szCs w:val="28"/>
        </w:rPr>
        <w:t xml:space="preserve">. </w:t>
      </w:r>
      <w:r w:rsidRPr="00491C4A">
        <w:rPr>
          <w:rFonts w:ascii="Times New Roman" w:hAnsi="Times New Roman"/>
          <w:sz w:val="28"/>
          <w:szCs w:val="28"/>
        </w:rPr>
        <w:t xml:space="preserve">Existe una única alusión a tal alternativa en </w:t>
      </w:r>
      <w:r w:rsidRPr="00491C4A">
        <w:rPr>
          <w:rFonts w:ascii="Times New Roman" w:hAnsi="Times New Roman"/>
          <w:sz w:val="28"/>
          <w:szCs w:val="28"/>
        </w:rPr>
        <w:t>el artículo 135</w:t>
      </w:r>
      <w:r w:rsidRPr="00491C4A">
        <w:rPr>
          <w:rFonts w:ascii="Times New Roman" w:hAnsi="Times New Roman"/>
          <w:sz w:val="28"/>
          <w:szCs w:val="28"/>
        </w:rPr>
        <w:t>, que</w:t>
      </w:r>
      <w:r w:rsidRPr="00491C4A">
        <w:rPr>
          <w:rFonts w:ascii="Times New Roman" w:hAnsi="Times New Roman"/>
          <w:sz w:val="28"/>
          <w:szCs w:val="28"/>
        </w:rPr>
        <w:t xml:space="preserve"> dispone que </w:t>
      </w:r>
      <w:r w:rsidRPr="00491C4A">
        <w:rPr>
          <w:rFonts w:ascii="Times New Roman" w:hAnsi="Times New Roman"/>
          <w:sz w:val="28"/>
          <w:szCs w:val="28"/>
        </w:rPr>
        <w:t xml:space="preserve">cuando ocurren empates en la votación de un proyecto </w:t>
      </w:r>
      <w:r w:rsidRPr="00491C4A">
        <w:rPr>
          <w:rFonts w:ascii="Times New Roman" w:hAnsi="Times New Roman"/>
          <w:sz w:val="28"/>
          <w:szCs w:val="28"/>
        </w:rPr>
        <w:t>“</w:t>
      </w:r>
      <w:r w:rsidRPr="00491C4A">
        <w:rPr>
          <w:rFonts w:ascii="Times New Roman" w:hAnsi="Times New Roman"/>
          <w:i/>
          <w:iCs/>
          <w:sz w:val="28"/>
          <w:szCs w:val="28"/>
        </w:rPr>
        <w:t>se procederá a una segunda votación en la misma o en sesión posterior</w:t>
      </w:r>
      <w:r w:rsidRPr="00491C4A">
        <w:rPr>
          <w:rFonts w:ascii="Times New Roman" w:hAnsi="Times New Roman"/>
          <w:sz w:val="28"/>
          <w:szCs w:val="28"/>
        </w:rPr>
        <w:t>”</w:t>
      </w:r>
      <w:r w:rsidRPr="00491C4A">
        <w:rPr>
          <w:rFonts w:ascii="Times New Roman" w:hAnsi="Times New Roman"/>
          <w:sz w:val="28"/>
          <w:szCs w:val="28"/>
        </w:rPr>
        <w:t>.</w:t>
      </w:r>
    </w:p>
    <w:p w:rsidR="00252278" w:rsidRPr="00491C4A" w:rsidRDefault="00491C4A" w:rsidP="00252278">
      <w:pPr>
        <w:pStyle w:val="Prrafodelista"/>
        <w:ind w:left="0"/>
        <w:jc w:val="both"/>
        <w:rPr>
          <w:rFonts w:ascii="Times New Roman" w:hAnsi="Times New Roman"/>
          <w:sz w:val="28"/>
          <w:szCs w:val="28"/>
        </w:rPr>
      </w:pPr>
    </w:p>
    <w:p w:rsidR="0065566C"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No obstante, al juzgar casos en los que se ha solicitado u ocurrido la reapertura del debate, la Corte</w:t>
      </w:r>
      <w:r w:rsidRPr="00491C4A">
        <w:rPr>
          <w:rFonts w:ascii="Times New Roman" w:hAnsi="Times New Roman"/>
          <w:sz w:val="28"/>
          <w:szCs w:val="28"/>
        </w:rPr>
        <w:t xml:space="preserve"> ha </w:t>
      </w:r>
      <w:r w:rsidRPr="00491C4A">
        <w:rPr>
          <w:rFonts w:ascii="Times New Roman" w:hAnsi="Times New Roman"/>
          <w:sz w:val="28"/>
          <w:szCs w:val="28"/>
        </w:rPr>
        <w:t>fijado las siguientes subreglas:</w:t>
      </w:r>
      <w:r w:rsidRPr="00491C4A">
        <w:rPr>
          <w:rFonts w:ascii="Times New Roman" w:hAnsi="Times New Roman"/>
          <w:sz w:val="28"/>
          <w:szCs w:val="28"/>
        </w:rPr>
        <w:t xml:space="preserve"> </w:t>
      </w:r>
      <w:r w:rsidRPr="00491C4A">
        <w:rPr>
          <w:rFonts w:ascii="Times New Roman" w:hAnsi="Times New Roman"/>
          <w:i/>
          <w:iCs/>
          <w:sz w:val="28"/>
          <w:szCs w:val="28"/>
        </w:rPr>
        <w:t>(i)</w:t>
      </w:r>
      <w:r w:rsidRPr="00491C4A">
        <w:rPr>
          <w:rFonts w:ascii="Times New Roman" w:hAnsi="Times New Roman"/>
          <w:sz w:val="28"/>
          <w:szCs w:val="28"/>
        </w:rPr>
        <w:t xml:space="preserve"> es posible reabrir el debate sobre </w:t>
      </w:r>
      <w:r w:rsidRPr="00491C4A">
        <w:rPr>
          <w:rFonts w:ascii="Times New Roman" w:hAnsi="Times New Roman"/>
          <w:sz w:val="28"/>
          <w:szCs w:val="28"/>
        </w:rPr>
        <w:t>asuntos</w:t>
      </w:r>
      <w:r w:rsidRPr="00491C4A">
        <w:rPr>
          <w:rFonts w:ascii="Times New Roman" w:hAnsi="Times New Roman"/>
          <w:sz w:val="28"/>
          <w:szCs w:val="28"/>
        </w:rPr>
        <w:t xml:space="preserve"> que no hayan sido aprobad</w:t>
      </w:r>
      <w:r w:rsidRPr="00491C4A">
        <w:rPr>
          <w:rFonts w:ascii="Times New Roman" w:hAnsi="Times New Roman"/>
          <w:sz w:val="28"/>
          <w:szCs w:val="28"/>
        </w:rPr>
        <w:t>o</w:t>
      </w:r>
      <w:r w:rsidRPr="00491C4A">
        <w:rPr>
          <w:rFonts w:ascii="Times New Roman" w:hAnsi="Times New Roman"/>
          <w:sz w:val="28"/>
          <w:szCs w:val="28"/>
        </w:rPr>
        <w:t xml:space="preserve">s en las corporaciones legislativas, bajo ciertas circunstancias; </w:t>
      </w:r>
      <w:r w:rsidRPr="00491C4A">
        <w:rPr>
          <w:rFonts w:ascii="Times New Roman" w:hAnsi="Times New Roman"/>
          <w:i/>
          <w:iCs/>
          <w:sz w:val="28"/>
          <w:szCs w:val="28"/>
        </w:rPr>
        <w:t>(ii)</w:t>
      </w:r>
      <w:r w:rsidRPr="00491C4A">
        <w:rPr>
          <w:rFonts w:ascii="Times New Roman" w:hAnsi="Times New Roman"/>
          <w:sz w:val="28"/>
          <w:szCs w:val="28"/>
        </w:rPr>
        <w:t xml:space="preserve"> </w:t>
      </w:r>
      <w:r w:rsidRPr="00491C4A">
        <w:rPr>
          <w:rFonts w:ascii="Times New Roman" w:hAnsi="Times New Roman"/>
          <w:sz w:val="28"/>
          <w:szCs w:val="28"/>
        </w:rPr>
        <w:t xml:space="preserve">la aprobación de </w:t>
      </w:r>
      <w:r w:rsidRPr="00491C4A">
        <w:rPr>
          <w:rFonts w:ascii="Times New Roman" w:hAnsi="Times New Roman"/>
          <w:sz w:val="28"/>
          <w:szCs w:val="28"/>
        </w:rPr>
        <w:t xml:space="preserve">una solicitud de reapertura del debate </w:t>
      </w:r>
      <w:r w:rsidRPr="00491C4A">
        <w:rPr>
          <w:rFonts w:ascii="Times New Roman" w:hAnsi="Times New Roman"/>
          <w:sz w:val="28"/>
          <w:szCs w:val="28"/>
        </w:rPr>
        <w:t xml:space="preserve">no requiere </w:t>
      </w:r>
      <w:r w:rsidRPr="00491C4A">
        <w:rPr>
          <w:rFonts w:ascii="Times New Roman" w:hAnsi="Times New Roman"/>
          <w:sz w:val="28"/>
          <w:szCs w:val="28"/>
        </w:rPr>
        <w:t>una mayoría calificada</w:t>
      </w:r>
      <w:r w:rsidRPr="00491C4A">
        <w:rPr>
          <w:rFonts w:ascii="Times New Roman" w:hAnsi="Times New Roman"/>
          <w:sz w:val="28"/>
          <w:szCs w:val="28"/>
        </w:rPr>
        <w:t>, debido a que no versa sobre la aprobación o improbación de una norma</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(ii</w:t>
      </w:r>
      <w:r w:rsidRPr="00491C4A">
        <w:rPr>
          <w:rFonts w:ascii="Times New Roman" w:hAnsi="Times New Roman"/>
          <w:i/>
          <w:iCs/>
          <w:sz w:val="28"/>
          <w:szCs w:val="28"/>
        </w:rPr>
        <w:t>i</w:t>
      </w:r>
      <w:r w:rsidRPr="00491C4A">
        <w:rPr>
          <w:rFonts w:ascii="Times New Roman" w:hAnsi="Times New Roman"/>
          <w:i/>
          <w:iCs/>
          <w:sz w:val="28"/>
          <w:szCs w:val="28"/>
        </w:rPr>
        <w:t>)</w:t>
      </w:r>
      <w:r w:rsidRPr="00491C4A">
        <w:rPr>
          <w:rFonts w:ascii="Times New Roman" w:hAnsi="Times New Roman"/>
          <w:sz w:val="28"/>
          <w:szCs w:val="28"/>
        </w:rPr>
        <w:t xml:space="preserve"> </w:t>
      </w:r>
      <w:r w:rsidRPr="00491C4A">
        <w:rPr>
          <w:rFonts w:ascii="Times New Roman" w:hAnsi="Times New Roman"/>
          <w:sz w:val="28"/>
          <w:szCs w:val="28"/>
        </w:rPr>
        <w:t>debe respetarse l</w:t>
      </w:r>
      <w:r w:rsidRPr="00491C4A">
        <w:rPr>
          <w:rFonts w:ascii="Times New Roman" w:hAnsi="Times New Roman"/>
          <w:sz w:val="28"/>
          <w:szCs w:val="28"/>
        </w:rPr>
        <w:t>a voluntad democrática del legislador frente a la reapertura</w:t>
      </w:r>
      <w:r w:rsidRPr="00491C4A">
        <w:rPr>
          <w:rFonts w:ascii="Times New Roman" w:hAnsi="Times New Roman"/>
          <w:sz w:val="28"/>
          <w:szCs w:val="28"/>
        </w:rPr>
        <w:t xml:space="preserve">; y </w:t>
      </w:r>
      <w:r w:rsidRPr="00491C4A">
        <w:rPr>
          <w:rFonts w:ascii="Times New Roman" w:hAnsi="Times New Roman"/>
          <w:i/>
          <w:iCs/>
          <w:sz w:val="28"/>
          <w:szCs w:val="28"/>
        </w:rPr>
        <w:t>(iv)</w:t>
      </w:r>
      <w:r w:rsidRPr="00491C4A">
        <w:rPr>
          <w:rFonts w:ascii="Times New Roman" w:hAnsi="Times New Roman"/>
          <w:sz w:val="28"/>
          <w:szCs w:val="28"/>
        </w:rPr>
        <w:t xml:space="preserve"> las iniciativas que surten una segunda votación no deben ser exactamente iguales a las descartadas en un primer momento</w:t>
      </w:r>
      <w:r w:rsidRPr="00491C4A">
        <w:rPr>
          <w:rFonts w:ascii="Times New Roman" w:hAnsi="Times New Roman"/>
          <w:sz w:val="28"/>
          <w:szCs w:val="28"/>
        </w:rPr>
        <w:t>, pero sí deben tener una relación material con estas</w:t>
      </w:r>
      <w:r w:rsidRPr="00491C4A">
        <w:rPr>
          <w:rFonts w:ascii="Times New Roman" w:hAnsi="Times New Roman"/>
          <w:sz w:val="28"/>
          <w:szCs w:val="28"/>
        </w:rPr>
        <w:t>.</w:t>
      </w:r>
    </w:p>
    <w:p w:rsidR="00E92ACC" w:rsidRPr="00491C4A" w:rsidRDefault="00491C4A" w:rsidP="00E92ACC">
      <w:pPr>
        <w:pStyle w:val="Prrafodelista"/>
        <w:ind w:left="0"/>
        <w:jc w:val="both"/>
        <w:rPr>
          <w:rFonts w:ascii="Times New Roman" w:hAnsi="Times New Roman"/>
          <w:sz w:val="28"/>
          <w:szCs w:val="28"/>
        </w:rPr>
      </w:pPr>
    </w:p>
    <w:p w:rsidR="00F84E0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primer </w:t>
      </w:r>
      <w:r w:rsidRPr="00491C4A">
        <w:rPr>
          <w:rFonts w:ascii="Times New Roman" w:hAnsi="Times New Roman"/>
          <w:sz w:val="28"/>
          <w:szCs w:val="28"/>
        </w:rPr>
        <w:t>pronunciamiento sobre la reapertura del debate está recogido en</w:t>
      </w:r>
      <w:r w:rsidRPr="00491C4A">
        <w:rPr>
          <w:rFonts w:ascii="Times New Roman" w:hAnsi="Times New Roman"/>
          <w:sz w:val="28"/>
          <w:szCs w:val="28"/>
        </w:rPr>
        <w:t xml:space="preserve"> la Sentencia C-140 de 1998</w:t>
      </w:r>
      <w:r w:rsidRPr="00491C4A">
        <w:rPr>
          <w:rStyle w:val="Refdenotaalpie"/>
          <w:rFonts w:ascii="Times New Roman" w:hAnsi="Times New Roman"/>
          <w:sz w:val="28"/>
          <w:szCs w:val="28"/>
        </w:rPr>
        <w:footnoteReference w:id="85"/>
      </w:r>
      <w:r w:rsidRPr="00491C4A">
        <w:rPr>
          <w:rFonts w:ascii="Times New Roman" w:hAnsi="Times New Roman"/>
          <w:sz w:val="28"/>
          <w:szCs w:val="28"/>
        </w:rPr>
        <w:t xml:space="preserve">, de acuerdo con </w:t>
      </w:r>
      <w:r w:rsidRPr="00491C4A">
        <w:rPr>
          <w:rFonts w:ascii="Times New Roman" w:hAnsi="Times New Roman"/>
          <w:sz w:val="28"/>
          <w:szCs w:val="28"/>
        </w:rPr>
        <w:t>la</w:t>
      </w:r>
      <w:r w:rsidRPr="00491C4A">
        <w:rPr>
          <w:rFonts w:ascii="Times New Roman" w:hAnsi="Times New Roman"/>
          <w:sz w:val="28"/>
          <w:szCs w:val="28"/>
        </w:rPr>
        <w:t xml:space="preserve"> cual, “</w:t>
      </w:r>
      <w:r w:rsidRPr="00491C4A">
        <w:rPr>
          <w:rFonts w:ascii="Times New Roman" w:hAnsi="Times New Roman"/>
          <w:i/>
          <w:iCs/>
          <w:sz w:val="28"/>
          <w:szCs w:val="28"/>
        </w:rPr>
        <w:t>la solicitud de reabrir el debate de un artículo no requiere de su aprobación por mayoría absoluta, pues se trata de una determinación dis</w:t>
      </w:r>
      <w:r w:rsidRPr="00491C4A">
        <w:rPr>
          <w:rFonts w:ascii="Times New Roman" w:hAnsi="Times New Roman"/>
          <w:i/>
          <w:iCs/>
          <w:sz w:val="28"/>
          <w:szCs w:val="28"/>
        </w:rPr>
        <w:t>tinta e independiente del contenido de la norma que se propone analiza</w:t>
      </w:r>
      <w:r w:rsidRPr="00491C4A">
        <w:rPr>
          <w:rFonts w:ascii="Times New Roman" w:hAnsi="Times New Roman"/>
          <w:i/>
          <w:iCs/>
          <w:sz w:val="28"/>
          <w:szCs w:val="28"/>
        </w:rPr>
        <w:t xml:space="preserve">r </w:t>
      </w:r>
      <w:r w:rsidRPr="00491C4A">
        <w:rPr>
          <w:rFonts w:ascii="Times New Roman" w:hAnsi="Times New Roman"/>
          <w:i/>
          <w:iCs/>
          <w:sz w:val="28"/>
          <w:szCs w:val="28"/>
        </w:rPr>
        <w:t>nuevamente</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 xml:space="preserve">Así, </w:t>
      </w:r>
      <w:r w:rsidRPr="00491C4A">
        <w:rPr>
          <w:rFonts w:ascii="Times New Roman" w:hAnsi="Times New Roman"/>
          <w:sz w:val="28"/>
          <w:szCs w:val="28"/>
        </w:rPr>
        <w:t xml:space="preserve">en el caso concreto, </w:t>
      </w:r>
      <w:r w:rsidRPr="00491C4A">
        <w:rPr>
          <w:rFonts w:ascii="Times New Roman" w:hAnsi="Times New Roman"/>
          <w:sz w:val="28"/>
          <w:szCs w:val="28"/>
        </w:rPr>
        <w:t>la Corte aclaró que, en la plenaria del Senado no se aprobó por mayoría simple una norma que concedía facultades extraordinarias al presidente, s</w:t>
      </w:r>
      <w:r w:rsidRPr="00491C4A">
        <w:rPr>
          <w:rFonts w:ascii="Times New Roman" w:hAnsi="Times New Roman"/>
          <w:sz w:val="28"/>
          <w:szCs w:val="28"/>
        </w:rPr>
        <w:t>ino la proposición de reabrir el debate respecto de dicha norma</w:t>
      </w:r>
      <w:r w:rsidRPr="00491C4A">
        <w:rPr>
          <w:rFonts w:ascii="Times New Roman" w:hAnsi="Times New Roman"/>
          <w:sz w:val="28"/>
          <w:szCs w:val="28"/>
        </w:rPr>
        <w:t xml:space="preserve">, </w:t>
      </w:r>
      <w:r w:rsidRPr="00491C4A">
        <w:rPr>
          <w:rFonts w:ascii="Times New Roman" w:hAnsi="Times New Roman"/>
          <w:sz w:val="28"/>
          <w:szCs w:val="28"/>
        </w:rPr>
        <w:t>que previamente no había alcanzado la votación requerida</w:t>
      </w:r>
      <w:r w:rsidRPr="00491C4A">
        <w:rPr>
          <w:rFonts w:ascii="Times New Roman" w:hAnsi="Times New Roman"/>
          <w:sz w:val="28"/>
          <w:szCs w:val="28"/>
        </w:rPr>
        <w:t xml:space="preserve">. La Corte concluyó que la proposición </w:t>
      </w:r>
      <w:r w:rsidRPr="00491C4A">
        <w:rPr>
          <w:rFonts w:ascii="Times New Roman" w:hAnsi="Times New Roman"/>
          <w:sz w:val="28"/>
          <w:szCs w:val="28"/>
        </w:rPr>
        <w:t xml:space="preserve">finalmente sí fue aprobada por mayoría absoluta, en cumplimiento de lo exigido en el numeral 10 </w:t>
      </w:r>
      <w:r w:rsidRPr="00491C4A">
        <w:rPr>
          <w:rFonts w:ascii="Times New Roman" w:hAnsi="Times New Roman"/>
          <w:sz w:val="28"/>
          <w:szCs w:val="28"/>
        </w:rPr>
        <w:t>del artículo 150 de la Constitución</w:t>
      </w:r>
      <w:r w:rsidRPr="00491C4A">
        <w:rPr>
          <w:rFonts w:ascii="Times New Roman" w:hAnsi="Times New Roman"/>
          <w:sz w:val="28"/>
          <w:szCs w:val="28"/>
        </w:rPr>
        <w:t>.</w:t>
      </w:r>
    </w:p>
    <w:p w:rsidR="00A87989" w:rsidRPr="00491C4A" w:rsidRDefault="00491C4A" w:rsidP="00A87989">
      <w:pPr>
        <w:pStyle w:val="Prrafodelista"/>
        <w:rPr>
          <w:rFonts w:ascii="Times New Roman" w:hAnsi="Times New Roman"/>
          <w:sz w:val="28"/>
          <w:szCs w:val="28"/>
        </w:rPr>
      </w:pPr>
    </w:p>
    <w:p w:rsidR="00BD789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Dicha consideración fue </w:t>
      </w:r>
      <w:r w:rsidRPr="00491C4A">
        <w:rPr>
          <w:rFonts w:ascii="Times New Roman" w:hAnsi="Times New Roman"/>
          <w:sz w:val="28"/>
          <w:szCs w:val="28"/>
        </w:rPr>
        <w:t>r</w:t>
      </w:r>
      <w:r w:rsidRPr="00491C4A">
        <w:rPr>
          <w:rFonts w:ascii="Times New Roman" w:hAnsi="Times New Roman"/>
          <w:sz w:val="28"/>
          <w:szCs w:val="28"/>
        </w:rPr>
        <w:t>etomada</w:t>
      </w:r>
      <w:r w:rsidRPr="00491C4A">
        <w:rPr>
          <w:rFonts w:ascii="Times New Roman" w:hAnsi="Times New Roman"/>
          <w:sz w:val="28"/>
          <w:szCs w:val="28"/>
        </w:rPr>
        <w:t xml:space="preserve"> en</w:t>
      </w:r>
      <w:r w:rsidRPr="00491C4A">
        <w:rPr>
          <w:rFonts w:ascii="Times New Roman" w:hAnsi="Times New Roman"/>
          <w:sz w:val="28"/>
          <w:szCs w:val="28"/>
        </w:rPr>
        <w:t xml:space="preserve"> la Sentencia C-</w:t>
      </w:r>
      <w:r w:rsidRPr="00491C4A">
        <w:rPr>
          <w:rFonts w:ascii="Times New Roman" w:hAnsi="Times New Roman"/>
          <w:sz w:val="28"/>
          <w:szCs w:val="28"/>
        </w:rPr>
        <w:t>277 de 2007</w:t>
      </w:r>
      <w:r w:rsidRPr="00491C4A">
        <w:rPr>
          <w:rStyle w:val="Refdenotaalpie"/>
          <w:rFonts w:ascii="Times New Roman" w:hAnsi="Times New Roman"/>
          <w:sz w:val="28"/>
          <w:szCs w:val="28"/>
        </w:rPr>
        <w:footnoteReference w:id="86"/>
      </w:r>
      <w:r w:rsidRPr="00491C4A">
        <w:rPr>
          <w:rFonts w:ascii="Times New Roman" w:hAnsi="Times New Roman"/>
          <w:sz w:val="28"/>
          <w:szCs w:val="28"/>
        </w:rPr>
        <w:t xml:space="preserve">, </w:t>
      </w:r>
      <w:r w:rsidRPr="00491C4A">
        <w:rPr>
          <w:rFonts w:ascii="Times New Roman" w:hAnsi="Times New Roman"/>
          <w:sz w:val="28"/>
          <w:szCs w:val="28"/>
        </w:rPr>
        <w:t>en la cual la Corte afirmó que “</w:t>
      </w:r>
      <w:r w:rsidRPr="00491C4A">
        <w:rPr>
          <w:rFonts w:ascii="Times New Roman" w:hAnsi="Times New Roman"/>
          <w:i/>
          <w:iCs/>
          <w:sz w:val="28"/>
          <w:szCs w:val="28"/>
        </w:rPr>
        <w:t xml:space="preserve">bajo ciertas circunstancias es posible reabrir el debate sobre iniciativas que no se aprueban en las Corporaciones </w:t>
      </w:r>
      <w:r w:rsidRPr="00491C4A">
        <w:rPr>
          <w:rFonts w:ascii="Times New Roman" w:hAnsi="Times New Roman"/>
          <w:i/>
          <w:iCs/>
          <w:sz w:val="28"/>
          <w:szCs w:val="28"/>
        </w:rPr>
        <w:t>legislativas</w:t>
      </w:r>
      <w:r w:rsidRPr="00491C4A">
        <w:rPr>
          <w:rFonts w:ascii="Times New Roman" w:hAnsi="Times New Roman"/>
          <w:sz w:val="28"/>
          <w:szCs w:val="28"/>
        </w:rPr>
        <w:t>”</w:t>
      </w:r>
      <w:r w:rsidRPr="00491C4A">
        <w:rPr>
          <w:rFonts w:ascii="Times New Roman" w:hAnsi="Times New Roman"/>
          <w:sz w:val="28"/>
          <w:szCs w:val="28"/>
        </w:rPr>
        <w:t>, en esa oportunidad, en el trámite de expedición de un acto legislativo</w:t>
      </w:r>
      <w:r w:rsidRPr="00491C4A">
        <w:rPr>
          <w:rFonts w:ascii="Times New Roman" w:hAnsi="Times New Roman"/>
          <w:sz w:val="28"/>
          <w:szCs w:val="28"/>
        </w:rPr>
        <w:t xml:space="preserve">. </w:t>
      </w:r>
      <w:r w:rsidRPr="00491C4A">
        <w:rPr>
          <w:rFonts w:ascii="Times New Roman" w:hAnsi="Times New Roman"/>
          <w:sz w:val="28"/>
          <w:szCs w:val="28"/>
        </w:rPr>
        <w:t xml:space="preserve">En </w:t>
      </w:r>
      <w:r w:rsidRPr="00491C4A">
        <w:rPr>
          <w:rFonts w:ascii="Times New Roman" w:hAnsi="Times New Roman"/>
          <w:sz w:val="28"/>
          <w:szCs w:val="28"/>
        </w:rPr>
        <w:t xml:space="preserve">el caso concreto se admitió la realización de una segunda votación porque la discusión no estaba cerrada, en tanto que </w:t>
      </w:r>
      <w:r w:rsidRPr="00491C4A">
        <w:rPr>
          <w:rFonts w:ascii="Times New Roman" w:hAnsi="Times New Roman"/>
          <w:sz w:val="28"/>
          <w:szCs w:val="28"/>
        </w:rPr>
        <w:t>l</w:t>
      </w:r>
      <w:r w:rsidRPr="00491C4A">
        <w:rPr>
          <w:rFonts w:ascii="Times New Roman" w:hAnsi="Times New Roman"/>
          <w:sz w:val="28"/>
          <w:szCs w:val="28"/>
        </w:rPr>
        <w:t xml:space="preserve">a iniciativa había sido no aprobada, en lugar </w:t>
      </w:r>
      <w:r w:rsidRPr="00491C4A">
        <w:rPr>
          <w:rFonts w:ascii="Times New Roman" w:hAnsi="Times New Roman"/>
          <w:sz w:val="28"/>
          <w:szCs w:val="28"/>
        </w:rPr>
        <w:t>de negada</w:t>
      </w:r>
      <w:r w:rsidRPr="00491C4A">
        <w:rPr>
          <w:rFonts w:ascii="Times New Roman" w:hAnsi="Times New Roman"/>
          <w:sz w:val="28"/>
          <w:szCs w:val="28"/>
        </w:rPr>
        <w:t xml:space="preserve">. Esto es, </w:t>
      </w:r>
      <w:r w:rsidRPr="00491C4A">
        <w:rPr>
          <w:rFonts w:ascii="Times New Roman" w:hAnsi="Times New Roman"/>
          <w:sz w:val="28"/>
          <w:szCs w:val="28"/>
        </w:rPr>
        <w:t>que no había alcanzado los votos necesarios para su aprobación</w:t>
      </w:r>
      <w:r w:rsidRPr="00491C4A">
        <w:rPr>
          <w:rFonts w:ascii="Times New Roman" w:hAnsi="Times New Roman"/>
          <w:sz w:val="28"/>
          <w:szCs w:val="28"/>
        </w:rPr>
        <w:t xml:space="preserve"> o improbación</w:t>
      </w:r>
      <w:r w:rsidRPr="00491C4A">
        <w:rPr>
          <w:rFonts w:ascii="Times New Roman" w:hAnsi="Times New Roman"/>
          <w:sz w:val="28"/>
          <w:szCs w:val="28"/>
        </w:rPr>
        <w:t xml:space="preserve">; y dado que el debate general </w:t>
      </w:r>
      <w:r w:rsidRPr="00491C4A">
        <w:rPr>
          <w:rFonts w:ascii="Times New Roman" w:hAnsi="Times New Roman"/>
          <w:sz w:val="28"/>
          <w:szCs w:val="28"/>
        </w:rPr>
        <w:t xml:space="preserve">en la Plenaria del Senado </w:t>
      </w:r>
      <w:r w:rsidRPr="00491C4A">
        <w:rPr>
          <w:rFonts w:ascii="Times New Roman" w:hAnsi="Times New Roman"/>
          <w:sz w:val="28"/>
          <w:szCs w:val="28"/>
        </w:rPr>
        <w:t>no había concluido</w:t>
      </w:r>
      <w:r w:rsidRPr="00491C4A">
        <w:rPr>
          <w:rFonts w:ascii="Times New Roman" w:hAnsi="Times New Roman"/>
          <w:sz w:val="28"/>
          <w:szCs w:val="28"/>
        </w:rPr>
        <w:t>. También se señaló que no se incumplió la prohibición de doble votación salvo en cas</w:t>
      </w:r>
      <w:r w:rsidRPr="00491C4A">
        <w:rPr>
          <w:rFonts w:ascii="Times New Roman" w:hAnsi="Times New Roman"/>
          <w:sz w:val="28"/>
          <w:szCs w:val="28"/>
        </w:rPr>
        <w:t>os de empate, prevista en el artículo 135, porque el contenido material de lo votado en las dos oportunidades sufrió variaciones.</w:t>
      </w:r>
    </w:p>
    <w:p w:rsidR="00BD789A" w:rsidRPr="00491C4A" w:rsidRDefault="00491C4A" w:rsidP="00BD789A">
      <w:pPr>
        <w:pStyle w:val="Prrafodelista"/>
        <w:rPr>
          <w:rFonts w:ascii="Times New Roman" w:hAnsi="Times New Roman"/>
          <w:sz w:val="28"/>
          <w:szCs w:val="28"/>
        </w:rPr>
      </w:pPr>
    </w:p>
    <w:p w:rsidR="00E2203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Posteriormente, </w:t>
      </w:r>
      <w:r w:rsidRPr="00491C4A">
        <w:rPr>
          <w:rFonts w:ascii="Times New Roman" w:hAnsi="Times New Roman"/>
          <w:sz w:val="28"/>
          <w:szCs w:val="28"/>
        </w:rPr>
        <w:t xml:space="preserve">en </w:t>
      </w:r>
      <w:r w:rsidRPr="00491C4A">
        <w:rPr>
          <w:rFonts w:ascii="Times New Roman" w:hAnsi="Times New Roman"/>
          <w:sz w:val="28"/>
          <w:szCs w:val="28"/>
        </w:rPr>
        <w:t>la Sentencia C-240 de 2012</w:t>
      </w:r>
      <w:r w:rsidRPr="00491C4A">
        <w:rPr>
          <w:rStyle w:val="Refdenotaalpie"/>
          <w:rFonts w:ascii="Times New Roman" w:hAnsi="Times New Roman"/>
          <w:sz w:val="28"/>
          <w:szCs w:val="28"/>
        </w:rPr>
        <w:footnoteReference w:id="87"/>
      </w:r>
      <w:r w:rsidRPr="00491C4A">
        <w:rPr>
          <w:rFonts w:ascii="Times New Roman" w:hAnsi="Times New Roman"/>
          <w:sz w:val="28"/>
          <w:szCs w:val="28"/>
        </w:rPr>
        <w:t xml:space="preserve"> no </w:t>
      </w:r>
      <w:r w:rsidRPr="00491C4A">
        <w:rPr>
          <w:rFonts w:ascii="Times New Roman" w:hAnsi="Times New Roman"/>
          <w:sz w:val="28"/>
          <w:szCs w:val="28"/>
        </w:rPr>
        <w:t xml:space="preserve">se </w:t>
      </w:r>
      <w:r w:rsidRPr="00491C4A">
        <w:rPr>
          <w:rFonts w:ascii="Times New Roman" w:hAnsi="Times New Roman"/>
          <w:sz w:val="28"/>
          <w:szCs w:val="28"/>
        </w:rPr>
        <w:t>encontr</w:t>
      </w:r>
      <w:r w:rsidRPr="00491C4A">
        <w:rPr>
          <w:rFonts w:ascii="Times New Roman" w:hAnsi="Times New Roman"/>
          <w:sz w:val="28"/>
          <w:szCs w:val="28"/>
        </w:rPr>
        <w:t>aron</w:t>
      </w:r>
      <w:r w:rsidRPr="00491C4A">
        <w:rPr>
          <w:rFonts w:ascii="Times New Roman" w:hAnsi="Times New Roman"/>
          <w:sz w:val="28"/>
          <w:szCs w:val="28"/>
        </w:rPr>
        <w:t xml:space="preserve"> vicios de constitucionalidad en la circunstancia de que la P</w:t>
      </w:r>
      <w:r w:rsidRPr="00491C4A">
        <w:rPr>
          <w:rFonts w:ascii="Times New Roman" w:hAnsi="Times New Roman"/>
          <w:sz w:val="28"/>
          <w:szCs w:val="28"/>
        </w:rPr>
        <w:t>lenaria del Senado h</w:t>
      </w:r>
      <w:r w:rsidRPr="00491C4A">
        <w:rPr>
          <w:rFonts w:ascii="Times New Roman" w:hAnsi="Times New Roman"/>
          <w:sz w:val="28"/>
          <w:szCs w:val="28"/>
        </w:rPr>
        <w:t>ubiese</w:t>
      </w:r>
      <w:r w:rsidRPr="00491C4A">
        <w:rPr>
          <w:rFonts w:ascii="Times New Roman" w:hAnsi="Times New Roman"/>
          <w:sz w:val="28"/>
          <w:szCs w:val="28"/>
        </w:rPr>
        <w:t xml:space="preserve"> </w:t>
      </w:r>
      <w:r w:rsidRPr="00491C4A">
        <w:rPr>
          <w:rFonts w:ascii="Times New Roman" w:hAnsi="Times New Roman"/>
          <w:sz w:val="28"/>
          <w:szCs w:val="28"/>
        </w:rPr>
        <w:t>reabierto la discusión sobre una disposición de concesión de facultades extraordinarias que no había alcanzado la mayoría cualificada requerida, en tanto que ello fue “</w:t>
      </w:r>
      <w:r w:rsidRPr="00491C4A">
        <w:rPr>
          <w:rFonts w:ascii="Times New Roman" w:hAnsi="Times New Roman"/>
          <w:i/>
          <w:iCs/>
          <w:sz w:val="28"/>
          <w:szCs w:val="28"/>
        </w:rPr>
        <w:t>avalado por la mayoría respectiva</w:t>
      </w:r>
      <w:r w:rsidRPr="00491C4A">
        <w:rPr>
          <w:rFonts w:ascii="Times New Roman" w:hAnsi="Times New Roman"/>
          <w:sz w:val="28"/>
          <w:szCs w:val="28"/>
        </w:rPr>
        <w:t>”</w:t>
      </w:r>
      <w:r w:rsidRPr="00491C4A">
        <w:rPr>
          <w:rFonts w:ascii="Times New Roman" w:hAnsi="Times New Roman"/>
          <w:i/>
          <w:iCs/>
          <w:sz w:val="28"/>
          <w:szCs w:val="28"/>
        </w:rPr>
        <w:t xml:space="preserve">, </w:t>
      </w:r>
      <w:r w:rsidRPr="00491C4A">
        <w:rPr>
          <w:rFonts w:ascii="Times New Roman" w:hAnsi="Times New Roman"/>
          <w:sz w:val="28"/>
          <w:szCs w:val="28"/>
        </w:rPr>
        <w:t xml:space="preserve">y posteriormente </w:t>
      </w:r>
      <w:r w:rsidRPr="00491C4A">
        <w:rPr>
          <w:rFonts w:ascii="Times New Roman" w:hAnsi="Times New Roman"/>
          <w:sz w:val="28"/>
          <w:szCs w:val="28"/>
        </w:rPr>
        <w:t xml:space="preserve">la disposición </w:t>
      </w:r>
      <w:r w:rsidRPr="00491C4A">
        <w:rPr>
          <w:rFonts w:ascii="Times New Roman" w:hAnsi="Times New Roman"/>
          <w:sz w:val="28"/>
          <w:szCs w:val="28"/>
        </w:rPr>
        <w:t>fue aprobada con los votos necesarios.</w:t>
      </w:r>
    </w:p>
    <w:p w:rsidR="00252278" w:rsidRPr="00491C4A" w:rsidRDefault="00491C4A" w:rsidP="00252278">
      <w:pPr>
        <w:pStyle w:val="Prrafodelista"/>
        <w:rPr>
          <w:rFonts w:ascii="Times New Roman" w:hAnsi="Times New Roman"/>
          <w:sz w:val="28"/>
          <w:szCs w:val="28"/>
        </w:rPr>
      </w:pPr>
    </w:p>
    <w:p w:rsidR="005641C8"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Tiempo después, en la</w:t>
      </w:r>
      <w:r w:rsidRPr="00491C4A">
        <w:rPr>
          <w:rFonts w:ascii="Times New Roman" w:hAnsi="Times New Roman"/>
          <w:sz w:val="28"/>
          <w:szCs w:val="28"/>
        </w:rPr>
        <w:t xml:space="preserve"> Sentencia</w:t>
      </w:r>
      <w:r w:rsidRPr="00491C4A">
        <w:rPr>
          <w:rFonts w:ascii="Times New Roman" w:hAnsi="Times New Roman"/>
          <w:sz w:val="28"/>
          <w:szCs w:val="28"/>
        </w:rPr>
        <w:t xml:space="preserve"> </w:t>
      </w:r>
      <w:r w:rsidRPr="00491C4A">
        <w:rPr>
          <w:rFonts w:ascii="Times New Roman" w:hAnsi="Times New Roman"/>
          <w:sz w:val="28"/>
          <w:szCs w:val="28"/>
        </w:rPr>
        <w:t>C-590 de 2019</w:t>
      </w:r>
      <w:r w:rsidRPr="00491C4A">
        <w:rPr>
          <w:rStyle w:val="Refdenotaalpie"/>
          <w:rFonts w:ascii="Times New Roman" w:hAnsi="Times New Roman"/>
          <w:sz w:val="28"/>
          <w:szCs w:val="28"/>
        </w:rPr>
        <w:footnoteReference w:id="88"/>
      </w:r>
      <w:r w:rsidRPr="00491C4A">
        <w:rPr>
          <w:rFonts w:ascii="Times New Roman" w:hAnsi="Times New Roman"/>
          <w:sz w:val="28"/>
          <w:szCs w:val="28"/>
        </w:rPr>
        <w:t xml:space="preserve"> la Corte </w:t>
      </w:r>
      <w:r w:rsidRPr="00491C4A">
        <w:rPr>
          <w:rFonts w:ascii="Times New Roman" w:hAnsi="Times New Roman"/>
          <w:sz w:val="28"/>
          <w:szCs w:val="28"/>
        </w:rPr>
        <w:t>afirmó</w:t>
      </w:r>
      <w:r w:rsidRPr="00491C4A">
        <w:rPr>
          <w:rFonts w:ascii="Times New Roman" w:hAnsi="Times New Roman"/>
          <w:sz w:val="28"/>
          <w:szCs w:val="28"/>
        </w:rPr>
        <w:t xml:space="preserve"> que no puede entenderse que una iniciativa se revivió o rea</w:t>
      </w:r>
      <w:r w:rsidRPr="00491C4A">
        <w:rPr>
          <w:rFonts w:ascii="Times New Roman" w:hAnsi="Times New Roman"/>
          <w:sz w:val="28"/>
          <w:szCs w:val="28"/>
        </w:rPr>
        <w:t xml:space="preserve">brió </w:t>
      </w:r>
      <w:r w:rsidRPr="00491C4A">
        <w:rPr>
          <w:rFonts w:ascii="Times New Roman" w:hAnsi="Times New Roman"/>
          <w:sz w:val="28"/>
          <w:szCs w:val="28"/>
        </w:rPr>
        <w:t xml:space="preserve">cuando su contenido no tiene </w:t>
      </w:r>
      <w:r w:rsidRPr="00491C4A">
        <w:rPr>
          <w:rFonts w:ascii="Times New Roman" w:hAnsi="Times New Roman"/>
          <w:sz w:val="28"/>
          <w:szCs w:val="28"/>
        </w:rPr>
        <w:t>una relación o identidad directa con los text</w:t>
      </w:r>
      <w:r w:rsidRPr="00491C4A">
        <w:rPr>
          <w:rFonts w:ascii="Times New Roman" w:hAnsi="Times New Roman"/>
          <w:sz w:val="28"/>
          <w:szCs w:val="28"/>
        </w:rPr>
        <w:t>os propuestos en</w:t>
      </w:r>
      <w:r w:rsidRPr="00491C4A">
        <w:rPr>
          <w:rFonts w:ascii="Times New Roman" w:hAnsi="Times New Roman"/>
          <w:sz w:val="28"/>
          <w:szCs w:val="28"/>
        </w:rPr>
        <w:t xml:space="preserve"> las etapas </w:t>
      </w:r>
      <w:r w:rsidRPr="00491C4A">
        <w:rPr>
          <w:rFonts w:ascii="Times New Roman" w:hAnsi="Times New Roman"/>
          <w:sz w:val="28"/>
          <w:szCs w:val="28"/>
        </w:rPr>
        <w:t xml:space="preserve">iniciales </w:t>
      </w:r>
      <w:r w:rsidRPr="00491C4A">
        <w:rPr>
          <w:rFonts w:ascii="Times New Roman" w:hAnsi="Times New Roman"/>
          <w:sz w:val="28"/>
          <w:szCs w:val="28"/>
        </w:rPr>
        <w:t>del procedimiento legislativo</w:t>
      </w:r>
      <w:r w:rsidRPr="00491C4A">
        <w:rPr>
          <w:rFonts w:ascii="Times New Roman" w:hAnsi="Times New Roman"/>
          <w:sz w:val="28"/>
          <w:szCs w:val="28"/>
        </w:rPr>
        <w:t>, sino que es fruto de una proposición sustitutiva respecto de un tema que no fue incluido en los debates surtidos en las comisiones</w:t>
      </w:r>
      <w:r w:rsidRPr="00491C4A">
        <w:rPr>
          <w:rFonts w:ascii="Times New Roman" w:hAnsi="Times New Roman"/>
          <w:sz w:val="28"/>
          <w:szCs w:val="28"/>
        </w:rPr>
        <w:t xml:space="preserve">. Por el contrario, </w:t>
      </w:r>
      <w:r w:rsidRPr="00491C4A">
        <w:rPr>
          <w:rFonts w:ascii="Times New Roman" w:hAnsi="Times New Roman"/>
          <w:sz w:val="28"/>
          <w:szCs w:val="28"/>
        </w:rPr>
        <w:t xml:space="preserve">cuando esto ocurre </w:t>
      </w:r>
      <w:r w:rsidRPr="00491C4A">
        <w:rPr>
          <w:rFonts w:ascii="Times New Roman" w:hAnsi="Times New Roman"/>
          <w:sz w:val="28"/>
          <w:szCs w:val="28"/>
        </w:rPr>
        <w:t>da lugar a la exis</w:t>
      </w:r>
      <w:r w:rsidRPr="00491C4A">
        <w:rPr>
          <w:rFonts w:ascii="Times New Roman" w:hAnsi="Times New Roman"/>
          <w:sz w:val="28"/>
          <w:szCs w:val="28"/>
        </w:rPr>
        <w:t>tencia de un vicio de elusión del debate</w:t>
      </w:r>
      <w:r w:rsidRPr="00491C4A">
        <w:rPr>
          <w:rFonts w:ascii="Times New Roman" w:hAnsi="Times New Roman"/>
          <w:sz w:val="28"/>
          <w:szCs w:val="28"/>
        </w:rPr>
        <w:t xml:space="preserve"> por no haber</w:t>
      </w:r>
      <w:r w:rsidRPr="00491C4A">
        <w:rPr>
          <w:rFonts w:ascii="Times New Roman" w:hAnsi="Times New Roman"/>
          <w:sz w:val="28"/>
          <w:szCs w:val="28"/>
        </w:rPr>
        <w:t xml:space="preserve"> surtido su trámite en las respectivas comisiones</w:t>
      </w:r>
      <w:r w:rsidRPr="00491C4A">
        <w:rPr>
          <w:rFonts w:ascii="Times New Roman" w:hAnsi="Times New Roman"/>
          <w:sz w:val="28"/>
          <w:szCs w:val="28"/>
        </w:rPr>
        <w:t>.</w:t>
      </w:r>
    </w:p>
    <w:p w:rsidR="00E77E36" w:rsidRPr="00491C4A" w:rsidRDefault="00491C4A" w:rsidP="00E77E36">
      <w:pPr>
        <w:pStyle w:val="Prrafodelista"/>
        <w:rPr>
          <w:rFonts w:ascii="Times New Roman" w:hAnsi="Times New Roman"/>
          <w:sz w:val="28"/>
          <w:szCs w:val="28"/>
        </w:rPr>
      </w:pPr>
    </w:p>
    <w:p w:rsidR="00F47BB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Por último</w:t>
      </w:r>
      <w:r w:rsidRPr="00491C4A">
        <w:rPr>
          <w:rFonts w:ascii="Times New Roman" w:hAnsi="Times New Roman"/>
          <w:sz w:val="28"/>
          <w:szCs w:val="28"/>
        </w:rPr>
        <w:t xml:space="preserve">, en la </w:t>
      </w:r>
      <w:r w:rsidRPr="00491C4A">
        <w:rPr>
          <w:rFonts w:ascii="Times New Roman" w:hAnsi="Times New Roman"/>
          <w:sz w:val="28"/>
          <w:szCs w:val="28"/>
        </w:rPr>
        <w:t>Sentencia C</w:t>
      </w:r>
      <w:r w:rsidRPr="00491C4A">
        <w:rPr>
          <w:rFonts w:ascii="Times New Roman" w:hAnsi="Times New Roman"/>
          <w:sz w:val="28"/>
          <w:szCs w:val="28"/>
        </w:rPr>
        <w:t>-089 de 2022</w:t>
      </w:r>
      <w:r w:rsidRPr="00491C4A">
        <w:rPr>
          <w:rStyle w:val="Refdenotaalpie"/>
          <w:rFonts w:ascii="Times New Roman" w:hAnsi="Times New Roman"/>
          <w:sz w:val="28"/>
          <w:szCs w:val="28"/>
        </w:rPr>
        <w:footnoteReference w:id="89"/>
      </w:r>
      <w:r w:rsidRPr="00491C4A">
        <w:rPr>
          <w:rFonts w:ascii="Times New Roman" w:hAnsi="Times New Roman"/>
          <w:sz w:val="28"/>
          <w:szCs w:val="28"/>
        </w:rPr>
        <w:t xml:space="preserve"> la Corte retomó lo considerado en la Sentencia SU-150 de 2021, </w:t>
      </w:r>
      <w:r w:rsidRPr="00491C4A">
        <w:rPr>
          <w:rFonts w:ascii="Times New Roman" w:hAnsi="Times New Roman"/>
          <w:sz w:val="28"/>
          <w:szCs w:val="28"/>
        </w:rPr>
        <w:t>y reiteró</w:t>
      </w:r>
      <w:r w:rsidRPr="00491C4A">
        <w:rPr>
          <w:rFonts w:ascii="Times New Roman" w:hAnsi="Times New Roman"/>
          <w:sz w:val="28"/>
          <w:szCs w:val="28"/>
        </w:rPr>
        <w:t xml:space="preserve"> que la reapertura del debate es una herramienta que “</w:t>
      </w:r>
      <w:r w:rsidRPr="00491C4A">
        <w:rPr>
          <w:rFonts w:ascii="Times New Roman" w:hAnsi="Times New Roman"/>
          <w:i/>
          <w:iCs/>
          <w:sz w:val="28"/>
          <w:szCs w:val="28"/>
        </w:rPr>
        <w:t>puede provenir de una proposición aprobada formalmente o, en su defecto, puede estar implícita en la votación de un nuevo informe de conciliación, como ocurrió en este caso.</w:t>
      </w:r>
      <w:r w:rsidRPr="00491C4A">
        <w:rPr>
          <w:rFonts w:ascii="Times New Roman" w:hAnsi="Times New Roman"/>
          <w:sz w:val="28"/>
          <w:szCs w:val="28"/>
        </w:rPr>
        <w:t>”</w:t>
      </w:r>
    </w:p>
    <w:p w:rsidR="00F47BB6" w:rsidRPr="00491C4A" w:rsidRDefault="00491C4A" w:rsidP="00F47BB6">
      <w:pPr>
        <w:pStyle w:val="Prrafodelista"/>
        <w:ind w:left="0"/>
        <w:jc w:val="both"/>
        <w:rPr>
          <w:rFonts w:ascii="Times New Roman" w:hAnsi="Times New Roman"/>
          <w:sz w:val="28"/>
          <w:szCs w:val="28"/>
        </w:rPr>
      </w:pPr>
    </w:p>
    <w:p w:rsidR="006B0F08" w:rsidRPr="00491C4A" w:rsidRDefault="00491C4A" w:rsidP="006B0F08">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Es claro que </w:t>
      </w:r>
      <w:r w:rsidRPr="00491C4A">
        <w:rPr>
          <w:rFonts w:ascii="Times New Roman" w:hAnsi="Times New Roman"/>
          <w:sz w:val="28"/>
          <w:szCs w:val="28"/>
        </w:rPr>
        <w:t>l</w:t>
      </w:r>
      <w:r w:rsidRPr="00491C4A">
        <w:rPr>
          <w:rFonts w:ascii="Times New Roman" w:hAnsi="Times New Roman"/>
          <w:sz w:val="28"/>
          <w:szCs w:val="28"/>
        </w:rPr>
        <w:t>a conclusión</w:t>
      </w:r>
      <w:r w:rsidRPr="00491C4A">
        <w:rPr>
          <w:rFonts w:ascii="Times New Roman" w:hAnsi="Times New Roman"/>
          <w:sz w:val="28"/>
          <w:szCs w:val="28"/>
        </w:rPr>
        <w:t xml:space="preserve"> del debate es </w:t>
      </w:r>
      <w:r w:rsidRPr="00491C4A">
        <w:rPr>
          <w:rFonts w:ascii="Times New Roman" w:hAnsi="Times New Roman"/>
          <w:sz w:val="28"/>
          <w:szCs w:val="28"/>
        </w:rPr>
        <w:t>la votación que</w:t>
      </w:r>
      <w:r w:rsidRPr="00491C4A">
        <w:rPr>
          <w:rFonts w:ascii="Times New Roman" w:hAnsi="Times New Roman"/>
          <w:sz w:val="28"/>
          <w:szCs w:val="28"/>
        </w:rPr>
        <w:t>,</w:t>
      </w:r>
      <w:r w:rsidRPr="00491C4A">
        <w:rPr>
          <w:rFonts w:ascii="Times New Roman" w:hAnsi="Times New Roman"/>
          <w:sz w:val="28"/>
          <w:szCs w:val="28"/>
        </w:rPr>
        <w:t xml:space="preserve"> de acuerdo con el artículo 122 de la Ley 5° es “</w:t>
      </w:r>
      <w:r w:rsidRPr="00491C4A">
        <w:rPr>
          <w:rFonts w:ascii="Times New Roman" w:hAnsi="Times New Roman"/>
          <w:i/>
          <w:iCs/>
          <w:sz w:val="28"/>
          <w:szCs w:val="28"/>
        </w:rPr>
        <w:t>un acto colectivo por medio del cual las Cámaras y sus Comisiones declara</w:t>
      </w:r>
      <w:r w:rsidRPr="00491C4A">
        <w:rPr>
          <w:rFonts w:ascii="Times New Roman" w:hAnsi="Times New Roman"/>
          <w:i/>
          <w:iCs/>
          <w:sz w:val="28"/>
          <w:szCs w:val="28"/>
        </w:rPr>
        <w:t>n</w:t>
      </w:r>
      <w:r w:rsidRPr="00491C4A">
        <w:rPr>
          <w:rFonts w:ascii="Times New Roman" w:hAnsi="Times New Roman"/>
          <w:i/>
          <w:iCs/>
          <w:sz w:val="28"/>
          <w:szCs w:val="28"/>
        </w:rPr>
        <w:t xml:space="preserve"> su voluntad acerca de una iniciativa o un asunto de interés general</w:t>
      </w:r>
      <w:r w:rsidRPr="00491C4A">
        <w:rPr>
          <w:rFonts w:ascii="Times New Roman" w:hAnsi="Times New Roman"/>
          <w:i/>
          <w:iCs/>
          <w:sz w:val="28"/>
          <w:szCs w:val="28"/>
        </w:rPr>
        <w:t>.</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 xml:space="preserve">Al respecto, desde la </w:t>
      </w:r>
      <w:r w:rsidRPr="00491C4A">
        <w:rPr>
          <w:rFonts w:ascii="Times New Roman" w:hAnsi="Times New Roman"/>
          <w:sz w:val="28"/>
          <w:szCs w:val="28"/>
        </w:rPr>
        <w:t>Sentencia</w:t>
      </w:r>
      <w:r w:rsidRPr="00491C4A">
        <w:rPr>
          <w:rFonts w:ascii="Times New Roman" w:hAnsi="Times New Roman"/>
          <w:sz w:val="28"/>
          <w:szCs w:val="28"/>
        </w:rPr>
        <w:t xml:space="preserve"> C-277 de 2007</w:t>
      </w:r>
      <w:r w:rsidRPr="00491C4A">
        <w:rPr>
          <w:rFonts w:ascii="Times New Roman" w:hAnsi="Times New Roman"/>
          <w:sz w:val="28"/>
          <w:szCs w:val="28"/>
        </w:rPr>
        <w:t xml:space="preserve">, la Corte </w:t>
      </w:r>
      <w:r w:rsidRPr="00491C4A">
        <w:rPr>
          <w:rFonts w:ascii="Times New Roman" w:hAnsi="Times New Roman"/>
          <w:sz w:val="28"/>
          <w:szCs w:val="28"/>
        </w:rPr>
        <w:t>consideró que “</w:t>
      </w:r>
      <w:r w:rsidRPr="00491C4A">
        <w:rPr>
          <w:rFonts w:ascii="Times New Roman" w:hAnsi="Times New Roman"/>
          <w:sz w:val="28"/>
          <w:szCs w:val="28"/>
        </w:rPr>
        <w:t>[p]</w:t>
      </w:r>
      <w:r w:rsidRPr="00491C4A">
        <w:rPr>
          <w:rFonts w:ascii="Times New Roman" w:hAnsi="Times New Roman"/>
          <w:i/>
          <w:iCs/>
          <w:sz w:val="28"/>
          <w:szCs w:val="28"/>
          <w:shd w:val="clear" w:color="auto" w:fill="FFFFFF"/>
        </w:rPr>
        <w:t>roducida una votación adquiere</w:t>
      </w:r>
      <w:r w:rsidRPr="00491C4A">
        <w:rPr>
          <w:rFonts w:ascii="Times New Roman" w:hAnsi="Times New Roman"/>
          <w:sz w:val="28"/>
          <w:szCs w:val="28"/>
          <w:shd w:val="clear" w:color="auto" w:fill="FFFFFF"/>
        </w:rPr>
        <w:t xml:space="preserve"> (…) </w:t>
      </w:r>
      <w:r w:rsidRPr="00491C4A">
        <w:rPr>
          <w:rFonts w:ascii="Times New Roman" w:hAnsi="Times New Roman"/>
          <w:i/>
          <w:iCs/>
          <w:sz w:val="28"/>
          <w:szCs w:val="28"/>
          <w:shd w:val="clear" w:color="auto" w:fill="FFFFFF"/>
        </w:rPr>
        <w:t>plenos efectos jurídicos, de manera que no puede volverse a repetir, salvo en caso de que haya empate, situación regulada en el artículo 135 del Reglamento del Congreso</w:t>
      </w:r>
      <w:r w:rsidRPr="00491C4A">
        <w:rPr>
          <w:rFonts w:ascii="Times New Roman" w:hAnsi="Times New Roman"/>
          <w:i/>
          <w:iCs/>
          <w:sz w:val="28"/>
          <w:szCs w:val="28"/>
          <w:shd w:val="clear" w:color="auto" w:fill="FFFFFF"/>
        </w:rPr>
        <w:t xml:space="preserve">. </w:t>
      </w:r>
      <w:r w:rsidRPr="00491C4A">
        <w:rPr>
          <w:rFonts w:ascii="Times New Roman" w:hAnsi="Times New Roman"/>
          <w:sz w:val="28"/>
          <w:szCs w:val="28"/>
          <w:shd w:val="clear" w:color="auto" w:fill="FFFFFF"/>
        </w:rPr>
        <w:t xml:space="preserve">(…) </w:t>
      </w:r>
      <w:r w:rsidRPr="00491C4A">
        <w:rPr>
          <w:rFonts w:ascii="Times New Roman" w:hAnsi="Times New Roman"/>
          <w:i/>
          <w:iCs/>
          <w:sz w:val="28"/>
          <w:szCs w:val="28"/>
          <w:shd w:val="clear" w:color="auto" w:fill="FFFFFF"/>
        </w:rPr>
        <w:t>No o</w:t>
      </w:r>
      <w:r w:rsidRPr="00491C4A">
        <w:rPr>
          <w:rFonts w:ascii="Times New Roman" w:hAnsi="Times New Roman"/>
          <w:i/>
          <w:iCs/>
          <w:sz w:val="28"/>
          <w:szCs w:val="28"/>
          <w:shd w:val="clear" w:color="auto" w:fill="FFFFFF"/>
        </w:rPr>
        <w:t xml:space="preserve">bstante lo anterior, </w:t>
      </w:r>
      <w:r w:rsidRPr="00491C4A">
        <w:rPr>
          <w:rFonts w:ascii="Times New Roman" w:hAnsi="Times New Roman"/>
          <w:i/>
          <w:iCs/>
          <w:sz w:val="28"/>
          <w:szCs w:val="28"/>
          <w:shd w:val="clear" w:color="auto" w:fill="FFFFFF"/>
        </w:rPr>
        <w:t>los efectos jurídicos de las votaciones se deben interpretar armónicamente con las posibilidades constitucionales y legales de introducir y poner enmienda</w:t>
      </w:r>
      <w:r w:rsidRPr="00491C4A">
        <w:rPr>
          <w:rFonts w:ascii="Times New Roman" w:hAnsi="Times New Roman"/>
          <w:i/>
          <w:iCs/>
          <w:sz w:val="28"/>
          <w:szCs w:val="28"/>
          <w:shd w:val="clear" w:color="auto" w:fill="FFFFFF"/>
        </w:rPr>
        <w:t>s</w:t>
      </w:r>
      <w:r w:rsidRPr="00491C4A">
        <w:rPr>
          <w:rStyle w:val="Refdenotaalpie"/>
          <w:rFonts w:ascii="Times New Roman" w:hAnsi="Times New Roman"/>
          <w:i/>
          <w:iCs/>
          <w:sz w:val="28"/>
          <w:szCs w:val="28"/>
          <w:shd w:val="clear" w:color="auto" w:fill="FFFFFF"/>
        </w:rPr>
        <w:footnoteReference w:id="90"/>
      </w:r>
      <w:r w:rsidRPr="00491C4A">
        <w:rPr>
          <w:rFonts w:ascii="Times New Roman" w:hAnsi="Times New Roman"/>
          <w:i/>
          <w:iCs/>
          <w:sz w:val="28"/>
          <w:szCs w:val="28"/>
          <w:shd w:val="clear" w:color="auto" w:fill="FFFFFF"/>
        </w:rPr>
        <w:t xml:space="preserve"> en los debates y votaciones, así como con la función misma de las comisiones d</w:t>
      </w:r>
      <w:r w:rsidRPr="00491C4A">
        <w:rPr>
          <w:rFonts w:ascii="Times New Roman" w:hAnsi="Times New Roman"/>
          <w:i/>
          <w:iCs/>
          <w:sz w:val="28"/>
          <w:szCs w:val="28"/>
          <w:shd w:val="clear" w:color="auto" w:fill="FFFFFF"/>
        </w:rPr>
        <w:t>e conciliación.</w:t>
      </w:r>
      <w:r w:rsidRPr="00491C4A">
        <w:rPr>
          <w:rFonts w:ascii="Times New Roman" w:hAnsi="Times New Roman"/>
          <w:sz w:val="28"/>
          <w:szCs w:val="28"/>
          <w:shd w:val="clear" w:color="auto" w:fill="FFFFFF"/>
        </w:rPr>
        <w:t>”</w:t>
      </w:r>
      <w:r w:rsidRPr="00491C4A">
        <w:rPr>
          <w:rStyle w:val="Refdenotaalpie"/>
          <w:rFonts w:ascii="Times New Roman" w:hAnsi="Times New Roman"/>
          <w:sz w:val="28"/>
          <w:szCs w:val="28"/>
          <w:shd w:val="clear" w:color="auto" w:fill="FFFFFF"/>
        </w:rPr>
        <w:footnoteReference w:id="91"/>
      </w:r>
    </w:p>
    <w:p w:rsidR="006B0F08" w:rsidRPr="00491C4A" w:rsidRDefault="00491C4A" w:rsidP="006B0F08">
      <w:pPr>
        <w:pStyle w:val="Prrafodelista"/>
        <w:rPr>
          <w:rFonts w:ascii="Times New Roman" w:eastAsia="Calibri" w:hAnsi="Times New Roman"/>
          <w:sz w:val="28"/>
          <w:szCs w:val="28"/>
          <w:lang w:val="es-MX" w:eastAsia="en-US"/>
        </w:rPr>
      </w:pPr>
    </w:p>
    <w:p w:rsidR="006B0F08" w:rsidRPr="00491C4A" w:rsidRDefault="00491C4A" w:rsidP="006B0F08">
      <w:pPr>
        <w:pStyle w:val="Prrafodelista"/>
        <w:numPr>
          <w:ilvl w:val="0"/>
          <w:numId w:val="4"/>
        </w:numPr>
        <w:autoSpaceDE w:val="0"/>
        <w:autoSpaceDN w:val="0"/>
        <w:adjustRightInd w:val="0"/>
        <w:ind w:left="0" w:firstLine="0"/>
        <w:jc w:val="both"/>
        <w:rPr>
          <w:rFonts w:ascii="Times New Roman" w:eastAsia="Calibri" w:hAnsi="Times New Roman"/>
          <w:i/>
          <w:iCs/>
          <w:sz w:val="28"/>
          <w:szCs w:val="28"/>
          <w:lang w:val="es-MX" w:eastAsia="en-US"/>
        </w:rPr>
      </w:pPr>
      <w:r w:rsidRPr="00491C4A">
        <w:rPr>
          <w:rFonts w:ascii="Times New Roman" w:eastAsia="Calibri" w:hAnsi="Times New Roman"/>
          <w:sz w:val="28"/>
          <w:szCs w:val="28"/>
          <w:lang w:val="es-MX" w:eastAsia="en-US"/>
        </w:rPr>
        <w:t>En la sentencia SU-150 de 2021, se indicó que: “</w:t>
      </w:r>
      <w:r w:rsidRPr="00491C4A">
        <w:rPr>
          <w:rFonts w:ascii="Times New Roman" w:eastAsia="Calibri" w:hAnsi="Times New Roman"/>
          <w:i/>
          <w:iCs/>
          <w:sz w:val="28"/>
          <w:szCs w:val="28"/>
          <w:lang w:val="es-MX" w:eastAsia="en-US"/>
        </w:rPr>
        <w:t xml:space="preserve">pese a que ni la Constitución ni la Ley 5ª de 1992 regulan el fenómeno de la reapertura, tal herramienta ha sido identificada como una práctica congresional, avalada en varios </w:t>
      </w:r>
      <w:r w:rsidRPr="00491C4A">
        <w:rPr>
          <w:rFonts w:ascii="Times New Roman" w:eastAsia="Calibri" w:hAnsi="Times New Roman"/>
          <w:i/>
          <w:iCs/>
          <w:sz w:val="28"/>
          <w:szCs w:val="28"/>
          <w:lang w:val="es-MX" w:eastAsia="en-US"/>
        </w:rPr>
        <w:t>pronunciamientos de la Corte, como se advierte en las sentencias C-140 de 1998, C-277 de 2007, C-240 de 2012 y C-590 de 2019. De ellas se infiere que (1) la decisión de optar por una reapertura se sujeta a la valoración autónoma de cada cámara; (2) no exis</w:t>
      </w:r>
      <w:r w:rsidRPr="00491C4A">
        <w:rPr>
          <w:rFonts w:ascii="Times New Roman" w:eastAsia="Calibri" w:hAnsi="Times New Roman"/>
          <w:i/>
          <w:iCs/>
          <w:sz w:val="28"/>
          <w:szCs w:val="28"/>
          <w:lang w:val="es-MX" w:eastAsia="en-US"/>
        </w:rPr>
        <w:t xml:space="preserve">te una instancia procesal que esté excluida de la misma; y (3) la materia objeto de resolución debe ser distinta, con miras a no desconocer el carácter inmutable y definitivo del resultado de una votación preexistente, así como en respuesta a que, por vía </w:t>
      </w:r>
      <w:r w:rsidRPr="00491C4A">
        <w:rPr>
          <w:rFonts w:ascii="Times New Roman" w:eastAsia="Calibri" w:hAnsi="Times New Roman"/>
          <w:i/>
          <w:iCs/>
          <w:sz w:val="28"/>
          <w:szCs w:val="28"/>
          <w:lang w:val="es-MX" w:eastAsia="en-US"/>
        </w:rPr>
        <w:t>reglamentaria, solo se admite una segunda votación del mismo tema en casos de empate” (...) la reapertura corresponde a una figura cuyas formas han sido delineadas por la práctica parlamentaria, su desarrollo no depende de la observancia de una determinada</w:t>
      </w:r>
      <w:r w:rsidRPr="00491C4A">
        <w:rPr>
          <w:rFonts w:ascii="Times New Roman" w:eastAsia="Calibri" w:hAnsi="Times New Roman"/>
          <w:i/>
          <w:iCs/>
          <w:sz w:val="28"/>
          <w:szCs w:val="28"/>
          <w:lang w:val="es-MX" w:eastAsia="en-US"/>
        </w:rPr>
        <w:t xml:space="preserve"> solemnidad. De manera que, así como (i) es válido llegar a esta decisión mediante la presentación de una proposición que explícitamente sea aprobada por las mayorías requeridas, también es posible (ii) arribar a este mismo resultado de modo implícito, est</w:t>
      </w:r>
      <w:r w:rsidRPr="00491C4A">
        <w:rPr>
          <w:rFonts w:ascii="Times New Roman" w:eastAsia="Calibri" w:hAnsi="Times New Roman"/>
          <w:i/>
          <w:iCs/>
          <w:sz w:val="28"/>
          <w:szCs w:val="28"/>
          <w:lang w:val="es-MX" w:eastAsia="en-US"/>
        </w:rPr>
        <w:t>o es, a través de la votación del nuevo informe, en el que se reemplace el preexistente y se logre el fin de aprobar un mismo texto unificado, siempre que se cumpla con el quórum y las mayorías requeridas. Al ser ello así, (a) no cabe duda de que se impone</w:t>
      </w:r>
      <w:r w:rsidRPr="00491C4A">
        <w:rPr>
          <w:rFonts w:ascii="Times New Roman" w:eastAsia="Calibri" w:hAnsi="Times New Roman"/>
          <w:i/>
          <w:iCs/>
          <w:sz w:val="28"/>
          <w:szCs w:val="28"/>
          <w:lang w:val="es-MX" w:eastAsia="en-US"/>
        </w:rPr>
        <w:t xml:space="preserve"> el principio democrático y (b) que se acoge un nuevo texto, en el que tácitamente se da el beneplácito a la reapertura.”</w:t>
      </w:r>
    </w:p>
    <w:p w:rsidR="006B0F08" w:rsidRPr="00491C4A" w:rsidRDefault="00491C4A" w:rsidP="006B0F08">
      <w:pPr>
        <w:pStyle w:val="Prrafodelista"/>
        <w:autoSpaceDE w:val="0"/>
        <w:autoSpaceDN w:val="0"/>
        <w:adjustRightInd w:val="0"/>
        <w:ind w:left="0"/>
        <w:jc w:val="both"/>
        <w:rPr>
          <w:rFonts w:ascii="Times New Roman" w:eastAsia="Calibri" w:hAnsi="Times New Roman"/>
          <w:i/>
          <w:iCs/>
          <w:sz w:val="28"/>
          <w:szCs w:val="28"/>
          <w:lang w:val="es-MX" w:eastAsia="en-US"/>
        </w:rPr>
      </w:pPr>
    </w:p>
    <w:p w:rsidR="006B0F08" w:rsidRPr="00491C4A" w:rsidRDefault="00491C4A" w:rsidP="003D4430">
      <w:pPr>
        <w:pStyle w:val="Prrafodelista"/>
        <w:numPr>
          <w:ilvl w:val="0"/>
          <w:numId w:val="4"/>
        </w:numPr>
        <w:autoSpaceDE w:val="0"/>
        <w:autoSpaceDN w:val="0"/>
        <w:adjustRightInd w:val="0"/>
        <w:ind w:left="0" w:firstLine="0"/>
        <w:jc w:val="both"/>
        <w:rPr>
          <w:rFonts w:ascii="Times New Roman" w:eastAsia="Calibri" w:hAnsi="Times New Roman"/>
          <w:sz w:val="28"/>
          <w:szCs w:val="28"/>
          <w:lang w:val="es-MX" w:eastAsia="en-US"/>
        </w:rPr>
      </w:pPr>
      <w:r w:rsidRPr="00491C4A">
        <w:rPr>
          <w:rFonts w:ascii="Times New Roman" w:eastAsia="Calibri" w:hAnsi="Times New Roman"/>
          <w:sz w:val="28"/>
          <w:szCs w:val="28"/>
          <w:lang w:val="es-MX" w:eastAsia="en-US"/>
        </w:rPr>
        <w:t>De modo que, ante la falta de una regulación sobre la materia, y dado que no existe una proposición específica para este fin, no cabe</w:t>
      </w:r>
      <w:r w:rsidRPr="00491C4A">
        <w:rPr>
          <w:rFonts w:ascii="Times New Roman" w:eastAsia="Calibri" w:hAnsi="Times New Roman"/>
          <w:sz w:val="28"/>
          <w:szCs w:val="28"/>
          <w:lang w:val="es-MX" w:eastAsia="en-US"/>
        </w:rPr>
        <w:t xml:space="preserve"> exigir que toda solicitud de reapertura suponga necesariamente un pronunciamiento de las comisiones o de las</w:t>
      </w:r>
    </w:p>
    <w:p w:rsidR="006B0F08" w:rsidRPr="00491C4A" w:rsidRDefault="00491C4A" w:rsidP="006B0F08">
      <w:pPr>
        <w:autoSpaceDE w:val="0"/>
        <w:autoSpaceDN w:val="0"/>
        <w:adjustRightInd w:val="0"/>
        <w:jc w:val="both"/>
        <w:rPr>
          <w:rFonts w:ascii="Times New Roman" w:hAnsi="Times New Roman"/>
          <w:sz w:val="28"/>
          <w:szCs w:val="28"/>
        </w:rPr>
      </w:pPr>
      <w:r w:rsidRPr="00491C4A">
        <w:rPr>
          <w:rFonts w:ascii="Times New Roman" w:eastAsia="Calibri" w:hAnsi="Times New Roman"/>
          <w:sz w:val="28"/>
          <w:szCs w:val="28"/>
          <w:lang w:val="es-MX" w:eastAsia="en-US"/>
        </w:rPr>
        <w:t>plenarias, o que tengan que ser puestas obligatoriamente a su deliberación (ley 5a de 1992, art. 112), pues es válido que el presidente de cada un</w:t>
      </w:r>
      <w:r w:rsidRPr="00491C4A">
        <w:rPr>
          <w:rFonts w:ascii="Times New Roman" w:eastAsia="Calibri" w:hAnsi="Times New Roman"/>
          <w:sz w:val="28"/>
          <w:szCs w:val="28"/>
          <w:lang w:val="es-MX" w:eastAsia="en-US"/>
        </w:rPr>
        <w:t xml:space="preserve">a de estas instancias, al organizar el debate, y como parte de su autonomía, decida, por motivos justificados, no tramitarlas, determinación frente a la cual cabe la figura de la </w:t>
      </w:r>
      <w:r w:rsidRPr="00491C4A">
        <w:rPr>
          <w:rFonts w:ascii="Times New Roman" w:eastAsia="Calibri" w:hAnsi="Times New Roman"/>
          <w:i/>
          <w:iCs/>
          <w:sz w:val="28"/>
          <w:szCs w:val="28"/>
          <w:lang w:val="es-MX" w:eastAsia="en-US"/>
        </w:rPr>
        <w:t xml:space="preserve">apelación </w:t>
      </w:r>
      <w:r w:rsidRPr="00491C4A">
        <w:rPr>
          <w:rFonts w:ascii="Times New Roman" w:eastAsia="Calibri" w:hAnsi="Times New Roman"/>
          <w:sz w:val="28"/>
          <w:szCs w:val="28"/>
          <w:lang w:val="es-MX" w:eastAsia="en-US"/>
        </w:rPr>
        <w:t xml:space="preserve">prevista en el artículo 44 del Reglamento. </w:t>
      </w:r>
    </w:p>
    <w:p w:rsidR="0065566C" w:rsidRPr="00491C4A" w:rsidRDefault="00491C4A" w:rsidP="0065566C">
      <w:pPr>
        <w:pStyle w:val="Prrafodelista"/>
        <w:ind w:left="0"/>
        <w:jc w:val="both"/>
        <w:rPr>
          <w:rFonts w:ascii="Times New Roman" w:hAnsi="Times New Roman"/>
          <w:sz w:val="28"/>
          <w:szCs w:val="28"/>
        </w:rPr>
      </w:pPr>
    </w:p>
    <w:p w:rsidR="00EB4658"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Por último, es</w:t>
      </w:r>
      <w:r w:rsidRPr="00491C4A">
        <w:rPr>
          <w:rFonts w:ascii="Times New Roman" w:hAnsi="Times New Roman"/>
          <w:sz w:val="28"/>
          <w:szCs w:val="28"/>
        </w:rPr>
        <w:t xml:space="preserve"> relevan</w:t>
      </w:r>
      <w:r w:rsidRPr="00491C4A">
        <w:rPr>
          <w:rFonts w:ascii="Times New Roman" w:hAnsi="Times New Roman"/>
          <w:sz w:val="28"/>
          <w:szCs w:val="28"/>
        </w:rPr>
        <w:t>te mencionar que</w:t>
      </w:r>
      <w:r w:rsidRPr="00491C4A">
        <w:rPr>
          <w:rFonts w:ascii="Times New Roman" w:hAnsi="Times New Roman"/>
          <w:sz w:val="28"/>
          <w:szCs w:val="28"/>
        </w:rPr>
        <w:t xml:space="preserve"> por regla general </w:t>
      </w:r>
      <w:r w:rsidRPr="00491C4A">
        <w:rPr>
          <w:rFonts w:ascii="Times New Roman" w:hAnsi="Times New Roman"/>
          <w:sz w:val="28"/>
          <w:szCs w:val="28"/>
        </w:rPr>
        <w:t>la votación en bloque</w:t>
      </w:r>
      <w:r w:rsidRPr="00491C4A">
        <w:rPr>
          <w:rFonts w:ascii="Times New Roman" w:hAnsi="Times New Roman"/>
          <w:sz w:val="28"/>
          <w:szCs w:val="28"/>
        </w:rPr>
        <w:t xml:space="preserve"> </w:t>
      </w:r>
      <w:r w:rsidRPr="00491C4A">
        <w:rPr>
          <w:rFonts w:ascii="Times New Roman" w:hAnsi="Times New Roman"/>
          <w:sz w:val="28"/>
          <w:szCs w:val="28"/>
        </w:rPr>
        <w:t>ha sido reconocida como “</w:t>
      </w:r>
      <w:r w:rsidRPr="00491C4A">
        <w:rPr>
          <w:rFonts w:ascii="Times New Roman" w:hAnsi="Times New Roman"/>
          <w:i/>
          <w:iCs/>
          <w:sz w:val="28"/>
          <w:szCs w:val="28"/>
        </w:rPr>
        <w:t>una herramienta que permite al Congreso de la República la eficiencia del proceso legislativo.</w:t>
      </w:r>
      <w:r w:rsidRPr="00491C4A">
        <w:rPr>
          <w:rFonts w:ascii="Times New Roman" w:hAnsi="Times New Roman"/>
          <w:sz w:val="28"/>
          <w:szCs w:val="28"/>
        </w:rPr>
        <w:t>”</w:t>
      </w:r>
      <w:r w:rsidRPr="00491C4A">
        <w:rPr>
          <w:rStyle w:val="Refdenotaalpie"/>
          <w:rFonts w:ascii="Times New Roman" w:hAnsi="Times New Roman"/>
          <w:sz w:val="28"/>
          <w:szCs w:val="28"/>
        </w:rPr>
        <w:footnoteReference w:id="92"/>
      </w:r>
      <w:r w:rsidRPr="00491C4A">
        <w:rPr>
          <w:rFonts w:ascii="Times New Roman" w:hAnsi="Times New Roman"/>
          <w:sz w:val="28"/>
          <w:szCs w:val="28"/>
        </w:rPr>
        <w:t xml:space="preserve"> Esta alternativa de votación</w:t>
      </w:r>
      <w:r w:rsidRPr="00491C4A">
        <w:rPr>
          <w:rFonts w:ascii="Times New Roman" w:hAnsi="Times New Roman"/>
          <w:sz w:val="28"/>
          <w:szCs w:val="28"/>
        </w:rPr>
        <w:t xml:space="preserve"> </w:t>
      </w:r>
      <w:r w:rsidRPr="00491C4A">
        <w:rPr>
          <w:rFonts w:ascii="Times New Roman" w:hAnsi="Times New Roman"/>
          <w:sz w:val="28"/>
          <w:szCs w:val="28"/>
        </w:rPr>
        <w:t xml:space="preserve">es viable y válida cuando existe consenso sobre </w:t>
      </w:r>
      <w:r w:rsidRPr="00491C4A">
        <w:rPr>
          <w:rFonts w:ascii="Times New Roman" w:hAnsi="Times New Roman"/>
          <w:sz w:val="28"/>
          <w:szCs w:val="28"/>
        </w:rPr>
        <w:t>esa manera de proceder y se garantiza el debate adecuado cuando existen disensos</w:t>
      </w:r>
      <w:r w:rsidRPr="00491C4A">
        <w:rPr>
          <w:rFonts w:ascii="Times New Roman" w:hAnsi="Times New Roman"/>
          <w:sz w:val="28"/>
          <w:szCs w:val="28"/>
        </w:rPr>
        <w:t>.</w:t>
      </w:r>
      <w:r w:rsidRPr="00491C4A">
        <w:rPr>
          <w:rFonts w:ascii="Times New Roman" w:hAnsi="Times New Roman"/>
          <w:sz w:val="28"/>
          <w:szCs w:val="28"/>
        </w:rPr>
        <w:t xml:space="preserve"> </w:t>
      </w:r>
    </w:p>
    <w:p w:rsidR="00036DD9" w:rsidRPr="00491C4A" w:rsidRDefault="00491C4A" w:rsidP="00036DD9">
      <w:pPr>
        <w:pStyle w:val="Prrafodelista"/>
        <w:rPr>
          <w:rFonts w:ascii="Times New Roman" w:hAnsi="Times New Roman"/>
          <w:sz w:val="28"/>
          <w:szCs w:val="28"/>
        </w:rPr>
      </w:pPr>
    </w:p>
    <w:p w:rsidR="00036DD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el marco del procedimiento legislativo colombiano, la votación en bloque constituye una herramienta jurídicamente válida, reconocida tanto por la Ley 5ª de 1992 como por</w:t>
      </w:r>
      <w:r w:rsidRPr="00491C4A">
        <w:rPr>
          <w:rFonts w:ascii="Times New Roman" w:hAnsi="Times New Roman"/>
          <w:sz w:val="28"/>
          <w:szCs w:val="28"/>
        </w:rPr>
        <w:t xml:space="preserve"> la jurisprudencia constitucional, orientada a garantizar la eficiencia y racionalidad del trámite legislativo. Este mecanismo, que permite someter a decisión conjunta varios artículos de un proyecto de ley, resulta compatible con la Constitución siempre q</w:t>
      </w:r>
      <w:r w:rsidRPr="00491C4A">
        <w:rPr>
          <w:rFonts w:ascii="Times New Roman" w:hAnsi="Times New Roman"/>
          <w:sz w:val="28"/>
          <w:szCs w:val="28"/>
        </w:rPr>
        <w:t>ue no se utilice para impedir el ejercicio efectivo del derecho al debate ni para vulnerar las garantías institucionales de deliberación propias del Congreso.</w:t>
      </w:r>
    </w:p>
    <w:p w:rsidR="00036DD9" w:rsidRPr="00491C4A" w:rsidRDefault="00491C4A" w:rsidP="00036DD9">
      <w:pPr>
        <w:pStyle w:val="Prrafodelista"/>
        <w:jc w:val="both"/>
        <w:rPr>
          <w:rFonts w:ascii="Times New Roman" w:hAnsi="Times New Roman"/>
          <w:sz w:val="28"/>
          <w:szCs w:val="28"/>
        </w:rPr>
      </w:pPr>
    </w:p>
    <w:p w:rsidR="00036DD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 ha sostenido de manera consistente que ninguna norma de la Constitución ni del reglamen</w:t>
      </w:r>
      <w:r w:rsidRPr="00491C4A">
        <w:rPr>
          <w:rFonts w:ascii="Times New Roman" w:hAnsi="Times New Roman"/>
          <w:sz w:val="28"/>
          <w:szCs w:val="28"/>
        </w:rPr>
        <w:t>to del Congreso prohíbe la votación en bloque. Por el contrario, el artículo 134 de la Ley 5ª de 1992 reconoce expresamente esta modalidad como una forma legítima de votación por partes, al establecer que, en caso de desacuerdo sobre si debe votarse separa</w:t>
      </w:r>
      <w:r w:rsidRPr="00491C4A">
        <w:rPr>
          <w:rFonts w:ascii="Times New Roman" w:hAnsi="Times New Roman"/>
          <w:sz w:val="28"/>
          <w:szCs w:val="28"/>
        </w:rPr>
        <w:t xml:space="preserve">damente un proyecto, corresponde a la mesa directiva decidir de manera definitiva, previo espacio para el debate. </w:t>
      </w:r>
      <w:r w:rsidRPr="00491C4A">
        <w:rPr>
          <w:rFonts w:ascii="Times New Roman" w:hAnsi="Times New Roman"/>
          <w:sz w:val="28"/>
          <w:szCs w:val="28"/>
        </w:rPr>
        <w:t>L</w:t>
      </w:r>
      <w:r w:rsidRPr="00491C4A">
        <w:rPr>
          <w:rFonts w:ascii="Times New Roman" w:hAnsi="Times New Roman"/>
          <w:sz w:val="28"/>
          <w:szCs w:val="28"/>
        </w:rPr>
        <w:t xml:space="preserve">a Sentencia C-332 de 2017 puntualizó que la votación en bloque es procedente siempre que no se desconozcan los contenidos mínimos del </w:t>
      </w:r>
      <w:r w:rsidRPr="00491C4A">
        <w:rPr>
          <w:rFonts w:ascii="Times New Roman" w:hAnsi="Times New Roman"/>
          <w:sz w:val="28"/>
          <w:szCs w:val="28"/>
        </w:rPr>
        <w:t xml:space="preserve">ejercicio legislativo, como la posibilidad de deliberación o la eficacia del voto. La Corte ha aclarado que esta modalidad resulta adecuada cuando existe un consenso político sobre la iniciativa o sobre determinados artículos, lo cual hace innecesaria una </w:t>
      </w:r>
      <w:r w:rsidRPr="00491C4A">
        <w:rPr>
          <w:rFonts w:ascii="Times New Roman" w:hAnsi="Times New Roman"/>
          <w:sz w:val="28"/>
          <w:szCs w:val="28"/>
        </w:rPr>
        <w:t>votación individualizada. No obstante, ha advertido que el uso de esta figura debe ser cuidadoso, en tanto no puede ser empleado como instrumento para sustraer del Congreso el deber de debatir o para imponer decisiones de mayoría sin dar oportunidad de int</w:t>
      </w:r>
      <w:r w:rsidRPr="00491C4A">
        <w:rPr>
          <w:rFonts w:ascii="Times New Roman" w:hAnsi="Times New Roman"/>
          <w:sz w:val="28"/>
          <w:szCs w:val="28"/>
        </w:rPr>
        <w:t>ervención a las minorías parlamentarias.</w:t>
      </w:r>
      <w:r w:rsidRPr="00491C4A">
        <w:rPr>
          <w:rStyle w:val="Refdenotaalpie"/>
          <w:rFonts w:ascii="Times New Roman" w:hAnsi="Times New Roman"/>
          <w:sz w:val="28"/>
          <w:szCs w:val="28"/>
        </w:rPr>
        <w:footnoteReference w:id="93"/>
      </w:r>
    </w:p>
    <w:p w:rsidR="00036DD9" w:rsidRPr="00491C4A" w:rsidRDefault="00491C4A" w:rsidP="00036DD9">
      <w:pPr>
        <w:pStyle w:val="Prrafodelista"/>
        <w:jc w:val="both"/>
        <w:rPr>
          <w:rFonts w:ascii="Times New Roman" w:hAnsi="Times New Roman"/>
          <w:sz w:val="28"/>
          <w:szCs w:val="28"/>
        </w:rPr>
      </w:pPr>
    </w:p>
    <w:p w:rsidR="00036DD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hecho, en casos como la Sentencia C-044 de 2015, la Corte ha reiterado que la votación en bloque, por sí sola, no implica desconocimiento del principio democrático. Este se ve afectado únicamente cuando dicha m</w:t>
      </w:r>
      <w:r w:rsidRPr="00491C4A">
        <w:rPr>
          <w:rFonts w:ascii="Times New Roman" w:hAnsi="Times New Roman"/>
          <w:sz w:val="28"/>
          <w:szCs w:val="28"/>
        </w:rPr>
        <w:t xml:space="preserve">odalidad se aplica sin que se haya garantizado previamente un escenario para la deliberación, o cuando su empleo impide individualizar el sentido del voto respecto de normas con tratamiento diferenciado en el curso del debate. La Corte ha sostenido que el </w:t>
      </w:r>
      <w:r w:rsidRPr="00491C4A">
        <w:rPr>
          <w:rFonts w:ascii="Times New Roman" w:hAnsi="Times New Roman"/>
          <w:sz w:val="28"/>
          <w:szCs w:val="28"/>
        </w:rPr>
        <w:t>control judicial en estos eventos no recae sobre la forma de la votación en sí misma, sino sobre si esta fue adoptada con fundamento en una organización razonable del debate, si se respetó el derecho a intervenir, y si no se sacrificaron los fines sustanti</w:t>
      </w:r>
      <w:r w:rsidRPr="00491C4A">
        <w:rPr>
          <w:rFonts w:ascii="Times New Roman" w:hAnsi="Times New Roman"/>
          <w:sz w:val="28"/>
          <w:szCs w:val="28"/>
        </w:rPr>
        <w:t>vos de la función legislativa.</w:t>
      </w:r>
    </w:p>
    <w:p w:rsidR="00036DD9" w:rsidRPr="00491C4A" w:rsidRDefault="00491C4A" w:rsidP="00036DD9">
      <w:pPr>
        <w:pStyle w:val="Prrafodelista"/>
        <w:jc w:val="both"/>
        <w:rPr>
          <w:rFonts w:ascii="Times New Roman" w:hAnsi="Times New Roman"/>
          <w:sz w:val="28"/>
          <w:szCs w:val="28"/>
        </w:rPr>
      </w:pPr>
    </w:p>
    <w:p w:rsidR="00036DD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definitiva, la votación en bloque es una práctica legítima del Congreso que no desconoce el principio democrático, en la medida en que no supla ni sustituya la deliberación, sino que se erija como una técnica procedimenta</w:t>
      </w:r>
      <w:r w:rsidRPr="00491C4A">
        <w:rPr>
          <w:rFonts w:ascii="Times New Roman" w:hAnsi="Times New Roman"/>
          <w:sz w:val="28"/>
          <w:szCs w:val="28"/>
        </w:rPr>
        <w:t xml:space="preserve">l que facilita la toma de decisiones cuando existen acuerdos suficientes sobre el contenido normativo del proyecto. </w:t>
      </w:r>
    </w:p>
    <w:p w:rsidR="00EB4658" w:rsidRPr="00491C4A" w:rsidRDefault="00491C4A" w:rsidP="00EB4658">
      <w:pPr>
        <w:pStyle w:val="Prrafodelista"/>
        <w:ind w:left="0"/>
        <w:jc w:val="both"/>
        <w:rPr>
          <w:rFonts w:ascii="Times New Roman" w:hAnsi="Times New Roman"/>
          <w:sz w:val="28"/>
          <w:szCs w:val="28"/>
        </w:rPr>
      </w:pPr>
    </w:p>
    <w:p w:rsidR="00537B0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síntesis, el principio de consecutividad </w:t>
      </w:r>
      <w:r w:rsidRPr="00491C4A">
        <w:rPr>
          <w:rFonts w:ascii="Times New Roman" w:hAnsi="Times New Roman"/>
          <w:sz w:val="28"/>
          <w:szCs w:val="28"/>
        </w:rPr>
        <w:t xml:space="preserve">implica </w:t>
      </w:r>
      <w:r w:rsidRPr="00491C4A">
        <w:rPr>
          <w:rFonts w:ascii="Times New Roman" w:hAnsi="Times New Roman"/>
          <w:sz w:val="28"/>
          <w:szCs w:val="28"/>
        </w:rPr>
        <w:t>que</w:t>
      </w:r>
      <w:r w:rsidRPr="00491C4A">
        <w:rPr>
          <w:rFonts w:ascii="Times New Roman" w:hAnsi="Times New Roman"/>
          <w:sz w:val="28"/>
          <w:szCs w:val="28"/>
        </w:rPr>
        <w:t>,</w:t>
      </w:r>
      <w:r w:rsidRPr="00491C4A">
        <w:rPr>
          <w:rFonts w:ascii="Times New Roman" w:hAnsi="Times New Roman"/>
          <w:sz w:val="28"/>
          <w:szCs w:val="28"/>
        </w:rPr>
        <w:t xml:space="preserve"> en el trámite de expedición de las leyes de la República se surtan la totalidad de instancias legislativas como garantía de la democracia deliberativa y representativa</w:t>
      </w:r>
      <w:r w:rsidRPr="00491C4A">
        <w:rPr>
          <w:rFonts w:ascii="Times New Roman" w:hAnsi="Times New Roman"/>
          <w:sz w:val="28"/>
          <w:szCs w:val="28"/>
        </w:rPr>
        <w:t>. E</w:t>
      </w:r>
      <w:r w:rsidRPr="00491C4A">
        <w:rPr>
          <w:rFonts w:ascii="Times New Roman" w:hAnsi="Times New Roman"/>
          <w:sz w:val="28"/>
          <w:szCs w:val="28"/>
        </w:rPr>
        <w:t>n el caso de la</w:t>
      </w:r>
      <w:r w:rsidRPr="00491C4A">
        <w:rPr>
          <w:rFonts w:ascii="Times New Roman" w:hAnsi="Times New Roman"/>
          <w:sz w:val="28"/>
          <w:szCs w:val="28"/>
        </w:rPr>
        <w:t xml:space="preserve"> ley del PNI esto es</w:t>
      </w:r>
      <w:r w:rsidRPr="00491C4A">
        <w:rPr>
          <w:rFonts w:ascii="Times New Roman" w:hAnsi="Times New Roman"/>
          <w:sz w:val="28"/>
          <w:szCs w:val="28"/>
        </w:rPr>
        <w:t>, como mínimo, la realización de un debate inicial</w:t>
      </w:r>
      <w:r w:rsidRPr="00491C4A">
        <w:rPr>
          <w:rFonts w:ascii="Times New Roman" w:hAnsi="Times New Roman"/>
          <w:sz w:val="28"/>
          <w:szCs w:val="28"/>
        </w:rPr>
        <w:t xml:space="preserve"> </w:t>
      </w:r>
      <w:r w:rsidRPr="00491C4A">
        <w:rPr>
          <w:rFonts w:ascii="Times New Roman" w:hAnsi="Times New Roman"/>
          <w:sz w:val="28"/>
          <w:szCs w:val="28"/>
        </w:rPr>
        <w:t>en comisiones</w:t>
      </w:r>
      <w:r w:rsidRPr="00491C4A">
        <w:rPr>
          <w:rFonts w:ascii="Times New Roman" w:hAnsi="Times New Roman"/>
          <w:sz w:val="28"/>
          <w:szCs w:val="28"/>
        </w:rPr>
        <w:t xml:space="preserve"> </w:t>
      </w:r>
      <w:r w:rsidRPr="00491C4A">
        <w:rPr>
          <w:rFonts w:ascii="Times New Roman" w:hAnsi="Times New Roman"/>
          <w:sz w:val="28"/>
          <w:szCs w:val="28"/>
        </w:rPr>
        <w:t xml:space="preserve">económicas </w:t>
      </w:r>
      <w:r w:rsidRPr="00491C4A">
        <w:rPr>
          <w:rFonts w:ascii="Times New Roman" w:hAnsi="Times New Roman"/>
          <w:sz w:val="28"/>
          <w:szCs w:val="28"/>
        </w:rPr>
        <w:t xml:space="preserve">conjuntas </w:t>
      </w:r>
      <w:r w:rsidRPr="00491C4A">
        <w:rPr>
          <w:rFonts w:ascii="Times New Roman" w:hAnsi="Times New Roman"/>
          <w:sz w:val="28"/>
          <w:szCs w:val="28"/>
        </w:rPr>
        <w:t xml:space="preserve">de Senado y Cámara de Representantes, </w:t>
      </w:r>
      <w:r w:rsidRPr="00491C4A">
        <w:rPr>
          <w:rFonts w:ascii="Times New Roman" w:hAnsi="Times New Roman"/>
          <w:sz w:val="28"/>
          <w:szCs w:val="28"/>
        </w:rPr>
        <w:t>y posteriormente dos debates que se deben dar cada uno en las respectivas plenarias de la Cámara de Representantes y del Senado de la República. Para que se entienda que hubo debate,</w:t>
      </w:r>
      <w:r w:rsidRPr="00491C4A">
        <w:rPr>
          <w:rFonts w:ascii="Times New Roman" w:hAnsi="Times New Roman"/>
          <w:sz w:val="28"/>
          <w:szCs w:val="28"/>
        </w:rPr>
        <w:t xml:space="preserve"> es decir, que este no se eludió, so pena de la declaratoria de inexequibilidad del respectivo precepto normativo, debe</w:t>
      </w:r>
      <w:r w:rsidRPr="00491C4A">
        <w:rPr>
          <w:rFonts w:ascii="Times New Roman" w:hAnsi="Times New Roman"/>
          <w:sz w:val="28"/>
          <w:szCs w:val="28"/>
        </w:rPr>
        <w:t>n</w:t>
      </w:r>
      <w:r w:rsidRPr="00491C4A">
        <w:rPr>
          <w:rFonts w:ascii="Times New Roman" w:hAnsi="Times New Roman"/>
          <w:sz w:val="28"/>
          <w:szCs w:val="28"/>
        </w:rPr>
        <w:t xml:space="preserve"> haberse agotado </w:t>
      </w:r>
      <w:r w:rsidRPr="00491C4A">
        <w:rPr>
          <w:rFonts w:ascii="Times New Roman" w:hAnsi="Times New Roman"/>
          <w:sz w:val="28"/>
          <w:szCs w:val="28"/>
        </w:rPr>
        <w:t>en su integridad</w:t>
      </w:r>
      <w:r w:rsidRPr="00491C4A">
        <w:rPr>
          <w:rFonts w:ascii="Times New Roman" w:hAnsi="Times New Roman"/>
          <w:sz w:val="28"/>
          <w:szCs w:val="28"/>
        </w:rPr>
        <w:t xml:space="preserve"> las etapas estructurales del procedimiento legislativo a través de la discusión y votación de la total</w:t>
      </w:r>
      <w:r w:rsidRPr="00491C4A">
        <w:rPr>
          <w:rFonts w:ascii="Times New Roman" w:hAnsi="Times New Roman"/>
          <w:sz w:val="28"/>
          <w:szCs w:val="28"/>
        </w:rPr>
        <w:t>idad de proposiciones que hayan sido sometidas a la</w:t>
      </w:r>
      <w:r w:rsidRPr="00491C4A">
        <w:rPr>
          <w:rFonts w:ascii="Times New Roman" w:hAnsi="Times New Roman"/>
          <w:sz w:val="28"/>
          <w:szCs w:val="28"/>
        </w:rPr>
        <w:t>s</w:t>
      </w:r>
      <w:r w:rsidRPr="00491C4A">
        <w:rPr>
          <w:rFonts w:ascii="Times New Roman" w:hAnsi="Times New Roman"/>
          <w:sz w:val="28"/>
          <w:szCs w:val="28"/>
        </w:rPr>
        <w:t xml:space="preserve"> corporaci</w:t>
      </w:r>
      <w:r w:rsidRPr="00491C4A">
        <w:rPr>
          <w:rFonts w:ascii="Times New Roman" w:hAnsi="Times New Roman"/>
          <w:sz w:val="28"/>
          <w:szCs w:val="28"/>
        </w:rPr>
        <w:t>ones</w:t>
      </w:r>
      <w:r w:rsidRPr="00491C4A">
        <w:rPr>
          <w:rFonts w:ascii="Times New Roman" w:hAnsi="Times New Roman"/>
          <w:sz w:val="28"/>
          <w:szCs w:val="28"/>
        </w:rPr>
        <w:t xml:space="preserve"> legislativa</w:t>
      </w:r>
      <w:r w:rsidRPr="00491C4A">
        <w:rPr>
          <w:rFonts w:ascii="Times New Roman" w:hAnsi="Times New Roman"/>
          <w:sz w:val="28"/>
          <w:szCs w:val="28"/>
        </w:rPr>
        <w:t>s</w:t>
      </w:r>
      <w:r w:rsidRPr="00491C4A">
        <w:rPr>
          <w:rFonts w:ascii="Times New Roman" w:hAnsi="Times New Roman"/>
          <w:sz w:val="28"/>
          <w:szCs w:val="28"/>
        </w:rPr>
        <w:t xml:space="preserve">. </w:t>
      </w:r>
      <w:r w:rsidRPr="00491C4A">
        <w:rPr>
          <w:rFonts w:ascii="Times New Roman" w:hAnsi="Times New Roman"/>
          <w:sz w:val="28"/>
          <w:szCs w:val="28"/>
        </w:rPr>
        <w:t xml:space="preserve">Es posible que las proposiciones sean sometidas a votación en bloque siempre que </w:t>
      </w:r>
      <w:r w:rsidRPr="00491C4A">
        <w:rPr>
          <w:rFonts w:ascii="Times New Roman" w:hAnsi="Times New Roman"/>
          <w:sz w:val="28"/>
          <w:szCs w:val="28"/>
        </w:rPr>
        <w:t>se</w:t>
      </w:r>
      <w:r w:rsidRPr="00491C4A">
        <w:rPr>
          <w:rFonts w:ascii="Times New Roman" w:hAnsi="Times New Roman"/>
          <w:sz w:val="28"/>
          <w:szCs w:val="28"/>
        </w:rPr>
        <w:t xml:space="preserve"> garantice el debate adecuado cuando existan disensos</w:t>
      </w:r>
      <w:r w:rsidRPr="00491C4A">
        <w:rPr>
          <w:rFonts w:ascii="Times New Roman" w:hAnsi="Times New Roman"/>
          <w:sz w:val="28"/>
          <w:szCs w:val="28"/>
        </w:rPr>
        <w:t>. Por otro lado, la voluntad legislativ</w:t>
      </w:r>
      <w:r w:rsidRPr="00491C4A">
        <w:rPr>
          <w:rFonts w:ascii="Times New Roman" w:hAnsi="Times New Roman"/>
          <w:sz w:val="28"/>
          <w:szCs w:val="28"/>
        </w:rPr>
        <w:t>a representada en las votaciones debe ser respetada y es, en principio, inmutable. L</w:t>
      </w:r>
      <w:r w:rsidRPr="00491C4A">
        <w:rPr>
          <w:rFonts w:ascii="Times New Roman" w:hAnsi="Times New Roman"/>
          <w:sz w:val="28"/>
          <w:szCs w:val="28"/>
        </w:rPr>
        <w:t xml:space="preserve">as proposiciones que buscan reabrir el debate no están contempladas ni reguladas en la Ley </w:t>
      </w:r>
      <w:r w:rsidRPr="00491C4A">
        <w:rPr>
          <w:rFonts w:ascii="Times New Roman" w:hAnsi="Times New Roman"/>
          <w:sz w:val="28"/>
          <w:szCs w:val="28"/>
        </w:rPr>
        <w:t>5 de 1992</w:t>
      </w:r>
      <w:r w:rsidRPr="00491C4A">
        <w:rPr>
          <w:rFonts w:ascii="Times New Roman" w:hAnsi="Times New Roman"/>
          <w:sz w:val="28"/>
          <w:szCs w:val="28"/>
        </w:rPr>
        <w:t xml:space="preserve">. El artículo 135 de esa misma ley admite la posibilidad de una segunda </w:t>
      </w:r>
      <w:r w:rsidRPr="00491C4A">
        <w:rPr>
          <w:rFonts w:ascii="Times New Roman" w:hAnsi="Times New Roman"/>
          <w:sz w:val="28"/>
          <w:szCs w:val="28"/>
        </w:rPr>
        <w:t xml:space="preserve">votación en caso de empate o igualdad en la votación de un proyecto. </w:t>
      </w:r>
      <w:r w:rsidRPr="00491C4A">
        <w:rPr>
          <w:rFonts w:ascii="Times New Roman" w:hAnsi="Times New Roman"/>
          <w:sz w:val="28"/>
          <w:szCs w:val="28"/>
        </w:rPr>
        <w:t>N</w:t>
      </w:r>
      <w:r w:rsidRPr="00491C4A">
        <w:rPr>
          <w:rFonts w:ascii="Times New Roman" w:hAnsi="Times New Roman"/>
          <w:sz w:val="28"/>
          <w:szCs w:val="28"/>
        </w:rPr>
        <w:t>o obstante, la Corte Constitucional se ha pronunciado sobre</w:t>
      </w:r>
      <w:r w:rsidRPr="00491C4A">
        <w:rPr>
          <w:rFonts w:ascii="Times New Roman" w:hAnsi="Times New Roman"/>
          <w:sz w:val="28"/>
          <w:szCs w:val="28"/>
        </w:rPr>
        <w:t xml:space="preserve"> las condiciones de validez de </w:t>
      </w:r>
      <w:r w:rsidRPr="00491C4A">
        <w:rPr>
          <w:rFonts w:ascii="Times New Roman" w:hAnsi="Times New Roman"/>
          <w:sz w:val="28"/>
          <w:szCs w:val="28"/>
        </w:rPr>
        <w:t>la reapertura del debate</w:t>
      </w:r>
      <w:r w:rsidRPr="00491C4A">
        <w:rPr>
          <w:rFonts w:ascii="Times New Roman" w:hAnsi="Times New Roman"/>
          <w:sz w:val="28"/>
          <w:szCs w:val="28"/>
        </w:rPr>
        <w:t xml:space="preserve"> en </w:t>
      </w:r>
      <w:r w:rsidRPr="00491C4A">
        <w:rPr>
          <w:rFonts w:ascii="Times New Roman" w:hAnsi="Times New Roman"/>
          <w:sz w:val="28"/>
          <w:szCs w:val="28"/>
        </w:rPr>
        <w:t>las Sentencias C-140 de 1998, C-277 de 2007, C-240 de 2012</w:t>
      </w:r>
      <w:r w:rsidRPr="00491C4A">
        <w:rPr>
          <w:rFonts w:ascii="Times New Roman" w:hAnsi="Times New Roman"/>
          <w:sz w:val="28"/>
          <w:szCs w:val="28"/>
        </w:rPr>
        <w:t>, C-590 de</w:t>
      </w:r>
      <w:r w:rsidRPr="00491C4A">
        <w:rPr>
          <w:rFonts w:ascii="Times New Roman" w:hAnsi="Times New Roman"/>
          <w:sz w:val="28"/>
          <w:szCs w:val="28"/>
        </w:rPr>
        <w:t xml:space="preserve"> 2019</w:t>
      </w:r>
      <w:r w:rsidRPr="00491C4A">
        <w:rPr>
          <w:rFonts w:ascii="Times New Roman" w:hAnsi="Times New Roman"/>
          <w:sz w:val="28"/>
          <w:szCs w:val="28"/>
        </w:rPr>
        <w:t>, SU-150 de 2021</w:t>
      </w:r>
      <w:r w:rsidRPr="00491C4A">
        <w:rPr>
          <w:rFonts w:ascii="Times New Roman" w:hAnsi="Times New Roman"/>
          <w:sz w:val="28"/>
          <w:szCs w:val="28"/>
        </w:rPr>
        <w:t xml:space="preserve"> </w:t>
      </w:r>
      <w:r w:rsidRPr="00491C4A">
        <w:rPr>
          <w:rFonts w:ascii="Times New Roman" w:hAnsi="Times New Roman"/>
          <w:sz w:val="28"/>
          <w:szCs w:val="28"/>
        </w:rPr>
        <w:t>y C-089 de 2022</w:t>
      </w:r>
      <w:r w:rsidRPr="00491C4A">
        <w:rPr>
          <w:rFonts w:ascii="Times New Roman" w:hAnsi="Times New Roman"/>
          <w:sz w:val="28"/>
          <w:szCs w:val="28"/>
        </w:rPr>
        <w:t>, de las cuales se desprend</w:t>
      </w:r>
      <w:r w:rsidRPr="00491C4A">
        <w:rPr>
          <w:rFonts w:ascii="Times New Roman" w:hAnsi="Times New Roman"/>
          <w:sz w:val="28"/>
          <w:szCs w:val="28"/>
        </w:rPr>
        <w:t>en las subreglas constitucionales aplicables al asunto</w:t>
      </w:r>
      <w:r w:rsidRPr="00491C4A">
        <w:rPr>
          <w:rFonts w:ascii="Times New Roman" w:hAnsi="Times New Roman"/>
          <w:sz w:val="28"/>
          <w:szCs w:val="28"/>
        </w:rPr>
        <w:t>.</w:t>
      </w:r>
    </w:p>
    <w:p w:rsidR="00916BCD" w:rsidRPr="00491C4A" w:rsidRDefault="00491C4A" w:rsidP="00916BCD">
      <w:pPr>
        <w:pStyle w:val="Prrafodelista"/>
        <w:rPr>
          <w:rFonts w:ascii="Times New Roman" w:hAnsi="Times New Roman"/>
          <w:sz w:val="28"/>
          <w:szCs w:val="28"/>
        </w:rPr>
      </w:pPr>
    </w:p>
    <w:p w:rsidR="003F53A2" w:rsidRPr="00491C4A" w:rsidRDefault="00491C4A" w:rsidP="00916BCD">
      <w:pPr>
        <w:pStyle w:val="Prrafodelista"/>
        <w:rPr>
          <w:rFonts w:ascii="Times New Roman" w:hAnsi="Times New Roman"/>
          <w:sz w:val="28"/>
          <w:szCs w:val="28"/>
        </w:rPr>
      </w:pPr>
    </w:p>
    <w:p w:rsidR="00816001" w:rsidRPr="00491C4A" w:rsidRDefault="00491C4A" w:rsidP="00B14E37">
      <w:pPr>
        <w:pStyle w:val="Ttulo2"/>
        <w:numPr>
          <w:ilvl w:val="0"/>
          <w:numId w:val="7"/>
        </w:numPr>
        <w:spacing w:before="0" w:after="0"/>
        <w:ind w:left="708" w:hanging="708"/>
        <w:jc w:val="both"/>
        <w:rPr>
          <w:rFonts w:ascii="Times New Roman" w:hAnsi="Times New Roman"/>
          <w:b/>
          <w:bCs/>
          <w:color w:val="auto"/>
          <w:sz w:val="28"/>
          <w:szCs w:val="28"/>
        </w:rPr>
      </w:pPr>
      <w:bookmarkStart w:id="34" w:name="_Toc200753668"/>
      <w:r w:rsidRPr="00491C4A">
        <w:rPr>
          <w:rFonts w:ascii="Times New Roman" w:hAnsi="Times New Roman"/>
          <w:b/>
          <w:bCs/>
          <w:color w:val="auto"/>
          <w:sz w:val="28"/>
          <w:szCs w:val="28"/>
        </w:rPr>
        <w:t>Solución del ca</w:t>
      </w:r>
      <w:r w:rsidRPr="00491C4A">
        <w:rPr>
          <w:rFonts w:ascii="Times New Roman" w:hAnsi="Times New Roman"/>
          <w:b/>
          <w:bCs/>
          <w:color w:val="auto"/>
          <w:sz w:val="28"/>
          <w:szCs w:val="28"/>
        </w:rPr>
        <w:t>rgo por vicios formales</w:t>
      </w:r>
      <w:r w:rsidRPr="00491C4A">
        <w:rPr>
          <w:rFonts w:ascii="Times New Roman" w:hAnsi="Times New Roman"/>
          <w:b/>
          <w:bCs/>
          <w:color w:val="auto"/>
          <w:sz w:val="28"/>
          <w:szCs w:val="28"/>
        </w:rPr>
        <w:t xml:space="preserve"> – discusión y aprobación del artículo 233 de la Ley 2294 de 2023 en la Plenaria de la Cámara de Representantes</w:t>
      </w:r>
      <w:bookmarkEnd w:id="34"/>
      <w:r w:rsidRPr="00491C4A">
        <w:rPr>
          <w:rFonts w:ascii="Times New Roman" w:hAnsi="Times New Roman"/>
          <w:b/>
          <w:bCs/>
          <w:color w:val="auto"/>
          <w:sz w:val="28"/>
          <w:szCs w:val="28"/>
        </w:rPr>
        <w:t xml:space="preserve"> </w:t>
      </w:r>
    </w:p>
    <w:p w:rsidR="00A51B47" w:rsidRPr="00491C4A" w:rsidRDefault="00491C4A" w:rsidP="00816001">
      <w:pPr>
        <w:rPr>
          <w:rFonts w:ascii="Times New Roman" w:hAnsi="Times New Roman"/>
          <w:sz w:val="28"/>
          <w:szCs w:val="28"/>
        </w:rPr>
      </w:pPr>
    </w:p>
    <w:p w:rsidR="00460631"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Teniendo en cuent</w:t>
      </w:r>
      <w:r w:rsidRPr="00491C4A">
        <w:rPr>
          <w:rFonts w:ascii="Times New Roman" w:hAnsi="Times New Roman"/>
          <w:sz w:val="28"/>
          <w:szCs w:val="28"/>
        </w:rPr>
        <w:t>a</w:t>
      </w:r>
      <w:r w:rsidRPr="00491C4A">
        <w:rPr>
          <w:rFonts w:ascii="Times New Roman" w:hAnsi="Times New Roman"/>
          <w:sz w:val="28"/>
          <w:szCs w:val="28"/>
        </w:rPr>
        <w:t xml:space="preserve"> que el presunto vicio de inconstitucionalidad alegado por </w:t>
      </w:r>
      <w:r w:rsidRPr="00491C4A">
        <w:rPr>
          <w:rFonts w:ascii="Times New Roman" w:hAnsi="Times New Roman"/>
          <w:sz w:val="28"/>
          <w:szCs w:val="28"/>
        </w:rPr>
        <w:t>los demandantes</w:t>
      </w:r>
      <w:r w:rsidRPr="00491C4A">
        <w:rPr>
          <w:rFonts w:ascii="Times New Roman" w:hAnsi="Times New Roman"/>
          <w:sz w:val="28"/>
          <w:szCs w:val="28"/>
        </w:rPr>
        <w:t xml:space="preserve"> ocurrió en las sesiones de la Plenaria de la Cáma</w:t>
      </w:r>
      <w:r w:rsidRPr="00491C4A">
        <w:rPr>
          <w:rFonts w:ascii="Times New Roman" w:hAnsi="Times New Roman"/>
          <w:sz w:val="28"/>
          <w:szCs w:val="28"/>
        </w:rPr>
        <w:t xml:space="preserve">ra de Representantes, </w:t>
      </w:r>
      <w:r w:rsidRPr="00491C4A">
        <w:rPr>
          <w:rFonts w:ascii="Times New Roman" w:hAnsi="Times New Roman"/>
          <w:sz w:val="28"/>
          <w:szCs w:val="28"/>
        </w:rPr>
        <w:t>la Sala centrará</w:t>
      </w:r>
      <w:r w:rsidRPr="00491C4A">
        <w:rPr>
          <w:rFonts w:ascii="Times New Roman" w:hAnsi="Times New Roman"/>
          <w:sz w:val="28"/>
          <w:szCs w:val="28"/>
        </w:rPr>
        <w:t xml:space="preserve"> el estudio de</w:t>
      </w:r>
      <w:r w:rsidRPr="00491C4A">
        <w:rPr>
          <w:rFonts w:ascii="Times New Roman" w:hAnsi="Times New Roman"/>
          <w:sz w:val="28"/>
          <w:szCs w:val="28"/>
        </w:rPr>
        <w:t xml:space="preserve">l recorrido legislativo de la norma en esa etapa del trámite legislativo. </w:t>
      </w:r>
    </w:p>
    <w:p w:rsidR="00D84E71" w:rsidRPr="00491C4A" w:rsidRDefault="00491C4A" w:rsidP="00D84E71">
      <w:pPr>
        <w:pStyle w:val="Prrafodelista"/>
        <w:ind w:left="0"/>
        <w:jc w:val="both"/>
        <w:rPr>
          <w:rFonts w:ascii="Times New Roman" w:hAnsi="Times New Roman"/>
          <w:sz w:val="28"/>
          <w:szCs w:val="28"/>
        </w:rPr>
      </w:pPr>
    </w:p>
    <w:p w:rsidR="00F1548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el informe de ponencia para segundo debate del Proyecto de Ley número 338 de 2023 (Cámara) y 274 de 2023 (Senado), publicado </w:t>
      </w:r>
      <w:r w:rsidRPr="00491C4A">
        <w:rPr>
          <w:rFonts w:ascii="Times New Roman" w:hAnsi="Times New Roman"/>
          <w:sz w:val="28"/>
          <w:szCs w:val="28"/>
        </w:rPr>
        <w:t>en la Gaceta del Congreso 388 del 26 de abril de 2023, aparece el artículo 207</w:t>
      </w:r>
      <w:r w:rsidRPr="00491C4A">
        <w:rPr>
          <w:rStyle w:val="Refdenotaalpie"/>
          <w:rFonts w:ascii="Times New Roman" w:hAnsi="Times New Roman"/>
          <w:sz w:val="28"/>
          <w:szCs w:val="28"/>
        </w:rPr>
        <w:footnoteReference w:id="94"/>
      </w:r>
      <w:r w:rsidRPr="00491C4A">
        <w:rPr>
          <w:rFonts w:ascii="Times New Roman" w:hAnsi="Times New Roman"/>
          <w:sz w:val="28"/>
          <w:szCs w:val="28"/>
        </w:rPr>
        <w:t xml:space="preserve">, </w:t>
      </w:r>
      <w:r w:rsidRPr="00491C4A">
        <w:rPr>
          <w:rFonts w:ascii="Times New Roman" w:hAnsi="Times New Roman"/>
          <w:sz w:val="28"/>
          <w:szCs w:val="28"/>
        </w:rPr>
        <w:t>que la postre sería la norma demandada</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Consta en el Acta de Plenaria Número 53 de la sesión ordinaria del 2 de mayo de 2023, publicada en la Gaceta del Congreso 892 del 21 de</w:t>
      </w:r>
      <w:r w:rsidRPr="00491C4A">
        <w:rPr>
          <w:rFonts w:ascii="Times New Roman" w:hAnsi="Times New Roman"/>
          <w:sz w:val="28"/>
          <w:szCs w:val="28"/>
        </w:rPr>
        <w:t xml:space="preserve"> julio de 2023</w:t>
      </w:r>
      <w:r w:rsidRPr="00491C4A">
        <w:rPr>
          <w:rStyle w:val="Refdenotaalpie"/>
          <w:rFonts w:ascii="Times New Roman" w:hAnsi="Times New Roman"/>
          <w:sz w:val="28"/>
          <w:szCs w:val="28"/>
        </w:rPr>
        <w:footnoteReference w:id="95"/>
      </w:r>
      <w:r w:rsidRPr="00491C4A">
        <w:rPr>
          <w:rFonts w:ascii="Times New Roman" w:hAnsi="Times New Roman"/>
          <w:sz w:val="28"/>
          <w:szCs w:val="28"/>
        </w:rPr>
        <w:t>, que</w:t>
      </w:r>
      <w:r w:rsidRPr="00491C4A">
        <w:rPr>
          <w:rFonts w:ascii="Times New Roman" w:hAnsi="Times New Roman"/>
          <w:sz w:val="28"/>
          <w:szCs w:val="28"/>
        </w:rPr>
        <w:t>, después de que fueran resueltos los impedimentos, fue explicada la ponencia positiva para segundo debate por parte de los ponentes y se realizar</w:t>
      </w:r>
      <w:r w:rsidRPr="00491C4A">
        <w:rPr>
          <w:rFonts w:ascii="Times New Roman" w:hAnsi="Times New Roman"/>
          <w:sz w:val="28"/>
          <w:szCs w:val="28"/>
        </w:rPr>
        <w:t>on</w:t>
      </w:r>
      <w:r w:rsidRPr="00491C4A">
        <w:rPr>
          <w:rFonts w:ascii="Times New Roman" w:hAnsi="Times New Roman"/>
          <w:sz w:val="28"/>
          <w:szCs w:val="28"/>
        </w:rPr>
        <w:t xml:space="preserve"> los comentarios generales respecto a esta</w:t>
      </w:r>
      <w:r w:rsidRPr="00491C4A">
        <w:rPr>
          <w:rStyle w:val="Refdenotaalpie"/>
          <w:rFonts w:ascii="Times New Roman" w:hAnsi="Times New Roman"/>
          <w:sz w:val="28"/>
          <w:szCs w:val="28"/>
        </w:rPr>
        <w:footnoteReference w:id="96"/>
      </w:r>
      <w:r w:rsidRPr="00491C4A">
        <w:rPr>
          <w:rFonts w:ascii="Times New Roman" w:hAnsi="Times New Roman"/>
          <w:sz w:val="28"/>
          <w:szCs w:val="28"/>
        </w:rPr>
        <w:t xml:space="preserve">. </w:t>
      </w:r>
    </w:p>
    <w:p w:rsidR="00E93373" w:rsidRPr="00491C4A" w:rsidRDefault="00491C4A" w:rsidP="00E93373">
      <w:pPr>
        <w:pStyle w:val="Prrafodelista"/>
        <w:rPr>
          <w:rFonts w:ascii="Times New Roman" w:hAnsi="Times New Roman"/>
          <w:sz w:val="28"/>
          <w:szCs w:val="28"/>
        </w:rPr>
      </w:pPr>
    </w:p>
    <w:p w:rsidR="00F1548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Posteriormente, el </w:t>
      </w:r>
      <w:r w:rsidRPr="00491C4A">
        <w:rPr>
          <w:rFonts w:ascii="Times New Roman" w:hAnsi="Times New Roman"/>
          <w:sz w:val="28"/>
          <w:szCs w:val="28"/>
        </w:rPr>
        <w:t xml:space="preserve">Presidente </w:t>
      </w:r>
      <w:r w:rsidRPr="00491C4A">
        <w:rPr>
          <w:rFonts w:ascii="Times New Roman" w:hAnsi="Times New Roman"/>
          <w:sz w:val="28"/>
          <w:szCs w:val="28"/>
        </w:rPr>
        <w:t>de la Cámar</w:t>
      </w:r>
      <w:r w:rsidRPr="00491C4A">
        <w:rPr>
          <w:rFonts w:ascii="Times New Roman" w:hAnsi="Times New Roman"/>
          <w:sz w:val="28"/>
          <w:szCs w:val="28"/>
        </w:rPr>
        <w:t>a,</w:t>
      </w:r>
      <w:r w:rsidRPr="00491C4A">
        <w:rPr>
          <w:rFonts w:ascii="Times New Roman" w:hAnsi="Times New Roman"/>
          <w:sz w:val="28"/>
          <w:szCs w:val="28"/>
        </w:rPr>
        <w:t xml:space="preserve"> David Ricardo Racero </w:t>
      </w:r>
      <w:r w:rsidRPr="00491C4A">
        <w:rPr>
          <w:rFonts w:ascii="Times New Roman" w:hAnsi="Times New Roman"/>
          <w:sz w:val="28"/>
          <w:szCs w:val="28"/>
        </w:rPr>
        <w:t>Mayorca</w:t>
      </w:r>
      <w:r w:rsidRPr="00491C4A">
        <w:rPr>
          <w:rFonts w:ascii="Times New Roman" w:hAnsi="Times New Roman"/>
          <w:sz w:val="28"/>
          <w:szCs w:val="28"/>
        </w:rPr>
        <w:t xml:space="preserve">, </w:t>
      </w:r>
      <w:r w:rsidRPr="00491C4A">
        <w:rPr>
          <w:rFonts w:ascii="Times New Roman" w:hAnsi="Times New Roman"/>
          <w:sz w:val="28"/>
          <w:szCs w:val="28"/>
        </w:rPr>
        <w:t>manifestó</w:t>
      </w:r>
      <w:r w:rsidRPr="00491C4A">
        <w:rPr>
          <w:rFonts w:ascii="Times New Roman" w:hAnsi="Times New Roman"/>
          <w:sz w:val="28"/>
          <w:szCs w:val="28"/>
        </w:rPr>
        <w:t xml:space="preserve"> que procederían a votar el primer bloque de artículos sin proposiciones, en el entendido de que había consenso respecto a estos</w:t>
      </w:r>
      <w:r w:rsidRPr="00491C4A">
        <w:rPr>
          <w:rStyle w:val="Refdenotaalpie"/>
          <w:rFonts w:ascii="Times New Roman" w:hAnsi="Times New Roman"/>
          <w:sz w:val="28"/>
          <w:szCs w:val="28"/>
        </w:rPr>
        <w:footnoteReference w:id="97"/>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El artículo 207 no fue incluido dentro de dicha votación</w:t>
      </w:r>
      <w:r w:rsidRPr="00491C4A">
        <w:rPr>
          <w:rStyle w:val="Refdenotaalpie"/>
          <w:rFonts w:ascii="Times New Roman" w:hAnsi="Times New Roman"/>
          <w:sz w:val="28"/>
          <w:szCs w:val="28"/>
        </w:rPr>
        <w:footnoteReference w:id="98"/>
      </w:r>
      <w:r w:rsidRPr="00491C4A">
        <w:rPr>
          <w:rFonts w:ascii="Times New Roman" w:hAnsi="Times New Roman"/>
          <w:sz w:val="28"/>
          <w:szCs w:val="28"/>
        </w:rPr>
        <w:t xml:space="preserve">. </w:t>
      </w:r>
    </w:p>
    <w:p w:rsidR="00F15486" w:rsidRPr="00491C4A" w:rsidRDefault="00491C4A" w:rsidP="00F15486">
      <w:pPr>
        <w:pStyle w:val="Prrafodelista"/>
        <w:rPr>
          <w:rFonts w:ascii="Times New Roman" w:hAnsi="Times New Roman"/>
          <w:sz w:val="28"/>
          <w:szCs w:val="28"/>
        </w:rPr>
      </w:pPr>
    </w:p>
    <w:p w:rsidR="003C092D"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continuación</w:t>
      </w:r>
      <w:r w:rsidRPr="00491C4A">
        <w:rPr>
          <w:rFonts w:ascii="Times New Roman" w:hAnsi="Times New Roman"/>
          <w:sz w:val="28"/>
          <w:szCs w:val="28"/>
        </w:rPr>
        <w:t xml:space="preserve">, los representantes </w:t>
      </w:r>
      <w:r w:rsidRPr="00491C4A">
        <w:rPr>
          <w:rFonts w:ascii="Times New Roman" w:hAnsi="Times New Roman"/>
          <w:sz w:val="28"/>
          <w:szCs w:val="28"/>
        </w:rPr>
        <w:t>discutieron sobre la forma como debatirían y votarían en adelante</w:t>
      </w:r>
      <w:r w:rsidRPr="00491C4A">
        <w:rPr>
          <w:rStyle w:val="Refdenotaalpie"/>
          <w:rFonts w:ascii="Times New Roman" w:hAnsi="Times New Roman"/>
          <w:sz w:val="28"/>
          <w:szCs w:val="28"/>
        </w:rPr>
        <w:footnoteReference w:id="99"/>
      </w:r>
      <w:r w:rsidRPr="00491C4A">
        <w:rPr>
          <w:rFonts w:ascii="Times New Roman" w:hAnsi="Times New Roman"/>
          <w:sz w:val="28"/>
          <w:szCs w:val="28"/>
        </w:rPr>
        <w:t xml:space="preserve">. </w:t>
      </w:r>
      <w:r w:rsidRPr="00491C4A">
        <w:rPr>
          <w:rFonts w:ascii="Times New Roman" w:hAnsi="Times New Roman"/>
          <w:sz w:val="28"/>
          <w:szCs w:val="28"/>
        </w:rPr>
        <w:t>L</w:t>
      </w:r>
      <w:r w:rsidRPr="00491C4A">
        <w:rPr>
          <w:rFonts w:ascii="Times New Roman" w:hAnsi="Times New Roman"/>
          <w:sz w:val="28"/>
          <w:szCs w:val="28"/>
        </w:rPr>
        <w:t>a mesa directiva resolvió que se votaran en bloque los artículos respecto de los cuales había proposici</w:t>
      </w:r>
      <w:r w:rsidRPr="00491C4A">
        <w:rPr>
          <w:rFonts w:ascii="Times New Roman" w:hAnsi="Times New Roman"/>
          <w:sz w:val="28"/>
          <w:szCs w:val="28"/>
        </w:rPr>
        <w:t>ones</w:t>
      </w:r>
      <w:r w:rsidRPr="00491C4A">
        <w:rPr>
          <w:rFonts w:ascii="Times New Roman" w:hAnsi="Times New Roman"/>
          <w:sz w:val="28"/>
          <w:szCs w:val="28"/>
        </w:rPr>
        <w:t xml:space="preserve"> de eliminación</w:t>
      </w:r>
      <w:r w:rsidRPr="00491C4A">
        <w:rPr>
          <w:rFonts w:ascii="Times New Roman" w:hAnsi="Times New Roman"/>
          <w:sz w:val="28"/>
          <w:szCs w:val="28"/>
        </w:rPr>
        <w:t xml:space="preserve"> no avaladas</w:t>
      </w:r>
      <w:r w:rsidRPr="00491C4A">
        <w:rPr>
          <w:rStyle w:val="Refdenotaalpie"/>
          <w:rFonts w:ascii="Times New Roman" w:hAnsi="Times New Roman"/>
          <w:sz w:val="28"/>
          <w:szCs w:val="28"/>
        </w:rPr>
        <w:footnoteReference w:id="100"/>
      </w:r>
      <w:r w:rsidRPr="00491C4A">
        <w:rPr>
          <w:rFonts w:ascii="Times New Roman" w:hAnsi="Times New Roman"/>
          <w:sz w:val="28"/>
          <w:szCs w:val="28"/>
        </w:rPr>
        <w:t>, dentro de los cuales inicialm</w:t>
      </w:r>
      <w:r w:rsidRPr="00491C4A">
        <w:rPr>
          <w:rFonts w:ascii="Times New Roman" w:hAnsi="Times New Roman"/>
          <w:sz w:val="28"/>
          <w:szCs w:val="28"/>
        </w:rPr>
        <w:t>ente se leyó el 207</w:t>
      </w:r>
      <w:r w:rsidRPr="00491C4A">
        <w:rPr>
          <w:rStyle w:val="Refdenotaalpie"/>
          <w:rFonts w:ascii="Times New Roman" w:hAnsi="Times New Roman"/>
          <w:sz w:val="28"/>
          <w:szCs w:val="28"/>
        </w:rPr>
        <w:footnoteReference w:id="101"/>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N</w:t>
      </w:r>
      <w:r w:rsidRPr="00491C4A">
        <w:rPr>
          <w:rFonts w:ascii="Times New Roman" w:hAnsi="Times New Roman"/>
          <w:sz w:val="28"/>
          <w:szCs w:val="28"/>
        </w:rPr>
        <w:t>o obstante, los representan</w:t>
      </w:r>
      <w:r w:rsidRPr="00491C4A">
        <w:rPr>
          <w:rFonts w:ascii="Times New Roman" w:hAnsi="Times New Roman"/>
          <w:sz w:val="28"/>
          <w:szCs w:val="28"/>
        </w:rPr>
        <w:t>tes Juan Espinal y Hernán Darío Cadavid</w:t>
      </w:r>
      <w:r w:rsidRPr="00491C4A">
        <w:rPr>
          <w:rFonts w:ascii="Times New Roman" w:hAnsi="Times New Roman"/>
          <w:sz w:val="28"/>
          <w:szCs w:val="28"/>
        </w:rPr>
        <w:t xml:space="preserve">, autores de la proposición de eliminación del artículo 207 </w:t>
      </w:r>
      <w:r w:rsidRPr="00491C4A">
        <w:rPr>
          <w:rFonts w:ascii="Times New Roman" w:hAnsi="Times New Roman"/>
          <w:sz w:val="28"/>
          <w:szCs w:val="28"/>
        </w:rPr>
        <w:t>dejaron como constancia la proposición de eliminación que habían radicado respecto de dicha norma</w:t>
      </w:r>
      <w:r w:rsidRPr="00491C4A">
        <w:rPr>
          <w:rStyle w:val="Refdenotaalpie"/>
          <w:rFonts w:ascii="Times New Roman" w:hAnsi="Times New Roman"/>
          <w:sz w:val="28"/>
          <w:szCs w:val="28"/>
        </w:rPr>
        <w:footnoteReference w:id="102"/>
      </w:r>
      <w:r w:rsidRPr="00491C4A">
        <w:rPr>
          <w:rFonts w:ascii="Times New Roman" w:hAnsi="Times New Roman"/>
          <w:sz w:val="28"/>
          <w:szCs w:val="28"/>
        </w:rPr>
        <w:t xml:space="preserve">, </w:t>
      </w:r>
      <w:r w:rsidRPr="00491C4A">
        <w:rPr>
          <w:rFonts w:ascii="Times New Roman" w:hAnsi="Times New Roman"/>
          <w:sz w:val="28"/>
          <w:szCs w:val="28"/>
        </w:rPr>
        <w:t xml:space="preserve">motivo </w:t>
      </w:r>
      <w:r w:rsidRPr="00491C4A">
        <w:rPr>
          <w:rFonts w:ascii="Times New Roman" w:hAnsi="Times New Roman"/>
          <w:sz w:val="28"/>
          <w:szCs w:val="28"/>
        </w:rPr>
        <w:t>por el cual finalmente no se votó su eliminación</w:t>
      </w:r>
      <w:r w:rsidRPr="00491C4A">
        <w:rPr>
          <w:rFonts w:ascii="Times New Roman" w:hAnsi="Times New Roman"/>
          <w:sz w:val="28"/>
          <w:szCs w:val="28"/>
        </w:rPr>
        <w:t xml:space="preserve"> en el primer bloque</w:t>
      </w:r>
      <w:r w:rsidRPr="00491C4A">
        <w:rPr>
          <w:rStyle w:val="Refdenotaalpie"/>
          <w:rFonts w:ascii="Times New Roman" w:hAnsi="Times New Roman"/>
          <w:sz w:val="28"/>
          <w:szCs w:val="28"/>
        </w:rPr>
        <w:footnoteReference w:id="103"/>
      </w:r>
      <w:r w:rsidRPr="00491C4A">
        <w:rPr>
          <w:rFonts w:ascii="Times New Roman" w:hAnsi="Times New Roman"/>
          <w:sz w:val="28"/>
          <w:szCs w:val="28"/>
        </w:rPr>
        <w:t xml:space="preserve">. </w:t>
      </w:r>
    </w:p>
    <w:p w:rsidR="003C092D" w:rsidRPr="00491C4A" w:rsidRDefault="00491C4A" w:rsidP="003C092D">
      <w:pPr>
        <w:pStyle w:val="Prrafodelista"/>
        <w:rPr>
          <w:rFonts w:ascii="Times New Roman" w:hAnsi="Times New Roman"/>
          <w:sz w:val="28"/>
          <w:szCs w:val="28"/>
        </w:rPr>
      </w:pPr>
    </w:p>
    <w:p w:rsidR="00F1548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Luego continuaron con la votación en bloque de los artículos que quedaron sin proposiciones</w:t>
      </w:r>
      <w:r w:rsidRPr="00491C4A">
        <w:rPr>
          <w:rFonts w:ascii="Times New Roman" w:hAnsi="Times New Roman"/>
          <w:sz w:val="28"/>
          <w:szCs w:val="28"/>
        </w:rPr>
        <w:t xml:space="preserve"> o </w:t>
      </w:r>
      <w:r w:rsidRPr="00491C4A">
        <w:rPr>
          <w:rFonts w:ascii="Times New Roman" w:hAnsi="Times New Roman"/>
          <w:i/>
          <w:iCs/>
          <w:sz w:val="28"/>
          <w:szCs w:val="28"/>
        </w:rPr>
        <w:t>“limpios”</w:t>
      </w:r>
      <w:r w:rsidRPr="00491C4A">
        <w:rPr>
          <w:rFonts w:ascii="Times New Roman" w:hAnsi="Times New Roman"/>
          <w:sz w:val="28"/>
          <w:szCs w:val="28"/>
        </w:rPr>
        <w:t xml:space="preserve"> porque en el transcurso de la discusión fueron dejadas como constancias las pro</w:t>
      </w:r>
      <w:r w:rsidRPr="00491C4A">
        <w:rPr>
          <w:rFonts w:ascii="Times New Roman" w:hAnsi="Times New Roman"/>
          <w:sz w:val="28"/>
          <w:szCs w:val="28"/>
        </w:rPr>
        <w:t xml:space="preserve">posiciones que </w:t>
      </w:r>
      <w:r w:rsidRPr="00491C4A">
        <w:rPr>
          <w:rFonts w:ascii="Times New Roman" w:hAnsi="Times New Roman"/>
          <w:sz w:val="28"/>
          <w:szCs w:val="28"/>
        </w:rPr>
        <w:t>se habían presentado</w:t>
      </w:r>
      <w:r w:rsidRPr="00491C4A">
        <w:rPr>
          <w:rFonts w:ascii="Times New Roman" w:hAnsi="Times New Roman"/>
          <w:sz w:val="28"/>
          <w:szCs w:val="28"/>
        </w:rPr>
        <w:t xml:space="preserve">. El bloque a someter a votación fue anunciado por el Secretario Jaime Luis Lacouture así: </w:t>
      </w:r>
      <w:r w:rsidRPr="00491C4A">
        <w:rPr>
          <w:rFonts w:ascii="Times New Roman" w:hAnsi="Times New Roman"/>
          <w:i/>
          <w:iCs/>
          <w:sz w:val="28"/>
          <w:szCs w:val="28"/>
        </w:rPr>
        <w:t>“</w:t>
      </w:r>
      <w:r w:rsidRPr="00491C4A">
        <w:rPr>
          <w:rFonts w:ascii="Times New Roman" w:hAnsi="Times New Roman"/>
          <w:i/>
          <w:iCs/>
          <w:sz w:val="28"/>
          <w:szCs w:val="28"/>
          <w:lang w:val="es-MX"/>
        </w:rPr>
        <w:t xml:space="preserve">Perfecto, entonces confirmamos nuevamente. Artículo 13, 18, 33, 40, 57, 78, 83, 77, 137, 140, 142, 175, 182, 207, 247, 266, 250, </w:t>
      </w:r>
      <w:r w:rsidRPr="00491C4A">
        <w:rPr>
          <w:rFonts w:ascii="Times New Roman" w:hAnsi="Times New Roman"/>
          <w:i/>
          <w:iCs/>
          <w:sz w:val="28"/>
          <w:szCs w:val="28"/>
          <w:lang w:val="es-MX"/>
        </w:rPr>
        <w:t>314, 325, se retira el 325 y se retira también el 328, 298, 334, 335, 339, 343, 345, 350, Presidente, el artículo 250 ya se votó entonces lo excluimos 345, 349, 370, 359, 158 y 357</w:t>
      </w:r>
      <w:r w:rsidRPr="00491C4A">
        <w:rPr>
          <w:rFonts w:ascii="Times New Roman" w:hAnsi="Times New Roman"/>
          <w:sz w:val="28"/>
          <w:szCs w:val="28"/>
          <w:lang w:val="es-MX"/>
        </w:rPr>
        <w:t>”</w:t>
      </w:r>
      <w:r w:rsidRPr="00491C4A">
        <w:rPr>
          <w:rStyle w:val="Refdenotaalpie"/>
          <w:rFonts w:ascii="Times New Roman" w:hAnsi="Times New Roman"/>
          <w:sz w:val="28"/>
          <w:szCs w:val="28"/>
        </w:rPr>
        <w:footnoteReference w:id="104"/>
      </w:r>
      <w:r w:rsidRPr="00491C4A">
        <w:rPr>
          <w:rFonts w:ascii="Times New Roman" w:hAnsi="Times New Roman"/>
          <w:sz w:val="28"/>
          <w:szCs w:val="28"/>
        </w:rPr>
        <w:t xml:space="preserve">. </w:t>
      </w:r>
      <w:r w:rsidRPr="00491C4A">
        <w:rPr>
          <w:rFonts w:ascii="Times New Roman" w:hAnsi="Times New Roman"/>
          <w:sz w:val="28"/>
          <w:szCs w:val="28"/>
        </w:rPr>
        <w:t xml:space="preserve">El bloque de artículos anunciados </w:t>
      </w:r>
      <w:r w:rsidRPr="00491C4A">
        <w:rPr>
          <w:rFonts w:ascii="Times New Roman" w:hAnsi="Times New Roman"/>
          <w:sz w:val="28"/>
          <w:szCs w:val="28"/>
        </w:rPr>
        <w:t>fue aprobado como venía en la ponencia</w:t>
      </w:r>
      <w:r w:rsidRPr="00491C4A">
        <w:rPr>
          <w:rFonts w:ascii="Times New Roman" w:hAnsi="Times New Roman"/>
          <w:sz w:val="28"/>
          <w:szCs w:val="28"/>
        </w:rPr>
        <w:t xml:space="preserve"> con 105 votos a favor y 2 en contra</w:t>
      </w:r>
      <w:r w:rsidRPr="00491C4A">
        <w:rPr>
          <w:rStyle w:val="Refdenotaalpie"/>
          <w:rFonts w:ascii="Times New Roman" w:hAnsi="Times New Roman"/>
          <w:sz w:val="28"/>
          <w:szCs w:val="28"/>
        </w:rPr>
        <w:footnoteReference w:id="105"/>
      </w:r>
      <w:r w:rsidRPr="00491C4A">
        <w:rPr>
          <w:rFonts w:ascii="Times New Roman" w:hAnsi="Times New Roman"/>
          <w:sz w:val="28"/>
          <w:szCs w:val="28"/>
        </w:rPr>
        <w:t>.</w:t>
      </w:r>
      <w:r w:rsidRPr="00491C4A">
        <w:rPr>
          <w:rFonts w:ascii="Times New Roman" w:hAnsi="Times New Roman"/>
          <w:sz w:val="28"/>
          <w:szCs w:val="28"/>
        </w:rPr>
        <w:t xml:space="preserve">  A continuación</w:t>
      </w:r>
      <w:r w:rsidRPr="00491C4A">
        <w:rPr>
          <w:rFonts w:ascii="Times New Roman" w:hAnsi="Times New Roman"/>
          <w:sz w:val="28"/>
          <w:szCs w:val="28"/>
        </w:rPr>
        <w:t xml:space="preserve">, los representantes votaron </w:t>
      </w:r>
      <w:r w:rsidRPr="00491C4A">
        <w:rPr>
          <w:rFonts w:ascii="Times New Roman" w:hAnsi="Times New Roman"/>
          <w:sz w:val="28"/>
          <w:szCs w:val="28"/>
        </w:rPr>
        <w:t xml:space="preserve">las proposiciones de eliminación avaladas y las de eliminación sin aval que habían sido individualizadas. También se votaron los artículos como venían en la ponencia </w:t>
      </w:r>
      <w:r w:rsidRPr="00491C4A">
        <w:rPr>
          <w:rFonts w:ascii="Times New Roman" w:hAnsi="Times New Roman"/>
          <w:sz w:val="28"/>
          <w:szCs w:val="28"/>
        </w:rPr>
        <w:t>respecto de los cuales no prosperó su eliminación</w:t>
      </w:r>
      <w:r w:rsidRPr="00491C4A">
        <w:rPr>
          <w:rStyle w:val="Refdenotaalpie"/>
          <w:rFonts w:ascii="Times New Roman" w:hAnsi="Times New Roman"/>
          <w:sz w:val="28"/>
          <w:szCs w:val="28"/>
        </w:rPr>
        <w:footnoteReference w:id="106"/>
      </w:r>
      <w:r w:rsidRPr="00491C4A">
        <w:rPr>
          <w:rFonts w:ascii="Times New Roman" w:hAnsi="Times New Roman"/>
          <w:sz w:val="28"/>
          <w:szCs w:val="28"/>
        </w:rPr>
        <w:t>.</w:t>
      </w:r>
    </w:p>
    <w:p w:rsidR="00484299" w:rsidRPr="00491C4A" w:rsidRDefault="00491C4A" w:rsidP="00484299">
      <w:pPr>
        <w:pStyle w:val="Prrafodelista"/>
        <w:rPr>
          <w:rFonts w:ascii="Times New Roman" w:hAnsi="Times New Roman"/>
          <w:sz w:val="28"/>
          <w:szCs w:val="28"/>
        </w:rPr>
      </w:pPr>
    </w:p>
    <w:p w:rsidR="00D15D5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la siguiente sesión Plenaria de la Cámara de Representantes, celebrada el día siguiente, es decir, el 3 de mayo de 2023, la cual fue consignada en el Acta de Plenaria número 54 de la sesión ordinaria </w:t>
      </w:r>
      <w:r w:rsidRPr="00491C4A">
        <w:rPr>
          <w:rFonts w:ascii="Times New Roman" w:hAnsi="Times New Roman"/>
          <w:sz w:val="28"/>
          <w:szCs w:val="28"/>
        </w:rPr>
        <w:t xml:space="preserve">-publicada en la </w:t>
      </w:r>
      <w:r w:rsidRPr="00491C4A">
        <w:rPr>
          <w:rFonts w:ascii="Times New Roman" w:hAnsi="Times New Roman"/>
          <w:sz w:val="28"/>
          <w:szCs w:val="28"/>
        </w:rPr>
        <w:t>Gaceta del Congreso 1311 del 20 de septiembre de 2023</w:t>
      </w:r>
      <w:r w:rsidRPr="00491C4A">
        <w:rPr>
          <w:rFonts w:ascii="Times New Roman" w:hAnsi="Times New Roman"/>
          <w:sz w:val="28"/>
          <w:szCs w:val="28"/>
        </w:rPr>
        <w:t>-</w:t>
      </w:r>
      <w:r w:rsidRPr="00491C4A">
        <w:rPr>
          <w:rFonts w:ascii="Times New Roman" w:hAnsi="Times New Roman"/>
          <w:sz w:val="28"/>
          <w:szCs w:val="28"/>
        </w:rPr>
        <w:t>, se recordó cuáles habían sido los artículos que ya habían sido aprobados, dentro de los cuales figuraba el 207</w:t>
      </w:r>
      <w:r w:rsidRPr="00491C4A">
        <w:rPr>
          <w:rStyle w:val="Refdenotaalpie"/>
          <w:rFonts w:ascii="Times New Roman" w:hAnsi="Times New Roman"/>
          <w:sz w:val="28"/>
          <w:szCs w:val="28"/>
        </w:rPr>
        <w:footnoteReference w:id="107"/>
      </w:r>
      <w:r w:rsidRPr="00491C4A">
        <w:rPr>
          <w:rFonts w:ascii="Times New Roman" w:hAnsi="Times New Roman"/>
          <w:sz w:val="28"/>
          <w:szCs w:val="28"/>
        </w:rPr>
        <w:t xml:space="preserve">. </w:t>
      </w:r>
    </w:p>
    <w:p w:rsidR="00D15D55" w:rsidRPr="00491C4A" w:rsidRDefault="00491C4A" w:rsidP="00D15D55">
      <w:pPr>
        <w:pStyle w:val="Prrafodelista"/>
        <w:rPr>
          <w:rFonts w:ascii="Times New Roman" w:hAnsi="Times New Roman"/>
          <w:sz w:val="28"/>
          <w:szCs w:val="28"/>
        </w:rPr>
      </w:pPr>
    </w:p>
    <w:p w:rsidR="009320F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partir de ese momento algunos representantes empezaron a solicitar</w:t>
      </w:r>
      <w:r w:rsidRPr="00491C4A">
        <w:rPr>
          <w:rFonts w:ascii="Times New Roman" w:hAnsi="Times New Roman"/>
          <w:sz w:val="28"/>
          <w:szCs w:val="28"/>
        </w:rPr>
        <w:t xml:space="preserve"> la reapertura del debate de artículos que ya habían sido sometidos a votación</w:t>
      </w:r>
      <w:r w:rsidRPr="00491C4A">
        <w:rPr>
          <w:rFonts w:ascii="Times New Roman" w:hAnsi="Times New Roman"/>
          <w:sz w:val="28"/>
          <w:szCs w:val="28"/>
        </w:rPr>
        <w:t xml:space="preserve">; </w:t>
      </w:r>
      <w:r w:rsidRPr="00491C4A">
        <w:rPr>
          <w:rFonts w:ascii="Times New Roman" w:hAnsi="Times New Roman"/>
          <w:sz w:val="28"/>
          <w:szCs w:val="28"/>
        </w:rPr>
        <w:t>s</w:t>
      </w:r>
      <w:r w:rsidRPr="00491C4A">
        <w:rPr>
          <w:rFonts w:ascii="Times New Roman" w:hAnsi="Times New Roman"/>
          <w:sz w:val="28"/>
          <w:szCs w:val="28"/>
        </w:rPr>
        <w:t>in embargo, hasta ese momento el 207 no había sido mencionado</w:t>
      </w:r>
      <w:r w:rsidRPr="00491C4A">
        <w:rPr>
          <w:rFonts w:ascii="Times New Roman" w:hAnsi="Times New Roman"/>
          <w:sz w:val="28"/>
          <w:szCs w:val="28"/>
        </w:rPr>
        <w:t>. El presidente, David Ricardo Racero, afirmó que “</w:t>
      </w:r>
      <w:r w:rsidRPr="00491C4A">
        <w:rPr>
          <w:rFonts w:ascii="Times New Roman" w:hAnsi="Times New Roman"/>
          <w:i/>
          <w:iCs/>
          <w:sz w:val="28"/>
          <w:szCs w:val="28"/>
        </w:rPr>
        <w:t>como Presidente de la plenaria que tengo la potestad de adminis</w:t>
      </w:r>
      <w:r w:rsidRPr="00491C4A">
        <w:rPr>
          <w:rFonts w:ascii="Times New Roman" w:hAnsi="Times New Roman"/>
          <w:i/>
          <w:iCs/>
          <w:sz w:val="28"/>
          <w:szCs w:val="28"/>
        </w:rPr>
        <w:t>trar el debate, lo vuelvo a decir, voy a dejar al final las solicitudes de apertura de los artículos, lo evaluaremos al final después de dar trámite a los artículos pendientes por discutir</w:t>
      </w:r>
      <w:r w:rsidRPr="00491C4A">
        <w:rPr>
          <w:rFonts w:ascii="Times New Roman" w:hAnsi="Times New Roman"/>
          <w:sz w:val="28"/>
          <w:szCs w:val="28"/>
        </w:rPr>
        <w:t>.”</w:t>
      </w:r>
      <w:r w:rsidRPr="00491C4A">
        <w:rPr>
          <w:rStyle w:val="Refdenotaalpie"/>
          <w:rFonts w:ascii="Times New Roman" w:hAnsi="Times New Roman"/>
          <w:sz w:val="28"/>
          <w:szCs w:val="28"/>
        </w:rPr>
        <w:footnoteReference w:id="108"/>
      </w:r>
      <w:r w:rsidRPr="00491C4A">
        <w:rPr>
          <w:rFonts w:ascii="Times New Roman" w:hAnsi="Times New Roman"/>
          <w:sz w:val="28"/>
          <w:szCs w:val="28"/>
        </w:rPr>
        <w:t xml:space="preserve"> </w:t>
      </w:r>
    </w:p>
    <w:p w:rsidR="009320FE" w:rsidRPr="00491C4A" w:rsidRDefault="00491C4A" w:rsidP="009320FE">
      <w:pPr>
        <w:pStyle w:val="Prrafodelista"/>
        <w:rPr>
          <w:rFonts w:ascii="Times New Roman" w:hAnsi="Times New Roman"/>
          <w:sz w:val="28"/>
          <w:szCs w:val="28"/>
        </w:rPr>
      </w:pPr>
    </w:p>
    <w:p w:rsidR="0048429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Posteriormente, los representantes se centraron en discutir y </w:t>
      </w:r>
      <w:r w:rsidRPr="00491C4A">
        <w:rPr>
          <w:rFonts w:ascii="Times New Roman" w:hAnsi="Times New Roman"/>
          <w:sz w:val="28"/>
          <w:szCs w:val="28"/>
        </w:rPr>
        <w:t>votar artículos y proposiciones uno a uno</w:t>
      </w:r>
      <w:r w:rsidRPr="00491C4A">
        <w:rPr>
          <w:rStyle w:val="Refdenotaalpie"/>
          <w:rFonts w:ascii="Times New Roman" w:hAnsi="Times New Roman"/>
          <w:sz w:val="28"/>
          <w:szCs w:val="28"/>
        </w:rPr>
        <w:footnoteReference w:id="109"/>
      </w:r>
      <w:r w:rsidRPr="00491C4A">
        <w:rPr>
          <w:rFonts w:ascii="Times New Roman" w:hAnsi="Times New Roman"/>
          <w:sz w:val="28"/>
          <w:szCs w:val="28"/>
        </w:rPr>
        <w:t xml:space="preserve">. </w:t>
      </w:r>
      <w:r w:rsidRPr="00491C4A">
        <w:rPr>
          <w:rFonts w:ascii="Times New Roman" w:hAnsi="Times New Roman"/>
          <w:sz w:val="28"/>
          <w:szCs w:val="28"/>
        </w:rPr>
        <w:t>En un momento en el que estaban hablando sobre el curso del debate, el representante Juan Fernando Espinal dijo lo siguiente: “</w:t>
      </w:r>
      <w:r w:rsidRPr="00491C4A">
        <w:rPr>
          <w:rFonts w:ascii="Times New Roman" w:hAnsi="Times New Roman"/>
          <w:i/>
          <w:iCs/>
          <w:sz w:val="28"/>
          <w:szCs w:val="28"/>
        </w:rPr>
        <w:t>hay otros artículos como el 207 y el 208 donde nuestra bancada tiene interés de anali</w:t>
      </w:r>
      <w:r w:rsidRPr="00491C4A">
        <w:rPr>
          <w:rFonts w:ascii="Times New Roman" w:hAnsi="Times New Roman"/>
          <w:i/>
          <w:iCs/>
          <w:sz w:val="28"/>
          <w:szCs w:val="28"/>
        </w:rPr>
        <w:t>zar las proposiciones que tenemos radicadas.</w:t>
      </w:r>
      <w:r w:rsidRPr="00491C4A">
        <w:rPr>
          <w:rFonts w:ascii="Times New Roman" w:hAnsi="Times New Roman"/>
          <w:sz w:val="28"/>
          <w:szCs w:val="28"/>
        </w:rPr>
        <w:t>”</w:t>
      </w:r>
      <w:r w:rsidRPr="00491C4A">
        <w:rPr>
          <w:rStyle w:val="Refdenotaalpie"/>
          <w:rFonts w:ascii="Times New Roman" w:hAnsi="Times New Roman"/>
          <w:sz w:val="28"/>
          <w:szCs w:val="28"/>
        </w:rPr>
        <w:footnoteReference w:id="110"/>
      </w:r>
      <w:r w:rsidRPr="00491C4A">
        <w:rPr>
          <w:rFonts w:ascii="Times New Roman" w:hAnsi="Times New Roman"/>
          <w:sz w:val="28"/>
          <w:szCs w:val="28"/>
        </w:rPr>
        <w:t xml:space="preserve"> El subsecretario general, Raúl Enrique Ávila</w:t>
      </w:r>
      <w:r w:rsidRPr="00491C4A">
        <w:rPr>
          <w:rFonts w:ascii="Times New Roman" w:hAnsi="Times New Roman"/>
          <w:sz w:val="28"/>
          <w:szCs w:val="28"/>
        </w:rPr>
        <w:t>,</w:t>
      </w:r>
      <w:r w:rsidRPr="00491C4A">
        <w:rPr>
          <w:rFonts w:ascii="Times New Roman" w:hAnsi="Times New Roman"/>
          <w:sz w:val="28"/>
          <w:szCs w:val="28"/>
        </w:rPr>
        <w:t xml:space="preserve"> anunció que leerían y votarían en bloque las proposiciones no avaladas</w:t>
      </w:r>
      <w:r w:rsidRPr="00491C4A">
        <w:rPr>
          <w:rStyle w:val="Refdenotaalpie"/>
          <w:rFonts w:ascii="Times New Roman" w:hAnsi="Times New Roman"/>
          <w:sz w:val="28"/>
          <w:szCs w:val="28"/>
        </w:rPr>
        <w:footnoteReference w:id="111"/>
      </w:r>
      <w:r w:rsidRPr="00491C4A">
        <w:rPr>
          <w:rFonts w:ascii="Times New Roman" w:hAnsi="Times New Roman"/>
          <w:sz w:val="28"/>
          <w:szCs w:val="28"/>
        </w:rPr>
        <w:t xml:space="preserve">. Inicialmente </w:t>
      </w:r>
      <w:r w:rsidRPr="00491C4A">
        <w:rPr>
          <w:rFonts w:ascii="Times New Roman" w:hAnsi="Times New Roman"/>
          <w:sz w:val="28"/>
          <w:szCs w:val="28"/>
        </w:rPr>
        <w:t>la presidencia</w:t>
      </w:r>
      <w:r w:rsidRPr="00491C4A">
        <w:rPr>
          <w:rFonts w:ascii="Times New Roman" w:hAnsi="Times New Roman"/>
          <w:sz w:val="28"/>
          <w:szCs w:val="28"/>
        </w:rPr>
        <w:t xml:space="preserve"> </w:t>
      </w:r>
      <w:r w:rsidRPr="00491C4A">
        <w:rPr>
          <w:rFonts w:ascii="Times New Roman" w:hAnsi="Times New Roman"/>
          <w:sz w:val="28"/>
          <w:szCs w:val="28"/>
        </w:rPr>
        <w:t>tuvo en cuenta el artículo 207</w:t>
      </w:r>
      <w:r w:rsidRPr="00491C4A">
        <w:rPr>
          <w:rFonts w:ascii="Times New Roman" w:hAnsi="Times New Roman"/>
          <w:sz w:val="28"/>
          <w:szCs w:val="28"/>
        </w:rPr>
        <w:t xml:space="preserve">, pero el representante Jorge </w:t>
      </w:r>
      <w:r w:rsidRPr="00491C4A">
        <w:rPr>
          <w:rFonts w:ascii="Times New Roman" w:hAnsi="Times New Roman"/>
          <w:sz w:val="28"/>
          <w:szCs w:val="28"/>
        </w:rPr>
        <w:t>Eliecer Salazar le recordó que este ya había sido aprobado</w:t>
      </w:r>
      <w:r w:rsidRPr="00491C4A">
        <w:rPr>
          <w:rStyle w:val="Refdenotaalpie"/>
          <w:rFonts w:ascii="Times New Roman" w:hAnsi="Times New Roman"/>
          <w:sz w:val="28"/>
          <w:szCs w:val="28"/>
        </w:rPr>
        <w:footnoteReference w:id="112"/>
      </w:r>
      <w:r w:rsidRPr="00491C4A">
        <w:rPr>
          <w:rFonts w:ascii="Times New Roman" w:hAnsi="Times New Roman"/>
          <w:sz w:val="28"/>
          <w:szCs w:val="28"/>
        </w:rPr>
        <w:t>, a lo cual el presidente respondió: “</w:t>
      </w:r>
      <w:r w:rsidRPr="00491C4A">
        <w:rPr>
          <w:rFonts w:ascii="Times New Roman" w:hAnsi="Times New Roman"/>
          <w:i/>
          <w:iCs/>
          <w:sz w:val="28"/>
          <w:szCs w:val="28"/>
        </w:rPr>
        <w:t>entonces quite ese por favor</w:t>
      </w:r>
      <w:r w:rsidRPr="00491C4A">
        <w:rPr>
          <w:rFonts w:ascii="Times New Roman" w:hAnsi="Times New Roman"/>
          <w:i/>
          <w:iCs/>
          <w:sz w:val="28"/>
          <w:szCs w:val="28"/>
        </w:rPr>
        <w:t>.</w:t>
      </w:r>
      <w:r w:rsidRPr="00491C4A">
        <w:rPr>
          <w:rFonts w:ascii="Times New Roman" w:hAnsi="Times New Roman"/>
          <w:sz w:val="28"/>
          <w:szCs w:val="28"/>
        </w:rPr>
        <w:t>”</w:t>
      </w:r>
      <w:r w:rsidRPr="00491C4A">
        <w:rPr>
          <w:rStyle w:val="Refdenotaalpie"/>
          <w:rFonts w:ascii="Times New Roman" w:hAnsi="Times New Roman"/>
          <w:sz w:val="28"/>
          <w:szCs w:val="28"/>
        </w:rPr>
        <w:footnoteReference w:id="113"/>
      </w:r>
      <w:r w:rsidRPr="00491C4A">
        <w:rPr>
          <w:rFonts w:ascii="Times New Roman" w:hAnsi="Times New Roman"/>
          <w:sz w:val="28"/>
          <w:szCs w:val="28"/>
        </w:rPr>
        <w:t xml:space="preserve"> </w:t>
      </w:r>
      <w:r w:rsidRPr="00491C4A">
        <w:rPr>
          <w:rFonts w:ascii="Times New Roman" w:hAnsi="Times New Roman"/>
          <w:sz w:val="28"/>
          <w:szCs w:val="28"/>
        </w:rPr>
        <w:t>En el marco de esa dinámica</w:t>
      </w:r>
      <w:r w:rsidRPr="00491C4A">
        <w:rPr>
          <w:rFonts w:ascii="Times New Roman" w:hAnsi="Times New Roman"/>
          <w:sz w:val="28"/>
          <w:szCs w:val="28"/>
        </w:rPr>
        <w:t>, el representante Juan Fernando</w:t>
      </w:r>
      <w:r w:rsidRPr="00491C4A">
        <w:rPr>
          <w:rFonts w:ascii="Times New Roman" w:hAnsi="Times New Roman"/>
          <w:sz w:val="28"/>
          <w:szCs w:val="28"/>
        </w:rPr>
        <w:t xml:space="preserve"> Espinal intervino</w:t>
      </w:r>
      <w:r w:rsidRPr="00491C4A">
        <w:rPr>
          <w:rFonts w:ascii="Times New Roman" w:hAnsi="Times New Roman"/>
          <w:sz w:val="28"/>
          <w:szCs w:val="28"/>
        </w:rPr>
        <w:t xml:space="preserve"> en los siguientes términos:</w:t>
      </w:r>
    </w:p>
    <w:p w:rsidR="00D27FC3" w:rsidRPr="00491C4A" w:rsidRDefault="00491C4A" w:rsidP="00D27FC3">
      <w:pPr>
        <w:pStyle w:val="Prrafodelista"/>
        <w:rPr>
          <w:rFonts w:ascii="Times New Roman" w:hAnsi="Times New Roman"/>
          <w:sz w:val="28"/>
          <w:szCs w:val="28"/>
        </w:rPr>
      </w:pPr>
    </w:p>
    <w:p w:rsidR="00D27FC3" w:rsidRPr="00491C4A" w:rsidRDefault="00491C4A" w:rsidP="001D64D2">
      <w:pPr>
        <w:pStyle w:val="Prrafodelista"/>
        <w:ind w:left="284"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Presidente. Yo le a</w:t>
      </w:r>
      <w:r w:rsidRPr="00491C4A">
        <w:rPr>
          <w:rFonts w:ascii="Times New Roman" w:hAnsi="Times New Roman"/>
          <w:i/>
          <w:iCs/>
          <w:sz w:val="28"/>
          <w:szCs w:val="28"/>
        </w:rPr>
        <w:t>gradezco al Ministro del Interior que es un hombre sensato, al igual como la Ministra de Medio Ambiente que se lo he dicho en la Comisión Quinta, la transición energética es un edifico en construcción desde el Gobierno del Presidente Uribe, el Presidente S</w:t>
      </w:r>
      <w:r w:rsidRPr="00491C4A">
        <w:rPr>
          <w:rFonts w:ascii="Times New Roman" w:hAnsi="Times New Roman"/>
          <w:i/>
          <w:iCs/>
          <w:sz w:val="28"/>
          <w:szCs w:val="28"/>
        </w:rPr>
        <w:t>antos, el Presidente Duque, y le toca al Gobierno del Presidente Gustavo Petro, lo he dicho, meterl</w:t>
      </w:r>
      <w:r w:rsidRPr="00491C4A">
        <w:rPr>
          <w:rFonts w:ascii="Times New Roman" w:hAnsi="Times New Roman"/>
          <w:i/>
          <w:iCs/>
          <w:sz w:val="28"/>
          <w:szCs w:val="28"/>
        </w:rPr>
        <w:t>e</w:t>
      </w:r>
      <w:r w:rsidRPr="00491C4A">
        <w:rPr>
          <w:rFonts w:ascii="Times New Roman" w:hAnsi="Times New Roman"/>
          <w:i/>
          <w:iCs/>
          <w:sz w:val="28"/>
          <w:szCs w:val="28"/>
        </w:rPr>
        <w:t xml:space="preserve"> la obra blanca, pero como lo quieren sacar adelante la construcción del edificio nosotros no hemos estado de acuerdo Ministro y quiero contarle algo que me</w:t>
      </w:r>
      <w:r w:rsidRPr="00491C4A">
        <w:rPr>
          <w:rFonts w:ascii="Times New Roman" w:hAnsi="Times New Roman"/>
          <w:i/>
          <w:iCs/>
          <w:sz w:val="28"/>
          <w:szCs w:val="28"/>
        </w:rPr>
        <w:t xml:space="preserve"> parece muy delicado y se lo voy a decir a esta Cámara, afortunadamente en el Senado de la República eliminaron el artículo 207, y eliminaron este artículo 208, porqué tiene tantas intenciones el Gobierno del Presidente Gustavo Petro de sacar adelante la t</w:t>
      </w:r>
      <w:r w:rsidRPr="00491C4A">
        <w:rPr>
          <w:rFonts w:ascii="Times New Roman" w:hAnsi="Times New Roman"/>
          <w:i/>
          <w:iCs/>
          <w:sz w:val="28"/>
          <w:szCs w:val="28"/>
        </w:rPr>
        <w:t>ransición energética que pasaron las transferencias para los proyectos de energías renovables no convencionales de manera progresiva del 1% al 6%, poniendo en riesgo las inversiones extranjeras y proyectos de gran importancia que hoy están en Colombia</w:t>
      </w:r>
      <w:r w:rsidRPr="00491C4A">
        <w:rPr>
          <w:rFonts w:ascii="Times New Roman" w:hAnsi="Times New Roman"/>
          <w:sz w:val="28"/>
          <w:szCs w:val="28"/>
        </w:rPr>
        <w:t>.</w:t>
      </w:r>
      <w:r w:rsidRPr="00491C4A">
        <w:rPr>
          <w:rFonts w:ascii="Times New Roman" w:hAnsi="Times New Roman"/>
          <w:sz w:val="28"/>
          <w:szCs w:val="28"/>
        </w:rPr>
        <w:t xml:space="preserve"> // </w:t>
      </w:r>
      <w:r w:rsidRPr="00491C4A">
        <w:rPr>
          <w:rFonts w:ascii="Times New Roman" w:hAnsi="Times New Roman"/>
          <w:i/>
          <w:iCs/>
          <w:sz w:val="28"/>
          <w:szCs w:val="28"/>
        </w:rPr>
        <w:t>Ministro, esa no es la estrategia para sacar adelante la transición energética justa como la bautizó la Ministra de Minas, esa no es la estrategia acabando con los contratos, esa no es la estrategia, créanme, Ministro y Presidente, que este país está compr</w:t>
      </w:r>
      <w:r w:rsidRPr="00491C4A">
        <w:rPr>
          <w:rFonts w:ascii="Times New Roman" w:hAnsi="Times New Roman"/>
          <w:i/>
          <w:iCs/>
          <w:sz w:val="28"/>
          <w:szCs w:val="28"/>
        </w:rPr>
        <w:t>ometido con la transición energética, pero de la mano de la seguridad energética de los cincuenta millones de colombianos y le decimos no, Ministro, a que conviertan a Colombia en un país dependiente energéticamente y mucho menos de la dictadura de Venezue</w:t>
      </w:r>
      <w:r w:rsidRPr="00491C4A">
        <w:rPr>
          <w:rFonts w:ascii="Times New Roman" w:hAnsi="Times New Roman"/>
          <w:i/>
          <w:iCs/>
          <w:sz w:val="28"/>
          <w:szCs w:val="28"/>
        </w:rPr>
        <w:t>la, gracias, Presidente, y le solicito que voten, por favor, eliminemos este artículo</w:t>
      </w:r>
      <w:r w:rsidRPr="00491C4A">
        <w:rPr>
          <w:rFonts w:ascii="Times New Roman" w:hAnsi="Times New Roman"/>
          <w:sz w:val="28"/>
          <w:szCs w:val="28"/>
        </w:rPr>
        <w:t>.”</w:t>
      </w:r>
      <w:r w:rsidRPr="00491C4A">
        <w:rPr>
          <w:rStyle w:val="Refdenotaalpie"/>
          <w:rFonts w:ascii="Times New Roman" w:hAnsi="Times New Roman"/>
          <w:sz w:val="28"/>
          <w:szCs w:val="28"/>
        </w:rPr>
        <w:footnoteReference w:id="114"/>
      </w:r>
    </w:p>
    <w:p w:rsidR="00435A6E" w:rsidRPr="00491C4A" w:rsidRDefault="00491C4A" w:rsidP="00435A6E">
      <w:pPr>
        <w:pStyle w:val="Prrafodelista"/>
        <w:rPr>
          <w:rFonts w:ascii="Times New Roman" w:hAnsi="Times New Roman"/>
          <w:sz w:val="28"/>
          <w:szCs w:val="28"/>
        </w:rPr>
      </w:pPr>
    </w:p>
    <w:p w:rsidR="001D64D2"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Al día siguiente</w:t>
      </w:r>
      <w:r w:rsidRPr="00491C4A">
        <w:rPr>
          <w:rFonts w:ascii="Times New Roman" w:hAnsi="Times New Roman"/>
          <w:sz w:val="28"/>
          <w:szCs w:val="28"/>
        </w:rPr>
        <w:t xml:space="preserve">, </w:t>
      </w:r>
      <w:r w:rsidRPr="00491C4A">
        <w:rPr>
          <w:rFonts w:ascii="Times New Roman" w:hAnsi="Times New Roman"/>
          <w:sz w:val="28"/>
          <w:szCs w:val="28"/>
        </w:rPr>
        <w:t>4 de mayo de 2023, según consta en el Acta de Plenaria 055 de la Sesión Ordinaria de ese día, publicada en la Gaceta del Congreso 1143 del 25 de ago</w:t>
      </w:r>
      <w:r w:rsidRPr="00491C4A">
        <w:rPr>
          <w:rFonts w:ascii="Times New Roman" w:hAnsi="Times New Roman"/>
          <w:sz w:val="28"/>
          <w:szCs w:val="28"/>
        </w:rPr>
        <w:t xml:space="preserve">sto de 2023, </w:t>
      </w:r>
      <w:r w:rsidRPr="00491C4A">
        <w:rPr>
          <w:rFonts w:ascii="Times New Roman" w:hAnsi="Times New Roman"/>
          <w:sz w:val="28"/>
          <w:szCs w:val="28"/>
        </w:rPr>
        <w:t>hacia el final de la jornada, el presidente</w:t>
      </w:r>
      <w:r w:rsidRPr="00491C4A">
        <w:rPr>
          <w:rFonts w:ascii="Times New Roman" w:hAnsi="Times New Roman"/>
          <w:sz w:val="28"/>
          <w:szCs w:val="28"/>
        </w:rPr>
        <w:t xml:space="preserve"> pidió al secretario que certificara cuántas proposiciones de reapertura del debate habían sido radicadas hasta ese momento, a lo que él respondió:</w:t>
      </w:r>
    </w:p>
    <w:p w:rsidR="003D2CBA" w:rsidRPr="00491C4A" w:rsidRDefault="00491C4A" w:rsidP="003D2CBA">
      <w:pPr>
        <w:pStyle w:val="Prrafodelista"/>
        <w:ind w:left="0"/>
        <w:jc w:val="both"/>
        <w:rPr>
          <w:rFonts w:ascii="Times New Roman" w:hAnsi="Times New Roman"/>
          <w:sz w:val="28"/>
          <w:szCs w:val="28"/>
        </w:rPr>
      </w:pPr>
    </w:p>
    <w:p w:rsidR="003D2CBA" w:rsidRPr="00491C4A" w:rsidRDefault="00491C4A" w:rsidP="003D2CBA">
      <w:pPr>
        <w:pStyle w:val="Prrafodelista"/>
        <w:ind w:left="284"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 xml:space="preserve">Señor Presidente, hay solicitud de reaperturas de </w:t>
      </w:r>
      <w:r w:rsidRPr="00491C4A">
        <w:rPr>
          <w:rFonts w:ascii="Times New Roman" w:hAnsi="Times New Roman"/>
          <w:i/>
          <w:iCs/>
          <w:sz w:val="28"/>
          <w:szCs w:val="28"/>
        </w:rPr>
        <w:t xml:space="preserve">19, 19 proposiciones, pero hay proposiciones que piden reapertura de muchos artículos, hay una que pide de 10 artículos, hay otra que está pidiendo de 15 artículos, hay otra que está pidiendo reapertura de alrededor de 40 artículos, 80, 80 artículos señor </w:t>
      </w:r>
      <w:r w:rsidRPr="00491C4A">
        <w:rPr>
          <w:rFonts w:ascii="Times New Roman" w:hAnsi="Times New Roman"/>
          <w:i/>
          <w:iCs/>
          <w:sz w:val="28"/>
          <w:szCs w:val="28"/>
        </w:rPr>
        <w:t>Presidente, y otras que piden de a un, 1 artículo, otras que piden reapertura de 10 artículos</w:t>
      </w:r>
      <w:r w:rsidRPr="00491C4A">
        <w:rPr>
          <w:rFonts w:ascii="Times New Roman" w:hAnsi="Times New Roman"/>
          <w:sz w:val="28"/>
          <w:szCs w:val="28"/>
        </w:rPr>
        <w:t>.”</w:t>
      </w:r>
      <w:r w:rsidRPr="00491C4A">
        <w:rPr>
          <w:rStyle w:val="Refdenotaalpie"/>
          <w:rFonts w:ascii="Times New Roman" w:hAnsi="Times New Roman"/>
          <w:sz w:val="28"/>
          <w:szCs w:val="28"/>
        </w:rPr>
        <w:footnoteReference w:id="115"/>
      </w:r>
    </w:p>
    <w:p w:rsidR="003D2CBA" w:rsidRPr="00491C4A" w:rsidRDefault="00491C4A" w:rsidP="003D2CBA">
      <w:pPr>
        <w:pStyle w:val="Prrafodelista"/>
        <w:ind w:left="0"/>
        <w:jc w:val="both"/>
        <w:rPr>
          <w:rFonts w:ascii="Times New Roman" w:hAnsi="Times New Roman"/>
          <w:sz w:val="28"/>
          <w:szCs w:val="28"/>
        </w:rPr>
      </w:pPr>
    </w:p>
    <w:p w:rsidR="003D2CB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w:t>
      </w:r>
      <w:r w:rsidRPr="00491C4A">
        <w:rPr>
          <w:rFonts w:ascii="Times New Roman" w:hAnsi="Times New Roman"/>
          <w:sz w:val="28"/>
          <w:szCs w:val="28"/>
        </w:rPr>
        <w:t>ntes de finalizar la sesión</w:t>
      </w:r>
      <w:r w:rsidRPr="00491C4A">
        <w:rPr>
          <w:rFonts w:ascii="Times New Roman" w:hAnsi="Times New Roman"/>
          <w:sz w:val="28"/>
          <w:szCs w:val="28"/>
        </w:rPr>
        <w:t>, los representantes discutieron sobre la posibilidad de dar curso a dichas reaperturas y la forma de hacerlo</w:t>
      </w:r>
      <w:r w:rsidRPr="00491C4A">
        <w:rPr>
          <w:rStyle w:val="Refdenotaalpie"/>
          <w:rFonts w:ascii="Times New Roman" w:hAnsi="Times New Roman"/>
          <w:sz w:val="28"/>
          <w:szCs w:val="28"/>
        </w:rPr>
        <w:footnoteReference w:id="116"/>
      </w:r>
      <w:r w:rsidRPr="00491C4A">
        <w:rPr>
          <w:rFonts w:ascii="Times New Roman" w:hAnsi="Times New Roman"/>
          <w:sz w:val="28"/>
          <w:szCs w:val="28"/>
        </w:rPr>
        <w:t>, respecto de lo cua</w:t>
      </w:r>
      <w:r w:rsidRPr="00491C4A">
        <w:rPr>
          <w:rFonts w:ascii="Times New Roman" w:hAnsi="Times New Roman"/>
          <w:sz w:val="28"/>
          <w:szCs w:val="28"/>
        </w:rPr>
        <w:t>l el presidente expresó:</w:t>
      </w:r>
    </w:p>
    <w:p w:rsidR="00CD0DAA" w:rsidRPr="00491C4A" w:rsidRDefault="00491C4A" w:rsidP="00CD0DAA">
      <w:pPr>
        <w:pStyle w:val="Prrafodelista"/>
        <w:ind w:left="0"/>
        <w:jc w:val="both"/>
        <w:rPr>
          <w:rFonts w:ascii="Times New Roman" w:hAnsi="Times New Roman"/>
          <w:sz w:val="28"/>
          <w:szCs w:val="28"/>
        </w:rPr>
      </w:pPr>
    </w:p>
    <w:p w:rsidR="00CD0DAA" w:rsidRPr="00491C4A" w:rsidRDefault="00491C4A" w:rsidP="00CD0DAA">
      <w:pPr>
        <w:pStyle w:val="Prrafodelista"/>
        <w:ind w:left="284" w:right="284"/>
        <w:jc w:val="both"/>
        <w:rPr>
          <w:rFonts w:ascii="Times New Roman" w:hAnsi="Times New Roman"/>
          <w:sz w:val="28"/>
          <w:szCs w:val="28"/>
        </w:rPr>
      </w:pPr>
      <w:r w:rsidRPr="00491C4A">
        <w:rPr>
          <w:rFonts w:ascii="Times New Roman" w:hAnsi="Times New Roman"/>
          <w:sz w:val="28"/>
          <w:szCs w:val="28"/>
        </w:rPr>
        <w:t>“</w:t>
      </w:r>
      <w:r w:rsidRPr="00491C4A">
        <w:rPr>
          <w:rFonts w:ascii="Times New Roman" w:hAnsi="Times New Roman"/>
          <w:i/>
          <w:iCs/>
          <w:sz w:val="28"/>
          <w:szCs w:val="28"/>
        </w:rPr>
        <w:t>El criterio mío ha sido lo más equitativo, con el mismo rasero para todos, con eso tomo las decisiones, qué pena con ustedes, no puedo abrir unos artículos y no abrir otros, y tampoco voy a permitir que, en el marco de eso, despu</w:t>
      </w:r>
      <w:r w:rsidRPr="00491C4A">
        <w:rPr>
          <w:rFonts w:ascii="Times New Roman" w:hAnsi="Times New Roman"/>
          <w:i/>
          <w:iCs/>
          <w:sz w:val="28"/>
          <w:szCs w:val="28"/>
        </w:rPr>
        <w:t>és terminen radicando una proposición para, para terminar, aceptando el artículo del proyecto de Senado, así que, con toda la claridad no voy a abrir artículos en este momento si hay 120</w:t>
      </w:r>
      <w:r w:rsidRPr="00491C4A">
        <w:rPr>
          <w:rFonts w:ascii="Times New Roman" w:hAnsi="Times New Roman"/>
          <w:sz w:val="28"/>
          <w:szCs w:val="28"/>
        </w:rPr>
        <w:t>.”</w:t>
      </w:r>
      <w:r w:rsidRPr="00491C4A">
        <w:rPr>
          <w:rStyle w:val="Refdenotaalpie"/>
          <w:rFonts w:ascii="Times New Roman" w:hAnsi="Times New Roman"/>
          <w:sz w:val="28"/>
          <w:szCs w:val="28"/>
        </w:rPr>
        <w:footnoteReference w:id="117"/>
      </w:r>
    </w:p>
    <w:p w:rsidR="00CD0DAA" w:rsidRPr="00491C4A" w:rsidRDefault="00491C4A" w:rsidP="00CD0DAA">
      <w:pPr>
        <w:pStyle w:val="Prrafodelista"/>
        <w:ind w:left="0"/>
        <w:jc w:val="both"/>
        <w:rPr>
          <w:rFonts w:ascii="Times New Roman" w:hAnsi="Times New Roman"/>
          <w:sz w:val="28"/>
          <w:szCs w:val="28"/>
        </w:rPr>
      </w:pPr>
    </w:p>
    <w:p w:rsidR="0028409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las cosas</w:t>
      </w:r>
      <w:r w:rsidRPr="00491C4A">
        <w:rPr>
          <w:rFonts w:ascii="Times New Roman" w:hAnsi="Times New Roman"/>
          <w:sz w:val="28"/>
          <w:szCs w:val="28"/>
        </w:rPr>
        <w:t xml:space="preserve">, </w:t>
      </w:r>
      <w:r w:rsidRPr="00491C4A">
        <w:rPr>
          <w:rFonts w:ascii="Times New Roman" w:hAnsi="Times New Roman"/>
          <w:sz w:val="28"/>
          <w:szCs w:val="28"/>
        </w:rPr>
        <w:t xml:space="preserve">las pruebas practicadas en el expediente permiten concluir que </w:t>
      </w:r>
      <w:r w:rsidRPr="00491C4A">
        <w:rPr>
          <w:rFonts w:ascii="Times New Roman" w:hAnsi="Times New Roman"/>
          <w:sz w:val="28"/>
          <w:szCs w:val="28"/>
        </w:rPr>
        <w:t xml:space="preserve">lo que ocurrió </w:t>
      </w:r>
      <w:r w:rsidRPr="00491C4A">
        <w:rPr>
          <w:rFonts w:ascii="Times New Roman" w:hAnsi="Times New Roman"/>
          <w:sz w:val="28"/>
          <w:szCs w:val="28"/>
        </w:rPr>
        <w:t xml:space="preserve">en las sesiones plenarias de la Cámara de Representantes, llevadas a cabo entre los días </w:t>
      </w:r>
      <w:r w:rsidRPr="00491C4A">
        <w:rPr>
          <w:rFonts w:ascii="Times New Roman" w:hAnsi="Times New Roman"/>
          <w:sz w:val="28"/>
          <w:szCs w:val="28"/>
        </w:rPr>
        <w:t xml:space="preserve">2 y 4 de mayo de 2023, respecto del trámite del artículo 207 del Proyecto de Ley </w:t>
      </w:r>
      <w:r w:rsidRPr="00491C4A">
        <w:rPr>
          <w:rFonts w:ascii="Times New Roman" w:hAnsi="Times New Roman"/>
          <w:sz w:val="28"/>
          <w:szCs w:val="28"/>
        </w:rPr>
        <w:t>número 3</w:t>
      </w:r>
      <w:r w:rsidRPr="00491C4A">
        <w:rPr>
          <w:rFonts w:ascii="Times New Roman" w:hAnsi="Times New Roman"/>
          <w:sz w:val="28"/>
          <w:szCs w:val="28"/>
        </w:rPr>
        <w:t>38 de 2023 (Cámara) y 274 de 2023 (Senado)</w:t>
      </w:r>
      <w:r w:rsidRPr="00491C4A">
        <w:rPr>
          <w:rFonts w:ascii="Times New Roman" w:hAnsi="Times New Roman"/>
          <w:sz w:val="28"/>
          <w:szCs w:val="28"/>
        </w:rPr>
        <w:t xml:space="preserve">, que a la postre se convirtió </w:t>
      </w:r>
      <w:r w:rsidRPr="00491C4A">
        <w:rPr>
          <w:rFonts w:ascii="Times New Roman" w:hAnsi="Times New Roman"/>
          <w:sz w:val="28"/>
          <w:szCs w:val="28"/>
        </w:rPr>
        <w:t>en el artículo 233 de la Ley 2294 de 2023</w:t>
      </w:r>
      <w:r w:rsidRPr="00491C4A">
        <w:rPr>
          <w:rFonts w:ascii="Times New Roman" w:hAnsi="Times New Roman"/>
          <w:sz w:val="28"/>
          <w:szCs w:val="28"/>
        </w:rPr>
        <w:t xml:space="preserve"> fue lo siguiente:</w:t>
      </w:r>
      <w:r w:rsidRPr="00491C4A">
        <w:rPr>
          <w:rFonts w:ascii="Times New Roman" w:hAnsi="Times New Roman"/>
          <w:sz w:val="28"/>
          <w:szCs w:val="28"/>
        </w:rPr>
        <w:t xml:space="preserve"> </w:t>
      </w:r>
      <w:r w:rsidRPr="00491C4A">
        <w:rPr>
          <w:rFonts w:ascii="Times New Roman" w:hAnsi="Times New Roman"/>
          <w:sz w:val="28"/>
          <w:szCs w:val="28"/>
        </w:rPr>
        <w:t>el texto del artículo estaba incorporado en la ponencia presentada a debate de la plenaria en los términos en los que había</w:t>
      </w:r>
      <w:r w:rsidRPr="00491C4A">
        <w:rPr>
          <w:rFonts w:ascii="Times New Roman" w:hAnsi="Times New Roman"/>
          <w:sz w:val="28"/>
          <w:szCs w:val="28"/>
        </w:rPr>
        <w:t xml:space="preserve"> sido aprobado por las comisiones económicas conjuntas. I</w:t>
      </w:r>
      <w:r w:rsidRPr="00491C4A">
        <w:rPr>
          <w:rFonts w:ascii="Times New Roman" w:hAnsi="Times New Roman"/>
          <w:sz w:val="28"/>
          <w:szCs w:val="28"/>
        </w:rPr>
        <w:t xml:space="preserve">nicialmente </w:t>
      </w:r>
      <w:r w:rsidRPr="00491C4A">
        <w:rPr>
          <w:rFonts w:ascii="Times New Roman" w:hAnsi="Times New Roman"/>
          <w:sz w:val="28"/>
          <w:szCs w:val="28"/>
        </w:rPr>
        <w:t xml:space="preserve">dos representantes habían radicado proposición </w:t>
      </w:r>
      <w:r w:rsidRPr="00491C4A">
        <w:rPr>
          <w:rFonts w:ascii="Times New Roman" w:hAnsi="Times New Roman"/>
          <w:sz w:val="28"/>
          <w:szCs w:val="28"/>
        </w:rPr>
        <w:t>de eliminación</w:t>
      </w:r>
      <w:r w:rsidRPr="00491C4A">
        <w:rPr>
          <w:rFonts w:ascii="Times New Roman" w:hAnsi="Times New Roman"/>
          <w:sz w:val="28"/>
          <w:szCs w:val="28"/>
        </w:rPr>
        <w:t>. Esta proposición no tenía aval. L</w:t>
      </w:r>
      <w:r w:rsidRPr="00491C4A">
        <w:rPr>
          <w:rFonts w:ascii="Times New Roman" w:hAnsi="Times New Roman"/>
          <w:sz w:val="28"/>
          <w:szCs w:val="28"/>
        </w:rPr>
        <w:t>uego, dicha proposición fue dejada como constancia</w:t>
      </w:r>
      <w:r w:rsidRPr="00491C4A">
        <w:rPr>
          <w:rFonts w:ascii="Times New Roman" w:hAnsi="Times New Roman"/>
          <w:sz w:val="28"/>
          <w:szCs w:val="28"/>
        </w:rPr>
        <w:t xml:space="preserve"> por sus autores. P</w:t>
      </w:r>
      <w:r w:rsidRPr="00491C4A">
        <w:rPr>
          <w:rFonts w:ascii="Times New Roman" w:hAnsi="Times New Roman"/>
          <w:sz w:val="28"/>
          <w:szCs w:val="28"/>
        </w:rPr>
        <w:t xml:space="preserve">or ese motivo, </w:t>
      </w:r>
      <w:r w:rsidRPr="00491C4A">
        <w:rPr>
          <w:rFonts w:ascii="Times New Roman" w:hAnsi="Times New Roman"/>
          <w:sz w:val="28"/>
          <w:szCs w:val="28"/>
        </w:rPr>
        <w:t>el artí</w:t>
      </w:r>
      <w:r w:rsidRPr="00491C4A">
        <w:rPr>
          <w:rFonts w:ascii="Times New Roman" w:hAnsi="Times New Roman"/>
          <w:sz w:val="28"/>
          <w:szCs w:val="28"/>
        </w:rPr>
        <w:t>culo fue</w:t>
      </w:r>
      <w:r w:rsidRPr="00491C4A">
        <w:rPr>
          <w:rFonts w:ascii="Times New Roman" w:hAnsi="Times New Roman"/>
          <w:sz w:val="28"/>
          <w:szCs w:val="28"/>
        </w:rPr>
        <w:t xml:space="preserve"> incorporado en un </w:t>
      </w:r>
      <w:r w:rsidRPr="00491C4A">
        <w:rPr>
          <w:rFonts w:ascii="Times New Roman" w:hAnsi="Times New Roman"/>
          <w:sz w:val="28"/>
          <w:szCs w:val="28"/>
        </w:rPr>
        <w:t>grupo de artículos</w:t>
      </w:r>
      <w:r w:rsidRPr="00491C4A">
        <w:rPr>
          <w:rFonts w:ascii="Times New Roman" w:hAnsi="Times New Roman"/>
          <w:sz w:val="28"/>
          <w:szCs w:val="28"/>
        </w:rPr>
        <w:t xml:space="preserve"> </w:t>
      </w:r>
      <w:r w:rsidRPr="00491C4A">
        <w:rPr>
          <w:rFonts w:ascii="Times New Roman" w:hAnsi="Times New Roman"/>
          <w:sz w:val="28"/>
          <w:szCs w:val="28"/>
        </w:rPr>
        <w:t xml:space="preserve">que serían votados tal como venían en el texto propuesto por los ponentes para debate. Dicho de otro modo, el artículo fue tratado como un artículo sin proposiciones que sería sometido a debate en bloque junto </w:t>
      </w:r>
      <w:r w:rsidRPr="00491C4A">
        <w:rPr>
          <w:rFonts w:ascii="Times New Roman" w:hAnsi="Times New Roman"/>
          <w:sz w:val="28"/>
          <w:szCs w:val="28"/>
        </w:rPr>
        <w:t xml:space="preserve">con otros en las mismas circunstancias. </w:t>
      </w:r>
      <w:r w:rsidRPr="00491C4A">
        <w:rPr>
          <w:rFonts w:ascii="Times New Roman" w:hAnsi="Times New Roman"/>
          <w:sz w:val="28"/>
          <w:szCs w:val="28"/>
        </w:rPr>
        <w:t>Este grupo de artículos fue votado en</w:t>
      </w:r>
      <w:r w:rsidRPr="00491C4A">
        <w:rPr>
          <w:rFonts w:ascii="Times New Roman" w:hAnsi="Times New Roman"/>
          <w:sz w:val="28"/>
          <w:szCs w:val="28"/>
        </w:rPr>
        <w:t xml:space="preserve"> bloque </w:t>
      </w:r>
      <w:r w:rsidRPr="00491C4A">
        <w:rPr>
          <w:rFonts w:ascii="Times New Roman" w:hAnsi="Times New Roman"/>
          <w:sz w:val="28"/>
          <w:szCs w:val="28"/>
        </w:rPr>
        <w:t xml:space="preserve">y </w:t>
      </w:r>
      <w:r w:rsidRPr="00491C4A">
        <w:rPr>
          <w:rFonts w:ascii="Times New Roman" w:hAnsi="Times New Roman"/>
          <w:sz w:val="28"/>
          <w:szCs w:val="28"/>
        </w:rPr>
        <w:t>aprobado por la mayoría</w:t>
      </w:r>
      <w:r w:rsidRPr="00491C4A">
        <w:rPr>
          <w:rFonts w:ascii="Times New Roman" w:hAnsi="Times New Roman"/>
          <w:sz w:val="28"/>
          <w:szCs w:val="28"/>
        </w:rPr>
        <w:t xml:space="preserve"> de la plenaria</w:t>
      </w:r>
      <w:r w:rsidRPr="00491C4A">
        <w:rPr>
          <w:rFonts w:ascii="Times New Roman" w:hAnsi="Times New Roman"/>
          <w:sz w:val="28"/>
          <w:szCs w:val="28"/>
        </w:rPr>
        <w:t xml:space="preserve">. </w:t>
      </w:r>
    </w:p>
    <w:p w:rsidR="0027022F" w:rsidRPr="00491C4A" w:rsidRDefault="00491C4A" w:rsidP="0027022F">
      <w:pPr>
        <w:pStyle w:val="Prrafodelista"/>
        <w:ind w:left="0"/>
        <w:jc w:val="both"/>
        <w:rPr>
          <w:rFonts w:ascii="Times New Roman" w:hAnsi="Times New Roman"/>
          <w:sz w:val="28"/>
          <w:szCs w:val="28"/>
        </w:rPr>
      </w:pPr>
    </w:p>
    <w:p w:rsidR="00091120" w:rsidRPr="00491C4A" w:rsidRDefault="00491C4A" w:rsidP="00091120">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Dos días después, </w:t>
      </w:r>
      <w:r w:rsidRPr="00491C4A">
        <w:rPr>
          <w:rFonts w:ascii="Times New Roman" w:hAnsi="Times New Roman"/>
          <w:sz w:val="28"/>
          <w:szCs w:val="28"/>
        </w:rPr>
        <w:t xml:space="preserve">uno de los representantes que había </w:t>
      </w:r>
      <w:r w:rsidRPr="00491C4A">
        <w:rPr>
          <w:rFonts w:ascii="Times New Roman" w:hAnsi="Times New Roman"/>
          <w:sz w:val="28"/>
          <w:szCs w:val="28"/>
        </w:rPr>
        <w:t xml:space="preserve">dejado como constancia la </w:t>
      </w:r>
      <w:r w:rsidRPr="00491C4A">
        <w:rPr>
          <w:rFonts w:ascii="Times New Roman" w:hAnsi="Times New Roman"/>
          <w:sz w:val="28"/>
          <w:szCs w:val="28"/>
        </w:rPr>
        <w:t xml:space="preserve">proposición de eliminación anunció la </w:t>
      </w:r>
      <w:r w:rsidRPr="00491C4A">
        <w:rPr>
          <w:rFonts w:ascii="Times New Roman" w:hAnsi="Times New Roman"/>
          <w:sz w:val="28"/>
          <w:szCs w:val="28"/>
        </w:rPr>
        <w:t>radicación de una proposición de reapertura respecto del artículo 207, que había sido suscrita por un grupo de representantes de su bancada política</w:t>
      </w:r>
      <w:r w:rsidRPr="00491C4A">
        <w:rPr>
          <w:rFonts w:ascii="Times New Roman" w:hAnsi="Times New Roman"/>
          <w:sz w:val="28"/>
          <w:szCs w:val="28"/>
        </w:rPr>
        <w:t>; al respecto, el presidente de la corporación</w:t>
      </w:r>
      <w:r w:rsidRPr="00491C4A">
        <w:rPr>
          <w:rFonts w:ascii="Times New Roman" w:hAnsi="Times New Roman"/>
          <w:sz w:val="28"/>
          <w:szCs w:val="28"/>
        </w:rPr>
        <w:t xml:space="preserve"> decidió, luego de que se discutiera sobre la</w:t>
      </w:r>
      <w:r w:rsidRPr="00491C4A">
        <w:rPr>
          <w:rFonts w:ascii="Times New Roman" w:hAnsi="Times New Roman"/>
          <w:sz w:val="28"/>
          <w:szCs w:val="28"/>
        </w:rPr>
        <w:t xml:space="preserve"> forma en</w:t>
      </w:r>
      <w:r w:rsidRPr="00491C4A">
        <w:rPr>
          <w:rFonts w:ascii="Times New Roman" w:hAnsi="Times New Roman"/>
          <w:sz w:val="28"/>
          <w:szCs w:val="28"/>
        </w:rPr>
        <w:t xml:space="preserve"> que vot</w:t>
      </w:r>
      <w:r w:rsidRPr="00491C4A">
        <w:rPr>
          <w:rFonts w:ascii="Times New Roman" w:hAnsi="Times New Roman"/>
          <w:sz w:val="28"/>
          <w:szCs w:val="28"/>
        </w:rPr>
        <w:t xml:space="preserve">arían, que </w:t>
      </w:r>
      <w:r w:rsidRPr="00491C4A">
        <w:rPr>
          <w:rFonts w:ascii="Times New Roman" w:hAnsi="Times New Roman"/>
          <w:sz w:val="28"/>
          <w:szCs w:val="28"/>
        </w:rPr>
        <w:t>dejarían</w:t>
      </w:r>
      <w:r w:rsidRPr="00491C4A">
        <w:rPr>
          <w:rFonts w:ascii="Times New Roman" w:hAnsi="Times New Roman"/>
          <w:sz w:val="28"/>
          <w:szCs w:val="28"/>
        </w:rPr>
        <w:t xml:space="preserve"> el asunto de las reaperturas</w:t>
      </w:r>
      <w:r w:rsidRPr="00491C4A">
        <w:rPr>
          <w:rFonts w:ascii="Times New Roman" w:hAnsi="Times New Roman"/>
          <w:sz w:val="28"/>
          <w:szCs w:val="28"/>
        </w:rPr>
        <w:t xml:space="preserve"> al final, cuando hubiesen abarcado la totalidad del articulado. </w:t>
      </w:r>
      <w:r w:rsidRPr="00491C4A">
        <w:rPr>
          <w:rFonts w:ascii="Times New Roman" w:hAnsi="Times New Roman"/>
          <w:sz w:val="28"/>
          <w:szCs w:val="28"/>
        </w:rPr>
        <w:t>Llegado ese momento</w:t>
      </w:r>
      <w:r w:rsidRPr="00491C4A">
        <w:rPr>
          <w:rFonts w:ascii="Times New Roman" w:hAnsi="Times New Roman"/>
          <w:sz w:val="28"/>
          <w:szCs w:val="28"/>
        </w:rPr>
        <w:t xml:space="preserve">, la mesa directiva se decantó por no acceder a ninguna de las reaperturas, dado que </w:t>
      </w:r>
      <w:r w:rsidRPr="00491C4A">
        <w:rPr>
          <w:rFonts w:ascii="Times New Roman" w:hAnsi="Times New Roman"/>
          <w:sz w:val="28"/>
          <w:szCs w:val="28"/>
        </w:rPr>
        <w:t>había diecinueve proposiciones en ese s</w:t>
      </w:r>
      <w:r w:rsidRPr="00491C4A">
        <w:rPr>
          <w:rFonts w:ascii="Times New Roman" w:hAnsi="Times New Roman"/>
          <w:sz w:val="28"/>
          <w:szCs w:val="28"/>
        </w:rPr>
        <w:t>entido</w:t>
      </w:r>
      <w:r w:rsidRPr="00491C4A">
        <w:rPr>
          <w:rFonts w:ascii="Times New Roman" w:hAnsi="Times New Roman"/>
          <w:sz w:val="28"/>
          <w:szCs w:val="28"/>
        </w:rPr>
        <w:t xml:space="preserve"> que abarca</w:t>
      </w:r>
      <w:r w:rsidRPr="00491C4A">
        <w:rPr>
          <w:rFonts w:ascii="Times New Roman" w:hAnsi="Times New Roman"/>
          <w:sz w:val="28"/>
          <w:szCs w:val="28"/>
        </w:rPr>
        <w:t xml:space="preserve">ban un gran número de artículos, lo que extendería </w:t>
      </w:r>
      <w:r w:rsidRPr="00491C4A">
        <w:rPr>
          <w:rFonts w:ascii="Times New Roman" w:hAnsi="Times New Roman"/>
          <w:sz w:val="28"/>
          <w:szCs w:val="28"/>
        </w:rPr>
        <w:t>en exceso</w:t>
      </w:r>
      <w:r w:rsidRPr="00491C4A">
        <w:rPr>
          <w:rFonts w:ascii="Times New Roman" w:hAnsi="Times New Roman"/>
          <w:sz w:val="28"/>
          <w:szCs w:val="28"/>
        </w:rPr>
        <w:t xml:space="preserve"> la discusión, y con ello se dejaba abierta la puerta para que </w:t>
      </w:r>
      <w:r w:rsidRPr="00491C4A">
        <w:rPr>
          <w:rFonts w:ascii="Times New Roman" w:hAnsi="Times New Roman"/>
          <w:sz w:val="28"/>
          <w:szCs w:val="28"/>
        </w:rPr>
        <w:t xml:space="preserve">la Cámara terminara por acoger el texto </w:t>
      </w:r>
      <w:r w:rsidRPr="00491C4A">
        <w:rPr>
          <w:rFonts w:ascii="Times New Roman" w:hAnsi="Times New Roman"/>
          <w:sz w:val="28"/>
          <w:szCs w:val="28"/>
        </w:rPr>
        <w:t xml:space="preserve">aprobado por el Senado. </w:t>
      </w:r>
    </w:p>
    <w:p w:rsidR="00091120" w:rsidRPr="00491C4A" w:rsidRDefault="00491C4A" w:rsidP="00091120">
      <w:pPr>
        <w:pStyle w:val="Prrafodelista"/>
        <w:rPr>
          <w:rFonts w:ascii="Times New Roman" w:hAnsi="Times New Roman"/>
          <w:sz w:val="28"/>
          <w:szCs w:val="28"/>
        </w:rPr>
      </w:pPr>
    </w:p>
    <w:p w:rsidR="00C14FB1" w:rsidRPr="00491C4A" w:rsidRDefault="00491C4A" w:rsidP="007237E9">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Al analizar la situación descrita a la luz </w:t>
      </w:r>
      <w:r w:rsidRPr="00491C4A">
        <w:rPr>
          <w:rFonts w:ascii="Times New Roman" w:hAnsi="Times New Roman"/>
          <w:sz w:val="28"/>
          <w:szCs w:val="28"/>
        </w:rPr>
        <w:t>del principio de consecutividad, se concluye que no se configuró un vicio de procedimiento en la formación del artículo 233 de la Ley 2294 de 2023</w:t>
      </w:r>
      <w:r w:rsidRPr="00491C4A">
        <w:rPr>
          <w:rFonts w:ascii="Times New Roman" w:hAnsi="Times New Roman"/>
          <w:sz w:val="28"/>
          <w:szCs w:val="28"/>
        </w:rPr>
        <w:t xml:space="preserve"> por violación el artículo 157 de la Constitución Política, dado que </w:t>
      </w:r>
      <w:r w:rsidRPr="00491C4A">
        <w:rPr>
          <w:rFonts w:ascii="Times New Roman" w:hAnsi="Times New Roman"/>
          <w:i/>
          <w:iCs/>
          <w:sz w:val="28"/>
          <w:szCs w:val="28"/>
        </w:rPr>
        <w:t xml:space="preserve">(i) </w:t>
      </w:r>
      <w:r w:rsidRPr="00491C4A">
        <w:rPr>
          <w:rFonts w:ascii="Times New Roman" w:hAnsi="Times New Roman"/>
          <w:sz w:val="28"/>
          <w:szCs w:val="28"/>
        </w:rPr>
        <w:t>l</w:t>
      </w:r>
      <w:r w:rsidRPr="00491C4A">
        <w:rPr>
          <w:rFonts w:ascii="Times New Roman" w:hAnsi="Times New Roman"/>
          <w:sz w:val="28"/>
          <w:szCs w:val="28"/>
        </w:rPr>
        <w:t xml:space="preserve">a norma fue </w:t>
      </w:r>
      <w:r w:rsidRPr="00491C4A">
        <w:rPr>
          <w:rFonts w:ascii="Times New Roman" w:hAnsi="Times New Roman"/>
          <w:sz w:val="28"/>
          <w:szCs w:val="28"/>
        </w:rPr>
        <w:t xml:space="preserve">anunciada para votación </w:t>
      </w:r>
      <w:r w:rsidRPr="00491C4A">
        <w:rPr>
          <w:rFonts w:ascii="Times New Roman" w:hAnsi="Times New Roman"/>
          <w:sz w:val="28"/>
          <w:szCs w:val="28"/>
        </w:rPr>
        <w:t>en bloque sin que ningún Representante a la Cámara se opusiera o solicitara su discusión y votación individual</w:t>
      </w:r>
      <w:r w:rsidRPr="00491C4A">
        <w:rPr>
          <w:rFonts w:ascii="Times New Roman" w:hAnsi="Times New Roman"/>
          <w:sz w:val="28"/>
          <w:szCs w:val="28"/>
        </w:rPr>
        <w:t xml:space="preserve">, </w:t>
      </w:r>
      <w:r w:rsidRPr="00491C4A">
        <w:rPr>
          <w:rFonts w:ascii="Times New Roman" w:hAnsi="Times New Roman"/>
          <w:i/>
          <w:iCs/>
          <w:sz w:val="28"/>
          <w:szCs w:val="28"/>
        </w:rPr>
        <w:t>(ii)</w:t>
      </w:r>
      <w:r w:rsidRPr="00491C4A">
        <w:rPr>
          <w:rFonts w:ascii="Times New Roman" w:hAnsi="Times New Roman"/>
          <w:sz w:val="28"/>
          <w:szCs w:val="28"/>
        </w:rPr>
        <w:t xml:space="preserve"> efectivamente existió un espacio para la discusión de la propuesta (si bien había una proposición de sacar del bloque el artículo</w:t>
      </w:r>
      <w:r w:rsidRPr="00491C4A">
        <w:rPr>
          <w:rFonts w:ascii="Times New Roman" w:hAnsi="Times New Roman"/>
          <w:sz w:val="28"/>
          <w:szCs w:val="28"/>
        </w:rPr>
        <w:t>,</w:t>
      </w:r>
      <w:r w:rsidRPr="00491C4A">
        <w:rPr>
          <w:rFonts w:ascii="Times New Roman" w:hAnsi="Times New Roman"/>
          <w:sz w:val="28"/>
          <w:szCs w:val="28"/>
        </w:rPr>
        <w:t xml:space="preserve"> está fue</w:t>
      </w:r>
      <w:r w:rsidRPr="00491C4A">
        <w:rPr>
          <w:rFonts w:ascii="Times New Roman" w:hAnsi="Times New Roman"/>
          <w:sz w:val="28"/>
          <w:szCs w:val="28"/>
        </w:rPr>
        <w:t xml:space="preserve"> retirada); </w:t>
      </w:r>
      <w:r w:rsidRPr="00491C4A">
        <w:rPr>
          <w:rFonts w:ascii="Times New Roman" w:hAnsi="Times New Roman"/>
          <w:i/>
          <w:iCs/>
          <w:sz w:val="28"/>
          <w:szCs w:val="28"/>
        </w:rPr>
        <w:t>(iii)</w:t>
      </w:r>
      <w:r w:rsidRPr="00491C4A">
        <w:rPr>
          <w:rFonts w:ascii="Times New Roman" w:hAnsi="Times New Roman"/>
          <w:sz w:val="28"/>
          <w:szCs w:val="28"/>
        </w:rPr>
        <w:t xml:space="preserve"> existió una razón temática para votar</w:t>
      </w:r>
      <w:r w:rsidRPr="00491C4A">
        <w:rPr>
          <w:rFonts w:ascii="Times New Roman" w:hAnsi="Times New Roman"/>
          <w:spacing w:val="40"/>
          <w:sz w:val="28"/>
          <w:szCs w:val="28"/>
        </w:rPr>
        <w:t xml:space="preserve"> </w:t>
      </w:r>
      <w:r w:rsidRPr="00491C4A">
        <w:rPr>
          <w:rFonts w:ascii="Times New Roman" w:hAnsi="Times New Roman"/>
          <w:sz w:val="28"/>
          <w:szCs w:val="28"/>
        </w:rPr>
        <w:t xml:space="preserve">en bloque, esto fue, los artículos que quedaron sin proposiciones o “limpios” porque en el transcurso de la discusión fueron dejadas como constancias las proposiciones que se habían presentado; y </w:t>
      </w:r>
      <w:r w:rsidRPr="00491C4A">
        <w:rPr>
          <w:rFonts w:ascii="Times New Roman" w:hAnsi="Times New Roman"/>
          <w:i/>
          <w:iCs/>
          <w:sz w:val="28"/>
          <w:szCs w:val="28"/>
        </w:rPr>
        <w:t>(iv)</w:t>
      </w:r>
      <w:r w:rsidRPr="00491C4A">
        <w:rPr>
          <w:rFonts w:ascii="Times New Roman" w:hAnsi="Times New Roman"/>
          <w:i/>
          <w:iCs/>
          <w:sz w:val="28"/>
          <w:szCs w:val="28"/>
        </w:rPr>
        <w:t xml:space="preserve"> </w:t>
      </w:r>
      <w:r w:rsidRPr="00491C4A">
        <w:rPr>
          <w:rFonts w:ascii="Times New Roman" w:hAnsi="Times New Roman"/>
          <w:sz w:val="28"/>
          <w:szCs w:val="28"/>
        </w:rPr>
        <w:t xml:space="preserve">fue también </w:t>
      </w:r>
      <w:r w:rsidRPr="00491C4A">
        <w:rPr>
          <w:rFonts w:ascii="Times New Roman" w:hAnsi="Times New Roman"/>
          <w:sz w:val="28"/>
          <w:szCs w:val="28"/>
        </w:rPr>
        <w:t>aprobada por la mayoría de la plenaria de la Cámara de Representantes</w:t>
      </w:r>
      <w:r w:rsidRPr="00491C4A">
        <w:rPr>
          <w:rFonts w:ascii="Times New Roman" w:hAnsi="Times New Roman"/>
          <w:sz w:val="28"/>
          <w:szCs w:val="28"/>
        </w:rPr>
        <w:t xml:space="preserve">, por lo que no </w:t>
      </w:r>
      <w:r w:rsidRPr="00491C4A">
        <w:rPr>
          <w:rFonts w:ascii="Times New Roman" w:hAnsi="Times New Roman"/>
          <w:sz w:val="28"/>
          <w:szCs w:val="28"/>
        </w:rPr>
        <w:t>po</w:t>
      </w:r>
      <w:r w:rsidRPr="00491C4A">
        <w:rPr>
          <w:rFonts w:ascii="Times New Roman" w:hAnsi="Times New Roman"/>
          <w:sz w:val="28"/>
          <w:szCs w:val="28"/>
        </w:rPr>
        <w:t>dría haber ocurrido una elusión del debate.</w:t>
      </w:r>
      <w:r w:rsidRPr="00491C4A">
        <w:rPr>
          <w:rFonts w:ascii="Times New Roman" w:hAnsi="Times New Roman"/>
          <w:sz w:val="28"/>
          <w:szCs w:val="28"/>
        </w:rPr>
        <w:t xml:space="preserve"> Fue así como </w:t>
      </w:r>
      <w:r w:rsidRPr="00491C4A">
        <w:rPr>
          <w:rFonts w:ascii="Times New Roman" w:hAnsi="Times New Roman"/>
          <w:sz w:val="28"/>
          <w:szCs w:val="28"/>
        </w:rPr>
        <w:t>dicha norma</w:t>
      </w:r>
      <w:r w:rsidRPr="00491C4A">
        <w:rPr>
          <w:rFonts w:ascii="Times New Roman" w:hAnsi="Times New Roman"/>
          <w:sz w:val="28"/>
          <w:szCs w:val="28"/>
        </w:rPr>
        <w:t xml:space="preserve"> surtió su trámite en la plenaria de la Cámara de Representantes cuando su texto, que en</w:t>
      </w:r>
      <w:r w:rsidRPr="00491C4A">
        <w:rPr>
          <w:rFonts w:ascii="Times New Roman" w:hAnsi="Times New Roman"/>
          <w:sz w:val="28"/>
          <w:szCs w:val="28"/>
        </w:rPr>
        <w:t xml:space="preserve"> ese momento correspondía al artículo 207 del proyecto de ley, </w:t>
      </w:r>
      <w:r w:rsidRPr="00491C4A">
        <w:rPr>
          <w:rFonts w:ascii="Times New Roman" w:hAnsi="Times New Roman"/>
          <w:sz w:val="28"/>
          <w:szCs w:val="28"/>
        </w:rPr>
        <w:t xml:space="preserve">fue aprobado </w:t>
      </w:r>
      <w:r w:rsidRPr="00491C4A">
        <w:rPr>
          <w:rFonts w:ascii="Times New Roman" w:hAnsi="Times New Roman"/>
          <w:sz w:val="28"/>
          <w:szCs w:val="28"/>
        </w:rPr>
        <w:t>con 105 votos a favor y 2 en contra dentro de un bloque de artículos respecto de los cuales se retir</w:t>
      </w:r>
      <w:r w:rsidRPr="00491C4A">
        <w:rPr>
          <w:rFonts w:ascii="Times New Roman" w:hAnsi="Times New Roman"/>
          <w:sz w:val="28"/>
          <w:szCs w:val="28"/>
        </w:rPr>
        <w:t>aron las proposiciones que habían sido radicad</w:t>
      </w:r>
      <w:r w:rsidRPr="00491C4A">
        <w:rPr>
          <w:rFonts w:ascii="Times New Roman" w:hAnsi="Times New Roman"/>
          <w:sz w:val="28"/>
          <w:szCs w:val="28"/>
        </w:rPr>
        <w:t>a</w:t>
      </w:r>
      <w:r w:rsidRPr="00491C4A">
        <w:rPr>
          <w:rFonts w:ascii="Times New Roman" w:hAnsi="Times New Roman"/>
          <w:sz w:val="28"/>
          <w:szCs w:val="28"/>
        </w:rPr>
        <w:t>s</w:t>
      </w:r>
      <w:r w:rsidRPr="00491C4A">
        <w:rPr>
          <w:rFonts w:ascii="Times New Roman" w:hAnsi="Times New Roman"/>
          <w:sz w:val="28"/>
          <w:szCs w:val="28"/>
        </w:rPr>
        <w:t xml:space="preserve"> inicialmente</w:t>
      </w:r>
      <w:r w:rsidRPr="00491C4A">
        <w:rPr>
          <w:rStyle w:val="Refdenotaalpie"/>
          <w:rFonts w:ascii="Times New Roman" w:hAnsi="Times New Roman"/>
          <w:sz w:val="28"/>
          <w:szCs w:val="28"/>
        </w:rPr>
        <w:footnoteReference w:id="118"/>
      </w:r>
      <w:r w:rsidRPr="00491C4A">
        <w:rPr>
          <w:rFonts w:ascii="Times New Roman" w:hAnsi="Times New Roman"/>
          <w:sz w:val="28"/>
          <w:szCs w:val="28"/>
        </w:rPr>
        <w:t>, por lo que</w:t>
      </w:r>
      <w:r w:rsidRPr="00491C4A">
        <w:rPr>
          <w:rFonts w:ascii="Times New Roman" w:hAnsi="Times New Roman"/>
          <w:sz w:val="28"/>
          <w:szCs w:val="28"/>
        </w:rPr>
        <w:t xml:space="preserve"> dichos textos</w:t>
      </w:r>
      <w:r w:rsidRPr="00491C4A">
        <w:rPr>
          <w:rFonts w:ascii="Times New Roman" w:hAnsi="Times New Roman"/>
          <w:sz w:val="28"/>
          <w:szCs w:val="28"/>
        </w:rPr>
        <w:t xml:space="preserve"> </w:t>
      </w:r>
      <w:r w:rsidRPr="00491C4A">
        <w:rPr>
          <w:rFonts w:ascii="Times New Roman" w:hAnsi="Times New Roman"/>
          <w:sz w:val="28"/>
          <w:szCs w:val="28"/>
        </w:rPr>
        <w:t>permanecieron como habían sido planteados en la ponencia para segundo debate</w:t>
      </w:r>
      <w:r w:rsidRPr="00491C4A">
        <w:rPr>
          <w:rStyle w:val="Refdenotaalpie"/>
          <w:rFonts w:ascii="Times New Roman" w:hAnsi="Times New Roman"/>
          <w:sz w:val="28"/>
          <w:szCs w:val="28"/>
        </w:rPr>
        <w:footnoteReference w:id="119"/>
      </w:r>
      <w:r w:rsidRPr="00491C4A">
        <w:rPr>
          <w:rFonts w:ascii="Times New Roman" w:hAnsi="Times New Roman"/>
          <w:sz w:val="28"/>
          <w:szCs w:val="28"/>
        </w:rPr>
        <w:t>.</w:t>
      </w:r>
    </w:p>
    <w:p w:rsidR="00C14FB1" w:rsidRPr="00491C4A" w:rsidRDefault="00491C4A" w:rsidP="00C14FB1">
      <w:pPr>
        <w:pStyle w:val="Prrafodelista"/>
        <w:ind w:left="0"/>
        <w:jc w:val="both"/>
        <w:rPr>
          <w:rFonts w:ascii="Times New Roman" w:hAnsi="Times New Roman"/>
          <w:sz w:val="28"/>
          <w:szCs w:val="28"/>
        </w:rPr>
      </w:pPr>
    </w:p>
    <w:p w:rsidR="00EF6EDF"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Adicionalmente, </w:t>
      </w:r>
      <w:r w:rsidRPr="00491C4A">
        <w:rPr>
          <w:rFonts w:ascii="Times New Roman" w:hAnsi="Times New Roman"/>
          <w:sz w:val="28"/>
          <w:szCs w:val="28"/>
        </w:rPr>
        <w:t>pese a que la jurisprudencia ha abierto la puerta a las proposiciones</w:t>
      </w:r>
      <w:r w:rsidRPr="00491C4A">
        <w:rPr>
          <w:rFonts w:ascii="Times New Roman" w:hAnsi="Times New Roman"/>
          <w:sz w:val="28"/>
          <w:szCs w:val="28"/>
        </w:rPr>
        <w:t xml:space="preserve"> dirigidas a reabrir la discusión sobre un artículo de un proyecto de le</w:t>
      </w:r>
      <w:r w:rsidRPr="00491C4A">
        <w:rPr>
          <w:rFonts w:ascii="Times New Roman" w:hAnsi="Times New Roman"/>
          <w:sz w:val="28"/>
          <w:szCs w:val="28"/>
        </w:rPr>
        <w:t>y</w:t>
      </w:r>
      <w:r w:rsidRPr="00491C4A">
        <w:rPr>
          <w:rFonts w:ascii="Times New Roman" w:hAnsi="Times New Roman"/>
          <w:sz w:val="28"/>
          <w:szCs w:val="28"/>
        </w:rPr>
        <w:t xml:space="preserve"> ba</w:t>
      </w:r>
      <w:r w:rsidRPr="00491C4A">
        <w:rPr>
          <w:rFonts w:ascii="Times New Roman" w:hAnsi="Times New Roman"/>
          <w:sz w:val="28"/>
          <w:szCs w:val="28"/>
        </w:rPr>
        <w:t>jo ciertas circunstancias</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 xml:space="preserve">no puede entenderse que </w:t>
      </w:r>
      <w:r w:rsidRPr="00491C4A">
        <w:rPr>
          <w:rFonts w:ascii="Times New Roman" w:hAnsi="Times New Roman"/>
          <w:sz w:val="28"/>
          <w:szCs w:val="28"/>
        </w:rPr>
        <w:t>es</w:t>
      </w:r>
      <w:r w:rsidRPr="00491C4A">
        <w:rPr>
          <w:rFonts w:ascii="Times New Roman" w:hAnsi="Times New Roman"/>
          <w:sz w:val="28"/>
          <w:szCs w:val="28"/>
        </w:rPr>
        <w:t xml:space="preserve"> obligatorio dar</w:t>
      </w:r>
      <w:r w:rsidRPr="00491C4A">
        <w:rPr>
          <w:rFonts w:ascii="Times New Roman" w:hAnsi="Times New Roman"/>
          <w:sz w:val="28"/>
          <w:szCs w:val="28"/>
        </w:rPr>
        <w:t xml:space="preserve"> trámite a dichas iniciativas</w:t>
      </w:r>
      <w:r w:rsidRPr="00491C4A">
        <w:rPr>
          <w:rFonts w:ascii="Times New Roman" w:hAnsi="Times New Roman"/>
          <w:sz w:val="28"/>
          <w:szCs w:val="28"/>
        </w:rPr>
        <w:t xml:space="preserve"> </w:t>
      </w:r>
      <w:r w:rsidRPr="00491C4A">
        <w:rPr>
          <w:rFonts w:ascii="Times New Roman" w:hAnsi="Times New Roman"/>
          <w:sz w:val="28"/>
          <w:szCs w:val="28"/>
        </w:rPr>
        <w:t xml:space="preserve">para entender como </w:t>
      </w:r>
      <w:r w:rsidRPr="00491C4A">
        <w:rPr>
          <w:rFonts w:ascii="Times New Roman" w:hAnsi="Times New Roman"/>
          <w:sz w:val="28"/>
          <w:szCs w:val="28"/>
        </w:rPr>
        <w:t>agotado o surtido en su integridad uno de los debates exigidos por la Constitución para la expedición de las leyes</w:t>
      </w:r>
      <w:r w:rsidRPr="00491C4A">
        <w:rPr>
          <w:rFonts w:ascii="Times New Roman" w:hAnsi="Times New Roman"/>
          <w:sz w:val="28"/>
          <w:szCs w:val="28"/>
        </w:rPr>
        <w:t xml:space="preserve">. </w:t>
      </w:r>
      <w:r w:rsidRPr="00491C4A">
        <w:rPr>
          <w:rFonts w:ascii="Times New Roman" w:hAnsi="Times New Roman"/>
          <w:sz w:val="28"/>
          <w:szCs w:val="28"/>
        </w:rPr>
        <w:t>E</w:t>
      </w:r>
      <w:r w:rsidRPr="00491C4A">
        <w:rPr>
          <w:rFonts w:ascii="Times New Roman" w:hAnsi="Times New Roman"/>
          <w:sz w:val="28"/>
          <w:szCs w:val="28"/>
        </w:rPr>
        <w:t xml:space="preserve">n efecto, </w:t>
      </w:r>
      <w:r w:rsidRPr="00491C4A">
        <w:rPr>
          <w:rFonts w:ascii="Times New Roman" w:hAnsi="Times New Roman"/>
          <w:sz w:val="28"/>
          <w:szCs w:val="28"/>
        </w:rPr>
        <w:t xml:space="preserve">pese a que </w:t>
      </w:r>
      <w:r w:rsidRPr="00491C4A">
        <w:rPr>
          <w:rFonts w:ascii="Times New Roman" w:hAnsi="Times New Roman"/>
          <w:sz w:val="28"/>
          <w:szCs w:val="28"/>
        </w:rPr>
        <w:t xml:space="preserve">las proposiciones para reabrir el debate no están prohibidas, tampoco están enlistadas en el artículo 114 de la LORC dentro de aquellas cuyo trámite es imperativo </w:t>
      </w:r>
      <w:r w:rsidRPr="00491C4A">
        <w:rPr>
          <w:rFonts w:ascii="Times New Roman" w:hAnsi="Times New Roman"/>
          <w:sz w:val="28"/>
          <w:szCs w:val="28"/>
        </w:rPr>
        <w:t>o esencial en los términos de los artículos 94, 112 y 123.5 de la misma ley, por lo que</w:t>
      </w:r>
      <w:r w:rsidRPr="00491C4A">
        <w:rPr>
          <w:rFonts w:ascii="Times New Roman" w:hAnsi="Times New Roman"/>
          <w:sz w:val="28"/>
          <w:szCs w:val="28"/>
        </w:rPr>
        <w:t>,</w:t>
      </w:r>
      <w:r w:rsidRPr="00491C4A">
        <w:rPr>
          <w:rFonts w:ascii="Times New Roman" w:hAnsi="Times New Roman"/>
          <w:sz w:val="28"/>
          <w:szCs w:val="28"/>
        </w:rPr>
        <w:t xml:space="preserve"> si n</w:t>
      </w:r>
      <w:r w:rsidRPr="00491C4A">
        <w:rPr>
          <w:rFonts w:ascii="Times New Roman" w:hAnsi="Times New Roman"/>
          <w:sz w:val="28"/>
          <w:szCs w:val="28"/>
        </w:rPr>
        <w:t xml:space="preserve">o se les da curso por motivos justificados, </w:t>
      </w:r>
      <w:r w:rsidRPr="00491C4A">
        <w:rPr>
          <w:rFonts w:ascii="Times New Roman" w:hAnsi="Times New Roman"/>
          <w:sz w:val="28"/>
          <w:szCs w:val="28"/>
        </w:rPr>
        <w:t>no se elude el debate</w:t>
      </w:r>
      <w:r w:rsidRPr="00491C4A">
        <w:rPr>
          <w:rFonts w:ascii="Times New Roman" w:hAnsi="Times New Roman"/>
          <w:sz w:val="28"/>
          <w:szCs w:val="28"/>
        </w:rPr>
        <w:t xml:space="preserve">. </w:t>
      </w:r>
    </w:p>
    <w:p w:rsidR="00EF6EDF" w:rsidRPr="00491C4A" w:rsidRDefault="00491C4A" w:rsidP="00EF6EDF">
      <w:pPr>
        <w:pStyle w:val="Prrafodelista"/>
        <w:rPr>
          <w:rFonts w:ascii="Times New Roman" w:hAnsi="Times New Roman"/>
          <w:sz w:val="28"/>
          <w:szCs w:val="28"/>
        </w:rPr>
      </w:pPr>
    </w:p>
    <w:p w:rsidR="00C14FB1"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Sobre esto último, es preciso recordar que </w:t>
      </w:r>
      <w:r w:rsidRPr="00491C4A">
        <w:rPr>
          <w:rFonts w:ascii="Times New Roman" w:hAnsi="Times New Roman"/>
          <w:sz w:val="28"/>
          <w:szCs w:val="28"/>
        </w:rPr>
        <w:t xml:space="preserve">el motivo por el cual </w:t>
      </w:r>
      <w:r w:rsidRPr="00491C4A">
        <w:rPr>
          <w:rFonts w:ascii="Times New Roman" w:hAnsi="Times New Roman"/>
          <w:sz w:val="28"/>
          <w:szCs w:val="28"/>
        </w:rPr>
        <w:t xml:space="preserve">el presidente de la </w:t>
      </w:r>
      <w:r w:rsidRPr="00491C4A">
        <w:rPr>
          <w:rFonts w:ascii="Times New Roman" w:hAnsi="Times New Roman"/>
          <w:sz w:val="28"/>
          <w:szCs w:val="28"/>
        </w:rPr>
        <w:t>Cámara de Representantes</w:t>
      </w:r>
      <w:r w:rsidRPr="00491C4A">
        <w:rPr>
          <w:rFonts w:ascii="Times New Roman" w:hAnsi="Times New Roman"/>
          <w:sz w:val="28"/>
          <w:szCs w:val="28"/>
        </w:rPr>
        <w:t xml:space="preserve"> </w:t>
      </w:r>
      <w:r w:rsidRPr="00491C4A">
        <w:rPr>
          <w:rFonts w:ascii="Times New Roman" w:hAnsi="Times New Roman"/>
          <w:sz w:val="28"/>
          <w:szCs w:val="28"/>
        </w:rPr>
        <w:t>resolvió no rea</w:t>
      </w:r>
      <w:r w:rsidRPr="00491C4A">
        <w:rPr>
          <w:rFonts w:ascii="Times New Roman" w:hAnsi="Times New Roman"/>
          <w:sz w:val="28"/>
          <w:szCs w:val="28"/>
        </w:rPr>
        <w:t xml:space="preserve">brir </w:t>
      </w:r>
      <w:r w:rsidRPr="00491C4A">
        <w:rPr>
          <w:rFonts w:ascii="Times New Roman" w:hAnsi="Times New Roman"/>
          <w:sz w:val="28"/>
          <w:szCs w:val="28"/>
        </w:rPr>
        <w:t xml:space="preserve">ningún artículo fue </w:t>
      </w:r>
      <w:r w:rsidRPr="00491C4A">
        <w:rPr>
          <w:rFonts w:ascii="Times New Roman" w:hAnsi="Times New Roman"/>
          <w:sz w:val="28"/>
          <w:szCs w:val="28"/>
        </w:rPr>
        <w:t>que</w:t>
      </w:r>
      <w:r w:rsidRPr="00491C4A">
        <w:rPr>
          <w:rFonts w:ascii="Times New Roman" w:hAnsi="Times New Roman"/>
          <w:sz w:val="28"/>
          <w:szCs w:val="28"/>
        </w:rPr>
        <w:t xml:space="preserve"> la Cámara había culminado con éxi</w:t>
      </w:r>
      <w:r w:rsidRPr="00491C4A">
        <w:rPr>
          <w:rFonts w:ascii="Times New Roman" w:hAnsi="Times New Roman"/>
          <w:sz w:val="28"/>
          <w:szCs w:val="28"/>
        </w:rPr>
        <w:t xml:space="preserve">to </w:t>
      </w:r>
      <w:r w:rsidRPr="00491C4A">
        <w:rPr>
          <w:rFonts w:ascii="Times New Roman" w:hAnsi="Times New Roman"/>
          <w:sz w:val="28"/>
          <w:szCs w:val="28"/>
        </w:rPr>
        <w:t xml:space="preserve">la votación sobre la totalidad del proyecto y extender la discusión podría haber conllevado a </w:t>
      </w:r>
      <w:r w:rsidRPr="00491C4A">
        <w:rPr>
          <w:rFonts w:ascii="Times New Roman" w:hAnsi="Times New Roman"/>
          <w:sz w:val="28"/>
          <w:szCs w:val="28"/>
        </w:rPr>
        <w:t>termi</w:t>
      </w:r>
      <w:r w:rsidRPr="00491C4A">
        <w:rPr>
          <w:rFonts w:ascii="Times New Roman" w:hAnsi="Times New Roman"/>
          <w:sz w:val="28"/>
          <w:szCs w:val="28"/>
        </w:rPr>
        <w:t>nar</w:t>
      </w:r>
      <w:r w:rsidRPr="00491C4A">
        <w:rPr>
          <w:rFonts w:ascii="Times New Roman" w:hAnsi="Times New Roman"/>
          <w:sz w:val="28"/>
          <w:szCs w:val="28"/>
        </w:rPr>
        <w:t xml:space="preserve"> acogiéndose al texto aprobado por el Senado de la República</w:t>
      </w:r>
      <w:r w:rsidRPr="00491C4A">
        <w:rPr>
          <w:rFonts w:ascii="Times New Roman" w:hAnsi="Times New Roman"/>
          <w:sz w:val="28"/>
          <w:szCs w:val="28"/>
        </w:rPr>
        <w:t xml:space="preserve">, </w:t>
      </w:r>
      <w:r w:rsidRPr="00491C4A">
        <w:rPr>
          <w:rFonts w:ascii="Times New Roman" w:hAnsi="Times New Roman"/>
          <w:sz w:val="28"/>
          <w:szCs w:val="28"/>
        </w:rPr>
        <w:t>como consta en el Acta de Plenaria 055 de 2023</w:t>
      </w:r>
      <w:r w:rsidRPr="00491C4A">
        <w:rPr>
          <w:rFonts w:ascii="Times New Roman" w:hAnsi="Times New Roman"/>
          <w:sz w:val="28"/>
          <w:szCs w:val="28"/>
        </w:rPr>
        <w:t xml:space="preserve">, publicada en la Gaceta del Congreso 1143 </w:t>
      </w:r>
      <w:r w:rsidRPr="00491C4A">
        <w:rPr>
          <w:rFonts w:ascii="Times New Roman" w:hAnsi="Times New Roman"/>
          <w:sz w:val="28"/>
          <w:szCs w:val="28"/>
        </w:rPr>
        <w:t>del mi</w:t>
      </w:r>
      <w:r w:rsidRPr="00491C4A">
        <w:rPr>
          <w:rFonts w:ascii="Times New Roman" w:hAnsi="Times New Roman"/>
          <w:sz w:val="28"/>
          <w:szCs w:val="28"/>
        </w:rPr>
        <w:t>s</w:t>
      </w:r>
      <w:r w:rsidRPr="00491C4A">
        <w:rPr>
          <w:rFonts w:ascii="Times New Roman" w:hAnsi="Times New Roman"/>
          <w:sz w:val="28"/>
          <w:szCs w:val="28"/>
        </w:rPr>
        <w:t>mo año</w:t>
      </w:r>
      <w:r w:rsidRPr="00491C4A">
        <w:rPr>
          <w:rFonts w:ascii="Times New Roman" w:hAnsi="Times New Roman"/>
          <w:sz w:val="28"/>
          <w:szCs w:val="28"/>
        </w:rPr>
        <w:t>. Est</w:t>
      </w:r>
      <w:r w:rsidRPr="00491C4A">
        <w:rPr>
          <w:rFonts w:ascii="Times New Roman" w:hAnsi="Times New Roman"/>
          <w:sz w:val="28"/>
          <w:szCs w:val="28"/>
        </w:rPr>
        <w:t xml:space="preserve">o </w:t>
      </w:r>
      <w:r w:rsidRPr="00491C4A">
        <w:rPr>
          <w:rFonts w:ascii="Times New Roman" w:hAnsi="Times New Roman"/>
          <w:sz w:val="28"/>
          <w:szCs w:val="28"/>
        </w:rPr>
        <w:t xml:space="preserve">eliminaría por completo el efecto de las decisiones adoptadas por </w:t>
      </w:r>
      <w:r w:rsidRPr="00491C4A">
        <w:rPr>
          <w:rFonts w:ascii="Times New Roman" w:hAnsi="Times New Roman"/>
          <w:sz w:val="28"/>
          <w:szCs w:val="28"/>
        </w:rPr>
        <w:t xml:space="preserve">los representantes </w:t>
      </w:r>
      <w:r w:rsidRPr="00491C4A">
        <w:rPr>
          <w:rFonts w:ascii="Times New Roman" w:hAnsi="Times New Roman"/>
          <w:sz w:val="28"/>
          <w:szCs w:val="28"/>
        </w:rPr>
        <w:t>en</w:t>
      </w:r>
      <w:r w:rsidRPr="00491C4A">
        <w:rPr>
          <w:rFonts w:ascii="Times New Roman" w:hAnsi="Times New Roman"/>
          <w:sz w:val="28"/>
          <w:szCs w:val="28"/>
        </w:rPr>
        <w:t xml:space="preserve"> la </w:t>
      </w:r>
      <w:r w:rsidRPr="00491C4A">
        <w:rPr>
          <w:rFonts w:ascii="Times New Roman" w:hAnsi="Times New Roman"/>
          <w:sz w:val="28"/>
          <w:szCs w:val="28"/>
        </w:rPr>
        <w:t>plen</w:t>
      </w:r>
      <w:r w:rsidRPr="00491C4A">
        <w:rPr>
          <w:rFonts w:ascii="Times New Roman" w:hAnsi="Times New Roman"/>
          <w:sz w:val="28"/>
          <w:szCs w:val="28"/>
        </w:rPr>
        <w:t>aria</w:t>
      </w:r>
      <w:r w:rsidRPr="00491C4A">
        <w:rPr>
          <w:rFonts w:ascii="Times New Roman" w:hAnsi="Times New Roman"/>
          <w:sz w:val="28"/>
          <w:szCs w:val="28"/>
        </w:rPr>
        <w:t xml:space="preserve"> </w:t>
      </w:r>
      <w:r w:rsidRPr="00491C4A">
        <w:rPr>
          <w:rFonts w:ascii="Times New Roman" w:hAnsi="Times New Roman"/>
          <w:sz w:val="28"/>
          <w:szCs w:val="28"/>
        </w:rPr>
        <w:t>durante los</w:t>
      </w:r>
      <w:r w:rsidRPr="00491C4A">
        <w:rPr>
          <w:rFonts w:ascii="Times New Roman" w:hAnsi="Times New Roman"/>
          <w:sz w:val="28"/>
          <w:szCs w:val="28"/>
        </w:rPr>
        <w:t xml:space="preserve"> tres días </w:t>
      </w:r>
      <w:r w:rsidRPr="00491C4A">
        <w:rPr>
          <w:rFonts w:ascii="Times New Roman" w:hAnsi="Times New Roman"/>
          <w:sz w:val="28"/>
          <w:szCs w:val="28"/>
        </w:rPr>
        <w:t>en los que sesionaron</w:t>
      </w:r>
      <w:r w:rsidRPr="00491C4A">
        <w:rPr>
          <w:rFonts w:ascii="Times New Roman" w:hAnsi="Times New Roman"/>
          <w:sz w:val="28"/>
          <w:szCs w:val="28"/>
        </w:rPr>
        <w:t>. De esa manera</w:t>
      </w:r>
      <w:r w:rsidRPr="00491C4A">
        <w:rPr>
          <w:rFonts w:ascii="Times New Roman" w:hAnsi="Times New Roman"/>
          <w:sz w:val="28"/>
          <w:szCs w:val="28"/>
        </w:rPr>
        <w:t xml:space="preserve">, </w:t>
      </w:r>
      <w:r w:rsidRPr="00491C4A">
        <w:rPr>
          <w:rFonts w:ascii="Times New Roman" w:hAnsi="Times New Roman"/>
          <w:sz w:val="28"/>
          <w:szCs w:val="28"/>
        </w:rPr>
        <w:t>la motivación de la mesa directiva estuvo guiada por el principio democrátic</w:t>
      </w:r>
      <w:r w:rsidRPr="00491C4A">
        <w:rPr>
          <w:rFonts w:ascii="Times New Roman" w:hAnsi="Times New Roman"/>
          <w:sz w:val="28"/>
          <w:szCs w:val="28"/>
        </w:rPr>
        <w:t>o</w:t>
      </w:r>
      <w:r w:rsidRPr="00491C4A">
        <w:rPr>
          <w:rFonts w:ascii="Times New Roman" w:hAnsi="Times New Roman"/>
          <w:sz w:val="28"/>
          <w:szCs w:val="28"/>
        </w:rPr>
        <w:t>, en tanto que pretendía darle peso a la instancia legislativa bajo su coordinación.</w:t>
      </w:r>
    </w:p>
    <w:p w:rsidR="00641724" w:rsidRPr="00491C4A" w:rsidRDefault="00491C4A" w:rsidP="00641724">
      <w:pPr>
        <w:pStyle w:val="Prrafodelista"/>
        <w:rPr>
          <w:rFonts w:ascii="Times New Roman" w:hAnsi="Times New Roman"/>
          <w:sz w:val="28"/>
          <w:szCs w:val="28"/>
        </w:rPr>
      </w:pPr>
    </w:p>
    <w:p w:rsidR="0006221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w:t>
      </w:r>
      <w:r w:rsidRPr="00491C4A">
        <w:rPr>
          <w:rFonts w:ascii="Times New Roman" w:hAnsi="Times New Roman"/>
          <w:sz w:val="28"/>
          <w:szCs w:val="28"/>
        </w:rPr>
        <w:t>emás</w:t>
      </w:r>
      <w:r w:rsidRPr="00491C4A">
        <w:rPr>
          <w:rFonts w:ascii="Times New Roman" w:hAnsi="Times New Roman"/>
          <w:sz w:val="28"/>
          <w:szCs w:val="28"/>
        </w:rPr>
        <w:t xml:space="preserve">, </w:t>
      </w:r>
      <w:r w:rsidRPr="00491C4A">
        <w:rPr>
          <w:rFonts w:ascii="Times New Roman" w:hAnsi="Times New Roman"/>
          <w:sz w:val="28"/>
          <w:szCs w:val="28"/>
        </w:rPr>
        <w:t xml:space="preserve">debe tomarse en consideración que </w:t>
      </w:r>
      <w:r w:rsidRPr="00491C4A">
        <w:rPr>
          <w:rFonts w:ascii="Times New Roman" w:hAnsi="Times New Roman"/>
          <w:sz w:val="28"/>
          <w:szCs w:val="28"/>
        </w:rPr>
        <w:t>cuando</w:t>
      </w:r>
      <w:r w:rsidRPr="00491C4A">
        <w:rPr>
          <w:rFonts w:ascii="Times New Roman" w:hAnsi="Times New Roman"/>
          <w:sz w:val="28"/>
          <w:szCs w:val="28"/>
        </w:rPr>
        <w:t xml:space="preserve"> se </w:t>
      </w:r>
      <w:r w:rsidRPr="00491C4A">
        <w:rPr>
          <w:rFonts w:ascii="Times New Roman" w:hAnsi="Times New Roman"/>
          <w:sz w:val="28"/>
          <w:szCs w:val="28"/>
        </w:rPr>
        <w:t>hace referencia a la</w:t>
      </w:r>
      <w:r w:rsidRPr="00491C4A">
        <w:rPr>
          <w:rFonts w:ascii="Times New Roman" w:hAnsi="Times New Roman"/>
          <w:sz w:val="28"/>
          <w:szCs w:val="28"/>
        </w:rPr>
        <w:t xml:space="preserve"> reapertura es porque previamente </w:t>
      </w:r>
      <w:r w:rsidRPr="00491C4A">
        <w:rPr>
          <w:rFonts w:ascii="Times New Roman" w:hAnsi="Times New Roman"/>
          <w:sz w:val="28"/>
          <w:szCs w:val="28"/>
        </w:rPr>
        <w:t xml:space="preserve">ha habido debate y votación de </w:t>
      </w:r>
      <w:r w:rsidRPr="00491C4A">
        <w:rPr>
          <w:rFonts w:ascii="Times New Roman" w:hAnsi="Times New Roman"/>
          <w:sz w:val="28"/>
          <w:szCs w:val="28"/>
        </w:rPr>
        <w:t>alguna</w:t>
      </w:r>
      <w:r w:rsidRPr="00491C4A">
        <w:rPr>
          <w:rFonts w:ascii="Times New Roman" w:hAnsi="Times New Roman"/>
          <w:sz w:val="28"/>
          <w:szCs w:val="28"/>
        </w:rPr>
        <w:t xml:space="preserve"> disposición, </w:t>
      </w:r>
      <w:r w:rsidRPr="00491C4A">
        <w:rPr>
          <w:rFonts w:ascii="Times New Roman" w:hAnsi="Times New Roman"/>
          <w:sz w:val="28"/>
          <w:szCs w:val="28"/>
        </w:rPr>
        <w:t>a</w:t>
      </w:r>
      <w:r w:rsidRPr="00491C4A">
        <w:rPr>
          <w:rFonts w:ascii="Times New Roman" w:hAnsi="Times New Roman"/>
          <w:sz w:val="28"/>
          <w:szCs w:val="28"/>
        </w:rPr>
        <w:t xml:space="preserve"> lo </w:t>
      </w:r>
      <w:r w:rsidRPr="00491C4A">
        <w:rPr>
          <w:rFonts w:ascii="Times New Roman" w:hAnsi="Times New Roman"/>
          <w:sz w:val="28"/>
          <w:szCs w:val="28"/>
        </w:rPr>
        <w:t>que</w:t>
      </w:r>
      <w:r w:rsidRPr="00491C4A">
        <w:rPr>
          <w:rFonts w:ascii="Times New Roman" w:hAnsi="Times New Roman"/>
          <w:sz w:val="28"/>
          <w:szCs w:val="28"/>
        </w:rPr>
        <w:t xml:space="preserve"> subyace que</w:t>
      </w:r>
      <w:r w:rsidRPr="00491C4A">
        <w:rPr>
          <w:rFonts w:ascii="Times New Roman" w:hAnsi="Times New Roman"/>
          <w:sz w:val="28"/>
          <w:szCs w:val="28"/>
        </w:rPr>
        <w:t xml:space="preserve"> los congresistas han tenido la oportunidad </w:t>
      </w:r>
      <w:r w:rsidRPr="00491C4A">
        <w:rPr>
          <w:rFonts w:ascii="Times New Roman" w:hAnsi="Times New Roman"/>
          <w:sz w:val="28"/>
          <w:szCs w:val="28"/>
        </w:rPr>
        <w:t xml:space="preserve">previa </w:t>
      </w:r>
      <w:r w:rsidRPr="00491C4A">
        <w:rPr>
          <w:rFonts w:ascii="Times New Roman" w:hAnsi="Times New Roman"/>
          <w:sz w:val="28"/>
          <w:szCs w:val="28"/>
        </w:rPr>
        <w:t xml:space="preserve">de proponer </w:t>
      </w:r>
      <w:r w:rsidRPr="00491C4A">
        <w:rPr>
          <w:rFonts w:ascii="Times New Roman" w:hAnsi="Times New Roman"/>
          <w:sz w:val="28"/>
          <w:szCs w:val="28"/>
        </w:rPr>
        <w:t xml:space="preserve">modificaciones </w:t>
      </w:r>
      <w:r w:rsidRPr="00491C4A">
        <w:rPr>
          <w:rFonts w:ascii="Times New Roman" w:hAnsi="Times New Roman"/>
          <w:sz w:val="28"/>
          <w:szCs w:val="28"/>
        </w:rPr>
        <w:t>o supresiones de</w:t>
      </w:r>
      <w:r w:rsidRPr="00491C4A">
        <w:rPr>
          <w:rFonts w:ascii="Times New Roman" w:hAnsi="Times New Roman"/>
          <w:sz w:val="28"/>
          <w:szCs w:val="28"/>
        </w:rPr>
        <w:t xml:space="preserve"> los textos</w:t>
      </w:r>
      <w:r w:rsidRPr="00491C4A">
        <w:rPr>
          <w:rFonts w:ascii="Times New Roman" w:hAnsi="Times New Roman"/>
          <w:sz w:val="28"/>
          <w:szCs w:val="28"/>
        </w:rPr>
        <w:t xml:space="preserve">. Ha de </w:t>
      </w:r>
      <w:r w:rsidRPr="00491C4A">
        <w:rPr>
          <w:rFonts w:ascii="Times New Roman" w:hAnsi="Times New Roman"/>
          <w:sz w:val="28"/>
          <w:szCs w:val="28"/>
        </w:rPr>
        <w:t>tenerse en cuenta</w:t>
      </w:r>
      <w:r w:rsidRPr="00491C4A">
        <w:rPr>
          <w:rFonts w:ascii="Times New Roman" w:hAnsi="Times New Roman"/>
          <w:sz w:val="28"/>
          <w:szCs w:val="28"/>
        </w:rPr>
        <w:t xml:space="preserve"> que</w:t>
      </w:r>
      <w:r w:rsidRPr="00491C4A">
        <w:rPr>
          <w:rFonts w:ascii="Times New Roman" w:hAnsi="Times New Roman"/>
          <w:sz w:val="28"/>
          <w:szCs w:val="28"/>
        </w:rPr>
        <w:t xml:space="preserve"> no existe una norma constitucional </w:t>
      </w:r>
      <w:r w:rsidRPr="00491C4A">
        <w:rPr>
          <w:rFonts w:ascii="Times New Roman" w:hAnsi="Times New Roman"/>
          <w:sz w:val="28"/>
          <w:szCs w:val="28"/>
        </w:rPr>
        <w:t xml:space="preserve">u orgánica </w:t>
      </w:r>
      <w:r w:rsidRPr="00491C4A">
        <w:rPr>
          <w:rFonts w:ascii="Times New Roman" w:hAnsi="Times New Roman"/>
          <w:sz w:val="28"/>
          <w:szCs w:val="28"/>
        </w:rPr>
        <w:t>que obligue a brindarles un nuevo escenario para realizar sus a</w:t>
      </w:r>
      <w:r w:rsidRPr="00491C4A">
        <w:rPr>
          <w:rFonts w:ascii="Times New Roman" w:hAnsi="Times New Roman"/>
          <w:sz w:val="28"/>
          <w:szCs w:val="28"/>
        </w:rPr>
        <w:t>portes</w:t>
      </w:r>
      <w:r w:rsidRPr="00491C4A">
        <w:rPr>
          <w:rFonts w:ascii="Times New Roman" w:hAnsi="Times New Roman"/>
          <w:sz w:val="28"/>
          <w:szCs w:val="28"/>
        </w:rPr>
        <w:t xml:space="preserve">. Exigir lo contrario </w:t>
      </w:r>
      <w:r w:rsidRPr="00491C4A">
        <w:rPr>
          <w:rFonts w:ascii="Times New Roman" w:hAnsi="Times New Roman"/>
          <w:sz w:val="28"/>
          <w:szCs w:val="28"/>
        </w:rPr>
        <w:t>haría intermi</w:t>
      </w:r>
      <w:r w:rsidRPr="00491C4A">
        <w:rPr>
          <w:rFonts w:ascii="Times New Roman" w:hAnsi="Times New Roman"/>
          <w:sz w:val="28"/>
          <w:szCs w:val="28"/>
        </w:rPr>
        <w:t>nables los debates</w:t>
      </w:r>
      <w:r w:rsidRPr="00491C4A">
        <w:rPr>
          <w:rFonts w:ascii="Times New Roman" w:hAnsi="Times New Roman"/>
          <w:sz w:val="28"/>
          <w:szCs w:val="28"/>
        </w:rPr>
        <w:t xml:space="preserve">. Los integrantes del Congreso de la República deben obrar con atención y diligencia </w:t>
      </w:r>
      <w:r w:rsidRPr="00491C4A">
        <w:rPr>
          <w:rFonts w:ascii="Times New Roman" w:hAnsi="Times New Roman"/>
          <w:sz w:val="28"/>
          <w:szCs w:val="28"/>
        </w:rPr>
        <w:t xml:space="preserve">durante las sesiones en las que </w:t>
      </w:r>
      <w:r w:rsidRPr="00491C4A">
        <w:rPr>
          <w:rFonts w:ascii="Times New Roman" w:hAnsi="Times New Roman"/>
          <w:sz w:val="28"/>
          <w:szCs w:val="28"/>
        </w:rPr>
        <w:t xml:space="preserve">participan, de tal manera que lo óptimo es que </w:t>
      </w:r>
      <w:r w:rsidRPr="00491C4A">
        <w:rPr>
          <w:rFonts w:ascii="Times New Roman" w:hAnsi="Times New Roman"/>
          <w:sz w:val="28"/>
          <w:szCs w:val="28"/>
        </w:rPr>
        <w:t xml:space="preserve">hagan sus propuestas oportunamente, </w:t>
      </w:r>
      <w:r w:rsidRPr="00491C4A">
        <w:rPr>
          <w:rFonts w:ascii="Times New Roman" w:hAnsi="Times New Roman"/>
          <w:sz w:val="28"/>
          <w:szCs w:val="28"/>
        </w:rPr>
        <w:t xml:space="preserve">es decir, </w:t>
      </w:r>
      <w:r w:rsidRPr="00491C4A">
        <w:rPr>
          <w:rFonts w:ascii="Times New Roman" w:hAnsi="Times New Roman"/>
          <w:sz w:val="28"/>
          <w:szCs w:val="28"/>
        </w:rPr>
        <w:t xml:space="preserve">en el momento en el que </w:t>
      </w:r>
      <w:r w:rsidRPr="00491C4A">
        <w:rPr>
          <w:rFonts w:ascii="Times New Roman" w:hAnsi="Times New Roman"/>
          <w:sz w:val="28"/>
          <w:szCs w:val="28"/>
        </w:rPr>
        <w:t>se está dando trámite a los respectivo</w:t>
      </w:r>
      <w:r w:rsidRPr="00491C4A">
        <w:rPr>
          <w:rFonts w:ascii="Times New Roman" w:hAnsi="Times New Roman"/>
          <w:sz w:val="28"/>
          <w:szCs w:val="28"/>
        </w:rPr>
        <w:t>s</w:t>
      </w:r>
      <w:r w:rsidRPr="00491C4A">
        <w:rPr>
          <w:rFonts w:ascii="Times New Roman" w:hAnsi="Times New Roman"/>
          <w:sz w:val="28"/>
          <w:szCs w:val="28"/>
        </w:rPr>
        <w:t xml:space="preserve"> textos. </w:t>
      </w:r>
      <w:r w:rsidRPr="00491C4A">
        <w:rPr>
          <w:rFonts w:ascii="Times New Roman" w:hAnsi="Times New Roman"/>
          <w:sz w:val="28"/>
          <w:szCs w:val="28"/>
        </w:rPr>
        <w:t xml:space="preserve"> </w:t>
      </w:r>
    </w:p>
    <w:p w:rsidR="00062217" w:rsidRPr="00491C4A" w:rsidRDefault="00491C4A" w:rsidP="00062217">
      <w:pPr>
        <w:pStyle w:val="Prrafodelista"/>
        <w:rPr>
          <w:rFonts w:ascii="Times New Roman" w:hAnsi="Times New Roman"/>
          <w:sz w:val="28"/>
          <w:szCs w:val="28"/>
        </w:rPr>
      </w:pPr>
    </w:p>
    <w:p w:rsidR="0000333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Al</w:t>
      </w:r>
      <w:r w:rsidRPr="00491C4A">
        <w:rPr>
          <w:rFonts w:ascii="Times New Roman" w:hAnsi="Times New Roman"/>
          <w:sz w:val="28"/>
          <w:szCs w:val="28"/>
        </w:rPr>
        <w:t xml:space="preserve"> respecto, en la situación examinada </w:t>
      </w:r>
      <w:r w:rsidRPr="00491C4A">
        <w:rPr>
          <w:rFonts w:ascii="Times New Roman" w:hAnsi="Times New Roman"/>
          <w:sz w:val="28"/>
          <w:szCs w:val="28"/>
        </w:rPr>
        <w:t xml:space="preserve">no solamente debe tenerse en cuenta que los representantes que querían volver a debatir y votar </w:t>
      </w:r>
      <w:r w:rsidRPr="00491C4A">
        <w:rPr>
          <w:rFonts w:ascii="Times New Roman" w:hAnsi="Times New Roman"/>
          <w:sz w:val="28"/>
          <w:szCs w:val="28"/>
        </w:rPr>
        <w:t>el artículo 207 del proyect</w:t>
      </w:r>
      <w:r w:rsidRPr="00491C4A">
        <w:rPr>
          <w:rFonts w:ascii="Times New Roman" w:hAnsi="Times New Roman"/>
          <w:sz w:val="28"/>
          <w:szCs w:val="28"/>
        </w:rPr>
        <w:t>o</w:t>
      </w:r>
      <w:r w:rsidRPr="00491C4A">
        <w:rPr>
          <w:rFonts w:ascii="Times New Roman" w:hAnsi="Times New Roman"/>
          <w:sz w:val="28"/>
          <w:szCs w:val="28"/>
        </w:rPr>
        <w:t xml:space="preserve"> pudieron haber radicado su propuesta de modificación antes de que se decidiera su aprobación; sino que</w:t>
      </w:r>
      <w:r w:rsidRPr="00491C4A">
        <w:rPr>
          <w:rFonts w:ascii="Times New Roman" w:hAnsi="Times New Roman"/>
          <w:sz w:val="28"/>
          <w:szCs w:val="28"/>
        </w:rPr>
        <w:t>,</w:t>
      </w:r>
      <w:r w:rsidRPr="00491C4A">
        <w:rPr>
          <w:rFonts w:ascii="Times New Roman" w:hAnsi="Times New Roman"/>
          <w:sz w:val="28"/>
          <w:szCs w:val="28"/>
        </w:rPr>
        <w:t xml:space="preserve"> además, se</w:t>
      </w:r>
      <w:r w:rsidRPr="00491C4A">
        <w:rPr>
          <w:rFonts w:ascii="Times New Roman" w:hAnsi="Times New Roman"/>
          <w:sz w:val="28"/>
          <w:szCs w:val="28"/>
        </w:rPr>
        <w:t xml:space="preserve"> evidencia que </w:t>
      </w:r>
      <w:r w:rsidRPr="00491C4A">
        <w:rPr>
          <w:rFonts w:ascii="Times New Roman" w:hAnsi="Times New Roman"/>
          <w:sz w:val="28"/>
          <w:szCs w:val="28"/>
        </w:rPr>
        <w:t xml:space="preserve">uno </w:t>
      </w:r>
      <w:r w:rsidRPr="00491C4A">
        <w:rPr>
          <w:rFonts w:ascii="Times New Roman" w:hAnsi="Times New Roman"/>
          <w:sz w:val="28"/>
          <w:szCs w:val="28"/>
        </w:rPr>
        <w:t>de los</w:t>
      </w:r>
      <w:r w:rsidRPr="00491C4A">
        <w:rPr>
          <w:rFonts w:ascii="Times New Roman" w:hAnsi="Times New Roman"/>
          <w:sz w:val="28"/>
          <w:szCs w:val="28"/>
        </w:rPr>
        <w:t xml:space="preserve"> representante</w:t>
      </w:r>
      <w:r w:rsidRPr="00491C4A">
        <w:rPr>
          <w:rFonts w:ascii="Times New Roman" w:hAnsi="Times New Roman"/>
          <w:sz w:val="28"/>
          <w:szCs w:val="28"/>
        </w:rPr>
        <w:t>s</w:t>
      </w:r>
      <w:r w:rsidRPr="00491C4A">
        <w:rPr>
          <w:rFonts w:ascii="Times New Roman" w:hAnsi="Times New Roman"/>
          <w:sz w:val="28"/>
          <w:szCs w:val="28"/>
        </w:rPr>
        <w:t xml:space="preserve"> que abogó por la reapertura fue el mismo que previamente desistió </w:t>
      </w:r>
      <w:r w:rsidRPr="00491C4A">
        <w:rPr>
          <w:rFonts w:ascii="Times New Roman" w:hAnsi="Times New Roman"/>
          <w:sz w:val="28"/>
          <w:szCs w:val="28"/>
        </w:rPr>
        <w:t>de una</w:t>
      </w:r>
      <w:r w:rsidRPr="00491C4A">
        <w:rPr>
          <w:rFonts w:ascii="Times New Roman" w:hAnsi="Times New Roman"/>
          <w:sz w:val="28"/>
          <w:szCs w:val="28"/>
        </w:rPr>
        <w:t xml:space="preserve"> proposición de eliminación</w:t>
      </w:r>
      <w:r w:rsidRPr="00491C4A">
        <w:rPr>
          <w:rFonts w:ascii="Times New Roman" w:hAnsi="Times New Roman"/>
          <w:sz w:val="28"/>
          <w:szCs w:val="28"/>
        </w:rPr>
        <w:t xml:space="preserve"> </w:t>
      </w:r>
      <w:r w:rsidRPr="00491C4A">
        <w:rPr>
          <w:rFonts w:ascii="Times New Roman" w:hAnsi="Times New Roman"/>
          <w:sz w:val="28"/>
          <w:szCs w:val="28"/>
        </w:rPr>
        <w:t>respecto de dicho texto</w:t>
      </w:r>
      <w:r w:rsidRPr="00491C4A">
        <w:rPr>
          <w:rFonts w:ascii="Times New Roman" w:hAnsi="Times New Roman"/>
          <w:sz w:val="28"/>
          <w:szCs w:val="28"/>
        </w:rPr>
        <w:t>.</w:t>
      </w:r>
    </w:p>
    <w:p w:rsidR="00131A03" w:rsidRPr="00491C4A" w:rsidRDefault="00491C4A" w:rsidP="00131A03">
      <w:pPr>
        <w:pStyle w:val="Prrafodelista"/>
        <w:rPr>
          <w:rFonts w:ascii="Times New Roman" w:hAnsi="Times New Roman"/>
          <w:sz w:val="28"/>
          <w:szCs w:val="28"/>
        </w:rPr>
      </w:pPr>
    </w:p>
    <w:p w:rsidR="00141B5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conclusión, </w:t>
      </w:r>
      <w:r w:rsidRPr="00491C4A">
        <w:rPr>
          <w:rFonts w:ascii="Times New Roman" w:hAnsi="Times New Roman"/>
          <w:sz w:val="28"/>
          <w:szCs w:val="28"/>
        </w:rPr>
        <w:t xml:space="preserve">la Sala Plena no encuentra un vicio de procedimiento en la formación del artículo 233 de la Ley 2294 de 2023 por no haberse accedido a </w:t>
      </w:r>
      <w:r w:rsidRPr="00491C4A">
        <w:rPr>
          <w:rFonts w:ascii="Times New Roman" w:hAnsi="Times New Roman"/>
          <w:sz w:val="28"/>
          <w:szCs w:val="28"/>
        </w:rPr>
        <w:t>la reapertura de</w:t>
      </w:r>
      <w:r w:rsidRPr="00491C4A">
        <w:rPr>
          <w:rFonts w:ascii="Times New Roman" w:hAnsi="Times New Roman"/>
          <w:sz w:val="28"/>
          <w:szCs w:val="28"/>
        </w:rPr>
        <w:t xml:space="preserve">l artículo 207 en la </w:t>
      </w:r>
      <w:r w:rsidRPr="00491C4A">
        <w:rPr>
          <w:rFonts w:ascii="Times New Roman" w:hAnsi="Times New Roman"/>
          <w:sz w:val="28"/>
          <w:szCs w:val="28"/>
        </w:rPr>
        <w:t>P</w:t>
      </w:r>
      <w:r w:rsidRPr="00491C4A">
        <w:rPr>
          <w:rFonts w:ascii="Times New Roman" w:hAnsi="Times New Roman"/>
          <w:sz w:val="28"/>
          <w:szCs w:val="28"/>
        </w:rPr>
        <w:t xml:space="preserve">lenaria de la </w:t>
      </w:r>
      <w:r w:rsidRPr="00491C4A">
        <w:rPr>
          <w:rFonts w:ascii="Times New Roman" w:hAnsi="Times New Roman"/>
          <w:sz w:val="28"/>
          <w:szCs w:val="28"/>
        </w:rPr>
        <w:t>Cámara de Representantes</w:t>
      </w:r>
      <w:r w:rsidRPr="00491C4A">
        <w:rPr>
          <w:rFonts w:ascii="Times New Roman" w:hAnsi="Times New Roman"/>
          <w:sz w:val="28"/>
          <w:szCs w:val="28"/>
        </w:rPr>
        <w:t xml:space="preserve">. </w:t>
      </w:r>
      <w:r w:rsidRPr="00491C4A">
        <w:rPr>
          <w:rFonts w:ascii="Times New Roman" w:hAnsi="Times New Roman"/>
          <w:sz w:val="28"/>
          <w:szCs w:val="28"/>
        </w:rPr>
        <w:t xml:space="preserve">La jurisprudencia constitucional ha dado vía libre a </w:t>
      </w:r>
      <w:r w:rsidRPr="00491C4A">
        <w:rPr>
          <w:rFonts w:ascii="Times New Roman" w:hAnsi="Times New Roman"/>
          <w:sz w:val="28"/>
          <w:szCs w:val="28"/>
        </w:rPr>
        <w:t>este tipo de iniciativas</w:t>
      </w:r>
      <w:r w:rsidRPr="00491C4A">
        <w:rPr>
          <w:rFonts w:ascii="Times New Roman" w:hAnsi="Times New Roman"/>
          <w:sz w:val="28"/>
          <w:szCs w:val="28"/>
        </w:rPr>
        <w:t xml:space="preserve">, </w:t>
      </w:r>
      <w:r w:rsidRPr="00491C4A">
        <w:rPr>
          <w:rFonts w:ascii="Times New Roman" w:hAnsi="Times New Roman"/>
          <w:sz w:val="28"/>
          <w:szCs w:val="28"/>
        </w:rPr>
        <w:t>pero ha señalado con toda claridad que l</w:t>
      </w:r>
      <w:r w:rsidRPr="00491C4A">
        <w:rPr>
          <w:rFonts w:ascii="Times New Roman" w:hAnsi="Times New Roman"/>
          <w:sz w:val="28"/>
          <w:szCs w:val="28"/>
        </w:rPr>
        <w:t>a garantía d</w:t>
      </w:r>
      <w:r w:rsidRPr="00491C4A">
        <w:rPr>
          <w:rFonts w:ascii="Times New Roman" w:hAnsi="Times New Roman"/>
          <w:sz w:val="28"/>
          <w:szCs w:val="28"/>
        </w:rPr>
        <w:t>el principio de consecutividad</w:t>
      </w:r>
      <w:r w:rsidRPr="00491C4A">
        <w:rPr>
          <w:rFonts w:ascii="Times New Roman" w:hAnsi="Times New Roman"/>
          <w:sz w:val="28"/>
          <w:szCs w:val="28"/>
        </w:rPr>
        <w:t xml:space="preserve"> </w:t>
      </w:r>
      <w:r w:rsidRPr="00491C4A">
        <w:rPr>
          <w:rFonts w:ascii="Times New Roman" w:hAnsi="Times New Roman"/>
          <w:sz w:val="28"/>
          <w:szCs w:val="28"/>
        </w:rPr>
        <w:t xml:space="preserve">no exige que </w:t>
      </w:r>
      <w:r w:rsidRPr="00491C4A">
        <w:rPr>
          <w:rFonts w:ascii="Times New Roman" w:hAnsi="Times New Roman"/>
          <w:sz w:val="28"/>
          <w:szCs w:val="28"/>
        </w:rPr>
        <w:t xml:space="preserve">los debates sean reabiertos. Este principio </w:t>
      </w:r>
      <w:r w:rsidRPr="00491C4A">
        <w:rPr>
          <w:rFonts w:ascii="Times New Roman" w:hAnsi="Times New Roman"/>
          <w:sz w:val="28"/>
          <w:szCs w:val="28"/>
        </w:rPr>
        <w:t xml:space="preserve">está </w:t>
      </w:r>
      <w:r w:rsidRPr="00491C4A">
        <w:rPr>
          <w:rFonts w:ascii="Times New Roman" w:hAnsi="Times New Roman"/>
          <w:sz w:val="28"/>
          <w:szCs w:val="28"/>
        </w:rPr>
        <w:t>orientado a que se satisfagan en su integridad los debates exi</w:t>
      </w:r>
      <w:r w:rsidRPr="00491C4A">
        <w:rPr>
          <w:rFonts w:ascii="Times New Roman" w:hAnsi="Times New Roman"/>
          <w:sz w:val="28"/>
          <w:szCs w:val="28"/>
        </w:rPr>
        <w:t>gidos por la Constitución para cada una de las leyes, lo que queda agotado con la primera votación de los asuntos</w:t>
      </w:r>
      <w:r w:rsidRPr="00491C4A">
        <w:rPr>
          <w:rFonts w:ascii="Times New Roman" w:hAnsi="Times New Roman"/>
          <w:sz w:val="28"/>
          <w:szCs w:val="28"/>
        </w:rPr>
        <w:t xml:space="preserve">, </w:t>
      </w:r>
      <w:r w:rsidRPr="00491C4A">
        <w:rPr>
          <w:rFonts w:ascii="Times New Roman" w:hAnsi="Times New Roman"/>
          <w:sz w:val="28"/>
          <w:szCs w:val="28"/>
        </w:rPr>
        <w:t xml:space="preserve">siempre que para esta </w:t>
      </w:r>
      <w:r w:rsidRPr="00491C4A">
        <w:rPr>
          <w:rFonts w:ascii="Times New Roman" w:hAnsi="Times New Roman"/>
          <w:sz w:val="28"/>
          <w:szCs w:val="28"/>
        </w:rPr>
        <w:t>se garanti</w:t>
      </w:r>
      <w:r w:rsidRPr="00491C4A">
        <w:rPr>
          <w:rFonts w:ascii="Times New Roman" w:hAnsi="Times New Roman"/>
          <w:sz w:val="28"/>
          <w:szCs w:val="28"/>
        </w:rPr>
        <w:t xml:space="preserve">ce el derecho de </w:t>
      </w:r>
      <w:r w:rsidRPr="00491C4A">
        <w:rPr>
          <w:rFonts w:ascii="Times New Roman" w:hAnsi="Times New Roman"/>
          <w:sz w:val="28"/>
          <w:szCs w:val="28"/>
        </w:rPr>
        <w:t>los</w:t>
      </w:r>
      <w:r w:rsidRPr="00491C4A">
        <w:rPr>
          <w:rFonts w:ascii="Times New Roman" w:hAnsi="Times New Roman"/>
          <w:sz w:val="28"/>
          <w:szCs w:val="28"/>
        </w:rPr>
        <w:t xml:space="preserve"> congresistas a debatir los</w:t>
      </w:r>
      <w:r w:rsidRPr="00491C4A">
        <w:rPr>
          <w:rFonts w:ascii="Times New Roman" w:hAnsi="Times New Roman"/>
          <w:sz w:val="28"/>
          <w:szCs w:val="28"/>
        </w:rPr>
        <w:t xml:space="preserve"> asuntos puestos a su consideración, a quienes corresponde </w:t>
      </w:r>
      <w:r w:rsidRPr="00491C4A">
        <w:rPr>
          <w:rFonts w:ascii="Times New Roman" w:hAnsi="Times New Roman"/>
          <w:sz w:val="28"/>
          <w:szCs w:val="28"/>
        </w:rPr>
        <w:t>adelantar sus funciones con diligencia</w:t>
      </w:r>
      <w:r w:rsidRPr="00491C4A">
        <w:rPr>
          <w:rFonts w:ascii="Times New Roman" w:hAnsi="Times New Roman"/>
          <w:sz w:val="28"/>
          <w:szCs w:val="28"/>
        </w:rPr>
        <w:t>.</w:t>
      </w:r>
    </w:p>
    <w:p w:rsidR="00141B59" w:rsidRPr="00491C4A" w:rsidRDefault="00491C4A" w:rsidP="00141B59">
      <w:pPr>
        <w:pStyle w:val="Prrafodelista"/>
        <w:rPr>
          <w:rFonts w:ascii="Times New Roman" w:hAnsi="Times New Roman"/>
          <w:sz w:val="28"/>
          <w:szCs w:val="28"/>
        </w:rPr>
      </w:pPr>
    </w:p>
    <w:p w:rsidR="00274B88" w:rsidRPr="00491C4A" w:rsidRDefault="00491C4A">
      <w:pPr>
        <w:pStyle w:val="Ttulo2"/>
        <w:numPr>
          <w:ilvl w:val="0"/>
          <w:numId w:val="7"/>
        </w:numPr>
        <w:spacing w:before="0" w:after="0"/>
        <w:ind w:left="0" w:firstLine="0"/>
        <w:jc w:val="both"/>
        <w:rPr>
          <w:rFonts w:ascii="Times New Roman" w:hAnsi="Times New Roman"/>
          <w:b/>
          <w:bCs/>
          <w:color w:val="auto"/>
          <w:sz w:val="28"/>
          <w:szCs w:val="28"/>
        </w:rPr>
      </w:pPr>
      <w:bookmarkStart w:id="35" w:name="_Toc200753669"/>
      <w:r w:rsidRPr="00491C4A">
        <w:rPr>
          <w:rFonts w:ascii="Times New Roman" w:hAnsi="Times New Roman"/>
          <w:b/>
          <w:bCs/>
          <w:color w:val="auto"/>
          <w:sz w:val="28"/>
          <w:szCs w:val="28"/>
        </w:rPr>
        <w:t>Los principios de legalidad y certeza tributaria.</w:t>
      </w:r>
      <w:r w:rsidRPr="00491C4A">
        <w:rPr>
          <w:rFonts w:ascii="Times New Roman" w:hAnsi="Times New Roman"/>
          <w:b/>
          <w:bCs/>
          <w:color w:val="auto"/>
          <w:sz w:val="28"/>
          <w:szCs w:val="28"/>
        </w:rPr>
        <w:t xml:space="preserve"> </w:t>
      </w:r>
      <w:r w:rsidRPr="00491C4A">
        <w:rPr>
          <w:rFonts w:ascii="Times New Roman" w:hAnsi="Times New Roman"/>
          <w:b/>
          <w:bCs/>
          <w:color w:val="auto"/>
          <w:sz w:val="28"/>
          <w:szCs w:val="28"/>
        </w:rPr>
        <w:t>Reiteración de jurisprudencia</w:t>
      </w:r>
      <w:bookmarkEnd w:id="35"/>
    </w:p>
    <w:p w:rsidR="00146530" w:rsidRPr="00491C4A" w:rsidRDefault="00491C4A" w:rsidP="00146530">
      <w:pPr>
        <w:pStyle w:val="Prrafodelista"/>
        <w:ind w:left="284" w:right="284"/>
        <w:jc w:val="both"/>
        <w:rPr>
          <w:rFonts w:ascii="Times New Roman" w:hAnsi="Times New Roman"/>
          <w:sz w:val="28"/>
          <w:szCs w:val="28"/>
        </w:rPr>
      </w:pPr>
    </w:p>
    <w:p w:rsidR="006F088F"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 </w:t>
      </w:r>
      <w:r w:rsidRPr="00491C4A">
        <w:rPr>
          <w:rFonts w:ascii="Times New Roman" w:hAnsi="Times New Roman"/>
          <w:sz w:val="28"/>
          <w:szCs w:val="28"/>
        </w:rPr>
        <w:t xml:space="preserve">El numeral 12 del artículo 150 de la Constitución prescribe que por medio </w:t>
      </w:r>
      <w:r w:rsidRPr="00491C4A">
        <w:rPr>
          <w:rFonts w:ascii="Times New Roman" w:hAnsi="Times New Roman"/>
          <w:sz w:val="28"/>
          <w:szCs w:val="28"/>
        </w:rPr>
        <w:t>de las leyes corresponde al Congreso “</w:t>
      </w:r>
      <w:r w:rsidRPr="00491C4A">
        <w:rPr>
          <w:rFonts w:ascii="Times New Roman" w:hAnsi="Times New Roman"/>
          <w:i/>
          <w:iCs/>
          <w:sz w:val="28"/>
          <w:szCs w:val="28"/>
        </w:rPr>
        <w:t>establecer contri</w:t>
      </w:r>
      <w:r w:rsidRPr="00491C4A">
        <w:rPr>
          <w:rFonts w:ascii="Times New Roman" w:hAnsi="Times New Roman"/>
          <w:i/>
          <w:iCs/>
          <w:sz w:val="28"/>
          <w:szCs w:val="28"/>
        </w:rPr>
        <w:t>buciones fiscales y, excepcionalmente, contribuciones parafiscales</w:t>
      </w:r>
      <w:r w:rsidRPr="00491C4A">
        <w:rPr>
          <w:rFonts w:ascii="Times New Roman" w:hAnsi="Times New Roman"/>
          <w:i/>
          <w:iCs/>
          <w:sz w:val="28"/>
          <w:szCs w:val="28"/>
        </w:rPr>
        <w:t>.</w:t>
      </w:r>
      <w:r w:rsidRPr="00491C4A">
        <w:rPr>
          <w:rFonts w:ascii="Times New Roman" w:hAnsi="Times New Roman"/>
          <w:sz w:val="28"/>
          <w:szCs w:val="28"/>
        </w:rPr>
        <w:t>”</w:t>
      </w:r>
      <w:r w:rsidRPr="00491C4A">
        <w:rPr>
          <w:rFonts w:ascii="Times New Roman" w:hAnsi="Times New Roman"/>
          <w:sz w:val="28"/>
          <w:szCs w:val="28"/>
        </w:rPr>
        <w:t xml:space="preserve"> El artículo 338 constitucional ordena que la ley fije directamente </w:t>
      </w:r>
      <w:r w:rsidRPr="00491C4A">
        <w:rPr>
          <w:rFonts w:ascii="Times New Roman" w:hAnsi="Times New Roman"/>
          <w:sz w:val="28"/>
          <w:szCs w:val="28"/>
        </w:rPr>
        <w:t xml:space="preserve">los elementos esenciales del tributo, dentro de los que menciona </w:t>
      </w:r>
      <w:r w:rsidRPr="00491C4A">
        <w:rPr>
          <w:rFonts w:ascii="Times New Roman" w:hAnsi="Times New Roman"/>
          <w:sz w:val="28"/>
          <w:szCs w:val="28"/>
        </w:rPr>
        <w:t>los sujetos activos y pasivos</w:t>
      </w:r>
      <w:r w:rsidRPr="00491C4A">
        <w:rPr>
          <w:rFonts w:ascii="Times New Roman" w:hAnsi="Times New Roman"/>
          <w:sz w:val="28"/>
          <w:szCs w:val="28"/>
        </w:rPr>
        <w:t>;</w:t>
      </w:r>
      <w:r w:rsidRPr="00491C4A">
        <w:rPr>
          <w:rFonts w:ascii="Times New Roman" w:hAnsi="Times New Roman"/>
          <w:sz w:val="28"/>
          <w:szCs w:val="28"/>
        </w:rPr>
        <w:t xml:space="preserve"> los hechos y las bases gravables</w:t>
      </w:r>
      <w:r w:rsidRPr="00491C4A">
        <w:rPr>
          <w:rFonts w:ascii="Times New Roman" w:hAnsi="Times New Roman"/>
          <w:sz w:val="28"/>
          <w:szCs w:val="28"/>
        </w:rPr>
        <w:t>;</w:t>
      </w:r>
      <w:r w:rsidRPr="00491C4A">
        <w:rPr>
          <w:rFonts w:ascii="Times New Roman" w:hAnsi="Times New Roman"/>
          <w:sz w:val="28"/>
          <w:szCs w:val="28"/>
        </w:rPr>
        <w:t xml:space="preserve"> así como las tarifas de los tributos. </w:t>
      </w:r>
    </w:p>
    <w:p w:rsidR="006F088F" w:rsidRPr="00491C4A" w:rsidRDefault="00491C4A" w:rsidP="006F088F">
      <w:pPr>
        <w:pStyle w:val="Prrafodelista"/>
        <w:ind w:left="0"/>
        <w:jc w:val="both"/>
        <w:rPr>
          <w:rFonts w:ascii="Times New Roman" w:hAnsi="Times New Roman"/>
          <w:sz w:val="28"/>
          <w:szCs w:val="28"/>
        </w:rPr>
      </w:pPr>
    </w:p>
    <w:p w:rsidR="006F088F"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w:t>
      </w:r>
      <w:r w:rsidRPr="00491C4A">
        <w:rPr>
          <w:rFonts w:ascii="Times New Roman" w:hAnsi="Times New Roman"/>
          <w:sz w:val="28"/>
          <w:szCs w:val="28"/>
        </w:rPr>
        <w:t xml:space="preserve"> principio de certeza tributaria se deriva </w:t>
      </w:r>
      <w:r w:rsidRPr="00491C4A">
        <w:rPr>
          <w:rFonts w:ascii="Times New Roman" w:hAnsi="Times New Roman"/>
          <w:sz w:val="28"/>
          <w:szCs w:val="28"/>
        </w:rPr>
        <w:t>d</w:t>
      </w:r>
      <w:r w:rsidRPr="00491C4A">
        <w:rPr>
          <w:rFonts w:ascii="Times New Roman" w:hAnsi="Times New Roman"/>
          <w:sz w:val="28"/>
          <w:szCs w:val="28"/>
        </w:rPr>
        <w:t>el de legalidad y una de sus manifestaciones consiste en que “</w:t>
      </w:r>
      <w:r w:rsidRPr="00491C4A">
        <w:rPr>
          <w:rFonts w:ascii="Times New Roman" w:hAnsi="Times New Roman"/>
          <w:i/>
          <w:iCs/>
          <w:sz w:val="28"/>
          <w:szCs w:val="28"/>
        </w:rPr>
        <w:t>la creación de los tributos y la definición</w:t>
      </w:r>
      <w:r w:rsidRPr="00491C4A">
        <w:rPr>
          <w:rFonts w:ascii="Times New Roman" w:hAnsi="Times New Roman"/>
          <w:i/>
          <w:iCs/>
          <w:sz w:val="28"/>
          <w:szCs w:val="28"/>
        </w:rPr>
        <w:t xml:space="preserve"> de sus elementos estructurales solo puede estar en cabeza de los órganos de representación popular</w:t>
      </w:r>
      <w:r w:rsidRPr="00491C4A">
        <w:rPr>
          <w:rFonts w:ascii="Times New Roman" w:hAnsi="Times New Roman"/>
          <w:sz w:val="28"/>
          <w:szCs w:val="28"/>
        </w:rPr>
        <w:t>”</w:t>
      </w:r>
      <w:r w:rsidRPr="00491C4A">
        <w:rPr>
          <w:rStyle w:val="Refdenotaalpie"/>
          <w:rFonts w:ascii="Times New Roman" w:hAnsi="Times New Roman"/>
          <w:sz w:val="28"/>
          <w:szCs w:val="28"/>
        </w:rPr>
        <w:footnoteReference w:id="120"/>
      </w:r>
      <w:r w:rsidRPr="00491C4A">
        <w:rPr>
          <w:rFonts w:ascii="Times New Roman" w:hAnsi="Times New Roman"/>
          <w:sz w:val="28"/>
          <w:szCs w:val="28"/>
        </w:rPr>
        <w:t xml:space="preserve">, </w:t>
      </w:r>
      <w:r w:rsidRPr="00491C4A">
        <w:rPr>
          <w:rFonts w:ascii="Times New Roman" w:hAnsi="Times New Roman"/>
          <w:sz w:val="28"/>
          <w:szCs w:val="28"/>
        </w:rPr>
        <w:t>como “</w:t>
      </w:r>
      <w:r w:rsidRPr="00491C4A">
        <w:rPr>
          <w:rFonts w:ascii="Times New Roman" w:hAnsi="Times New Roman"/>
          <w:i/>
          <w:iCs/>
          <w:sz w:val="28"/>
          <w:szCs w:val="28"/>
        </w:rPr>
        <w:t xml:space="preserve">uno </w:t>
      </w:r>
      <w:r w:rsidRPr="00491C4A">
        <w:rPr>
          <w:rFonts w:ascii="Times New Roman" w:hAnsi="Times New Roman"/>
          <w:i/>
          <w:iCs/>
          <w:sz w:val="28"/>
          <w:szCs w:val="28"/>
        </w:rPr>
        <w:t>d</w:t>
      </w:r>
      <w:r w:rsidRPr="00491C4A">
        <w:rPr>
          <w:rFonts w:ascii="Times New Roman" w:hAnsi="Times New Roman"/>
          <w:i/>
          <w:iCs/>
          <w:sz w:val="28"/>
          <w:szCs w:val="28"/>
        </w:rPr>
        <w:t>e los cimientos de los estados constitucionales</w:t>
      </w:r>
      <w:r w:rsidRPr="00491C4A">
        <w:rPr>
          <w:rFonts w:ascii="Times New Roman" w:hAnsi="Times New Roman"/>
          <w:sz w:val="28"/>
          <w:szCs w:val="28"/>
        </w:rPr>
        <w:t>”</w:t>
      </w:r>
      <w:r w:rsidRPr="00491C4A">
        <w:rPr>
          <w:rStyle w:val="Refdenotaalpie"/>
          <w:rFonts w:ascii="Times New Roman" w:hAnsi="Times New Roman"/>
          <w:sz w:val="28"/>
          <w:szCs w:val="28"/>
        </w:rPr>
        <w:footnoteReference w:id="121"/>
      </w:r>
      <w:r w:rsidRPr="00491C4A">
        <w:rPr>
          <w:rFonts w:ascii="Times New Roman" w:hAnsi="Times New Roman"/>
          <w:sz w:val="28"/>
          <w:szCs w:val="28"/>
        </w:rPr>
        <w:t>, en tanto que “</w:t>
      </w:r>
      <w:r w:rsidRPr="00491C4A">
        <w:rPr>
          <w:rFonts w:ascii="Times New Roman" w:hAnsi="Times New Roman"/>
          <w:i/>
          <w:iCs/>
          <w:sz w:val="28"/>
          <w:szCs w:val="28"/>
        </w:rPr>
        <w:t xml:space="preserve">el poder de imponer tributos debe estar condicionado a la legitimidad de un </w:t>
      </w:r>
      <w:r w:rsidRPr="00491C4A">
        <w:rPr>
          <w:rFonts w:ascii="Times New Roman" w:hAnsi="Times New Roman"/>
          <w:i/>
          <w:iCs/>
          <w:sz w:val="28"/>
          <w:szCs w:val="28"/>
        </w:rPr>
        <w:t>proceso legislativo democrático y participativo.</w:t>
      </w:r>
      <w:r w:rsidRPr="00491C4A">
        <w:rPr>
          <w:rFonts w:ascii="Times New Roman" w:hAnsi="Times New Roman"/>
          <w:sz w:val="28"/>
          <w:szCs w:val="28"/>
        </w:rPr>
        <w:t>”</w:t>
      </w:r>
      <w:r w:rsidRPr="00491C4A">
        <w:rPr>
          <w:rStyle w:val="Refdenotaalpie"/>
          <w:rFonts w:ascii="Times New Roman" w:hAnsi="Times New Roman"/>
          <w:sz w:val="28"/>
          <w:szCs w:val="28"/>
        </w:rPr>
        <w:footnoteReference w:id="122"/>
      </w:r>
      <w:r w:rsidRPr="00491C4A">
        <w:rPr>
          <w:rFonts w:ascii="Times New Roman" w:hAnsi="Times New Roman"/>
          <w:sz w:val="28"/>
          <w:szCs w:val="28"/>
        </w:rPr>
        <w:t xml:space="preserve"> </w:t>
      </w:r>
      <w:r w:rsidRPr="00491C4A">
        <w:rPr>
          <w:rFonts w:ascii="Times New Roman" w:hAnsi="Times New Roman"/>
          <w:sz w:val="28"/>
          <w:szCs w:val="28"/>
        </w:rPr>
        <w:t>El principio de certeza tributaria</w:t>
      </w:r>
      <w:r w:rsidRPr="00491C4A">
        <w:rPr>
          <w:rFonts w:ascii="Times New Roman" w:hAnsi="Times New Roman"/>
          <w:sz w:val="28"/>
          <w:szCs w:val="28"/>
        </w:rPr>
        <w:t xml:space="preserve"> busca proteger la seguridad jurídica</w:t>
      </w:r>
      <w:r w:rsidRPr="00491C4A">
        <w:rPr>
          <w:rFonts w:ascii="Times New Roman" w:hAnsi="Times New Roman"/>
          <w:sz w:val="28"/>
          <w:szCs w:val="28"/>
        </w:rPr>
        <w:t xml:space="preserve"> y</w:t>
      </w:r>
      <w:r w:rsidRPr="00491C4A">
        <w:rPr>
          <w:rFonts w:ascii="Times New Roman" w:hAnsi="Times New Roman"/>
          <w:sz w:val="28"/>
          <w:szCs w:val="28"/>
        </w:rPr>
        <w:t xml:space="preserve"> contribuir </w:t>
      </w:r>
      <w:r w:rsidRPr="00491C4A">
        <w:rPr>
          <w:rFonts w:ascii="Times New Roman" w:hAnsi="Times New Roman"/>
          <w:sz w:val="28"/>
          <w:szCs w:val="28"/>
        </w:rPr>
        <w:t>a la eficiencia del sistema</w:t>
      </w:r>
      <w:r w:rsidRPr="00491C4A">
        <w:rPr>
          <w:rStyle w:val="Refdenotaalpie"/>
          <w:rFonts w:ascii="Times New Roman" w:hAnsi="Times New Roman"/>
          <w:sz w:val="28"/>
          <w:szCs w:val="28"/>
        </w:rPr>
        <w:footnoteReference w:id="123"/>
      </w:r>
      <w:r w:rsidRPr="00491C4A">
        <w:rPr>
          <w:rFonts w:ascii="Times New Roman" w:hAnsi="Times New Roman"/>
          <w:sz w:val="28"/>
          <w:szCs w:val="28"/>
        </w:rPr>
        <w:t>. Ade</w:t>
      </w:r>
      <w:r w:rsidRPr="00491C4A">
        <w:rPr>
          <w:rFonts w:ascii="Times New Roman" w:hAnsi="Times New Roman"/>
          <w:sz w:val="28"/>
          <w:szCs w:val="28"/>
        </w:rPr>
        <w:t>más, l</w:t>
      </w:r>
      <w:r w:rsidRPr="00491C4A">
        <w:rPr>
          <w:rFonts w:ascii="Times New Roman" w:hAnsi="Times New Roman"/>
          <w:sz w:val="28"/>
          <w:szCs w:val="28"/>
        </w:rPr>
        <w:t xml:space="preserve">a </w:t>
      </w:r>
      <w:r w:rsidRPr="00491C4A">
        <w:rPr>
          <w:rFonts w:ascii="Times New Roman" w:hAnsi="Times New Roman"/>
          <w:sz w:val="28"/>
          <w:szCs w:val="28"/>
        </w:rPr>
        <w:t>Corte ha considerado que la imprecisión del legislador de</w:t>
      </w:r>
      <w:r w:rsidRPr="00491C4A">
        <w:rPr>
          <w:rFonts w:ascii="Times New Roman" w:hAnsi="Times New Roman"/>
          <w:sz w:val="28"/>
          <w:szCs w:val="28"/>
        </w:rPr>
        <w:t xml:space="preserve">viene </w:t>
      </w:r>
      <w:r w:rsidRPr="00491C4A">
        <w:rPr>
          <w:rFonts w:ascii="Times New Roman" w:hAnsi="Times New Roman"/>
          <w:sz w:val="28"/>
          <w:szCs w:val="28"/>
        </w:rPr>
        <w:t>en la inconstitu</w:t>
      </w:r>
      <w:r w:rsidRPr="00491C4A">
        <w:rPr>
          <w:rFonts w:ascii="Times New Roman" w:hAnsi="Times New Roman"/>
          <w:sz w:val="28"/>
          <w:szCs w:val="28"/>
        </w:rPr>
        <w:t>cionalidad de la ley cuando es insuperable.</w:t>
      </w:r>
      <w:r w:rsidRPr="00491C4A">
        <w:rPr>
          <w:rStyle w:val="Refdenotaalpie"/>
          <w:rFonts w:ascii="Times New Roman" w:hAnsi="Times New Roman"/>
          <w:sz w:val="28"/>
          <w:szCs w:val="28"/>
        </w:rPr>
        <w:footnoteReference w:id="124"/>
      </w:r>
    </w:p>
    <w:p w:rsidR="00A759BA" w:rsidRPr="00491C4A" w:rsidRDefault="00491C4A" w:rsidP="00A759BA">
      <w:pPr>
        <w:pStyle w:val="Prrafodelista"/>
        <w:rPr>
          <w:rFonts w:ascii="Times New Roman" w:hAnsi="Times New Roman"/>
          <w:sz w:val="28"/>
          <w:szCs w:val="28"/>
        </w:rPr>
      </w:pPr>
    </w:p>
    <w:p w:rsidR="00A759B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 partir de los dos primeros incisos del artículo 338 de la Constitución, se puede inferir que el orden constitucional reconoce dos calificaciones tributarias: </w:t>
      </w:r>
      <w:r w:rsidRPr="00491C4A">
        <w:rPr>
          <w:rFonts w:ascii="Times New Roman" w:hAnsi="Times New Roman"/>
          <w:i/>
          <w:iCs/>
          <w:sz w:val="28"/>
          <w:szCs w:val="28"/>
        </w:rPr>
        <w:t>en</w:t>
      </w:r>
      <w:r w:rsidRPr="00491C4A">
        <w:rPr>
          <w:rFonts w:ascii="Times New Roman" w:hAnsi="Times New Roman"/>
          <w:i/>
          <w:sz w:val="28"/>
          <w:szCs w:val="28"/>
        </w:rPr>
        <w:t xml:space="preserve"> primer lugar</w:t>
      </w:r>
      <w:r w:rsidRPr="00491C4A">
        <w:rPr>
          <w:rFonts w:ascii="Times New Roman" w:hAnsi="Times New Roman"/>
          <w:sz w:val="28"/>
          <w:szCs w:val="28"/>
        </w:rPr>
        <w:t>, se identifican las "</w:t>
      </w:r>
      <w:r w:rsidRPr="00491C4A">
        <w:rPr>
          <w:rFonts w:ascii="Times New Roman" w:hAnsi="Times New Roman"/>
          <w:i/>
          <w:iCs/>
          <w:sz w:val="28"/>
          <w:szCs w:val="28"/>
        </w:rPr>
        <w:t>contribuciones fiscales o parafiscales</w:t>
      </w:r>
      <w:r w:rsidRPr="00491C4A">
        <w:rPr>
          <w:rFonts w:ascii="Times New Roman" w:hAnsi="Times New Roman"/>
          <w:sz w:val="28"/>
          <w:szCs w:val="28"/>
        </w:rPr>
        <w:t xml:space="preserve">". Este término más general, reconocido directamente por la Constitución, abarca una amplia gama de tributos. </w:t>
      </w:r>
      <w:r w:rsidRPr="00491C4A">
        <w:rPr>
          <w:rFonts w:ascii="Times New Roman" w:hAnsi="Times New Roman"/>
          <w:iCs/>
          <w:sz w:val="28"/>
          <w:szCs w:val="28"/>
        </w:rPr>
        <w:t>En segundo lugar</w:t>
      </w:r>
      <w:r w:rsidRPr="00491C4A">
        <w:rPr>
          <w:rFonts w:ascii="Times New Roman" w:hAnsi="Times New Roman"/>
          <w:sz w:val="28"/>
          <w:szCs w:val="28"/>
        </w:rPr>
        <w:t>, se observa una tipología tributaria más específica que comprende los "</w:t>
      </w:r>
      <w:r w:rsidRPr="00491C4A">
        <w:rPr>
          <w:rFonts w:ascii="Times New Roman" w:hAnsi="Times New Roman"/>
          <w:i/>
          <w:iCs/>
          <w:sz w:val="28"/>
          <w:szCs w:val="28"/>
        </w:rPr>
        <w:t>impuestos, tasas y c</w:t>
      </w:r>
      <w:r w:rsidRPr="00491C4A">
        <w:rPr>
          <w:rFonts w:ascii="Times New Roman" w:hAnsi="Times New Roman"/>
          <w:i/>
          <w:iCs/>
          <w:sz w:val="28"/>
          <w:szCs w:val="28"/>
        </w:rPr>
        <w:t>ontribuciones</w:t>
      </w:r>
      <w:r w:rsidRPr="00491C4A">
        <w:rPr>
          <w:rFonts w:ascii="Times New Roman" w:hAnsi="Times New Roman"/>
          <w:sz w:val="28"/>
          <w:szCs w:val="28"/>
        </w:rPr>
        <w:t>". Si bien estos tres conceptos no son definidos explícitamente en el artículo, su inclusión en el marco normativo sugiere una categorización más específica de tributos en el ordenamiento jurídico colombiano.</w:t>
      </w:r>
    </w:p>
    <w:p w:rsidR="00A759BA" w:rsidRPr="00491C4A" w:rsidRDefault="00491C4A" w:rsidP="00A759BA">
      <w:pPr>
        <w:pStyle w:val="Prrafodelista"/>
        <w:rPr>
          <w:rFonts w:ascii="Times New Roman" w:hAnsi="Times New Roman"/>
          <w:sz w:val="28"/>
          <w:szCs w:val="28"/>
        </w:rPr>
      </w:pPr>
    </w:p>
    <w:p w:rsidR="00A759B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interpretación armónica </w:t>
      </w:r>
      <w:r w:rsidRPr="00491C4A">
        <w:rPr>
          <w:rFonts w:ascii="Times New Roman" w:hAnsi="Times New Roman"/>
          <w:sz w:val="28"/>
          <w:szCs w:val="28"/>
        </w:rPr>
        <w:t>de los</w:t>
      </w:r>
      <w:r w:rsidRPr="00491C4A">
        <w:rPr>
          <w:rFonts w:ascii="Times New Roman" w:hAnsi="Times New Roman"/>
          <w:sz w:val="28"/>
          <w:szCs w:val="28"/>
        </w:rPr>
        <w:t xml:space="preserve"> artículos 95.9, 150.12, 179.3, 338, 300-4 y 313-4, la jurisprudencia constitucional ha aclarado que la Constitución Política emplea el término "</w:t>
      </w:r>
      <w:r w:rsidRPr="00491C4A">
        <w:rPr>
          <w:rFonts w:ascii="Times New Roman" w:hAnsi="Times New Roman"/>
          <w:i/>
          <w:iCs/>
          <w:sz w:val="28"/>
          <w:szCs w:val="28"/>
        </w:rPr>
        <w:t>contribución</w:t>
      </w:r>
      <w:r w:rsidRPr="00491C4A">
        <w:rPr>
          <w:rFonts w:ascii="Times New Roman" w:hAnsi="Times New Roman"/>
          <w:sz w:val="28"/>
          <w:szCs w:val="28"/>
        </w:rPr>
        <w:t>" de manera variada. Este vocablo se usa de manera genérica para abarcar todos los tributos en el o</w:t>
      </w:r>
      <w:r w:rsidRPr="00491C4A">
        <w:rPr>
          <w:rFonts w:ascii="Times New Roman" w:hAnsi="Times New Roman"/>
          <w:sz w:val="28"/>
          <w:szCs w:val="28"/>
        </w:rPr>
        <w:t>rdinal 9 del artículo 95, en el ordinal 12 del artículo 150 y en el inciso 1 del artículo 338 de la Constitución Política. Por su parte, el inciso 2 del artículo 338 se refiere a los tributos que se cobran a los contribuyentes para participar en beneficios</w:t>
      </w:r>
      <w:r w:rsidRPr="00491C4A">
        <w:rPr>
          <w:rFonts w:ascii="Times New Roman" w:hAnsi="Times New Roman"/>
          <w:sz w:val="28"/>
          <w:szCs w:val="28"/>
        </w:rPr>
        <w:t xml:space="preserve"> proporcionados por las autoridades. Por último, la jurisprudencia reconoce que el término </w:t>
      </w:r>
      <w:r w:rsidRPr="00491C4A">
        <w:rPr>
          <w:rFonts w:ascii="Times New Roman" w:hAnsi="Times New Roman"/>
          <w:i/>
          <w:iCs/>
          <w:sz w:val="28"/>
          <w:szCs w:val="28"/>
        </w:rPr>
        <w:t>“contribución”</w:t>
      </w:r>
      <w:r w:rsidRPr="00491C4A">
        <w:rPr>
          <w:rFonts w:ascii="Times New Roman" w:hAnsi="Times New Roman"/>
          <w:sz w:val="28"/>
          <w:szCs w:val="28"/>
        </w:rPr>
        <w:t xml:space="preserve"> se emplea en el ordinal 3 del artículo 179 y en el inciso 1 del artículo 338, que se aplica a las contribuciones parafiscales.</w:t>
      </w:r>
      <w:r w:rsidRPr="00491C4A">
        <w:rPr>
          <w:rStyle w:val="Refdenotaalpie"/>
          <w:rFonts w:ascii="Times New Roman" w:hAnsi="Times New Roman"/>
          <w:sz w:val="28"/>
          <w:szCs w:val="28"/>
        </w:rPr>
        <w:footnoteReference w:id="125"/>
      </w:r>
      <w:r w:rsidRPr="00491C4A">
        <w:rPr>
          <w:rFonts w:ascii="Times New Roman" w:hAnsi="Times New Roman"/>
          <w:sz w:val="28"/>
          <w:szCs w:val="28"/>
        </w:rPr>
        <w:t xml:space="preserve"> </w:t>
      </w:r>
    </w:p>
    <w:p w:rsidR="00A9270C" w:rsidRPr="00491C4A" w:rsidRDefault="00491C4A" w:rsidP="00A9270C">
      <w:pPr>
        <w:pStyle w:val="Prrafodelista"/>
        <w:rPr>
          <w:rFonts w:ascii="Times New Roman" w:hAnsi="Times New Roman"/>
          <w:sz w:val="28"/>
          <w:szCs w:val="28"/>
        </w:rPr>
      </w:pPr>
    </w:p>
    <w:p w:rsidR="00644580" w:rsidRPr="00491C4A" w:rsidRDefault="00491C4A" w:rsidP="00407D0A">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continuación, se r</w:t>
      </w:r>
      <w:r w:rsidRPr="00491C4A">
        <w:rPr>
          <w:rFonts w:ascii="Times New Roman" w:hAnsi="Times New Roman"/>
          <w:sz w:val="28"/>
          <w:szCs w:val="28"/>
        </w:rPr>
        <w:t>esume la caracterización de los tributos que ha elaborado la jurisprudencia.</w:t>
      </w:r>
      <w:r w:rsidRPr="00491C4A">
        <w:rPr>
          <w:rStyle w:val="Refdenotaalpie"/>
          <w:rFonts w:ascii="Times New Roman" w:hAnsi="Times New Roman"/>
          <w:sz w:val="28"/>
          <w:szCs w:val="28"/>
        </w:rPr>
        <w:footnoteReference w:id="126"/>
      </w:r>
      <w:bookmarkStart w:id="36" w:name="_Toc200753670"/>
    </w:p>
    <w:p w:rsidR="00F37EE3" w:rsidRPr="00491C4A" w:rsidRDefault="00491C4A" w:rsidP="00F37EE3">
      <w:pPr>
        <w:pStyle w:val="Ttulo3"/>
        <w:spacing w:before="0"/>
        <w:jc w:val="center"/>
        <w:rPr>
          <w:rFonts w:ascii="Times New Roman" w:hAnsi="Times New Roman"/>
          <w:b/>
          <w:bCs/>
          <w:i/>
          <w:iCs/>
          <w:color w:val="auto"/>
        </w:rPr>
      </w:pPr>
      <w:r w:rsidRPr="00491C4A">
        <w:rPr>
          <w:rFonts w:ascii="Times New Roman" w:hAnsi="Times New Roman"/>
          <w:b/>
          <w:bCs/>
          <w:i/>
          <w:iCs/>
          <w:color w:val="auto"/>
        </w:rPr>
        <w:t xml:space="preserve">Tabla </w:t>
      </w:r>
      <w:r w:rsidRPr="00491C4A">
        <w:rPr>
          <w:rFonts w:ascii="Times New Roman" w:hAnsi="Times New Roman"/>
          <w:b/>
          <w:bCs/>
          <w:i/>
          <w:iCs/>
          <w:color w:val="auto"/>
        </w:rPr>
        <w:t>8</w:t>
      </w:r>
      <w:r w:rsidRPr="00491C4A">
        <w:rPr>
          <w:rFonts w:ascii="Times New Roman" w:hAnsi="Times New Roman"/>
          <w:b/>
          <w:bCs/>
          <w:i/>
          <w:iCs/>
          <w:color w:val="auto"/>
        </w:rPr>
        <w:t xml:space="preserve"> – Tipos de tributos</w:t>
      </w:r>
      <w:bookmarkEnd w:id="36"/>
    </w:p>
    <w:p w:rsidR="007270C5" w:rsidRPr="00491C4A" w:rsidRDefault="00491C4A" w:rsidP="007270C5">
      <w:pPr>
        <w:pStyle w:val="NormalWeb"/>
        <w:spacing w:before="0" w:beforeAutospacing="0" w:after="0" w:afterAutospacing="0"/>
        <w:contextualSpacing/>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7114"/>
      </w:tblGrid>
      <w:tr w:rsidR="007270C5" w:rsidRPr="00491C4A" w:rsidTr="00491C4A">
        <w:trPr>
          <w:tblHeader/>
          <w:jc w:val="center"/>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7270C5" w:rsidRPr="00491C4A" w:rsidRDefault="00491C4A" w:rsidP="00491C4A">
            <w:pPr>
              <w:spacing w:after="0" w:line="240" w:lineRule="auto"/>
              <w:jc w:val="center"/>
              <w:rPr>
                <w:rFonts w:ascii="Times New Roman" w:hAnsi="Times New Roman"/>
                <w:b/>
                <w:bCs/>
                <w:sz w:val="28"/>
              </w:rPr>
            </w:pPr>
            <w:r w:rsidRPr="00491C4A">
              <w:rPr>
                <w:rFonts w:ascii="Times New Roman" w:hAnsi="Times New Roman"/>
                <w:b/>
                <w:bCs/>
                <w:sz w:val="28"/>
              </w:rPr>
              <w:t>Tipo de tributo</w:t>
            </w:r>
          </w:p>
        </w:tc>
        <w:tc>
          <w:tcPr>
            <w:tcW w:w="7114" w:type="dxa"/>
            <w:tcBorders>
              <w:top w:val="single" w:sz="4" w:space="0" w:color="auto"/>
              <w:left w:val="single" w:sz="4" w:space="0" w:color="auto"/>
              <w:bottom w:val="single" w:sz="4" w:space="0" w:color="auto"/>
              <w:right w:val="single" w:sz="4" w:space="0" w:color="auto"/>
            </w:tcBorders>
            <w:shd w:val="clear" w:color="auto" w:fill="auto"/>
            <w:vAlign w:val="center"/>
          </w:tcPr>
          <w:p w:rsidR="007270C5" w:rsidRPr="00491C4A" w:rsidRDefault="00491C4A" w:rsidP="00491C4A">
            <w:pPr>
              <w:shd w:val="clear" w:color="auto" w:fill="FFFFFF"/>
              <w:spacing w:after="0" w:line="240" w:lineRule="auto"/>
              <w:jc w:val="center"/>
              <w:rPr>
                <w:rFonts w:ascii="Times New Roman" w:hAnsi="Times New Roman"/>
                <w:b/>
                <w:bCs/>
                <w:color w:val="000000"/>
                <w:sz w:val="28"/>
              </w:rPr>
            </w:pPr>
            <w:r w:rsidRPr="00491C4A">
              <w:rPr>
                <w:rFonts w:ascii="Times New Roman" w:hAnsi="Times New Roman"/>
                <w:b/>
                <w:bCs/>
                <w:color w:val="000000"/>
                <w:sz w:val="28"/>
              </w:rPr>
              <w:t>Características</w:t>
            </w:r>
          </w:p>
        </w:tc>
      </w:tr>
      <w:tr w:rsidR="007270C5" w:rsidRPr="00491C4A" w:rsidTr="00491C4A">
        <w:trPr>
          <w:jc w:val="center"/>
        </w:trPr>
        <w:tc>
          <w:tcPr>
            <w:tcW w:w="1242" w:type="dxa"/>
            <w:tcBorders>
              <w:top w:val="single" w:sz="4" w:space="0" w:color="auto"/>
            </w:tcBorders>
            <w:shd w:val="clear" w:color="auto" w:fill="auto"/>
            <w:vAlign w:val="center"/>
          </w:tcPr>
          <w:p w:rsidR="007270C5" w:rsidRPr="00491C4A" w:rsidRDefault="00491C4A" w:rsidP="00491C4A">
            <w:pPr>
              <w:spacing w:after="0" w:line="240" w:lineRule="auto"/>
              <w:jc w:val="center"/>
              <w:rPr>
                <w:rFonts w:ascii="Times New Roman" w:hAnsi="Times New Roman"/>
                <w:sz w:val="28"/>
              </w:rPr>
            </w:pPr>
            <w:r w:rsidRPr="00491C4A">
              <w:rPr>
                <w:rFonts w:ascii="Times New Roman" w:hAnsi="Times New Roman"/>
                <w:sz w:val="28"/>
              </w:rPr>
              <w:t>Impuesto</w:t>
            </w:r>
          </w:p>
        </w:tc>
        <w:tc>
          <w:tcPr>
            <w:tcW w:w="7114" w:type="dxa"/>
            <w:tcBorders>
              <w:top w:val="single" w:sz="4" w:space="0" w:color="auto"/>
            </w:tcBorders>
            <w:shd w:val="clear" w:color="auto" w:fill="auto"/>
          </w:tcPr>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color w:val="000000"/>
                <w:sz w:val="28"/>
              </w:rPr>
              <w:t xml:space="preserve">(i) </w:t>
            </w:r>
            <w:r w:rsidRPr="00491C4A">
              <w:rPr>
                <w:rFonts w:ascii="Times New Roman" w:hAnsi="Times New Roman"/>
                <w:color w:val="000000"/>
                <w:sz w:val="28"/>
              </w:rPr>
              <w:t xml:space="preserve">Es una prestación unilateral por lo que el contribuyente no recibe ninguna contraprestación por parte </w:t>
            </w:r>
            <w:r w:rsidRPr="00491C4A">
              <w:rPr>
                <w:rFonts w:ascii="Times New Roman" w:hAnsi="Times New Roman"/>
                <w:color w:val="000000"/>
                <w:sz w:val="28"/>
              </w:rPr>
              <w:t>del Estado.</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color w:val="000000"/>
                <w:sz w:val="28"/>
              </w:rPr>
              <w:t>(ii)</w:t>
            </w:r>
            <w:r w:rsidRPr="00491C4A">
              <w:rPr>
                <w:rFonts w:ascii="Times New Roman" w:hAnsi="Times New Roman"/>
                <w:color w:val="000000"/>
                <w:sz w:val="28"/>
              </w:rPr>
              <w:t xml:space="preserve"> El hecho generador que lo sustenta observa la capacidad económica del contribuyente, como valoración del principio de justicia y equidad, sin que por ello pierda su vocación de carácter general.</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color w:val="000000"/>
                <w:sz w:val="28"/>
              </w:rPr>
              <w:t>(iii)</w:t>
            </w:r>
            <w:r w:rsidRPr="00491C4A">
              <w:rPr>
                <w:rFonts w:ascii="Times New Roman" w:hAnsi="Times New Roman"/>
                <w:color w:val="000000"/>
                <w:sz w:val="28"/>
              </w:rPr>
              <w:t xml:space="preserve"> Por su carácter general, el impuesto</w:t>
            </w:r>
            <w:r w:rsidRPr="00491C4A">
              <w:rPr>
                <w:rFonts w:ascii="Times New Roman" w:hAnsi="Times New Roman"/>
                <w:color w:val="000000"/>
                <w:sz w:val="28"/>
              </w:rPr>
              <w:t xml:space="preserve"> se cobra a todo ciudadano que realice el hecho generador.</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color w:val="000000"/>
                <w:sz w:val="28"/>
              </w:rPr>
              <w:t>(iv)</w:t>
            </w:r>
            <w:r w:rsidRPr="00491C4A">
              <w:rPr>
                <w:rFonts w:ascii="Times New Roman" w:hAnsi="Times New Roman"/>
                <w:color w:val="000000"/>
                <w:sz w:val="28"/>
              </w:rPr>
              <w:t xml:space="preserve"> El pago no es opcional ni discrecional, lo que se traduce en la posibilidad de forzar su cumplimiento a través de la jurisdicción coactiva.</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color w:val="000000"/>
                <w:sz w:val="28"/>
              </w:rPr>
              <w:t>(v)</w:t>
            </w:r>
            <w:r w:rsidRPr="00491C4A">
              <w:rPr>
                <w:rFonts w:ascii="Times New Roman" w:hAnsi="Times New Roman"/>
                <w:color w:val="000000"/>
                <w:sz w:val="28"/>
              </w:rPr>
              <w:t xml:space="preserve"> En cuanto se recaude, conforme al principio de</w:t>
            </w:r>
            <w:r w:rsidRPr="00491C4A">
              <w:rPr>
                <w:rFonts w:ascii="Times New Roman" w:hAnsi="Times New Roman"/>
                <w:color w:val="000000"/>
                <w:sz w:val="28"/>
              </w:rPr>
              <w:t xml:space="preserve"> unidad de caja, el Estado puede disponer de dichos recursos de acuerdo con lo previsto en los planes y presupuestos nacionales, por lo cual la disposición del recurso se hace con base en prioridades distintas a las del contribuyente.</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2D2D2D"/>
                <w:sz w:val="28"/>
              </w:rPr>
            </w:pPr>
            <w:r w:rsidRPr="00491C4A">
              <w:rPr>
                <w:rFonts w:ascii="Times New Roman" w:hAnsi="Times New Roman"/>
                <w:i/>
                <w:color w:val="000000"/>
                <w:sz w:val="28"/>
              </w:rPr>
              <w:t>(vi)</w:t>
            </w:r>
            <w:r w:rsidRPr="00491C4A">
              <w:rPr>
                <w:rFonts w:ascii="Times New Roman" w:hAnsi="Times New Roman"/>
                <w:color w:val="000000"/>
                <w:sz w:val="28"/>
              </w:rPr>
              <w:t xml:space="preserve"> No guarda una r</w:t>
            </w:r>
            <w:r w:rsidRPr="00491C4A">
              <w:rPr>
                <w:rFonts w:ascii="Times New Roman" w:hAnsi="Times New Roman"/>
                <w:color w:val="000000"/>
                <w:sz w:val="28"/>
              </w:rPr>
              <w:t>elación directa e inmediata con un beneficio específico derivado para el contribuyente.</w:t>
            </w:r>
          </w:p>
        </w:tc>
      </w:tr>
      <w:tr w:rsidR="007270C5" w:rsidRPr="00491C4A" w:rsidTr="00491C4A">
        <w:trPr>
          <w:jc w:val="center"/>
        </w:trPr>
        <w:tc>
          <w:tcPr>
            <w:tcW w:w="1242" w:type="dxa"/>
            <w:shd w:val="clear" w:color="auto" w:fill="auto"/>
            <w:vAlign w:val="center"/>
          </w:tcPr>
          <w:p w:rsidR="007270C5" w:rsidRPr="00491C4A" w:rsidRDefault="00491C4A" w:rsidP="00491C4A">
            <w:pPr>
              <w:spacing w:after="0" w:line="240" w:lineRule="auto"/>
              <w:jc w:val="center"/>
              <w:rPr>
                <w:rFonts w:ascii="Times New Roman" w:hAnsi="Times New Roman"/>
                <w:sz w:val="28"/>
              </w:rPr>
            </w:pPr>
            <w:r w:rsidRPr="00491C4A">
              <w:rPr>
                <w:rFonts w:ascii="Times New Roman" w:hAnsi="Times New Roman"/>
                <w:sz w:val="28"/>
              </w:rPr>
              <w:t>Tasa</w:t>
            </w:r>
          </w:p>
        </w:tc>
        <w:tc>
          <w:tcPr>
            <w:tcW w:w="7114" w:type="dxa"/>
            <w:shd w:val="clear" w:color="auto" w:fill="auto"/>
          </w:tcPr>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w:t>
            </w:r>
            <w:r w:rsidRPr="00491C4A">
              <w:rPr>
                <w:rFonts w:ascii="Times New Roman" w:hAnsi="Times New Roman"/>
                <w:sz w:val="28"/>
              </w:rPr>
              <w:t xml:space="preserve"> El hecho generador se basa en la prestación de un servicio público, o en un beneficio particular al contribuyente, por lo cual es un beneficio individualizable.</w:t>
            </w:r>
          </w:p>
          <w:p w:rsidR="007270C5" w:rsidRPr="00491C4A" w:rsidRDefault="00491C4A" w:rsidP="00491C4A">
            <w:pPr>
              <w:shd w:val="clear" w:color="auto" w:fill="FFFFFF"/>
              <w:spacing w:after="0" w:line="240" w:lineRule="auto"/>
              <w:jc w:val="both"/>
              <w:rPr>
                <w:rFonts w:ascii="Times New Roman" w:hAnsi="Times New Roman"/>
                <w:sz w:val="28"/>
              </w:rPr>
            </w:pPr>
          </w:p>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(ii)</w:t>
            </w:r>
            <w:r w:rsidRPr="00491C4A">
              <w:rPr>
                <w:rFonts w:ascii="Times New Roman" w:hAnsi="Times New Roman"/>
                <w:sz w:val="28"/>
              </w:rPr>
              <w:t xml:space="preserve"> Tiene una naturaleza retributiva, por cuanto las personas que utilizan el servicio públi</w:t>
            </w:r>
            <w:r w:rsidRPr="00491C4A">
              <w:rPr>
                <w:rFonts w:ascii="Times New Roman" w:hAnsi="Times New Roman"/>
                <w:sz w:val="28"/>
              </w:rPr>
              <w:t>co deben pagar por él para compensar el gasto en el que ha incurrido el Estado para prestar dicho servicio.</w:t>
            </w:r>
          </w:p>
          <w:p w:rsidR="007270C5" w:rsidRPr="00491C4A" w:rsidRDefault="00491C4A" w:rsidP="00491C4A">
            <w:pPr>
              <w:shd w:val="clear" w:color="auto" w:fill="FFFFFF"/>
              <w:spacing w:after="0" w:line="240" w:lineRule="auto"/>
              <w:jc w:val="both"/>
              <w:rPr>
                <w:rFonts w:ascii="Times New Roman" w:hAnsi="Times New Roman"/>
                <w:sz w:val="28"/>
              </w:rPr>
            </w:pPr>
          </w:p>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(iii)</w:t>
            </w:r>
            <w:r w:rsidRPr="00491C4A">
              <w:rPr>
                <w:rFonts w:ascii="Times New Roman" w:hAnsi="Times New Roman"/>
                <w:sz w:val="28"/>
              </w:rPr>
              <w:t xml:space="preserve"> Se cobra cuando el contribuyente provoca la prestación del servicio público de naturaleza divisible. El cobro, por regla general, es proporci</w:t>
            </w:r>
            <w:r w:rsidRPr="00491C4A">
              <w:rPr>
                <w:rFonts w:ascii="Times New Roman" w:hAnsi="Times New Roman"/>
                <w:sz w:val="28"/>
              </w:rPr>
              <w:t>onal a la prestación del servicio, aunque en ciertos casos admite criterios distributivos.</w:t>
            </w:r>
          </w:p>
          <w:p w:rsidR="007270C5" w:rsidRPr="00491C4A" w:rsidRDefault="00491C4A" w:rsidP="00491C4A">
            <w:pPr>
              <w:shd w:val="clear" w:color="auto" w:fill="FFFFFF"/>
              <w:spacing w:after="0" w:line="240" w:lineRule="auto"/>
              <w:jc w:val="both"/>
              <w:rPr>
                <w:rFonts w:ascii="Times New Roman" w:hAnsi="Times New Roman"/>
                <w:sz w:val="28"/>
              </w:rPr>
            </w:pPr>
          </w:p>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iCs/>
                <w:sz w:val="28"/>
              </w:rPr>
              <w:t xml:space="preserve">(iv) </w:t>
            </w:r>
            <w:r w:rsidRPr="00491C4A">
              <w:rPr>
                <w:rFonts w:ascii="Times New Roman" w:hAnsi="Times New Roman"/>
                <w:sz w:val="28"/>
              </w:rPr>
              <w:t>Presentan una destinación espec</w:t>
            </w:r>
            <w:r w:rsidRPr="00491C4A">
              <w:rPr>
                <w:rFonts w:ascii="Times New Roman" w:hAnsi="Times New Roman"/>
                <w:sz w:val="28"/>
              </w:rPr>
              <w:t>í</w:t>
            </w:r>
            <w:r w:rsidRPr="00491C4A">
              <w:rPr>
                <w:rFonts w:ascii="Times New Roman" w:hAnsi="Times New Roman"/>
                <w:sz w:val="28"/>
              </w:rPr>
              <w:t>fica, consistente en el mantenimiento y mejora del servicio público que las origina.</w:t>
            </w:r>
          </w:p>
        </w:tc>
      </w:tr>
      <w:tr w:rsidR="007270C5" w:rsidRPr="00491C4A" w:rsidTr="00491C4A">
        <w:trPr>
          <w:jc w:val="center"/>
        </w:trPr>
        <w:tc>
          <w:tcPr>
            <w:tcW w:w="1242" w:type="dxa"/>
            <w:shd w:val="clear" w:color="auto" w:fill="auto"/>
            <w:vAlign w:val="center"/>
          </w:tcPr>
          <w:p w:rsidR="007270C5" w:rsidRPr="00491C4A" w:rsidRDefault="00491C4A" w:rsidP="00491C4A">
            <w:pPr>
              <w:spacing w:after="0" w:line="240" w:lineRule="auto"/>
              <w:jc w:val="center"/>
              <w:rPr>
                <w:rFonts w:ascii="Times New Roman" w:hAnsi="Times New Roman"/>
                <w:sz w:val="28"/>
              </w:rPr>
            </w:pPr>
            <w:r w:rsidRPr="00491C4A">
              <w:rPr>
                <w:rFonts w:ascii="Times New Roman" w:hAnsi="Times New Roman"/>
                <w:sz w:val="28"/>
              </w:rPr>
              <w:t>Contribución Especial</w:t>
            </w:r>
          </w:p>
        </w:tc>
        <w:tc>
          <w:tcPr>
            <w:tcW w:w="7114" w:type="dxa"/>
            <w:shd w:val="clear" w:color="auto" w:fill="auto"/>
          </w:tcPr>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w:t>
            </w:r>
            <w:r w:rsidRPr="00491C4A">
              <w:rPr>
                <w:rFonts w:ascii="Times New Roman" w:hAnsi="Times New Roman"/>
                <w:sz w:val="28"/>
              </w:rPr>
              <w:t xml:space="preserve"> Es la compensación que debe pagar una persona por el beneficio directo que obtuvo como consecuencia de un servicio u obra realizado por una entidad pública.</w:t>
            </w:r>
          </w:p>
          <w:p w:rsidR="007270C5" w:rsidRPr="00491C4A" w:rsidRDefault="00491C4A" w:rsidP="00491C4A">
            <w:pPr>
              <w:shd w:val="clear" w:color="auto" w:fill="FFFFFF"/>
              <w:spacing w:after="0" w:line="240" w:lineRule="auto"/>
              <w:jc w:val="both"/>
              <w:rPr>
                <w:rFonts w:ascii="Times New Roman" w:hAnsi="Times New Roman"/>
                <w:sz w:val="28"/>
              </w:rPr>
            </w:pPr>
          </w:p>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(ii)</w:t>
            </w:r>
            <w:r w:rsidRPr="00491C4A">
              <w:rPr>
                <w:rFonts w:ascii="Times New Roman" w:hAnsi="Times New Roman"/>
                <w:sz w:val="28"/>
              </w:rPr>
              <w:t xml:space="preserve"> La contribución manifiesta externalidades, al generar un beneficio directo en bienes o actividades económicas del contribuyente.</w:t>
            </w:r>
          </w:p>
          <w:p w:rsidR="007270C5" w:rsidRPr="00491C4A" w:rsidRDefault="00491C4A" w:rsidP="00491C4A">
            <w:pPr>
              <w:shd w:val="clear" w:color="auto" w:fill="FFFFFF"/>
              <w:spacing w:after="0" w:line="240" w:lineRule="auto"/>
              <w:jc w:val="both"/>
              <w:rPr>
                <w:rFonts w:ascii="Times New Roman" w:hAnsi="Times New Roman"/>
                <w:sz w:val="28"/>
              </w:rPr>
            </w:pPr>
          </w:p>
          <w:p w:rsidR="007270C5" w:rsidRPr="00491C4A" w:rsidRDefault="00491C4A" w:rsidP="00491C4A">
            <w:pPr>
              <w:shd w:val="clear" w:color="auto" w:fill="FFFFFF"/>
              <w:spacing w:after="0" w:line="240" w:lineRule="auto"/>
              <w:jc w:val="both"/>
              <w:rPr>
                <w:rFonts w:ascii="Times New Roman" w:hAnsi="Times New Roman"/>
                <w:sz w:val="28"/>
              </w:rPr>
            </w:pPr>
            <w:r w:rsidRPr="00491C4A">
              <w:rPr>
                <w:rFonts w:ascii="Times New Roman" w:hAnsi="Times New Roman"/>
                <w:i/>
                <w:sz w:val="28"/>
              </w:rPr>
              <w:t>(iii)</w:t>
            </w:r>
            <w:r w:rsidRPr="00491C4A">
              <w:rPr>
                <w:rFonts w:ascii="Times New Roman" w:hAnsi="Times New Roman"/>
                <w:sz w:val="28"/>
              </w:rPr>
              <w:t xml:space="preserve"> Se cobra para evitar un indebido aprovechamiento de externalidades positivas patrimoniales, que se traducen en el benef</w:t>
            </w:r>
            <w:r w:rsidRPr="00491C4A">
              <w:rPr>
                <w:rFonts w:ascii="Times New Roman" w:hAnsi="Times New Roman"/>
                <w:sz w:val="28"/>
              </w:rPr>
              <w:t>icio o incremento del valor o de los bienes del sujeto pasivo, o en un beneficio potencial. Tal es el caso, por ejemplo, de la seguridad.</w:t>
            </w:r>
          </w:p>
          <w:p w:rsidR="007270C5" w:rsidRPr="00491C4A" w:rsidRDefault="00491C4A" w:rsidP="00491C4A">
            <w:pPr>
              <w:shd w:val="clear" w:color="auto" w:fill="FFFFFF"/>
              <w:spacing w:after="0" w:line="240" w:lineRule="auto"/>
              <w:jc w:val="both"/>
              <w:rPr>
                <w:rFonts w:ascii="Times New Roman" w:hAnsi="Times New Roman"/>
                <w:sz w:val="28"/>
              </w:rPr>
            </w:pPr>
          </w:p>
        </w:tc>
      </w:tr>
      <w:tr w:rsidR="007270C5" w:rsidRPr="00491C4A" w:rsidTr="00491C4A">
        <w:trPr>
          <w:jc w:val="center"/>
        </w:trPr>
        <w:tc>
          <w:tcPr>
            <w:tcW w:w="1242" w:type="dxa"/>
            <w:shd w:val="clear" w:color="auto" w:fill="auto"/>
            <w:vAlign w:val="center"/>
          </w:tcPr>
          <w:p w:rsidR="007270C5" w:rsidRPr="00491C4A" w:rsidRDefault="00491C4A" w:rsidP="00491C4A">
            <w:pPr>
              <w:spacing w:after="0" w:line="240" w:lineRule="auto"/>
              <w:jc w:val="center"/>
              <w:rPr>
                <w:rFonts w:ascii="Times New Roman" w:hAnsi="Times New Roman"/>
                <w:sz w:val="28"/>
              </w:rPr>
            </w:pPr>
            <w:r w:rsidRPr="00491C4A">
              <w:rPr>
                <w:rFonts w:ascii="Times New Roman" w:hAnsi="Times New Roman"/>
                <w:sz w:val="28"/>
              </w:rPr>
              <w:t>Contribución Parafiscal</w:t>
            </w:r>
          </w:p>
        </w:tc>
        <w:tc>
          <w:tcPr>
            <w:tcW w:w="7114" w:type="dxa"/>
            <w:shd w:val="clear" w:color="auto" w:fill="auto"/>
          </w:tcPr>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color w:val="000000"/>
                <w:sz w:val="28"/>
              </w:rPr>
              <w:t>El hecho generador son los pagos que deben realizar los usuarios de algunos organismos públi</w:t>
            </w:r>
            <w:r w:rsidRPr="00491C4A">
              <w:rPr>
                <w:rFonts w:ascii="Times New Roman" w:hAnsi="Times New Roman"/>
                <w:color w:val="000000"/>
                <w:sz w:val="28"/>
              </w:rPr>
              <w:t>cos, mixtos o privados, para asegurar el financiamiento de dichas entidades de manera autónoma. En este mismo sentido, se pueden extraer tres rasgos definitorios:</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iCs/>
                <w:color w:val="000000"/>
                <w:sz w:val="28"/>
              </w:rPr>
              <w:t>(i)</w:t>
            </w:r>
            <w:r w:rsidRPr="00491C4A">
              <w:rPr>
                <w:rFonts w:ascii="Times New Roman" w:hAnsi="Times New Roman"/>
                <w:color w:val="000000"/>
                <w:sz w:val="28"/>
              </w:rPr>
              <w:t xml:space="preserve"> El carácter obligatorio porque el sujeto gravado no puede eximirse del deber de pagar la</w:t>
            </w:r>
            <w:r w:rsidRPr="00491C4A">
              <w:rPr>
                <w:rFonts w:ascii="Times New Roman" w:hAnsi="Times New Roman"/>
                <w:color w:val="000000"/>
                <w:sz w:val="28"/>
              </w:rPr>
              <w:t xml:space="preserve"> contribución.</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000000"/>
                <w:sz w:val="28"/>
              </w:rPr>
            </w:pPr>
            <w:r w:rsidRPr="00491C4A">
              <w:rPr>
                <w:rFonts w:ascii="Times New Roman" w:hAnsi="Times New Roman"/>
                <w:i/>
                <w:iCs/>
                <w:color w:val="000000"/>
                <w:sz w:val="28"/>
              </w:rPr>
              <w:t>(ii)</w:t>
            </w:r>
            <w:r w:rsidRPr="00491C4A">
              <w:rPr>
                <w:rFonts w:ascii="Times New Roman" w:hAnsi="Times New Roman"/>
                <w:color w:val="000000"/>
                <w:sz w:val="28"/>
              </w:rPr>
              <w:t xml:space="preserve"> Recae sobre un específico grupo de la sociedad.</w:t>
            </w:r>
          </w:p>
          <w:p w:rsidR="007270C5" w:rsidRPr="00491C4A" w:rsidRDefault="00491C4A" w:rsidP="00491C4A">
            <w:pPr>
              <w:shd w:val="clear" w:color="auto" w:fill="FFFFFF"/>
              <w:spacing w:after="0" w:line="240" w:lineRule="auto"/>
              <w:jc w:val="both"/>
              <w:rPr>
                <w:rFonts w:ascii="Times New Roman" w:hAnsi="Times New Roman"/>
                <w:color w:val="2D2D2D"/>
                <w:sz w:val="28"/>
              </w:rPr>
            </w:pPr>
          </w:p>
          <w:p w:rsidR="007270C5" w:rsidRPr="00491C4A" w:rsidRDefault="00491C4A" w:rsidP="00491C4A">
            <w:pPr>
              <w:shd w:val="clear" w:color="auto" w:fill="FFFFFF"/>
              <w:spacing w:after="0" w:line="240" w:lineRule="auto"/>
              <w:jc w:val="both"/>
              <w:rPr>
                <w:rFonts w:ascii="Times New Roman" w:hAnsi="Times New Roman"/>
                <w:color w:val="2D2D2D"/>
                <w:sz w:val="28"/>
              </w:rPr>
            </w:pPr>
            <w:r w:rsidRPr="00491C4A">
              <w:rPr>
                <w:rFonts w:ascii="Times New Roman" w:hAnsi="Times New Roman"/>
                <w:i/>
                <w:iCs/>
                <w:color w:val="000000"/>
                <w:sz w:val="28"/>
              </w:rPr>
              <w:t>(iii)</w:t>
            </w:r>
            <w:r w:rsidRPr="00491C4A">
              <w:rPr>
                <w:rFonts w:ascii="Times New Roman" w:hAnsi="Times New Roman"/>
                <w:color w:val="000000"/>
                <w:sz w:val="28"/>
              </w:rPr>
              <w:t xml:space="preserve"> Presenta una destinación sectorial, que asegura que los recursos recaudados se reviertan en el sector de donde provienen.</w:t>
            </w:r>
          </w:p>
        </w:tc>
      </w:tr>
    </w:tbl>
    <w:p w:rsidR="007270C5" w:rsidRPr="00491C4A" w:rsidRDefault="00491C4A" w:rsidP="007270C5">
      <w:pPr>
        <w:pStyle w:val="NormalWeb"/>
        <w:spacing w:before="0" w:beforeAutospacing="0" w:after="0" w:afterAutospacing="0"/>
        <w:contextualSpacing/>
        <w:jc w:val="both"/>
        <w:rPr>
          <w:rFonts w:ascii="Times New Roman" w:hAnsi="Times New Roman"/>
          <w:sz w:val="28"/>
          <w:szCs w:val="28"/>
        </w:rPr>
      </w:pPr>
    </w:p>
    <w:p w:rsidR="00462C96" w:rsidRPr="00491C4A" w:rsidRDefault="00491C4A" w:rsidP="006911AD">
      <w:pPr>
        <w:pStyle w:val="NormalWeb"/>
        <w:numPr>
          <w:ilvl w:val="0"/>
          <w:numId w:val="4"/>
        </w:numPr>
        <w:spacing w:before="0" w:beforeAutospacing="0" w:after="0" w:afterAutospacing="0"/>
        <w:ind w:left="0" w:firstLine="0"/>
        <w:contextualSpacing/>
        <w:jc w:val="both"/>
        <w:rPr>
          <w:rFonts w:ascii="Times New Roman" w:hAnsi="Times New Roman"/>
          <w:sz w:val="28"/>
          <w:szCs w:val="28"/>
        </w:rPr>
      </w:pPr>
      <w:r w:rsidRPr="00491C4A">
        <w:rPr>
          <w:rFonts w:ascii="Times New Roman" w:hAnsi="Times New Roman"/>
          <w:sz w:val="28"/>
          <w:szCs w:val="28"/>
        </w:rPr>
        <w:t xml:space="preserve">Desde una perspectiva constitucional, la distinción </w:t>
      </w:r>
      <w:r w:rsidRPr="00491C4A">
        <w:rPr>
          <w:rFonts w:ascii="Times New Roman" w:hAnsi="Times New Roman"/>
          <w:sz w:val="28"/>
          <w:szCs w:val="28"/>
        </w:rPr>
        <w:t>entre tipos de tributos es relevante debido a que la Constitución prevé condiciones diferentes para el cumplimiento de los principios de reserva de ley y de legalidad en función del tipo de tributo del que se trate.</w:t>
      </w:r>
      <w:r w:rsidRPr="00491C4A">
        <w:rPr>
          <w:rStyle w:val="Refdenotaalpie"/>
          <w:rFonts w:ascii="Times New Roman" w:hAnsi="Times New Roman"/>
          <w:sz w:val="28"/>
          <w:szCs w:val="28"/>
        </w:rPr>
        <w:footnoteReference w:id="127"/>
      </w:r>
      <w:r w:rsidRPr="00491C4A">
        <w:rPr>
          <w:rFonts w:ascii="Times New Roman" w:hAnsi="Times New Roman"/>
          <w:sz w:val="28"/>
          <w:szCs w:val="28"/>
        </w:rPr>
        <w:t xml:space="preserve"> Por un lado, como ya se mencionó, en el</w:t>
      </w:r>
      <w:r w:rsidRPr="00491C4A">
        <w:rPr>
          <w:rFonts w:ascii="Times New Roman" w:hAnsi="Times New Roman"/>
          <w:sz w:val="28"/>
          <w:szCs w:val="28"/>
        </w:rPr>
        <w:t xml:space="preserve"> caso de tasas y contribuciones, la autoridad puede fijar la tarifa, pero el sistema para definir costos y beneficios, y su reparto, debe ser establecido por ley, ordenanza o acuerdo; en contraste con los impuestos, cuyos elementos deben ser determinados p</w:t>
      </w:r>
      <w:r w:rsidRPr="00491C4A">
        <w:rPr>
          <w:rFonts w:ascii="Times New Roman" w:hAnsi="Times New Roman"/>
          <w:sz w:val="28"/>
          <w:szCs w:val="28"/>
        </w:rPr>
        <w:t xml:space="preserve">or estas mismas fuentes normativas. Además, el recaudo de las tasas y contribuciones se limita a la recuperación de costos o participación en </w:t>
      </w:r>
      <w:r w:rsidRPr="00491C4A">
        <w:rPr>
          <w:rFonts w:ascii="Times New Roman" w:hAnsi="Times New Roman"/>
          <w:sz w:val="28"/>
          <w:szCs w:val="28"/>
        </w:rPr>
        <w:t xml:space="preserve">los </w:t>
      </w:r>
      <w:r w:rsidRPr="00491C4A">
        <w:rPr>
          <w:rFonts w:ascii="Times New Roman" w:hAnsi="Times New Roman"/>
          <w:sz w:val="28"/>
          <w:szCs w:val="28"/>
        </w:rPr>
        <w:t>beneficios</w:t>
      </w:r>
      <w:r w:rsidRPr="00491C4A">
        <w:rPr>
          <w:rFonts w:ascii="Times New Roman" w:hAnsi="Times New Roman"/>
          <w:sz w:val="28"/>
          <w:szCs w:val="28"/>
        </w:rPr>
        <w:t xml:space="preserve"> percibidos</w:t>
      </w:r>
      <w:r w:rsidRPr="00491C4A">
        <w:rPr>
          <w:rFonts w:ascii="Times New Roman" w:hAnsi="Times New Roman"/>
          <w:sz w:val="28"/>
          <w:szCs w:val="28"/>
        </w:rPr>
        <w:t>, mientras que en los impuestos esta limitación no es aplicable.</w:t>
      </w:r>
      <w:r w:rsidRPr="00491C4A">
        <w:rPr>
          <w:rStyle w:val="Refdenotaalpie"/>
          <w:rFonts w:ascii="Times New Roman" w:hAnsi="Times New Roman"/>
          <w:sz w:val="28"/>
          <w:szCs w:val="28"/>
        </w:rPr>
        <w:footnoteReference w:id="128"/>
      </w:r>
    </w:p>
    <w:p w:rsidR="00462C96" w:rsidRPr="00491C4A" w:rsidRDefault="00491C4A" w:rsidP="00462C96">
      <w:pPr>
        <w:pStyle w:val="NormalWeb"/>
        <w:spacing w:before="0" w:beforeAutospacing="0" w:after="0" w:afterAutospacing="0"/>
        <w:contextualSpacing/>
        <w:jc w:val="both"/>
        <w:rPr>
          <w:rFonts w:ascii="Times New Roman" w:hAnsi="Times New Roman"/>
          <w:sz w:val="28"/>
          <w:szCs w:val="28"/>
        </w:rPr>
      </w:pPr>
    </w:p>
    <w:p w:rsidR="00462C96" w:rsidRPr="00491C4A" w:rsidRDefault="00491C4A" w:rsidP="006911AD">
      <w:pPr>
        <w:pStyle w:val="NormalWeb"/>
        <w:numPr>
          <w:ilvl w:val="0"/>
          <w:numId w:val="4"/>
        </w:numPr>
        <w:spacing w:before="0" w:beforeAutospacing="0" w:after="0" w:afterAutospacing="0"/>
        <w:ind w:left="0" w:firstLine="0"/>
        <w:contextualSpacing/>
        <w:jc w:val="both"/>
        <w:rPr>
          <w:rFonts w:ascii="Times New Roman" w:hAnsi="Times New Roman"/>
          <w:sz w:val="28"/>
          <w:szCs w:val="28"/>
        </w:rPr>
      </w:pPr>
      <w:r w:rsidRPr="00491C4A">
        <w:rPr>
          <w:rFonts w:ascii="Times New Roman" w:hAnsi="Times New Roman"/>
          <w:sz w:val="28"/>
          <w:szCs w:val="28"/>
        </w:rPr>
        <w:t>De acuerdo con la juri</w:t>
      </w:r>
      <w:r w:rsidRPr="00491C4A">
        <w:rPr>
          <w:rFonts w:ascii="Times New Roman" w:hAnsi="Times New Roman"/>
          <w:sz w:val="28"/>
          <w:szCs w:val="28"/>
        </w:rPr>
        <w:t>sprudencia constitucional</w:t>
      </w:r>
      <w:r w:rsidRPr="00491C4A">
        <w:rPr>
          <w:rStyle w:val="Refdenotaalpie"/>
          <w:rFonts w:ascii="Times New Roman" w:hAnsi="Times New Roman"/>
          <w:sz w:val="28"/>
          <w:szCs w:val="28"/>
        </w:rPr>
        <w:footnoteReference w:id="129"/>
      </w:r>
      <w:r w:rsidRPr="00491C4A">
        <w:rPr>
          <w:rFonts w:ascii="Times New Roman" w:hAnsi="Times New Roman"/>
          <w:sz w:val="28"/>
          <w:szCs w:val="28"/>
        </w:rPr>
        <w:t xml:space="preserve">, la delimitación del sujeto pasivo de las contribuciones requiere verificar que: </w:t>
      </w:r>
      <w:r w:rsidRPr="00491C4A">
        <w:rPr>
          <w:rFonts w:ascii="Times New Roman" w:hAnsi="Times New Roman"/>
          <w:i/>
          <w:iCs/>
          <w:sz w:val="28"/>
          <w:szCs w:val="28"/>
        </w:rPr>
        <w:t>(i)</w:t>
      </w:r>
      <w:r w:rsidRPr="00491C4A">
        <w:rPr>
          <w:rFonts w:ascii="Times New Roman" w:hAnsi="Times New Roman"/>
          <w:sz w:val="28"/>
          <w:szCs w:val="28"/>
        </w:rPr>
        <w:t xml:space="preserve"> el sujeto pasivo haya sido claramente determinado o sea determinable; y que, </w:t>
      </w:r>
      <w:r w:rsidRPr="00491C4A">
        <w:rPr>
          <w:rFonts w:ascii="Times New Roman" w:hAnsi="Times New Roman"/>
          <w:i/>
          <w:iCs/>
          <w:sz w:val="28"/>
          <w:szCs w:val="28"/>
        </w:rPr>
        <w:t>(ii)</w:t>
      </w:r>
      <w:r w:rsidRPr="00491C4A">
        <w:rPr>
          <w:rFonts w:ascii="Times New Roman" w:hAnsi="Times New Roman"/>
          <w:sz w:val="28"/>
          <w:szCs w:val="28"/>
        </w:rPr>
        <w:t xml:space="preserve"> el gravamen sea pagado por quien se beneficia de los recursos.</w:t>
      </w:r>
      <w:r w:rsidRPr="00491C4A">
        <w:rPr>
          <w:rFonts w:ascii="Times New Roman" w:hAnsi="Times New Roman"/>
          <w:sz w:val="28"/>
          <w:szCs w:val="28"/>
        </w:rPr>
        <w:t xml:space="preserve"> A su turno, en relación con la destinación sectorial de los recursos que se recauden con ocasión de contribuciones, la Corte ha afirmado que “</w:t>
      </w:r>
      <w:r w:rsidRPr="00491C4A">
        <w:rPr>
          <w:rFonts w:ascii="Times New Roman" w:hAnsi="Times New Roman"/>
          <w:i/>
          <w:iCs/>
          <w:sz w:val="28"/>
          <w:szCs w:val="28"/>
        </w:rPr>
        <w:t>resulta imperioso que la ley que las regula establezca la destinación sectorial de los beneficios de la cuota, po</w:t>
      </w:r>
      <w:r w:rsidRPr="00491C4A">
        <w:rPr>
          <w:rFonts w:ascii="Times New Roman" w:hAnsi="Times New Roman"/>
          <w:i/>
          <w:iCs/>
          <w:sz w:val="28"/>
          <w:szCs w:val="28"/>
        </w:rPr>
        <w:t xml:space="preserve">r lo cual </w:t>
      </w:r>
      <w:r w:rsidRPr="00491C4A">
        <w:rPr>
          <w:rFonts w:ascii="Times New Roman" w:hAnsi="Times New Roman"/>
          <w:sz w:val="28"/>
          <w:szCs w:val="28"/>
        </w:rPr>
        <w:t xml:space="preserve">(…) </w:t>
      </w:r>
      <w:r w:rsidRPr="00491C4A">
        <w:rPr>
          <w:rFonts w:ascii="Times New Roman" w:hAnsi="Times New Roman"/>
          <w:i/>
          <w:iCs/>
          <w:sz w:val="28"/>
          <w:szCs w:val="28"/>
        </w:rPr>
        <w:t>las normas que las crean y regulan deben establecer inequívocamente el segmento de población que será gravado con ellas, la destinación que se les dará, y el organismo que será encargado de su recaudo y ejecución.</w:t>
      </w:r>
      <w:r w:rsidRPr="00491C4A">
        <w:rPr>
          <w:rFonts w:ascii="Times New Roman" w:hAnsi="Times New Roman"/>
          <w:sz w:val="28"/>
          <w:szCs w:val="28"/>
        </w:rPr>
        <w:t>”</w:t>
      </w:r>
      <w:r w:rsidRPr="00491C4A">
        <w:rPr>
          <w:rStyle w:val="Refdenotaalpie"/>
          <w:rFonts w:ascii="Times New Roman" w:hAnsi="Times New Roman"/>
          <w:sz w:val="28"/>
          <w:szCs w:val="28"/>
        </w:rPr>
        <w:footnoteReference w:id="130"/>
      </w:r>
      <w:r w:rsidRPr="00491C4A">
        <w:rPr>
          <w:rFonts w:ascii="Times New Roman" w:hAnsi="Times New Roman"/>
          <w:sz w:val="28"/>
          <w:szCs w:val="28"/>
        </w:rPr>
        <w:t xml:space="preserve"> En esa medida, las leyes q</w:t>
      </w:r>
      <w:r w:rsidRPr="00491C4A">
        <w:rPr>
          <w:rFonts w:ascii="Times New Roman" w:hAnsi="Times New Roman"/>
          <w:sz w:val="28"/>
          <w:szCs w:val="28"/>
        </w:rPr>
        <w:t>ue crean contribuciones parafiscales deben encargarse de “</w:t>
      </w:r>
      <w:r w:rsidRPr="00491C4A">
        <w:rPr>
          <w:rFonts w:ascii="Times New Roman" w:hAnsi="Times New Roman"/>
          <w:i/>
          <w:iCs/>
          <w:sz w:val="28"/>
          <w:szCs w:val="28"/>
        </w:rPr>
        <w:t>definir en términos claros, unívocos y precisos la vocación de estos recursos.</w:t>
      </w:r>
      <w:r w:rsidRPr="00491C4A">
        <w:rPr>
          <w:rFonts w:ascii="Times New Roman" w:hAnsi="Times New Roman"/>
          <w:sz w:val="28"/>
          <w:szCs w:val="28"/>
        </w:rPr>
        <w:t>”</w:t>
      </w:r>
      <w:r w:rsidRPr="00491C4A">
        <w:rPr>
          <w:rStyle w:val="Refdenotaalpie"/>
          <w:rFonts w:ascii="Times New Roman" w:hAnsi="Times New Roman"/>
          <w:sz w:val="28"/>
          <w:szCs w:val="28"/>
        </w:rPr>
        <w:footnoteReference w:id="131"/>
      </w:r>
    </w:p>
    <w:p w:rsidR="00462C96" w:rsidRPr="00491C4A" w:rsidRDefault="00491C4A" w:rsidP="00462C96">
      <w:pPr>
        <w:pStyle w:val="Prrafodelista"/>
        <w:rPr>
          <w:rFonts w:ascii="Times New Roman" w:hAnsi="Times New Roman"/>
          <w:sz w:val="28"/>
          <w:szCs w:val="28"/>
        </w:rPr>
      </w:pPr>
    </w:p>
    <w:p w:rsidR="00462C9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Sentencia C-473 de 2019 zanjó el debate sobre el estándar mínimo exigido al Legislador en la determinación de los</w:t>
      </w:r>
      <w:r w:rsidRPr="00491C4A">
        <w:rPr>
          <w:rFonts w:ascii="Times New Roman" w:hAnsi="Times New Roman"/>
          <w:sz w:val="28"/>
          <w:szCs w:val="28"/>
        </w:rPr>
        <w:t xml:space="preserve"> beneficiarios como elemento esencial de las contribuciones parafiscales al expresar que la ley: “</w:t>
      </w:r>
      <w:r w:rsidRPr="00491C4A">
        <w:rPr>
          <w:rFonts w:ascii="Times New Roman" w:hAnsi="Times New Roman"/>
          <w:i/>
          <w:iCs/>
          <w:sz w:val="28"/>
          <w:szCs w:val="28"/>
        </w:rPr>
        <w:t>debe individualizar al menos el sector que resulta beneficiado con los recursos, así como la naturaleza de las actividades y programas a desarrollar.</w:t>
      </w:r>
      <w:r w:rsidRPr="00491C4A">
        <w:rPr>
          <w:rFonts w:ascii="Times New Roman" w:hAnsi="Times New Roman"/>
          <w:sz w:val="28"/>
          <w:szCs w:val="28"/>
        </w:rPr>
        <w:t>”</w:t>
      </w:r>
    </w:p>
    <w:p w:rsidR="007270C5" w:rsidRPr="00491C4A" w:rsidRDefault="00491C4A" w:rsidP="007270C5">
      <w:pPr>
        <w:jc w:val="both"/>
        <w:rPr>
          <w:rFonts w:ascii="Times New Roman" w:hAnsi="Times New Roman"/>
          <w:b/>
          <w:sz w:val="28"/>
          <w:szCs w:val="28"/>
        </w:rPr>
      </w:pPr>
    </w:p>
    <w:p w:rsidR="0072750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Confor</w:t>
      </w:r>
      <w:r w:rsidRPr="00491C4A">
        <w:rPr>
          <w:rFonts w:ascii="Times New Roman" w:hAnsi="Times New Roman"/>
          <w:sz w:val="28"/>
          <w:szCs w:val="28"/>
        </w:rPr>
        <w:t>me lo ha precisado la jurisprudencia constitucional, el principio de certeza tributaria no exige que la ley defina de forma absoluta y exhaustiva cada uno de los elementos esenciales del tributo. Por el contrario, la Corte ha sostenido que solo se desconoc</w:t>
      </w:r>
      <w:r w:rsidRPr="00491C4A">
        <w:rPr>
          <w:rFonts w:ascii="Times New Roman" w:hAnsi="Times New Roman"/>
          <w:sz w:val="28"/>
          <w:szCs w:val="28"/>
        </w:rPr>
        <w:t>e este principio cuando la oscuridad normativa resulta insuperable y persiste una incertidumbre que impide determinar los elementos estructurales del gravamen. Así lo sostuvo, por ejemplo, en la Sentencia C-389 de 2023, en la que analizó una demanda contra</w:t>
      </w:r>
      <w:r w:rsidRPr="00491C4A">
        <w:rPr>
          <w:rFonts w:ascii="Times New Roman" w:hAnsi="Times New Roman"/>
          <w:sz w:val="28"/>
          <w:szCs w:val="28"/>
        </w:rPr>
        <w:t xml:space="preserve"> una sobretasa al impuesto sobre la renta aplicable a los generadores hidroeléctricos. En ese caso, aunque la norma demandada no contenía una definición expresa del concepto de “actividad económica principal”, la Corte concluyó que ello no suponía una infr</w:t>
      </w:r>
      <w:r w:rsidRPr="00491C4A">
        <w:rPr>
          <w:rFonts w:ascii="Times New Roman" w:hAnsi="Times New Roman"/>
          <w:sz w:val="28"/>
          <w:szCs w:val="28"/>
        </w:rPr>
        <w:t xml:space="preserve">acción al principio de certeza, pues el elemento en cuestión era discernible </w:t>
      </w:r>
      <w:r w:rsidRPr="00491C4A">
        <w:rPr>
          <w:rFonts w:ascii="Times New Roman" w:hAnsi="Times New Roman"/>
          <w:i/>
          <w:iCs/>
          <w:sz w:val="28"/>
          <w:szCs w:val="28"/>
        </w:rPr>
        <w:t>“recurriendo a la normativa tributaria del nivel reglamentario y al sentido natural del lenguaje”</w:t>
      </w:r>
      <w:r w:rsidRPr="00491C4A">
        <w:rPr>
          <w:rStyle w:val="Refdenotaalpie"/>
          <w:rFonts w:ascii="Times New Roman" w:hAnsi="Times New Roman"/>
          <w:sz w:val="28"/>
          <w:szCs w:val="28"/>
        </w:rPr>
        <w:footnoteReference w:id="132"/>
      </w:r>
      <w:r w:rsidRPr="00491C4A">
        <w:rPr>
          <w:rFonts w:ascii="Times New Roman" w:hAnsi="Times New Roman"/>
          <w:sz w:val="28"/>
          <w:szCs w:val="28"/>
        </w:rPr>
        <w:t>, lo cual permitía conocer de manera clara y completa los sujetos pasivos de la o</w:t>
      </w:r>
      <w:r w:rsidRPr="00491C4A">
        <w:rPr>
          <w:rFonts w:ascii="Times New Roman" w:hAnsi="Times New Roman"/>
          <w:sz w:val="28"/>
          <w:szCs w:val="28"/>
        </w:rPr>
        <w:t>bligación fiscal.</w:t>
      </w:r>
    </w:p>
    <w:p w:rsidR="00727506" w:rsidRPr="00491C4A" w:rsidRDefault="00491C4A" w:rsidP="00727506">
      <w:pPr>
        <w:pStyle w:val="Prrafodelista"/>
        <w:rPr>
          <w:rFonts w:ascii="Times New Roman" w:hAnsi="Times New Roman"/>
          <w:sz w:val="28"/>
          <w:szCs w:val="28"/>
        </w:rPr>
      </w:pPr>
    </w:p>
    <w:p w:rsidR="0072750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partir de esta línea jurisprudencial, resulta claro que la exigencia de certeza tributaria no se traduce en la prohibición de toda forma de remisión normativa, sino únicamente en la proscripción de enunciados cuyo grado de ambigüedad o</w:t>
      </w:r>
      <w:r w:rsidRPr="00491C4A">
        <w:rPr>
          <w:rFonts w:ascii="Times New Roman" w:hAnsi="Times New Roman"/>
          <w:sz w:val="28"/>
          <w:szCs w:val="28"/>
        </w:rPr>
        <w:t xml:space="preserve"> vaguedad haga imposible identificar, siquiera por vía interpretativa, los elementos básicos del tributo. De ahí que, como lo reafirmó esta Corte en la Sentencia C-384 de 2023, que reitera la regla de decisión de la Sentencia C-278 de 2019, el legislador p</w:t>
      </w:r>
      <w:r w:rsidRPr="00491C4A">
        <w:rPr>
          <w:rFonts w:ascii="Times New Roman" w:hAnsi="Times New Roman"/>
          <w:sz w:val="28"/>
          <w:szCs w:val="28"/>
        </w:rPr>
        <w:t>uede válidamente confiar a la reglamentación administrativa ciertos aspectos asociados a los elementos del tributo, cuando se trate de materias técnicas o de variables que por su naturaleza dinámica exigen actualizaciones periódicas. En tales eventos, la v</w:t>
      </w:r>
      <w:r w:rsidRPr="00491C4A">
        <w:rPr>
          <w:rFonts w:ascii="Times New Roman" w:hAnsi="Times New Roman"/>
          <w:sz w:val="28"/>
          <w:szCs w:val="28"/>
        </w:rPr>
        <w:t>alidez de la remisión depende de que exista una base legal suficiente que actúe como parámetro verificable, y que la autoridad encargada de reglamentar cuente con la competencia jurídica, técnica y epistemológica para ello.</w:t>
      </w:r>
    </w:p>
    <w:p w:rsidR="00727506" w:rsidRPr="00491C4A" w:rsidRDefault="00491C4A" w:rsidP="00727506">
      <w:pPr>
        <w:pStyle w:val="Prrafodelista"/>
        <w:rPr>
          <w:rFonts w:ascii="Times New Roman" w:hAnsi="Times New Roman"/>
          <w:sz w:val="28"/>
          <w:szCs w:val="28"/>
        </w:rPr>
      </w:pPr>
    </w:p>
    <w:p w:rsidR="0072750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este orden de ideas, la Cort</w:t>
      </w:r>
      <w:r w:rsidRPr="00491C4A">
        <w:rPr>
          <w:rFonts w:ascii="Times New Roman" w:hAnsi="Times New Roman"/>
          <w:sz w:val="28"/>
          <w:szCs w:val="28"/>
        </w:rPr>
        <w:t>e ha dejado claro que no se configura una infracción al principio de legalidad ni de certeza tributaria cuando el legislador emplea expresiones cuyo contenido pueda ser determinado a partir de fuentes normativas conexas, ya sea por vía reglamentaria o medi</w:t>
      </w:r>
      <w:r w:rsidRPr="00491C4A">
        <w:rPr>
          <w:rFonts w:ascii="Times New Roman" w:hAnsi="Times New Roman"/>
          <w:sz w:val="28"/>
          <w:szCs w:val="28"/>
        </w:rPr>
        <w:t xml:space="preserve">ante una interpretación jurídica razonable. Como lo precisó la Sentencia C-056 de 2019, al estudiar la definición del sujeto activo en el impuesto de industria y comercio, </w:t>
      </w:r>
      <w:r w:rsidRPr="00491C4A">
        <w:rPr>
          <w:rFonts w:ascii="Times New Roman" w:hAnsi="Times New Roman"/>
          <w:i/>
          <w:iCs/>
          <w:sz w:val="28"/>
          <w:szCs w:val="28"/>
        </w:rPr>
        <w:t xml:space="preserve">“el grado de generalidad del precepto era imperativo en términos de preservación de </w:t>
      </w:r>
      <w:r w:rsidRPr="00491C4A">
        <w:rPr>
          <w:rFonts w:ascii="Times New Roman" w:hAnsi="Times New Roman"/>
          <w:i/>
          <w:iCs/>
          <w:sz w:val="28"/>
          <w:szCs w:val="28"/>
        </w:rPr>
        <w:t>las competencias constitucionales”</w:t>
      </w:r>
      <w:r w:rsidRPr="00491C4A">
        <w:rPr>
          <w:rFonts w:ascii="Times New Roman" w:hAnsi="Times New Roman"/>
          <w:sz w:val="28"/>
          <w:szCs w:val="28"/>
        </w:rPr>
        <w:t xml:space="preserve"> de los entes territoriales, y su interpretación podía complementarse con pruebas y normas reglamentarias.</w:t>
      </w:r>
      <w:r w:rsidRPr="00491C4A">
        <w:rPr>
          <w:rStyle w:val="Refdenotaalpie"/>
          <w:rFonts w:ascii="Times New Roman" w:hAnsi="Times New Roman"/>
          <w:sz w:val="28"/>
          <w:szCs w:val="28"/>
        </w:rPr>
        <w:footnoteReference w:id="133"/>
      </w:r>
    </w:p>
    <w:p w:rsidR="008345AC" w:rsidRPr="00491C4A" w:rsidRDefault="00491C4A" w:rsidP="008345AC">
      <w:pPr>
        <w:pStyle w:val="Prrafodelista"/>
        <w:rPr>
          <w:rFonts w:ascii="Times New Roman" w:hAnsi="Times New Roman"/>
          <w:sz w:val="28"/>
          <w:szCs w:val="28"/>
        </w:rPr>
      </w:pPr>
    </w:p>
    <w:p w:rsidR="00EE52C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w:t>
      </w:r>
      <w:r w:rsidRPr="00491C4A">
        <w:rPr>
          <w:rFonts w:ascii="Times New Roman" w:hAnsi="Times New Roman"/>
          <w:sz w:val="28"/>
          <w:szCs w:val="28"/>
        </w:rPr>
        <w:t xml:space="preserve">a Corte ha </w:t>
      </w:r>
      <w:r w:rsidRPr="00491C4A">
        <w:rPr>
          <w:rFonts w:ascii="Times New Roman" w:hAnsi="Times New Roman"/>
          <w:sz w:val="28"/>
          <w:szCs w:val="28"/>
        </w:rPr>
        <w:t>indicado</w:t>
      </w:r>
      <w:r w:rsidRPr="00491C4A">
        <w:rPr>
          <w:rFonts w:ascii="Times New Roman" w:hAnsi="Times New Roman"/>
          <w:sz w:val="28"/>
          <w:szCs w:val="28"/>
        </w:rPr>
        <w:t xml:space="preserve"> que el principio de legalidad de los tributos no anula la facultad reglamentaria en materia </w:t>
      </w:r>
      <w:r w:rsidRPr="00491C4A">
        <w:rPr>
          <w:rFonts w:ascii="Times New Roman" w:hAnsi="Times New Roman"/>
          <w:sz w:val="28"/>
          <w:szCs w:val="28"/>
        </w:rPr>
        <w:t>impositiva, en tanto que a las autoridades administrativas les está permitido</w:t>
      </w:r>
      <w:r w:rsidRPr="00491C4A">
        <w:rPr>
          <w:rFonts w:ascii="Times New Roman" w:hAnsi="Times New Roman"/>
          <w:sz w:val="28"/>
          <w:szCs w:val="28"/>
        </w:rPr>
        <w:t xml:space="preserve"> reglamentar</w:t>
      </w:r>
      <w:r w:rsidRPr="00491C4A">
        <w:rPr>
          <w:rFonts w:ascii="Times New Roman" w:hAnsi="Times New Roman"/>
          <w:i/>
          <w:iCs/>
          <w:sz w:val="28"/>
          <w:szCs w:val="28"/>
        </w:rPr>
        <w:t>: (i) la concreción de variables económicas que inciden en los elementos esenciales de la obligación fiscal; (ii) la regulación de aspectos técnicos vinculados a la ej</w:t>
      </w:r>
      <w:r w:rsidRPr="00491C4A">
        <w:rPr>
          <w:rFonts w:ascii="Times New Roman" w:hAnsi="Times New Roman"/>
          <w:i/>
          <w:iCs/>
          <w:sz w:val="28"/>
          <w:szCs w:val="28"/>
        </w:rPr>
        <w:t xml:space="preserve">ecución técnica y administrativa de los tributos; </w:t>
      </w:r>
      <w:r w:rsidRPr="00491C4A">
        <w:rPr>
          <w:rFonts w:ascii="Times New Roman" w:hAnsi="Times New Roman"/>
          <w:sz w:val="28"/>
          <w:szCs w:val="28"/>
        </w:rPr>
        <w:t xml:space="preserve">(…) </w:t>
      </w:r>
      <w:r w:rsidRPr="00491C4A">
        <w:rPr>
          <w:rFonts w:ascii="Times New Roman" w:hAnsi="Times New Roman"/>
          <w:sz w:val="28"/>
          <w:szCs w:val="28"/>
        </w:rPr>
        <w:t>(</w:t>
      </w:r>
      <w:r w:rsidRPr="00491C4A">
        <w:rPr>
          <w:rFonts w:ascii="Times New Roman" w:hAnsi="Times New Roman"/>
          <w:sz w:val="28"/>
          <w:szCs w:val="28"/>
        </w:rPr>
        <w:t>iii</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 xml:space="preserve">las obligaciones formales necesarias para hacer efectiva la obligación tributaria principal; y </w:t>
      </w:r>
      <w:r w:rsidRPr="00491C4A">
        <w:rPr>
          <w:rFonts w:ascii="Times New Roman" w:hAnsi="Times New Roman"/>
          <w:sz w:val="28"/>
          <w:szCs w:val="28"/>
        </w:rPr>
        <w:t>(</w:t>
      </w:r>
      <w:r w:rsidRPr="00491C4A">
        <w:rPr>
          <w:rFonts w:ascii="Times New Roman" w:hAnsi="Times New Roman"/>
          <w:sz w:val="28"/>
          <w:szCs w:val="28"/>
        </w:rPr>
        <w:t>iv</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i/>
          <w:iCs/>
          <w:sz w:val="28"/>
          <w:szCs w:val="28"/>
        </w:rPr>
        <w:t>los trámites administrativos, siempre que no comprometan derechos fundamentales y sean excepcion</w:t>
      </w:r>
      <w:r w:rsidRPr="00491C4A">
        <w:rPr>
          <w:rFonts w:ascii="Times New Roman" w:hAnsi="Times New Roman"/>
          <w:i/>
          <w:iCs/>
          <w:sz w:val="28"/>
          <w:szCs w:val="28"/>
        </w:rPr>
        <w:t>ales, relacionados con el recaudo, liquidación, determinación, discusión y administración de ciertos tributos y sus circunstancias de recaudo.</w:t>
      </w:r>
      <w:r w:rsidRPr="00491C4A">
        <w:rPr>
          <w:rFonts w:ascii="Times New Roman" w:hAnsi="Times New Roman"/>
          <w:sz w:val="28"/>
          <w:szCs w:val="28"/>
        </w:rPr>
        <w:t>”</w:t>
      </w:r>
      <w:r w:rsidRPr="00491C4A">
        <w:rPr>
          <w:rStyle w:val="Refdenotaalpie"/>
          <w:rFonts w:ascii="Times New Roman" w:hAnsi="Times New Roman"/>
          <w:sz w:val="28"/>
          <w:szCs w:val="28"/>
        </w:rPr>
        <w:footnoteReference w:id="134"/>
      </w:r>
      <w:r w:rsidRPr="00491C4A">
        <w:rPr>
          <w:rFonts w:ascii="Times New Roman" w:hAnsi="Times New Roman"/>
          <w:sz w:val="28"/>
          <w:szCs w:val="28"/>
        </w:rPr>
        <w:t xml:space="preserve"> Lo que la Constitución proscribe es que “</w:t>
      </w:r>
      <w:r w:rsidRPr="00491C4A">
        <w:rPr>
          <w:rFonts w:ascii="Times New Roman" w:hAnsi="Times New Roman"/>
          <w:i/>
          <w:iCs/>
          <w:sz w:val="28"/>
          <w:szCs w:val="28"/>
        </w:rPr>
        <w:t>el alcance de los elementos esenciales de la obligación fiscal sea det</w:t>
      </w:r>
      <w:r w:rsidRPr="00491C4A">
        <w:rPr>
          <w:rFonts w:ascii="Times New Roman" w:hAnsi="Times New Roman"/>
          <w:i/>
          <w:iCs/>
          <w:sz w:val="28"/>
          <w:szCs w:val="28"/>
        </w:rPr>
        <w:t>erminado m</w:t>
      </w:r>
      <w:r w:rsidRPr="00491C4A">
        <w:rPr>
          <w:rFonts w:ascii="Times New Roman" w:hAnsi="Times New Roman"/>
          <w:i/>
          <w:iCs/>
          <w:sz w:val="28"/>
          <w:szCs w:val="28"/>
        </w:rPr>
        <w:t>o</w:t>
      </w:r>
      <w:r w:rsidRPr="00491C4A">
        <w:rPr>
          <w:rFonts w:ascii="Times New Roman" w:hAnsi="Times New Roman"/>
          <w:i/>
          <w:iCs/>
          <w:sz w:val="28"/>
          <w:szCs w:val="28"/>
        </w:rPr>
        <w:t>tu propio por la administración.</w:t>
      </w:r>
      <w:r w:rsidRPr="00491C4A">
        <w:rPr>
          <w:rFonts w:ascii="Times New Roman" w:hAnsi="Times New Roman"/>
          <w:sz w:val="28"/>
          <w:szCs w:val="28"/>
        </w:rPr>
        <w:t>”</w:t>
      </w:r>
      <w:r w:rsidRPr="00491C4A">
        <w:rPr>
          <w:rStyle w:val="Refdenotaalpie"/>
          <w:rFonts w:ascii="Times New Roman" w:hAnsi="Times New Roman"/>
          <w:sz w:val="28"/>
          <w:szCs w:val="28"/>
        </w:rPr>
        <w:footnoteReference w:id="135"/>
      </w:r>
    </w:p>
    <w:p w:rsidR="00EE52C5" w:rsidRPr="00491C4A" w:rsidRDefault="00491C4A" w:rsidP="00EE52C5">
      <w:pPr>
        <w:pStyle w:val="Prrafodelista"/>
        <w:rPr>
          <w:rFonts w:ascii="Times New Roman" w:hAnsi="Times New Roman"/>
          <w:sz w:val="28"/>
          <w:szCs w:val="28"/>
        </w:rPr>
      </w:pPr>
    </w:p>
    <w:p w:rsidR="00EE52C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Esta doctrina ha sido particularmente relevante en sectores como el energético, en los que las obligaciones fiscales y parafiscales se estructuran sobre categorías técnicas cuya comprensión requiere acudir a </w:t>
      </w:r>
      <w:r w:rsidRPr="00491C4A">
        <w:rPr>
          <w:rFonts w:ascii="Times New Roman" w:hAnsi="Times New Roman"/>
          <w:sz w:val="28"/>
          <w:szCs w:val="28"/>
        </w:rPr>
        <w:t xml:space="preserve">disposiciones especializadas. De manera consistente con lo expuesto, la Corte encuentra relevante recordar que ya ha examinado la constitucionalidad del régimen jurídico general sobre el cual se incorporaron las modificaciones introducidas por el artículo </w:t>
      </w:r>
      <w:r w:rsidRPr="00491C4A">
        <w:rPr>
          <w:rFonts w:ascii="Times New Roman" w:hAnsi="Times New Roman"/>
          <w:sz w:val="28"/>
          <w:szCs w:val="28"/>
        </w:rPr>
        <w:t>233 de la Ley 2294 de 2023. En particular, mediante la Sentencia C-594 de 2010, esta Corporación analizó los artículos 45 de la Ley 99 de 1993 y 54 de la Ley 143 de 1994 -modificados por la norma acusada- y concluyó que el legislador había respetado los pr</w:t>
      </w:r>
      <w:r w:rsidRPr="00491C4A">
        <w:rPr>
          <w:rFonts w:ascii="Times New Roman" w:hAnsi="Times New Roman"/>
          <w:sz w:val="28"/>
          <w:szCs w:val="28"/>
        </w:rPr>
        <w:t>incipios de legalidad, certeza y reserva de ley tributaria en el diseño de las transferencias a cargo de las empresas generadoras de energía.</w:t>
      </w:r>
    </w:p>
    <w:p w:rsidR="00EE52C5" w:rsidRPr="00491C4A" w:rsidRDefault="00491C4A" w:rsidP="00EE52C5">
      <w:pPr>
        <w:pStyle w:val="Prrafodelista"/>
        <w:rPr>
          <w:rFonts w:ascii="Times New Roman" w:hAnsi="Times New Roman"/>
          <w:sz w:val="28"/>
          <w:szCs w:val="28"/>
        </w:rPr>
      </w:pPr>
    </w:p>
    <w:p w:rsidR="00EE52C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dicha oportunidad, la Corte descartó que existiera un déficit de legalidad o certeza por el hecho de que algun</w:t>
      </w:r>
      <w:r w:rsidRPr="00491C4A">
        <w:rPr>
          <w:rFonts w:ascii="Times New Roman" w:hAnsi="Times New Roman"/>
          <w:sz w:val="28"/>
          <w:szCs w:val="28"/>
        </w:rPr>
        <w:t xml:space="preserve">os elementos del tributo no estuvieran expresamente definidos, siempre que fueran determinables a partir del contexto normativo o del contenido mismo de la disposición. De manera expresa se afirmó que </w:t>
      </w:r>
      <w:r w:rsidRPr="00491C4A">
        <w:rPr>
          <w:rFonts w:ascii="Times New Roman" w:hAnsi="Times New Roman"/>
          <w:i/>
          <w:iCs/>
          <w:sz w:val="28"/>
          <w:szCs w:val="28"/>
        </w:rPr>
        <w:t>“no se vulneran los principios de legalidad y certeza d</w:t>
      </w:r>
      <w:r w:rsidRPr="00491C4A">
        <w:rPr>
          <w:rFonts w:ascii="Times New Roman" w:hAnsi="Times New Roman"/>
          <w:i/>
          <w:iCs/>
          <w:sz w:val="28"/>
          <w:szCs w:val="28"/>
        </w:rPr>
        <w:t>el tributo cuando uno de los elementos del mismo no está determinado expresamente en la norma, pero es determinable a partir de ella”</w:t>
      </w:r>
      <w:r w:rsidRPr="00491C4A">
        <w:rPr>
          <w:rFonts w:ascii="Times New Roman" w:hAnsi="Times New Roman"/>
          <w:sz w:val="28"/>
          <w:szCs w:val="28"/>
        </w:rPr>
        <w:t xml:space="preserve">, incluso cuando ese elemento -como ocurrió en ese caso- fuera el aspecto temporal del </w:t>
      </w:r>
      <w:r w:rsidRPr="00491C4A">
        <w:rPr>
          <w:rFonts w:ascii="Times New Roman" w:hAnsi="Times New Roman"/>
          <w:i/>
          <w:iCs/>
          <w:sz w:val="28"/>
          <w:szCs w:val="28"/>
        </w:rPr>
        <w:t>hecho generador</w:t>
      </w:r>
      <w:r w:rsidRPr="00491C4A">
        <w:rPr>
          <w:rFonts w:ascii="Times New Roman" w:hAnsi="Times New Roman"/>
          <w:sz w:val="28"/>
          <w:szCs w:val="28"/>
        </w:rPr>
        <w:t>. Esta afirmación rev</w:t>
      </w:r>
      <w:r w:rsidRPr="00491C4A">
        <w:rPr>
          <w:rFonts w:ascii="Times New Roman" w:hAnsi="Times New Roman"/>
          <w:sz w:val="28"/>
          <w:szCs w:val="28"/>
        </w:rPr>
        <w:t xml:space="preserve">iste especial importancia en relación con el cargo formulado por los demandantes en el presente proceso, quienes pretenden que toda ambigüedad conceptual compromete </w:t>
      </w:r>
      <w:r w:rsidRPr="00491C4A">
        <w:rPr>
          <w:rFonts w:ascii="Times New Roman" w:hAnsi="Times New Roman"/>
          <w:i/>
          <w:iCs/>
          <w:sz w:val="28"/>
          <w:szCs w:val="28"/>
        </w:rPr>
        <w:t>per se</w:t>
      </w:r>
      <w:r w:rsidRPr="00491C4A">
        <w:rPr>
          <w:rFonts w:ascii="Times New Roman" w:hAnsi="Times New Roman"/>
          <w:sz w:val="28"/>
          <w:szCs w:val="28"/>
        </w:rPr>
        <w:t xml:space="preserve"> la validez constitucional del tributo, tesis que ha sido expresamente rechazada por </w:t>
      </w:r>
      <w:r w:rsidRPr="00491C4A">
        <w:rPr>
          <w:rFonts w:ascii="Times New Roman" w:hAnsi="Times New Roman"/>
          <w:sz w:val="28"/>
          <w:szCs w:val="28"/>
        </w:rPr>
        <w:t>esta Corte.</w:t>
      </w:r>
    </w:p>
    <w:p w:rsidR="00EE52C5" w:rsidRPr="00491C4A" w:rsidRDefault="00491C4A" w:rsidP="00EE52C5">
      <w:pPr>
        <w:pStyle w:val="Prrafodelista"/>
        <w:rPr>
          <w:rFonts w:ascii="Times New Roman" w:hAnsi="Times New Roman"/>
          <w:sz w:val="28"/>
          <w:szCs w:val="28"/>
        </w:rPr>
      </w:pPr>
    </w:p>
    <w:p w:rsidR="00EE52C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la misma decisión, la Corte también consideró que el hecho de que el legislador no hubiese descrito con absoluto detalle al sujeto activo o las obligaciones formales asociadas al recaudo no constituía una infracción de la Constitución. Por </w:t>
      </w:r>
      <w:r w:rsidRPr="00491C4A">
        <w:rPr>
          <w:rFonts w:ascii="Times New Roman" w:hAnsi="Times New Roman"/>
          <w:sz w:val="28"/>
          <w:szCs w:val="28"/>
        </w:rPr>
        <w:t>el contrario, indicó que los beneficiarios de las transferencias (corporaciones autónomas regionales y municipios) podían ser entendidos como titulares del derecho de cobro en virtud del mismo diseño legal, y que los aspectos instrumentales del recaudo pod</w:t>
      </w:r>
      <w:r w:rsidRPr="00491C4A">
        <w:rPr>
          <w:rFonts w:ascii="Times New Roman" w:hAnsi="Times New Roman"/>
          <w:sz w:val="28"/>
          <w:szCs w:val="28"/>
        </w:rPr>
        <w:t xml:space="preserve">ían ser legítimamente regulados por vía reglamentaria, sin quebrantar el principio de reserva de ley. En palabras de la Corte, </w:t>
      </w:r>
      <w:r w:rsidRPr="00491C4A">
        <w:rPr>
          <w:rFonts w:ascii="Times New Roman" w:hAnsi="Times New Roman"/>
          <w:i/>
          <w:iCs/>
          <w:sz w:val="28"/>
          <w:szCs w:val="28"/>
        </w:rPr>
        <w:t>“las posibles desventajas que puedan surgir para los sujetos obligados […] constituyen inconvenientes de carácter práctico que de</w:t>
      </w:r>
      <w:r w:rsidRPr="00491C4A">
        <w:rPr>
          <w:rFonts w:ascii="Times New Roman" w:hAnsi="Times New Roman"/>
          <w:i/>
          <w:iCs/>
          <w:sz w:val="28"/>
          <w:szCs w:val="28"/>
        </w:rPr>
        <w:t>sbordan el ámbito del control abstracto de constitucionalidad”</w:t>
      </w:r>
      <w:r w:rsidRPr="00491C4A">
        <w:rPr>
          <w:rFonts w:ascii="Times New Roman" w:hAnsi="Times New Roman"/>
          <w:sz w:val="28"/>
          <w:szCs w:val="28"/>
        </w:rPr>
        <w:t>, tesis que resulta extensible a los reparos formulados por los demandantes en este proceso, quienes sugieren que la categoría “plantas con asignación de obligaciones” puede generar complejidade</w:t>
      </w:r>
      <w:r w:rsidRPr="00491C4A">
        <w:rPr>
          <w:rFonts w:ascii="Times New Roman" w:hAnsi="Times New Roman"/>
          <w:sz w:val="28"/>
          <w:szCs w:val="28"/>
        </w:rPr>
        <w:t>s operativas derivadas de su eventual pluralidad de fuentes regulatorias.</w:t>
      </w:r>
    </w:p>
    <w:p w:rsidR="00EE52C5" w:rsidRPr="00491C4A" w:rsidRDefault="00491C4A" w:rsidP="00EE52C5">
      <w:pPr>
        <w:pStyle w:val="Prrafodelista"/>
        <w:rPr>
          <w:rFonts w:ascii="Times New Roman" w:hAnsi="Times New Roman"/>
          <w:sz w:val="28"/>
          <w:szCs w:val="28"/>
        </w:rPr>
      </w:pPr>
    </w:p>
    <w:p w:rsidR="00EE52C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la jurisprudencia ha dejado en claro que la validez constitucional del diseño tributario no exige una regulación exhaustiva de cada elemento en el texto legal, sino la existencia de un marco normativo suficiente que permita determinar esos elementos a</w:t>
      </w:r>
      <w:r w:rsidRPr="00491C4A">
        <w:rPr>
          <w:rFonts w:ascii="Times New Roman" w:hAnsi="Times New Roman"/>
          <w:sz w:val="28"/>
          <w:szCs w:val="28"/>
        </w:rPr>
        <w:t xml:space="preserve"> partir de criterios verificables, ya sea en la ley o en normas de desarrollo adoptadas por autoridades con competencia técnica y regulatoria. En sectores como el energético, en los que la determinación del sujeto pasivo puede implicar nociones técnicas vi</w:t>
      </w:r>
      <w:r w:rsidRPr="00491C4A">
        <w:rPr>
          <w:rFonts w:ascii="Times New Roman" w:hAnsi="Times New Roman"/>
          <w:sz w:val="28"/>
          <w:szCs w:val="28"/>
        </w:rPr>
        <w:t>nculadas con licenciamiento ambiental, autorizaciones de conexión, asignaciones de energía firme u obligaciones regulatorias, resulta no solo razonable, sino esperable, que el legislador adopte formulaciones abiertas que demanden interpretación conforme al</w:t>
      </w:r>
      <w:r w:rsidRPr="00491C4A">
        <w:rPr>
          <w:rFonts w:ascii="Times New Roman" w:hAnsi="Times New Roman"/>
          <w:sz w:val="28"/>
          <w:szCs w:val="28"/>
        </w:rPr>
        <w:t xml:space="preserve"> conjunto normativo del sector.</w:t>
      </w:r>
    </w:p>
    <w:p w:rsidR="006A0A90" w:rsidRPr="00491C4A" w:rsidRDefault="00491C4A" w:rsidP="006A0A90">
      <w:pPr>
        <w:pStyle w:val="Prrafodelista"/>
        <w:rPr>
          <w:rFonts w:ascii="Times New Roman" w:hAnsi="Times New Roman"/>
          <w:sz w:val="28"/>
          <w:szCs w:val="28"/>
        </w:rPr>
      </w:pPr>
    </w:p>
    <w:p w:rsidR="00EE52C5" w:rsidRPr="00491C4A" w:rsidRDefault="00491C4A" w:rsidP="00EE52C5">
      <w:pPr>
        <w:pStyle w:val="Prrafodelista"/>
        <w:ind w:left="0"/>
        <w:jc w:val="both"/>
        <w:rPr>
          <w:rFonts w:ascii="Times New Roman" w:hAnsi="Times New Roman"/>
          <w:sz w:val="28"/>
          <w:szCs w:val="28"/>
        </w:rPr>
      </w:pPr>
    </w:p>
    <w:p w:rsidR="000A4657" w:rsidRPr="00491C4A" w:rsidRDefault="00491C4A" w:rsidP="006226F2">
      <w:pPr>
        <w:pStyle w:val="Ttulo3"/>
        <w:spacing w:before="0"/>
        <w:jc w:val="center"/>
        <w:rPr>
          <w:rFonts w:ascii="Times New Roman" w:hAnsi="Times New Roman"/>
          <w:b/>
          <w:bCs/>
          <w:i/>
          <w:iCs/>
          <w:color w:val="auto"/>
        </w:rPr>
      </w:pPr>
      <w:r w:rsidRPr="00491C4A">
        <w:rPr>
          <w:rFonts w:ascii="Times New Roman" w:hAnsi="Times New Roman"/>
          <w:b/>
          <w:bCs/>
          <w:i/>
          <w:iCs/>
          <w:color w:val="auto"/>
        </w:rPr>
        <w:t>Conte</w:t>
      </w:r>
      <w:r w:rsidRPr="00491C4A">
        <w:rPr>
          <w:rFonts w:ascii="Times New Roman" w:hAnsi="Times New Roman"/>
          <w:b/>
          <w:bCs/>
          <w:i/>
          <w:iCs/>
          <w:color w:val="auto"/>
        </w:rPr>
        <w:t>nido y alcance de la disposición acusada</w:t>
      </w:r>
    </w:p>
    <w:p w:rsidR="000A4657" w:rsidRPr="00491C4A" w:rsidRDefault="00491C4A" w:rsidP="000A4657">
      <w:pPr>
        <w:pStyle w:val="Prrafodelista"/>
        <w:ind w:left="0"/>
        <w:jc w:val="both"/>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w:t>
      </w:r>
      <w:r w:rsidRPr="00491C4A">
        <w:rPr>
          <w:rFonts w:ascii="Times New Roman" w:hAnsi="Times New Roman"/>
          <w:sz w:val="28"/>
          <w:szCs w:val="28"/>
        </w:rPr>
        <w:t xml:space="preserve">l </w:t>
      </w:r>
      <w:r w:rsidRPr="00491C4A">
        <w:rPr>
          <w:rFonts w:ascii="Times New Roman" w:hAnsi="Times New Roman"/>
          <w:sz w:val="28"/>
          <w:szCs w:val="28"/>
        </w:rPr>
        <w:t xml:space="preserve">artículo 45 de la Ley 99 de 1993, en su versión original, imponía una transferencia del 6% de las ventas brutas de energía por generación propia a las empresas generadoras </w:t>
      </w:r>
      <w:r w:rsidRPr="00491C4A">
        <w:rPr>
          <w:rFonts w:ascii="Times New Roman" w:hAnsi="Times New Roman"/>
          <w:sz w:val="28"/>
          <w:szCs w:val="28"/>
        </w:rPr>
        <w:t>de energía hidroeléctrica cuya potencia nominal instalada total fuera superior a los 10.000 kilovatios, con destino a las Corporaciones Autónomas Regionales, los municipios y los distritos ubicados en la cuenca hidroeléctrica y el embalse de influencia del</w:t>
      </w:r>
      <w:r w:rsidRPr="00491C4A">
        <w:rPr>
          <w:rFonts w:ascii="Times New Roman" w:hAnsi="Times New Roman"/>
          <w:sz w:val="28"/>
          <w:szCs w:val="28"/>
        </w:rPr>
        <w:t xml:space="preserve"> proyecto</w:t>
      </w:r>
      <w:r w:rsidRPr="00491C4A">
        <w:rPr>
          <w:rFonts w:ascii="Times New Roman" w:hAnsi="Times New Roman"/>
          <w:sz w:val="28"/>
          <w:szCs w:val="28"/>
        </w:rPr>
        <w:t>. También establecía</w:t>
      </w:r>
      <w:r w:rsidRPr="00491C4A">
        <w:rPr>
          <w:rFonts w:ascii="Times New Roman" w:hAnsi="Times New Roman"/>
          <w:sz w:val="28"/>
          <w:szCs w:val="28"/>
        </w:rPr>
        <w:t xml:space="preserve"> una transferencia del 4% para las centrales térmicas, con una destinación similar. Dicho artículo fue modificado en varias oportunidades </w:t>
      </w:r>
      <w:r w:rsidRPr="00491C4A">
        <w:rPr>
          <w:rFonts w:ascii="Times New Roman" w:hAnsi="Times New Roman"/>
          <w:sz w:val="28"/>
          <w:szCs w:val="28"/>
        </w:rPr>
        <w:t>mediante el</w:t>
      </w:r>
      <w:r w:rsidRPr="00491C4A">
        <w:rPr>
          <w:rFonts w:ascii="Times New Roman" w:hAnsi="Times New Roman"/>
          <w:sz w:val="28"/>
          <w:szCs w:val="28"/>
        </w:rPr>
        <w:t xml:space="preserve"> Decreto 4629 de 2010, la Ley 1450 de 2011 y el artículo 24 de la Ley 1930 de </w:t>
      </w:r>
      <w:r w:rsidRPr="00491C4A">
        <w:rPr>
          <w:rFonts w:ascii="Times New Roman" w:hAnsi="Times New Roman"/>
          <w:sz w:val="28"/>
          <w:szCs w:val="28"/>
        </w:rPr>
        <w:t xml:space="preserve">2018. </w:t>
      </w:r>
      <w:r w:rsidRPr="00491C4A">
        <w:rPr>
          <w:rFonts w:ascii="Times New Roman" w:hAnsi="Times New Roman"/>
          <w:sz w:val="28"/>
          <w:szCs w:val="28"/>
        </w:rPr>
        <w:t>L</w:t>
      </w:r>
      <w:r w:rsidRPr="00491C4A">
        <w:rPr>
          <w:rFonts w:ascii="Times New Roman" w:hAnsi="Times New Roman"/>
          <w:sz w:val="28"/>
          <w:szCs w:val="28"/>
        </w:rPr>
        <w:t>a legislación actual incluy</w:t>
      </w:r>
      <w:r w:rsidRPr="00491C4A">
        <w:rPr>
          <w:rFonts w:ascii="Times New Roman" w:hAnsi="Times New Roman"/>
          <w:sz w:val="28"/>
          <w:szCs w:val="28"/>
        </w:rPr>
        <w:t>e</w:t>
      </w:r>
      <w:r w:rsidRPr="00491C4A">
        <w:rPr>
          <w:rFonts w:ascii="Times New Roman" w:hAnsi="Times New Roman"/>
          <w:sz w:val="28"/>
          <w:szCs w:val="28"/>
        </w:rPr>
        <w:t xml:space="preserve"> los Parques Nacionales y una subcuenta especial del Fondo Nacional Ambiental como destinatarios y administradores de los recursos transferidos y la conservación de los páramos como una de sus destinaciones.</w:t>
      </w:r>
      <w:r w:rsidRPr="00491C4A">
        <w:rPr>
          <w:rStyle w:val="Refdenotaalpie"/>
          <w:rFonts w:ascii="Times New Roman" w:hAnsi="Times New Roman"/>
          <w:sz w:val="28"/>
          <w:szCs w:val="28"/>
        </w:rPr>
        <w:footnoteReference w:id="136"/>
      </w:r>
    </w:p>
    <w:p w:rsidR="000A4657" w:rsidRPr="00491C4A" w:rsidRDefault="00491C4A" w:rsidP="000A4657">
      <w:pPr>
        <w:pStyle w:val="Prrafodelista"/>
        <w:ind w:left="0"/>
        <w:jc w:val="both"/>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w:t>
      </w:r>
      <w:r w:rsidRPr="00491C4A">
        <w:rPr>
          <w:rFonts w:ascii="Times New Roman" w:hAnsi="Times New Roman"/>
          <w:sz w:val="28"/>
          <w:szCs w:val="28"/>
        </w:rPr>
        <w:t xml:space="preserve">la </w:t>
      </w:r>
      <w:r w:rsidRPr="00491C4A">
        <w:rPr>
          <w:rFonts w:ascii="Times New Roman" w:hAnsi="Times New Roman"/>
          <w:sz w:val="28"/>
          <w:szCs w:val="28"/>
        </w:rPr>
        <w:t>Sentencia C-495 de 1998</w:t>
      </w:r>
      <w:r w:rsidRPr="00491C4A">
        <w:rPr>
          <w:rFonts w:ascii="Times New Roman" w:hAnsi="Times New Roman"/>
          <w:sz w:val="28"/>
          <w:szCs w:val="28"/>
        </w:rPr>
        <w:t xml:space="preserve">, la Corte Constitucional declaró exequibles </w:t>
      </w:r>
      <w:r w:rsidRPr="00491C4A">
        <w:rPr>
          <w:rFonts w:ascii="Times New Roman" w:hAnsi="Times New Roman"/>
          <w:sz w:val="28"/>
          <w:szCs w:val="28"/>
        </w:rPr>
        <w:t xml:space="preserve">algunas </w:t>
      </w:r>
      <w:r w:rsidRPr="00491C4A">
        <w:rPr>
          <w:rFonts w:ascii="Times New Roman" w:hAnsi="Times New Roman"/>
          <w:sz w:val="28"/>
          <w:szCs w:val="28"/>
        </w:rPr>
        <w:t>expresiones del literal b) del numeral 2, literal b) del numeral 3 y el parágrafo 1 del artículo 45 de la Ley 99 de 1993 y señaló que las transferencias de recursos de las empresas</w:t>
      </w:r>
      <w:r w:rsidRPr="00491C4A">
        <w:rPr>
          <w:rFonts w:ascii="Times New Roman" w:hAnsi="Times New Roman"/>
          <w:sz w:val="28"/>
          <w:szCs w:val="28"/>
        </w:rPr>
        <w:t xml:space="preserve"> generadoras de energía eléctrica son rentas que “</w:t>
      </w:r>
      <w:r w:rsidRPr="00491C4A">
        <w:rPr>
          <w:rFonts w:ascii="Times New Roman" w:hAnsi="Times New Roman"/>
          <w:i/>
          <w:iCs/>
          <w:sz w:val="28"/>
          <w:szCs w:val="28"/>
        </w:rPr>
        <w:t>no constituyen un impuesto de las entidades territoriales</w:t>
      </w:r>
      <w:r w:rsidRPr="00491C4A">
        <w:rPr>
          <w:rFonts w:ascii="Times New Roman" w:hAnsi="Times New Roman"/>
          <w:sz w:val="28"/>
          <w:szCs w:val="28"/>
        </w:rPr>
        <w:t>”</w:t>
      </w:r>
      <w:r w:rsidRPr="00491C4A">
        <w:rPr>
          <w:rFonts w:ascii="Times New Roman" w:hAnsi="Times New Roman"/>
          <w:sz w:val="28"/>
          <w:szCs w:val="28"/>
        </w:rPr>
        <w:t>. El motivo es que</w:t>
      </w:r>
      <w:r w:rsidRPr="00491C4A">
        <w:rPr>
          <w:rFonts w:ascii="Times New Roman" w:hAnsi="Times New Roman"/>
          <w:sz w:val="28"/>
          <w:szCs w:val="28"/>
        </w:rPr>
        <w:t xml:space="preserve"> son “</w:t>
      </w:r>
      <w:r w:rsidRPr="00491C4A">
        <w:rPr>
          <w:rFonts w:ascii="Times New Roman" w:hAnsi="Times New Roman"/>
          <w:i/>
          <w:iCs/>
          <w:sz w:val="28"/>
          <w:szCs w:val="28"/>
        </w:rPr>
        <w:t xml:space="preserve">contribuciones que tienen su razón de ser en la necesidad de que quienes hacen uso de recursos renovables, o utilizan en su </w:t>
      </w:r>
      <w:r w:rsidRPr="00491C4A">
        <w:rPr>
          <w:rFonts w:ascii="Times New Roman" w:hAnsi="Times New Roman"/>
          <w:i/>
          <w:iCs/>
          <w:sz w:val="28"/>
          <w:szCs w:val="28"/>
        </w:rPr>
        <w:t xml:space="preserve">actividad económica recursos naturales </w:t>
      </w:r>
      <w:r w:rsidRPr="00491C4A">
        <w:rPr>
          <w:rFonts w:ascii="Times New Roman" w:hAnsi="Times New Roman"/>
          <w:i/>
          <w:iCs/>
          <w:sz w:val="28"/>
          <w:szCs w:val="28"/>
        </w:rPr>
        <w:t xml:space="preserve">no </w:t>
      </w:r>
      <w:r w:rsidRPr="00491C4A">
        <w:rPr>
          <w:rFonts w:ascii="Times New Roman" w:hAnsi="Times New Roman"/>
          <w:i/>
          <w:iCs/>
          <w:sz w:val="28"/>
          <w:szCs w:val="28"/>
        </w:rPr>
        <w:t>renovables, con capacidad para afectar el ambiente, carguen con los cos</w:t>
      </w:r>
      <w:r w:rsidRPr="00491C4A">
        <w:rPr>
          <w:rFonts w:ascii="Times New Roman" w:hAnsi="Times New Roman"/>
          <w:i/>
          <w:iCs/>
          <w:sz w:val="28"/>
          <w:szCs w:val="28"/>
        </w:rPr>
        <w:t>t</w:t>
      </w:r>
      <w:r w:rsidRPr="00491C4A">
        <w:rPr>
          <w:rFonts w:ascii="Times New Roman" w:hAnsi="Times New Roman"/>
          <w:i/>
          <w:iCs/>
          <w:sz w:val="28"/>
          <w:szCs w:val="28"/>
        </w:rPr>
        <w:t>os que demanda el mantenimiento o restauración del recurso o del ambiente</w:t>
      </w:r>
      <w:r w:rsidRPr="00491C4A">
        <w:rPr>
          <w:rFonts w:ascii="Times New Roman" w:hAnsi="Times New Roman"/>
          <w:sz w:val="28"/>
          <w:szCs w:val="28"/>
        </w:rPr>
        <w:t>”. De esa manera, la Corte afirmó que estas contribuciones se fundame</w:t>
      </w:r>
      <w:r w:rsidRPr="00491C4A">
        <w:rPr>
          <w:rFonts w:ascii="Times New Roman" w:hAnsi="Times New Roman"/>
          <w:sz w:val="28"/>
          <w:szCs w:val="28"/>
        </w:rPr>
        <w:t>ntan en las normas constitucionales sobre la protección al medio ambiente y que, como tienen una finalidad compensatoria, “</w:t>
      </w:r>
      <w:r w:rsidRPr="00491C4A">
        <w:rPr>
          <w:rFonts w:ascii="Times New Roman" w:hAnsi="Times New Roman"/>
          <w:i/>
          <w:iCs/>
          <w:sz w:val="28"/>
          <w:szCs w:val="28"/>
        </w:rPr>
        <w:t>es constitucional que sus recursos se destinen a los proyectos de saneamiento básico y mejoramiento ambiental.</w:t>
      </w:r>
      <w:r w:rsidRPr="00491C4A">
        <w:rPr>
          <w:rFonts w:ascii="Times New Roman" w:hAnsi="Times New Roman"/>
          <w:sz w:val="28"/>
          <w:szCs w:val="28"/>
        </w:rPr>
        <w:t xml:space="preserve">” </w:t>
      </w:r>
    </w:p>
    <w:p w:rsidR="00564CD4" w:rsidRPr="00491C4A" w:rsidRDefault="00491C4A" w:rsidP="00564CD4">
      <w:pPr>
        <w:pStyle w:val="Prrafodelista"/>
        <w:ind w:left="0"/>
        <w:jc w:val="both"/>
        <w:rPr>
          <w:rFonts w:ascii="Times New Roman" w:hAnsi="Times New Roman"/>
          <w:sz w:val="28"/>
          <w:szCs w:val="28"/>
        </w:rPr>
      </w:pPr>
    </w:p>
    <w:p w:rsidR="005D7F9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w:t>
      </w:r>
      <w:r w:rsidRPr="00491C4A">
        <w:rPr>
          <w:rFonts w:ascii="Times New Roman" w:hAnsi="Times New Roman"/>
          <w:sz w:val="28"/>
          <w:szCs w:val="28"/>
        </w:rPr>
        <w:t>l artículo 5°</w:t>
      </w:r>
      <w:r w:rsidRPr="00491C4A">
        <w:rPr>
          <w:rFonts w:ascii="Times New Roman" w:hAnsi="Times New Roman"/>
          <w:sz w:val="28"/>
          <w:szCs w:val="28"/>
        </w:rPr>
        <w:t xml:space="preserve"> de l</w:t>
      </w:r>
      <w:r w:rsidRPr="00491C4A">
        <w:rPr>
          <w:rFonts w:ascii="Times New Roman" w:hAnsi="Times New Roman"/>
          <w:sz w:val="28"/>
          <w:szCs w:val="28"/>
        </w:rPr>
        <w:t xml:space="preserve">a </w:t>
      </w:r>
      <w:r w:rsidRPr="00491C4A">
        <w:rPr>
          <w:rFonts w:ascii="Times New Roman" w:hAnsi="Times New Roman"/>
          <w:sz w:val="28"/>
          <w:szCs w:val="28"/>
        </w:rPr>
        <w:t>Ley 1715 de 2014</w:t>
      </w:r>
      <w:r w:rsidRPr="00491C4A">
        <w:rPr>
          <w:rFonts w:ascii="Times New Roman" w:hAnsi="Times New Roman"/>
          <w:sz w:val="28"/>
          <w:szCs w:val="28"/>
        </w:rPr>
        <w:t xml:space="preserve"> define los conceptos de </w:t>
      </w:r>
      <w:r w:rsidRPr="00491C4A">
        <w:rPr>
          <w:rFonts w:ascii="Times New Roman" w:hAnsi="Times New Roman"/>
          <w:sz w:val="28"/>
          <w:szCs w:val="28"/>
        </w:rPr>
        <w:t>autogeneración, autogeneración a gran escala, autogeneración a pequeña escala, cogeneración, fuentes convencionales de energía, fuentes no convencionales de energía (FNCE), Fuentes no convencionales de energía ren</w:t>
      </w:r>
      <w:r w:rsidRPr="00491C4A">
        <w:rPr>
          <w:rFonts w:ascii="Times New Roman" w:hAnsi="Times New Roman"/>
          <w:sz w:val="28"/>
          <w:szCs w:val="28"/>
        </w:rPr>
        <w:t xml:space="preserve">ovable (FNCER), </w:t>
      </w:r>
      <w:r w:rsidRPr="00491C4A">
        <w:rPr>
          <w:rFonts w:ascii="Times New Roman" w:hAnsi="Times New Roman"/>
          <w:sz w:val="28"/>
          <w:szCs w:val="28"/>
        </w:rPr>
        <w:t xml:space="preserve">entre otros. </w:t>
      </w:r>
      <w:r w:rsidRPr="00491C4A">
        <w:rPr>
          <w:rFonts w:ascii="Times New Roman" w:hAnsi="Times New Roman"/>
          <w:sz w:val="28"/>
          <w:szCs w:val="28"/>
        </w:rPr>
        <w:t>Se destaca que las FNCE “</w:t>
      </w:r>
      <w:r w:rsidRPr="00491C4A">
        <w:rPr>
          <w:rFonts w:ascii="Times New Roman" w:hAnsi="Times New Roman"/>
          <w:i/>
          <w:iCs/>
          <w:sz w:val="28"/>
          <w:szCs w:val="28"/>
        </w:rPr>
        <w:t>son aquellos recursos de energía disponibles a nivel mundial que son ambientalmente sostenibles, pero que en el país no son empleados o son utilizados de manera marginal y no se comercializan ampliament</w:t>
      </w:r>
      <w:r w:rsidRPr="00491C4A">
        <w:rPr>
          <w:rFonts w:ascii="Times New Roman" w:hAnsi="Times New Roman"/>
          <w:i/>
          <w:iCs/>
          <w:sz w:val="28"/>
          <w:szCs w:val="28"/>
        </w:rPr>
        <w:t>e. Se consideran FNCE la energía nuclear o atómica y las FNCER</w:t>
      </w:r>
      <w:r w:rsidRPr="00491C4A">
        <w:rPr>
          <w:rFonts w:ascii="Times New Roman" w:hAnsi="Times New Roman"/>
          <w:sz w:val="28"/>
          <w:szCs w:val="28"/>
        </w:rPr>
        <w:t>”, así como las consideradas por la UPME. Por su parte, las FNCER comprenden “</w:t>
      </w:r>
      <w:r w:rsidRPr="00491C4A">
        <w:rPr>
          <w:rFonts w:ascii="Times New Roman" w:hAnsi="Times New Roman"/>
          <w:i/>
          <w:iCs/>
          <w:sz w:val="28"/>
          <w:szCs w:val="28"/>
        </w:rPr>
        <w:t>la biomasa, los pequeños aprovechamientos hidroeléctricos, la eólica, la geotérmica, la solar y los mares</w:t>
      </w:r>
      <w:r w:rsidRPr="00491C4A">
        <w:rPr>
          <w:rFonts w:ascii="Times New Roman" w:hAnsi="Times New Roman"/>
          <w:sz w:val="28"/>
          <w:szCs w:val="28"/>
        </w:rPr>
        <w:t>”, así como</w:t>
      </w:r>
      <w:r w:rsidRPr="00491C4A">
        <w:rPr>
          <w:rFonts w:ascii="Times New Roman" w:hAnsi="Times New Roman"/>
          <w:sz w:val="28"/>
          <w:szCs w:val="28"/>
        </w:rPr>
        <w:t xml:space="preserve"> las que pueda considerar la UPME. </w:t>
      </w:r>
    </w:p>
    <w:p w:rsidR="005D7F9E" w:rsidRPr="00491C4A" w:rsidRDefault="00491C4A" w:rsidP="005D7F9E">
      <w:pPr>
        <w:pStyle w:val="Prrafodelista"/>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w:t>
      </w:r>
      <w:r w:rsidRPr="00491C4A">
        <w:rPr>
          <w:rFonts w:ascii="Times New Roman" w:hAnsi="Times New Roman"/>
          <w:sz w:val="28"/>
          <w:szCs w:val="28"/>
        </w:rPr>
        <w:t xml:space="preserve"> artículo 54 de la Ley 143 de 1994 original pre</w:t>
      </w:r>
      <w:r w:rsidRPr="00491C4A">
        <w:rPr>
          <w:rFonts w:ascii="Times New Roman" w:hAnsi="Times New Roman"/>
          <w:sz w:val="28"/>
          <w:szCs w:val="28"/>
        </w:rPr>
        <w:t>veía que “</w:t>
      </w:r>
      <w:r w:rsidRPr="00491C4A">
        <w:rPr>
          <w:rFonts w:ascii="Times New Roman" w:hAnsi="Times New Roman"/>
          <w:i/>
          <w:iCs/>
          <w:sz w:val="28"/>
          <w:szCs w:val="28"/>
        </w:rPr>
        <w:t>Los autogeneradores, las empresas que vendan excedentes de energía eléctrica, así como las personas jurídicas privadas que entreguen o repartan título, entre su</w:t>
      </w:r>
      <w:r w:rsidRPr="00491C4A">
        <w:rPr>
          <w:rFonts w:ascii="Times New Roman" w:hAnsi="Times New Roman"/>
          <w:i/>
          <w:iCs/>
          <w:sz w:val="28"/>
          <w:szCs w:val="28"/>
        </w:rPr>
        <w:t>s socios y/o asociados, la energía eléctrica que ellas produzcan, están obligadas a cancelar la transferencia en los términos que trata el artículo 45 de la Ley 99 de 1993.</w:t>
      </w:r>
      <w:r w:rsidRPr="00491C4A">
        <w:rPr>
          <w:rFonts w:ascii="Times New Roman" w:hAnsi="Times New Roman"/>
          <w:i/>
          <w:iCs/>
          <w:sz w:val="28"/>
          <w:szCs w:val="28"/>
        </w:rPr>
        <w:t xml:space="preserve"> // </w:t>
      </w:r>
      <w:r w:rsidRPr="00491C4A">
        <w:rPr>
          <w:rFonts w:ascii="Times New Roman" w:hAnsi="Times New Roman"/>
          <w:i/>
          <w:iCs/>
          <w:sz w:val="28"/>
          <w:szCs w:val="28"/>
        </w:rPr>
        <w:t xml:space="preserve">Para la liquidación de esta transferencia, las ventas brutas se calcularán como </w:t>
      </w:r>
      <w:r w:rsidRPr="00491C4A">
        <w:rPr>
          <w:rFonts w:ascii="Times New Roman" w:hAnsi="Times New Roman"/>
          <w:i/>
          <w:iCs/>
          <w:sz w:val="28"/>
          <w:szCs w:val="28"/>
        </w:rPr>
        <w:t>la generación propia multiplicada por la tarifa que señale la Comisión de Regulación de Energía y Gas para el efecto.</w:t>
      </w:r>
      <w:r w:rsidRPr="00491C4A">
        <w:rPr>
          <w:rFonts w:ascii="Times New Roman" w:hAnsi="Times New Roman"/>
          <w:i/>
          <w:iCs/>
          <w:sz w:val="28"/>
          <w:szCs w:val="28"/>
        </w:rPr>
        <w:t>”</w:t>
      </w:r>
      <w:r w:rsidRPr="00491C4A">
        <w:rPr>
          <w:rStyle w:val="Ttulo3Car"/>
          <w:rFonts w:ascii="Times New Roman" w:hAnsi="Times New Roman"/>
        </w:rPr>
        <w:t xml:space="preserve"> </w:t>
      </w:r>
    </w:p>
    <w:p w:rsidR="000A4657" w:rsidRPr="00491C4A" w:rsidRDefault="00491C4A" w:rsidP="000A4657">
      <w:pPr>
        <w:pStyle w:val="Prrafodelista"/>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artículo 289 de la Ley 1955 de 2019</w:t>
      </w:r>
      <w:r w:rsidRPr="00491C4A">
        <w:rPr>
          <w:rFonts w:ascii="Times New Roman" w:hAnsi="Times New Roman"/>
          <w:sz w:val="28"/>
          <w:szCs w:val="28"/>
        </w:rPr>
        <w:t xml:space="preserve"> extendió la obligación de pago de las transferencias eléctricas a la energía producida a partir de fuentes no convencionales. Básicamente, esta norma</w:t>
      </w:r>
      <w:r w:rsidRPr="00491C4A">
        <w:rPr>
          <w:rFonts w:ascii="Times New Roman" w:hAnsi="Times New Roman"/>
          <w:sz w:val="28"/>
          <w:szCs w:val="28"/>
        </w:rPr>
        <w:t xml:space="preserve"> introdujo las siguientes modificaciones </w:t>
      </w:r>
      <w:r w:rsidRPr="00491C4A">
        <w:rPr>
          <w:rFonts w:ascii="Times New Roman" w:hAnsi="Times New Roman"/>
          <w:sz w:val="28"/>
          <w:szCs w:val="28"/>
        </w:rPr>
        <w:t>a</w:t>
      </w:r>
      <w:r w:rsidRPr="00491C4A">
        <w:rPr>
          <w:rFonts w:ascii="Times New Roman" w:hAnsi="Times New Roman"/>
          <w:sz w:val="28"/>
          <w:szCs w:val="28"/>
        </w:rPr>
        <w:t>l mencionado artículo 54:</w:t>
      </w:r>
    </w:p>
    <w:p w:rsidR="000A4657" w:rsidRPr="00491C4A" w:rsidRDefault="00491C4A" w:rsidP="000A4657">
      <w:pPr>
        <w:pStyle w:val="Prrafodelista"/>
        <w:ind w:left="0"/>
        <w:jc w:val="both"/>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En el inciso primero reemplazó “</w:t>
      </w:r>
      <w:r w:rsidRPr="00491C4A">
        <w:rPr>
          <w:rFonts w:ascii="Times New Roman" w:hAnsi="Times New Roman"/>
          <w:i/>
          <w:iCs/>
          <w:sz w:val="28"/>
          <w:szCs w:val="28"/>
        </w:rPr>
        <w:t>repar</w:t>
      </w:r>
      <w:r w:rsidRPr="00491C4A">
        <w:rPr>
          <w:rFonts w:ascii="Times New Roman" w:hAnsi="Times New Roman"/>
          <w:i/>
          <w:iCs/>
          <w:sz w:val="28"/>
          <w:szCs w:val="28"/>
        </w:rPr>
        <w:t>tan</w:t>
      </w:r>
      <w:r w:rsidRPr="00491C4A">
        <w:rPr>
          <w:rFonts w:ascii="Times New Roman" w:hAnsi="Times New Roman"/>
          <w:i/>
          <w:iCs/>
          <w:sz w:val="28"/>
          <w:szCs w:val="28"/>
        </w:rPr>
        <w:t xml:space="preserve"> </w:t>
      </w:r>
      <w:r w:rsidRPr="00491C4A">
        <w:rPr>
          <w:rFonts w:ascii="Times New Roman" w:hAnsi="Times New Roman"/>
          <w:i/>
          <w:iCs/>
          <w:sz w:val="28"/>
          <w:szCs w:val="28"/>
        </w:rPr>
        <w:t>título</w:t>
      </w:r>
      <w:r w:rsidRPr="00491C4A">
        <w:rPr>
          <w:rFonts w:ascii="Times New Roman" w:hAnsi="Times New Roman"/>
          <w:sz w:val="28"/>
          <w:szCs w:val="28"/>
        </w:rPr>
        <w:t>” por “</w:t>
      </w:r>
      <w:r w:rsidRPr="00491C4A">
        <w:rPr>
          <w:rFonts w:ascii="Times New Roman" w:hAnsi="Times New Roman"/>
          <w:i/>
          <w:iCs/>
          <w:sz w:val="28"/>
          <w:szCs w:val="28"/>
        </w:rPr>
        <w:t>entreguen o repartan a cualquier título”</w:t>
      </w:r>
      <w:r w:rsidRPr="00491C4A">
        <w:rPr>
          <w:rFonts w:ascii="Times New Roman" w:hAnsi="Times New Roman"/>
          <w:sz w:val="28"/>
          <w:szCs w:val="28"/>
        </w:rPr>
        <w:t xml:space="preserve"> y modificó la explicación sobre cómo se liquida la transferencia.</w:t>
      </w:r>
    </w:p>
    <w:p w:rsidR="000A4657" w:rsidRPr="00491C4A" w:rsidRDefault="00491C4A" w:rsidP="000A4657">
      <w:pPr>
        <w:pStyle w:val="Prrafodelista"/>
        <w:ind w:left="567"/>
        <w:jc w:val="both"/>
        <w:rPr>
          <w:rFonts w:ascii="Times New Roman" w:hAnsi="Times New Roman"/>
          <w:sz w:val="28"/>
          <w:szCs w:val="28"/>
        </w:rPr>
      </w:pPr>
    </w:p>
    <w:p w:rsidR="005D7F9E"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Agregó el inciso segundo, sobre las transferencias que se deben cancelar por “</w:t>
      </w:r>
      <w:r w:rsidRPr="00491C4A">
        <w:rPr>
          <w:rFonts w:ascii="Times New Roman" w:hAnsi="Times New Roman"/>
          <w:i/>
          <w:iCs/>
          <w:sz w:val="28"/>
          <w:szCs w:val="28"/>
        </w:rPr>
        <w:t>la energía producida a partir de fuentes no convencionales a las que se refiere la Ley 1715 de 2014, cuyas plantas con potencia nominal instalada total supere los 10.000 kilovatios.</w:t>
      </w:r>
      <w:r w:rsidRPr="00491C4A">
        <w:rPr>
          <w:rFonts w:ascii="Times New Roman" w:hAnsi="Times New Roman"/>
          <w:sz w:val="28"/>
          <w:szCs w:val="28"/>
        </w:rPr>
        <w:t>” Al respecto, ordenó el pago del “</w:t>
      </w:r>
      <w:r w:rsidRPr="00491C4A">
        <w:rPr>
          <w:rFonts w:ascii="Times New Roman" w:hAnsi="Times New Roman"/>
          <w:i/>
          <w:iCs/>
          <w:sz w:val="28"/>
          <w:szCs w:val="28"/>
        </w:rPr>
        <w:t>1% de las ventas brutas de energía por g</w:t>
      </w:r>
      <w:r w:rsidRPr="00491C4A">
        <w:rPr>
          <w:rFonts w:ascii="Times New Roman" w:hAnsi="Times New Roman"/>
          <w:i/>
          <w:iCs/>
          <w:sz w:val="28"/>
          <w:szCs w:val="28"/>
        </w:rPr>
        <w:t>eneración propia de acuerdo con la tarifa que para ventas bloque señale la Comisión de Regulación de Energía y Gas (CREG)</w:t>
      </w:r>
      <w:r w:rsidRPr="00491C4A">
        <w:rPr>
          <w:rFonts w:ascii="Times New Roman" w:hAnsi="Times New Roman"/>
          <w:sz w:val="28"/>
          <w:szCs w:val="28"/>
        </w:rPr>
        <w:t xml:space="preserve">”. </w:t>
      </w:r>
    </w:p>
    <w:p w:rsidR="005D7F9E" w:rsidRPr="00491C4A" w:rsidRDefault="00491C4A" w:rsidP="005D7F9E">
      <w:pPr>
        <w:pStyle w:val="Prrafodelista"/>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P</w:t>
      </w:r>
      <w:r w:rsidRPr="00491C4A">
        <w:rPr>
          <w:rFonts w:ascii="Times New Roman" w:hAnsi="Times New Roman"/>
          <w:sz w:val="28"/>
          <w:szCs w:val="28"/>
        </w:rPr>
        <w:t>revió cuál debe ser la destinación de los recursos recaudados en dos literales: a) el 60% “</w:t>
      </w:r>
      <w:r w:rsidRPr="00491C4A">
        <w:rPr>
          <w:rFonts w:ascii="Times New Roman" w:hAnsi="Times New Roman"/>
          <w:i/>
          <w:iCs/>
          <w:sz w:val="28"/>
          <w:szCs w:val="28"/>
        </w:rPr>
        <w:t>en partes iguales a las comunidades ét</w:t>
      </w:r>
      <w:r w:rsidRPr="00491C4A">
        <w:rPr>
          <w:rFonts w:ascii="Times New Roman" w:hAnsi="Times New Roman"/>
          <w:i/>
          <w:iCs/>
          <w:sz w:val="28"/>
          <w:szCs w:val="28"/>
        </w:rPr>
        <w:t>nicas ubicadas en el área de influencia del proyecto de generación para la ejecución de proyectos de inversión en infraestructura, servicios públicos, saneamiento básico y/o de agua potable, así como en proyectos que dichas comunidades definan, siempre que</w:t>
      </w:r>
      <w:r w:rsidRPr="00491C4A">
        <w:rPr>
          <w:rFonts w:ascii="Times New Roman" w:hAnsi="Times New Roman"/>
          <w:i/>
          <w:iCs/>
          <w:sz w:val="28"/>
          <w:szCs w:val="28"/>
        </w:rPr>
        <w:t xml:space="preserve"> incidan directamente en su calidad de vida y bienestar. </w:t>
      </w:r>
      <w:r w:rsidRPr="00491C4A">
        <w:rPr>
          <w:rFonts w:ascii="Times New Roman" w:hAnsi="Times New Roman"/>
          <w:sz w:val="28"/>
          <w:szCs w:val="28"/>
        </w:rPr>
        <w:t xml:space="preserve">(…) </w:t>
      </w:r>
      <w:r w:rsidRPr="00491C4A">
        <w:rPr>
          <w:rFonts w:ascii="Times New Roman" w:hAnsi="Times New Roman"/>
          <w:i/>
          <w:iCs/>
          <w:sz w:val="28"/>
          <w:szCs w:val="28"/>
        </w:rPr>
        <w:t xml:space="preserve">En caso de no existir comunidades étnicas acreditadas por el Ministerio del Interior en el respectivo territorio, el porcentaje aquí establecido se destinará a los municipios ubicados en el área </w:t>
      </w:r>
      <w:r w:rsidRPr="00491C4A">
        <w:rPr>
          <w:rFonts w:ascii="Times New Roman" w:hAnsi="Times New Roman"/>
          <w:i/>
          <w:iCs/>
          <w:sz w:val="28"/>
          <w:szCs w:val="28"/>
        </w:rPr>
        <w:t>del proyecto para inversión en infraestructura, servicios públicos, saneamiento básico y/o agua potable en las comunidades del área de influencia del proyecto.</w:t>
      </w:r>
      <w:r w:rsidRPr="00491C4A">
        <w:rPr>
          <w:rFonts w:ascii="Times New Roman" w:hAnsi="Times New Roman"/>
          <w:sz w:val="28"/>
          <w:szCs w:val="28"/>
        </w:rPr>
        <w:t>” b) “</w:t>
      </w:r>
      <w:r w:rsidRPr="00491C4A">
        <w:rPr>
          <w:rFonts w:ascii="Times New Roman" w:hAnsi="Times New Roman"/>
          <w:i/>
          <w:iCs/>
          <w:sz w:val="28"/>
          <w:szCs w:val="28"/>
        </w:rPr>
        <w:t>40% para los municipios ubicados en el área del proyecto que se destinará a proyectos de in</w:t>
      </w:r>
      <w:r w:rsidRPr="00491C4A">
        <w:rPr>
          <w:rFonts w:ascii="Times New Roman" w:hAnsi="Times New Roman"/>
          <w:i/>
          <w:iCs/>
          <w:sz w:val="28"/>
          <w:szCs w:val="28"/>
        </w:rPr>
        <w:t>versión en infraestructura, servicios públicos, saneamiento básico y/o de agua potable previstos en el plan de desarrollo municipal.</w:t>
      </w:r>
      <w:r w:rsidRPr="00491C4A">
        <w:rPr>
          <w:rFonts w:ascii="Times New Roman" w:hAnsi="Times New Roman"/>
          <w:sz w:val="28"/>
          <w:szCs w:val="28"/>
        </w:rPr>
        <w:t>”</w:t>
      </w:r>
    </w:p>
    <w:p w:rsidR="000A4657" w:rsidRPr="00491C4A" w:rsidRDefault="00491C4A" w:rsidP="000A4657">
      <w:pPr>
        <w:pStyle w:val="Prrafodelista"/>
        <w:ind w:left="567"/>
        <w:jc w:val="both"/>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Adicionó</w:t>
      </w:r>
      <w:r w:rsidRPr="00491C4A">
        <w:rPr>
          <w:rFonts w:ascii="Times New Roman" w:hAnsi="Times New Roman"/>
          <w:sz w:val="28"/>
          <w:szCs w:val="28"/>
        </w:rPr>
        <w:t xml:space="preserve"> el parágrafo 1°, de acuerdo con el cual, “</w:t>
      </w:r>
      <w:r w:rsidRPr="00491C4A">
        <w:rPr>
          <w:rFonts w:ascii="Times New Roman" w:hAnsi="Times New Roman"/>
          <w:i/>
          <w:iCs/>
          <w:sz w:val="28"/>
          <w:szCs w:val="28"/>
        </w:rPr>
        <w:t>para efectos de la liquidación y pago de la transferencia, se entender</w:t>
      </w:r>
      <w:r w:rsidRPr="00491C4A">
        <w:rPr>
          <w:rFonts w:ascii="Times New Roman" w:hAnsi="Times New Roman"/>
          <w:i/>
          <w:iCs/>
          <w:sz w:val="28"/>
          <w:szCs w:val="28"/>
        </w:rPr>
        <w:t>á que el área de influencia será la establecida en el Estudio de Impacto Ambiental y en la licencia ambiental que expida la autoridad ambiental competente</w:t>
      </w:r>
      <w:r w:rsidRPr="00491C4A">
        <w:rPr>
          <w:rFonts w:ascii="Times New Roman" w:hAnsi="Times New Roman"/>
          <w:sz w:val="28"/>
          <w:szCs w:val="28"/>
        </w:rPr>
        <w:t>”.</w:t>
      </w:r>
    </w:p>
    <w:p w:rsidR="000A4657" w:rsidRPr="00491C4A" w:rsidRDefault="00491C4A" w:rsidP="000A4657">
      <w:pPr>
        <w:pStyle w:val="Prrafodelista"/>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Añadió el parágrafo 2°, según el cual “</w:t>
      </w:r>
      <w:r w:rsidRPr="00491C4A">
        <w:rPr>
          <w:rFonts w:ascii="Times New Roman" w:hAnsi="Times New Roman"/>
          <w:i/>
          <w:iCs/>
          <w:sz w:val="28"/>
          <w:szCs w:val="28"/>
        </w:rPr>
        <w:t xml:space="preserve">en caso de comunidades étnicas, la transferencia se hará a </w:t>
      </w:r>
      <w:r w:rsidRPr="00491C4A">
        <w:rPr>
          <w:rFonts w:ascii="Times New Roman" w:hAnsi="Times New Roman"/>
          <w:i/>
          <w:iCs/>
          <w:sz w:val="28"/>
          <w:szCs w:val="28"/>
        </w:rPr>
        <w:t>las comunidades debidamente acreditadas por el Ministerio del Interior, que se encuentren ubicadas dentro del área de influencia del proyecto de generación, en los términos que defina el Gobierno nacional.</w:t>
      </w:r>
      <w:r w:rsidRPr="00491C4A">
        <w:rPr>
          <w:rFonts w:ascii="Times New Roman" w:hAnsi="Times New Roman"/>
          <w:sz w:val="28"/>
          <w:szCs w:val="28"/>
        </w:rPr>
        <w:t>”</w:t>
      </w:r>
    </w:p>
    <w:p w:rsidR="000A4657" w:rsidRPr="00491C4A" w:rsidRDefault="00491C4A" w:rsidP="000A4657">
      <w:pPr>
        <w:pStyle w:val="Prrafodelista"/>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Sumó el parágrafo 3°, que establece que “</w:t>
      </w:r>
      <w:r w:rsidRPr="00491C4A">
        <w:rPr>
          <w:rFonts w:ascii="Times New Roman" w:hAnsi="Times New Roman"/>
          <w:i/>
          <w:iCs/>
          <w:sz w:val="28"/>
          <w:szCs w:val="28"/>
        </w:rPr>
        <w:t>se exce</w:t>
      </w:r>
      <w:r w:rsidRPr="00491C4A">
        <w:rPr>
          <w:rFonts w:ascii="Times New Roman" w:hAnsi="Times New Roman"/>
          <w:i/>
          <w:iCs/>
          <w:sz w:val="28"/>
          <w:szCs w:val="28"/>
        </w:rPr>
        <w:t xml:space="preserve">ptúa de las transferencias </w:t>
      </w:r>
      <w:r w:rsidRPr="00491C4A">
        <w:rPr>
          <w:rFonts w:ascii="Times New Roman" w:hAnsi="Times New Roman"/>
          <w:sz w:val="28"/>
          <w:szCs w:val="28"/>
        </w:rPr>
        <w:t xml:space="preserve">(…) </w:t>
      </w:r>
      <w:r w:rsidRPr="00491C4A">
        <w:rPr>
          <w:rFonts w:ascii="Times New Roman" w:hAnsi="Times New Roman"/>
          <w:i/>
          <w:iCs/>
          <w:sz w:val="28"/>
          <w:szCs w:val="28"/>
        </w:rPr>
        <w:t>a la energía producida por la que ya se paguen transferencias por generación térmica o hidroeléctrica, establecidas en el artículo 45 de la Ley 99 de 1993.</w:t>
      </w:r>
      <w:r w:rsidRPr="00491C4A">
        <w:rPr>
          <w:rFonts w:ascii="Times New Roman" w:hAnsi="Times New Roman"/>
          <w:sz w:val="28"/>
          <w:szCs w:val="28"/>
        </w:rPr>
        <w:t>”</w:t>
      </w:r>
    </w:p>
    <w:p w:rsidR="000A4657" w:rsidRPr="00491C4A" w:rsidRDefault="00491C4A" w:rsidP="000A4657">
      <w:pPr>
        <w:pStyle w:val="Prrafodelista"/>
        <w:rPr>
          <w:rFonts w:ascii="Times New Roman" w:hAnsi="Times New Roman"/>
          <w:sz w:val="28"/>
          <w:szCs w:val="28"/>
        </w:rPr>
      </w:pPr>
    </w:p>
    <w:p w:rsidR="000A4657" w:rsidRPr="00491C4A" w:rsidRDefault="00491C4A" w:rsidP="006911AD">
      <w:pPr>
        <w:pStyle w:val="Prrafodelista"/>
        <w:numPr>
          <w:ilvl w:val="2"/>
          <w:numId w:val="4"/>
        </w:numPr>
        <w:ind w:left="567" w:firstLine="0"/>
        <w:jc w:val="both"/>
        <w:rPr>
          <w:rFonts w:ascii="Times New Roman" w:hAnsi="Times New Roman"/>
          <w:sz w:val="28"/>
          <w:szCs w:val="28"/>
        </w:rPr>
      </w:pPr>
      <w:r w:rsidRPr="00491C4A">
        <w:rPr>
          <w:rFonts w:ascii="Times New Roman" w:hAnsi="Times New Roman"/>
          <w:sz w:val="28"/>
          <w:szCs w:val="28"/>
        </w:rPr>
        <w:t>Introdujo el parágrafo 4°, que preceptúa que “</w:t>
      </w:r>
      <w:r w:rsidRPr="00491C4A">
        <w:rPr>
          <w:rFonts w:ascii="Times New Roman" w:hAnsi="Times New Roman"/>
          <w:i/>
          <w:iCs/>
          <w:sz w:val="28"/>
          <w:szCs w:val="28"/>
        </w:rPr>
        <w:t>la tarifa de la trans</w:t>
      </w:r>
      <w:r w:rsidRPr="00491C4A">
        <w:rPr>
          <w:rFonts w:ascii="Times New Roman" w:hAnsi="Times New Roman"/>
          <w:i/>
          <w:iCs/>
          <w:sz w:val="28"/>
          <w:szCs w:val="28"/>
        </w:rPr>
        <w:t xml:space="preserve">ferencia </w:t>
      </w:r>
      <w:r w:rsidRPr="00491C4A">
        <w:rPr>
          <w:rFonts w:ascii="Times New Roman" w:hAnsi="Times New Roman"/>
          <w:sz w:val="28"/>
          <w:szCs w:val="28"/>
        </w:rPr>
        <w:t xml:space="preserve">(…) </w:t>
      </w:r>
      <w:r w:rsidRPr="00491C4A">
        <w:rPr>
          <w:rFonts w:ascii="Times New Roman" w:hAnsi="Times New Roman"/>
          <w:i/>
          <w:iCs/>
          <w:sz w:val="28"/>
          <w:szCs w:val="28"/>
        </w:rPr>
        <w:t>se incrementará a 2% cuando la capacidad instalada de generación eléctrica a partir de fuentes no convencionales de energía renovables, reportada por el Centro Nacional de Despacho, sea superior al 20% de la capacidad instalada de generación t</w:t>
      </w:r>
      <w:r w:rsidRPr="00491C4A">
        <w:rPr>
          <w:rFonts w:ascii="Times New Roman" w:hAnsi="Times New Roman"/>
          <w:i/>
          <w:iCs/>
          <w:sz w:val="28"/>
          <w:szCs w:val="28"/>
        </w:rPr>
        <w:t>otal del país.</w:t>
      </w:r>
      <w:r w:rsidRPr="00491C4A">
        <w:rPr>
          <w:rFonts w:ascii="Times New Roman" w:hAnsi="Times New Roman"/>
          <w:sz w:val="28"/>
          <w:szCs w:val="28"/>
        </w:rPr>
        <w:t>”</w:t>
      </w:r>
    </w:p>
    <w:p w:rsidR="000A4657" w:rsidRPr="00491C4A" w:rsidRDefault="00491C4A" w:rsidP="000A4657">
      <w:pPr>
        <w:pStyle w:val="Prrafodelista"/>
        <w:ind w:left="0"/>
        <w:jc w:val="both"/>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e</w:t>
      </w:r>
      <w:r w:rsidRPr="00491C4A">
        <w:rPr>
          <w:rFonts w:ascii="Times New Roman" w:hAnsi="Times New Roman"/>
          <w:sz w:val="28"/>
          <w:szCs w:val="28"/>
        </w:rPr>
        <w:t>l primer inciso del artículo 54</w:t>
      </w:r>
      <w:r w:rsidRPr="00491C4A">
        <w:rPr>
          <w:rFonts w:ascii="Times New Roman" w:hAnsi="Times New Roman"/>
          <w:sz w:val="28"/>
          <w:szCs w:val="28"/>
        </w:rPr>
        <w:t xml:space="preserve"> de la Ley 143 de 1994</w:t>
      </w:r>
      <w:r w:rsidRPr="00491C4A">
        <w:rPr>
          <w:rFonts w:ascii="Times New Roman" w:hAnsi="Times New Roman"/>
          <w:sz w:val="28"/>
          <w:szCs w:val="28"/>
        </w:rPr>
        <w:t xml:space="preserve"> indica cuáles son los sujetos obligados a cancelar las transferencias. Estos son: los autogeneradores, las empresas que vendan excedentes de energía eléctrica y las personas juríd</w:t>
      </w:r>
      <w:r w:rsidRPr="00491C4A">
        <w:rPr>
          <w:rFonts w:ascii="Times New Roman" w:hAnsi="Times New Roman"/>
          <w:sz w:val="28"/>
          <w:szCs w:val="28"/>
        </w:rPr>
        <w:t>icas privadas que entreguen o repartan a cualquier título la energía eléctrica que ellas produzcan entre sus socios y/o asociados.</w:t>
      </w:r>
      <w:r w:rsidRPr="00491C4A">
        <w:rPr>
          <w:rStyle w:val="Refdenotaalpie"/>
          <w:rFonts w:ascii="Times New Roman" w:hAnsi="Times New Roman"/>
          <w:sz w:val="28"/>
          <w:szCs w:val="28"/>
        </w:rPr>
        <w:footnoteReference w:id="137"/>
      </w:r>
    </w:p>
    <w:p w:rsidR="000A4657" w:rsidRPr="00491C4A" w:rsidRDefault="00491C4A" w:rsidP="000A4657">
      <w:pPr>
        <w:pStyle w:val="Prrafodelista"/>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Al desglosar estas categorías se observa que el artículo 11 de la Ley 143 define al autogenerador como “</w:t>
      </w:r>
      <w:r w:rsidRPr="00491C4A">
        <w:rPr>
          <w:rFonts w:ascii="Times New Roman" w:hAnsi="Times New Roman"/>
          <w:i/>
          <w:iCs/>
          <w:sz w:val="28"/>
          <w:szCs w:val="28"/>
        </w:rPr>
        <w:t>aquel generador que</w:t>
      </w:r>
      <w:r w:rsidRPr="00491C4A">
        <w:rPr>
          <w:rFonts w:ascii="Times New Roman" w:hAnsi="Times New Roman"/>
          <w:i/>
          <w:iCs/>
          <w:sz w:val="28"/>
          <w:szCs w:val="28"/>
        </w:rPr>
        <w:t xml:space="preserve"> produce energía eléctrica exclusivamente para atender sus propias necesidades</w:t>
      </w:r>
      <w:r w:rsidRPr="00491C4A">
        <w:rPr>
          <w:rFonts w:ascii="Times New Roman" w:hAnsi="Times New Roman"/>
          <w:sz w:val="28"/>
          <w:szCs w:val="28"/>
        </w:rPr>
        <w:t>”. En el marco de las energías renovables, el artículo 5° de la Ley 1715 de 2014 define los siguientes conceptos:</w:t>
      </w:r>
      <w:r w:rsidRPr="00491C4A">
        <w:rPr>
          <w:rFonts w:ascii="Times New Roman" w:hAnsi="Times New Roman"/>
          <w:sz w:val="28"/>
          <w:szCs w:val="28"/>
        </w:rPr>
        <w:t xml:space="preserve"> (</w:t>
      </w:r>
      <w:r w:rsidRPr="00491C4A">
        <w:rPr>
          <w:rFonts w:ascii="Times New Roman" w:hAnsi="Times New Roman"/>
          <w:i/>
          <w:iCs/>
          <w:sz w:val="28"/>
          <w:szCs w:val="28"/>
        </w:rPr>
        <w:t>i</w:t>
      </w:r>
      <w:r w:rsidRPr="00491C4A">
        <w:rPr>
          <w:rFonts w:ascii="Times New Roman" w:hAnsi="Times New Roman"/>
          <w:sz w:val="28"/>
          <w:szCs w:val="28"/>
        </w:rPr>
        <w:t>) a</w:t>
      </w:r>
      <w:r w:rsidRPr="00491C4A">
        <w:rPr>
          <w:rFonts w:ascii="Times New Roman" w:hAnsi="Times New Roman"/>
          <w:sz w:val="28"/>
          <w:szCs w:val="28"/>
        </w:rPr>
        <w:t>utogeneración: “</w:t>
      </w:r>
      <w:r w:rsidRPr="00491C4A">
        <w:rPr>
          <w:rFonts w:ascii="Times New Roman" w:hAnsi="Times New Roman"/>
          <w:i/>
          <w:iCs/>
          <w:sz w:val="28"/>
          <w:szCs w:val="28"/>
        </w:rPr>
        <w:t>aquella actividad realizada por personas na</w:t>
      </w:r>
      <w:r w:rsidRPr="00491C4A">
        <w:rPr>
          <w:rFonts w:ascii="Times New Roman" w:hAnsi="Times New Roman"/>
          <w:i/>
          <w:iCs/>
          <w:sz w:val="28"/>
          <w:szCs w:val="28"/>
        </w:rPr>
        <w:t>turales o jurídicas que producen energía eléctrica principalmente para aten</w:t>
      </w:r>
      <w:r w:rsidRPr="00491C4A">
        <w:rPr>
          <w:rFonts w:ascii="Times New Roman" w:hAnsi="Times New Roman"/>
          <w:i/>
          <w:iCs/>
          <w:sz w:val="28"/>
          <w:szCs w:val="28"/>
        </w:rPr>
        <w:t>d</w:t>
      </w:r>
      <w:r w:rsidRPr="00491C4A">
        <w:rPr>
          <w:rFonts w:ascii="Times New Roman" w:hAnsi="Times New Roman"/>
          <w:i/>
          <w:iCs/>
          <w:sz w:val="28"/>
          <w:szCs w:val="28"/>
        </w:rPr>
        <w:t>er sus propias necesidades. En el evento en que se generen excedentes de energía eléctrica a partir de tal actividad, estos podrán entregarse a la red, en los términos que establez</w:t>
      </w:r>
      <w:r w:rsidRPr="00491C4A">
        <w:rPr>
          <w:rFonts w:ascii="Times New Roman" w:hAnsi="Times New Roman"/>
          <w:i/>
          <w:iCs/>
          <w:sz w:val="28"/>
          <w:szCs w:val="28"/>
        </w:rPr>
        <w:t>ca la CREG</w:t>
      </w:r>
      <w:r w:rsidRPr="00491C4A">
        <w:rPr>
          <w:rFonts w:ascii="Times New Roman" w:hAnsi="Times New Roman"/>
          <w:sz w:val="28"/>
          <w:szCs w:val="28"/>
        </w:rPr>
        <w:t>”</w:t>
      </w:r>
      <w:r w:rsidRPr="00491C4A">
        <w:rPr>
          <w:rFonts w:ascii="Times New Roman" w:hAnsi="Times New Roman"/>
          <w:sz w:val="28"/>
          <w:szCs w:val="28"/>
        </w:rPr>
        <w:t>; (</w:t>
      </w:r>
      <w:r w:rsidRPr="00491C4A">
        <w:rPr>
          <w:rFonts w:ascii="Times New Roman" w:hAnsi="Times New Roman"/>
          <w:i/>
          <w:iCs/>
          <w:sz w:val="28"/>
          <w:szCs w:val="28"/>
        </w:rPr>
        <w:t>ii</w:t>
      </w:r>
      <w:r w:rsidRPr="00491C4A">
        <w:rPr>
          <w:rFonts w:ascii="Times New Roman" w:hAnsi="Times New Roman"/>
          <w:sz w:val="28"/>
          <w:szCs w:val="28"/>
        </w:rPr>
        <w:t>) a</w:t>
      </w:r>
      <w:r w:rsidRPr="00491C4A">
        <w:rPr>
          <w:rFonts w:ascii="Times New Roman" w:hAnsi="Times New Roman"/>
          <w:sz w:val="28"/>
          <w:szCs w:val="28"/>
        </w:rPr>
        <w:t>utogeneración a gran escala: “</w:t>
      </w:r>
      <w:r w:rsidRPr="00491C4A">
        <w:rPr>
          <w:rFonts w:ascii="Times New Roman" w:hAnsi="Times New Roman"/>
          <w:i/>
          <w:iCs/>
          <w:sz w:val="28"/>
          <w:szCs w:val="28"/>
        </w:rPr>
        <w:t>autogeneración cuya potencia máxima supera el límite establecido por la UPME</w:t>
      </w:r>
      <w:r w:rsidRPr="00491C4A">
        <w:rPr>
          <w:rFonts w:ascii="Times New Roman" w:hAnsi="Times New Roman"/>
          <w:sz w:val="28"/>
          <w:szCs w:val="28"/>
        </w:rPr>
        <w:t>”</w:t>
      </w:r>
      <w:r w:rsidRPr="00491C4A">
        <w:rPr>
          <w:rFonts w:ascii="Times New Roman" w:hAnsi="Times New Roman"/>
          <w:sz w:val="28"/>
          <w:szCs w:val="28"/>
        </w:rPr>
        <w:t xml:space="preserve"> y (</w:t>
      </w:r>
      <w:r w:rsidRPr="00491C4A">
        <w:rPr>
          <w:rFonts w:ascii="Times New Roman" w:hAnsi="Times New Roman"/>
          <w:i/>
          <w:iCs/>
          <w:sz w:val="28"/>
          <w:szCs w:val="28"/>
        </w:rPr>
        <w:t>iii</w:t>
      </w:r>
      <w:r w:rsidRPr="00491C4A">
        <w:rPr>
          <w:rFonts w:ascii="Times New Roman" w:hAnsi="Times New Roman"/>
          <w:sz w:val="28"/>
          <w:szCs w:val="28"/>
        </w:rPr>
        <w:t>) a</w:t>
      </w:r>
      <w:r w:rsidRPr="00491C4A">
        <w:rPr>
          <w:rFonts w:ascii="Times New Roman" w:hAnsi="Times New Roman"/>
          <w:sz w:val="28"/>
          <w:szCs w:val="28"/>
        </w:rPr>
        <w:t>utogeneración a pequeña escala: “</w:t>
      </w:r>
      <w:r w:rsidRPr="00491C4A">
        <w:rPr>
          <w:rFonts w:ascii="Times New Roman" w:hAnsi="Times New Roman"/>
          <w:i/>
          <w:iCs/>
          <w:sz w:val="28"/>
          <w:szCs w:val="28"/>
        </w:rPr>
        <w:t>autogeneración cuya potencia máxima no supera el límite establecido por la UPME.</w:t>
      </w:r>
      <w:r w:rsidRPr="00491C4A">
        <w:rPr>
          <w:rFonts w:ascii="Times New Roman" w:hAnsi="Times New Roman"/>
          <w:sz w:val="28"/>
          <w:szCs w:val="28"/>
        </w:rPr>
        <w:t xml:space="preserve">” </w:t>
      </w:r>
    </w:p>
    <w:p w:rsidR="000A4657" w:rsidRPr="00491C4A" w:rsidRDefault="00491C4A" w:rsidP="000A4657">
      <w:pPr>
        <w:jc w:val="both"/>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w:t>
      </w:r>
      <w:r w:rsidRPr="00491C4A">
        <w:rPr>
          <w:rFonts w:ascii="Times New Roman" w:hAnsi="Times New Roman"/>
          <w:sz w:val="28"/>
          <w:szCs w:val="28"/>
        </w:rPr>
        <w:t xml:space="preserve">l </w:t>
      </w:r>
      <w:r w:rsidRPr="00491C4A">
        <w:rPr>
          <w:rFonts w:ascii="Times New Roman" w:hAnsi="Times New Roman"/>
          <w:sz w:val="28"/>
          <w:szCs w:val="28"/>
        </w:rPr>
        <w:t xml:space="preserve">artículo 8° de la Ley 1715 de 2015 autoriza a los autogeneradores a pequeña y gran escala a entregar sus excedentes a la red de distribución y/o transporte </w:t>
      </w:r>
      <w:r w:rsidRPr="00491C4A">
        <w:rPr>
          <w:rFonts w:ascii="Times New Roman" w:hAnsi="Times New Roman"/>
          <w:i/>
          <w:iCs/>
          <w:sz w:val="28"/>
          <w:szCs w:val="28"/>
        </w:rPr>
        <w:t>“</w:t>
      </w:r>
      <w:r w:rsidRPr="00491C4A">
        <w:rPr>
          <w:rFonts w:ascii="Times New Roman" w:hAnsi="Times New Roman"/>
          <w:i/>
          <w:iCs/>
          <w:sz w:val="28"/>
          <w:szCs w:val="28"/>
        </w:rPr>
        <w:t>una vez la CREG expida la regulación correspondiente</w:t>
      </w:r>
      <w:r w:rsidRPr="00491C4A">
        <w:rPr>
          <w:rFonts w:ascii="Times New Roman" w:hAnsi="Times New Roman"/>
          <w:i/>
          <w:iCs/>
          <w:sz w:val="28"/>
          <w:szCs w:val="28"/>
        </w:rPr>
        <w:t>”</w:t>
      </w:r>
      <w:r w:rsidRPr="00491C4A">
        <w:rPr>
          <w:rFonts w:ascii="Times New Roman" w:hAnsi="Times New Roman"/>
          <w:i/>
          <w:iCs/>
          <w:sz w:val="28"/>
          <w:szCs w:val="28"/>
        </w:rPr>
        <w:t xml:space="preserve">. </w:t>
      </w:r>
      <w:r w:rsidRPr="00491C4A">
        <w:rPr>
          <w:rFonts w:ascii="Times New Roman" w:hAnsi="Times New Roman"/>
          <w:sz w:val="28"/>
          <w:szCs w:val="28"/>
        </w:rPr>
        <w:t>Prevé, además que, p</w:t>
      </w:r>
      <w:r w:rsidRPr="00491C4A">
        <w:rPr>
          <w:rFonts w:ascii="Times New Roman" w:hAnsi="Times New Roman"/>
          <w:sz w:val="28"/>
          <w:szCs w:val="28"/>
        </w:rPr>
        <w:t>ara el caso de los autog</w:t>
      </w:r>
      <w:r w:rsidRPr="00491C4A">
        <w:rPr>
          <w:rFonts w:ascii="Times New Roman" w:hAnsi="Times New Roman"/>
          <w:sz w:val="28"/>
          <w:szCs w:val="28"/>
        </w:rPr>
        <w:t>eneradores a pequeña escala que utilicen FNCER, los excedentes que entreguen a la red de distribución se reconocerán mediante un esquema de medición bidireccional, como créditos de energía, según las normas que la CREG defina para tal fin</w:t>
      </w:r>
      <w:r w:rsidRPr="00491C4A">
        <w:rPr>
          <w:rFonts w:ascii="Times New Roman" w:hAnsi="Times New Roman"/>
          <w:i/>
          <w:iCs/>
          <w:sz w:val="28"/>
          <w:szCs w:val="28"/>
        </w:rPr>
        <w:t>.</w:t>
      </w:r>
    </w:p>
    <w:p w:rsidR="007C7FD2" w:rsidRPr="00491C4A" w:rsidRDefault="00491C4A" w:rsidP="007C7FD2">
      <w:pPr>
        <w:pStyle w:val="Prrafodelista"/>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 nivel </w:t>
      </w:r>
      <w:r w:rsidRPr="00491C4A">
        <w:rPr>
          <w:rFonts w:ascii="Times New Roman" w:hAnsi="Times New Roman"/>
          <w:sz w:val="28"/>
          <w:szCs w:val="28"/>
        </w:rPr>
        <w:t>reglamentario, l</w:t>
      </w:r>
      <w:r w:rsidRPr="00491C4A">
        <w:rPr>
          <w:rFonts w:ascii="Times New Roman" w:hAnsi="Times New Roman"/>
          <w:sz w:val="28"/>
          <w:szCs w:val="28"/>
        </w:rPr>
        <w:t xml:space="preserve">a Sección IV del Decreto </w:t>
      </w:r>
      <w:r w:rsidRPr="00491C4A">
        <w:rPr>
          <w:rFonts w:ascii="Times New Roman" w:hAnsi="Times New Roman"/>
          <w:sz w:val="28"/>
          <w:szCs w:val="28"/>
        </w:rPr>
        <w:t xml:space="preserve">compilatorio </w:t>
      </w:r>
      <w:r w:rsidRPr="00491C4A">
        <w:rPr>
          <w:rFonts w:ascii="Times New Roman" w:hAnsi="Times New Roman"/>
          <w:sz w:val="28"/>
          <w:szCs w:val="28"/>
        </w:rPr>
        <w:t>1073 de 2015 indica cuáles son los parámetros para la entrega de excedentes y su remuneración. Adicionalmente, el Decreto 348 de 2017 “</w:t>
      </w:r>
      <w:r w:rsidRPr="00491C4A">
        <w:rPr>
          <w:rFonts w:ascii="Times New Roman" w:hAnsi="Times New Roman"/>
          <w:i/>
          <w:iCs/>
          <w:sz w:val="28"/>
          <w:szCs w:val="28"/>
        </w:rPr>
        <w:t>adiciona el Decreto 1073 de 2015, en lo que respecta al establecimi</w:t>
      </w:r>
      <w:r w:rsidRPr="00491C4A">
        <w:rPr>
          <w:rFonts w:ascii="Times New Roman" w:hAnsi="Times New Roman"/>
          <w:i/>
          <w:iCs/>
          <w:sz w:val="28"/>
          <w:szCs w:val="28"/>
        </w:rPr>
        <w:t>ento de los lineamientos de política pública en materia de gestión eficiente de la energía de excedentes de autogeneración a pequeña escala.</w:t>
      </w:r>
      <w:r w:rsidRPr="00491C4A">
        <w:rPr>
          <w:rFonts w:ascii="Times New Roman" w:hAnsi="Times New Roman"/>
          <w:sz w:val="28"/>
          <w:szCs w:val="28"/>
        </w:rPr>
        <w:t>”</w:t>
      </w:r>
      <w:r w:rsidRPr="00491C4A">
        <w:rPr>
          <w:rStyle w:val="Refdenotaalpie"/>
          <w:rFonts w:ascii="Times New Roman" w:hAnsi="Times New Roman"/>
          <w:sz w:val="28"/>
          <w:szCs w:val="28"/>
        </w:rPr>
        <w:footnoteReference w:id="138"/>
      </w:r>
    </w:p>
    <w:p w:rsidR="00B52EF9" w:rsidRPr="00491C4A" w:rsidRDefault="00491C4A" w:rsidP="00B52EF9">
      <w:pPr>
        <w:pStyle w:val="Prrafodelista"/>
        <w:rPr>
          <w:rFonts w:ascii="Times New Roman" w:hAnsi="Times New Roman"/>
          <w:sz w:val="28"/>
          <w:szCs w:val="28"/>
        </w:rPr>
      </w:pPr>
    </w:p>
    <w:p w:rsidR="000A4657" w:rsidRPr="00491C4A" w:rsidRDefault="00491C4A" w:rsidP="000A4657">
      <w:pPr>
        <w:rPr>
          <w:rFonts w:ascii="Times New Roman" w:hAnsi="Times New Roman"/>
          <w:b/>
          <w:bCs/>
          <w:i/>
          <w:iCs/>
          <w:sz w:val="28"/>
          <w:szCs w:val="28"/>
        </w:rPr>
      </w:pPr>
      <w:r w:rsidRPr="00491C4A">
        <w:rPr>
          <w:rFonts w:ascii="Times New Roman" w:hAnsi="Times New Roman"/>
          <w:b/>
          <w:bCs/>
          <w:i/>
          <w:iCs/>
          <w:sz w:val="28"/>
          <w:szCs w:val="28"/>
        </w:rPr>
        <w:t xml:space="preserve">El artículo 233 de la Ley 2294 de 2023 </w:t>
      </w:r>
    </w:p>
    <w:p w:rsidR="000A4657" w:rsidRPr="00491C4A" w:rsidRDefault="00491C4A" w:rsidP="000A4657">
      <w:pPr>
        <w:rPr>
          <w:rFonts w:ascii="Times New Roman" w:hAnsi="Times New Roman"/>
          <w:sz w:val="28"/>
          <w:szCs w:val="28"/>
        </w:rPr>
      </w:pPr>
    </w:p>
    <w:p w:rsidR="00AE7C38"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norma demandada agregó los parágrafos 5°, 6° y 7° al artículo 54 de </w:t>
      </w:r>
      <w:r w:rsidRPr="00491C4A">
        <w:rPr>
          <w:rFonts w:ascii="Times New Roman" w:hAnsi="Times New Roman"/>
          <w:sz w:val="28"/>
          <w:szCs w:val="28"/>
        </w:rPr>
        <w:t>la Ley 143 de 1994</w:t>
      </w:r>
      <w:r w:rsidRPr="00491C4A">
        <w:rPr>
          <w:rFonts w:ascii="Times New Roman" w:hAnsi="Times New Roman"/>
          <w:sz w:val="28"/>
          <w:szCs w:val="28"/>
        </w:rPr>
        <w:t>, previamente adicionado por la Ley 1955 de 2019</w:t>
      </w:r>
      <w:r w:rsidRPr="00491C4A">
        <w:rPr>
          <w:rFonts w:ascii="Times New Roman" w:hAnsi="Times New Roman"/>
          <w:sz w:val="28"/>
          <w:szCs w:val="28"/>
        </w:rPr>
        <w:t xml:space="preserve">. Estos parágrafos establecen unas nuevas condiciones para las plantas </w:t>
      </w:r>
      <w:r w:rsidRPr="00491C4A">
        <w:rPr>
          <w:rFonts w:ascii="Times New Roman" w:hAnsi="Times New Roman"/>
          <w:sz w:val="28"/>
          <w:szCs w:val="28"/>
        </w:rPr>
        <w:t xml:space="preserve">que producen energía </w:t>
      </w:r>
      <w:r w:rsidRPr="00491C4A">
        <w:rPr>
          <w:rFonts w:ascii="Times New Roman" w:hAnsi="Times New Roman"/>
          <w:sz w:val="28"/>
          <w:szCs w:val="28"/>
        </w:rPr>
        <w:t xml:space="preserve">a partir de fuentes no convencionales que estén localizadas en áreas con la mayor radiación solar </w:t>
      </w:r>
      <w:r w:rsidRPr="00491C4A">
        <w:rPr>
          <w:rFonts w:ascii="Times New Roman" w:hAnsi="Times New Roman"/>
          <w:sz w:val="28"/>
          <w:szCs w:val="28"/>
        </w:rPr>
        <w:t xml:space="preserve">promedio anual (mayores a 5 kWh/m2/día) y de mayor velocidad promedio de viento (mayores a 4 m/s a 10 m de altura), de tal forma que: </w:t>
      </w:r>
    </w:p>
    <w:p w:rsidR="00AE7C38" w:rsidRPr="00491C4A" w:rsidRDefault="00491C4A" w:rsidP="00AE7C38">
      <w:pPr>
        <w:pStyle w:val="Prrafodelista"/>
        <w:ind w:left="284" w:firstLine="709"/>
        <w:jc w:val="both"/>
        <w:rPr>
          <w:rFonts w:ascii="Times New Roman" w:hAnsi="Times New Roman"/>
          <w:sz w:val="28"/>
          <w:szCs w:val="28"/>
        </w:rPr>
      </w:pPr>
    </w:p>
    <w:p w:rsidR="00AE7C38" w:rsidRPr="00491C4A" w:rsidRDefault="00491C4A" w:rsidP="006911AD">
      <w:pPr>
        <w:pStyle w:val="Prrafodelista"/>
        <w:numPr>
          <w:ilvl w:val="2"/>
          <w:numId w:val="4"/>
        </w:numPr>
        <w:ind w:left="1416" w:hanging="1132"/>
        <w:jc w:val="both"/>
        <w:rPr>
          <w:rFonts w:ascii="Times New Roman" w:hAnsi="Times New Roman"/>
          <w:sz w:val="28"/>
          <w:szCs w:val="28"/>
        </w:rPr>
      </w:pPr>
      <w:r w:rsidRPr="00491C4A">
        <w:rPr>
          <w:rFonts w:ascii="Times New Roman" w:hAnsi="Times New Roman"/>
          <w:sz w:val="28"/>
          <w:szCs w:val="28"/>
        </w:rPr>
        <w:t>L</w:t>
      </w:r>
      <w:r w:rsidRPr="00491C4A">
        <w:rPr>
          <w:rFonts w:ascii="Times New Roman" w:hAnsi="Times New Roman"/>
          <w:sz w:val="28"/>
          <w:szCs w:val="28"/>
        </w:rPr>
        <w:t>as plantas nuevas que aún no se encuentren en operación deberán transferir un 6% de las ventas brutas de generación pro</w:t>
      </w:r>
      <w:r w:rsidRPr="00491C4A">
        <w:rPr>
          <w:rFonts w:ascii="Times New Roman" w:hAnsi="Times New Roman"/>
          <w:sz w:val="28"/>
          <w:szCs w:val="28"/>
        </w:rPr>
        <w:t>pia</w:t>
      </w:r>
      <w:r w:rsidRPr="00491C4A">
        <w:rPr>
          <w:rFonts w:ascii="Times New Roman" w:hAnsi="Times New Roman"/>
          <w:sz w:val="28"/>
          <w:szCs w:val="28"/>
        </w:rPr>
        <w:t xml:space="preserve">. La tarifa </w:t>
      </w:r>
      <w:r w:rsidRPr="00491C4A">
        <w:rPr>
          <w:rFonts w:ascii="Times New Roman" w:hAnsi="Times New Roman"/>
          <w:sz w:val="28"/>
          <w:szCs w:val="28"/>
        </w:rPr>
        <w:t>se implementa de forma gradual en los siguientes años (parágrafo 5°)</w:t>
      </w:r>
      <w:r w:rsidRPr="00491C4A">
        <w:rPr>
          <w:rFonts w:ascii="Times New Roman" w:hAnsi="Times New Roman"/>
          <w:sz w:val="28"/>
          <w:szCs w:val="28"/>
        </w:rPr>
        <w:t xml:space="preserve"> así</w:t>
      </w:r>
      <w:r w:rsidRPr="00491C4A">
        <w:rPr>
          <w:rFonts w:ascii="Times New Roman" w:hAnsi="Times New Roman"/>
          <w:sz w:val="28"/>
          <w:szCs w:val="28"/>
        </w:rPr>
        <w:t xml:space="preserve">: </w:t>
      </w:r>
      <w:r w:rsidRPr="00491C4A">
        <w:rPr>
          <w:rFonts w:ascii="Times New Roman" w:hAnsi="Times New Roman"/>
          <w:sz w:val="28"/>
          <w:szCs w:val="28"/>
        </w:rPr>
        <w:t>3</w:t>
      </w:r>
      <w:r w:rsidRPr="00491C4A">
        <w:rPr>
          <w:rFonts w:ascii="Times New Roman" w:hAnsi="Times New Roman"/>
          <w:sz w:val="28"/>
          <w:szCs w:val="28"/>
        </w:rPr>
        <w:t xml:space="preserve">% en el 2025, </w:t>
      </w:r>
      <w:r w:rsidRPr="00491C4A">
        <w:rPr>
          <w:rFonts w:ascii="Times New Roman" w:hAnsi="Times New Roman"/>
          <w:sz w:val="28"/>
          <w:szCs w:val="28"/>
        </w:rPr>
        <w:t xml:space="preserve">4% en el 2026, </w:t>
      </w:r>
      <w:r w:rsidRPr="00491C4A">
        <w:rPr>
          <w:rFonts w:ascii="Times New Roman" w:hAnsi="Times New Roman"/>
          <w:sz w:val="28"/>
          <w:szCs w:val="28"/>
        </w:rPr>
        <w:t>5% en el 2027 y 6% en el 2028</w:t>
      </w:r>
      <w:r w:rsidRPr="00491C4A">
        <w:rPr>
          <w:rFonts w:ascii="Times New Roman" w:hAnsi="Times New Roman"/>
          <w:sz w:val="28"/>
          <w:szCs w:val="28"/>
        </w:rPr>
        <w:t>;</w:t>
      </w:r>
    </w:p>
    <w:p w:rsidR="00AE7C38" w:rsidRPr="00491C4A" w:rsidRDefault="00491C4A" w:rsidP="00147AEC">
      <w:pPr>
        <w:pStyle w:val="Prrafodelista"/>
        <w:ind w:left="1416" w:hanging="1132"/>
        <w:jc w:val="both"/>
        <w:rPr>
          <w:rFonts w:ascii="Times New Roman" w:hAnsi="Times New Roman"/>
          <w:sz w:val="28"/>
          <w:szCs w:val="28"/>
        </w:rPr>
      </w:pPr>
      <w:r w:rsidRPr="00491C4A">
        <w:rPr>
          <w:rFonts w:ascii="Times New Roman" w:hAnsi="Times New Roman"/>
          <w:sz w:val="28"/>
          <w:szCs w:val="28"/>
        </w:rPr>
        <w:t xml:space="preserve"> </w:t>
      </w:r>
    </w:p>
    <w:p w:rsidR="000A4657" w:rsidRPr="00491C4A" w:rsidRDefault="00491C4A" w:rsidP="006911AD">
      <w:pPr>
        <w:pStyle w:val="Prrafodelista"/>
        <w:numPr>
          <w:ilvl w:val="2"/>
          <w:numId w:val="4"/>
        </w:numPr>
        <w:ind w:left="1416" w:hanging="1132"/>
        <w:jc w:val="both"/>
        <w:rPr>
          <w:rFonts w:ascii="Times New Roman" w:hAnsi="Times New Roman"/>
          <w:sz w:val="28"/>
          <w:szCs w:val="28"/>
        </w:rPr>
      </w:pPr>
      <w:r w:rsidRPr="00491C4A">
        <w:rPr>
          <w:rFonts w:ascii="Times New Roman" w:hAnsi="Times New Roman"/>
          <w:sz w:val="28"/>
          <w:szCs w:val="28"/>
        </w:rPr>
        <w:t>L</w:t>
      </w:r>
      <w:r w:rsidRPr="00491C4A">
        <w:rPr>
          <w:rFonts w:ascii="Times New Roman" w:hAnsi="Times New Roman"/>
          <w:sz w:val="28"/>
          <w:szCs w:val="28"/>
        </w:rPr>
        <w:t>as plantas en operación o con asignación de obligaciones al momento de la vigencia de la ley deberán tr</w:t>
      </w:r>
      <w:r w:rsidRPr="00491C4A">
        <w:rPr>
          <w:rFonts w:ascii="Times New Roman" w:hAnsi="Times New Roman"/>
          <w:sz w:val="28"/>
          <w:szCs w:val="28"/>
        </w:rPr>
        <w:t>ansferir un 4% de las ventas brutas de energía por generación propia, con un incremento gradual en el término de cuatro años (parágrafo 6°)</w:t>
      </w:r>
      <w:r w:rsidRPr="00491C4A">
        <w:rPr>
          <w:rFonts w:ascii="Times New Roman" w:hAnsi="Times New Roman"/>
          <w:sz w:val="28"/>
          <w:szCs w:val="28"/>
        </w:rPr>
        <w:t xml:space="preserve">: </w:t>
      </w:r>
      <w:r w:rsidRPr="00491C4A">
        <w:rPr>
          <w:rFonts w:ascii="Times New Roman" w:hAnsi="Times New Roman"/>
          <w:sz w:val="28"/>
          <w:szCs w:val="28"/>
        </w:rPr>
        <w:t xml:space="preserve">2% en el 2025, </w:t>
      </w:r>
      <w:r w:rsidRPr="00491C4A">
        <w:rPr>
          <w:rFonts w:ascii="Times New Roman" w:hAnsi="Times New Roman"/>
          <w:sz w:val="28"/>
          <w:szCs w:val="28"/>
        </w:rPr>
        <w:t>3% en el 2026 y 4% en el 202</w:t>
      </w:r>
      <w:r w:rsidRPr="00491C4A">
        <w:rPr>
          <w:rFonts w:ascii="Times New Roman" w:hAnsi="Times New Roman"/>
          <w:sz w:val="28"/>
          <w:szCs w:val="28"/>
        </w:rPr>
        <w:t>7</w:t>
      </w:r>
      <w:r w:rsidRPr="00491C4A">
        <w:rPr>
          <w:rFonts w:ascii="Times New Roman" w:hAnsi="Times New Roman"/>
          <w:sz w:val="28"/>
          <w:szCs w:val="28"/>
        </w:rPr>
        <w:t>.</w:t>
      </w:r>
    </w:p>
    <w:p w:rsidR="006A4DF2" w:rsidRPr="00491C4A" w:rsidRDefault="00491C4A" w:rsidP="006A4DF2">
      <w:pPr>
        <w:pStyle w:val="Prrafodelista"/>
        <w:ind w:left="0"/>
        <w:jc w:val="both"/>
        <w:rPr>
          <w:rFonts w:ascii="Times New Roman" w:hAnsi="Times New Roman"/>
          <w:sz w:val="28"/>
          <w:szCs w:val="28"/>
        </w:rPr>
      </w:pPr>
    </w:p>
    <w:p w:rsidR="000A465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Adicionalmente, la norma prevé que dichos recursos “</w:t>
      </w:r>
      <w:r w:rsidRPr="00491C4A">
        <w:rPr>
          <w:rFonts w:ascii="Times New Roman" w:hAnsi="Times New Roman"/>
          <w:i/>
          <w:iCs/>
          <w:sz w:val="28"/>
          <w:szCs w:val="28"/>
        </w:rPr>
        <w:t>serán destinados</w:t>
      </w:r>
      <w:r w:rsidRPr="00491C4A">
        <w:rPr>
          <w:rFonts w:ascii="Times New Roman" w:hAnsi="Times New Roman"/>
          <w:i/>
          <w:iCs/>
          <w:sz w:val="28"/>
          <w:szCs w:val="28"/>
        </w:rPr>
        <w:t xml:space="preserve"> a la financiación de proyectos definidos por las comunidades étnicas ubicadas en los departamentos de influencia de los proyectos de generación. Así mismo, contará con una gobernanza con participación étnica que será reglamentada por el Ministerio de Mina</w:t>
      </w:r>
      <w:r w:rsidRPr="00491C4A">
        <w:rPr>
          <w:rFonts w:ascii="Times New Roman" w:hAnsi="Times New Roman"/>
          <w:i/>
          <w:iCs/>
          <w:sz w:val="28"/>
          <w:szCs w:val="28"/>
        </w:rPr>
        <w:t>s y Energía en un plazo de seis (6) meses después de aprobada la presente ley.</w:t>
      </w:r>
      <w:r w:rsidRPr="00491C4A">
        <w:rPr>
          <w:rFonts w:ascii="Times New Roman" w:hAnsi="Times New Roman"/>
          <w:sz w:val="28"/>
          <w:szCs w:val="28"/>
        </w:rPr>
        <w:t>”</w:t>
      </w:r>
    </w:p>
    <w:p w:rsidR="000A4657" w:rsidRPr="00491C4A" w:rsidRDefault="00491C4A" w:rsidP="000A4657">
      <w:pPr>
        <w:pStyle w:val="Prrafodelista"/>
        <w:ind w:left="284" w:right="284"/>
        <w:jc w:val="both"/>
        <w:rPr>
          <w:rFonts w:ascii="Times New Roman" w:hAnsi="Times New Roman"/>
          <w:i/>
          <w:iCs/>
          <w:sz w:val="28"/>
          <w:szCs w:val="28"/>
        </w:rPr>
      </w:pPr>
    </w:p>
    <w:p w:rsidR="00CE6A05"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w:t>
      </w:r>
      <w:r w:rsidRPr="00491C4A">
        <w:rPr>
          <w:rFonts w:ascii="Times New Roman" w:hAnsi="Times New Roman"/>
          <w:sz w:val="28"/>
          <w:szCs w:val="28"/>
        </w:rPr>
        <w:t>as modificaciones recaen sobre las plantas de generación nuevas y antiguas</w:t>
      </w:r>
      <w:r w:rsidRPr="00491C4A">
        <w:rPr>
          <w:rFonts w:ascii="Times New Roman" w:hAnsi="Times New Roman"/>
          <w:sz w:val="28"/>
          <w:szCs w:val="28"/>
        </w:rPr>
        <w:t xml:space="preserve">, que comprenden aquellas que ya estén en operación y aquellas con asignación de obligaciones, </w:t>
      </w:r>
      <w:r w:rsidRPr="00491C4A">
        <w:rPr>
          <w:rFonts w:ascii="Times New Roman" w:hAnsi="Times New Roman"/>
          <w:sz w:val="28"/>
          <w:szCs w:val="28"/>
        </w:rPr>
        <w:t>ubica</w:t>
      </w:r>
      <w:r w:rsidRPr="00491C4A">
        <w:rPr>
          <w:rFonts w:ascii="Times New Roman" w:hAnsi="Times New Roman"/>
          <w:sz w:val="28"/>
          <w:szCs w:val="28"/>
        </w:rPr>
        <w:t>das en las mencionadas áreas, las cuales deberán pagar una ta</w:t>
      </w:r>
      <w:r w:rsidRPr="00491C4A">
        <w:rPr>
          <w:rFonts w:ascii="Times New Roman" w:hAnsi="Times New Roman"/>
          <w:sz w:val="28"/>
          <w:szCs w:val="28"/>
        </w:rPr>
        <w:t>rifa</w:t>
      </w:r>
      <w:r w:rsidRPr="00491C4A">
        <w:rPr>
          <w:rFonts w:ascii="Times New Roman" w:hAnsi="Times New Roman"/>
          <w:sz w:val="28"/>
          <w:szCs w:val="28"/>
        </w:rPr>
        <w:t xml:space="preserve"> mayor (6% para las nuevas y 4% para las demás),</w:t>
      </w:r>
      <w:r w:rsidRPr="00491C4A">
        <w:rPr>
          <w:rFonts w:ascii="Times New Roman" w:hAnsi="Times New Roman"/>
          <w:sz w:val="28"/>
          <w:szCs w:val="28"/>
        </w:rPr>
        <w:t xml:space="preserve"> mediante aumentos progresivos en un periodo de 4</w:t>
      </w:r>
      <w:r w:rsidRPr="00491C4A">
        <w:rPr>
          <w:rFonts w:ascii="Times New Roman" w:hAnsi="Times New Roman"/>
          <w:sz w:val="28"/>
          <w:szCs w:val="28"/>
        </w:rPr>
        <w:t xml:space="preserve"> </w:t>
      </w:r>
      <w:r w:rsidRPr="00491C4A">
        <w:rPr>
          <w:rFonts w:ascii="Times New Roman" w:hAnsi="Times New Roman"/>
          <w:sz w:val="28"/>
          <w:szCs w:val="28"/>
        </w:rPr>
        <w:t>años</w:t>
      </w:r>
      <w:r w:rsidRPr="00491C4A">
        <w:rPr>
          <w:rFonts w:ascii="Times New Roman" w:hAnsi="Times New Roman"/>
          <w:sz w:val="28"/>
          <w:szCs w:val="28"/>
        </w:rPr>
        <w:t xml:space="preserve">. </w:t>
      </w:r>
      <w:r w:rsidRPr="00491C4A">
        <w:rPr>
          <w:rFonts w:ascii="Times New Roman" w:hAnsi="Times New Roman"/>
          <w:sz w:val="28"/>
          <w:szCs w:val="28"/>
        </w:rPr>
        <w:t>A</w:t>
      </w:r>
      <w:r w:rsidRPr="00491C4A">
        <w:rPr>
          <w:rFonts w:ascii="Times New Roman" w:hAnsi="Times New Roman"/>
          <w:sz w:val="28"/>
          <w:szCs w:val="28"/>
        </w:rPr>
        <w:t xml:space="preserve"> diferencia del 1% al que están obligadas las plantas que no cumplan con esas condicio</w:t>
      </w:r>
      <w:r w:rsidRPr="00491C4A">
        <w:rPr>
          <w:rFonts w:ascii="Times New Roman" w:hAnsi="Times New Roman"/>
          <w:sz w:val="28"/>
          <w:szCs w:val="28"/>
        </w:rPr>
        <w:t xml:space="preserve">nes, esos recursos no serán divididos entre las comunidades étnicas y los municipios, sino que su único destino serán las comunidades étnicas, las cuales, además, tendrán mayor libertad para definir los proyectos en las que las invertirán, en tanto que el </w:t>
      </w:r>
      <w:r w:rsidRPr="00491C4A">
        <w:rPr>
          <w:rFonts w:ascii="Times New Roman" w:hAnsi="Times New Roman"/>
          <w:sz w:val="28"/>
          <w:szCs w:val="28"/>
        </w:rPr>
        <w:t xml:space="preserve">parágrafo 7° se refiere a una gobernanza y no enlista los sectores en los que deben ser usados. </w:t>
      </w:r>
    </w:p>
    <w:p w:rsidR="00CE6A05" w:rsidRPr="00491C4A" w:rsidRDefault="00491C4A" w:rsidP="00CE6A05">
      <w:pPr>
        <w:pStyle w:val="Prrafodelista"/>
        <w:rPr>
          <w:rFonts w:ascii="Times New Roman" w:hAnsi="Times New Roman"/>
          <w:sz w:val="28"/>
          <w:szCs w:val="28"/>
        </w:rPr>
      </w:pPr>
    </w:p>
    <w:p w:rsidR="00637DB2" w:rsidRPr="00491C4A" w:rsidRDefault="00491C4A" w:rsidP="00E9794F">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Las modificaciones sufridas por el artículo 54 de la Ley 143 de 1994 con posterioridad a que fueran proferidas las Sentencias C-495 de 1998 y C-594 de 2010, por parte de lo establecido en el artículo 289 de la Ley 1955 de 2019, que incluyó dentro del grava</w:t>
      </w:r>
      <w:r w:rsidRPr="00491C4A">
        <w:rPr>
          <w:rFonts w:ascii="Times New Roman" w:hAnsi="Times New Roman"/>
          <w:sz w:val="28"/>
          <w:szCs w:val="28"/>
        </w:rPr>
        <w:t xml:space="preserve">men las energías a partir de fuentes no convencionales, no modifican el hecho de que estas sean contribuciones </w:t>
      </w:r>
      <w:r w:rsidRPr="00491C4A">
        <w:rPr>
          <w:rFonts w:ascii="Times New Roman" w:hAnsi="Times New Roman"/>
          <w:sz w:val="28"/>
          <w:szCs w:val="28"/>
        </w:rPr>
        <w:t xml:space="preserve">especiales </w:t>
      </w:r>
      <w:r w:rsidRPr="00491C4A">
        <w:rPr>
          <w:rFonts w:ascii="Times New Roman" w:hAnsi="Times New Roman"/>
          <w:sz w:val="28"/>
          <w:szCs w:val="28"/>
        </w:rPr>
        <w:t xml:space="preserve">por cuanto: </w:t>
      </w:r>
      <w:r w:rsidRPr="00491C4A">
        <w:rPr>
          <w:rFonts w:ascii="Times New Roman" w:hAnsi="Times New Roman"/>
          <w:i/>
          <w:iCs/>
          <w:sz w:val="28"/>
          <w:szCs w:val="28"/>
        </w:rPr>
        <w:t>(i)</w:t>
      </w:r>
      <w:r w:rsidRPr="00491C4A">
        <w:rPr>
          <w:rFonts w:ascii="Times New Roman" w:hAnsi="Times New Roman"/>
          <w:sz w:val="28"/>
          <w:szCs w:val="28"/>
        </w:rPr>
        <w:t xml:space="preserve"> en esas providencias la Corte consideró que su  finalidad es compensatoria y su razón de ser está en la utilización ec</w:t>
      </w:r>
      <w:r w:rsidRPr="00491C4A">
        <w:rPr>
          <w:rFonts w:ascii="Times New Roman" w:hAnsi="Times New Roman"/>
          <w:sz w:val="28"/>
          <w:szCs w:val="28"/>
        </w:rPr>
        <w:t xml:space="preserve">onómica de recursos tanto renovables como no renovables, con capacidad de afectar el ambiente; </w:t>
      </w:r>
      <w:r w:rsidRPr="00491C4A">
        <w:rPr>
          <w:rFonts w:ascii="Times New Roman" w:hAnsi="Times New Roman"/>
          <w:i/>
          <w:iCs/>
          <w:sz w:val="28"/>
          <w:szCs w:val="28"/>
        </w:rPr>
        <w:t>(ii)</w:t>
      </w:r>
      <w:r w:rsidRPr="00491C4A">
        <w:rPr>
          <w:rFonts w:ascii="Times New Roman" w:hAnsi="Times New Roman"/>
          <w:sz w:val="28"/>
          <w:szCs w:val="28"/>
        </w:rPr>
        <w:t xml:space="preserve"> en el caso de los parques eólicos y solares la </w:t>
      </w:r>
      <w:r w:rsidRPr="00491C4A">
        <w:rPr>
          <w:rFonts w:ascii="Times New Roman" w:hAnsi="Times New Roman"/>
          <w:sz w:val="28"/>
          <w:szCs w:val="28"/>
        </w:rPr>
        <w:t xml:space="preserve">externalidad que la contribución pretende mitigar </w:t>
      </w:r>
      <w:r w:rsidRPr="00491C4A">
        <w:rPr>
          <w:rFonts w:ascii="Times New Roman" w:hAnsi="Times New Roman"/>
          <w:sz w:val="28"/>
          <w:szCs w:val="28"/>
        </w:rPr>
        <w:t xml:space="preserve">es biocultural, en atención al vínculo existente entre los </w:t>
      </w:r>
      <w:r w:rsidRPr="00491C4A">
        <w:rPr>
          <w:rFonts w:ascii="Times New Roman" w:hAnsi="Times New Roman"/>
          <w:sz w:val="28"/>
          <w:szCs w:val="28"/>
        </w:rPr>
        <w:t>territorios y las comunidades que los habitan</w:t>
      </w:r>
      <w:r w:rsidRPr="00491C4A">
        <w:rPr>
          <w:rFonts w:ascii="Times New Roman" w:hAnsi="Times New Roman"/>
          <w:sz w:val="28"/>
          <w:szCs w:val="28"/>
        </w:rPr>
        <w:t xml:space="preserve"> y la afectación que puede generar el uso intensivo de los recursos en los territorios que las comunidades habitan</w:t>
      </w:r>
      <w:r w:rsidRPr="00491C4A">
        <w:rPr>
          <w:rFonts w:ascii="Times New Roman" w:hAnsi="Times New Roman"/>
          <w:sz w:val="28"/>
          <w:szCs w:val="28"/>
        </w:rPr>
        <w:t xml:space="preserve">; </w:t>
      </w:r>
      <w:r w:rsidRPr="00491C4A">
        <w:rPr>
          <w:rFonts w:ascii="Times New Roman" w:hAnsi="Times New Roman"/>
          <w:i/>
          <w:iCs/>
          <w:sz w:val="28"/>
          <w:szCs w:val="28"/>
        </w:rPr>
        <w:t>(iii)</w:t>
      </w:r>
      <w:r w:rsidRPr="00491C4A">
        <w:rPr>
          <w:rFonts w:ascii="Times New Roman" w:hAnsi="Times New Roman"/>
          <w:sz w:val="28"/>
          <w:szCs w:val="28"/>
        </w:rPr>
        <w:t xml:space="preserve"> la compensación se mantiene a través de la destinación de los recursos a proyectos que re</w:t>
      </w:r>
      <w:r w:rsidRPr="00491C4A">
        <w:rPr>
          <w:rFonts w:ascii="Times New Roman" w:hAnsi="Times New Roman"/>
          <w:sz w:val="28"/>
          <w:szCs w:val="28"/>
        </w:rPr>
        <w:t xml:space="preserve">dunden en el mejoramiento de </w:t>
      </w:r>
      <w:r w:rsidRPr="00491C4A">
        <w:rPr>
          <w:rFonts w:ascii="Times New Roman" w:hAnsi="Times New Roman"/>
          <w:sz w:val="28"/>
          <w:szCs w:val="28"/>
        </w:rPr>
        <w:t>la</w:t>
      </w:r>
      <w:r w:rsidRPr="00491C4A">
        <w:rPr>
          <w:rFonts w:ascii="Times New Roman" w:hAnsi="Times New Roman"/>
          <w:sz w:val="28"/>
          <w:szCs w:val="28"/>
        </w:rPr>
        <w:t xml:space="preserve"> calidad de vida</w:t>
      </w:r>
      <w:r w:rsidRPr="00491C4A">
        <w:rPr>
          <w:rFonts w:ascii="Times New Roman" w:hAnsi="Times New Roman"/>
          <w:sz w:val="28"/>
          <w:szCs w:val="28"/>
        </w:rPr>
        <w:t xml:space="preserve"> de las comunidade</w:t>
      </w:r>
      <w:r w:rsidRPr="00491C4A">
        <w:rPr>
          <w:rFonts w:ascii="Times New Roman" w:hAnsi="Times New Roman"/>
          <w:sz w:val="28"/>
          <w:szCs w:val="28"/>
        </w:rPr>
        <w:t xml:space="preserve">s; </w:t>
      </w:r>
      <w:r w:rsidRPr="00491C4A">
        <w:rPr>
          <w:rFonts w:ascii="Times New Roman" w:hAnsi="Times New Roman"/>
          <w:i/>
          <w:iCs/>
          <w:sz w:val="28"/>
          <w:szCs w:val="28"/>
        </w:rPr>
        <w:t>(iv)</w:t>
      </w:r>
      <w:r w:rsidRPr="00491C4A">
        <w:rPr>
          <w:rFonts w:ascii="Times New Roman" w:hAnsi="Times New Roman"/>
          <w:i/>
          <w:iCs/>
          <w:sz w:val="28"/>
          <w:szCs w:val="28"/>
        </w:rPr>
        <w:t xml:space="preserve"> </w:t>
      </w:r>
      <w:r w:rsidRPr="00491C4A">
        <w:rPr>
          <w:rFonts w:ascii="Times New Roman" w:hAnsi="Times New Roman"/>
          <w:sz w:val="28"/>
          <w:szCs w:val="28"/>
        </w:rPr>
        <w:t xml:space="preserve">la destinación a proyectos ambientales en las zonas de operación de los generadores satisface la exigencia de correlación entre sujeto pasivo y beneficiario. Ello porque (a) los </w:t>
      </w:r>
      <w:r w:rsidRPr="00491C4A">
        <w:rPr>
          <w:rFonts w:ascii="Times New Roman" w:hAnsi="Times New Roman"/>
          <w:sz w:val="28"/>
          <w:szCs w:val="28"/>
        </w:rPr>
        <w:t>sujetos pasivos del tributo operan físicamente en dichos territorios; (b) las comunidades locales resultan directamente impactadas por dicha operación; y (c) los proyectos financiados con el recaudo tienen un componente de compensación ambiental y social d</w:t>
      </w:r>
      <w:r w:rsidRPr="00491C4A">
        <w:rPr>
          <w:rFonts w:ascii="Times New Roman" w:hAnsi="Times New Roman"/>
          <w:sz w:val="28"/>
          <w:szCs w:val="28"/>
        </w:rPr>
        <w:t>irectamente vinculado a la actividad que da origen a la contribución.</w:t>
      </w:r>
    </w:p>
    <w:p w:rsidR="000A4657" w:rsidRPr="00491C4A" w:rsidRDefault="00491C4A" w:rsidP="000A4657">
      <w:pPr>
        <w:pStyle w:val="Prrafodelista"/>
        <w:rPr>
          <w:rFonts w:ascii="Times New Roman" w:hAnsi="Times New Roman"/>
          <w:sz w:val="28"/>
          <w:szCs w:val="28"/>
        </w:rPr>
      </w:pPr>
    </w:p>
    <w:p w:rsidR="00050DF7" w:rsidRPr="00491C4A" w:rsidRDefault="00491C4A" w:rsidP="000A4657">
      <w:pPr>
        <w:pStyle w:val="Prrafodelista"/>
        <w:rPr>
          <w:rFonts w:ascii="Times New Roman" w:hAnsi="Times New Roman"/>
          <w:sz w:val="28"/>
          <w:szCs w:val="28"/>
        </w:rPr>
      </w:pPr>
    </w:p>
    <w:p w:rsidR="001A0D03" w:rsidRPr="00491C4A" w:rsidRDefault="00491C4A" w:rsidP="00B14E37">
      <w:pPr>
        <w:pStyle w:val="Ttulo2"/>
        <w:numPr>
          <w:ilvl w:val="0"/>
          <w:numId w:val="7"/>
        </w:numPr>
        <w:spacing w:before="0" w:after="0"/>
        <w:ind w:left="708" w:hanging="708"/>
        <w:jc w:val="both"/>
        <w:rPr>
          <w:rFonts w:ascii="Times New Roman" w:hAnsi="Times New Roman"/>
          <w:b/>
          <w:bCs/>
          <w:color w:val="auto"/>
          <w:sz w:val="28"/>
          <w:szCs w:val="28"/>
        </w:rPr>
      </w:pPr>
      <w:bookmarkStart w:id="37" w:name="_Toc200753671"/>
      <w:bookmarkEnd w:id="1"/>
      <w:r w:rsidRPr="00491C4A">
        <w:rPr>
          <w:rFonts w:ascii="Times New Roman" w:hAnsi="Times New Roman"/>
          <w:b/>
          <w:bCs/>
          <w:color w:val="auto"/>
          <w:sz w:val="28"/>
          <w:szCs w:val="28"/>
        </w:rPr>
        <w:t xml:space="preserve">Solución del tercer cargo, por </w:t>
      </w:r>
      <w:r w:rsidRPr="00491C4A">
        <w:rPr>
          <w:rFonts w:ascii="Times New Roman" w:hAnsi="Times New Roman"/>
          <w:b/>
          <w:bCs/>
          <w:color w:val="auto"/>
          <w:sz w:val="28"/>
          <w:szCs w:val="28"/>
        </w:rPr>
        <w:t>violación de</w:t>
      </w:r>
      <w:r w:rsidRPr="00491C4A">
        <w:rPr>
          <w:rFonts w:ascii="Times New Roman" w:hAnsi="Times New Roman"/>
          <w:b/>
          <w:bCs/>
          <w:color w:val="auto"/>
          <w:sz w:val="28"/>
          <w:szCs w:val="28"/>
        </w:rPr>
        <w:t xml:space="preserve"> los </w:t>
      </w:r>
      <w:r w:rsidRPr="00491C4A">
        <w:rPr>
          <w:rFonts w:ascii="Times New Roman" w:hAnsi="Times New Roman"/>
          <w:b/>
          <w:bCs/>
          <w:color w:val="auto"/>
          <w:sz w:val="28"/>
          <w:szCs w:val="28"/>
        </w:rPr>
        <w:t>principio</w:t>
      </w:r>
      <w:r w:rsidRPr="00491C4A">
        <w:rPr>
          <w:rFonts w:ascii="Times New Roman" w:hAnsi="Times New Roman"/>
          <w:b/>
          <w:bCs/>
          <w:color w:val="auto"/>
          <w:sz w:val="28"/>
          <w:szCs w:val="28"/>
        </w:rPr>
        <w:t>s</w:t>
      </w:r>
      <w:r w:rsidRPr="00491C4A">
        <w:rPr>
          <w:rFonts w:ascii="Times New Roman" w:hAnsi="Times New Roman"/>
          <w:b/>
          <w:bCs/>
          <w:color w:val="auto"/>
          <w:sz w:val="28"/>
          <w:szCs w:val="28"/>
        </w:rPr>
        <w:t xml:space="preserve"> de legalidad y certeza tributaria</w:t>
      </w:r>
      <w:bookmarkEnd w:id="37"/>
    </w:p>
    <w:p w:rsidR="001A0D03" w:rsidRPr="00491C4A" w:rsidRDefault="00491C4A" w:rsidP="001A0D03">
      <w:pPr>
        <w:jc w:val="both"/>
        <w:rPr>
          <w:rFonts w:ascii="Times New Roman" w:hAnsi="Times New Roman"/>
          <w:b/>
          <w:bCs/>
          <w:sz w:val="28"/>
          <w:szCs w:val="28"/>
        </w:rPr>
      </w:pPr>
    </w:p>
    <w:p w:rsidR="00544D05" w:rsidRPr="00491C4A" w:rsidRDefault="00491C4A" w:rsidP="001A0D03">
      <w:pPr>
        <w:jc w:val="both"/>
        <w:rPr>
          <w:rFonts w:ascii="Times New Roman" w:hAnsi="Times New Roman"/>
          <w:b/>
          <w:bCs/>
          <w:i/>
          <w:iCs/>
          <w:sz w:val="28"/>
          <w:szCs w:val="28"/>
        </w:rPr>
      </w:pPr>
      <w:r w:rsidRPr="00491C4A">
        <w:rPr>
          <w:rFonts w:ascii="Times New Roman" w:hAnsi="Times New Roman"/>
          <w:b/>
          <w:bCs/>
          <w:i/>
          <w:iCs/>
          <w:sz w:val="28"/>
          <w:szCs w:val="28"/>
        </w:rPr>
        <w:t xml:space="preserve">La expresión “plantas con asignación de obligaciones” que califica </w:t>
      </w:r>
      <w:r w:rsidRPr="00491C4A">
        <w:rPr>
          <w:rFonts w:ascii="Times New Roman" w:hAnsi="Times New Roman"/>
          <w:b/>
          <w:bCs/>
          <w:i/>
          <w:iCs/>
          <w:sz w:val="28"/>
          <w:szCs w:val="28"/>
        </w:rPr>
        <w:t xml:space="preserve">el sujeto pasivo del </w:t>
      </w:r>
      <w:r w:rsidRPr="00491C4A">
        <w:rPr>
          <w:rFonts w:ascii="Times New Roman" w:hAnsi="Times New Roman"/>
          <w:b/>
          <w:bCs/>
          <w:i/>
          <w:iCs/>
          <w:sz w:val="28"/>
          <w:szCs w:val="28"/>
        </w:rPr>
        <w:t>parágrafo s</w:t>
      </w:r>
      <w:r w:rsidRPr="00491C4A">
        <w:rPr>
          <w:rFonts w:ascii="Times New Roman" w:hAnsi="Times New Roman"/>
          <w:b/>
          <w:bCs/>
          <w:i/>
          <w:iCs/>
          <w:sz w:val="28"/>
          <w:szCs w:val="28"/>
        </w:rPr>
        <w:t>exto</w:t>
      </w:r>
      <w:r w:rsidRPr="00491C4A">
        <w:rPr>
          <w:rFonts w:ascii="Times New Roman" w:hAnsi="Times New Roman"/>
          <w:b/>
          <w:bCs/>
          <w:i/>
          <w:iCs/>
          <w:sz w:val="28"/>
          <w:szCs w:val="28"/>
        </w:rPr>
        <w:t xml:space="preserve"> del artículo</w:t>
      </w:r>
      <w:r w:rsidRPr="00491C4A">
        <w:rPr>
          <w:rFonts w:ascii="Times New Roman" w:hAnsi="Times New Roman"/>
          <w:b/>
          <w:bCs/>
          <w:i/>
          <w:iCs/>
          <w:sz w:val="28"/>
          <w:szCs w:val="28"/>
        </w:rPr>
        <w:t xml:space="preserve"> 233 de la Ley 2294 de 2023</w:t>
      </w:r>
      <w:r w:rsidRPr="00491C4A">
        <w:rPr>
          <w:rFonts w:ascii="Times New Roman" w:hAnsi="Times New Roman"/>
          <w:b/>
          <w:bCs/>
          <w:i/>
          <w:iCs/>
          <w:sz w:val="28"/>
          <w:szCs w:val="28"/>
        </w:rPr>
        <w:t xml:space="preserve"> no viola los principios de legalidad y certeza tributaria.</w:t>
      </w:r>
    </w:p>
    <w:p w:rsidR="00544D05" w:rsidRPr="00491C4A" w:rsidRDefault="00491C4A" w:rsidP="001A0D03">
      <w:pPr>
        <w:jc w:val="both"/>
        <w:rPr>
          <w:rFonts w:ascii="Times New Roman" w:hAnsi="Times New Roman"/>
          <w:b/>
          <w:bCs/>
          <w:sz w:val="28"/>
          <w:szCs w:val="28"/>
        </w:rPr>
      </w:pPr>
    </w:p>
    <w:p w:rsidR="001C6614"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Los accionantes e intervinientes que defienden la inexequibilidad de la expresión “</w:t>
      </w:r>
      <w:r w:rsidRPr="00491C4A">
        <w:rPr>
          <w:rFonts w:ascii="Times New Roman" w:hAnsi="Times New Roman"/>
          <w:i/>
          <w:iCs/>
          <w:sz w:val="28"/>
          <w:szCs w:val="28"/>
        </w:rPr>
        <w:t xml:space="preserve">plantas con obligaciones asignadas” </w:t>
      </w:r>
      <w:r w:rsidRPr="00491C4A">
        <w:rPr>
          <w:rFonts w:ascii="Times New Roman" w:hAnsi="Times New Roman"/>
          <w:sz w:val="28"/>
          <w:szCs w:val="28"/>
        </w:rPr>
        <w:t>afirman que esta no c</w:t>
      </w:r>
      <w:r w:rsidRPr="00491C4A">
        <w:rPr>
          <w:rFonts w:ascii="Times New Roman" w:hAnsi="Times New Roman"/>
          <w:sz w:val="28"/>
          <w:szCs w:val="28"/>
        </w:rPr>
        <w:t>orresponde a una ciencia o arte como sería la ingeniería y tampoco está explicado en alguna norma con fuerza de ley. Añaden que no es clara la naturaleza de las obligaciones asignadas, esto es, si se trata de obligaciones civiles, ambientales, inmobiliaria</w:t>
      </w:r>
      <w:r w:rsidRPr="00491C4A">
        <w:rPr>
          <w:rFonts w:ascii="Times New Roman" w:hAnsi="Times New Roman"/>
          <w:sz w:val="28"/>
          <w:szCs w:val="28"/>
        </w:rPr>
        <w:t>s, sociales, crediticias, etc. Los que defienden la exequibilidad de la norma aseguran, en contraste, que la expresión tiene una interpretación razonable que permite que el sujeto pasivo sea claramente determinable.</w:t>
      </w:r>
    </w:p>
    <w:p w:rsidR="001C6614" w:rsidRPr="00491C4A" w:rsidRDefault="00491C4A" w:rsidP="001C6614">
      <w:pPr>
        <w:pStyle w:val="Prrafodelista"/>
        <w:ind w:left="0"/>
        <w:jc w:val="both"/>
        <w:rPr>
          <w:rFonts w:ascii="Times New Roman" w:hAnsi="Times New Roman"/>
          <w:sz w:val="28"/>
          <w:szCs w:val="28"/>
        </w:rPr>
      </w:pPr>
    </w:p>
    <w:p w:rsidR="001A0D03"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juicio de la Corte, e</w:t>
      </w:r>
      <w:r w:rsidRPr="00491C4A">
        <w:rPr>
          <w:rFonts w:ascii="Times New Roman" w:hAnsi="Times New Roman"/>
          <w:sz w:val="28"/>
          <w:szCs w:val="28"/>
        </w:rPr>
        <w:t>l pará</w:t>
      </w:r>
      <w:r w:rsidRPr="00491C4A">
        <w:rPr>
          <w:rFonts w:ascii="Times New Roman" w:hAnsi="Times New Roman"/>
          <w:sz w:val="28"/>
          <w:szCs w:val="28"/>
        </w:rPr>
        <w:t>grafo sext</w:t>
      </w:r>
      <w:r w:rsidRPr="00491C4A">
        <w:rPr>
          <w:rFonts w:ascii="Times New Roman" w:hAnsi="Times New Roman"/>
          <w:sz w:val="28"/>
          <w:szCs w:val="28"/>
        </w:rPr>
        <w:t xml:space="preserve">o del artículo 233 de la Ley 2294 no </w:t>
      </w:r>
      <w:r w:rsidRPr="00491C4A">
        <w:rPr>
          <w:rFonts w:ascii="Times New Roman" w:hAnsi="Times New Roman"/>
          <w:sz w:val="28"/>
          <w:szCs w:val="28"/>
        </w:rPr>
        <w:t>incurre en una indeterminación</w:t>
      </w:r>
      <w:r w:rsidRPr="00491C4A">
        <w:rPr>
          <w:rFonts w:ascii="Times New Roman" w:hAnsi="Times New Roman"/>
          <w:sz w:val="28"/>
          <w:szCs w:val="28"/>
        </w:rPr>
        <w:t xml:space="preserve"> ins</w:t>
      </w:r>
      <w:r w:rsidRPr="00491C4A">
        <w:rPr>
          <w:rFonts w:ascii="Times New Roman" w:hAnsi="Times New Roman"/>
          <w:sz w:val="28"/>
          <w:szCs w:val="28"/>
        </w:rPr>
        <w:t>uperable</w:t>
      </w:r>
      <w:r w:rsidRPr="00491C4A">
        <w:rPr>
          <w:rFonts w:ascii="Times New Roman" w:hAnsi="Times New Roman"/>
          <w:sz w:val="28"/>
          <w:szCs w:val="28"/>
        </w:rPr>
        <w:t xml:space="preserve"> del sujeto pasivo de las trans</w:t>
      </w:r>
      <w:r w:rsidRPr="00491C4A">
        <w:rPr>
          <w:rFonts w:ascii="Times New Roman" w:hAnsi="Times New Roman"/>
          <w:sz w:val="28"/>
          <w:szCs w:val="28"/>
        </w:rPr>
        <w:t xml:space="preserve">ferencias eléctricas al emplear la expresión </w:t>
      </w:r>
      <w:r w:rsidRPr="00491C4A">
        <w:rPr>
          <w:rFonts w:ascii="Times New Roman" w:hAnsi="Times New Roman"/>
          <w:i/>
          <w:iCs/>
          <w:sz w:val="28"/>
          <w:szCs w:val="28"/>
        </w:rPr>
        <w:t>“plantas con asignación de obligaciones”</w:t>
      </w:r>
      <w:r w:rsidRPr="00491C4A">
        <w:rPr>
          <w:rFonts w:ascii="Times New Roman" w:hAnsi="Times New Roman"/>
          <w:sz w:val="28"/>
          <w:szCs w:val="28"/>
        </w:rPr>
        <w:t>. Todo lo contrario</w:t>
      </w:r>
      <w:r w:rsidRPr="00491C4A">
        <w:rPr>
          <w:rFonts w:ascii="Times New Roman" w:hAnsi="Times New Roman"/>
          <w:sz w:val="28"/>
          <w:szCs w:val="28"/>
        </w:rPr>
        <w:t xml:space="preserve">, </w:t>
      </w:r>
      <w:r w:rsidRPr="00491C4A">
        <w:rPr>
          <w:rFonts w:ascii="Times New Roman" w:hAnsi="Times New Roman"/>
          <w:sz w:val="28"/>
          <w:szCs w:val="28"/>
        </w:rPr>
        <w:t xml:space="preserve">la expresión tiene un contenido claro y compartido en el sector </w:t>
      </w:r>
      <w:r w:rsidRPr="00491C4A">
        <w:rPr>
          <w:rFonts w:ascii="Times New Roman" w:hAnsi="Times New Roman"/>
          <w:sz w:val="28"/>
          <w:szCs w:val="28"/>
        </w:rPr>
        <w:t xml:space="preserve">eléctrico al que se dirige, </w:t>
      </w:r>
      <w:r w:rsidRPr="00491C4A">
        <w:rPr>
          <w:rFonts w:ascii="Times New Roman" w:hAnsi="Times New Roman"/>
          <w:sz w:val="28"/>
          <w:szCs w:val="28"/>
        </w:rPr>
        <w:t xml:space="preserve">en tanto </w:t>
      </w:r>
      <w:r w:rsidRPr="00491C4A">
        <w:rPr>
          <w:rFonts w:ascii="Times New Roman" w:hAnsi="Times New Roman"/>
          <w:sz w:val="28"/>
          <w:szCs w:val="28"/>
        </w:rPr>
        <w:t xml:space="preserve">su </w:t>
      </w:r>
      <w:r w:rsidRPr="00491C4A">
        <w:rPr>
          <w:rFonts w:ascii="Times New Roman" w:hAnsi="Times New Roman"/>
          <w:sz w:val="28"/>
          <w:szCs w:val="28"/>
        </w:rPr>
        <w:t>sentido</w:t>
      </w:r>
      <w:r w:rsidRPr="00491C4A">
        <w:rPr>
          <w:rFonts w:ascii="Times New Roman" w:hAnsi="Times New Roman"/>
          <w:sz w:val="28"/>
          <w:szCs w:val="28"/>
        </w:rPr>
        <w:t xml:space="preserve"> es </w:t>
      </w:r>
      <w:r w:rsidRPr="00491C4A">
        <w:rPr>
          <w:rFonts w:ascii="Times New Roman" w:hAnsi="Times New Roman"/>
          <w:sz w:val="28"/>
          <w:szCs w:val="28"/>
        </w:rPr>
        <w:t xml:space="preserve">fácilmente </w:t>
      </w:r>
      <w:r w:rsidRPr="00491C4A">
        <w:rPr>
          <w:rFonts w:ascii="Times New Roman" w:hAnsi="Times New Roman"/>
          <w:sz w:val="28"/>
          <w:szCs w:val="28"/>
        </w:rPr>
        <w:t>determinable a partir de</w:t>
      </w:r>
      <w:r w:rsidRPr="00491C4A">
        <w:rPr>
          <w:rFonts w:ascii="Times New Roman" w:hAnsi="Times New Roman"/>
          <w:sz w:val="28"/>
          <w:szCs w:val="28"/>
        </w:rPr>
        <w:t xml:space="preserve">l uso de </w:t>
      </w:r>
      <w:r w:rsidRPr="00491C4A">
        <w:rPr>
          <w:rFonts w:ascii="Times New Roman" w:hAnsi="Times New Roman"/>
          <w:sz w:val="28"/>
          <w:szCs w:val="28"/>
        </w:rPr>
        <w:t>criterios regul</w:t>
      </w:r>
      <w:r w:rsidRPr="00491C4A">
        <w:rPr>
          <w:rFonts w:ascii="Times New Roman" w:hAnsi="Times New Roman"/>
          <w:sz w:val="28"/>
          <w:szCs w:val="28"/>
        </w:rPr>
        <w:t>a</w:t>
      </w:r>
      <w:r w:rsidRPr="00491C4A">
        <w:rPr>
          <w:rFonts w:ascii="Times New Roman" w:hAnsi="Times New Roman"/>
          <w:sz w:val="28"/>
          <w:szCs w:val="28"/>
        </w:rPr>
        <w:t>torios</w:t>
      </w:r>
      <w:r w:rsidRPr="00491C4A">
        <w:rPr>
          <w:rFonts w:ascii="Times New Roman" w:hAnsi="Times New Roman"/>
          <w:sz w:val="28"/>
          <w:szCs w:val="28"/>
        </w:rPr>
        <w:t xml:space="preserve"> conocidos por todos los participantes del sector</w:t>
      </w:r>
      <w:r w:rsidRPr="00491C4A">
        <w:rPr>
          <w:rFonts w:ascii="Times New Roman" w:hAnsi="Times New Roman"/>
          <w:sz w:val="28"/>
          <w:szCs w:val="28"/>
        </w:rPr>
        <w:t xml:space="preserve"> eléctrico</w:t>
      </w:r>
      <w:r w:rsidRPr="00491C4A">
        <w:rPr>
          <w:rFonts w:ascii="Times New Roman" w:hAnsi="Times New Roman"/>
          <w:sz w:val="28"/>
          <w:szCs w:val="28"/>
        </w:rPr>
        <w:t>.</w:t>
      </w:r>
    </w:p>
    <w:p w:rsidR="00447DF7" w:rsidRPr="00491C4A" w:rsidRDefault="00491C4A" w:rsidP="00447DF7">
      <w:pPr>
        <w:pStyle w:val="Prrafodelista"/>
        <w:ind w:left="0"/>
        <w:jc w:val="both"/>
        <w:rPr>
          <w:rFonts w:ascii="Times New Roman" w:hAnsi="Times New Roman"/>
          <w:sz w:val="28"/>
          <w:szCs w:val="28"/>
        </w:rPr>
      </w:pPr>
    </w:p>
    <w:p w:rsidR="004E4CC6"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Sea lo primer</w:t>
      </w:r>
      <w:r w:rsidRPr="00491C4A">
        <w:rPr>
          <w:rFonts w:ascii="Times New Roman" w:hAnsi="Times New Roman"/>
          <w:sz w:val="28"/>
          <w:szCs w:val="28"/>
        </w:rPr>
        <w:t>o indicar que el parágrafo sexto adicionado por el artículo 233 de la Ley 2294 de 2023 al artículo 54 de la Ley 143 de 1994 se desprende de la regulación del inciso segundo que, como se señaló en la sección precedente, extendió el pago de la contribución p</w:t>
      </w:r>
      <w:r w:rsidRPr="00491C4A">
        <w:rPr>
          <w:rFonts w:ascii="Times New Roman" w:hAnsi="Times New Roman"/>
          <w:sz w:val="28"/>
          <w:szCs w:val="28"/>
        </w:rPr>
        <w:t>or transferencias eléctricas a la</w:t>
      </w:r>
      <w:r w:rsidRPr="00491C4A">
        <w:rPr>
          <w:rFonts w:ascii="Times New Roman" w:hAnsi="Times New Roman"/>
          <w:sz w:val="28"/>
          <w:szCs w:val="28"/>
        </w:rPr>
        <w:t>s plantas que producen</w:t>
      </w:r>
      <w:r w:rsidRPr="00491C4A">
        <w:rPr>
          <w:rFonts w:ascii="Times New Roman" w:hAnsi="Times New Roman"/>
          <w:sz w:val="28"/>
          <w:szCs w:val="28"/>
        </w:rPr>
        <w:t xml:space="preserve"> energía </w:t>
      </w:r>
      <w:r w:rsidRPr="00491C4A">
        <w:rPr>
          <w:rFonts w:ascii="Times New Roman" w:hAnsi="Times New Roman"/>
          <w:sz w:val="28"/>
          <w:szCs w:val="28"/>
        </w:rPr>
        <w:t>a partir de</w:t>
      </w:r>
      <w:r w:rsidRPr="00491C4A">
        <w:rPr>
          <w:rFonts w:ascii="Times New Roman" w:hAnsi="Times New Roman"/>
          <w:sz w:val="28"/>
          <w:szCs w:val="28"/>
        </w:rPr>
        <w:t xml:space="preserve"> FNCE. De conformidad con lo previsto en el artículo 5.16 de la Ley 1715 de 2014, las FNCE comprenden la energía nuclear o atómica y las FNCER, además de otras que pudieran ser </w:t>
      </w:r>
      <w:r w:rsidRPr="00491C4A">
        <w:rPr>
          <w:rFonts w:ascii="Times New Roman" w:hAnsi="Times New Roman"/>
          <w:sz w:val="28"/>
          <w:szCs w:val="28"/>
        </w:rPr>
        <w:t>consideradas como tal por la UPME. Las FNCER comprenden, a su turno, la biomasa, los pequeños aprovechamientos hidroeléctricos, la eólica, la geotérmica, la solar y los mares.</w:t>
      </w:r>
      <w:r w:rsidRPr="00491C4A">
        <w:rPr>
          <w:rFonts w:ascii="Times New Roman" w:hAnsi="Times New Roman"/>
          <w:sz w:val="28"/>
          <w:szCs w:val="28"/>
        </w:rPr>
        <w:t xml:space="preserve"> De modo que la expresión </w:t>
      </w:r>
      <w:r w:rsidRPr="00491C4A">
        <w:rPr>
          <w:rFonts w:ascii="Times New Roman" w:hAnsi="Times New Roman"/>
          <w:i/>
          <w:iCs/>
          <w:sz w:val="28"/>
          <w:szCs w:val="28"/>
        </w:rPr>
        <w:t>“plantas con asignación de obligaciones”</w:t>
      </w:r>
      <w:r w:rsidRPr="00491C4A">
        <w:rPr>
          <w:rFonts w:ascii="Times New Roman" w:hAnsi="Times New Roman"/>
          <w:i/>
          <w:iCs/>
          <w:sz w:val="28"/>
          <w:szCs w:val="28"/>
        </w:rPr>
        <w:t xml:space="preserve"> </w:t>
      </w:r>
      <w:r w:rsidRPr="00491C4A">
        <w:rPr>
          <w:rFonts w:ascii="Times New Roman" w:hAnsi="Times New Roman"/>
          <w:sz w:val="28"/>
          <w:szCs w:val="28"/>
        </w:rPr>
        <w:t>en el contexto</w:t>
      </w:r>
      <w:r w:rsidRPr="00491C4A">
        <w:rPr>
          <w:rFonts w:ascii="Times New Roman" w:hAnsi="Times New Roman"/>
          <w:sz w:val="28"/>
          <w:szCs w:val="28"/>
        </w:rPr>
        <w:t xml:space="preserve"> del parágrafo 6 adicionado por la norma demandada</w:t>
      </w:r>
      <w:r w:rsidRPr="00491C4A">
        <w:rPr>
          <w:rFonts w:ascii="Times New Roman" w:hAnsi="Times New Roman"/>
          <w:i/>
          <w:iCs/>
          <w:sz w:val="28"/>
          <w:szCs w:val="28"/>
        </w:rPr>
        <w:t xml:space="preserve"> </w:t>
      </w:r>
      <w:r w:rsidRPr="00491C4A">
        <w:rPr>
          <w:rFonts w:ascii="Times New Roman" w:hAnsi="Times New Roman"/>
          <w:sz w:val="28"/>
          <w:szCs w:val="28"/>
        </w:rPr>
        <w:t>califica aquellas que producen energía con FNCE.</w:t>
      </w:r>
    </w:p>
    <w:p w:rsidR="00961EC9" w:rsidRPr="00491C4A" w:rsidRDefault="00491C4A" w:rsidP="00961EC9">
      <w:pPr>
        <w:pStyle w:val="Prrafodelista"/>
        <w:rPr>
          <w:rFonts w:ascii="Times New Roman" w:hAnsi="Times New Roman"/>
          <w:sz w:val="28"/>
          <w:szCs w:val="28"/>
        </w:rPr>
      </w:pPr>
    </w:p>
    <w:p w:rsidR="00961EC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w:t>
      </w:r>
      <w:r w:rsidRPr="00491C4A">
        <w:rPr>
          <w:rFonts w:ascii="Times New Roman" w:hAnsi="Times New Roman"/>
          <w:sz w:val="28"/>
          <w:szCs w:val="28"/>
        </w:rPr>
        <w:t>ara identificar cu</w:t>
      </w:r>
      <w:r w:rsidRPr="00491C4A">
        <w:rPr>
          <w:rFonts w:ascii="Times New Roman" w:hAnsi="Times New Roman"/>
          <w:sz w:val="28"/>
          <w:szCs w:val="28"/>
        </w:rPr>
        <w:t xml:space="preserve">ándo </w:t>
      </w:r>
      <w:r w:rsidRPr="00491C4A">
        <w:rPr>
          <w:rFonts w:ascii="Times New Roman" w:hAnsi="Times New Roman"/>
          <w:sz w:val="28"/>
          <w:szCs w:val="28"/>
        </w:rPr>
        <w:t xml:space="preserve">y cómo ocurre </w:t>
      </w:r>
      <w:r w:rsidRPr="00491C4A">
        <w:rPr>
          <w:rFonts w:ascii="Times New Roman" w:hAnsi="Times New Roman"/>
          <w:sz w:val="28"/>
          <w:szCs w:val="28"/>
        </w:rPr>
        <w:t>la</w:t>
      </w:r>
      <w:r w:rsidRPr="00491C4A">
        <w:rPr>
          <w:rFonts w:ascii="Times New Roman" w:hAnsi="Times New Roman"/>
          <w:sz w:val="28"/>
          <w:szCs w:val="28"/>
        </w:rPr>
        <w:t xml:space="preserve"> asignación</w:t>
      </w:r>
      <w:r w:rsidRPr="00491C4A">
        <w:rPr>
          <w:rFonts w:ascii="Times New Roman" w:hAnsi="Times New Roman"/>
          <w:sz w:val="28"/>
          <w:szCs w:val="28"/>
        </w:rPr>
        <w:t xml:space="preserve"> de obligaciones de venta</w:t>
      </w:r>
      <w:r w:rsidRPr="00491C4A">
        <w:rPr>
          <w:rFonts w:ascii="Times New Roman" w:hAnsi="Times New Roman"/>
          <w:sz w:val="28"/>
          <w:szCs w:val="28"/>
        </w:rPr>
        <w:t xml:space="preserve"> es </w:t>
      </w:r>
      <w:r w:rsidRPr="00491C4A">
        <w:rPr>
          <w:rFonts w:ascii="Times New Roman" w:hAnsi="Times New Roman"/>
          <w:sz w:val="28"/>
          <w:szCs w:val="28"/>
        </w:rPr>
        <w:t>válido</w:t>
      </w:r>
      <w:r w:rsidRPr="00491C4A">
        <w:rPr>
          <w:rFonts w:ascii="Times New Roman" w:hAnsi="Times New Roman"/>
          <w:sz w:val="28"/>
          <w:szCs w:val="28"/>
        </w:rPr>
        <w:t xml:space="preserve"> acudir al marco regulatorio especializado en la materia</w:t>
      </w:r>
      <w:r w:rsidRPr="00491C4A">
        <w:rPr>
          <w:rFonts w:ascii="Times New Roman" w:hAnsi="Times New Roman"/>
          <w:sz w:val="28"/>
          <w:szCs w:val="28"/>
        </w:rPr>
        <w:t>.</w:t>
      </w:r>
      <w:r w:rsidRPr="00491C4A">
        <w:rPr>
          <w:rFonts w:ascii="Times New Roman" w:hAnsi="Times New Roman"/>
          <w:sz w:val="28"/>
          <w:szCs w:val="28"/>
        </w:rPr>
        <w:t xml:space="preserve"> </w:t>
      </w:r>
      <w:r w:rsidRPr="00491C4A">
        <w:rPr>
          <w:rFonts w:ascii="Times New Roman" w:hAnsi="Times New Roman"/>
          <w:sz w:val="28"/>
          <w:szCs w:val="28"/>
        </w:rPr>
        <w:t>En las prue</w:t>
      </w:r>
      <w:r w:rsidRPr="00491C4A">
        <w:rPr>
          <w:rFonts w:ascii="Times New Roman" w:hAnsi="Times New Roman"/>
          <w:sz w:val="28"/>
          <w:szCs w:val="28"/>
        </w:rPr>
        <w:t xml:space="preserve">bas </w:t>
      </w:r>
      <w:r w:rsidRPr="00491C4A">
        <w:rPr>
          <w:rFonts w:ascii="Times New Roman" w:hAnsi="Times New Roman"/>
          <w:sz w:val="28"/>
          <w:szCs w:val="28"/>
        </w:rPr>
        <w:t xml:space="preserve">practicadas dentro de este expediente, la CREG informó a la Corte que existen dos tipos de desarrollos de plantas que producen energía con FNCE: </w:t>
      </w:r>
      <w:r w:rsidRPr="00491C4A">
        <w:rPr>
          <w:rFonts w:ascii="Times New Roman" w:hAnsi="Times New Roman"/>
          <w:i/>
          <w:iCs/>
          <w:sz w:val="28"/>
          <w:szCs w:val="28"/>
        </w:rPr>
        <w:t>i)</w:t>
      </w:r>
      <w:r w:rsidRPr="00491C4A">
        <w:rPr>
          <w:rFonts w:ascii="Times New Roman" w:hAnsi="Times New Roman"/>
          <w:sz w:val="28"/>
          <w:szCs w:val="28"/>
        </w:rPr>
        <w:t xml:space="preserve"> las construcciones a riesgo y </w:t>
      </w:r>
      <w:r w:rsidRPr="00491C4A">
        <w:rPr>
          <w:rFonts w:ascii="Times New Roman" w:hAnsi="Times New Roman"/>
          <w:i/>
          <w:iCs/>
          <w:sz w:val="28"/>
          <w:szCs w:val="28"/>
        </w:rPr>
        <w:t xml:space="preserve">ii) </w:t>
      </w:r>
      <w:r w:rsidRPr="00491C4A">
        <w:rPr>
          <w:rFonts w:ascii="Times New Roman" w:hAnsi="Times New Roman"/>
          <w:sz w:val="28"/>
          <w:szCs w:val="28"/>
        </w:rPr>
        <w:t>las construcciones por compromisos con el cargo por confiabilidad. Las</w:t>
      </w:r>
      <w:r w:rsidRPr="00491C4A">
        <w:rPr>
          <w:rFonts w:ascii="Times New Roman" w:hAnsi="Times New Roman"/>
          <w:sz w:val="28"/>
          <w:szCs w:val="28"/>
        </w:rPr>
        <w:t xml:space="preserve"> segundas son plantas que se construyen para dar cumplimiento a las obligaciones que se adquieren con el cargo por confiabilidad.</w:t>
      </w:r>
      <w:r w:rsidRPr="00491C4A">
        <w:rPr>
          <w:rFonts w:ascii="Times New Roman" w:hAnsi="Times New Roman"/>
          <w:sz w:val="28"/>
          <w:szCs w:val="28"/>
        </w:rPr>
        <w:t xml:space="preserve"> La Resolución CREG 071 de 2006 define el Cargo por Confiabilidad como la remuneración que se paga a un generador por la dispon</w:t>
      </w:r>
      <w:r w:rsidRPr="00491C4A">
        <w:rPr>
          <w:rFonts w:ascii="Times New Roman" w:hAnsi="Times New Roman"/>
          <w:sz w:val="28"/>
          <w:szCs w:val="28"/>
        </w:rPr>
        <w:t>ibilidad de activos de generación con las características para garantizar el cumplimiento de la Obligación de Energía Firme que le fue asignada en una Subasta</w:t>
      </w:r>
      <w:r w:rsidRPr="00491C4A">
        <w:rPr>
          <w:rFonts w:ascii="Times New Roman" w:hAnsi="Times New Roman"/>
          <w:sz w:val="28"/>
          <w:szCs w:val="28"/>
        </w:rPr>
        <w:t xml:space="preserve"> o en el mecanismo que haga sus veces</w:t>
      </w:r>
      <w:r w:rsidRPr="00491C4A">
        <w:rPr>
          <w:rFonts w:ascii="Times New Roman" w:hAnsi="Times New Roman"/>
          <w:sz w:val="28"/>
          <w:szCs w:val="28"/>
        </w:rPr>
        <w:t>. E</w:t>
      </w:r>
      <w:r w:rsidRPr="00491C4A">
        <w:rPr>
          <w:rFonts w:ascii="Times New Roman" w:hAnsi="Times New Roman"/>
          <w:sz w:val="28"/>
          <w:szCs w:val="28"/>
        </w:rPr>
        <w:t>l modelo del cargo por confiabilidad reemplazó al cargo po</w:t>
      </w:r>
      <w:r w:rsidRPr="00491C4A">
        <w:rPr>
          <w:rFonts w:ascii="Times New Roman" w:hAnsi="Times New Roman"/>
          <w:sz w:val="28"/>
          <w:szCs w:val="28"/>
        </w:rPr>
        <w:t>r capacidad con el fin de migrar hacia un esquema de mercado que promoviera la expansión del parque de generación en Colombia, y permitiera asegurar los recursos de generación para abastecer la demanda en situaciones de escasez</w:t>
      </w:r>
      <w:r w:rsidRPr="00491C4A">
        <w:rPr>
          <w:rFonts w:ascii="Times New Roman" w:hAnsi="Times New Roman"/>
          <w:sz w:val="28"/>
          <w:szCs w:val="28"/>
        </w:rPr>
        <w:t xml:space="preserve"> </w:t>
      </w:r>
      <w:r w:rsidRPr="00491C4A">
        <w:rPr>
          <w:rFonts w:ascii="Times New Roman" w:hAnsi="Times New Roman"/>
          <w:sz w:val="28"/>
          <w:szCs w:val="28"/>
        </w:rPr>
        <w:t>a un precio eficiente</w:t>
      </w:r>
      <w:r w:rsidRPr="00491C4A">
        <w:rPr>
          <w:rFonts w:ascii="Times New Roman" w:hAnsi="Times New Roman"/>
          <w:sz w:val="28"/>
          <w:szCs w:val="28"/>
        </w:rPr>
        <w:t>.</w:t>
      </w:r>
      <w:r w:rsidRPr="00491C4A">
        <w:rPr>
          <w:rStyle w:val="Refdenotaalpie"/>
          <w:rFonts w:ascii="Times New Roman" w:hAnsi="Times New Roman"/>
          <w:sz w:val="28"/>
          <w:szCs w:val="28"/>
        </w:rPr>
        <w:footnoteReference w:id="139"/>
      </w:r>
    </w:p>
    <w:p w:rsidR="00961EC9" w:rsidRPr="00491C4A" w:rsidRDefault="00491C4A" w:rsidP="00961EC9">
      <w:pPr>
        <w:pStyle w:val="Prrafodelista"/>
        <w:rPr>
          <w:rFonts w:ascii="Times New Roman" w:hAnsi="Times New Roman"/>
          <w:sz w:val="28"/>
          <w:szCs w:val="28"/>
        </w:rPr>
      </w:pPr>
    </w:p>
    <w:p w:rsidR="00E260CE"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w:t>
      </w:r>
      <w:r w:rsidRPr="00491C4A">
        <w:rPr>
          <w:rFonts w:ascii="Times New Roman" w:hAnsi="Times New Roman"/>
          <w:sz w:val="28"/>
          <w:szCs w:val="28"/>
        </w:rPr>
        <w:t>mecanismo funciona de la siguiente manera</w:t>
      </w:r>
      <w:r w:rsidRPr="00491C4A">
        <w:rPr>
          <w:rFonts w:ascii="Times New Roman" w:hAnsi="Times New Roman"/>
          <w:sz w:val="28"/>
          <w:szCs w:val="28"/>
        </w:rPr>
        <w:t>:</w:t>
      </w:r>
      <w:r w:rsidRPr="00491C4A">
        <w:rPr>
          <w:rStyle w:val="Refdenotaalpie"/>
          <w:rFonts w:ascii="Times New Roman" w:hAnsi="Times New Roman"/>
          <w:sz w:val="28"/>
          <w:szCs w:val="28"/>
        </w:rPr>
        <w:footnoteReference w:id="140"/>
      </w:r>
      <w:r w:rsidRPr="00491C4A">
        <w:rPr>
          <w:rFonts w:ascii="Times New Roman" w:hAnsi="Times New Roman"/>
          <w:sz w:val="28"/>
          <w:szCs w:val="28"/>
        </w:rPr>
        <w:t xml:space="preserve"> con una antelación de cuatro años, se subastan entre los generadores las Obligaciones de Energía Firme (OEF) que se requieren para cubrir la demanda del Sistema. Como resultado, al generador se le asigna una OEF.</w:t>
      </w:r>
      <w:r w:rsidRPr="00491C4A">
        <w:rPr>
          <w:rFonts w:ascii="Times New Roman" w:hAnsi="Times New Roman"/>
          <w:sz w:val="28"/>
          <w:szCs w:val="28"/>
        </w:rPr>
        <w:t xml:space="preserve"> El generador se obliga a entregar durante ese periodo determinada cantidad de energía cuando el precio de bolsa supera un umbral denominado Precio de Escasez</w:t>
      </w:r>
      <w:r w:rsidRPr="00491C4A">
        <w:rPr>
          <w:rStyle w:val="Refdenotaalpie"/>
          <w:rFonts w:ascii="Times New Roman" w:hAnsi="Times New Roman"/>
          <w:sz w:val="28"/>
          <w:szCs w:val="28"/>
        </w:rPr>
        <w:footnoteReference w:id="141"/>
      </w:r>
      <w:r w:rsidRPr="00491C4A">
        <w:rPr>
          <w:rFonts w:ascii="Times New Roman" w:hAnsi="Times New Roman"/>
          <w:sz w:val="28"/>
          <w:szCs w:val="28"/>
        </w:rPr>
        <w:t xml:space="preserve"> o Precio Marginal de Escasez</w:t>
      </w:r>
      <w:r w:rsidRPr="00491C4A">
        <w:rPr>
          <w:rStyle w:val="Refdenotaalpie"/>
          <w:rFonts w:ascii="Times New Roman" w:hAnsi="Times New Roman"/>
          <w:sz w:val="28"/>
          <w:szCs w:val="28"/>
        </w:rPr>
        <w:footnoteReference w:id="142"/>
      </w:r>
      <w:r w:rsidRPr="00491C4A">
        <w:rPr>
          <w:rFonts w:ascii="Times New Roman" w:hAnsi="Times New Roman"/>
          <w:sz w:val="28"/>
          <w:szCs w:val="28"/>
        </w:rPr>
        <w:t xml:space="preserve"> y como contraprestación recibe una remuneración conocida y estable</w:t>
      </w:r>
      <w:r w:rsidRPr="00491C4A">
        <w:rPr>
          <w:rFonts w:ascii="Times New Roman" w:hAnsi="Times New Roman"/>
          <w:sz w:val="28"/>
          <w:szCs w:val="28"/>
        </w:rPr>
        <w:t xml:space="preserve"> durante una vigencia</w:t>
      </w:r>
      <w:r w:rsidRPr="00491C4A">
        <w:rPr>
          <w:rFonts w:ascii="Times New Roman" w:hAnsi="Times New Roman"/>
          <w:sz w:val="28"/>
          <w:szCs w:val="28"/>
        </w:rPr>
        <w:t xml:space="preserve"> (cargo por confiabilidad)</w:t>
      </w:r>
      <w:r w:rsidRPr="00491C4A">
        <w:rPr>
          <w:rFonts w:ascii="Times New Roman" w:hAnsi="Times New Roman"/>
          <w:sz w:val="28"/>
          <w:szCs w:val="28"/>
        </w:rPr>
        <w:t>.</w:t>
      </w:r>
      <w:r w:rsidRPr="00491C4A">
        <w:rPr>
          <w:rFonts w:ascii="Times New Roman" w:hAnsi="Times New Roman"/>
          <w:sz w:val="28"/>
          <w:szCs w:val="28"/>
        </w:rPr>
        <w:t xml:space="preserve"> Evidentemente para que un generador pueda recibir asignaciones de OEF debe haber demostrado previamente que tiene la capacidad para producir la energía firme a la que aspira comprometerse</w:t>
      </w:r>
      <w:r w:rsidRPr="00491C4A">
        <w:rPr>
          <w:rFonts w:ascii="Times New Roman" w:hAnsi="Times New Roman"/>
          <w:sz w:val="28"/>
          <w:szCs w:val="28"/>
        </w:rPr>
        <w:t>.</w:t>
      </w:r>
      <w:r w:rsidRPr="00491C4A">
        <w:rPr>
          <w:rStyle w:val="Refdenotaalpie"/>
          <w:rFonts w:ascii="Times New Roman" w:hAnsi="Times New Roman"/>
          <w:sz w:val="28"/>
          <w:szCs w:val="28"/>
        </w:rPr>
        <w:footnoteReference w:id="143"/>
      </w:r>
      <w:r w:rsidRPr="00491C4A">
        <w:rPr>
          <w:rFonts w:ascii="Times New Roman" w:hAnsi="Times New Roman"/>
          <w:sz w:val="28"/>
          <w:szCs w:val="28"/>
        </w:rPr>
        <w:t xml:space="preserve"> El artículo 25 de</w:t>
      </w:r>
      <w:r w:rsidRPr="00491C4A">
        <w:rPr>
          <w:rFonts w:ascii="Times New Roman" w:hAnsi="Times New Roman"/>
          <w:sz w:val="28"/>
          <w:szCs w:val="28"/>
        </w:rPr>
        <w:t xml:space="preserve"> la Resolución CREG 071 de 2006, modificado por el artículo 2 de la Resolución 19 de 2008, prevé que, para los años que la CREG determine que no se requiere la realización de subasta, las OEF serán asignadas por el </w:t>
      </w:r>
      <w:r w:rsidRPr="00491C4A">
        <w:rPr>
          <w:rFonts w:ascii="Times New Roman" w:hAnsi="Times New Roman"/>
          <w:sz w:val="28"/>
          <w:szCs w:val="28"/>
        </w:rPr>
        <w:t>Administrador del Sistema de Intercambios</w:t>
      </w:r>
      <w:r w:rsidRPr="00491C4A">
        <w:rPr>
          <w:rFonts w:ascii="Times New Roman" w:hAnsi="Times New Roman"/>
          <w:sz w:val="28"/>
          <w:szCs w:val="28"/>
        </w:rPr>
        <w:t xml:space="preserve"> Comerciales (</w:t>
      </w:r>
      <w:r w:rsidRPr="00491C4A">
        <w:rPr>
          <w:rFonts w:ascii="Times New Roman" w:hAnsi="Times New Roman"/>
          <w:sz w:val="28"/>
          <w:szCs w:val="28"/>
        </w:rPr>
        <w:t>ASIC</w:t>
      </w:r>
      <w:r w:rsidRPr="00491C4A">
        <w:rPr>
          <w:rFonts w:ascii="Times New Roman" w:hAnsi="Times New Roman"/>
          <w:sz w:val="28"/>
          <w:szCs w:val="28"/>
        </w:rPr>
        <w:t>)</w:t>
      </w:r>
      <w:r w:rsidRPr="00491C4A">
        <w:rPr>
          <w:rFonts w:ascii="Times New Roman" w:hAnsi="Times New Roman"/>
          <w:sz w:val="28"/>
          <w:szCs w:val="28"/>
        </w:rPr>
        <w:t xml:space="preserve"> a los generadores y señala las reglas técnicas para su cálculo.</w:t>
      </w:r>
    </w:p>
    <w:p w:rsidR="00E260CE" w:rsidRPr="00491C4A" w:rsidRDefault="00491C4A" w:rsidP="00E260CE">
      <w:pPr>
        <w:pStyle w:val="Prrafodelista"/>
        <w:ind w:left="0"/>
        <w:jc w:val="both"/>
        <w:rPr>
          <w:rFonts w:ascii="Times New Roman" w:hAnsi="Times New Roman"/>
          <w:sz w:val="28"/>
          <w:szCs w:val="28"/>
        </w:rPr>
      </w:pPr>
    </w:p>
    <w:p w:rsidR="0093149F"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lang w:val="es-MX"/>
        </w:rPr>
        <w:t xml:space="preserve">Una vez se surta el proceso de asignación para el período de interés convocado por la CREG mediante resolución, el cual es adelantado por el operador del mercado, se entiende que las plantas tienen asignadas las OEF. </w:t>
      </w:r>
      <w:r w:rsidRPr="00491C4A">
        <w:rPr>
          <w:rFonts w:ascii="Times New Roman" w:hAnsi="Times New Roman"/>
          <w:sz w:val="28"/>
          <w:szCs w:val="28"/>
        </w:rPr>
        <w:t xml:space="preserve">Estas son, entonces, las </w:t>
      </w:r>
      <w:r w:rsidRPr="00491C4A">
        <w:rPr>
          <w:rFonts w:ascii="Times New Roman" w:hAnsi="Times New Roman"/>
          <w:i/>
          <w:iCs/>
          <w:sz w:val="28"/>
          <w:szCs w:val="28"/>
        </w:rPr>
        <w:t>plantas con ob</w:t>
      </w:r>
      <w:r w:rsidRPr="00491C4A">
        <w:rPr>
          <w:rFonts w:ascii="Times New Roman" w:hAnsi="Times New Roman"/>
          <w:i/>
          <w:iCs/>
          <w:sz w:val="28"/>
          <w:szCs w:val="28"/>
        </w:rPr>
        <w:t>ligaciones asignadas.</w:t>
      </w:r>
      <w:r w:rsidRPr="00491C4A">
        <w:rPr>
          <w:rFonts w:ascii="Times New Roman" w:hAnsi="Times New Roman"/>
          <w:sz w:val="28"/>
          <w:szCs w:val="28"/>
        </w:rPr>
        <w:t xml:space="preserve"> </w:t>
      </w:r>
      <w:r w:rsidRPr="00491C4A">
        <w:rPr>
          <w:rFonts w:ascii="Times New Roman" w:hAnsi="Times New Roman"/>
          <w:sz w:val="28"/>
          <w:szCs w:val="28"/>
          <w:lang w:val="es-MX"/>
        </w:rPr>
        <w:t>Para el caso de plantas nuevas, el agente deberá cumplir con la construcción oportuna de la planta, en caso contrario se perderían</w:t>
      </w:r>
      <w:r w:rsidRPr="00491C4A">
        <w:rPr>
          <w:rFonts w:ascii="Times New Roman" w:hAnsi="Times New Roman"/>
          <w:sz w:val="28"/>
          <w:szCs w:val="28"/>
          <w:lang w:val="es-MX"/>
        </w:rPr>
        <w:t>.</w:t>
      </w:r>
      <w:r w:rsidRPr="00491C4A">
        <w:rPr>
          <w:rStyle w:val="Refdenotaalpie"/>
          <w:rFonts w:ascii="Times New Roman" w:hAnsi="Times New Roman"/>
          <w:sz w:val="28"/>
          <w:szCs w:val="28"/>
          <w:lang w:val="es-MX"/>
        </w:rPr>
        <w:footnoteReference w:id="144"/>
      </w:r>
      <w:r w:rsidRPr="00491C4A">
        <w:rPr>
          <w:rFonts w:ascii="Times New Roman" w:hAnsi="Times New Roman"/>
          <w:sz w:val="28"/>
          <w:szCs w:val="28"/>
          <w:lang w:val="es-MX"/>
        </w:rPr>
        <w:t xml:space="preserve"> </w:t>
      </w:r>
      <w:r w:rsidRPr="00491C4A">
        <w:rPr>
          <w:rFonts w:ascii="Times New Roman" w:hAnsi="Times New Roman"/>
          <w:sz w:val="28"/>
          <w:szCs w:val="28"/>
        </w:rPr>
        <w:t xml:space="preserve">Una vez que el agente recibe su asignación de OEF, ya sea como resultado de una </w:t>
      </w:r>
      <w:r w:rsidRPr="00491C4A">
        <w:rPr>
          <w:rFonts w:ascii="Times New Roman" w:hAnsi="Times New Roman"/>
          <w:sz w:val="28"/>
          <w:szCs w:val="28"/>
        </w:rPr>
        <w:t>s</w:t>
      </w:r>
      <w:r w:rsidRPr="00491C4A">
        <w:rPr>
          <w:rFonts w:ascii="Times New Roman" w:hAnsi="Times New Roman"/>
          <w:sz w:val="28"/>
          <w:szCs w:val="28"/>
        </w:rPr>
        <w:t>ubasta o de</w:t>
      </w:r>
      <w:r w:rsidRPr="00491C4A">
        <w:rPr>
          <w:rFonts w:ascii="Times New Roman" w:hAnsi="Times New Roman"/>
          <w:sz w:val="28"/>
          <w:szCs w:val="28"/>
        </w:rPr>
        <w:t>l</w:t>
      </w:r>
      <w:r w:rsidRPr="00491C4A">
        <w:rPr>
          <w:rFonts w:ascii="Times New Roman" w:hAnsi="Times New Roman"/>
          <w:sz w:val="28"/>
          <w:szCs w:val="28"/>
        </w:rPr>
        <w:t xml:space="preserve"> mecanismo </w:t>
      </w:r>
      <w:r w:rsidRPr="00491C4A">
        <w:rPr>
          <w:rFonts w:ascii="Times New Roman" w:hAnsi="Times New Roman"/>
          <w:sz w:val="28"/>
          <w:szCs w:val="28"/>
        </w:rPr>
        <w:t>que haga sus veces</w:t>
      </w:r>
      <w:r w:rsidRPr="00491C4A">
        <w:rPr>
          <w:rFonts w:ascii="Times New Roman" w:hAnsi="Times New Roman"/>
          <w:sz w:val="28"/>
          <w:szCs w:val="28"/>
        </w:rPr>
        <w:t>, y entre</w:t>
      </w:r>
      <w:r w:rsidRPr="00491C4A">
        <w:rPr>
          <w:rFonts w:ascii="Times New Roman" w:hAnsi="Times New Roman"/>
          <w:sz w:val="28"/>
          <w:szCs w:val="28"/>
        </w:rPr>
        <w:t>ga</w:t>
      </w:r>
      <w:r w:rsidRPr="00491C4A">
        <w:rPr>
          <w:rFonts w:ascii="Times New Roman" w:hAnsi="Times New Roman"/>
          <w:sz w:val="28"/>
          <w:szCs w:val="28"/>
        </w:rPr>
        <w:t xml:space="preserve"> a la CREG los contratos y las garantías exigidas en cada caso, el ASIC exp</w:t>
      </w:r>
      <w:r w:rsidRPr="00491C4A">
        <w:rPr>
          <w:rFonts w:ascii="Times New Roman" w:hAnsi="Times New Roman"/>
          <w:sz w:val="28"/>
          <w:szCs w:val="28"/>
        </w:rPr>
        <w:t xml:space="preserve">ide </w:t>
      </w:r>
      <w:r w:rsidRPr="00491C4A">
        <w:rPr>
          <w:rFonts w:ascii="Times New Roman" w:hAnsi="Times New Roman"/>
          <w:sz w:val="28"/>
          <w:szCs w:val="28"/>
        </w:rPr>
        <w:t>una certificación de la asignación de O</w:t>
      </w:r>
      <w:r w:rsidRPr="00491C4A">
        <w:rPr>
          <w:rFonts w:ascii="Times New Roman" w:hAnsi="Times New Roman"/>
          <w:sz w:val="28"/>
          <w:szCs w:val="28"/>
        </w:rPr>
        <w:t>EF</w:t>
      </w:r>
      <w:r w:rsidRPr="00491C4A">
        <w:rPr>
          <w:rFonts w:ascii="Times New Roman" w:hAnsi="Times New Roman"/>
          <w:sz w:val="28"/>
          <w:szCs w:val="28"/>
        </w:rPr>
        <w:t xml:space="preserve"> para cada una de las plantas </w:t>
      </w:r>
      <w:r w:rsidRPr="00491C4A">
        <w:rPr>
          <w:rFonts w:ascii="Times New Roman" w:hAnsi="Times New Roman"/>
          <w:sz w:val="28"/>
          <w:szCs w:val="28"/>
        </w:rPr>
        <w:t>o</w:t>
      </w:r>
      <w:r w:rsidRPr="00491C4A">
        <w:rPr>
          <w:rFonts w:ascii="Times New Roman" w:hAnsi="Times New Roman"/>
          <w:sz w:val="28"/>
          <w:szCs w:val="28"/>
        </w:rPr>
        <w:t xml:space="preserve"> unidades de generación</w:t>
      </w:r>
      <w:r w:rsidRPr="00491C4A">
        <w:rPr>
          <w:rFonts w:ascii="Times New Roman" w:hAnsi="Times New Roman"/>
          <w:sz w:val="28"/>
          <w:szCs w:val="28"/>
        </w:rPr>
        <w:t xml:space="preserve">. </w:t>
      </w:r>
    </w:p>
    <w:p w:rsidR="001C6614" w:rsidRPr="00491C4A" w:rsidRDefault="00491C4A" w:rsidP="001C6614">
      <w:pPr>
        <w:pStyle w:val="Prrafodelista"/>
        <w:rPr>
          <w:rFonts w:ascii="Times New Roman" w:hAnsi="Times New Roman"/>
          <w:sz w:val="28"/>
          <w:szCs w:val="28"/>
        </w:rPr>
      </w:pPr>
    </w:p>
    <w:p w:rsidR="00182F6B"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Por último, para la Corte es claro que</w:t>
      </w:r>
      <w:r w:rsidRPr="00491C4A">
        <w:rPr>
          <w:rFonts w:ascii="Times New Roman" w:hAnsi="Times New Roman"/>
          <w:sz w:val="28"/>
          <w:szCs w:val="28"/>
        </w:rPr>
        <w:t xml:space="preserve"> la disposición acusada aplica a las plantas que generan energía a partir de FNCE</w:t>
      </w:r>
      <w:r w:rsidRPr="00491C4A">
        <w:rPr>
          <w:rFonts w:ascii="Times New Roman" w:hAnsi="Times New Roman"/>
          <w:sz w:val="28"/>
          <w:szCs w:val="28"/>
        </w:rPr>
        <w:t xml:space="preserve"> ubicadas en áreas con la mayor radiación solar promedio anual y la mayor velocidad promedio de viento. Tal como lo señaló el Instituto Colombiano de Derecho Tributario, inter</w:t>
      </w:r>
      <w:r w:rsidRPr="00491C4A">
        <w:rPr>
          <w:rFonts w:ascii="Times New Roman" w:hAnsi="Times New Roman"/>
          <w:sz w:val="28"/>
          <w:szCs w:val="28"/>
        </w:rPr>
        <w:t xml:space="preserve">viniente en este proceso, resulta irrazonable asumir que la modificación introducida al artículo 54 de la Ley 143 de 1994 se aplica a las plantas generadoras de energía hidroeléctrica, </w:t>
      </w:r>
      <w:r w:rsidRPr="00491C4A">
        <w:rPr>
          <w:rFonts w:ascii="Times New Roman" w:hAnsi="Times New Roman"/>
          <w:i/>
          <w:iCs/>
          <w:sz w:val="28"/>
          <w:szCs w:val="28"/>
        </w:rPr>
        <w:t xml:space="preserve">primero, </w:t>
      </w:r>
      <w:r w:rsidRPr="00491C4A">
        <w:rPr>
          <w:rFonts w:ascii="Times New Roman" w:hAnsi="Times New Roman"/>
          <w:sz w:val="28"/>
          <w:szCs w:val="28"/>
        </w:rPr>
        <w:t>porque el parágrafo 6 se inscribe dentro de la regulación de l</w:t>
      </w:r>
      <w:r w:rsidRPr="00491C4A">
        <w:rPr>
          <w:rFonts w:ascii="Times New Roman" w:hAnsi="Times New Roman"/>
          <w:sz w:val="28"/>
          <w:szCs w:val="28"/>
        </w:rPr>
        <w:t>as transferencias eléctricas regulada en el inciso segundo del artículo 54 referido, que se refiere a la energía producida a partir de fuentes no convencionales en los términos definidos po</w:t>
      </w:r>
      <w:r w:rsidRPr="00491C4A">
        <w:rPr>
          <w:rFonts w:ascii="Times New Roman" w:hAnsi="Times New Roman"/>
          <w:sz w:val="28"/>
          <w:szCs w:val="28"/>
        </w:rPr>
        <w:t>r</w:t>
      </w:r>
      <w:r w:rsidRPr="00491C4A">
        <w:rPr>
          <w:rFonts w:ascii="Times New Roman" w:hAnsi="Times New Roman"/>
          <w:sz w:val="28"/>
          <w:szCs w:val="28"/>
        </w:rPr>
        <w:t xml:space="preserve"> la Ley 1715 de 2014. </w:t>
      </w:r>
      <w:r w:rsidRPr="00491C4A">
        <w:rPr>
          <w:rFonts w:ascii="Times New Roman" w:hAnsi="Times New Roman"/>
          <w:i/>
          <w:iCs/>
          <w:sz w:val="28"/>
          <w:szCs w:val="28"/>
        </w:rPr>
        <w:t xml:space="preserve">Segundo, </w:t>
      </w:r>
      <w:r w:rsidRPr="00491C4A">
        <w:rPr>
          <w:rFonts w:ascii="Times New Roman" w:hAnsi="Times New Roman"/>
          <w:sz w:val="28"/>
          <w:szCs w:val="28"/>
        </w:rPr>
        <w:t xml:space="preserve">porque en todo caso el artículo 45 </w:t>
      </w:r>
      <w:r w:rsidRPr="00491C4A">
        <w:rPr>
          <w:rFonts w:ascii="Times New Roman" w:hAnsi="Times New Roman"/>
          <w:sz w:val="28"/>
          <w:szCs w:val="28"/>
        </w:rPr>
        <w:t xml:space="preserve">de la </w:t>
      </w:r>
      <w:r w:rsidRPr="00491C4A">
        <w:rPr>
          <w:rFonts w:ascii="Times New Roman" w:hAnsi="Times New Roman"/>
          <w:sz w:val="28"/>
          <w:szCs w:val="28"/>
        </w:rPr>
        <w:t>L</w:t>
      </w:r>
      <w:r w:rsidRPr="00491C4A">
        <w:rPr>
          <w:rFonts w:ascii="Times New Roman" w:hAnsi="Times New Roman"/>
          <w:sz w:val="28"/>
          <w:szCs w:val="28"/>
        </w:rPr>
        <w:t>ey 99 de 1993 ya fija la tarifa del 6% a cargo de las generadoras de energía hidroeléctrica</w:t>
      </w:r>
      <w:r w:rsidRPr="00491C4A">
        <w:rPr>
          <w:rFonts w:ascii="Times New Roman" w:hAnsi="Times New Roman"/>
          <w:sz w:val="28"/>
          <w:szCs w:val="28"/>
        </w:rPr>
        <w:t>, de modo que la interpretación de que la disposición acusada aplica a estas mismas generadoras eliminaría cualquier efecto útil de la norma.</w:t>
      </w:r>
      <w:r w:rsidRPr="00491C4A">
        <w:rPr>
          <w:rFonts w:ascii="Times New Roman" w:hAnsi="Times New Roman"/>
          <w:sz w:val="28"/>
          <w:szCs w:val="28"/>
        </w:rPr>
        <w:t xml:space="preserve"> </w:t>
      </w:r>
      <w:r w:rsidRPr="00491C4A">
        <w:rPr>
          <w:rFonts w:ascii="Times New Roman" w:hAnsi="Times New Roman"/>
          <w:i/>
          <w:iCs/>
          <w:sz w:val="28"/>
          <w:szCs w:val="28"/>
        </w:rPr>
        <w:t xml:space="preserve">Tercero, </w:t>
      </w:r>
      <w:r w:rsidRPr="00491C4A">
        <w:rPr>
          <w:rFonts w:ascii="Times New Roman" w:hAnsi="Times New Roman"/>
          <w:sz w:val="28"/>
          <w:szCs w:val="28"/>
        </w:rPr>
        <w:t xml:space="preserve">porque </w:t>
      </w:r>
      <w:r w:rsidRPr="00491C4A">
        <w:rPr>
          <w:rFonts w:ascii="Times New Roman" w:hAnsi="Times New Roman"/>
          <w:sz w:val="28"/>
          <w:szCs w:val="28"/>
        </w:rPr>
        <w:t>la condición para determinar al sujeto pasivo es la intensidad de la radiación solar o la velocidad de los vientos lo cual excluye de suyo la generación de fuentes hídricas.</w:t>
      </w:r>
    </w:p>
    <w:p w:rsidR="00182F6B" w:rsidRPr="00491C4A" w:rsidRDefault="00491C4A" w:rsidP="00182F6B">
      <w:pPr>
        <w:pStyle w:val="Prrafodelista"/>
        <w:rPr>
          <w:rFonts w:ascii="Times New Roman" w:hAnsi="Times New Roman"/>
          <w:sz w:val="28"/>
          <w:szCs w:val="28"/>
        </w:rPr>
      </w:pPr>
    </w:p>
    <w:p w:rsidR="00182F6B"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 la luz de lo anterior, el hecho de que la norma demandada acuda a la expresión </w:t>
      </w:r>
      <w:r w:rsidRPr="00491C4A">
        <w:rPr>
          <w:rFonts w:ascii="Times New Roman" w:hAnsi="Times New Roman"/>
          <w:sz w:val="28"/>
          <w:szCs w:val="28"/>
        </w:rPr>
        <w:t>“plantas con asignación de obligaciones” no comporta en sí misma una vulneración del principio de certeza tributaria. Si bien se trata de una noción que no aparece definida expresamente en la disposición acusada, su comprensión no es imposible, ni su grado</w:t>
      </w:r>
      <w:r w:rsidRPr="00491C4A">
        <w:rPr>
          <w:rFonts w:ascii="Times New Roman" w:hAnsi="Times New Roman"/>
          <w:sz w:val="28"/>
          <w:szCs w:val="28"/>
        </w:rPr>
        <w:t xml:space="preserve"> de indeterminación insuperable. En sectores regulados como el eléctrico, es común que conceptos técnicos -como el de “obligaciones de energía firme”, “asignación de proyectos” o “habilitación para operar”- se construyan sobre la base de normas expedidas p</w:t>
      </w:r>
      <w:r w:rsidRPr="00491C4A">
        <w:rPr>
          <w:rFonts w:ascii="Times New Roman" w:hAnsi="Times New Roman"/>
          <w:sz w:val="28"/>
          <w:szCs w:val="28"/>
        </w:rPr>
        <w:t>or entidades especializadas, como la CREG, la UPME o el Ministerio de Minas y Energía, en cumplimiento de sus competencias legales y reglamentarias. En consecuencia, lo que impone el principio de certeza no es que el legislador desarrolle directamente cada</w:t>
      </w:r>
      <w:r w:rsidRPr="00491C4A">
        <w:rPr>
          <w:rFonts w:ascii="Times New Roman" w:hAnsi="Times New Roman"/>
          <w:sz w:val="28"/>
          <w:szCs w:val="28"/>
        </w:rPr>
        <w:t xml:space="preserve"> concepto técnico involucrado en la obligación fiscal, sino que exista una base legal mínima que permita establecer su contenido a partir de fuentes normativas disponibles y verificables.</w:t>
      </w:r>
    </w:p>
    <w:p w:rsidR="00182F6B" w:rsidRPr="00491C4A" w:rsidRDefault="00491C4A" w:rsidP="00182F6B">
      <w:pPr>
        <w:pStyle w:val="Prrafodelista"/>
        <w:rPr>
          <w:rFonts w:ascii="Times New Roman" w:hAnsi="Times New Roman"/>
          <w:sz w:val="28"/>
          <w:szCs w:val="28"/>
        </w:rPr>
      </w:pPr>
    </w:p>
    <w:p w:rsidR="00182F6B"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consecuencia, a la luz del precedente sentado en la Sentencia C-</w:t>
      </w:r>
      <w:r w:rsidRPr="00491C4A">
        <w:rPr>
          <w:rFonts w:ascii="Times New Roman" w:hAnsi="Times New Roman"/>
          <w:sz w:val="28"/>
          <w:szCs w:val="28"/>
        </w:rPr>
        <w:t xml:space="preserve">594 de 2010, esta Corte reitera que no se configura una infracción al principio de certeza tributaria cuando (i) el legislador fija un marco conceptual suficiente; (ii) los elementos esenciales son determinables por vía interpretativa o normativa; y (iii) </w:t>
      </w:r>
      <w:r w:rsidRPr="00491C4A">
        <w:rPr>
          <w:rFonts w:ascii="Times New Roman" w:hAnsi="Times New Roman"/>
          <w:sz w:val="28"/>
          <w:szCs w:val="28"/>
        </w:rPr>
        <w:t>la ejecución técnica del tributo depende de instrumentos que, sin definir elementos sustantivos, permiten su aplicación práctica y eficiente.</w:t>
      </w:r>
    </w:p>
    <w:p w:rsidR="00182F6B" w:rsidRPr="00491C4A" w:rsidRDefault="00491C4A" w:rsidP="00182F6B">
      <w:pPr>
        <w:pStyle w:val="Prrafodelista"/>
        <w:rPr>
          <w:rFonts w:ascii="Times New Roman" w:hAnsi="Times New Roman"/>
          <w:sz w:val="28"/>
          <w:szCs w:val="28"/>
        </w:rPr>
      </w:pPr>
    </w:p>
    <w:p w:rsidR="0037232D"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conclusión, la Corte encuentra que la expresión </w:t>
      </w:r>
      <w:r w:rsidRPr="00491C4A">
        <w:rPr>
          <w:rFonts w:ascii="Times New Roman" w:hAnsi="Times New Roman"/>
          <w:i/>
          <w:iCs/>
          <w:sz w:val="28"/>
          <w:szCs w:val="28"/>
        </w:rPr>
        <w:t xml:space="preserve">“plantas con asignación de obligaciones” </w:t>
      </w:r>
      <w:r w:rsidRPr="00491C4A">
        <w:rPr>
          <w:rFonts w:ascii="Times New Roman" w:hAnsi="Times New Roman"/>
          <w:sz w:val="28"/>
          <w:szCs w:val="28"/>
        </w:rPr>
        <w:t xml:space="preserve">no desconoce los </w:t>
      </w:r>
      <w:r w:rsidRPr="00491C4A">
        <w:rPr>
          <w:rFonts w:ascii="Times New Roman" w:hAnsi="Times New Roman"/>
          <w:sz w:val="28"/>
          <w:szCs w:val="28"/>
        </w:rPr>
        <w:t>principios de legalidad y certeza tributaria pues no adolece de una indeterminación insuperable que impida la comprensión clara de cuál es el sujeto pasivo que se describe mediante el uso de la aludida expresión.</w:t>
      </w:r>
    </w:p>
    <w:p w:rsidR="0093149F" w:rsidRPr="00491C4A" w:rsidRDefault="00491C4A" w:rsidP="0093149F">
      <w:pPr>
        <w:pStyle w:val="Prrafodelista"/>
        <w:rPr>
          <w:rFonts w:ascii="Times New Roman" w:hAnsi="Times New Roman"/>
          <w:sz w:val="28"/>
          <w:szCs w:val="28"/>
        </w:rPr>
      </w:pPr>
    </w:p>
    <w:p w:rsidR="00050DF7" w:rsidRPr="00491C4A" w:rsidRDefault="00491C4A" w:rsidP="0093149F">
      <w:pPr>
        <w:pStyle w:val="Prrafodelista"/>
        <w:rPr>
          <w:rFonts w:ascii="Times New Roman" w:hAnsi="Times New Roman"/>
          <w:sz w:val="28"/>
          <w:szCs w:val="28"/>
        </w:rPr>
      </w:pPr>
    </w:p>
    <w:p w:rsidR="00D97110" w:rsidRPr="00491C4A" w:rsidRDefault="00491C4A" w:rsidP="00D97110">
      <w:pPr>
        <w:jc w:val="both"/>
        <w:rPr>
          <w:rFonts w:ascii="Times New Roman" w:hAnsi="Times New Roman"/>
          <w:b/>
          <w:bCs/>
          <w:i/>
          <w:iCs/>
          <w:sz w:val="28"/>
          <w:szCs w:val="28"/>
        </w:rPr>
      </w:pPr>
      <w:r w:rsidRPr="00491C4A">
        <w:rPr>
          <w:rFonts w:ascii="Times New Roman" w:hAnsi="Times New Roman"/>
          <w:b/>
          <w:bCs/>
          <w:i/>
          <w:iCs/>
          <w:sz w:val="28"/>
          <w:szCs w:val="28"/>
        </w:rPr>
        <w:t xml:space="preserve">Determinación </w:t>
      </w:r>
      <w:r w:rsidRPr="00491C4A">
        <w:rPr>
          <w:rFonts w:ascii="Times New Roman" w:hAnsi="Times New Roman"/>
          <w:b/>
          <w:bCs/>
          <w:i/>
          <w:iCs/>
          <w:sz w:val="28"/>
          <w:szCs w:val="28"/>
        </w:rPr>
        <w:t xml:space="preserve">de los beneficiarios </w:t>
      </w:r>
      <w:r w:rsidRPr="00491C4A">
        <w:rPr>
          <w:rFonts w:ascii="Times New Roman" w:hAnsi="Times New Roman"/>
          <w:b/>
          <w:bCs/>
          <w:i/>
          <w:iCs/>
          <w:sz w:val="28"/>
          <w:szCs w:val="28"/>
        </w:rPr>
        <w:t>de las</w:t>
      </w:r>
      <w:r w:rsidRPr="00491C4A">
        <w:rPr>
          <w:rFonts w:ascii="Times New Roman" w:hAnsi="Times New Roman"/>
          <w:b/>
          <w:bCs/>
          <w:i/>
          <w:iCs/>
          <w:sz w:val="28"/>
          <w:szCs w:val="28"/>
        </w:rPr>
        <w:t xml:space="preserve"> transferencias eléctricas prevista en el </w:t>
      </w:r>
      <w:r w:rsidRPr="00491C4A">
        <w:rPr>
          <w:rFonts w:ascii="Times New Roman" w:hAnsi="Times New Roman"/>
          <w:b/>
          <w:bCs/>
          <w:i/>
          <w:iCs/>
          <w:sz w:val="28"/>
          <w:szCs w:val="28"/>
        </w:rPr>
        <w:t>parágrafo s</w:t>
      </w:r>
      <w:r w:rsidRPr="00491C4A">
        <w:rPr>
          <w:rFonts w:ascii="Times New Roman" w:hAnsi="Times New Roman"/>
          <w:b/>
          <w:bCs/>
          <w:i/>
          <w:iCs/>
          <w:sz w:val="28"/>
          <w:szCs w:val="28"/>
        </w:rPr>
        <w:t>éptimo</w:t>
      </w:r>
      <w:r w:rsidRPr="00491C4A">
        <w:rPr>
          <w:rFonts w:ascii="Times New Roman" w:hAnsi="Times New Roman"/>
          <w:b/>
          <w:bCs/>
          <w:i/>
          <w:iCs/>
          <w:sz w:val="28"/>
          <w:szCs w:val="28"/>
        </w:rPr>
        <w:t xml:space="preserve"> del artículo 233 de la Ley 2294 de 2023</w:t>
      </w:r>
    </w:p>
    <w:p w:rsidR="00D97110" w:rsidRPr="00491C4A" w:rsidRDefault="00491C4A" w:rsidP="00D97110">
      <w:pPr>
        <w:jc w:val="both"/>
        <w:rPr>
          <w:rFonts w:ascii="Times New Roman" w:hAnsi="Times New Roman"/>
          <w:b/>
          <w:bCs/>
          <w:sz w:val="28"/>
          <w:szCs w:val="28"/>
        </w:rPr>
      </w:pPr>
    </w:p>
    <w:p w:rsidR="00D41F11"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demandante afirma</w:t>
      </w:r>
      <w:r w:rsidRPr="00491C4A">
        <w:rPr>
          <w:rFonts w:ascii="Times New Roman" w:hAnsi="Times New Roman"/>
          <w:sz w:val="28"/>
          <w:szCs w:val="28"/>
        </w:rPr>
        <w:t>, además, que la expresi</w:t>
      </w:r>
      <w:r w:rsidRPr="00491C4A">
        <w:rPr>
          <w:rFonts w:ascii="Times New Roman" w:hAnsi="Times New Roman"/>
          <w:sz w:val="28"/>
          <w:szCs w:val="28"/>
        </w:rPr>
        <w:t>ón</w:t>
      </w:r>
      <w:r w:rsidRPr="00491C4A">
        <w:rPr>
          <w:rFonts w:ascii="Times New Roman" w:hAnsi="Times New Roman"/>
          <w:sz w:val="28"/>
          <w:szCs w:val="28"/>
        </w:rPr>
        <w:t xml:space="preserve"> </w:t>
      </w:r>
      <w:r w:rsidRPr="00491C4A">
        <w:rPr>
          <w:rFonts w:ascii="Times New Roman" w:hAnsi="Times New Roman"/>
          <w:i/>
          <w:iCs/>
          <w:sz w:val="28"/>
          <w:szCs w:val="28"/>
        </w:rPr>
        <w:t>“</w:t>
      </w:r>
      <w:r w:rsidRPr="00491C4A">
        <w:rPr>
          <w:rFonts w:ascii="Times New Roman" w:hAnsi="Times New Roman"/>
          <w:i/>
          <w:iCs/>
          <w:sz w:val="28"/>
          <w:szCs w:val="28"/>
        </w:rPr>
        <w:t>departamentos</w:t>
      </w:r>
      <w:r w:rsidRPr="00491C4A">
        <w:rPr>
          <w:rFonts w:ascii="Times New Roman" w:hAnsi="Times New Roman"/>
          <w:i/>
          <w:iCs/>
          <w:sz w:val="28"/>
          <w:szCs w:val="28"/>
        </w:rPr>
        <w:t xml:space="preserve"> de influencia”</w:t>
      </w:r>
      <w:r w:rsidRPr="00491C4A">
        <w:rPr>
          <w:rFonts w:ascii="Times New Roman" w:hAnsi="Times New Roman"/>
          <w:sz w:val="28"/>
          <w:szCs w:val="28"/>
        </w:rPr>
        <w:t xml:space="preserve"> </w:t>
      </w:r>
      <w:r w:rsidRPr="00491C4A">
        <w:rPr>
          <w:rFonts w:ascii="Times New Roman" w:hAnsi="Times New Roman"/>
          <w:sz w:val="28"/>
          <w:szCs w:val="28"/>
        </w:rPr>
        <w:t xml:space="preserve">contenida </w:t>
      </w:r>
      <w:r w:rsidRPr="00491C4A">
        <w:rPr>
          <w:rFonts w:ascii="Times New Roman" w:hAnsi="Times New Roman"/>
          <w:sz w:val="28"/>
          <w:szCs w:val="28"/>
        </w:rPr>
        <w:t xml:space="preserve">en el </w:t>
      </w:r>
      <w:r w:rsidRPr="00491C4A">
        <w:rPr>
          <w:rFonts w:ascii="Times New Roman" w:hAnsi="Times New Roman"/>
          <w:sz w:val="28"/>
          <w:szCs w:val="28"/>
        </w:rPr>
        <w:t>parágrafo 7</w:t>
      </w:r>
      <w:r w:rsidRPr="00491C4A">
        <w:rPr>
          <w:rFonts w:ascii="Times New Roman" w:hAnsi="Times New Roman"/>
          <w:sz w:val="28"/>
          <w:szCs w:val="28"/>
        </w:rPr>
        <w:t xml:space="preserve"> </w:t>
      </w:r>
      <w:r w:rsidRPr="00491C4A">
        <w:rPr>
          <w:rFonts w:ascii="Times New Roman" w:hAnsi="Times New Roman"/>
          <w:sz w:val="28"/>
          <w:szCs w:val="28"/>
        </w:rPr>
        <w:t xml:space="preserve">adicionado por </w:t>
      </w:r>
      <w:r w:rsidRPr="00491C4A">
        <w:rPr>
          <w:rFonts w:ascii="Times New Roman" w:hAnsi="Times New Roman"/>
          <w:sz w:val="28"/>
          <w:szCs w:val="28"/>
        </w:rPr>
        <w:t>el artículo 233 de la Ley 2294</w:t>
      </w:r>
      <w:r w:rsidRPr="00491C4A">
        <w:rPr>
          <w:rFonts w:ascii="Times New Roman" w:hAnsi="Times New Roman"/>
          <w:sz w:val="28"/>
          <w:szCs w:val="28"/>
        </w:rPr>
        <w:t xml:space="preserve"> al artículo 54 de la Ley 143 de 1994</w:t>
      </w:r>
      <w:r w:rsidRPr="00491C4A">
        <w:rPr>
          <w:rFonts w:ascii="Times New Roman" w:hAnsi="Times New Roman"/>
          <w:sz w:val="28"/>
          <w:szCs w:val="28"/>
        </w:rPr>
        <w:t xml:space="preserve"> </w:t>
      </w:r>
      <w:r w:rsidRPr="00491C4A">
        <w:rPr>
          <w:rFonts w:ascii="Times New Roman" w:hAnsi="Times New Roman"/>
          <w:sz w:val="28"/>
          <w:szCs w:val="28"/>
        </w:rPr>
        <w:t xml:space="preserve">vulnera los principios de legalidad y certeza del tributo. Esto por cuanto, al ser leída en conjunto con la expresión </w:t>
      </w:r>
      <w:r w:rsidRPr="00491C4A">
        <w:rPr>
          <w:rFonts w:ascii="Times New Roman" w:hAnsi="Times New Roman"/>
          <w:i/>
          <w:iCs/>
          <w:sz w:val="28"/>
          <w:szCs w:val="28"/>
        </w:rPr>
        <w:t>“áreas de influencia”</w:t>
      </w:r>
      <w:r w:rsidRPr="00491C4A">
        <w:rPr>
          <w:rFonts w:ascii="Times New Roman" w:hAnsi="Times New Roman"/>
          <w:sz w:val="28"/>
          <w:szCs w:val="28"/>
        </w:rPr>
        <w:t xml:space="preserve"> incluida en el literal a) del artículo 54 de la Ley 143 de 1994 (adicionado po</w:t>
      </w:r>
      <w:r w:rsidRPr="00491C4A">
        <w:rPr>
          <w:rFonts w:ascii="Times New Roman" w:hAnsi="Times New Roman"/>
          <w:sz w:val="28"/>
          <w:szCs w:val="28"/>
        </w:rPr>
        <w:t>r la Ley 1955 de 2019) genera incertidumbre sobre cuáles son las comunidades étnicas beneficiarias de las transferencias. Añaden que tampoco es claro si las comunidades étnicas son beneficiarias del 100% del tributo incrementado o solo se benefician del 60</w:t>
      </w:r>
      <w:r w:rsidRPr="00491C4A">
        <w:rPr>
          <w:rFonts w:ascii="Times New Roman" w:hAnsi="Times New Roman"/>
          <w:sz w:val="28"/>
          <w:szCs w:val="28"/>
        </w:rPr>
        <w:t xml:space="preserve">%. En opinión del demandante </w:t>
      </w:r>
      <w:r w:rsidRPr="00491C4A">
        <w:rPr>
          <w:rFonts w:ascii="Times New Roman" w:hAnsi="Times New Roman"/>
          <w:i/>
          <w:iCs/>
          <w:sz w:val="28"/>
          <w:szCs w:val="28"/>
        </w:rPr>
        <w:t>“[e]ste vació surge a raíz de que el parágrafo 7 incluido mediante la disposición demandada señala que “[e]stos recursos serán destinados a”, pero no aclara si “estos recursos” hace referencia a la totalidad de las transferenci</w:t>
      </w:r>
      <w:r w:rsidRPr="00491C4A">
        <w:rPr>
          <w:rFonts w:ascii="Times New Roman" w:hAnsi="Times New Roman"/>
          <w:i/>
          <w:iCs/>
          <w:sz w:val="28"/>
          <w:szCs w:val="28"/>
        </w:rPr>
        <w:t>as creadas por la disposición demandada, o solamente a los recursos de los que trata el literal (a) del mismo artículo.</w:t>
      </w:r>
      <w:r w:rsidRPr="00491C4A">
        <w:rPr>
          <w:rFonts w:ascii="Times New Roman" w:hAnsi="Times New Roman"/>
          <w:i/>
          <w:iCs/>
          <w:sz w:val="28"/>
          <w:szCs w:val="28"/>
        </w:rPr>
        <w:t>”</w:t>
      </w:r>
      <w:r w:rsidRPr="00491C4A">
        <w:rPr>
          <w:rStyle w:val="Refdenotaalpie"/>
          <w:rFonts w:ascii="Times New Roman" w:hAnsi="Times New Roman"/>
          <w:i/>
          <w:iCs/>
          <w:sz w:val="28"/>
          <w:szCs w:val="28"/>
        </w:rPr>
        <w:footnoteReference w:id="145"/>
      </w:r>
    </w:p>
    <w:p w:rsidR="00D41F11" w:rsidRPr="00491C4A" w:rsidRDefault="00491C4A" w:rsidP="00D41F11">
      <w:pPr>
        <w:pStyle w:val="Prrafodelista"/>
        <w:ind w:left="0"/>
        <w:jc w:val="both"/>
        <w:rPr>
          <w:rFonts w:ascii="Times New Roman" w:hAnsi="Times New Roman"/>
          <w:sz w:val="28"/>
          <w:szCs w:val="28"/>
        </w:rPr>
      </w:pPr>
    </w:p>
    <w:p w:rsidR="00E7499C"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w:t>
      </w:r>
      <w:r w:rsidRPr="00491C4A">
        <w:rPr>
          <w:rFonts w:ascii="Times New Roman" w:hAnsi="Times New Roman"/>
          <w:sz w:val="28"/>
          <w:szCs w:val="28"/>
        </w:rPr>
        <w:t xml:space="preserve"> considera que el</w:t>
      </w:r>
      <w:r w:rsidRPr="00491C4A">
        <w:rPr>
          <w:rFonts w:ascii="Times New Roman" w:hAnsi="Times New Roman"/>
          <w:sz w:val="28"/>
          <w:szCs w:val="28"/>
        </w:rPr>
        <w:t xml:space="preserve"> parágrafo </w:t>
      </w:r>
      <w:r w:rsidRPr="00491C4A">
        <w:rPr>
          <w:rFonts w:ascii="Times New Roman" w:hAnsi="Times New Roman"/>
          <w:sz w:val="28"/>
          <w:szCs w:val="28"/>
        </w:rPr>
        <w:t>séptimo</w:t>
      </w:r>
      <w:r w:rsidRPr="00491C4A">
        <w:rPr>
          <w:rFonts w:ascii="Times New Roman" w:hAnsi="Times New Roman"/>
          <w:sz w:val="28"/>
          <w:szCs w:val="28"/>
        </w:rPr>
        <w:t xml:space="preserve"> del artículo 233 de la Ley 2294 no</w:t>
      </w:r>
      <w:r w:rsidRPr="00491C4A">
        <w:rPr>
          <w:rFonts w:ascii="Times New Roman" w:hAnsi="Times New Roman"/>
          <w:sz w:val="28"/>
          <w:szCs w:val="28"/>
        </w:rPr>
        <w:t xml:space="preserve"> contradice </w:t>
      </w:r>
      <w:r w:rsidRPr="00491C4A">
        <w:rPr>
          <w:rFonts w:ascii="Times New Roman" w:hAnsi="Times New Roman"/>
          <w:sz w:val="28"/>
          <w:szCs w:val="28"/>
        </w:rPr>
        <w:t>los principios de legalidad y certeza tribu</w:t>
      </w:r>
      <w:r w:rsidRPr="00491C4A">
        <w:rPr>
          <w:rFonts w:ascii="Times New Roman" w:hAnsi="Times New Roman"/>
          <w:sz w:val="28"/>
          <w:szCs w:val="28"/>
        </w:rPr>
        <w:t xml:space="preserve">taria respecto a la determinación de los beneficiarios </w:t>
      </w:r>
      <w:r w:rsidRPr="00491C4A">
        <w:rPr>
          <w:rFonts w:ascii="Times New Roman" w:hAnsi="Times New Roman"/>
          <w:sz w:val="28"/>
          <w:szCs w:val="28"/>
        </w:rPr>
        <w:t>de la contribución establecida</w:t>
      </w:r>
      <w:r w:rsidRPr="00491C4A">
        <w:rPr>
          <w:rFonts w:ascii="Times New Roman" w:hAnsi="Times New Roman"/>
          <w:sz w:val="28"/>
          <w:szCs w:val="28"/>
        </w:rPr>
        <w:t xml:space="preserve"> en dicha norma</w:t>
      </w:r>
      <w:r w:rsidRPr="00491C4A">
        <w:rPr>
          <w:rFonts w:ascii="Times New Roman" w:hAnsi="Times New Roman"/>
          <w:sz w:val="28"/>
          <w:szCs w:val="28"/>
        </w:rPr>
        <w:t>. Una interpretación sistemática del</w:t>
      </w:r>
      <w:r w:rsidRPr="00491C4A">
        <w:rPr>
          <w:rFonts w:ascii="Times New Roman" w:hAnsi="Times New Roman"/>
          <w:sz w:val="28"/>
          <w:szCs w:val="28"/>
        </w:rPr>
        <w:t xml:space="preserve"> artículo 54 de la Ley 143 de 1994 </w:t>
      </w:r>
      <w:r w:rsidRPr="00491C4A">
        <w:rPr>
          <w:rFonts w:ascii="Times New Roman" w:hAnsi="Times New Roman"/>
          <w:sz w:val="28"/>
          <w:szCs w:val="28"/>
        </w:rPr>
        <w:t xml:space="preserve">conduce sin hesitación a la conclusión de que el parágrafo 7 determina la destinación de las transferencias eléctricas que pagan las plantas nuevas y las plantas en operación o con asignación de obligaciones a la entrada en vigencia de la ley </w:t>
      </w:r>
      <w:r w:rsidRPr="00491C4A">
        <w:rPr>
          <w:rFonts w:ascii="Times New Roman" w:hAnsi="Times New Roman"/>
          <w:sz w:val="28"/>
          <w:szCs w:val="28"/>
        </w:rPr>
        <w:t>en tarifas má</w:t>
      </w:r>
      <w:r w:rsidRPr="00491C4A">
        <w:rPr>
          <w:rFonts w:ascii="Times New Roman" w:hAnsi="Times New Roman"/>
          <w:sz w:val="28"/>
          <w:szCs w:val="28"/>
        </w:rPr>
        <w:t xml:space="preserve">ximas del 6% y el 4% respectivamente. </w:t>
      </w:r>
    </w:p>
    <w:p w:rsidR="00C04AC0" w:rsidRPr="00491C4A" w:rsidRDefault="00491C4A" w:rsidP="00C04AC0">
      <w:pPr>
        <w:pStyle w:val="Prrafodelista"/>
        <w:rPr>
          <w:rFonts w:ascii="Times New Roman" w:hAnsi="Times New Roman"/>
          <w:sz w:val="28"/>
          <w:szCs w:val="28"/>
        </w:rPr>
      </w:pPr>
    </w:p>
    <w:p w:rsidR="00AC5F6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w:t>
      </w:r>
      <w:r w:rsidRPr="00491C4A">
        <w:rPr>
          <w:rFonts w:ascii="Times New Roman" w:hAnsi="Times New Roman"/>
          <w:sz w:val="28"/>
          <w:szCs w:val="28"/>
        </w:rPr>
        <w:t xml:space="preserve">l inciso 2 del artículo 54 de la Ley 153 de 1994 incorporado por efecto del artículo 289 de la Ley 1955 de 2019 </w:t>
      </w:r>
      <w:r w:rsidRPr="00491C4A">
        <w:rPr>
          <w:rFonts w:ascii="Times New Roman" w:hAnsi="Times New Roman"/>
          <w:sz w:val="28"/>
          <w:szCs w:val="28"/>
        </w:rPr>
        <w:t xml:space="preserve">impone </w:t>
      </w:r>
      <w:r w:rsidRPr="00491C4A">
        <w:rPr>
          <w:rFonts w:ascii="Times New Roman" w:hAnsi="Times New Roman"/>
          <w:sz w:val="28"/>
          <w:szCs w:val="28"/>
        </w:rPr>
        <w:t>el pago de</w:t>
      </w:r>
      <w:r w:rsidRPr="00491C4A">
        <w:rPr>
          <w:rFonts w:ascii="Times New Roman" w:hAnsi="Times New Roman"/>
          <w:sz w:val="28"/>
          <w:szCs w:val="28"/>
        </w:rPr>
        <w:t xml:space="preserve"> </w:t>
      </w:r>
      <w:r w:rsidRPr="00491C4A">
        <w:rPr>
          <w:rFonts w:ascii="Times New Roman" w:hAnsi="Times New Roman"/>
          <w:sz w:val="28"/>
          <w:szCs w:val="28"/>
        </w:rPr>
        <w:t>l</w:t>
      </w:r>
      <w:r w:rsidRPr="00491C4A">
        <w:rPr>
          <w:rFonts w:ascii="Times New Roman" w:hAnsi="Times New Roman"/>
          <w:sz w:val="28"/>
          <w:szCs w:val="28"/>
        </w:rPr>
        <w:t>as transferencias con una tarifa del</w:t>
      </w:r>
      <w:r w:rsidRPr="00491C4A">
        <w:rPr>
          <w:rFonts w:ascii="Times New Roman" w:hAnsi="Times New Roman"/>
          <w:sz w:val="28"/>
          <w:szCs w:val="28"/>
        </w:rPr>
        <w:t xml:space="preserve"> 1</w:t>
      </w:r>
      <w:r w:rsidRPr="00491C4A">
        <w:rPr>
          <w:rFonts w:ascii="Times New Roman" w:hAnsi="Times New Roman"/>
          <w:sz w:val="28"/>
          <w:szCs w:val="28"/>
        </w:rPr>
        <w:t>%</w:t>
      </w:r>
      <w:r w:rsidRPr="00491C4A">
        <w:rPr>
          <w:rFonts w:ascii="Times New Roman" w:hAnsi="Times New Roman"/>
          <w:sz w:val="28"/>
          <w:szCs w:val="28"/>
        </w:rPr>
        <w:t xml:space="preserve"> de las ventas brutas de energía producida a </w:t>
      </w:r>
      <w:r w:rsidRPr="00491C4A">
        <w:rPr>
          <w:rFonts w:ascii="Times New Roman" w:hAnsi="Times New Roman"/>
          <w:sz w:val="28"/>
          <w:szCs w:val="28"/>
        </w:rPr>
        <w:t>partir de</w:t>
      </w:r>
      <w:r w:rsidRPr="00491C4A">
        <w:rPr>
          <w:rFonts w:ascii="Times New Roman" w:hAnsi="Times New Roman"/>
          <w:sz w:val="28"/>
          <w:szCs w:val="28"/>
        </w:rPr>
        <w:t xml:space="preserve"> todas las</w:t>
      </w:r>
      <w:r w:rsidRPr="00491C4A">
        <w:rPr>
          <w:rFonts w:ascii="Times New Roman" w:hAnsi="Times New Roman"/>
          <w:sz w:val="28"/>
          <w:szCs w:val="28"/>
        </w:rPr>
        <w:t xml:space="preserve"> fuentes </w:t>
      </w:r>
      <w:r w:rsidRPr="00491C4A">
        <w:rPr>
          <w:rFonts w:ascii="Times New Roman" w:hAnsi="Times New Roman"/>
          <w:sz w:val="28"/>
          <w:szCs w:val="28"/>
        </w:rPr>
        <w:t>no convencionales de que trata la Ley 1715</w:t>
      </w:r>
      <w:r w:rsidRPr="00491C4A">
        <w:rPr>
          <w:rFonts w:ascii="Times New Roman" w:hAnsi="Times New Roman"/>
          <w:sz w:val="28"/>
          <w:szCs w:val="28"/>
        </w:rPr>
        <w:t xml:space="preserve"> (o del 2%</w:t>
      </w:r>
      <w:r w:rsidRPr="00491C4A">
        <w:rPr>
          <w:rFonts w:ascii="Times New Roman" w:hAnsi="Times New Roman"/>
          <w:sz w:val="28"/>
          <w:szCs w:val="28"/>
        </w:rPr>
        <w:t xml:space="preserve"> cuando la capacidad instalada se superior al 20% de la del país)</w:t>
      </w:r>
      <w:r w:rsidRPr="00491C4A">
        <w:rPr>
          <w:rFonts w:ascii="Times New Roman" w:hAnsi="Times New Roman"/>
          <w:sz w:val="28"/>
          <w:szCs w:val="28"/>
        </w:rPr>
        <w:t xml:space="preserve">, producida por plantas con potencia nominal instalada </w:t>
      </w:r>
      <w:r w:rsidRPr="00491C4A">
        <w:rPr>
          <w:rFonts w:ascii="Times New Roman" w:hAnsi="Times New Roman"/>
          <w:sz w:val="28"/>
          <w:szCs w:val="28"/>
        </w:rPr>
        <w:t>que supere los 10.000 kilovatios</w:t>
      </w:r>
      <w:r w:rsidRPr="00491C4A">
        <w:rPr>
          <w:rFonts w:ascii="Times New Roman" w:hAnsi="Times New Roman"/>
          <w:sz w:val="28"/>
          <w:szCs w:val="28"/>
        </w:rPr>
        <w:t>. Estas transferencias s</w:t>
      </w:r>
      <w:r w:rsidRPr="00491C4A">
        <w:rPr>
          <w:rFonts w:ascii="Times New Roman" w:hAnsi="Times New Roman"/>
          <w:sz w:val="28"/>
          <w:szCs w:val="28"/>
        </w:rPr>
        <w:t xml:space="preserve">e destinan en </w:t>
      </w:r>
      <w:r w:rsidRPr="00491C4A">
        <w:rPr>
          <w:rFonts w:ascii="Times New Roman" w:hAnsi="Times New Roman"/>
          <w:sz w:val="28"/>
          <w:szCs w:val="28"/>
        </w:rPr>
        <w:t xml:space="preserve">un 60% a las </w:t>
      </w:r>
      <w:r w:rsidRPr="00491C4A">
        <w:rPr>
          <w:rFonts w:ascii="Times New Roman" w:hAnsi="Times New Roman"/>
          <w:sz w:val="28"/>
          <w:szCs w:val="28"/>
        </w:rPr>
        <w:t xml:space="preserve">comunidades étnicas ubicadas en el </w:t>
      </w:r>
      <w:r w:rsidRPr="00491C4A">
        <w:rPr>
          <w:rFonts w:ascii="Times New Roman" w:hAnsi="Times New Roman"/>
          <w:sz w:val="28"/>
          <w:szCs w:val="28"/>
        </w:rPr>
        <w:t>área de influencia del proyecto</w:t>
      </w:r>
      <w:r w:rsidRPr="00491C4A">
        <w:rPr>
          <w:rFonts w:ascii="Times New Roman" w:hAnsi="Times New Roman"/>
          <w:sz w:val="28"/>
          <w:szCs w:val="28"/>
        </w:rPr>
        <w:t xml:space="preserve"> de generación y en un 40% para los municipios ubicados en el área del proyecto</w:t>
      </w:r>
      <w:r w:rsidRPr="00491C4A">
        <w:rPr>
          <w:rFonts w:ascii="Times New Roman" w:hAnsi="Times New Roman"/>
          <w:sz w:val="28"/>
          <w:szCs w:val="28"/>
        </w:rPr>
        <w:t>.</w:t>
      </w:r>
    </w:p>
    <w:p w:rsidR="00AC5F6A" w:rsidRPr="00491C4A" w:rsidRDefault="00491C4A" w:rsidP="00AC5F6A">
      <w:pPr>
        <w:pStyle w:val="Prrafodelista"/>
        <w:rPr>
          <w:rFonts w:ascii="Times New Roman" w:hAnsi="Times New Roman"/>
          <w:sz w:val="28"/>
          <w:szCs w:val="28"/>
        </w:rPr>
      </w:pPr>
    </w:p>
    <w:p w:rsidR="0008678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En contraste, </w:t>
      </w:r>
      <w:r w:rsidRPr="00491C4A">
        <w:rPr>
          <w:rFonts w:ascii="Times New Roman" w:hAnsi="Times New Roman"/>
          <w:sz w:val="28"/>
          <w:szCs w:val="28"/>
        </w:rPr>
        <w:t xml:space="preserve">los parágrafos </w:t>
      </w:r>
      <w:r w:rsidRPr="00491C4A">
        <w:rPr>
          <w:rFonts w:ascii="Times New Roman" w:hAnsi="Times New Roman"/>
          <w:sz w:val="28"/>
          <w:szCs w:val="28"/>
        </w:rPr>
        <w:t xml:space="preserve">5°, 6° y 7°, introducidos </w:t>
      </w:r>
      <w:r w:rsidRPr="00491C4A">
        <w:rPr>
          <w:rFonts w:ascii="Times New Roman" w:hAnsi="Times New Roman"/>
          <w:sz w:val="28"/>
          <w:szCs w:val="28"/>
        </w:rPr>
        <w:t xml:space="preserve">al artículo 54 de la Ley 143 de 1994 </w:t>
      </w:r>
      <w:r w:rsidRPr="00491C4A">
        <w:rPr>
          <w:rFonts w:ascii="Times New Roman" w:hAnsi="Times New Roman"/>
          <w:sz w:val="28"/>
          <w:szCs w:val="28"/>
        </w:rPr>
        <w:t xml:space="preserve">por la norma demandada, </w:t>
      </w:r>
      <w:r w:rsidRPr="00491C4A">
        <w:rPr>
          <w:rFonts w:ascii="Times New Roman" w:hAnsi="Times New Roman"/>
          <w:sz w:val="28"/>
          <w:szCs w:val="28"/>
        </w:rPr>
        <w:t>regulan un escenario</w:t>
      </w:r>
      <w:r w:rsidRPr="00491C4A">
        <w:rPr>
          <w:rFonts w:ascii="Times New Roman" w:hAnsi="Times New Roman"/>
          <w:sz w:val="28"/>
          <w:szCs w:val="28"/>
        </w:rPr>
        <w:t xml:space="preserve"> diverso</w:t>
      </w:r>
      <w:r w:rsidRPr="00491C4A">
        <w:rPr>
          <w:rFonts w:ascii="Times New Roman" w:hAnsi="Times New Roman"/>
          <w:sz w:val="28"/>
          <w:szCs w:val="28"/>
        </w:rPr>
        <w:t>. Imponen e</w:t>
      </w:r>
      <w:r w:rsidRPr="00491C4A">
        <w:rPr>
          <w:rFonts w:ascii="Times New Roman" w:hAnsi="Times New Roman"/>
          <w:sz w:val="28"/>
          <w:szCs w:val="28"/>
        </w:rPr>
        <w:t>l pago de transferencias eléctricas</w:t>
      </w:r>
      <w:r w:rsidRPr="00491C4A">
        <w:rPr>
          <w:rFonts w:ascii="Times New Roman" w:hAnsi="Times New Roman"/>
          <w:sz w:val="28"/>
          <w:szCs w:val="28"/>
        </w:rPr>
        <w:t xml:space="preserve"> con unas tarifas máximas del 6% y el 4%,  mayores que la prevista en el inciso segundo referido en el párrafo anterior, </w:t>
      </w:r>
      <w:r w:rsidRPr="00491C4A">
        <w:rPr>
          <w:rFonts w:ascii="Times New Roman" w:hAnsi="Times New Roman"/>
          <w:sz w:val="28"/>
          <w:szCs w:val="28"/>
        </w:rPr>
        <w:t>a las plantas nuevas que no se encuentran en operación y a las plantas en operación o plantas con asignación de obligaciones a la entrada en vigencia de la Ley localizadas en áreas con la mayor radiación solar promedio anual (mayores a 5 kWh/m2/día) y de m</w:t>
      </w:r>
      <w:r w:rsidRPr="00491C4A">
        <w:rPr>
          <w:rFonts w:ascii="Times New Roman" w:hAnsi="Times New Roman"/>
          <w:sz w:val="28"/>
          <w:szCs w:val="28"/>
        </w:rPr>
        <w:t xml:space="preserve">ayor velocidad promedio de viento (mayores a 4 m/s a 10 m de altura), de acuerdo con los últimos datos disponibles en los atlas de radiación y velocidad de viento del </w:t>
      </w:r>
      <w:r w:rsidRPr="00491C4A">
        <w:rPr>
          <w:rFonts w:ascii="Times New Roman" w:hAnsi="Times New Roman"/>
          <w:sz w:val="28"/>
          <w:szCs w:val="28"/>
        </w:rPr>
        <w:t>IDEAM</w:t>
      </w:r>
      <w:r w:rsidRPr="00491C4A">
        <w:rPr>
          <w:rFonts w:ascii="Times New Roman" w:hAnsi="Times New Roman"/>
          <w:sz w:val="28"/>
          <w:szCs w:val="28"/>
        </w:rPr>
        <w:t xml:space="preserve">. La interpretación más natural de la expresión </w:t>
      </w:r>
      <w:r w:rsidRPr="00491C4A">
        <w:rPr>
          <w:rFonts w:ascii="Times New Roman" w:hAnsi="Times New Roman"/>
          <w:i/>
          <w:iCs/>
          <w:sz w:val="28"/>
          <w:szCs w:val="28"/>
        </w:rPr>
        <w:t xml:space="preserve">“estos recursos” </w:t>
      </w:r>
      <w:r w:rsidRPr="00491C4A">
        <w:rPr>
          <w:rFonts w:ascii="Times New Roman" w:hAnsi="Times New Roman"/>
          <w:sz w:val="28"/>
          <w:szCs w:val="28"/>
        </w:rPr>
        <w:t>incorporada en el p</w:t>
      </w:r>
      <w:r w:rsidRPr="00491C4A">
        <w:rPr>
          <w:rFonts w:ascii="Times New Roman" w:hAnsi="Times New Roman"/>
          <w:sz w:val="28"/>
          <w:szCs w:val="28"/>
        </w:rPr>
        <w:t xml:space="preserve">arágrafo 7° es que se refiere a los recursos identificados en la ubicación más próxima al parágrafo en el que está contenida, esto es, a los previstos en los parágrafos 5 y 6 precedentes. </w:t>
      </w:r>
    </w:p>
    <w:p w:rsidR="00086789" w:rsidRPr="00491C4A" w:rsidRDefault="00491C4A" w:rsidP="00086789">
      <w:pPr>
        <w:pStyle w:val="Prrafodelista"/>
        <w:rPr>
          <w:rFonts w:ascii="Times New Roman" w:hAnsi="Times New Roman"/>
          <w:sz w:val="28"/>
          <w:szCs w:val="28"/>
        </w:rPr>
      </w:pPr>
    </w:p>
    <w:p w:rsidR="00086789"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Según la Real Academia de la Lengua Española </w:t>
      </w:r>
      <w:r w:rsidRPr="00491C4A">
        <w:rPr>
          <w:rFonts w:ascii="Times New Roman" w:hAnsi="Times New Roman"/>
          <w:sz w:val="28"/>
          <w:szCs w:val="28"/>
        </w:rPr>
        <w:t>l</w:t>
      </w:r>
      <w:r w:rsidRPr="00491C4A">
        <w:rPr>
          <w:rFonts w:ascii="Times New Roman" w:hAnsi="Times New Roman"/>
          <w:sz w:val="28"/>
          <w:szCs w:val="28"/>
          <w:lang w:val="es-MX"/>
        </w:rPr>
        <w:t>os demostrativos com</w:t>
      </w:r>
      <w:r w:rsidRPr="00491C4A">
        <w:rPr>
          <w:rFonts w:ascii="Times New Roman" w:hAnsi="Times New Roman"/>
          <w:sz w:val="28"/>
          <w:szCs w:val="28"/>
          <w:lang w:val="es-MX"/>
        </w:rPr>
        <w:t xml:space="preserve">o </w:t>
      </w:r>
      <w:r w:rsidRPr="00491C4A">
        <w:rPr>
          <w:rFonts w:ascii="Times New Roman" w:hAnsi="Times New Roman"/>
          <w:i/>
          <w:iCs/>
          <w:sz w:val="28"/>
          <w:szCs w:val="28"/>
          <w:lang w:val="es-MX"/>
        </w:rPr>
        <w:t xml:space="preserve">ese, este y aquél </w:t>
      </w:r>
      <w:r w:rsidRPr="00491C4A">
        <w:rPr>
          <w:rFonts w:ascii="Times New Roman" w:hAnsi="Times New Roman"/>
          <w:sz w:val="28"/>
          <w:szCs w:val="28"/>
          <w:lang w:val="es-MX"/>
        </w:rPr>
        <w:t>son pronombres, determinantes y adverbios deícticos. Los deícticos son palabras que permiten situar algo o a alguien en el espacio o en el tiempo, señalando la ubicación que mantiene con respecto al hablante y al oyente. Tradicionalment</w:t>
      </w:r>
      <w:r w:rsidRPr="00491C4A">
        <w:rPr>
          <w:rFonts w:ascii="Times New Roman" w:hAnsi="Times New Roman"/>
          <w:sz w:val="28"/>
          <w:szCs w:val="28"/>
          <w:lang w:val="es-MX"/>
        </w:rPr>
        <w:t>e, se considera que </w:t>
      </w:r>
      <w:r w:rsidRPr="00491C4A">
        <w:rPr>
          <w:rFonts w:ascii="Times New Roman" w:hAnsi="Times New Roman"/>
          <w:i/>
          <w:iCs/>
          <w:sz w:val="28"/>
          <w:szCs w:val="28"/>
          <w:lang w:val="es-MX"/>
        </w:rPr>
        <w:t>este</w:t>
      </w:r>
      <w:r w:rsidRPr="00491C4A">
        <w:rPr>
          <w:rFonts w:ascii="Times New Roman" w:hAnsi="Times New Roman"/>
          <w:sz w:val="28"/>
          <w:szCs w:val="28"/>
          <w:lang w:val="es-MX"/>
        </w:rPr>
        <w:t> y </w:t>
      </w:r>
      <w:r w:rsidRPr="00491C4A">
        <w:rPr>
          <w:rFonts w:ascii="Times New Roman" w:hAnsi="Times New Roman"/>
          <w:i/>
          <w:iCs/>
          <w:sz w:val="28"/>
          <w:szCs w:val="28"/>
          <w:lang w:val="es-MX"/>
        </w:rPr>
        <w:t>aquí</w:t>
      </w:r>
      <w:r w:rsidRPr="00491C4A">
        <w:rPr>
          <w:rFonts w:ascii="Times New Roman" w:hAnsi="Times New Roman"/>
          <w:sz w:val="28"/>
          <w:szCs w:val="28"/>
          <w:lang w:val="es-MX"/>
        </w:rPr>
        <w:t> denotan proximidad con el hablante; </w:t>
      </w:r>
      <w:r w:rsidRPr="00491C4A">
        <w:rPr>
          <w:rFonts w:ascii="Times New Roman" w:hAnsi="Times New Roman"/>
          <w:i/>
          <w:iCs/>
          <w:sz w:val="28"/>
          <w:szCs w:val="28"/>
          <w:lang w:val="es-MX"/>
        </w:rPr>
        <w:t>ese</w:t>
      </w:r>
      <w:r w:rsidRPr="00491C4A">
        <w:rPr>
          <w:rFonts w:ascii="Times New Roman" w:hAnsi="Times New Roman"/>
          <w:sz w:val="28"/>
          <w:szCs w:val="28"/>
          <w:lang w:val="es-MX"/>
        </w:rPr>
        <w:t> y </w:t>
      </w:r>
      <w:r w:rsidRPr="00491C4A">
        <w:rPr>
          <w:rFonts w:ascii="Times New Roman" w:hAnsi="Times New Roman"/>
          <w:i/>
          <w:iCs/>
          <w:sz w:val="28"/>
          <w:szCs w:val="28"/>
          <w:lang w:val="es-MX"/>
        </w:rPr>
        <w:t>ahí</w:t>
      </w:r>
      <w:r w:rsidRPr="00491C4A">
        <w:rPr>
          <w:rFonts w:ascii="Times New Roman" w:hAnsi="Times New Roman"/>
          <w:sz w:val="28"/>
          <w:szCs w:val="28"/>
          <w:lang w:val="es-MX"/>
        </w:rPr>
        <w:t>, proximidad con el oyente; </w:t>
      </w:r>
      <w:r w:rsidRPr="00491C4A">
        <w:rPr>
          <w:rFonts w:ascii="Times New Roman" w:hAnsi="Times New Roman"/>
          <w:i/>
          <w:iCs/>
          <w:sz w:val="28"/>
          <w:szCs w:val="28"/>
          <w:lang w:val="es-MX"/>
        </w:rPr>
        <w:t>aquel</w:t>
      </w:r>
      <w:r w:rsidRPr="00491C4A">
        <w:rPr>
          <w:rFonts w:ascii="Times New Roman" w:hAnsi="Times New Roman"/>
          <w:sz w:val="28"/>
          <w:szCs w:val="28"/>
          <w:lang w:val="es-MX"/>
        </w:rPr>
        <w:t> y </w:t>
      </w:r>
      <w:r w:rsidRPr="00491C4A">
        <w:rPr>
          <w:rFonts w:ascii="Times New Roman" w:hAnsi="Times New Roman"/>
          <w:i/>
          <w:iCs/>
          <w:sz w:val="28"/>
          <w:szCs w:val="28"/>
          <w:lang w:val="es-MX"/>
        </w:rPr>
        <w:t>allí,</w:t>
      </w:r>
      <w:r w:rsidRPr="00491C4A">
        <w:rPr>
          <w:rFonts w:ascii="Times New Roman" w:hAnsi="Times New Roman"/>
          <w:sz w:val="28"/>
          <w:szCs w:val="28"/>
          <w:lang w:val="es-MX"/>
        </w:rPr>
        <w:t xml:space="preserve"> lejanía respecto a ambos. </w:t>
      </w:r>
    </w:p>
    <w:p w:rsidR="00086789" w:rsidRPr="00491C4A" w:rsidRDefault="00491C4A" w:rsidP="00086789">
      <w:pPr>
        <w:pStyle w:val="Prrafodelista"/>
        <w:rPr>
          <w:rFonts w:ascii="Times New Roman" w:hAnsi="Times New Roman"/>
          <w:sz w:val="28"/>
          <w:szCs w:val="28"/>
        </w:rPr>
      </w:pPr>
    </w:p>
    <w:p w:rsidR="008C453B" w:rsidRPr="00491C4A" w:rsidRDefault="00491C4A" w:rsidP="008C453B">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el contexto del parágrafo 7 acusado, lo más razonable es entender que, si hubiere sido voluntad del legisl</w:t>
      </w:r>
      <w:r w:rsidRPr="00491C4A">
        <w:rPr>
          <w:rFonts w:ascii="Times New Roman" w:hAnsi="Times New Roman"/>
          <w:sz w:val="28"/>
          <w:szCs w:val="28"/>
        </w:rPr>
        <w:t>ador modificar la destinación de las transferencias del 1%, máximo 2% que pagan los generadores de energía identificados en el inciso 2° del artículo 54 de la Ley 143 de 1994, se habría dispuesto su eliminación o derogatoria. Así mismo, si</w:t>
      </w:r>
      <w:r w:rsidRPr="00491C4A">
        <w:rPr>
          <w:rFonts w:ascii="Times New Roman" w:hAnsi="Times New Roman"/>
          <w:sz w:val="28"/>
          <w:szCs w:val="28"/>
        </w:rPr>
        <w:t xml:space="preserve"> hubiera sido vol</w:t>
      </w:r>
      <w:r w:rsidRPr="00491C4A">
        <w:rPr>
          <w:rFonts w:ascii="Times New Roman" w:hAnsi="Times New Roman"/>
          <w:sz w:val="28"/>
          <w:szCs w:val="28"/>
        </w:rPr>
        <w:t>untad del legislador que</w:t>
      </w:r>
      <w:r w:rsidRPr="00491C4A">
        <w:rPr>
          <w:rFonts w:ascii="Times New Roman" w:hAnsi="Times New Roman"/>
          <w:sz w:val="28"/>
          <w:szCs w:val="28"/>
        </w:rPr>
        <w:t xml:space="preserve"> las transferencias con tarifas aumentadas previstas en los parágrafos 5 y 6 adicionados por el artículo 233 de la Ley 2294 de 2023 </w:t>
      </w:r>
      <w:r w:rsidRPr="00491C4A">
        <w:rPr>
          <w:rFonts w:ascii="Times New Roman" w:hAnsi="Times New Roman"/>
          <w:sz w:val="28"/>
          <w:szCs w:val="28"/>
        </w:rPr>
        <w:t xml:space="preserve">fueran destinadas en los términos de los literales a y b que suceden al inciso 2 del artículo 54 de </w:t>
      </w:r>
      <w:r w:rsidRPr="00491C4A">
        <w:rPr>
          <w:rFonts w:ascii="Times New Roman" w:hAnsi="Times New Roman"/>
          <w:sz w:val="28"/>
          <w:szCs w:val="28"/>
        </w:rPr>
        <w:t>la Ley 143 de 1994, el parágrafo 7 acusado carecería por completo de efecto útil.</w:t>
      </w:r>
      <w:r w:rsidRPr="00491C4A">
        <w:rPr>
          <w:rFonts w:ascii="Times New Roman" w:hAnsi="Times New Roman"/>
          <w:sz w:val="28"/>
          <w:szCs w:val="28"/>
        </w:rPr>
        <w:t xml:space="preserve"> Por lo demás, la Corte observa que esta disposición tuvo origen en la mesa de concertación del PND con los pueblos indígenas, y aunque sufrió variaciones, en el curso del pro</w:t>
      </w:r>
      <w:r w:rsidRPr="00491C4A">
        <w:rPr>
          <w:rFonts w:ascii="Times New Roman" w:hAnsi="Times New Roman"/>
          <w:sz w:val="28"/>
          <w:szCs w:val="28"/>
        </w:rPr>
        <w:t>ceso legislativo fue claro que su propósito no era otro que favorecer directamente a los pueblos y comunidades étnicas como manifestación del componente redistributivo de la justicia ambiental.</w:t>
      </w:r>
    </w:p>
    <w:p w:rsidR="00051AC7" w:rsidRPr="00491C4A" w:rsidRDefault="00491C4A" w:rsidP="00051AC7">
      <w:pPr>
        <w:pStyle w:val="Prrafodelista"/>
        <w:rPr>
          <w:rFonts w:ascii="Times New Roman" w:hAnsi="Times New Roman"/>
          <w:sz w:val="28"/>
          <w:szCs w:val="28"/>
        </w:rPr>
      </w:pPr>
    </w:p>
    <w:p w:rsidR="00051AC7"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incertidumbre que plantean los accionantes no se deriva en</w:t>
      </w:r>
      <w:r w:rsidRPr="00491C4A">
        <w:rPr>
          <w:rFonts w:ascii="Times New Roman" w:hAnsi="Times New Roman"/>
          <w:sz w:val="28"/>
          <w:szCs w:val="28"/>
        </w:rPr>
        <w:t>tonces de una interpretación natural del lenguaje utilizado en la redacción de la norma, sino de una lectura forzada de esta que resta efecto útil por lo menos a algunos de sus apartes, pese a que el legislador no previó su derogatoria tácita o expresa. Di</w:t>
      </w:r>
      <w:r w:rsidRPr="00491C4A">
        <w:rPr>
          <w:rFonts w:ascii="Times New Roman" w:hAnsi="Times New Roman"/>
          <w:sz w:val="28"/>
          <w:szCs w:val="28"/>
        </w:rPr>
        <w:t xml:space="preserve">cho de otra manera, la contradicción alegada es apenas </w:t>
      </w:r>
      <w:r w:rsidRPr="00491C4A">
        <w:rPr>
          <w:rFonts w:ascii="Times New Roman" w:hAnsi="Times New Roman"/>
          <w:sz w:val="28"/>
          <w:szCs w:val="28"/>
        </w:rPr>
        <w:t>aparente</w:t>
      </w:r>
      <w:r w:rsidRPr="00491C4A">
        <w:rPr>
          <w:rFonts w:ascii="Times New Roman" w:hAnsi="Times New Roman"/>
          <w:sz w:val="28"/>
          <w:szCs w:val="28"/>
        </w:rPr>
        <w:t xml:space="preserve">, por lo que no es cierto que los sujetos beneficiarios </w:t>
      </w:r>
      <w:r w:rsidRPr="00491C4A">
        <w:rPr>
          <w:rFonts w:ascii="Times New Roman" w:hAnsi="Times New Roman"/>
          <w:sz w:val="28"/>
          <w:szCs w:val="28"/>
        </w:rPr>
        <w:t>del parágrafo 7° no estén claramente determinados</w:t>
      </w:r>
      <w:r w:rsidRPr="00491C4A">
        <w:rPr>
          <w:rFonts w:ascii="Times New Roman" w:hAnsi="Times New Roman"/>
          <w:sz w:val="28"/>
          <w:szCs w:val="28"/>
        </w:rPr>
        <w:t>, en contravía de lo ordenado en los artículos 150.2 y 338 constitucionales</w:t>
      </w:r>
      <w:r w:rsidRPr="00491C4A">
        <w:rPr>
          <w:rFonts w:ascii="Times New Roman" w:hAnsi="Times New Roman"/>
          <w:sz w:val="28"/>
          <w:szCs w:val="28"/>
        </w:rPr>
        <w:t>.</w:t>
      </w:r>
    </w:p>
    <w:p w:rsidR="004B32AA" w:rsidRPr="00491C4A" w:rsidRDefault="00491C4A" w:rsidP="004B32AA">
      <w:pPr>
        <w:pStyle w:val="Prrafodelista"/>
        <w:rPr>
          <w:rFonts w:ascii="Times New Roman" w:hAnsi="Times New Roman"/>
          <w:sz w:val="28"/>
          <w:szCs w:val="28"/>
        </w:rPr>
      </w:pPr>
    </w:p>
    <w:p w:rsidR="004B32AA" w:rsidRPr="00491C4A" w:rsidRDefault="00491C4A" w:rsidP="004B32AA">
      <w:pPr>
        <w:jc w:val="both"/>
        <w:rPr>
          <w:rFonts w:ascii="Times New Roman" w:hAnsi="Times New Roman"/>
          <w:sz w:val="28"/>
          <w:szCs w:val="28"/>
        </w:rPr>
      </w:pPr>
    </w:p>
    <w:p w:rsidR="004B32AA" w:rsidRPr="00491C4A" w:rsidRDefault="00491C4A" w:rsidP="00BF00EC">
      <w:pPr>
        <w:pStyle w:val="Ttulo2"/>
        <w:numPr>
          <w:ilvl w:val="0"/>
          <w:numId w:val="7"/>
        </w:numPr>
        <w:spacing w:before="0" w:after="0"/>
        <w:ind w:left="708" w:hanging="708"/>
        <w:jc w:val="both"/>
        <w:rPr>
          <w:rFonts w:ascii="Times New Roman" w:hAnsi="Times New Roman"/>
          <w:b/>
          <w:bCs/>
          <w:color w:val="auto"/>
          <w:sz w:val="28"/>
          <w:szCs w:val="28"/>
        </w:rPr>
      </w:pPr>
      <w:bookmarkStart w:id="38" w:name="_Toc200753672"/>
      <w:r w:rsidRPr="00491C4A">
        <w:rPr>
          <w:rFonts w:ascii="Times New Roman" w:hAnsi="Times New Roman"/>
          <w:b/>
          <w:bCs/>
          <w:color w:val="auto"/>
          <w:sz w:val="28"/>
          <w:szCs w:val="28"/>
        </w:rPr>
        <w:t xml:space="preserve">El </w:t>
      </w:r>
      <w:r w:rsidRPr="00491C4A">
        <w:rPr>
          <w:rFonts w:ascii="Times New Roman" w:hAnsi="Times New Roman"/>
          <w:b/>
          <w:bCs/>
          <w:color w:val="auto"/>
          <w:sz w:val="28"/>
          <w:szCs w:val="28"/>
        </w:rPr>
        <w:t>ejercicio de la facultad impositiva y el principio de progresividad y no regresividad en materia de DESC</w:t>
      </w:r>
      <w:bookmarkEnd w:id="38"/>
    </w:p>
    <w:p w:rsidR="004B32AA" w:rsidRPr="00491C4A" w:rsidRDefault="00491C4A" w:rsidP="004B32AA">
      <w:pPr>
        <w:pStyle w:val="Prrafodelista"/>
        <w:ind w:left="0"/>
        <w:jc w:val="both"/>
        <w:rPr>
          <w:rFonts w:ascii="Times New Roman" w:hAnsi="Times New Roman"/>
          <w:b/>
          <w:bCs/>
          <w:i/>
          <w:iCs/>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artículo 95.9 de la Constitución prescribe que los ciudadanos tienen el deber de contribuir al financiamiento de los gastos e inversiones del Estad</w:t>
      </w:r>
      <w:r w:rsidRPr="00491C4A">
        <w:rPr>
          <w:rFonts w:ascii="Times New Roman" w:hAnsi="Times New Roman"/>
          <w:sz w:val="28"/>
          <w:szCs w:val="28"/>
        </w:rPr>
        <w:t>o, dentro de los conceptos de justicia y equidad. Es así como la Corte ha afirmado que “</w:t>
      </w:r>
      <w:r w:rsidRPr="00491C4A">
        <w:rPr>
          <w:rFonts w:ascii="Times New Roman" w:hAnsi="Times New Roman"/>
          <w:i/>
          <w:iCs/>
          <w:sz w:val="28"/>
          <w:szCs w:val="28"/>
        </w:rPr>
        <w:t>el tributo ha sido catalogado como el principal instrumento con que cuenta el Estado para garantizar un orden político, económico y social justo; cumplir los deberes so</w:t>
      </w:r>
      <w:r w:rsidRPr="00491C4A">
        <w:rPr>
          <w:rFonts w:ascii="Times New Roman" w:hAnsi="Times New Roman"/>
          <w:i/>
          <w:iCs/>
          <w:sz w:val="28"/>
          <w:szCs w:val="28"/>
        </w:rPr>
        <w:t>ciales y los fines esenciales como la efectividad de los principios, derechos y deberes constitucionales.</w:t>
      </w:r>
      <w:r w:rsidRPr="00491C4A">
        <w:rPr>
          <w:rFonts w:ascii="Times New Roman" w:hAnsi="Times New Roman"/>
          <w:sz w:val="28"/>
          <w:szCs w:val="28"/>
        </w:rPr>
        <w:t>”</w:t>
      </w:r>
      <w:r w:rsidRPr="00491C4A">
        <w:rPr>
          <w:rStyle w:val="Refdenotaalpie"/>
          <w:rFonts w:ascii="Times New Roman" w:hAnsi="Times New Roman"/>
          <w:sz w:val="28"/>
          <w:szCs w:val="28"/>
        </w:rPr>
        <w:footnoteReference w:id="146"/>
      </w:r>
      <w:r w:rsidRPr="00491C4A">
        <w:rPr>
          <w:rFonts w:ascii="Times New Roman" w:hAnsi="Times New Roman"/>
          <w:sz w:val="28"/>
          <w:szCs w:val="28"/>
        </w:rPr>
        <w:t xml:space="preserve"> La jurisprudencia constitucional ha expresado que, en virtud de lo dispuesto en los artículos 150.12, 154 y 338 de la Constitución, “</w:t>
      </w:r>
      <w:r w:rsidRPr="00491C4A">
        <w:rPr>
          <w:rFonts w:ascii="Times New Roman" w:hAnsi="Times New Roman"/>
          <w:i/>
          <w:iCs/>
          <w:sz w:val="28"/>
          <w:szCs w:val="28"/>
        </w:rPr>
        <w:t xml:space="preserve">el Congreso de </w:t>
      </w:r>
      <w:r w:rsidRPr="00491C4A">
        <w:rPr>
          <w:rFonts w:ascii="Times New Roman" w:hAnsi="Times New Roman"/>
          <w:i/>
          <w:iCs/>
          <w:sz w:val="28"/>
          <w:szCs w:val="28"/>
        </w:rPr>
        <w:t>la República tiene una amplia competencia para establecer impuestos, para determinar quiénes habrán de pagarlos y para decidir según su libre apreciación cuáles serán los casos de exención o exclusión aplicables.</w:t>
      </w:r>
      <w:r w:rsidRPr="00491C4A">
        <w:rPr>
          <w:rFonts w:ascii="Times New Roman" w:hAnsi="Times New Roman"/>
          <w:sz w:val="28"/>
          <w:szCs w:val="28"/>
        </w:rPr>
        <w:t>”</w:t>
      </w:r>
      <w:r w:rsidRPr="00491C4A">
        <w:rPr>
          <w:rStyle w:val="Refdenotaalpie"/>
          <w:rFonts w:ascii="Times New Roman" w:hAnsi="Times New Roman"/>
          <w:sz w:val="28"/>
          <w:szCs w:val="28"/>
        </w:rPr>
        <w:footnoteReference w:id="147"/>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realización efectiva de la cláusula d</w:t>
      </w:r>
      <w:r w:rsidRPr="00491C4A">
        <w:rPr>
          <w:rFonts w:ascii="Times New Roman" w:hAnsi="Times New Roman"/>
          <w:sz w:val="28"/>
          <w:szCs w:val="28"/>
        </w:rPr>
        <w:t>el Estado Social de Derecho supone el pago de tributos por parte de los particulares, en el marco de las medidas legislativas dirigidas a construir un orden político, económico y social justo, con miras a garantizar a todas las personas el derecho a una su</w:t>
      </w:r>
      <w:r w:rsidRPr="00491C4A">
        <w:rPr>
          <w:rFonts w:ascii="Times New Roman" w:hAnsi="Times New Roman"/>
          <w:sz w:val="28"/>
          <w:szCs w:val="28"/>
        </w:rPr>
        <w:t>bsistencia en condiciones dignas</w:t>
      </w:r>
      <w:r w:rsidRPr="00491C4A">
        <w:rPr>
          <w:rStyle w:val="Refdenotaalpie"/>
          <w:rFonts w:ascii="Times New Roman" w:hAnsi="Times New Roman"/>
          <w:sz w:val="28"/>
          <w:szCs w:val="28"/>
        </w:rPr>
        <w:footnoteReference w:id="148"/>
      </w:r>
      <w:r w:rsidRPr="00491C4A">
        <w:rPr>
          <w:rFonts w:ascii="Times New Roman" w:hAnsi="Times New Roman"/>
          <w:sz w:val="28"/>
          <w:szCs w:val="28"/>
        </w:rPr>
        <w:t>. “</w:t>
      </w:r>
      <w:r w:rsidRPr="00491C4A">
        <w:rPr>
          <w:rFonts w:ascii="Times New Roman" w:hAnsi="Times New Roman"/>
          <w:i/>
          <w:iCs/>
          <w:sz w:val="28"/>
          <w:szCs w:val="28"/>
        </w:rPr>
        <w:t>Entonces, la declaración social implica que el Estado debe velar por el bienestar de la comunidad en orden a contrarrestar las desigualdades sociales, ofrecer las oportunidades necesarias para desarrollar sus aptitudes y</w:t>
      </w:r>
      <w:r w:rsidRPr="00491C4A">
        <w:rPr>
          <w:rFonts w:ascii="Times New Roman" w:hAnsi="Times New Roman"/>
          <w:i/>
          <w:iCs/>
          <w:sz w:val="28"/>
          <w:szCs w:val="28"/>
        </w:rPr>
        <w:t xml:space="preserve"> superar los apremios materiales.</w:t>
      </w:r>
      <w:r w:rsidRPr="00491C4A">
        <w:rPr>
          <w:rFonts w:ascii="Times New Roman" w:hAnsi="Times New Roman"/>
          <w:sz w:val="28"/>
          <w:szCs w:val="28"/>
        </w:rPr>
        <w:t>”</w:t>
      </w:r>
      <w:r w:rsidRPr="00491C4A">
        <w:rPr>
          <w:rStyle w:val="Refdenotaalpie"/>
          <w:rFonts w:ascii="Times New Roman" w:hAnsi="Times New Roman"/>
          <w:sz w:val="28"/>
          <w:szCs w:val="28"/>
        </w:rPr>
        <w:footnoteReference w:id="149"/>
      </w:r>
      <w:r w:rsidRPr="00491C4A">
        <w:rPr>
          <w:rFonts w:ascii="Times New Roman" w:hAnsi="Times New Roman"/>
          <w:sz w:val="28"/>
          <w:szCs w:val="28"/>
        </w:rPr>
        <w:t xml:space="preserve">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ejercicio de la facultad impositiva no implica únicamente el recaudo de recursos para financiar los gastos e inversiones del Estado, sino que se reconoce también como un instrumento de intervención económica que deb</w:t>
      </w:r>
      <w:r w:rsidRPr="00491C4A">
        <w:rPr>
          <w:rFonts w:ascii="Times New Roman" w:hAnsi="Times New Roman"/>
          <w:sz w:val="28"/>
          <w:szCs w:val="28"/>
        </w:rPr>
        <w:t>e estar orientada al logro de los fines del Estado Social de Derecho</w:t>
      </w:r>
      <w:r w:rsidRPr="00491C4A">
        <w:rPr>
          <w:rStyle w:val="Refdenotaalpie"/>
          <w:rFonts w:ascii="Times New Roman" w:hAnsi="Times New Roman"/>
          <w:sz w:val="28"/>
          <w:szCs w:val="28"/>
        </w:rPr>
        <w:footnoteReference w:id="150"/>
      </w:r>
      <w:r w:rsidRPr="00491C4A">
        <w:rPr>
          <w:rFonts w:ascii="Times New Roman" w:hAnsi="Times New Roman"/>
          <w:sz w:val="28"/>
          <w:szCs w:val="28"/>
        </w:rPr>
        <w:t>. Así, la facultad impositiva del Legislador no puede sino estar dirigida a promover, directamente a través de la inversión social por parte del Estado o, indirectamente, a través de inst</w:t>
      </w:r>
      <w:r w:rsidRPr="00491C4A">
        <w:rPr>
          <w:rFonts w:ascii="Times New Roman" w:hAnsi="Times New Roman"/>
          <w:sz w:val="28"/>
          <w:szCs w:val="28"/>
        </w:rPr>
        <w:t>rumentos de promoción económica como los beneficios tributarios, el objetivo constitucionalmente legítimo de lograr la igualdad real y efectiva</w:t>
      </w:r>
      <w:r w:rsidRPr="00491C4A">
        <w:rPr>
          <w:rStyle w:val="Refdenotaalpie"/>
          <w:rFonts w:ascii="Times New Roman" w:hAnsi="Times New Roman"/>
          <w:sz w:val="28"/>
          <w:szCs w:val="28"/>
        </w:rPr>
        <w:footnoteReference w:id="151"/>
      </w:r>
      <w:r w:rsidRPr="00491C4A">
        <w:rPr>
          <w:rFonts w:ascii="Times New Roman" w:hAnsi="Times New Roman"/>
          <w:sz w:val="28"/>
          <w:szCs w:val="28"/>
        </w:rPr>
        <w:t xml:space="preserve">.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artículo 334 de la Constitución Política faculta al Estado para intervenir, por mandato de la ley entre </w:t>
      </w:r>
      <w:r w:rsidRPr="00491C4A">
        <w:rPr>
          <w:rFonts w:ascii="Times New Roman" w:hAnsi="Times New Roman"/>
          <w:sz w:val="28"/>
          <w:szCs w:val="28"/>
        </w:rPr>
        <w:t xml:space="preserve">otros, en la explotación de los recursos naturales y los servicios públicos y privados para racionalizar la economía con el fin de conseguir en el plano nacional y territorial, en un marco de sostenibilidad fiscal, el mejoramiento de la calidad de vida de </w:t>
      </w:r>
      <w:r w:rsidRPr="00491C4A">
        <w:rPr>
          <w:rFonts w:ascii="Times New Roman" w:hAnsi="Times New Roman"/>
          <w:sz w:val="28"/>
          <w:szCs w:val="28"/>
        </w:rPr>
        <w:t xml:space="preserve">los habitantes, la distribución equitativa de las oportunidades y los beneficios del desarrollo y la preservación de un ambiente sano. De modo que la conservación del ambiente no constituye un interés contrapuesto, sino concurrente con las finalidades que </w:t>
      </w:r>
      <w:r w:rsidRPr="00491C4A">
        <w:rPr>
          <w:rFonts w:ascii="Times New Roman" w:hAnsi="Times New Roman"/>
          <w:sz w:val="28"/>
          <w:szCs w:val="28"/>
        </w:rPr>
        <w:t>debe perseguir el ejercicio de la facultad estatal de intervención en la economía mediante, por ejemplo, la imposición de tributos, o la concesión de beneficios tributarios.</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el poder tributario es una herramienta del Estado regulador para el logro de</w:t>
      </w:r>
      <w:r w:rsidRPr="00491C4A">
        <w:rPr>
          <w:rFonts w:ascii="Times New Roman" w:hAnsi="Times New Roman"/>
          <w:sz w:val="28"/>
          <w:szCs w:val="28"/>
        </w:rPr>
        <w:t xml:space="preserve"> fines fiscales y extrafiscales. En la Sentencia C-489 de 2023, esta Corte indicó que: “</w:t>
      </w:r>
      <w:r w:rsidRPr="00491C4A">
        <w:rPr>
          <w:rFonts w:ascii="Times New Roman" w:hAnsi="Times New Roman"/>
          <w:i/>
          <w:iCs/>
          <w:sz w:val="28"/>
          <w:szCs w:val="28"/>
        </w:rPr>
        <w:t>La jurisprudencia constitucional ha reconocido de forma pacífica que el ejercicio de la facultad por parte del legislador puede tener fines fiscales y extrafiscales. Po</w:t>
      </w:r>
      <w:r w:rsidRPr="00491C4A">
        <w:rPr>
          <w:rFonts w:ascii="Times New Roman" w:hAnsi="Times New Roman"/>
          <w:i/>
          <w:iCs/>
          <w:sz w:val="28"/>
          <w:szCs w:val="28"/>
        </w:rPr>
        <w:t xml:space="preserve">r consiguiente, las normas tributarias no solo pueden buscar el recaudo de ingresos fiscales, sino que también pueden ser utilizadas como incentivos o desincentivos de determinadas actividades. </w:t>
      </w:r>
      <w:r w:rsidRPr="00491C4A">
        <w:rPr>
          <w:rFonts w:ascii="Times New Roman" w:hAnsi="Times New Roman"/>
          <w:sz w:val="28"/>
          <w:szCs w:val="28"/>
        </w:rPr>
        <w:t xml:space="preserve">(…) </w:t>
      </w:r>
      <w:r w:rsidRPr="00491C4A">
        <w:rPr>
          <w:rFonts w:ascii="Times New Roman" w:hAnsi="Times New Roman"/>
          <w:i/>
          <w:iCs/>
          <w:sz w:val="28"/>
          <w:szCs w:val="28"/>
        </w:rPr>
        <w:t xml:space="preserve">Dado que la modificación del tratamiento tributario tiene </w:t>
      </w:r>
      <w:r w:rsidRPr="00491C4A">
        <w:rPr>
          <w:rFonts w:ascii="Times New Roman" w:hAnsi="Times New Roman"/>
          <w:i/>
          <w:iCs/>
          <w:sz w:val="28"/>
          <w:szCs w:val="28"/>
        </w:rPr>
        <w:t>efectos en el comportamiento de los agentes del mercado, es evidente que la adopción de normas de naturaleza tributaria forma parte de las herramientas mediante las cuales se ejercen las facultades de intervención y dirección de la economía que la Constitu</w:t>
      </w:r>
      <w:r w:rsidRPr="00491C4A">
        <w:rPr>
          <w:rFonts w:ascii="Times New Roman" w:hAnsi="Times New Roman"/>
          <w:i/>
          <w:iCs/>
          <w:sz w:val="28"/>
          <w:szCs w:val="28"/>
        </w:rPr>
        <w:t>ción Política reconoce al Estado.</w:t>
      </w:r>
      <w:r w:rsidRPr="00491C4A">
        <w:rPr>
          <w:rFonts w:ascii="Times New Roman" w:hAnsi="Times New Roman"/>
          <w:sz w:val="28"/>
          <w:szCs w:val="28"/>
        </w:rPr>
        <w:t>”</w:t>
      </w:r>
      <w:r w:rsidRPr="00491C4A">
        <w:rPr>
          <w:rStyle w:val="Refdenotaalpie"/>
          <w:rFonts w:ascii="Times New Roman" w:hAnsi="Times New Roman"/>
          <w:sz w:val="28"/>
          <w:szCs w:val="28"/>
        </w:rPr>
        <w:footnoteReference w:id="152"/>
      </w:r>
    </w:p>
    <w:p w:rsidR="004B32AA" w:rsidRPr="00491C4A" w:rsidRDefault="00491C4A" w:rsidP="004B32AA">
      <w:pPr>
        <w:pStyle w:val="Prrafodelista"/>
        <w:rPr>
          <w:rFonts w:ascii="Times New Roman" w:hAnsi="Times New Roman"/>
          <w:sz w:val="28"/>
          <w:szCs w:val="28"/>
          <w:lang w:val="es-ES" w:eastAsia="es-ES"/>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lang w:val="es-ES" w:eastAsia="es-ES"/>
        </w:rPr>
        <w:t xml:space="preserve">Por su parte, el principio de no regresividad en materia ambiental se deriva de la cláusula general de progresión de los derechos económicos, sociales y culturales (en adelante, DESC) prevista en </w:t>
      </w:r>
      <w:r w:rsidRPr="00491C4A">
        <w:rPr>
          <w:rFonts w:ascii="Times New Roman" w:hAnsi="Times New Roman"/>
          <w:sz w:val="28"/>
          <w:szCs w:val="28"/>
          <w:lang w:val="es-ES"/>
        </w:rPr>
        <w:t xml:space="preserve">el artículo 2.1 del </w:t>
      </w:r>
      <w:r w:rsidRPr="00491C4A">
        <w:rPr>
          <w:rStyle w:val="nfasis"/>
          <w:iCs/>
          <w:szCs w:val="28"/>
          <w:shd w:val="clear" w:color="auto" w:fill="FFFFFF"/>
          <w:lang w:val="es-ES"/>
        </w:rPr>
        <w:t xml:space="preserve">Pacto Internacional de Derechos Económicos, Sociales y Culturales </w:t>
      </w:r>
      <w:r w:rsidRPr="00491C4A">
        <w:rPr>
          <w:rStyle w:val="nfasis"/>
          <w:i w:val="0"/>
          <w:szCs w:val="28"/>
          <w:shd w:val="clear" w:color="auto" w:fill="FFFFFF"/>
          <w:lang w:val="es-ES"/>
        </w:rPr>
        <w:t xml:space="preserve">(en adelante, PIDESC), y en el artículo 26 de la </w:t>
      </w:r>
      <w:r w:rsidRPr="00491C4A">
        <w:rPr>
          <w:rStyle w:val="nfasis"/>
          <w:iCs/>
          <w:szCs w:val="28"/>
          <w:shd w:val="clear" w:color="auto" w:fill="FFFFFF"/>
          <w:lang w:val="es-ES"/>
        </w:rPr>
        <w:t xml:space="preserve">Convención Americana sobre Derechos Humanos “Pacto de San José”. </w:t>
      </w:r>
      <w:r w:rsidRPr="00491C4A">
        <w:rPr>
          <w:rStyle w:val="nfasis"/>
          <w:i w:val="0"/>
          <w:szCs w:val="28"/>
          <w:shd w:val="clear" w:color="auto" w:fill="FFFFFF"/>
          <w:lang w:val="es-ES"/>
        </w:rPr>
        <w:t>Este principio aplica en materia ambiental en tanto el artículo 11 del Proto</w:t>
      </w:r>
      <w:r w:rsidRPr="00491C4A">
        <w:rPr>
          <w:rStyle w:val="nfasis"/>
          <w:i w:val="0"/>
          <w:szCs w:val="28"/>
          <w:shd w:val="clear" w:color="auto" w:fill="FFFFFF"/>
          <w:lang w:val="es-ES"/>
        </w:rPr>
        <w:t>colo Adicional</w:t>
      </w:r>
      <w:r w:rsidRPr="00491C4A">
        <w:rPr>
          <w:rStyle w:val="nfasis"/>
          <w:iCs/>
          <w:szCs w:val="28"/>
          <w:shd w:val="clear" w:color="auto" w:fill="FFFFFF"/>
          <w:lang w:val="es-ES"/>
        </w:rPr>
        <w:t xml:space="preserve"> </w:t>
      </w:r>
      <w:r w:rsidRPr="00491C4A">
        <w:rPr>
          <w:rStyle w:val="nfasis"/>
          <w:i w:val="0"/>
          <w:szCs w:val="28"/>
          <w:shd w:val="clear" w:color="auto" w:fill="FFFFFF"/>
          <w:lang w:val="es-ES"/>
        </w:rPr>
        <w:t>a la Convención Americana sobre Derechos Humanos en Materia de DESC</w:t>
      </w:r>
      <w:r w:rsidRPr="00491C4A">
        <w:rPr>
          <w:rStyle w:val="nfasis"/>
          <w:iCs/>
          <w:szCs w:val="28"/>
          <w:shd w:val="clear" w:color="auto" w:fill="FFFFFF"/>
          <w:lang w:val="es-ES"/>
        </w:rPr>
        <w:t xml:space="preserve"> </w:t>
      </w:r>
      <w:r w:rsidRPr="00491C4A">
        <w:rPr>
          <w:rFonts w:ascii="Times New Roman" w:hAnsi="Times New Roman"/>
          <w:i/>
          <w:iCs/>
          <w:sz w:val="28"/>
          <w:szCs w:val="28"/>
          <w:lang w:val="es-ES"/>
        </w:rPr>
        <w:t>“Protocolo de San Salvador”,</w:t>
      </w:r>
      <w:r w:rsidRPr="00491C4A">
        <w:rPr>
          <w:rFonts w:ascii="Times New Roman" w:hAnsi="Times New Roman"/>
          <w:sz w:val="28"/>
          <w:szCs w:val="28"/>
          <w:lang w:val="es-ES"/>
        </w:rPr>
        <w:t xml:space="preserve"> reconoce el derecho al medio ambiente sano como parte del catálogo de DESC. De la cláusula de progresión se sigue la </w:t>
      </w:r>
      <w:r w:rsidRPr="00491C4A">
        <w:rPr>
          <w:rFonts w:ascii="Times New Roman" w:hAnsi="Times New Roman"/>
          <w:bCs/>
          <w:i/>
          <w:iCs/>
          <w:sz w:val="28"/>
          <w:szCs w:val="28"/>
          <w:lang w:val="es-ES"/>
        </w:rPr>
        <w:t>obligación estatal de no re</w:t>
      </w:r>
      <w:r w:rsidRPr="00491C4A">
        <w:rPr>
          <w:rFonts w:ascii="Times New Roman" w:hAnsi="Times New Roman"/>
          <w:bCs/>
          <w:i/>
          <w:iCs/>
          <w:sz w:val="28"/>
          <w:szCs w:val="28"/>
          <w:lang w:val="es-ES"/>
        </w:rPr>
        <w:t>gresividad,</w:t>
      </w:r>
      <w:r w:rsidRPr="00491C4A">
        <w:rPr>
          <w:rFonts w:ascii="Times New Roman" w:hAnsi="Times New Roman"/>
          <w:sz w:val="28"/>
          <w:szCs w:val="28"/>
          <w:lang w:val="es-ES"/>
        </w:rPr>
        <w:t xml:space="preserve"> según la cual </w:t>
      </w:r>
      <w:r w:rsidRPr="00491C4A">
        <w:rPr>
          <w:rFonts w:ascii="Times New Roman" w:hAnsi="Times New Roman"/>
          <w:iCs/>
          <w:sz w:val="28"/>
          <w:szCs w:val="28"/>
          <w:lang w:val="es-ES"/>
        </w:rPr>
        <w:t>todo retroceso frente al nivel de protección alcanzado</w:t>
      </w:r>
      <w:r w:rsidRPr="00491C4A">
        <w:rPr>
          <w:rFonts w:ascii="Times New Roman" w:hAnsi="Times New Roman"/>
          <w:sz w:val="28"/>
          <w:szCs w:val="28"/>
          <w:lang w:val="es-ES"/>
        </w:rPr>
        <w:t xml:space="preserve"> en materia de DESC es, en principio, </w:t>
      </w:r>
      <w:r w:rsidRPr="00491C4A">
        <w:rPr>
          <w:rFonts w:ascii="Times New Roman" w:hAnsi="Times New Roman"/>
          <w:iCs/>
          <w:sz w:val="28"/>
          <w:szCs w:val="28"/>
          <w:lang w:val="es-ES"/>
        </w:rPr>
        <w:t>constitucionalmente problemático.</w:t>
      </w:r>
      <w:r w:rsidRPr="00491C4A">
        <w:rPr>
          <w:rStyle w:val="Refdenotaalpie"/>
          <w:rFonts w:ascii="Times New Roman" w:hAnsi="Times New Roman"/>
          <w:i/>
          <w:sz w:val="28"/>
          <w:szCs w:val="28"/>
          <w:lang w:val="es-ES"/>
        </w:rPr>
        <w:footnoteReference w:id="153"/>
      </w:r>
      <w:r w:rsidRPr="00491C4A">
        <w:rPr>
          <w:rFonts w:ascii="Times New Roman" w:hAnsi="Times New Roman"/>
          <w:sz w:val="28"/>
          <w:szCs w:val="28"/>
          <w:lang w:val="es-ES"/>
        </w:rPr>
        <w:t xml:space="preserve"> No obstante, la jurisprudencia ha sido clara al señalar que </w:t>
      </w:r>
      <w:r w:rsidRPr="00491C4A">
        <w:rPr>
          <w:rFonts w:ascii="Times New Roman" w:hAnsi="Times New Roman"/>
          <w:iCs/>
          <w:sz w:val="28"/>
          <w:szCs w:val="28"/>
          <w:lang w:val="es-ES"/>
        </w:rPr>
        <w:t>la regresividad de una medida no conduce in</w:t>
      </w:r>
      <w:r w:rsidRPr="00491C4A">
        <w:rPr>
          <w:rFonts w:ascii="Times New Roman" w:hAnsi="Times New Roman"/>
          <w:iCs/>
          <w:sz w:val="28"/>
          <w:szCs w:val="28"/>
          <w:lang w:val="es-ES"/>
        </w:rPr>
        <w:t xml:space="preserve">exorablemente a su inconstitucionalidad, en cuanto es posible que ella </w:t>
      </w:r>
      <w:r w:rsidRPr="00491C4A">
        <w:rPr>
          <w:rFonts w:ascii="Times New Roman" w:hAnsi="Times New Roman"/>
          <w:i/>
          <w:sz w:val="28"/>
          <w:szCs w:val="28"/>
          <w:lang w:val="es-ES"/>
        </w:rPr>
        <w:t>“sea justificada, adecuada y proporcionada para alcanzar un propósito constitucional de particular importancia.”</w:t>
      </w:r>
      <w:r w:rsidRPr="00491C4A">
        <w:rPr>
          <w:rStyle w:val="Refdenotaalpie"/>
          <w:rFonts w:ascii="Times New Roman" w:hAnsi="Times New Roman"/>
          <w:i/>
          <w:sz w:val="28"/>
          <w:szCs w:val="28"/>
          <w:lang w:val="es-ES"/>
        </w:rPr>
        <w:footnoteReference w:id="154"/>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Es indudable que las medidas tributarias, bien sea en forma de tributo</w:t>
      </w:r>
      <w:r w:rsidRPr="00491C4A">
        <w:rPr>
          <w:rFonts w:ascii="Times New Roman" w:hAnsi="Times New Roman"/>
          <w:sz w:val="28"/>
          <w:szCs w:val="28"/>
        </w:rPr>
        <w:t>s o de beneficios tributarios, en tanto tienen impactos económicos pueden incidir en el goce de la faceta prestacional de algunos derechos, incluido el derecho a un ambiente sano. Sin embargo, de ello no se sigue que todas las modificaciones de una norma t</w:t>
      </w:r>
      <w:r w:rsidRPr="00491C4A">
        <w:rPr>
          <w:rFonts w:ascii="Times New Roman" w:hAnsi="Times New Roman"/>
          <w:sz w:val="28"/>
          <w:szCs w:val="28"/>
        </w:rPr>
        <w:t xml:space="preserve">ributaria que puedan afectar un derecho económico, social, cultural o ambiental resulten inválidas por desconocer el principio de progresividad y no regresividad.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jurisprudencia constitucional ha abordado de manera diferenciada la evaluación del impac</w:t>
      </w:r>
      <w:r w:rsidRPr="00491C4A">
        <w:rPr>
          <w:rFonts w:ascii="Times New Roman" w:hAnsi="Times New Roman"/>
          <w:sz w:val="28"/>
          <w:szCs w:val="28"/>
        </w:rPr>
        <w:t>to en la garantía de la faceta prestacional de los derechos cuando se trata de medidas tributarias, respecto de otro tipo de disposiciones legislativas, según se explicará a continuación. A través del tiempo y en función de la naturaleza de los asuntos ana</w:t>
      </w:r>
      <w:r w:rsidRPr="00491C4A">
        <w:rPr>
          <w:rFonts w:ascii="Times New Roman" w:hAnsi="Times New Roman"/>
          <w:sz w:val="28"/>
          <w:szCs w:val="28"/>
        </w:rPr>
        <w:t>lizados, la jurisprudencia constitucional ha variado el alcance del juicio mediante el cual se evalúa la constitucionalidad de las normas con contenido tributario a la luz del principio de progresividad y no regresividad en materia de DESC.</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Para analizar </w:t>
      </w:r>
      <w:r w:rsidRPr="00491C4A">
        <w:rPr>
          <w:rFonts w:ascii="Times New Roman" w:hAnsi="Times New Roman"/>
          <w:sz w:val="28"/>
          <w:szCs w:val="28"/>
        </w:rPr>
        <w:t xml:space="preserve">la forma en que se ha aplicado dicho test, es preciso agrupar las sentencias en función del tipo de tributo juzgado por la Corte: las que se ocupan de normas que regulan contribuciones y las que conocieron disposiciones que atañen a los impuestos.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Al </w:t>
      </w:r>
      <w:r w:rsidRPr="00491C4A">
        <w:rPr>
          <w:rFonts w:ascii="Times New Roman" w:hAnsi="Times New Roman"/>
          <w:i/>
          <w:iCs/>
          <w:sz w:val="28"/>
          <w:szCs w:val="28"/>
        </w:rPr>
        <w:t>pri</w:t>
      </w:r>
      <w:r w:rsidRPr="00491C4A">
        <w:rPr>
          <w:rFonts w:ascii="Times New Roman" w:hAnsi="Times New Roman"/>
          <w:i/>
          <w:iCs/>
          <w:sz w:val="28"/>
          <w:szCs w:val="28"/>
        </w:rPr>
        <w:t>mer grupo</w:t>
      </w:r>
      <w:r w:rsidRPr="00491C4A">
        <w:rPr>
          <w:rFonts w:ascii="Times New Roman" w:hAnsi="Times New Roman"/>
          <w:sz w:val="28"/>
          <w:szCs w:val="28"/>
        </w:rPr>
        <w:t xml:space="preserve"> pertenecen las Sentencias C-182 de 2010 y C-503 de 2014. En la Sentencia C-182 de 2010, la Corte conoció una demanda promovida contra los artículos 2 y 6 de la Ley 1233 de 2008 mediante los cuales se crean las contribuciones </w:t>
      </w:r>
      <w:r w:rsidRPr="00491C4A">
        <w:rPr>
          <w:rFonts w:ascii="Times New Roman" w:hAnsi="Times New Roman"/>
          <w:sz w:val="28"/>
          <w:szCs w:val="28"/>
        </w:rPr>
        <w:t>parafiscales</w:t>
      </w:r>
      <w:r w:rsidRPr="00491C4A">
        <w:rPr>
          <w:rFonts w:ascii="Times New Roman" w:hAnsi="Times New Roman"/>
          <w:sz w:val="28"/>
          <w:szCs w:val="28"/>
        </w:rPr>
        <w:t xml:space="preserve"> a</w:t>
      </w:r>
      <w:r w:rsidRPr="00491C4A">
        <w:rPr>
          <w:rFonts w:ascii="Times New Roman" w:hAnsi="Times New Roman"/>
          <w:sz w:val="28"/>
          <w:szCs w:val="28"/>
        </w:rPr>
        <w:t xml:space="preserve"> cargo de las Cooperativas y Precooperativas de Trabajo Asociado, con destino al Servicio Nacional de Aprendizaje, Sena, el Instituto Colombiano de Bienestar Familiar, ICBF, y Cajas de Compensación Familiar que se escoja. A juicio de los accionante, las no</w:t>
      </w:r>
      <w:r w:rsidRPr="00491C4A">
        <w:rPr>
          <w:rFonts w:ascii="Times New Roman" w:hAnsi="Times New Roman"/>
          <w:sz w:val="28"/>
          <w:szCs w:val="28"/>
        </w:rPr>
        <w:t>rmas acusadas violaban el principio de no regresividad por cuanto aumentaba el valor de las contribuciones en tanto modificaba la base para su cálculo. Antes de la expedición de las normas demandadas el IBC de los trabajadores asociados se establecía de la</w:t>
      </w:r>
      <w:r w:rsidRPr="00491C4A">
        <w:rPr>
          <w:rFonts w:ascii="Times New Roman" w:hAnsi="Times New Roman"/>
          <w:sz w:val="28"/>
          <w:szCs w:val="28"/>
        </w:rPr>
        <w:t xml:space="preserve"> misma forma que para los trabajadores independientes mediante el sistema de presunción de ingresos, que correspondía al 50% del total del ingreso. Las normas demandadas modificaban el cálculo para incluir en la base de cotización la totalidad de las compe</w:t>
      </w:r>
      <w:r w:rsidRPr="00491C4A">
        <w:rPr>
          <w:rFonts w:ascii="Times New Roman" w:hAnsi="Times New Roman"/>
          <w:sz w:val="28"/>
          <w:szCs w:val="28"/>
        </w:rPr>
        <w:t>nsaciones ordinarias y extraordinarias que reciba el asociado.</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 descartó que la presunción de inconstitucionalidad que se deriva del principio de no regresividad recayera sobre el artículo 6 demandado pues hasta entonces no existía una disposición</w:t>
      </w:r>
      <w:r w:rsidRPr="00491C4A">
        <w:rPr>
          <w:rFonts w:ascii="Times New Roman" w:hAnsi="Times New Roman"/>
          <w:sz w:val="28"/>
          <w:szCs w:val="28"/>
        </w:rPr>
        <w:t xml:space="preserve"> especial de rango legal que creara la obligación en cabeza de las cooperativas, de afiliar a sus trabajadores </w:t>
      </w:r>
      <w:r w:rsidRPr="00491C4A">
        <w:rPr>
          <w:rFonts w:ascii="Times New Roman" w:hAnsi="Times New Roman"/>
          <w:sz w:val="28"/>
          <w:szCs w:val="28"/>
        </w:rPr>
        <w:t>asociados</w:t>
      </w:r>
      <w:r w:rsidRPr="00491C4A">
        <w:rPr>
          <w:rFonts w:ascii="Times New Roman" w:hAnsi="Times New Roman"/>
          <w:sz w:val="28"/>
          <w:szCs w:val="28"/>
        </w:rPr>
        <w:t xml:space="preserve"> al Sistema de Seguridad Social y de pagar la contribución parafiscal regulada en la Ley 1233 de 2008. Así las cosas, para la afiliación</w:t>
      </w:r>
      <w:r w:rsidRPr="00491C4A">
        <w:rPr>
          <w:rFonts w:ascii="Times New Roman" w:hAnsi="Times New Roman"/>
          <w:sz w:val="28"/>
          <w:szCs w:val="28"/>
        </w:rPr>
        <w:t xml:space="preserve"> de asociados a las cooperativas de trabajo se acudía por analogía al sistema previsto para los trabajadores independientes, pero sin que esta práctica fuera ordenada por la ley.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right="20" w:firstLine="0"/>
        <w:jc w:val="both"/>
        <w:rPr>
          <w:rFonts w:ascii="Times New Roman" w:hAnsi="Times New Roman"/>
          <w:iCs/>
          <w:sz w:val="28"/>
          <w:szCs w:val="28"/>
        </w:rPr>
      </w:pPr>
      <w:r w:rsidRPr="00491C4A">
        <w:rPr>
          <w:rFonts w:ascii="Times New Roman" w:hAnsi="Times New Roman"/>
          <w:sz w:val="28"/>
          <w:szCs w:val="28"/>
        </w:rPr>
        <w:t xml:space="preserve">La Corte encontró que, lejos de querer recortar el alcance de los derechos </w:t>
      </w:r>
      <w:r w:rsidRPr="00491C4A">
        <w:rPr>
          <w:rFonts w:ascii="Times New Roman" w:hAnsi="Times New Roman"/>
          <w:sz w:val="28"/>
          <w:szCs w:val="28"/>
        </w:rPr>
        <w:t>sociales de los trabajadores asociados a las cooperativas y precooperativas de trabajo, el verdadero propósito de la norma era asegurar que los asociados a las cooperativas y precooperativas de trabajo asociado tuvieran garantizado el derecho a la segurida</w:t>
      </w:r>
      <w:r w:rsidRPr="00491C4A">
        <w:rPr>
          <w:rFonts w:ascii="Times New Roman" w:hAnsi="Times New Roman"/>
          <w:sz w:val="28"/>
          <w:szCs w:val="28"/>
        </w:rPr>
        <w:t xml:space="preserve">d social. Este derecho, antes de la expedición de la norma acusada, estaba sometido a la voluntad libre de las cooperativas y precooperativas, que podían omitir la afiliación de sus miembros y no pagar la cotización correspondiente, o trasladar esta carga </w:t>
      </w:r>
      <w:r w:rsidRPr="00491C4A">
        <w:rPr>
          <w:rFonts w:ascii="Times New Roman" w:hAnsi="Times New Roman"/>
          <w:sz w:val="28"/>
          <w:szCs w:val="28"/>
        </w:rPr>
        <w:t>al asociado, que entonces cotizaba como ‘trabajador independiente’. En adición, la ley pretendía evitar que las Cooperativas y Precooperativas de Trabajo Asociado fueran utilizadas como asociaciones o agremiaciones para la afiliación colectiva de trabajado</w:t>
      </w:r>
      <w:r w:rsidRPr="00491C4A">
        <w:rPr>
          <w:rFonts w:ascii="Times New Roman" w:hAnsi="Times New Roman"/>
          <w:sz w:val="28"/>
          <w:szCs w:val="28"/>
        </w:rPr>
        <w:t>res independientes al Sistema de Seguridad Social, o como asociaciones mutuales para los mismos efectos. En consecuencia, la Corte declaró exequibles los artículos demandados sin aplicar test de no regresividad.</w:t>
      </w:r>
    </w:p>
    <w:p w:rsidR="004B32AA" w:rsidRPr="00491C4A" w:rsidRDefault="00491C4A" w:rsidP="004B32AA">
      <w:pPr>
        <w:pStyle w:val="Prrafodelista"/>
        <w:rPr>
          <w:rFonts w:ascii="Times New Roman" w:hAnsi="Times New Roman"/>
          <w:i/>
          <w:sz w:val="28"/>
          <w:szCs w:val="28"/>
        </w:rPr>
      </w:pPr>
    </w:p>
    <w:p w:rsidR="004B32AA" w:rsidRPr="00491C4A" w:rsidRDefault="00491C4A" w:rsidP="006911AD">
      <w:pPr>
        <w:pStyle w:val="Prrafodelista"/>
        <w:numPr>
          <w:ilvl w:val="0"/>
          <w:numId w:val="4"/>
        </w:numPr>
        <w:ind w:left="0" w:right="20" w:firstLine="0"/>
        <w:jc w:val="both"/>
        <w:rPr>
          <w:rFonts w:ascii="Times New Roman" w:hAnsi="Times New Roman"/>
          <w:iCs/>
          <w:sz w:val="28"/>
          <w:szCs w:val="28"/>
        </w:rPr>
      </w:pPr>
      <w:r w:rsidRPr="00491C4A">
        <w:rPr>
          <w:rFonts w:ascii="Times New Roman" w:hAnsi="Times New Roman"/>
          <w:sz w:val="28"/>
          <w:szCs w:val="28"/>
        </w:rPr>
        <w:t>En la Sentencia C-503 de 2014, la Corte est</w:t>
      </w:r>
      <w:r w:rsidRPr="00491C4A">
        <w:rPr>
          <w:rFonts w:ascii="Times New Roman" w:hAnsi="Times New Roman"/>
          <w:sz w:val="28"/>
          <w:szCs w:val="28"/>
        </w:rPr>
        <w:t>udió un cargo por la presunta violación del principio de no regresividad por el artículo 3 de la Ley 1276 de 2009. La disposición acusada autorizaba la creación de una estampilla para el bienestar del adulto mayor por parte de las asambleas departamentales</w:t>
      </w:r>
      <w:r w:rsidRPr="00491C4A">
        <w:rPr>
          <w:rFonts w:ascii="Times New Roman" w:hAnsi="Times New Roman"/>
          <w:sz w:val="28"/>
          <w:szCs w:val="28"/>
        </w:rPr>
        <w:t xml:space="preserve"> y los concejos municipales y distritales. Los recursos recaudados se destinarían así: 70% para la financiación de los centros de vida y el 30% para la dotación y el funcionamiento de los Centros de Bienestar del Anciano. Los recursos recaudados por los de</w:t>
      </w:r>
      <w:r w:rsidRPr="00491C4A">
        <w:rPr>
          <w:rFonts w:ascii="Times New Roman" w:hAnsi="Times New Roman"/>
          <w:sz w:val="28"/>
          <w:szCs w:val="28"/>
        </w:rPr>
        <w:t>partamentos se distribuían entre los municipios según la cantidad de adultos mayores en niveles I y II del SISBEN.</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right="20" w:firstLine="0"/>
        <w:jc w:val="both"/>
        <w:rPr>
          <w:rFonts w:ascii="Times New Roman" w:hAnsi="Times New Roman"/>
          <w:sz w:val="28"/>
          <w:szCs w:val="28"/>
        </w:rPr>
      </w:pPr>
      <w:r w:rsidRPr="00491C4A">
        <w:rPr>
          <w:rFonts w:ascii="Times New Roman" w:hAnsi="Times New Roman"/>
          <w:sz w:val="28"/>
          <w:szCs w:val="28"/>
        </w:rPr>
        <w:t>El cargo sostenía que las normas acusadas eran regresivas para el goce de los derechos de las personas de la tercera edad. A juicio del dema</w:t>
      </w:r>
      <w:r w:rsidRPr="00491C4A">
        <w:rPr>
          <w:rFonts w:ascii="Times New Roman" w:hAnsi="Times New Roman"/>
          <w:sz w:val="28"/>
          <w:szCs w:val="28"/>
        </w:rPr>
        <w:t>ndante, los adultos mayores que habitan en los Centros de Bienestar se encuentran en una situación de mayor vulneración de sus derechos y, por lo tanto, el cambio de asignación del porcentaje del valor de la estampilla era una medida regresiva que ponía en</w:t>
      </w:r>
      <w:r w:rsidRPr="00491C4A">
        <w:rPr>
          <w:rFonts w:ascii="Times New Roman" w:hAnsi="Times New Roman"/>
          <w:sz w:val="28"/>
          <w:szCs w:val="28"/>
        </w:rPr>
        <w:t xml:space="preserve"> riesgo la satisfacción de sus derechos. </w:t>
      </w:r>
    </w:p>
    <w:p w:rsidR="004B32AA" w:rsidRPr="00491C4A" w:rsidRDefault="00491C4A" w:rsidP="004B32AA">
      <w:pPr>
        <w:pStyle w:val="Prrafodelista"/>
        <w:rPr>
          <w:rFonts w:ascii="Times New Roman" w:hAnsi="Times New Roman"/>
          <w:i/>
          <w:sz w:val="28"/>
          <w:szCs w:val="28"/>
        </w:rPr>
      </w:pPr>
    </w:p>
    <w:p w:rsidR="004B32AA" w:rsidRPr="00491C4A" w:rsidRDefault="00491C4A" w:rsidP="006911AD">
      <w:pPr>
        <w:pStyle w:val="Prrafodelista"/>
        <w:numPr>
          <w:ilvl w:val="0"/>
          <w:numId w:val="4"/>
        </w:numPr>
        <w:ind w:left="0" w:right="20" w:firstLine="0"/>
        <w:jc w:val="both"/>
        <w:rPr>
          <w:rFonts w:ascii="Times New Roman" w:hAnsi="Times New Roman"/>
          <w:sz w:val="28"/>
          <w:szCs w:val="28"/>
        </w:rPr>
      </w:pPr>
      <w:r w:rsidRPr="00491C4A">
        <w:rPr>
          <w:rFonts w:ascii="Times New Roman" w:hAnsi="Times New Roman"/>
          <w:sz w:val="28"/>
          <w:szCs w:val="28"/>
        </w:rPr>
        <w:t>La Corte estimó que el artículo 3 de la Ley 1276 de 2009 no preveía una medida regresiva en materia de protección de los derechos económicos, sociales y culturales, y</w:t>
      </w:r>
      <w:r w:rsidRPr="00491C4A">
        <w:rPr>
          <w:rFonts w:ascii="Times New Roman" w:hAnsi="Times New Roman"/>
          <w:sz w:val="28"/>
          <w:szCs w:val="28"/>
        </w:rPr>
        <w:t xml:space="preserve"> por tanto, no se presentaba el presupuesto básico del debate constitucional en relación con la violación del principio de progresividad. La creación de los Centros Vida perseguía adoptar un nuevo paradigma de política pública de atención a la vejez no sól</w:t>
      </w:r>
      <w:r w:rsidRPr="00491C4A">
        <w:rPr>
          <w:rFonts w:ascii="Times New Roman" w:hAnsi="Times New Roman"/>
          <w:sz w:val="28"/>
          <w:szCs w:val="28"/>
        </w:rPr>
        <w:t>o dirigida a la satisfacción de las necesidades básicas insatisfechas de las personas de la tercera edad más pobres, sino a la integración social de todos los adultos mayores con énfasis en la población más vulnerable. Del análisis del caso concreto se ext</w:t>
      </w:r>
      <w:r w:rsidRPr="00491C4A">
        <w:rPr>
          <w:rFonts w:ascii="Times New Roman" w:hAnsi="Times New Roman"/>
          <w:sz w:val="28"/>
          <w:szCs w:val="28"/>
        </w:rPr>
        <w:t>rae que el presupuesto para adelantar un test de no regresividad en DESC con ocasión de una medida tributaria es la constatación de que la medida realmente es regresiva, lo que supone realizar una interpretación histórica con el objetivo de identificar una</w:t>
      </w:r>
      <w:r w:rsidRPr="00491C4A">
        <w:rPr>
          <w:rFonts w:ascii="Times New Roman" w:hAnsi="Times New Roman"/>
          <w:sz w:val="28"/>
          <w:szCs w:val="28"/>
        </w:rPr>
        <w:t xml:space="preserve"> disposición legal previa que sirva como parámetro de comparación y los objetivos o propósitos de la disposición examinada.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Ahora bien, en </w:t>
      </w:r>
      <w:r w:rsidRPr="00491C4A">
        <w:rPr>
          <w:rFonts w:ascii="Times New Roman" w:hAnsi="Times New Roman"/>
          <w:i/>
          <w:iCs/>
          <w:sz w:val="28"/>
          <w:szCs w:val="28"/>
        </w:rPr>
        <w:t>el segundo grupo</w:t>
      </w:r>
      <w:r w:rsidRPr="00491C4A">
        <w:rPr>
          <w:rFonts w:ascii="Times New Roman" w:hAnsi="Times New Roman"/>
          <w:sz w:val="28"/>
          <w:szCs w:val="28"/>
        </w:rPr>
        <w:t>, se cuentan las sentencias C-492 de 2015, C-209 de 2016 y C-117 de 2018 mediante las cuales la Cor</w:t>
      </w:r>
      <w:r w:rsidRPr="00491C4A">
        <w:rPr>
          <w:rFonts w:ascii="Times New Roman" w:hAnsi="Times New Roman"/>
          <w:sz w:val="28"/>
          <w:szCs w:val="28"/>
        </w:rPr>
        <w:t>te resolvió cargos por la presunta violación del principio de no regresividad por normas que regulaban impuestos.  En la Sentencia C-492 de 2015, la Corte analizó la constitucionalidad del artículo 10 de la Ley 1607 de 2012, entre otros.  En este caso la C</w:t>
      </w:r>
      <w:r w:rsidRPr="00491C4A">
        <w:rPr>
          <w:rFonts w:ascii="Times New Roman" w:hAnsi="Times New Roman"/>
          <w:sz w:val="28"/>
          <w:szCs w:val="28"/>
        </w:rPr>
        <w:t>orte analizó el impacto de las medidas tributarias en la protección del mínimo vital a la luz del principio de no regresividad. La Corte estimó que el principio de progresividad y no regresividad es una limitación a la potestad de la facultad impositiva qu</w:t>
      </w:r>
      <w:r w:rsidRPr="00491C4A">
        <w:rPr>
          <w:rFonts w:ascii="Times New Roman" w:hAnsi="Times New Roman"/>
          <w:sz w:val="28"/>
          <w:szCs w:val="28"/>
        </w:rPr>
        <w:t xml:space="preserve">e trasciende el ámbito estrictamente fiscal. Indicó, sin embargo, que </w:t>
      </w:r>
      <w:r w:rsidRPr="00491C4A">
        <w:rPr>
          <w:rFonts w:ascii="Times New Roman" w:hAnsi="Times New Roman"/>
          <w:i/>
          <w:iCs/>
          <w:sz w:val="28"/>
          <w:szCs w:val="28"/>
        </w:rPr>
        <w:t>“Un tributo o el sistema tributario pueden entonces ser reformados, para ampliar los gravámenes en sus componentes subjetivos u objetivos y así conseguir un mayor recaudo, sin que esto p</w:t>
      </w:r>
      <w:r w:rsidRPr="00491C4A">
        <w:rPr>
          <w:rFonts w:ascii="Times New Roman" w:hAnsi="Times New Roman"/>
          <w:i/>
          <w:iCs/>
          <w:sz w:val="28"/>
          <w:szCs w:val="28"/>
        </w:rPr>
        <w:t>or sí mismo sea suficiente para presumir su inconstitucionalidad, o siquiera para juzgar la medida como prima facie regresiva en derechos económicos, sociales y culturales, aun cuando suponga una exacción mayor o una más eficaz detracción para el contribuy</w:t>
      </w:r>
      <w:r w:rsidRPr="00491C4A">
        <w:rPr>
          <w:rFonts w:ascii="Times New Roman" w:hAnsi="Times New Roman"/>
          <w:i/>
          <w:iCs/>
          <w:sz w:val="28"/>
          <w:szCs w:val="28"/>
        </w:rPr>
        <w:t>ente.”</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Así, expresó que, para determinar si la norma que regula un elemento de un impuesto desconoce el principio de no regresividad en materia de DESC se deben verificar tres puntos: </w:t>
      </w:r>
      <w:r w:rsidRPr="00491C4A">
        <w:rPr>
          <w:rFonts w:ascii="Times New Roman" w:hAnsi="Times New Roman"/>
          <w:i/>
          <w:iCs/>
          <w:sz w:val="28"/>
          <w:szCs w:val="28"/>
        </w:rPr>
        <w:t>(i)</w:t>
      </w:r>
      <w:r w:rsidRPr="00491C4A">
        <w:rPr>
          <w:rFonts w:ascii="Times New Roman" w:hAnsi="Times New Roman"/>
          <w:sz w:val="28"/>
          <w:szCs w:val="28"/>
        </w:rPr>
        <w:t xml:space="preserve"> si la institución tributaria había estado históricamente orientada </w:t>
      </w:r>
      <w:r w:rsidRPr="00491C4A">
        <w:rPr>
          <w:rFonts w:ascii="Times New Roman" w:hAnsi="Times New Roman"/>
          <w:sz w:val="28"/>
          <w:szCs w:val="28"/>
        </w:rPr>
        <w:t xml:space="preserve">a salvaguardar o garantizar necesidades básicas del ser humano y esta protección se reduce o desmonta; </w:t>
      </w:r>
      <w:r w:rsidRPr="00491C4A">
        <w:rPr>
          <w:rFonts w:ascii="Times New Roman" w:hAnsi="Times New Roman"/>
          <w:i/>
          <w:iCs/>
          <w:sz w:val="28"/>
          <w:szCs w:val="28"/>
        </w:rPr>
        <w:t>(ii)</w:t>
      </w:r>
      <w:r w:rsidRPr="00491C4A">
        <w:rPr>
          <w:rFonts w:ascii="Times New Roman" w:hAnsi="Times New Roman"/>
          <w:sz w:val="28"/>
          <w:szCs w:val="28"/>
        </w:rPr>
        <w:t xml:space="preserve"> si la reforma legislativa contó con un mínimo de deliberación en el Congreso; y </w:t>
      </w:r>
      <w:r w:rsidRPr="00491C4A">
        <w:rPr>
          <w:rFonts w:ascii="Times New Roman" w:hAnsi="Times New Roman"/>
          <w:i/>
          <w:iCs/>
          <w:sz w:val="28"/>
          <w:szCs w:val="28"/>
        </w:rPr>
        <w:t>(iii)</w:t>
      </w:r>
      <w:r w:rsidRPr="00491C4A">
        <w:rPr>
          <w:rFonts w:ascii="Times New Roman" w:hAnsi="Times New Roman"/>
          <w:sz w:val="28"/>
          <w:szCs w:val="28"/>
        </w:rPr>
        <w:t xml:space="preserve"> si está justificada.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 constató que la medida era reg</w:t>
      </w:r>
      <w:r w:rsidRPr="00491C4A">
        <w:rPr>
          <w:rFonts w:ascii="Times New Roman" w:hAnsi="Times New Roman"/>
          <w:sz w:val="28"/>
          <w:szCs w:val="28"/>
        </w:rPr>
        <w:t>resiva pues tocaba una exención tributaria asociada institucionalmente a la garantía del mínimo vital de las personas naturales. La Corte estimó que la reforma interfería en el goce efectivo del mínimo vital de un grupo relevante de contribuyentes con nive</w:t>
      </w:r>
      <w:r w:rsidRPr="00491C4A">
        <w:rPr>
          <w:rFonts w:ascii="Times New Roman" w:hAnsi="Times New Roman"/>
          <w:sz w:val="28"/>
          <w:szCs w:val="28"/>
        </w:rPr>
        <w:t xml:space="preserve">les medios de renta, lo cual implicaba por tanto un retroceso. Esto por cuanto el IMAN neutralizaba para ellos la eficacia de una exención cuyo fundamento ha sido proteger el mínimo vital. La Corte indicó que </w:t>
      </w:r>
      <w:r w:rsidRPr="00491C4A">
        <w:rPr>
          <w:rFonts w:ascii="Times New Roman" w:hAnsi="Times New Roman"/>
          <w:i/>
          <w:iCs/>
          <w:sz w:val="28"/>
          <w:szCs w:val="28"/>
        </w:rPr>
        <w:t>“lo relevante a la luz del principio de no regr</w:t>
      </w:r>
      <w:r w:rsidRPr="00491C4A">
        <w:rPr>
          <w:rFonts w:ascii="Times New Roman" w:hAnsi="Times New Roman"/>
          <w:i/>
          <w:iCs/>
          <w:sz w:val="28"/>
          <w:szCs w:val="28"/>
        </w:rPr>
        <w:t>esividad en derechos sociales es que la controlada es una reforma con vocación universal, la cual en principio está llamada a reducir las aminoraciones del impuesto sobre la renta, y entre ellas la exención del artículo 206-10 del Estatuto, incluso a quien</w:t>
      </w:r>
      <w:r w:rsidRPr="00491C4A">
        <w:rPr>
          <w:rFonts w:ascii="Times New Roman" w:hAnsi="Times New Roman"/>
          <w:i/>
          <w:iCs/>
          <w:sz w:val="28"/>
          <w:szCs w:val="28"/>
        </w:rPr>
        <w:t>es tienen un nivel medio de renta y están envueltos en procesos de gasto o inversión en bienes fundamentales (como vivienda, educación o salud).”</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Visto lo anterior, la Corte procedió a constatar si la reforma había contado con un mínimo de deliberación en</w:t>
      </w:r>
      <w:r w:rsidRPr="00491C4A">
        <w:rPr>
          <w:rFonts w:ascii="Times New Roman" w:hAnsi="Times New Roman"/>
          <w:sz w:val="28"/>
          <w:szCs w:val="28"/>
        </w:rPr>
        <w:t xml:space="preserve"> el Congreso y concluyó ese análisis de forma negativa. La Corte expresó que </w:t>
      </w:r>
      <w:r w:rsidRPr="00491C4A">
        <w:rPr>
          <w:rFonts w:ascii="Times New Roman" w:hAnsi="Times New Roman"/>
          <w:i/>
          <w:iCs/>
          <w:sz w:val="28"/>
          <w:szCs w:val="28"/>
        </w:rPr>
        <w:t>“el legislador puede, dentro del marco constitucional, reformar el impuesto de renta de tal suerte que su liquidación se efectúa sin aplicar esta exención sobre un porcentaje de r</w:t>
      </w:r>
      <w:r w:rsidRPr="00491C4A">
        <w:rPr>
          <w:rFonts w:ascii="Times New Roman" w:hAnsi="Times New Roman"/>
          <w:i/>
          <w:iCs/>
          <w:sz w:val="28"/>
          <w:szCs w:val="28"/>
        </w:rPr>
        <w:t xml:space="preserve">entas de trabajo. No obstante, por su vínculo institucional con necesidades humanas básicas, y su potencial y, en este caso, previsible impacto sobre proyecciones y ejecutorias efectivas e gastos e inversiones en bienes fundamentales, debe estar precedida </w:t>
      </w:r>
      <w:r w:rsidRPr="00491C4A">
        <w:rPr>
          <w:rFonts w:ascii="Times New Roman" w:hAnsi="Times New Roman"/>
          <w:i/>
          <w:iCs/>
          <w:sz w:val="28"/>
          <w:szCs w:val="28"/>
        </w:rPr>
        <w:t xml:space="preserve">de un mínimo de deliberación democrática específica y suficiente en el seno del Congreso, sobre la justificación constitucional de la medida.” </w:t>
      </w:r>
      <w:r w:rsidRPr="00491C4A">
        <w:rPr>
          <w:rFonts w:ascii="Times New Roman" w:hAnsi="Times New Roman"/>
          <w:sz w:val="28"/>
          <w:szCs w:val="28"/>
        </w:rPr>
        <w:t>Por lo tanto, la norma debía ser retirada del ordenamiento.</w:t>
      </w:r>
    </w:p>
    <w:p w:rsidR="004B32AA" w:rsidRPr="00491C4A" w:rsidRDefault="00491C4A" w:rsidP="004B32AA">
      <w:pPr>
        <w:pStyle w:val="Prrafodelista"/>
        <w:rPr>
          <w:rFonts w:ascii="Times New Roman" w:hAnsi="Times New Roman"/>
          <w:iCs/>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iCs/>
          <w:sz w:val="28"/>
          <w:szCs w:val="28"/>
        </w:rPr>
        <w:t>Para remediar la inconstitucionalidad constatada, la</w:t>
      </w:r>
      <w:r w:rsidRPr="00491C4A">
        <w:rPr>
          <w:rFonts w:ascii="Times New Roman" w:hAnsi="Times New Roman"/>
          <w:iCs/>
          <w:sz w:val="28"/>
          <w:szCs w:val="28"/>
        </w:rPr>
        <w:t xml:space="preserve"> Corte declaró </w:t>
      </w:r>
      <w:r w:rsidRPr="00491C4A">
        <w:rPr>
          <w:rFonts w:ascii="Times New Roman" w:hAnsi="Times New Roman"/>
          <w:bCs/>
          <w:iCs/>
          <w:sz w:val="28"/>
          <w:szCs w:val="28"/>
        </w:rPr>
        <w:t xml:space="preserve">exequible </w:t>
      </w:r>
      <w:r w:rsidRPr="00491C4A">
        <w:rPr>
          <w:rFonts w:ascii="Times New Roman" w:hAnsi="Times New Roman"/>
          <w:iCs/>
          <w:sz w:val="28"/>
          <w:szCs w:val="28"/>
        </w:rPr>
        <w:t xml:space="preserve">el artículo 10 (integral) demandado </w:t>
      </w:r>
      <w:r w:rsidRPr="00491C4A">
        <w:rPr>
          <w:rFonts w:ascii="Times New Roman" w:hAnsi="Times New Roman"/>
          <w:i/>
          <w:sz w:val="28"/>
          <w:szCs w:val="28"/>
        </w:rPr>
        <w:t>“en el entendido de que a partir del periodo gravable siguiente a aquel en que se expide este fallo, el cálculo de la renta gravable alternativa para empleados, obtenida en virtud de los sistemas</w:t>
      </w:r>
      <w:r w:rsidRPr="00491C4A">
        <w:rPr>
          <w:rFonts w:ascii="Times New Roman" w:hAnsi="Times New Roman"/>
          <w:i/>
          <w:sz w:val="28"/>
          <w:szCs w:val="28"/>
        </w:rPr>
        <w:t xml:space="preserve"> IMAN e IMAS-PE, debe permitir la sustracción de las rentas de trabajo exentas, en los términos previstos por el artículo 206-10, primera frase, del Estatuto Tributario, una vez se detraigan del valor total de los pagos laborales recibidos por el trabajado</w:t>
      </w:r>
      <w:r w:rsidRPr="00491C4A">
        <w:rPr>
          <w:rFonts w:ascii="Times New Roman" w:hAnsi="Times New Roman"/>
          <w:i/>
          <w:sz w:val="28"/>
          <w:szCs w:val="28"/>
        </w:rPr>
        <w:t>r, los conceptos permitidos por el artículo 332 del Estatuto.”</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precedente sentado en la Sentencia C-492 de 2015 fue reiterado en la </w:t>
      </w:r>
      <w:r w:rsidRPr="00491C4A">
        <w:rPr>
          <w:rFonts w:ascii="Times New Roman" w:hAnsi="Times New Roman"/>
          <w:sz w:val="28"/>
          <w:szCs w:val="28"/>
        </w:rPr>
        <w:t>S</w:t>
      </w:r>
      <w:r w:rsidRPr="00491C4A">
        <w:rPr>
          <w:rFonts w:ascii="Times New Roman" w:hAnsi="Times New Roman"/>
          <w:sz w:val="28"/>
          <w:szCs w:val="28"/>
        </w:rPr>
        <w:t xml:space="preserve">entencia C-209 de 2016. En esta última, la Corte analizó la constitucionalidad del artículo 71 de la Ley 1607 de 2012, </w:t>
      </w:r>
      <w:r w:rsidRPr="00491C4A">
        <w:rPr>
          <w:rFonts w:ascii="Times New Roman" w:hAnsi="Times New Roman"/>
          <w:sz w:val="28"/>
          <w:szCs w:val="28"/>
        </w:rPr>
        <w:t xml:space="preserve">que omitió contemplar entre las exenciones al impuesto al consumo, a los servicios de alimentación contratados por el Estado destinados a instituciones de asistencia social. La Corte insistió en la regla según la cual </w:t>
      </w:r>
      <w:r w:rsidRPr="00491C4A">
        <w:rPr>
          <w:rFonts w:ascii="Times New Roman" w:hAnsi="Times New Roman"/>
          <w:i/>
          <w:iCs/>
          <w:sz w:val="28"/>
          <w:szCs w:val="28"/>
        </w:rPr>
        <w:t xml:space="preserve">“cuando en ejercicio del poder fiscal </w:t>
      </w:r>
      <w:r w:rsidRPr="00491C4A">
        <w:rPr>
          <w:rFonts w:ascii="Times New Roman" w:hAnsi="Times New Roman"/>
          <w:i/>
          <w:iCs/>
          <w:sz w:val="28"/>
          <w:szCs w:val="28"/>
        </w:rPr>
        <w:t xml:space="preserve">sea regulado históricamente una institución tributaria con el fin de garantizar necesidades básicas de las personas, como la alimentación, la educación, la salud y la vivienda, toda reforma que pretenda desmontar o reducirla en sus alcances protectores de </w:t>
      </w:r>
      <w:r w:rsidRPr="00491C4A">
        <w:rPr>
          <w:rFonts w:ascii="Times New Roman" w:hAnsi="Times New Roman"/>
          <w:i/>
          <w:iCs/>
          <w:sz w:val="28"/>
          <w:szCs w:val="28"/>
        </w:rPr>
        <w:t>los derechos sociales debe reunir dos condiciones indispensables para ajustarse a la Constitución: i) tener un mínimo de deliberación democrática específica en el Congreso (…); y ii) exponer argumentos que justifiquen de forma suficiente la regresión.”</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w:t>
      </w:r>
      <w:r w:rsidRPr="00491C4A">
        <w:rPr>
          <w:rFonts w:ascii="Times New Roman" w:hAnsi="Times New Roman"/>
          <w:sz w:val="28"/>
          <w:szCs w:val="28"/>
        </w:rPr>
        <w:t xml:space="preserve"> Corte encontró que la medida estudiada era regresiva porque se comprobó que la exclusión sí existía previamente y su modificación desconocía </w:t>
      </w:r>
      <w:r w:rsidRPr="00491C4A">
        <w:rPr>
          <w:rFonts w:ascii="Times New Roman" w:hAnsi="Times New Roman"/>
          <w:i/>
          <w:iCs/>
          <w:sz w:val="28"/>
          <w:szCs w:val="28"/>
        </w:rPr>
        <w:t>“la filosofía que inspira la forma organizativa del Estado social de derecho, particularmente la efectividad de lo</w:t>
      </w:r>
      <w:r w:rsidRPr="00491C4A">
        <w:rPr>
          <w:rFonts w:ascii="Times New Roman" w:hAnsi="Times New Roman"/>
          <w:i/>
          <w:iCs/>
          <w:sz w:val="28"/>
          <w:szCs w:val="28"/>
        </w:rPr>
        <w:t>s principios y derechos como la alimentación y el mínimo vital de la población vulnerable, el principio de progresividad de los derechos sociales, así como los principios de igualdad, equidad y justicia del sistema tributario, toda vez que el impuesto naci</w:t>
      </w:r>
      <w:r w:rsidRPr="00491C4A">
        <w:rPr>
          <w:rFonts w:ascii="Times New Roman" w:hAnsi="Times New Roman"/>
          <w:i/>
          <w:iCs/>
          <w:sz w:val="28"/>
          <w:szCs w:val="28"/>
        </w:rPr>
        <w:t>onal al consumo gravó indiscriminadamente los servicios de alimentación bajo contrato, sin excluir expresamente ciertos sectores vulnerables de la población. Tampoco se halla dentro del debate de la Ley 1607 de 2012 motivo válido suficiente para que el Con</w:t>
      </w:r>
      <w:r w:rsidRPr="00491C4A">
        <w:rPr>
          <w:rFonts w:ascii="Times New Roman" w:hAnsi="Times New Roman"/>
          <w:i/>
          <w:iCs/>
          <w:sz w:val="28"/>
          <w:szCs w:val="28"/>
        </w:rPr>
        <w:t>greso no hubiere excepcionado del impuesto al consumo a los demás sujetos sin capacidad contributiva.”</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Finalmente, en la Sentencia C-117 de 2018 la Sala Plena realizó un análisis combinado de la progresividad y equidad del sistema tributario junto con la </w:t>
      </w:r>
      <w:r w:rsidRPr="00491C4A">
        <w:rPr>
          <w:rFonts w:ascii="Times New Roman" w:hAnsi="Times New Roman"/>
          <w:sz w:val="28"/>
          <w:szCs w:val="28"/>
        </w:rPr>
        <w:t xml:space="preserve">prohibición de regresividad de la faceta prestacional de los derechos. En esta sentencia, la Corte decidió una demanda de inconstitucionalidad promovida contra el artículo 185 de la </w:t>
      </w:r>
      <w:r w:rsidRPr="00491C4A">
        <w:rPr>
          <w:rFonts w:ascii="Times New Roman" w:hAnsi="Times New Roman"/>
          <w:iCs/>
          <w:sz w:val="28"/>
          <w:szCs w:val="28"/>
        </w:rPr>
        <w:t>Ley 1819 de 2016 que gravaba con IVA en tarifa del 5% las compresas y tamp</w:t>
      </w:r>
      <w:r w:rsidRPr="00491C4A">
        <w:rPr>
          <w:rFonts w:ascii="Times New Roman" w:hAnsi="Times New Roman"/>
          <w:iCs/>
          <w:sz w:val="28"/>
          <w:szCs w:val="28"/>
        </w:rPr>
        <w:t>ones higiénicos.</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Corte determinó que </w:t>
      </w:r>
      <w:r w:rsidRPr="00491C4A">
        <w:rPr>
          <w:rFonts w:ascii="Times New Roman" w:hAnsi="Times New Roman"/>
          <w:i/>
          <w:sz w:val="28"/>
          <w:szCs w:val="28"/>
        </w:rPr>
        <w:t>“el Legislador está legitimado para gravar todo tipo de bienes y servicios, inclusive aquellos de primera necesidad como los relativos a la salud, es decir, no tiene una obligación de excluirlos del impuesto sobre l</w:t>
      </w:r>
      <w:r w:rsidRPr="00491C4A">
        <w:rPr>
          <w:rFonts w:ascii="Times New Roman" w:hAnsi="Times New Roman"/>
          <w:i/>
          <w:sz w:val="28"/>
          <w:szCs w:val="28"/>
        </w:rPr>
        <w:t>as ventas o gravarlos con una tarifa de 0%. La validez de tal decisión debe verificarse al menos desde dos criterios: (i) el contexto en el cual se da, ya que no se permite gravar bienes que antes estaban desgravados si se hace de forma indiscriminada, sin</w:t>
      </w:r>
      <w:r w:rsidRPr="00491C4A">
        <w:rPr>
          <w:rFonts w:ascii="Times New Roman" w:hAnsi="Times New Roman"/>
          <w:i/>
          <w:sz w:val="28"/>
          <w:szCs w:val="28"/>
        </w:rPr>
        <w:t xml:space="preserve"> el mínimo de deliberación pública y sin atención al impacto de esa determinación respecto al sistema y al mínimo vital con fundamento en el respeto a la igualdad real y efectiva. Igualmente, debe constatar (ii) la existencia de políticas públicas </w:t>
      </w:r>
      <w:r w:rsidRPr="00491C4A">
        <w:rPr>
          <w:rFonts w:ascii="Times New Roman" w:hAnsi="Times New Roman"/>
          <w:i/>
          <w:sz w:val="28"/>
          <w:szCs w:val="28"/>
          <w:lang w:eastAsia="en-US"/>
        </w:rPr>
        <w:t>efectiva</w:t>
      </w:r>
      <w:r w:rsidRPr="00491C4A">
        <w:rPr>
          <w:rFonts w:ascii="Times New Roman" w:hAnsi="Times New Roman"/>
          <w:i/>
          <w:sz w:val="28"/>
          <w:szCs w:val="28"/>
          <w:lang w:eastAsia="en-US"/>
        </w:rPr>
        <w:t>s que compensen la afectación al mínimo vital de las personas que, debido a su condición económica, enfrentarían dificultades o se verían en imposibilidad de acceder a los mismos a causa del mayor valor que deben pagar por ellos a causa del impuesto.”</w:t>
      </w:r>
    </w:p>
    <w:p w:rsidR="004B32AA" w:rsidRPr="00491C4A" w:rsidRDefault="00491C4A" w:rsidP="004B32AA">
      <w:pPr>
        <w:pStyle w:val="Prrafodelista"/>
        <w:rPr>
          <w:rFonts w:ascii="Times New Roman" w:hAnsi="Times New Roman"/>
          <w:iCs/>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iCs/>
          <w:sz w:val="28"/>
          <w:szCs w:val="28"/>
        </w:rPr>
        <w:t xml:space="preserve">En </w:t>
      </w:r>
      <w:r w:rsidRPr="00491C4A">
        <w:rPr>
          <w:rFonts w:ascii="Times New Roman" w:hAnsi="Times New Roman"/>
          <w:iCs/>
          <w:sz w:val="28"/>
          <w:szCs w:val="28"/>
        </w:rPr>
        <w:t>el caso concreto, la Corte declaró inexequible la adopción de la medida y la consecuente decisión de no excluir estos bienes del impuesto ni gravarlos con la tarifa de 0%. Estimó que, aunque las compresas y tampones higiénicos no estaban gravados con la ta</w:t>
      </w:r>
      <w:r w:rsidRPr="00491C4A">
        <w:rPr>
          <w:rFonts w:ascii="Times New Roman" w:hAnsi="Times New Roman"/>
          <w:iCs/>
          <w:sz w:val="28"/>
          <w:szCs w:val="28"/>
        </w:rPr>
        <w:t xml:space="preserve">rifa general del 19% y eso tenía un impacto relativamente positivo respecto a la carga tributaria que impone en relación con la situación previa: </w:t>
      </w:r>
      <w:r w:rsidRPr="00491C4A">
        <w:rPr>
          <w:rFonts w:ascii="Times New Roman" w:hAnsi="Times New Roman"/>
          <w:i/>
          <w:sz w:val="28"/>
          <w:szCs w:val="28"/>
        </w:rPr>
        <w:t>(i)</w:t>
      </w:r>
      <w:r w:rsidRPr="00491C4A">
        <w:rPr>
          <w:rFonts w:ascii="Times New Roman" w:hAnsi="Times New Roman"/>
          <w:iCs/>
          <w:sz w:val="28"/>
          <w:szCs w:val="28"/>
        </w:rPr>
        <w:t xml:space="preserve"> la medida acusada no atendió un mínimo de deliberación acerca de si mantener el gravamen con la tarifa más</w:t>
      </w:r>
      <w:r w:rsidRPr="00491C4A">
        <w:rPr>
          <w:rFonts w:ascii="Times New Roman" w:hAnsi="Times New Roman"/>
          <w:iCs/>
          <w:sz w:val="28"/>
          <w:szCs w:val="28"/>
        </w:rPr>
        <w:t xml:space="preserve"> baja tenía consecuencias para la igualdad material de las mujeres en edad fértil y, en particular, para aquellas de escasos recursos o vulnerables; y </w:t>
      </w:r>
      <w:r w:rsidRPr="00491C4A">
        <w:rPr>
          <w:rFonts w:ascii="Times New Roman" w:hAnsi="Times New Roman"/>
          <w:i/>
          <w:sz w:val="28"/>
          <w:szCs w:val="28"/>
        </w:rPr>
        <w:t>(ii)</w:t>
      </w:r>
      <w:r w:rsidRPr="00491C4A">
        <w:rPr>
          <w:rFonts w:ascii="Times New Roman" w:hAnsi="Times New Roman"/>
          <w:iCs/>
          <w:sz w:val="28"/>
          <w:szCs w:val="28"/>
        </w:rPr>
        <w:t xml:space="preserve"> no existía una política pública que compensara la afectación a los derechos a la dignidad, a la igua</w:t>
      </w:r>
      <w:r w:rsidRPr="00491C4A">
        <w:rPr>
          <w:rFonts w:ascii="Times New Roman" w:hAnsi="Times New Roman"/>
          <w:iCs/>
          <w:sz w:val="28"/>
          <w:szCs w:val="28"/>
        </w:rPr>
        <w:t>ldad, a la salud, al trabajo, a la educación y a la participación para estos sujetos.</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bookmarkStart w:id="39" w:name="_Hlk200747729"/>
      <w:r w:rsidRPr="00491C4A">
        <w:rPr>
          <w:rFonts w:ascii="Times New Roman" w:hAnsi="Times New Roman"/>
          <w:sz w:val="28"/>
          <w:szCs w:val="28"/>
        </w:rPr>
        <w:t xml:space="preserve">El análisis de la jurisprudencia referenciada permite concluir que, aunque la Corte ha utilizado metodologías diferentes para abordar este tipo de problemas en función </w:t>
      </w:r>
      <w:r w:rsidRPr="00491C4A">
        <w:rPr>
          <w:rFonts w:ascii="Times New Roman" w:hAnsi="Times New Roman"/>
          <w:sz w:val="28"/>
          <w:szCs w:val="28"/>
        </w:rPr>
        <w:t>de si se trata de contribuciones e impuestos, lo cierto es que en uno y otro caso el primer paso ha consistido en establecer si la medida acusada puede ser calificada como regresiva. La Corte ha concluido que el aumento de la carga impositiva no implica ne</w:t>
      </w:r>
      <w:r w:rsidRPr="00491C4A">
        <w:rPr>
          <w:rFonts w:ascii="Times New Roman" w:hAnsi="Times New Roman"/>
          <w:sz w:val="28"/>
          <w:szCs w:val="28"/>
        </w:rPr>
        <w:t>cesariamente la existencia de una medida regresiva y la consecuente violación del principio de progresividad y no regresividad en materia de DESC. La regresividad se ha analizado valorando el contexto histórico legislativo, los propósitos buscados y la efe</w:t>
      </w:r>
      <w:r w:rsidRPr="00491C4A">
        <w:rPr>
          <w:rFonts w:ascii="Times New Roman" w:hAnsi="Times New Roman"/>
          <w:sz w:val="28"/>
          <w:szCs w:val="28"/>
        </w:rPr>
        <w:t>ctividad de los mandatos constitucionales que se consideran afectados.</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cuando la Corte ha analizado el aumento de cargas impositivas en contribuciones ha arribado a la conclusión de que las medidas no resultan regresivas si persiguen la realización d</w:t>
      </w:r>
      <w:r w:rsidRPr="00491C4A">
        <w:rPr>
          <w:rFonts w:ascii="Times New Roman" w:hAnsi="Times New Roman"/>
          <w:sz w:val="28"/>
          <w:szCs w:val="28"/>
        </w:rPr>
        <w:t>e un DESC, que puede ser incluso el mismo que se acusa reversado. En tratándose de impuestos, esta constatación no es posible debido precisamente al carácter unilateral y no retributivo de los impuestos por oposición a las contribuciones. Cuando la Corte h</w:t>
      </w:r>
      <w:r w:rsidRPr="00491C4A">
        <w:rPr>
          <w:rFonts w:ascii="Times New Roman" w:hAnsi="Times New Roman"/>
          <w:sz w:val="28"/>
          <w:szCs w:val="28"/>
        </w:rPr>
        <w:t>a encontrado demostrado el carácter regresivo de la medida juzgada</w:t>
      </w:r>
      <w:r w:rsidRPr="00491C4A">
        <w:rPr>
          <w:rFonts w:ascii="Times New Roman" w:hAnsi="Times New Roman"/>
          <w:sz w:val="28"/>
          <w:szCs w:val="28"/>
        </w:rPr>
        <w:t>,</w:t>
      </w:r>
      <w:r w:rsidRPr="00491C4A">
        <w:rPr>
          <w:rFonts w:ascii="Times New Roman" w:hAnsi="Times New Roman"/>
          <w:sz w:val="28"/>
          <w:szCs w:val="28"/>
        </w:rPr>
        <w:t xml:space="preserve"> ha incluido en el análisis de constitucionalidad elementos adicionales a los que tradicionalmente caracterizan el test de no regresividad en materia de DESC. En particular, ha evaluado si </w:t>
      </w:r>
      <w:r w:rsidRPr="00491C4A">
        <w:rPr>
          <w:rFonts w:ascii="Times New Roman" w:hAnsi="Times New Roman"/>
          <w:sz w:val="28"/>
          <w:szCs w:val="28"/>
        </w:rPr>
        <w:t xml:space="preserve">existió un mínimo de deliberación democrática específica en el Congreso sobre la medida, si esta se encuentra justificada y si existen políticas o medidas efectivas que compensen la afectación del derecho cuya protección ha sido reversada. </w:t>
      </w:r>
    </w:p>
    <w:bookmarkEnd w:id="39"/>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4B32AA">
      <w:pPr>
        <w:pStyle w:val="Prrafodelista"/>
        <w:ind w:left="0"/>
        <w:rPr>
          <w:rFonts w:ascii="Times New Roman" w:hAnsi="Times New Roman"/>
          <w:sz w:val="28"/>
          <w:szCs w:val="28"/>
        </w:rPr>
      </w:pPr>
    </w:p>
    <w:p w:rsidR="004B32AA" w:rsidRPr="00491C4A" w:rsidRDefault="00491C4A" w:rsidP="00BF00EC">
      <w:pPr>
        <w:pStyle w:val="Ttulo2"/>
        <w:numPr>
          <w:ilvl w:val="0"/>
          <w:numId w:val="7"/>
        </w:numPr>
        <w:spacing w:before="0" w:after="0"/>
        <w:ind w:left="708" w:hanging="708"/>
        <w:jc w:val="both"/>
        <w:rPr>
          <w:rFonts w:ascii="Times New Roman" w:hAnsi="Times New Roman"/>
          <w:b/>
          <w:bCs/>
          <w:color w:val="auto"/>
          <w:sz w:val="28"/>
          <w:szCs w:val="28"/>
          <w:u w:val="single"/>
        </w:rPr>
      </w:pPr>
      <w:bookmarkStart w:id="40" w:name="_Toc200753673"/>
      <w:r w:rsidRPr="00491C4A">
        <w:rPr>
          <w:rFonts w:ascii="Times New Roman" w:hAnsi="Times New Roman"/>
          <w:b/>
          <w:bCs/>
          <w:color w:val="auto"/>
          <w:sz w:val="28"/>
          <w:szCs w:val="28"/>
        </w:rPr>
        <w:t>El derecho al</w:t>
      </w:r>
      <w:r w:rsidRPr="00491C4A">
        <w:rPr>
          <w:rFonts w:ascii="Times New Roman" w:hAnsi="Times New Roman"/>
          <w:b/>
          <w:bCs/>
          <w:color w:val="auto"/>
          <w:sz w:val="28"/>
          <w:szCs w:val="28"/>
        </w:rPr>
        <w:t xml:space="preserve"> ambiente sano y </w:t>
      </w:r>
      <w:r w:rsidRPr="00491C4A">
        <w:rPr>
          <w:rFonts w:ascii="Times New Roman" w:hAnsi="Times New Roman"/>
          <w:b/>
          <w:bCs/>
          <w:color w:val="auto"/>
          <w:sz w:val="28"/>
          <w:szCs w:val="28"/>
        </w:rPr>
        <w:t>los compromisos de mitigación del cambio climático</w:t>
      </w:r>
      <w:bookmarkEnd w:id="40"/>
      <w:r w:rsidRPr="00491C4A">
        <w:rPr>
          <w:rFonts w:ascii="Times New Roman" w:hAnsi="Times New Roman"/>
          <w:b/>
          <w:bCs/>
          <w:color w:val="auto"/>
          <w:sz w:val="28"/>
          <w:szCs w:val="28"/>
          <w:u w:val="single"/>
        </w:rPr>
        <w:t xml:space="preserve"> </w:t>
      </w:r>
    </w:p>
    <w:p w:rsidR="004B32AA" w:rsidRPr="00491C4A" w:rsidRDefault="00491C4A" w:rsidP="004B32AA">
      <w:pPr>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artículo 79 de la Constitución reconoce que “</w:t>
      </w:r>
      <w:r w:rsidRPr="00491C4A">
        <w:rPr>
          <w:rFonts w:ascii="Times New Roman" w:hAnsi="Times New Roman"/>
          <w:i/>
          <w:iCs/>
          <w:sz w:val="28"/>
          <w:szCs w:val="28"/>
        </w:rPr>
        <w:t>todas las personas tienen derecho a gozar de un ambiente sano</w:t>
      </w:r>
      <w:r w:rsidRPr="00491C4A">
        <w:rPr>
          <w:rFonts w:ascii="Times New Roman" w:hAnsi="Times New Roman"/>
          <w:sz w:val="28"/>
          <w:szCs w:val="28"/>
        </w:rPr>
        <w:t>” y confía a la ley la garantía de la “</w:t>
      </w:r>
      <w:r w:rsidRPr="00491C4A">
        <w:rPr>
          <w:rFonts w:ascii="Times New Roman" w:hAnsi="Times New Roman"/>
          <w:i/>
          <w:iCs/>
          <w:sz w:val="28"/>
          <w:szCs w:val="28"/>
        </w:rPr>
        <w:t>participación de la comunidad en las d</w:t>
      </w:r>
      <w:r w:rsidRPr="00491C4A">
        <w:rPr>
          <w:rFonts w:ascii="Times New Roman" w:hAnsi="Times New Roman"/>
          <w:i/>
          <w:iCs/>
          <w:sz w:val="28"/>
          <w:szCs w:val="28"/>
        </w:rPr>
        <w:t>ecisiones que puedan afectarlo.</w:t>
      </w:r>
      <w:r w:rsidRPr="00491C4A">
        <w:rPr>
          <w:rFonts w:ascii="Times New Roman" w:hAnsi="Times New Roman"/>
          <w:sz w:val="28"/>
          <w:szCs w:val="28"/>
        </w:rPr>
        <w:t>” Adicionalmente, prevé que “</w:t>
      </w:r>
      <w:r w:rsidRPr="00491C4A">
        <w:rPr>
          <w:rFonts w:ascii="Times New Roman" w:hAnsi="Times New Roman"/>
          <w:i/>
          <w:iCs/>
          <w:sz w:val="28"/>
          <w:szCs w:val="28"/>
        </w:rPr>
        <w:t>es deber del Estado proteger la diversidad e integridad del ambiente, conservar las áreas de especial importancia ecológica y fomentar la educación para el logro de estos fines.</w:t>
      </w:r>
      <w:r w:rsidRPr="00491C4A">
        <w:rPr>
          <w:rFonts w:ascii="Times New Roman" w:hAnsi="Times New Roman"/>
          <w:sz w:val="28"/>
          <w:szCs w:val="28"/>
        </w:rPr>
        <w:t xml:space="preserve">” Por su parte, el </w:t>
      </w:r>
      <w:r w:rsidRPr="00491C4A">
        <w:rPr>
          <w:rFonts w:ascii="Times New Roman" w:hAnsi="Times New Roman"/>
          <w:sz w:val="28"/>
          <w:szCs w:val="28"/>
        </w:rPr>
        <w:t>artículo 80 constitucional dispone que “</w:t>
      </w:r>
      <w:r w:rsidRPr="00491C4A">
        <w:rPr>
          <w:rFonts w:ascii="Times New Roman" w:hAnsi="Times New Roman"/>
          <w:i/>
          <w:iCs/>
          <w:sz w:val="28"/>
          <w:szCs w:val="28"/>
        </w:rPr>
        <w:t>el Estado planificará el manejo y aprovechamiento de los recursos naturales, para garantizar su desarrollo sostenible, su conservación, restauración o sustitución.</w:t>
      </w:r>
      <w:r w:rsidRPr="00491C4A">
        <w:rPr>
          <w:rFonts w:ascii="Times New Roman" w:hAnsi="Times New Roman"/>
          <w:sz w:val="28"/>
          <w:szCs w:val="28"/>
        </w:rPr>
        <w:t>”</w:t>
      </w:r>
      <w:r w:rsidRPr="00491C4A">
        <w:rPr>
          <w:rStyle w:val="Refdenotaalpie"/>
          <w:rFonts w:ascii="Times New Roman" w:hAnsi="Times New Roman"/>
          <w:sz w:val="28"/>
          <w:szCs w:val="28"/>
        </w:rPr>
        <w:footnoteReference w:id="155"/>
      </w:r>
      <w:r w:rsidRPr="00491C4A">
        <w:rPr>
          <w:rFonts w:ascii="Times New Roman" w:hAnsi="Times New Roman"/>
          <w:sz w:val="28"/>
          <w:szCs w:val="28"/>
        </w:rPr>
        <w:t xml:space="preserve"> Así mismo, de acuerdo con el numeral 8 del artícul</w:t>
      </w:r>
      <w:r w:rsidRPr="00491C4A">
        <w:rPr>
          <w:rFonts w:ascii="Times New Roman" w:hAnsi="Times New Roman"/>
          <w:sz w:val="28"/>
          <w:szCs w:val="28"/>
        </w:rPr>
        <w:t>o 95 constitucional, los colombianos tienen el deber de “</w:t>
      </w:r>
      <w:r w:rsidRPr="00491C4A">
        <w:rPr>
          <w:rFonts w:ascii="Times New Roman" w:hAnsi="Times New Roman"/>
          <w:i/>
          <w:iCs/>
          <w:sz w:val="28"/>
          <w:szCs w:val="28"/>
        </w:rPr>
        <w:t>proteger los recursos culturales y naturales del país y velar por la conservación de un ambiente sano.</w:t>
      </w:r>
      <w:r w:rsidRPr="00491C4A">
        <w:rPr>
          <w:rFonts w:ascii="Times New Roman" w:hAnsi="Times New Roman"/>
          <w:sz w:val="28"/>
          <w:szCs w:val="28"/>
        </w:rPr>
        <w:t>”</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El artículo 11 del Protocolo Adicional de la Convención Americana sobre Derechos Humanos en ma</w:t>
      </w:r>
      <w:r w:rsidRPr="00491C4A">
        <w:rPr>
          <w:rFonts w:ascii="Times New Roman" w:hAnsi="Times New Roman"/>
          <w:sz w:val="28"/>
          <w:szCs w:val="28"/>
        </w:rPr>
        <w:t>teria de Derechos Económicos, Sociales y Culturales (Protocolo de San Salvador) prevé que “</w:t>
      </w:r>
      <w:r w:rsidRPr="00491C4A">
        <w:rPr>
          <w:rFonts w:ascii="Times New Roman" w:hAnsi="Times New Roman"/>
          <w:i/>
          <w:iCs/>
          <w:sz w:val="28"/>
          <w:szCs w:val="28"/>
        </w:rPr>
        <w:t>toda persona tiene derecho a vivir en un medio ambiente sano y a contar con servicios públicos básicos</w:t>
      </w:r>
      <w:r w:rsidRPr="00491C4A">
        <w:rPr>
          <w:rFonts w:ascii="Times New Roman" w:hAnsi="Times New Roman"/>
          <w:sz w:val="28"/>
          <w:szCs w:val="28"/>
        </w:rPr>
        <w:t>” y que “</w:t>
      </w:r>
      <w:r w:rsidRPr="00491C4A">
        <w:rPr>
          <w:rFonts w:ascii="Times New Roman" w:hAnsi="Times New Roman"/>
          <w:i/>
          <w:iCs/>
          <w:sz w:val="28"/>
          <w:szCs w:val="28"/>
        </w:rPr>
        <w:t>los Estados partes promoverán la protección, preservac</w:t>
      </w:r>
      <w:r w:rsidRPr="00491C4A">
        <w:rPr>
          <w:rFonts w:ascii="Times New Roman" w:hAnsi="Times New Roman"/>
          <w:i/>
          <w:iCs/>
          <w:sz w:val="28"/>
          <w:szCs w:val="28"/>
        </w:rPr>
        <w:t>ión y mejoramiento del medio ambiente.</w:t>
      </w:r>
      <w:r w:rsidRPr="00491C4A">
        <w:rPr>
          <w:rFonts w:ascii="Times New Roman" w:hAnsi="Times New Roman"/>
          <w:sz w:val="28"/>
          <w:szCs w:val="28"/>
        </w:rPr>
        <w:t>”</w:t>
      </w:r>
    </w:p>
    <w:p w:rsidR="004B32AA" w:rsidRPr="00491C4A" w:rsidRDefault="00491C4A" w:rsidP="004B32AA">
      <w:pPr>
        <w:pStyle w:val="Prrafodelista"/>
        <w:ind w:left="0"/>
        <w:jc w:val="both"/>
        <w:rPr>
          <w:rFonts w:ascii="Times New Roman" w:hAnsi="Times New Roman"/>
          <w:sz w:val="28"/>
          <w:szCs w:val="28"/>
        </w:rPr>
      </w:pPr>
      <w:r w:rsidRPr="00491C4A">
        <w:rPr>
          <w:rFonts w:ascii="Times New Roman" w:hAnsi="Times New Roman"/>
          <w:sz w:val="28"/>
          <w:szCs w:val="28"/>
        </w:rPr>
        <w:t xml:space="preserve"> </w:t>
      </w: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la Declaración de Río sobre el Medio Ambiente y el Desarrollo se destaca que, de acuerdo con el primer principio “</w:t>
      </w:r>
      <w:r w:rsidRPr="00491C4A">
        <w:rPr>
          <w:rFonts w:ascii="Times New Roman" w:hAnsi="Times New Roman"/>
          <w:i/>
          <w:iCs/>
          <w:sz w:val="28"/>
          <w:szCs w:val="28"/>
        </w:rPr>
        <w:t>los seres humanos constituyen el centro de las preocupaciones relacionadas con el derecho sosteni</w:t>
      </w:r>
      <w:r w:rsidRPr="00491C4A">
        <w:rPr>
          <w:rFonts w:ascii="Times New Roman" w:hAnsi="Times New Roman"/>
          <w:i/>
          <w:iCs/>
          <w:sz w:val="28"/>
          <w:szCs w:val="28"/>
        </w:rPr>
        <w:t>ble. Tienen derecho a una vida saludable y productiva en armonía con la naturaleza.</w:t>
      </w:r>
      <w:r w:rsidRPr="00491C4A">
        <w:rPr>
          <w:rFonts w:ascii="Times New Roman" w:hAnsi="Times New Roman"/>
          <w:sz w:val="28"/>
          <w:szCs w:val="28"/>
        </w:rPr>
        <w:t>” En la misma línea, el principio 5 señala que “</w:t>
      </w:r>
      <w:r w:rsidRPr="00491C4A">
        <w:rPr>
          <w:rFonts w:ascii="Times New Roman" w:hAnsi="Times New Roman"/>
          <w:i/>
          <w:iCs/>
          <w:sz w:val="28"/>
          <w:szCs w:val="28"/>
        </w:rPr>
        <w:t>todos los Estados y todas las personas deberán cooperar en la tarea esencial de erradicar la pobreza como requisito indispens</w:t>
      </w:r>
      <w:r w:rsidRPr="00491C4A">
        <w:rPr>
          <w:rFonts w:ascii="Times New Roman" w:hAnsi="Times New Roman"/>
          <w:i/>
          <w:iCs/>
          <w:sz w:val="28"/>
          <w:szCs w:val="28"/>
        </w:rPr>
        <w:t>able del desarrollo sostenible, a fin de reducir las disparidades en los niveles de vida y responder mejor a las necesidades de la mayoría de los pueblos del mundo.</w:t>
      </w:r>
      <w:r w:rsidRPr="00491C4A">
        <w:rPr>
          <w:rFonts w:ascii="Times New Roman" w:hAnsi="Times New Roman"/>
          <w:sz w:val="28"/>
          <w:szCs w:val="28"/>
        </w:rPr>
        <w:t>” Adicionalmente, el principio 22 prevé que los Estados deberán hacer posible la participaci</w:t>
      </w:r>
      <w:r w:rsidRPr="00491C4A">
        <w:rPr>
          <w:rFonts w:ascii="Times New Roman" w:hAnsi="Times New Roman"/>
          <w:sz w:val="28"/>
          <w:szCs w:val="28"/>
        </w:rPr>
        <w:t xml:space="preserve">ón de las poblaciones indígenas y otras comunidades locales en el logro del desarrollo sostenible.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la Sentencia C-056 de 2021</w:t>
      </w:r>
      <w:r w:rsidRPr="00491C4A">
        <w:rPr>
          <w:rStyle w:val="Refdenotaalpie"/>
          <w:rFonts w:ascii="Times New Roman" w:hAnsi="Times New Roman"/>
          <w:sz w:val="28"/>
          <w:szCs w:val="28"/>
        </w:rPr>
        <w:footnoteReference w:id="156"/>
      </w:r>
      <w:r w:rsidRPr="00491C4A">
        <w:rPr>
          <w:rFonts w:ascii="Times New Roman" w:hAnsi="Times New Roman"/>
          <w:sz w:val="28"/>
          <w:szCs w:val="28"/>
        </w:rPr>
        <w:t xml:space="preserve"> la Corte abordó la Política Nacional de Cambio Climático, que comprende las obligaciones de adaptación y mitigación del sect</w:t>
      </w:r>
      <w:r w:rsidRPr="00491C4A">
        <w:rPr>
          <w:rFonts w:ascii="Times New Roman" w:hAnsi="Times New Roman"/>
          <w:sz w:val="28"/>
          <w:szCs w:val="28"/>
        </w:rPr>
        <w:t>or eléctrico a este fenómeno. Expuso que los principales instrumentos internacionales sobre cambio climático de los que Colombia es parte y que fundamentan la referida política son la Convención Marco de Naciones Unidas sobre Cambio Climático de 1992 (CMNU</w:t>
      </w:r>
      <w:r w:rsidRPr="00491C4A">
        <w:rPr>
          <w:rFonts w:ascii="Times New Roman" w:hAnsi="Times New Roman"/>
          <w:sz w:val="28"/>
          <w:szCs w:val="28"/>
        </w:rPr>
        <w:t xml:space="preserve">CC), el Protocolo de Kyoto (1998) y el Acuerdo de París (2015).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widowControl w:val="0"/>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objetivo común de estos instrumentos es estabilizar las concentraciones de GEI </w:t>
      </w:r>
      <w:r w:rsidRPr="00491C4A">
        <w:rPr>
          <w:rFonts w:ascii="Times New Roman" w:hAnsi="Times New Roman"/>
          <w:sz w:val="28"/>
          <w:szCs w:val="28"/>
        </w:rPr>
        <w:t xml:space="preserve">(gases de efecto invernadero) </w:t>
      </w:r>
      <w:r w:rsidRPr="00491C4A">
        <w:rPr>
          <w:rFonts w:ascii="Times New Roman" w:hAnsi="Times New Roman"/>
          <w:sz w:val="28"/>
          <w:szCs w:val="28"/>
        </w:rPr>
        <w:t>en la atmósfera e imponer las obligaciones de adaptación y mitigación para com</w:t>
      </w:r>
      <w:r w:rsidRPr="00491C4A">
        <w:rPr>
          <w:rFonts w:ascii="Times New Roman" w:hAnsi="Times New Roman"/>
          <w:sz w:val="28"/>
          <w:szCs w:val="28"/>
        </w:rPr>
        <w:t>batir el cambio climático. “Las</w:t>
      </w:r>
      <w:r w:rsidRPr="00491C4A">
        <w:rPr>
          <w:rFonts w:ascii="Times New Roman" w:hAnsi="Times New Roman"/>
          <w:i/>
          <w:sz w:val="28"/>
          <w:szCs w:val="28"/>
        </w:rPr>
        <w:t xml:space="preserve"> obligaciones de mitigación abordan las causas del cambio climático y, en este sentido, tienen como propósito reducir las emisiones antropogénicas de GEI. Los Estados pueden mitigar sus emisiones mediante la reducción de emisiones en la fuente, el incremen</w:t>
      </w:r>
      <w:r w:rsidRPr="00491C4A">
        <w:rPr>
          <w:rFonts w:ascii="Times New Roman" w:hAnsi="Times New Roman"/>
          <w:i/>
          <w:sz w:val="28"/>
          <w:szCs w:val="28"/>
        </w:rPr>
        <w:t>to de la capacidad de los sumideros de GEI, el uso de las tecnologías de captura y almacenamiento de carbono (CAC), entre otros</w:t>
      </w:r>
      <w:r w:rsidRPr="00491C4A">
        <w:rPr>
          <w:rFonts w:ascii="Times New Roman" w:hAnsi="Times New Roman"/>
          <w:i/>
          <w:sz w:val="28"/>
          <w:szCs w:val="28"/>
          <w:vertAlign w:val="superscript"/>
        </w:rPr>
        <w:footnoteReference w:id="157"/>
      </w:r>
      <w:r w:rsidRPr="00491C4A">
        <w:rPr>
          <w:rFonts w:ascii="Times New Roman" w:hAnsi="Times New Roman"/>
          <w:i/>
          <w:sz w:val="28"/>
          <w:szCs w:val="28"/>
        </w:rPr>
        <w:t>. De otro lado, las obligaciones de adaptación intentan responder a los impactos de este fenómeno y tienen como finalidad ‘forta</w:t>
      </w:r>
      <w:r w:rsidRPr="00491C4A">
        <w:rPr>
          <w:rFonts w:ascii="Times New Roman" w:hAnsi="Times New Roman"/>
          <w:i/>
          <w:sz w:val="28"/>
          <w:szCs w:val="28"/>
        </w:rPr>
        <w:t>lecer la resiliencia y reducir la vulnerabilidad al cambio climático con miras a contribuir al desarrollo sostenible</w:t>
      </w:r>
      <w:r w:rsidRPr="00491C4A">
        <w:rPr>
          <w:rFonts w:ascii="Times New Roman" w:hAnsi="Times New Roman"/>
          <w:iCs/>
          <w:sz w:val="28"/>
          <w:szCs w:val="28"/>
        </w:rPr>
        <w:t>”</w:t>
      </w:r>
      <w:r w:rsidRPr="00491C4A">
        <w:rPr>
          <w:rFonts w:ascii="Times New Roman" w:hAnsi="Times New Roman"/>
          <w:sz w:val="28"/>
          <w:szCs w:val="28"/>
          <w:vertAlign w:val="superscript"/>
        </w:rPr>
        <w:footnoteReference w:id="158"/>
      </w:r>
      <w:r w:rsidRPr="00491C4A">
        <w:rPr>
          <w:rFonts w:ascii="Times New Roman" w:hAnsi="Times New Roman"/>
          <w:iCs/>
          <w:sz w:val="28"/>
          <w:szCs w:val="28"/>
        </w:rPr>
        <w:t xml:space="preserve">. </w:t>
      </w:r>
    </w:p>
    <w:p w:rsidR="004B32AA" w:rsidRPr="00491C4A" w:rsidRDefault="00491C4A" w:rsidP="004B32AA">
      <w:pPr>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La Corte concluyó que los tratados internacionales mencionados contemplan que cada Estado debe tener obligaciones específicas de </w:t>
      </w:r>
      <w:r w:rsidRPr="00491C4A">
        <w:rPr>
          <w:rFonts w:ascii="Times New Roman" w:hAnsi="Times New Roman"/>
          <w:sz w:val="28"/>
          <w:szCs w:val="28"/>
        </w:rPr>
        <w:t>mitigación y adaptación contenidas en sus Contribuciones Determinadas a Nivel Nacional (NDC), documento que fue actualizado por Colombia para el periodo 2020-2030 y establece cuatro compromisos de mitigación</w:t>
      </w:r>
      <w:r w:rsidRPr="00491C4A">
        <w:rPr>
          <w:rStyle w:val="Refdenotaalpie"/>
          <w:rFonts w:ascii="Times New Roman" w:hAnsi="Times New Roman"/>
          <w:sz w:val="28"/>
          <w:szCs w:val="28"/>
        </w:rPr>
        <w:footnoteReference w:id="159"/>
      </w:r>
      <w:r w:rsidRPr="00491C4A">
        <w:rPr>
          <w:rFonts w:ascii="Times New Roman" w:hAnsi="Times New Roman"/>
          <w:sz w:val="28"/>
          <w:szCs w:val="28"/>
        </w:rPr>
        <w:t xml:space="preserve"> y tres compromisos de adaptación</w:t>
      </w:r>
      <w:r w:rsidRPr="00491C4A">
        <w:rPr>
          <w:rStyle w:val="Refdenotaalpie"/>
          <w:rFonts w:ascii="Times New Roman" w:hAnsi="Times New Roman"/>
          <w:sz w:val="28"/>
          <w:szCs w:val="28"/>
        </w:rPr>
        <w:footnoteReference w:id="160"/>
      </w:r>
      <w:r w:rsidRPr="00491C4A">
        <w:rPr>
          <w:rFonts w:ascii="Times New Roman" w:hAnsi="Times New Roman"/>
          <w:sz w:val="28"/>
          <w:szCs w:val="28"/>
        </w:rPr>
        <w:t xml:space="preserve"> para el secto</w:t>
      </w:r>
      <w:r w:rsidRPr="00491C4A">
        <w:rPr>
          <w:rFonts w:ascii="Times New Roman" w:hAnsi="Times New Roman"/>
          <w:sz w:val="28"/>
          <w:szCs w:val="28"/>
        </w:rPr>
        <w:t>r eléctrico.</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 recordó que los lineamientos generales de la política interna de cambio climático están previstos en la Ley 1931 de 2018, “</w:t>
      </w:r>
      <w:r w:rsidRPr="00491C4A">
        <w:rPr>
          <w:rFonts w:ascii="Times New Roman" w:hAnsi="Times New Roman"/>
          <w:i/>
          <w:iCs/>
          <w:sz w:val="28"/>
          <w:szCs w:val="28"/>
        </w:rPr>
        <w:t>Por la cual se establecen directrices para la gestión del cambio climático</w:t>
      </w:r>
      <w:r w:rsidRPr="00491C4A">
        <w:rPr>
          <w:rFonts w:ascii="Times New Roman" w:hAnsi="Times New Roman"/>
          <w:sz w:val="28"/>
          <w:szCs w:val="28"/>
        </w:rPr>
        <w:t xml:space="preserve">”. También, en la Política Nacional </w:t>
      </w:r>
      <w:r w:rsidRPr="00491C4A">
        <w:rPr>
          <w:rFonts w:ascii="Times New Roman" w:hAnsi="Times New Roman"/>
          <w:sz w:val="28"/>
          <w:szCs w:val="28"/>
        </w:rPr>
        <w:t>de Cambio Climático (PNCC), la cual “</w:t>
      </w:r>
      <w:r w:rsidRPr="00491C4A">
        <w:rPr>
          <w:rFonts w:ascii="Times New Roman" w:hAnsi="Times New Roman"/>
          <w:i/>
          <w:iCs/>
          <w:sz w:val="28"/>
          <w:szCs w:val="28"/>
        </w:rPr>
        <w:t>prevé que las autoridades del sector minero energético deben adoptar políticas y lineamientos que incentiven ‘un desarrollo bajo en carbono y resiliente al clima actual y futuro y que aproveche eficientemente el potenci</w:t>
      </w:r>
      <w:r w:rsidRPr="00491C4A">
        <w:rPr>
          <w:rFonts w:ascii="Times New Roman" w:hAnsi="Times New Roman"/>
          <w:i/>
          <w:iCs/>
          <w:sz w:val="28"/>
          <w:szCs w:val="28"/>
        </w:rPr>
        <w:t>al de las energías renovables’</w:t>
      </w:r>
      <w:r w:rsidRPr="00491C4A">
        <w:rPr>
          <w:rFonts w:ascii="Times New Roman" w:hAnsi="Times New Roman"/>
          <w:sz w:val="28"/>
          <w:szCs w:val="28"/>
        </w:rPr>
        <w:t>”</w:t>
      </w:r>
      <w:r w:rsidRPr="00491C4A">
        <w:rPr>
          <w:rStyle w:val="Refdenotaalpie"/>
          <w:rFonts w:ascii="Times New Roman" w:hAnsi="Times New Roman"/>
          <w:sz w:val="28"/>
          <w:szCs w:val="28"/>
        </w:rPr>
        <w:footnoteReference w:id="161"/>
      </w:r>
      <w:r w:rsidRPr="00491C4A">
        <w:rPr>
          <w:rFonts w:ascii="Times New Roman" w:hAnsi="Times New Roman"/>
          <w:sz w:val="28"/>
          <w:szCs w:val="28"/>
        </w:rPr>
        <w:t xml:space="preserve"> y en la Resolución 42807 de 2018 del Ministerio de Minas y Energía, por medio de la cual se adopta el Plan Integral de Gestión del Cambio Climático para el Sector Minero Energético. </w:t>
      </w:r>
    </w:p>
    <w:p w:rsidR="006F2BF7" w:rsidRPr="00491C4A" w:rsidRDefault="00491C4A" w:rsidP="006F2BF7">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La Corte admitió que el uso de las FNCE</w:t>
      </w:r>
      <w:r w:rsidRPr="00491C4A">
        <w:rPr>
          <w:rFonts w:ascii="Times New Roman" w:hAnsi="Times New Roman"/>
          <w:sz w:val="28"/>
          <w:szCs w:val="28"/>
        </w:rPr>
        <w:t>R contribuye a mitigar el cambio climático porque reduce las emisiones de GEI que la generación de energía eléctrica causa. Afirmó que “</w:t>
      </w:r>
      <w:r w:rsidRPr="00491C4A">
        <w:rPr>
          <w:rFonts w:ascii="Times New Roman" w:hAnsi="Times New Roman"/>
          <w:i/>
          <w:iCs/>
          <w:sz w:val="28"/>
          <w:szCs w:val="28"/>
        </w:rPr>
        <w:t>el cumplimiento de las obligaciones de mitigación y adaptación del sector eléctrico depende, en gran medida, de la adopc</w:t>
      </w:r>
      <w:r w:rsidRPr="00491C4A">
        <w:rPr>
          <w:rFonts w:ascii="Times New Roman" w:hAnsi="Times New Roman"/>
          <w:i/>
          <w:iCs/>
          <w:sz w:val="28"/>
          <w:szCs w:val="28"/>
        </w:rPr>
        <w:t>ión de un marco regulatorio que prevea instrumentos de fomento económico para la generación de energía mediante fuentes renovables</w:t>
      </w:r>
      <w:r w:rsidRPr="00491C4A">
        <w:rPr>
          <w:rFonts w:ascii="Times New Roman" w:hAnsi="Times New Roman"/>
          <w:sz w:val="28"/>
          <w:szCs w:val="28"/>
        </w:rPr>
        <w:t>”. Como quedó señalado en el quinto informe de evaluación sistema y energía del panel intergubernamental de expertos sobre cam</w:t>
      </w:r>
      <w:r w:rsidRPr="00491C4A">
        <w:rPr>
          <w:rFonts w:ascii="Times New Roman" w:hAnsi="Times New Roman"/>
          <w:sz w:val="28"/>
          <w:szCs w:val="28"/>
        </w:rPr>
        <w:t>bio climático, “</w:t>
      </w:r>
      <w:r w:rsidRPr="00491C4A">
        <w:rPr>
          <w:rFonts w:ascii="Times New Roman" w:hAnsi="Times New Roman"/>
          <w:i/>
          <w:iCs/>
          <w:sz w:val="28"/>
          <w:szCs w:val="28"/>
        </w:rPr>
        <w:t>las tecnologías renovables todavía necesitan incentivos económicos directos (regulaciones basadas en precios o cantidades fijas de inversión) o incentivos económicos indirectos (impuestos al carbono e internacionalización de otras externali</w:t>
      </w:r>
      <w:r w:rsidRPr="00491C4A">
        <w:rPr>
          <w:rFonts w:ascii="Times New Roman" w:hAnsi="Times New Roman"/>
          <w:i/>
          <w:iCs/>
          <w:sz w:val="28"/>
          <w:szCs w:val="28"/>
        </w:rPr>
        <w:t>dades), con el fin de aumentar su participación en el mercado.</w:t>
      </w:r>
      <w:r w:rsidRPr="00491C4A">
        <w:rPr>
          <w:rFonts w:ascii="Times New Roman" w:hAnsi="Times New Roman"/>
          <w:sz w:val="28"/>
          <w:szCs w:val="28"/>
        </w:rPr>
        <w:t>”</w:t>
      </w:r>
      <w:r w:rsidRPr="00491C4A">
        <w:rPr>
          <w:rStyle w:val="Refdenotaalpie"/>
          <w:rFonts w:ascii="Times New Roman" w:hAnsi="Times New Roman"/>
          <w:sz w:val="28"/>
          <w:szCs w:val="28"/>
        </w:rPr>
        <w:footnoteReference w:id="162"/>
      </w:r>
    </w:p>
    <w:p w:rsidR="004B32AA" w:rsidRPr="00491C4A" w:rsidRDefault="00491C4A" w:rsidP="004B32AA">
      <w:pPr>
        <w:pStyle w:val="Prrafodelista"/>
        <w:ind w:left="0"/>
        <w:rPr>
          <w:rFonts w:ascii="Times New Roman" w:hAnsi="Times New Roman"/>
          <w:sz w:val="28"/>
          <w:szCs w:val="28"/>
        </w:rPr>
      </w:pPr>
    </w:p>
    <w:p w:rsidR="00050DF7" w:rsidRPr="00491C4A" w:rsidRDefault="00491C4A" w:rsidP="004B32AA">
      <w:pPr>
        <w:pStyle w:val="Prrafodelista"/>
        <w:ind w:left="0"/>
        <w:rPr>
          <w:rFonts w:ascii="Times New Roman" w:hAnsi="Times New Roman"/>
          <w:sz w:val="28"/>
          <w:szCs w:val="28"/>
        </w:rPr>
      </w:pPr>
    </w:p>
    <w:p w:rsidR="004B32AA" w:rsidRPr="00491C4A" w:rsidRDefault="00491C4A" w:rsidP="00BF00EC">
      <w:pPr>
        <w:pStyle w:val="Ttulo2"/>
        <w:numPr>
          <w:ilvl w:val="0"/>
          <w:numId w:val="7"/>
        </w:numPr>
        <w:spacing w:before="0" w:after="0"/>
        <w:ind w:left="708" w:hanging="708"/>
        <w:jc w:val="both"/>
        <w:rPr>
          <w:rFonts w:ascii="Times New Roman" w:hAnsi="Times New Roman"/>
          <w:b/>
          <w:bCs/>
          <w:color w:val="auto"/>
          <w:sz w:val="28"/>
          <w:szCs w:val="28"/>
        </w:rPr>
      </w:pPr>
      <w:bookmarkStart w:id="41" w:name="_Toc200753674"/>
      <w:r w:rsidRPr="00491C4A">
        <w:rPr>
          <w:rFonts w:ascii="Times New Roman" w:hAnsi="Times New Roman"/>
          <w:b/>
          <w:bCs/>
          <w:color w:val="auto"/>
          <w:sz w:val="28"/>
          <w:szCs w:val="28"/>
        </w:rPr>
        <w:t>Solución del cuarto cargo, por violación del principio de progresividad y no regresividad en la protección del ambiente</w:t>
      </w:r>
      <w:bookmarkEnd w:id="41"/>
    </w:p>
    <w:p w:rsidR="004B32AA" w:rsidRPr="00491C4A" w:rsidRDefault="00491C4A" w:rsidP="004B32AA">
      <w:pPr>
        <w:rPr>
          <w:rFonts w:ascii="Times New Roman" w:hAnsi="Times New Roman"/>
          <w:b/>
          <w:bCs/>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Corresponde a la Corte establecer si la norma acusada desconoce el p</w:t>
      </w:r>
      <w:r w:rsidRPr="00491C4A">
        <w:rPr>
          <w:rFonts w:ascii="Times New Roman" w:hAnsi="Times New Roman"/>
          <w:sz w:val="28"/>
          <w:szCs w:val="28"/>
        </w:rPr>
        <w:t>rincipio de progresividad y no regresividad en materia ambiental. De acuerdo con la jurisprudencia constitucional reseñada, el primer paso para adelantar el análisis consiste en establecer si la medida es regresiva respecto del nivel de satisfacción alcanz</w:t>
      </w:r>
      <w:r w:rsidRPr="00491C4A">
        <w:rPr>
          <w:rFonts w:ascii="Times New Roman" w:hAnsi="Times New Roman"/>
          <w:sz w:val="28"/>
          <w:szCs w:val="28"/>
        </w:rPr>
        <w:t>ado para la protección del derecho al medio ambiente sano hasta la fecha de su expedición. Para el efecto, no es suficiente con observar únicamente el aumento de la tarifa de la contribución aplicable a las plantas que producen energía con FNCER y están lo</w:t>
      </w:r>
      <w:r w:rsidRPr="00491C4A">
        <w:rPr>
          <w:rFonts w:ascii="Times New Roman" w:hAnsi="Times New Roman"/>
          <w:sz w:val="28"/>
          <w:szCs w:val="28"/>
        </w:rPr>
        <w:t>calizadas en áreas con la mayor radiación solar promedio anual (mayores a 5 kWh/m2/día) y de mayor velocidad promedio de viento (mayores a 4 m/s a 10 m de altura), de acuerdo con los últimos datos disponibles en los atlas de radiación y velocidad de viento</w:t>
      </w:r>
      <w:r w:rsidRPr="00491C4A">
        <w:rPr>
          <w:rFonts w:ascii="Times New Roman" w:hAnsi="Times New Roman"/>
          <w:sz w:val="28"/>
          <w:szCs w:val="28"/>
        </w:rPr>
        <w:t xml:space="preserve"> del </w:t>
      </w:r>
      <w:r w:rsidRPr="00491C4A">
        <w:rPr>
          <w:rFonts w:ascii="Times New Roman" w:hAnsi="Times New Roman"/>
          <w:sz w:val="28"/>
          <w:szCs w:val="28"/>
        </w:rPr>
        <w:t>IDEAM</w:t>
      </w:r>
      <w:r w:rsidRPr="00491C4A">
        <w:rPr>
          <w:rFonts w:ascii="Times New Roman" w:hAnsi="Times New Roman"/>
          <w:sz w:val="28"/>
          <w:szCs w:val="28"/>
        </w:rPr>
        <w:t xml:space="preserve">. </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i/>
          <w:iCs/>
          <w:sz w:val="28"/>
          <w:szCs w:val="28"/>
        </w:rPr>
      </w:pPr>
      <w:r w:rsidRPr="00491C4A">
        <w:rPr>
          <w:rFonts w:ascii="Times New Roman" w:hAnsi="Times New Roman"/>
          <w:sz w:val="28"/>
          <w:szCs w:val="28"/>
        </w:rPr>
        <w:t xml:space="preserve">Resulta necesario establecer, además: </w:t>
      </w:r>
      <w:r w:rsidRPr="00491C4A">
        <w:rPr>
          <w:rFonts w:ascii="Times New Roman" w:hAnsi="Times New Roman"/>
          <w:i/>
          <w:iCs/>
          <w:sz w:val="28"/>
          <w:szCs w:val="28"/>
        </w:rPr>
        <w:t>i)</w:t>
      </w:r>
      <w:r w:rsidRPr="00491C4A">
        <w:rPr>
          <w:rFonts w:ascii="Times New Roman" w:hAnsi="Times New Roman"/>
          <w:sz w:val="28"/>
          <w:szCs w:val="28"/>
        </w:rPr>
        <w:t xml:space="preserve"> si el aumento de las tarifas previsto en la disposición acusada tiene la capacidad de afectar el logro de los compromisos de mitigación del cambio climático al que se dirigen las medidas de fomento de producción de energía con FNCE; y </w:t>
      </w:r>
      <w:r w:rsidRPr="00491C4A">
        <w:rPr>
          <w:rFonts w:ascii="Times New Roman" w:hAnsi="Times New Roman"/>
          <w:i/>
          <w:iCs/>
          <w:sz w:val="28"/>
          <w:szCs w:val="28"/>
        </w:rPr>
        <w:t xml:space="preserve">ii) </w:t>
      </w:r>
      <w:r w:rsidRPr="00491C4A">
        <w:rPr>
          <w:rFonts w:ascii="Times New Roman" w:hAnsi="Times New Roman"/>
          <w:sz w:val="28"/>
          <w:szCs w:val="28"/>
        </w:rPr>
        <w:t>cuál es el objet</w:t>
      </w:r>
      <w:r w:rsidRPr="00491C4A">
        <w:rPr>
          <w:rFonts w:ascii="Times New Roman" w:hAnsi="Times New Roman"/>
          <w:sz w:val="28"/>
          <w:szCs w:val="28"/>
        </w:rPr>
        <w:t>ivo de la medida.</w:t>
      </w:r>
    </w:p>
    <w:p w:rsidR="004B32AA" w:rsidRPr="00491C4A" w:rsidRDefault="00491C4A" w:rsidP="004B32AA">
      <w:pPr>
        <w:pStyle w:val="Prrafodelista"/>
        <w:ind w:left="0"/>
        <w:jc w:val="both"/>
        <w:rPr>
          <w:rFonts w:ascii="Times New Roman" w:hAnsi="Times New Roman"/>
          <w:i/>
          <w:iCs/>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i/>
          <w:iCs/>
          <w:sz w:val="28"/>
          <w:szCs w:val="28"/>
        </w:rPr>
        <w:t>Primero</w:t>
      </w:r>
      <w:r w:rsidRPr="00491C4A">
        <w:rPr>
          <w:rFonts w:ascii="Times New Roman" w:hAnsi="Times New Roman"/>
          <w:sz w:val="28"/>
          <w:szCs w:val="28"/>
        </w:rPr>
        <w:t>, el cargo formulado por los accionantes se limita a afirmar que el aumento de la tarifa de transferencias eléctricas iguala a las plantas que producen energía con FNCE con las hidroeléctricas, y de hecho implica una carga mayor s</w:t>
      </w:r>
      <w:r w:rsidRPr="00491C4A">
        <w:rPr>
          <w:rFonts w:ascii="Times New Roman" w:hAnsi="Times New Roman"/>
          <w:sz w:val="28"/>
          <w:szCs w:val="28"/>
        </w:rPr>
        <w:t>i se compara con las tarifas aplicables a las termoeléctricas. A juicio de los accionantes esto resulta regresivo si se tiene en cuenta que desde la Ley 1715 de 2014 se estableció la necesidad de crear una serie de incentivos de tipo tributario, contable y</w:t>
      </w:r>
      <w:r w:rsidRPr="00491C4A">
        <w:rPr>
          <w:rFonts w:ascii="Times New Roman" w:hAnsi="Times New Roman"/>
          <w:sz w:val="28"/>
          <w:szCs w:val="28"/>
        </w:rPr>
        <w:t xml:space="preserve"> arancelario con el fin de promover el desarrollo de proyectos FNCER. </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contraste con lo afirmado por los demandantes, dentro de las pruebas practicadas en el proceso, el Ministerio de Minas y Energía informó a la Corte que, según la Administración de I</w:t>
      </w:r>
      <w:r w:rsidRPr="00491C4A">
        <w:rPr>
          <w:rFonts w:ascii="Times New Roman" w:hAnsi="Times New Roman"/>
          <w:sz w:val="28"/>
          <w:szCs w:val="28"/>
        </w:rPr>
        <w:t xml:space="preserve">nformación de Energía de EEUU – EIA y la Agencia Internacional de las Energías Renovables – IRENA, la producción de energía con FNCE se benefician de al menos dos condiciones económicamente ventajosas: </w:t>
      </w:r>
      <w:r w:rsidRPr="00491C4A">
        <w:rPr>
          <w:rFonts w:ascii="Times New Roman" w:hAnsi="Times New Roman"/>
          <w:i/>
          <w:iCs/>
          <w:sz w:val="28"/>
          <w:szCs w:val="28"/>
        </w:rPr>
        <w:t>i)</w:t>
      </w:r>
      <w:r w:rsidRPr="00491C4A">
        <w:rPr>
          <w:rFonts w:ascii="Times New Roman" w:hAnsi="Times New Roman"/>
          <w:sz w:val="28"/>
          <w:szCs w:val="28"/>
        </w:rPr>
        <w:t xml:space="preserve"> expansión de la demanda energética, </w:t>
      </w:r>
      <w:r w:rsidRPr="00491C4A">
        <w:rPr>
          <w:rFonts w:ascii="Times New Roman" w:hAnsi="Times New Roman"/>
          <w:sz w:val="28"/>
          <w:szCs w:val="28"/>
        </w:rPr>
        <w:t xml:space="preserve">y </w:t>
      </w:r>
      <w:r w:rsidRPr="00491C4A">
        <w:rPr>
          <w:rFonts w:ascii="Times New Roman" w:hAnsi="Times New Roman"/>
          <w:i/>
          <w:iCs/>
          <w:sz w:val="28"/>
          <w:szCs w:val="28"/>
        </w:rPr>
        <w:t>ii)</w:t>
      </w:r>
      <w:r w:rsidRPr="00491C4A">
        <w:rPr>
          <w:rFonts w:ascii="Times New Roman" w:hAnsi="Times New Roman"/>
          <w:sz w:val="28"/>
          <w:szCs w:val="28"/>
        </w:rPr>
        <w:t xml:space="preserve"> acelerada</w:t>
      </w:r>
      <w:r w:rsidRPr="00491C4A">
        <w:rPr>
          <w:rFonts w:ascii="Times New Roman" w:hAnsi="Times New Roman"/>
          <w:sz w:val="28"/>
          <w:szCs w:val="28"/>
        </w:rPr>
        <w:t xml:space="preserve"> reducción de costos de generación con fuentes de energía renovables, especialmente fotovoltáicas y eólicas.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El Ministerio añadió que </w:t>
      </w:r>
      <w:r w:rsidRPr="00491C4A">
        <w:rPr>
          <w:rFonts w:ascii="Times New Roman" w:hAnsi="Times New Roman"/>
          <w:i/>
          <w:iCs/>
          <w:sz w:val="28"/>
          <w:szCs w:val="28"/>
        </w:rPr>
        <w:t>“los costos de generación de electricidad con distintas tecnologías de origen renovable han experimentado fuertes reducc</w:t>
      </w:r>
      <w:r w:rsidRPr="00491C4A">
        <w:rPr>
          <w:rFonts w:ascii="Times New Roman" w:hAnsi="Times New Roman"/>
          <w:i/>
          <w:iCs/>
          <w:sz w:val="28"/>
          <w:szCs w:val="28"/>
        </w:rPr>
        <w:t>iones que incluso están llegando a rangos por debajo de los costos de generación de combustibles fósiles. Adicionalmente, LCOE [costos nivelados de generación energética] con energía solar fotovoltaica han caído en promedio para el periodo 2010 a 2021 en u</w:t>
      </w:r>
      <w:r w:rsidRPr="00491C4A">
        <w:rPr>
          <w:rFonts w:ascii="Times New Roman" w:hAnsi="Times New Roman"/>
          <w:i/>
          <w:iCs/>
          <w:sz w:val="28"/>
          <w:szCs w:val="28"/>
        </w:rPr>
        <w:t>n valor aproximado de 88 % a nivel global. El caso de la energía eólica es similar, toda vez que los costos promedio de generación han experimentado reducciones hasta en un 67 % entre 2010 y 2021”11. Bajo este esquema, el costo generado por cada kwh genera</w:t>
      </w:r>
      <w:r w:rsidRPr="00491C4A">
        <w:rPr>
          <w:rFonts w:ascii="Times New Roman" w:hAnsi="Times New Roman"/>
          <w:i/>
          <w:iCs/>
          <w:sz w:val="28"/>
          <w:szCs w:val="28"/>
        </w:rPr>
        <w:t>do es altamente competitivo con las fuentes tradicionales de generación, de allí que se trate de un mercado con altas expectativas sobre los beneficios ambientales para los territorios, así como del lucro para los generadores, quienes podrán usufructuar en</w:t>
      </w:r>
      <w:r w:rsidRPr="00491C4A">
        <w:rPr>
          <w:rFonts w:ascii="Times New Roman" w:hAnsi="Times New Roman"/>
          <w:i/>
          <w:iCs/>
          <w:sz w:val="28"/>
          <w:szCs w:val="28"/>
        </w:rPr>
        <w:t xml:space="preserve"> condiciones favorables insumos energéticos provenientes de fuentes naturales de renovabilidad continua. (MME2023). De este modo, las transferencias energéticas se estiman en razón a las condiciones objetivas de este mercado, sin que sea factible compararl</w:t>
      </w:r>
      <w:r w:rsidRPr="00491C4A">
        <w:rPr>
          <w:rFonts w:ascii="Times New Roman" w:hAnsi="Times New Roman"/>
          <w:i/>
          <w:iCs/>
          <w:sz w:val="28"/>
          <w:szCs w:val="28"/>
        </w:rPr>
        <w:t>as simétricamente con otras fuentes de generación que demandan mayores inversiones y dependen en mayor o menor medida de energías fósiles</w:t>
      </w:r>
      <w:r w:rsidRPr="00491C4A">
        <w:rPr>
          <w:rFonts w:ascii="Times New Roman" w:hAnsi="Times New Roman"/>
          <w:sz w:val="28"/>
          <w:szCs w:val="28"/>
        </w:rPr>
        <w:t xml:space="preserve">.” </w:t>
      </w:r>
      <w:r w:rsidRPr="00491C4A">
        <w:rPr>
          <w:rStyle w:val="Refdenotaalpie"/>
          <w:rFonts w:ascii="Times New Roman" w:hAnsi="Times New Roman"/>
          <w:sz w:val="28"/>
          <w:szCs w:val="28"/>
        </w:rPr>
        <w:footnoteReference w:id="163"/>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Así, no está probado que el aumento de la tarifa genere un impacto tal en la producción de energía con FNCE que implique un retroceso en el cumplimiento de las medidas de mitigación del cambio climático porque equipare o aumente los costos de esta en relac</w:t>
      </w:r>
      <w:r w:rsidRPr="00491C4A">
        <w:rPr>
          <w:rFonts w:ascii="Times New Roman" w:hAnsi="Times New Roman"/>
          <w:sz w:val="28"/>
          <w:szCs w:val="28"/>
        </w:rPr>
        <w:t>ión con los costos de producción de energía hidroeléctrica o termoeléctrica. Por el contrario, es razonable pensar que, dado que los costos de producción de energía con FNCE se ha</w:t>
      </w:r>
      <w:r w:rsidRPr="00491C4A">
        <w:rPr>
          <w:rFonts w:ascii="Times New Roman" w:hAnsi="Times New Roman"/>
          <w:sz w:val="28"/>
          <w:szCs w:val="28"/>
        </w:rPr>
        <w:t>n</w:t>
      </w:r>
      <w:r w:rsidRPr="00491C4A">
        <w:rPr>
          <w:rFonts w:ascii="Times New Roman" w:hAnsi="Times New Roman"/>
          <w:sz w:val="28"/>
          <w:szCs w:val="28"/>
        </w:rPr>
        <w:t xml:space="preserve"> reducido sustancialmente entre 2010 y 2021, el aumento de la tarifa previst</w:t>
      </w:r>
      <w:r w:rsidRPr="00491C4A">
        <w:rPr>
          <w:rFonts w:ascii="Times New Roman" w:hAnsi="Times New Roman"/>
          <w:sz w:val="28"/>
          <w:szCs w:val="28"/>
        </w:rPr>
        <w:t>o en la norma acusada no genera un impacto regresivo en el goce del derecho a un ambiente sano. Los demandantes parecen asumir que los beneficios tributarios a este tipo de actividades son inmutables, aun cuando han transcurrido más de 10 años desde su int</w:t>
      </w:r>
      <w:r w:rsidRPr="00491C4A">
        <w:rPr>
          <w:rFonts w:ascii="Times New Roman" w:hAnsi="Times New Roman"/>
          <w:sz w:val="28"/>
          <w:szCs w:val="28"/>
        </w:rPr>
        <w:t>roducción al ordenamiento, y sea razonable esperar que ya hayan producido efectos y por lo mismo el legislador pueda modificarlos o evaluar su desmonte.</w:t>
      </w:r>
    </w:p>
    <w:p w:rsidR="004B32AA" w:rsidRPr="00491C4A" w:rsidRDefault="00491C4A" w:rsidP="004B32AA">
      <w:pPr>
        <w:pStyle w:val="Prrafodelista"/>
        <w:ind w:left="0"/>
        <w:jc w:val="both"/>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 xml:space="preserve">Por otro lado, la Corte observa que la aplicación de una tarifa reducida de transferencias eléctricas </w:t>
      </w:r>
      <w:r w:rsidRPr="00491C4A">
        <w:rPr>
          <w:rFonts w:ascii="Times New Roman" w:hAnsi="Times New Roman"/>
          <w:sz w:val="28"/>
          <w:szCs w:val="28"/>
        </w:rPr>
        <w:t xml:space="preserve">a proyectos de generación de energía con FNCE no es el único mecanismo de incentivo de este tipo de proyectos, de modo que no existen elementos que permitan concluir que su modificación se traduce inexorablemente en una medida regresiva para la protección </w:t>
      </w:r>
      <w:r w:rsidRPr="00491C4A">
        <w:rPr>
          <w:rFonts w:ascii="Times New Roman" w:hAnsi="Times New Roman"/>
          <w:sz w:val="28"/>
          <w:szCs w:val="28"/>
        </w:rPr>
        <w:t>del ambiente. Existen otras medidas tributarias de incentivo a estas actividades. Por ejemplo, los artículos 11 al 14 de la Ley 2099 de 2021 prevén incentivos para la generación de energía eléctrica con FNCE y la gestión eficiente de la energía, como la de</w:t>
      </w:r>
      <w:r w:rsidRPr="00491C4A">
        <w:rPr>
          <w:rFonts w:ascii="Times New Roman" w:hAnsi="Times New Roman"/>
          <w:sz w:val="28"/>
          <w:szCs w:val="28"/>
        </w:rPr>
        <w:t>ducción del impuesto de renta hasta el 50% de la renta líquida por 15 años (art. 11); la exclusión del impuesto a las ventas - IVA en la adquisición de bienes y servicios para el desarrollo de proyectos de generación con FNCE y gestión eficiente de la ener</w:t>
      </w:r>
      <w:r w:rsidRPr="00491C4A">
        <w:rPr>
          <w:rFonts w:ascii="Times New Roman" w:hAnsi="Times New Roman"/>
          <w:sz w:val="28"/>
          <w:szCs w:val="28"/>
        </w:rPr>
        <w:t>gía (art.12); incentivos arancelarios para la importación de maquinaria, equipos, materiales e insumos destinados exclusivamente para labores de reinversión y de inversión en proyectos con FNCE (art. 13); así como la depreciación acelerada maquinarias, equ</w:t>
      </w:r>
      <w:r w:rsidRPr="00491C4A">
        <w:rPr>
          <w:rFonts w:ascii="Times New Roman" w:hAnsi="Times New Roman"/>
          <w:sz w:val="28"/>
          <w:szCs w:val="28"/>
        </w:rPr>
        <w:t xml:space="preserve">ipos y obras civiles necesarias para la reinversión, inversión y operación de lo los proyectos de generación con fuentes no convencionales de energía -FNCE (art. 14). Así mismo, el régimen tributario vigente prevé mayores cargas impositivas a las empresas </w:t>
      </w:r>
      <w:r w:rsidRPr="00491C4A">
        <w:rPr>
          <w:rFonts w:ascii="Times New Roman" w:hAnsi="Times New Roman"/>
          <w:sz w:val="28"/>
          <w:szCs w:val="28"/>
        </w:rPr>
        <w:t>que producen energía con fuentes hidroeléctricas, así como a las que se dedican a la exploración y explotación de recursos naturales no renovables como carbón, petróleo y gas.</w:t>
      </w:r>
    </w:p>
    <w:p w:rsidR="004B32AA" w:rsidRPr="00491C4A" w:rsidRDefault="00491C4A" w:rsidP="004B32AA">
      <w:pPr>
        <w:pStyle w:val="Prrafodelista"/>
        <w:ind w:left="0"/>
        <w:jc w:val="both"/>
        <w:rPr>
          <w:rFonts w:ascii="Times New Roman" w:hAnsi="Times New Roman"/>
          <w:sz w:val="28"/>
          <w:szCs w:val="28"/>
        </w:rPr>
      </w:pPr>
      <w:r w:rsidRPr="00491C4A">
        <w:rPr>
          <w:rFonts w:ascii="Times New Roman" w:hAnsi="Times New Roman"/>
          <w:sz w:val="28"/>
          <w:szCs w:val="28"/>
        </w:rPr>
        <w:t xml:space="preserve"> </w:t>
      </w: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De modo que la modificación de algunos puntos porcentuales en la tarifa de las</w:t>
      </w:r>
      <w:r w:rsidRPr="00491C4A">
        <w:rPr>
          <w:rFonts w:ascii="Times New Roman" w:hAnsi="Times New Roman"/>
          <w:sz w:val="28"/>
          <w:szCs w:val="28"/>
        </w:rPr>
        <w:t xml:space="preserve"> transferencias eléctricas no tiene la capacidad de impactar de forma regresiva el cumplimiento de los compromisos de mitigación del cambio climático que en este caso materializan el mandato de protección ambiental.</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i/>
          <w:iCs/>
          <w:sz w:val="28"/>
          <w:szCs w:val="28"/>
        </w:rPr>
        <w:t xml:space="preserve">Segundo, </w:t>
      </w:r>
      <w:r w:rsidRPr="00491C4A">
        <w:rPr>
          <w:rFonts w:ascii="Times New Roman" w:hAnsi="Times New Roman"/>
          <w:sz w:val="28"/>
          <w:szCs w:val="28"/>
        </w:rPr>
        <w:t>las pruebas recaudadas en el e</w:t>
      </w:r>
      <w:r w:rsidRPr="00491C4A">
        <w:rPr>
          <w:rFonts w:ascii="Times New Roman" w:hAnsi="Times New Roman"/>
          <w:sz w:val="28"/>
          <w:szCs w:val="28"/>
        </w:rPr>
        <w:t>xpediente y la revisión de los antecedentes legislativos de la disposición acusada dan cuenta de que su objetivo es “</w:t>
      </w:r>
      <w:r w:rsidRPr="00491C4A">
        <w:rPr>
          <w:rFonts w:ascii="Times New Roman" w:hAnsi="Times New Roman"/>
          <w:i/>
          <w:iCs/>
          <w:sz w:val="28"/>
          <w:szCs w:val="28"/>
        </w:rPr>
        <w:t>promover una integración responsable de las Fuentes No Convencionales de Energía Renovable (FNCER) con las comunidades, facilitando la impl</w:t>
      </w:r>
      <w:r w:rsidRPr="00491C4A">
        <w:rPr>
          <w:rFonts w:ascii="Times New Roman" w:hAnsi="Times New Roman"/>
          <w:i/>
          <w:iCs/>
          <w:sz w:val="28"/>
          <w:szCs w:val="28"/>
        </w:rPr>
        <w:t>ementación de proyectos, lo que a su vez, contribuye a garantizar el derecho a un ambiente sano en los términos del artículo 79 de la Constitución Política”</w:t>
      </w:r>
      <w:r w:rsidRPr="00491C4A">
        <w:rPr>
          <w:rStyle w:val="Refdenotaalpie"/>
          <w:rFonts w:ascii="Times New Roman" w:hAnsi="Times New Roman"/>
          <w:i/>
          <w:iCs/>
          <w:sz w:val="28"/>
          <w:szCs w:val="28"/>
        </w:rPr>
        <w:footnoteReference w:id="164"/>
      </w:r>
      <w:r w:rsidRPr="00491C4A">
        <w:rPr>
          <w:rFonts w:ascii="Times New Roman" w:hAnsi="Times New Roman"/>
          <w:sz w:val="28"/>
          <w:szCs w:val="28"/>
        </w:rPr>
        <w:t>. Esto se logra, mediante el aumento del recaudo de recursos para invertir en proyectos de mejorami</w:t>
      </w:r>
      <w:r w:rsidRPr="00491C4A">
        <w:rPr>
          <w:rFonts w:ascii="Times New Roman" w:hAnsi="Times New Roman"/>
          <w:sz w:val="28"/>
          <w:szCs w:val="28"/>
        </w:rPr>
        <w:t xml:space="preserve">ento de la calidad de vida de las comunidades étnicas de los departamentos donde se localizan las plantas que generan energía eléctrica a partir de FNCE y que se benefician de condiciones extraordinarias de viento y radiación solar para su producción.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Pa</w:t>
      </w:r>
      <w:r w:rsidRPr="00491C4A">
        <w:rPr>
          <w:rFonts w:ascii="Times New Roman" w:hAnsi="Times New Roman"/>
          <w:sz w:val="28"/>
          <w:szCs w:val="28"/>
        </w:rPr>
        <w:t>ra la Corte es claro que esta finalidad en lugar de ser regresiva para el mandato de protección ambiental, resulta progresiva para el logro del componente de justicia distributiva inmerso en el concepto de justicia ambiental. Desde la Sentencia T-294 de 20</w:t>
      </w:r>
      <w:r w:rsidRPr="00491C4A">
        <w:rPr>
          <w:rFonts w:ascii="Times New Roman" w:hAnsi="Times New Roman"/>
          <w:sz w:val="28"/>
          <w:szCs w:val="28"/>
        </w:rPr>
        <w:t>14, reiterada en la Sentencia C-300 de 2021, la Corte reconoció que el concepto de justicia ambiental tenía dos componentes esenciales que encontraban respaldo constitucional expreso y se encuentran comprendidos dentro de los mandatos previsto en los artíc</w:t>
      </w:r>
      <w:r w:rsidRPr="00491C4A">
        <w:rPr>
          <w:rFonts w:ascii="Times New Roman" w:hAnsi="Times New Roman"/>
          <w:sz w:val="28"/>
          <w:szCs w:val="28"/>
        </w:rPr>
        <w:t>ulos constitucionales 2 (asegurar la vigencia de un orden justo), 1 (principio de solidaridad), 13 (igualdad) y 90 (responsabilidad del Estado por daño antijurídico).  Estos componentes son: uno de justicia distributiva y otro de justicia participativa. El</w:t>
      </w:r>
      <w:r w:rsidRPr="00491C4A">
        <w:rPr>
          <w:rFonts w:ascii="Times New Roman" w:hAnsi="Times New Roman"/>
          <w:sz w:val="28"/>
          <w:szCs w:val="28"/>
        </w:rPr>
        <w:t xml:space="preserve"> primero se refiere al reparto equitativo de las cargas y beneficios ambientales entre los sujetos de una comunidad que puede ir del ámbito local al internacional; y entraña, a su turno un principio de efectiva retribución y compensación a favor de los ind</w:t>
      </w:r>
      <w:r w:rsidRPr="00491C4A">
        <w:rPr>
          <w:rFonts w:ascii="Times New Roman" w:hAnsi="Times New Roman"/>
          <w:sz w:val="28"/>
          <w:szCs w:val="28"/>
        </w:rPr>
        <w:t xml:space="preserve">ividuos o poblaciones que asumen las cargas o pasivos ambientales asociados a la protección del interés general. </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Según lo informado por el Ministerio de Minas y Energía, la disposición estudiada es una forma de obtener licencia social o aceptación comuni</w:t>
      </w:r>
      <w:r w:rsidRPr="00491C4A">
        <w:rPr>
          <w:rFonts w:ascii="Times New Roman" w:hAnsi="Times New Roman"/>
          <w:sz w:val="28"/>
          <w:szCs w:val="28"/>
        </w:rPr>
        <w:t xml:space="preserve">taria al desarrollo de los proyectos de energía con FNCE, mediante la integración de las comunidades y la democratización de los beneficios que estos proyectos energéticos generan. El Departamento Nacional de Planeación informó a la Corte que, contrario a </w:t>
      </w:r>
      <w:r w:rsidRPr="00491C4A">
        <w:rPr>
          <w:rFonts w:ascii="Times New Roman" w:hAnsi="Times New Roman"/>
          <w:sz w:val="28"/>
          <w:szCs w:val="28"/>
        </w:rPr>
        <w:t xml:space="preserve">lo señalado por los accionantes, se espera que esta medida contribuya a la ejecución exitosa de los proyectos de construcción y operación de plantas de producción de energía eólica y solar. En particular indicó que </w:t>
      </w:r>
      <w:r w:rsidRPr="00491C4A">
        <w:rPr>
          <w:rFonts w:ascii="Times New Roman" w:hAnsi="Times New Roman"/>
          <w:i/>
          <w:iCs/>
          <w:sz w:val="28"/>
          <w:szCs w:val="28"/>
        </w:rPr>
        <w:t>“la problemática que enfrentan muchos pro</w:t>
      </w:r>
      <w:r w:rsidRPr="00491C4A">
        <w:rPr>
          <w:rFonts w:ascii="Times New Roman" w:hAnsi="Times New Roman"/>
          <w:i/>
          <w:iCs/>
          <w:sz w:val="28"/>
          <w:szCs w:val="28"/>
        </w:rPr>
        <w:t>yectos de energía renovable en el país, no radica tanto en la viabilidad económica de los mismos, sino en su falta de aceptación por parte de las comunidades locales. Un ejemplo ilustrativo es el caso de Windpeshi, un proyecto eólico de gran envergadura en</w:t>
      </w:r>
      <w:r w:rsidRPr="00491C4A">
        <w:rPr>
          <w:rFonts w:ascii="Times New Roman" w:hAnsi="Times New Roman"/>
          <w:i/>
          <w:iCs/>
          <w:sz w:val="28"/>
          <w:szCs w:val="28"/>
        </w:rPr>
        <w:t xml:space="preserve"> Colombia, gestionado por la empresa Enel Colombia; quien a pesar de haber realizado una inversión considerable de más $7 mil millones de pesos, el proyecto fue suspendido debido a las constantes protestas por parte de la comunidad, que impidieron su avanc</w:t>
      </w:r>
      <w:r w:rsidRPr="00491C4A">
        <w:rPr>
          <w:rFonts w:ascii="Times New Roman" w:hAnsi="Times New Roman"/>
          <w:i/>
          <w:iCs/>
          <w:sz w:val="28"/>
          <w:szCs w:val="28"/>
        </w:rPr>
        <w:t xml:space="preserve">e.” </w:t>
      </w:r>
      <w:r w:rsidRPr="00491C4A">
        <w:rPr>
          <w:rFonts w:ascii="Times New Roman" w:hAnsi="Times New Roman"/>
          <w:sz w:val="28"/>
          <w:szCs w:val="28"/>
        </w:rPr>
        <w:t>Afirmó que la medida enjuiciada contribuye a la solución de esa problemática.</w:t>
      </w:r>
    </w:p>
    <w:p w:rsidR="004B32AA" w:rsidRPr="00491C4A" w:rsidRDefault="00491C4A" w:rsidP="004B32AA">
      <w:pPr>
        <w:pStyle w:val="Prrafodelista"/>
        <w:ind w:left="0"/>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A juicio de la Corte, esta conclusión no es irrazonable. En particular si se tienen en cuenta los instrumentos internacionales y la jurisprudencia constitucional que refuerz</w:t>
      </w:r>
      <w:r w:rsidRPr="00491C4A">
        <w:rPr>
          <w:rFonts w:ascii="Times New Roman" w:hAnsi="Times New Roman"/>
          <w:sz w:val="28"/>
          <w:szCs w:val="28"/>
        </w:rPr>
        <w:t>an la relación entre la protección del ambiente y la garantía de los derechos de los pueblos étnicos. De acuerdo con la Declaración de Río sobre el Medio Ambiente y el Desarrollo, los seres humanos son el centro de las preocupaciones del derecho sostenible</w:t>
      </w:r>
      <w:r w:rsidRPr="00491C4A">
        <w:rPr>
          <w:rFonts w:ascii="Times New Roman" w:hAnsi="Times New Roman"/>
          <w:sz w:val="28"/>
          <w:szCs w:val="28"/>
        </w:rPr>
        <w:t>, y la erradicación de la pobreza con la reducción de las disparidades en el nivel de vida hace parte del desarrollo sostenible. Según Rio+20 sus pilares interdependientes son: el desarrollo económico, el desarrollo social y la protección del medio ambient</w:t>
      </w:r>
      <w:r w:rsidRPr="00491C4A">
        <w:rPr>
          <w:rFonts w:ascii="Times New Roman" w:hAnsi="Times New Roman"/>
          <w:sz w:val="28"/>
          <w:szCs w:val="28"/>
        </w:rPr>
        <w:t>e, lo que supone el mejoramiento del bienestar de las minorías étnicas y las comunidades locales. Adicionalmente, el Convenio 169 de la OIT y la Declaración de las Naciones Unidas sobre los Derechos de los Pueblos Indígenas reconoce su derecho a participar</w:t>
      </w:r>
      <w:r w:rsidRPr="00491C4A">
        <w:rPr>
          <w:rFonts w:ascii="Times New Roman" w:hAnsi="Times New Roman"/>
          <w:sz w:val="28"/>
          <w:szCs w:val="28"/>
        </w:rPr>
        <w:t xml:space="preserve">, controlar y beneficiarse del desarrollo del territorio, lo que supone la mejoría en sus condiciones de vida, económicas y sociales. </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Por lo demás, la Corte insiste en que el aumento de la carga impositiva, por ejemplo, por la vía de eliminación de incen</w:t>
      </w:r>
      <w:r w:rsidRPr="00491C4A">
        <w:rPr>
          <w:rFonts w:ascii="Times New Roman" w:hAnsi="Times New Roman"/>
          <w:sz w:val="28"/>
          <w:szCs w:val="28"/>
        </w:rPr>
        <w:t>tivos tributarios o igualación de cargas tributarias de una actividad económica que resulte relevante para efectos de la mitigación del cambio climático no constituye en sí misma una medida regresiva en materia ambiental. El Legislador no tiene prohibido m</w:t>
      </w:r>
      <w:r w:rsidRPr="00491C4A">
        <w:rPr>
          <w:rFonts w:ascii="Times New Roman" w:hAnsi="Times New Roman"/>
          <w:sz w:val="28"/>
          <w:szCs w:val="28"/>
        </w:rPr>
        <w:t>odificar los incentivos tributarios concedidos en algún momento a actividades económicas que reportan beneficios ambientales. El legislador conserva un amplio margen de configuración legislativa para modificar incentivos tributarios, evaluar su efectividad</w:t>
      </w:r>
      <w:r w:rsidRPr="00491C4A">
        <w:rPr>
          <w:rFonts w:ascii="Times New Roman" w:hAnsi="Times New Roman"/>
          <w:sz w:val="28"/>
          <w:szCs w:val="28"/>
        </w:rPr>
        <w:t xml:space="preserve"> e introducir medidas de ajuste. En particular, aun si la medida persigue fines de protección ambiental, de ello no se sigue que el legislador tenga prohibido evaluar si un incentivo ha logrado su objetivo y la actividad económica que pretendía fomentar es</w:t>
      </w:r>
      <w:r w:rsidRPr="00491C4A">
        <w:rPr>
          <w:rFonts w:ascii="Times New Roman" w:hAnsi="Times New Roman"/>
          <w:sz w:val="28"/>
          <w:szCs w:val="28"/>
        </w:rPr>
        <w:t>tá consolidada y puede ser fuente de capacidad contributiva para el financiamiento de los gastos e inversiones del Estado.</w:t>
      </w:r>
    </w:p>
    <w:p w:rsidR="004B32AA" w:rsidRPr="00491C4A" w:rsidRDefault="00491C4A" w:rsidP="004B32AA">
      <w:pPr>
        <w:pStyle w:val="Prrafodelista"/>
        <w:rPr>
          <w:rFonts w:ascii="Times New Roman" w:hAnsi="Times New Roman"/>
          <w:sz w:val="28"/>
          <w:szCs w:val="28"/>
        </w:rPr>
      </w:pPr>
    </w:p>
    <w:p w:rsidR="004B32AA" w:rsidRPr="00491C4A" w:rsidRDefault="00491C4A" w:rsidP="006911AD">
      <w:pPr>
        <w:pStyle w:val="Prrafodelista"/>
        <w:numPr>
          <w:ilvl w:val="0"/>
          <w:numId w:val="4"/>
        </w:numPr>
        <w:ind w:left="0" w:firstLine="0"/>
        <w:jc w:val="both"/>
        <w:rPr>
          <w:rFonts w:ascii="Times New Roman" w:hAnsi="Times New Roman"/>
          <w:sz w:val="28"/>
          <w:szCs w:val="28"/>
        </w:rPr>
      </w:pPr>
      <w:r w:rsidRPr="00491C4A">
        <w:rPr>
          <w:rFonts w:ascii="Times New Roman" w:hAnsi="Times New Roman"/>
          <w:sz w:val="28"/>
          <w:szCs w:val="28"/>
        </w:rPr>
        <w:t>En suma, la Corte encuentra que no está demostrado que la medida acusada tenga un efecto regresivo en la protección del derecho al a</w:t>
      </w:r>
      <w:r w:rsidRPr="00491C4A">
        <w:rPr>
          <w:rFonts w:ascii="Times New Roman" w:hAnsi="Times New Roman"/>
          <w:sz w:val="28"/>
          <w:szCs w:val="28"/>
        </w:rPr>
        <w:t>mbiente sano, en tanto no existe evidencia de que el aumento de la tarifa de las transferencias eléctricas prevista en el artículo 233 de la Ley 2294 de 2023 impida, retrase o retroceda el cumplimiento de los compromisos de mitigación del cambio climático.</w:t>
      </w:r>
      <w:r w:rsidRPr="00491C4A">
        <w:rPr>
          <w:rFonts w:ascii="Times New Roman" w:hAnsi="Times New Roman"/>
          <w:sz w:val="28"/>
          <w:szCs w:val="28"/>
        </w:rPr>
        <w:t xml:space="preserve"> En adición, el objetivo que persigue la norma en lugar de hacerla regresiva le confiere un contenido progresivo en términos de protección ambiental, y de garantía de otros derechos que la Constitución Política reconoce a las comunidades que soportan los e</w:t>
      </w:r>
      <w:r w:rsidRPr="00491C4A">
        <w:rPr>
          <w:rFonts w:ascii="Times New Roman" w:hAnsi="Times New Roman"/>
          <w:sz w:val="28"/>
          <w:szCs w:val="28"/>
        </w:rPr>
        <w:t xml:space="preserve">fectos de las medidas de protección ambiental. En consecuencia, el artículo 233 de la Ley 2294 de 2023 será declarado exequible por el cargo de violación del principio de progresividad y no regresividad en materia ambiental. </w:t>
      </w:r>
    </w:p>
    <w:p w:rsidR="004B32AA" w:rsidRPr="00491C4A" w:rsidRDefault="00491C4A" w:rsidP="004B32AA">
      <w:pPr>
        <w:pStyle w:val="Prrafodelista"/>
        <w:ind w:left="0"/>
        <w:jc w:val="both"/>
        <w:rPr>
          <w:rFonts w:ascii="Times New Roman" w:hAnsi="Times New Roman"/>
          <w:sz w:val="28"/>
          <w:szCs w:val="28"/>
        </w:rPr>
      </w:pPr>
    </w:p>
    <w:p w:rsidR="003D602D" w:rsidRPr="00491C4A" w:rsidRDefault="00491C4A" w:rsidP="003D602D">
      <w:pPr>
        <w:pStyle w:val="Prrafodelista"/>
        <w:rPr>
          <w:rFonts w:ascii="Times New Roman" w:hAnsi="Times New Roman"/>
          <w:sz w:val="28"/>
          <w:szCs w:val="28"/>
        </w:rPr>
      </w:pPr>
    </w:p>
    <w:p w:rsidR="00C80C08" w:rsidRPr="00491C4A" w:rsidRDefault="00491C4A" w:rsidP="00C80C08">
      <w:pPr>
        <w:pStyle w:val="Ttulo1"/>
        <w:numPr>
          <w:ilvl w:val="0"/>
          <w:numId w:val="2"/>
        </w:numPr>
        <w:spacing w:before="0"/>
        <w:ind w:left="0" w:firstLine="0"/>
        <w:jc w:val="both"/>
        <w:rPr>
          <w:rFonts w:ascii="Times New Roman" w:eastAsia="Calibri" w:hAnsi="Times New Roman"/>
          <w:b/>
          <w:bCs/>
          <w:color w:val="auto"/>
          <w:sz w:val="28"/>
          <w:szCs w:val="28"/>
          <w:lang w:val="es-ES" w:eastAsia="en-US"/>
        </w:rPr>
      </w:pPr>
      <w:bookmarkStart w:id="42" w:name="_Toc200753675"/>
      <w:r w:rsidRPr="00491C4A">
        <w:rPr>
          <w:rFonts w:ascii="Times New Roman" w:eastAsia="Calibri" w:hAnsi="Times New Roman"/>
          <w:b/>
          <w:bCs/>
          <w:color w:val="auto"/>
          <w:sz w:val="28"/>
          <w:szCs w:val="28"/>
          <w:lang w:val="es-ES" w:eastAsia="en-US"/>
        </w:rPr>
        <w:t>DECISIÓN</w:t>
      </w:r>
      <w:bookmarkEnd w:id="42"/>
    </w:p>
    <w:p w:rsidR="00C80C08" w:rsidRPr="00491C4A" w:rsidRDefault="00491C4A" w:rsidP="00C80C08">
      <w:pPr>
        <w:jc w:val="both"/>
        <w:rPr>
          <w:rFonts w:ascii="Times New Roman" w:eastAsia="Calibri" w:hAnsi="Times New Roman"/>
          <w:sz w:val="28"/>
          <w:szCs w:val="28"/>
          <w:lang w:val="es-ES" w:eastAsia="en-US"/>
        </w:rPr>
      </w:pPr>
    </w:p>
    <w:p w:rsidR="00C80C08" w:rsidRPr="00491C4A" w:rsidRDefault="00491C4A" w:rsidP="00C80C08">
      <w:pPr>
        <w:shd w:val="clear" w:color="auto" w:fill="FFFFFF"/>
        <w:jc w:val="both"/>
        <w:rPr>
          <w:rFonts w:ascii="Times New Roman" w:hAnsi="Times New Roman"/>
          <w:sz w:val="28"/>
          <w:szCs w:val="28"/>
        </w:rPr>
      </w:pPr>
      <w:r w:rsidRPr="00491C4A">
        <w:rPr>
          <w:rFonts w:ascii="Times New Roman" w:hAnsi="Times New Roman"/>
          <w:sz w:val="28"/>
          <w:szCs w:val="28"/>
        </w:rPr>
        <w:t xml:space="preserve">En mérito de lo </w:t>
      </w:r>
      <w:r w:rsidRPr="00491C4A">
        <w:rPr>
          <w:rFonts w:ascii="Times New Roman" w:hAnsi="Times New Roman"/>
          <w:sz w:val="28"/>
          <w:szCs w:val="28"/>
        </w:rPr>
        <w:t>expuesto, la Sala Plena de la Corte Constitucional, administrando justicia en nombre del pueblo y por mandato de la Constitución,</w:t>
      </w:r>
    </w:p>
    <w:p w:rsidR="00C80C08" w:rsidRPr="00491C4A" w:rsidRDefault="00491C4A" w:rsidP="00C80C08">
      <w:pPr>
        <w:rPr>
          <w:rFonts w:ascii="Times New Roman" w:eastAsia="Calibri" w:hAnsi="Times New Roman"/>
          <w:sz w:val="28"/>
          <w:szCs w:val="28"/>
          <w:lang w:eastAsia="en-US"/>
        </w:rPr>
      </w:pPr>
    </w:p>
    <w:p w:rsidR="00C80C08" w:rsidRPr="00491C4A" w:rsidRDefault="00491C4A" w:rsidP="00C80C08">
      <w:pPr>
        <w:pStyle w:val="Ttulo1"/>
        <w:spacing w:before="0"/>
        <w:jc w:val="center"/>
        <w:rPr>
          <w:rFonts w:ascii="Times New Roman" w:eastAsia="Calibri" w:hAnsi="Times New Roman"/>
          <w:b/>
          <w:bCs/>
          <w:color w:val="auto"/>
          <w:sz w:val="28"/>
          <w:szCs w:val="28"/>
          <w:lang w:val="es-ES" w:eastAsia="en-US"/>
        </w:rPr>
      </w:pPr>
      <w:bookmarkStart w:id="43" w:name="_Toc200753676"/>
      <w:r w:rsidRPr="00491C4A">
        <w:rPr>
          <w:rFonts w:ascii="Times New Roman" w:eastAsia="Calibri" w:hAnsi="Times New Roman"/>
          <w:b/>
          <w:bCs/>
          <w:color w:val="auto"/>
          <w:sz w:val="28"/>
          <w:szCs w:val="28"/>
          <w:lang w:val="es-ES" w:eastAsia="en-US"/>
        </w:rPr>
        <w:t>RESUELVE</w:t>
      </w:r>
      <w:bookmarkEnd w:id="43"/>
    </w:p>
    <w:p w:rsidR="00C80C08" w:rsidRPr="00491C4A" w:rsidRDefault="00491C4A" w:rsidP="00C80C08">
      <w:pPr>
        <w:pStyle w:val="Prrafodelista"/>
        <w:autoSpaceDE w:val="0"/>
        <w:autoSpaceDN w:val="0"/>
        <w:adjustRightInd w:val="0"/>
        <w:jc w:val="both"/>
        <w:rPr>
          <w:rFonts w:ascii="Times New Roman" w:eastAsia="Calibri" w:hAnsi="Times New Roman"/>
          <w:sz w:val="28"/>
          <w:szCs w:val="28"/>
          <w:lang w:val="es-ES" w:eastAsia="en-US"/>
        </w:rPr>
      </w:pPr>
    </w:p>
    <w:p w:rsidR="007A069A" w:rsidRPr="00491C4A" w:rsidRDefault="00491C4A" w:rsidP="007877B6">
      <w:pPr>
        <w:jc w:val="both"/>
        <w:rPr>
          <w:rFonts w:ascii="Times New Roman" w:hAnsi="Times New Roman"/>
          <w:sz w:val="28"/>
          <w:szCs w:val="28"/>
          <w:lang w:val="es-ES"/>
        </w:rPr>
      </w:pPr>
      <w:r w:rsidRPr="00491C4A">
        <w:rPr>
          <w:rFonts w:ascii="Times New Roman" w:hAnsi="Times New Roman"/>
          <w:b/>
          <w:bCs/>
          <w:sz w:val="28"/>
          <w:szCs w:val="28"/>
          <w:lang w:val="es-MX"/>
        </w:rPr>
        <w:t xml:space="preserve">PRIMERO. ESTARSE A LO RESUELTO </w:t>
      </w:r>
      <w:r w:rsidRPr="00491C4A">
        <w:rPr>
          <w:rFonts w:ascii="Times New Roman" w:hAnsi="Times New Roman"/>
          <w:sz w:val="28"/>
          <w:szCs w:val="28"/>
          <w:lang w:val="es-MX"/>
        </w:rPr>
        <w:t>en la Sentencia C-</w:t>
      </w:r>
      <w:r w:rsidRPr="00491C4A">
        <w:rPr>
          <w:rFonts w:ascii="Times New Roman" w:hAnsi="Times New Roman"/>
          <w:sz w:val="28"/>
          <w:szCs w:val="28"/>
          <w:lang w:val="es-MX"/>
        </w:rPr>
        <w:t>143</w:t>
      </w:r>
      <w:r w:rsidRPr="00491C4A">
        <w:rPr>
          <w:rFonts w:ascii="Times New Roman" w:hAnsi="Times New Roman"/>
          <w:sz w:val="28"/>
          <w:szCs w:val="28"/>
          <w:lang w:val="es-MX"/>
        </w:rPr>
        <w:t xml:space="preserve"> de 202</w:t>
      </w:r>
      <w:r w:rsidRPr="00491C4A">
        <w:rPr>
          <w:rFonts w:ascii="Times New Roman" w:hAnsi="Times New Roman"/>
          <w:sz w:val="28"/>
          <w:szCs w:val="28"/>
          <w:lang w:val="es-MX"/>
        </w:rPr>
        <w:t>5</w:t>
      </w:r>
      <w:r w:rsidRPr="00491C4A">
        <w:rPr>
          <w:rFonts w:ascii="Times New Roman" w:hAnsi="Times New Roman"/>
          <w:sz w:val="28"/>
          <w:szCs w:val="28"/>
          <w:lang w:val="es-MX"/>
        </w:rPr>
        <w:t xml:space="preserve"> que declaró</w:t>
      </w:r>
      <w:r w:rsidRPr="00491C4A">
        <w:rPr>
          <w:rFonts w:ascii="Times New Roman" w:hAnsi="Times New Roman"/>
          <w:sz w:val="28"/>
          <w:szCs w:val="28"/>
          <w:lang w:val="es-MX"/>
        </w:rPr>
        <w:t xml:space="preserve"> exequible el artículo 233 de la Ley 2294 d</w:t>
      </w:r>
      <w:r w:rsidRPr="00491C4A">
        <w:rPr>
          <w:rFonts w:ascii="Times New Roman" w:hAnsi="Times New Roman"/>
          <w:sz w:val="28"/>
          <w:szCs w:val="28"/>
          <w:lang w:val="es-MX"/>
        </w:rPr>
        <w:t>e 2023 por no vulnerar el principio de unidad de materia.</w:t>
      </w:r>
    </w:p>
    <w:p w:rsidR="007A069A" w:rsidRPr="00491C4A" w:rsidRDefault="00491C4A" w:rsidP="00C80C08">
      <w:pPr>
        <w:jc w:val="both"/>
        <w:rPr>
          <w:rFonts w:ascii="Times New Roman" w:hAnsi="Times New Roman"/>
          <w:sz w:val="28"/>
          <w:szCs w:val="28"/>
          <w:lang w:val="es-ES"/>
        </w:rPr>
      </w:pPr>
    </w:p>
    <w:p w:rsidR="00564E3A" w:rsidRPr="00491C4A" w:rsidRDefault="00491C4A" w:rsidP="00564E3A">
      <w:pPr>
        <w:autoSpaceDE w:val="0"/>
        <w:autoSpaceDN w:val="0"/>
        <w:adjustRightInd w:val="0"/>
        <w:jc w:val="both"/>
        <w:rPr>
          <w:rFonts w:ascii="Times New Roman" w:eastAsia="Calibri" w:hAnsi="Times New Roman"/>
          <w:sz w:val="28"/>
          <w:szCs w:val="28"/>
          <w:lang w:val="es-ES" w:eastAsia="en-US"/>
        </w:rPr>
      </w:pPr>
      <w:r w:rsidRPr="00491C4A">
        <w:rPr>
          <w:rFonts w:ascii="Times New Roman" w:eastAsia="Calibri" w:hAnsi="Times New Roman"/>
          <w:b/>
          <w:bCs/>
          <w:sz w:val="28"/>
          <w:szCs w:val="28"/>
          <w:lang w:val="es-ES" w:eastAsia="en-US"/>
        </w:rPr>
        <w:t xml:space="preserve">SEGUNDO. </w:t>
      </w:r>
      <w:r w:rsidRPr="00491C4A">
        <w:rPr>
          <w:rFonts w:ascii="Times New Roman" w:eastAsia="Calibri" w:hAnsi="Times New Roman"/>
          <w:sz w:val="28"/>
          <w:szCs w:val="28"/>
          <w:lang w:val="es-ES" w:eastAsia="en-US"/>
        </w:rPr>
        <w:t xml:space="preserve">Declarar </w:t>
      </w:r>
      <w:r w:rsidRPr="00491C4A">
        <w:rPr>
          <w:rFonts w:ascii="Times New Roman" w:eastAsia="Calibri" w:hAnsi="Times New Roman"/>
          <w:b/>
          <w:bCs/>
          <w:sz w:val="28"/>
          <w:szCs w:val="28"/>
          <w:lang w:val="es-ES" w:eastAsia="en-US"/>
        </w:rPr>
        <w:t xml:space="preserve">EXEQUIBLE </w:t>
      </w:r>
      <w:r w:rsidRPr="00491C4A">
        <w:rPr>
          <w:rFonts w:ascii="Times New Roman" w:eastAsia="Calibri" w:hAnsi="Times New Roman"/>
          <w:sz w:val="28"/>
          <w:szCs w:val="28"/>
          <w:lang w:val="es-ES" w:eastAsia="en-US"/>
        </w:rPr>
        <w:t>el artículo 233 de la Ley 2294 de 2023</w:t>
      </w:r>
      <w:r w:rsidRPr="00491C4A">
        <w:rPr>
          <w:rFonts w:ascii="Times New Roman" w:eastAsia="Calibri" w:hAnsi="Times New Roman"/>
          <w:sz w:val="28"/>
          <w:szCs w:val="28"/>
          <w:lang w:val="es-ES" w:eastAsia="en-US"/>
        </w:rPr>
        <w:t>,</w:t>
      </w:r>
      <w:r w:rsidRPr="00491C4A">
        <w:rPr>
          <w:rFonts w:ascii="Times New Roman" w:eastAsia="Calibri" w:hAnsi="Times New Roman"/>
          <w:sz w:val="28"/>
          <w:szCs w:val="28"/>
          <w:lang w:val="es-ES" w:eastAsia="en-US"/>
        </w:rPr>
        <w:t xml:space="preserve"> por los </w:t>
      </w:r>
      <w:r w:rsidRPr="00491C4A">
        <w:rPr>
          <w:rFonts w:ascii="Times New Roman" w:eastAsia="Calibri" w:hAnsi="Times New Roman"/>
          <w:sz w:val="28"/>
          <w:szCs w:val="28"/>
          <w:lang w:val="es-ES" w:eastAsia="en-US"/>
        </w:rPr>
        <w:t xml:space="preserve">demás </w:t>
      </w:r>
      <w:r w:rsidRPr="00491C4A">
        <w:rPr>
          <w:rFonts w:ascii="Times New Roman" w:eastAsia="Calibri" w:hAnsi="Times New Roman"/>
          <w:sz w:val="28"/>
          <w:szCs w:val="28"/>
          <w:lang w:val="es-ES" w:eastAsia="en-US"/>
        </w:rPr>
        <w:t>cargos analizados.</w:t>
      </w:r>
    </w:p>
    <w:p w:rsidR="00564E3A" w:rsidRPr="00491C4A" w:rsidRDefault="00491C4A" w:rsidP="00C80C08">
      <w:pPr>
        <w:contextualSpacing/>
        <w:jc w:val="both"/>
        <w:rPr>
          <w:rFonts w:ascii="Times New Roman" w:eastAsia="Calibri" w:hAnsi="Times New Roman"/>
          <w:sz w:val="28"/>
          <w:szCs w:val="28"/>
          <w:lang w:val="es-ES" w:eastAsia="en-US"/>
        </w:rPr>
      </w:pPr>
    </w:p>
    <w:p w:rsidR="00C80C08" w:rsidRPr="00491C4A" w:rsidRDefault="00491C4A" w:rsidP="00C80C08">
      <w:pPr>
        <w:contextualSpacing/>
        <w:jc w:val="both"/>
        <w:rPr>
          <w:rFonts w:ascii="Times New Roman" w:eastAsia="Calibri" w:hAnsi="Times New Roman"/>
          <w:sz w:val="28"/>
          <w:szCs w:val="28"/>
          <w:lang w:val="es-ES" w:eastAsia="en-US"/>
        </w:rPr>
      </w:pPr>
      <w:r w:rsidRPr="00491C4A">
        <w:rPr>
          <w:rFonts w:ascii="Times New Roman" w:eastAsia="Calibri" w:hAnsi="Times New Roman"/>
          <w:sz w:val="28"/>
          <w:szCs w:val="28"/>
          <w:lang w:val="es-ES" w:eastAsia="en-US"/>
        </w:rPr>
        <w:t>Notifíquese, comuníquese y cúmplase.</w:t>
      </w:r>
    </w:p>
    <w:p w:rsidR="00A863C3" w:rsidRPr="00491C4A" w:rsidRDefault="00491C4A" w:rsidP="00C80C08">
      <w:pPr>
        <w:contextualSpacing/>
        <w:jc w:val="both"/>
        <w:rPr>
          <w:rFonts w:ascii="Times New Roman" w:eastAsia="Calibri" w:hAnsi="Times New Roman"/>
          <w:sz w:val="28"/>
          <w:szCs w:val="28"/>
          <w:lang w:val="es-ES" w:eastAsia="en-US"/>
        </w:rPr>
      </w:pPr>
    </w:p>
    <w:p w:rsidR="00256A35" w:rsidRPr="00491C4A" w:rsidRDefault="00491C4A" w:rsidP="00C80C08">
      <w:pPr>
        <w:contextualSpacing/>
        <w:jc w:val="both"/>
        <w:rPr>
          <w:rFonts w:ascii="Times New Roman" w:eastAsia="Calibri" w:hAnsi="Times New Roman"/>
          <w:sz w:val="28"/>
          <w:szCs w:val="28"/>
          <w:lang w:val="es-ES" w:eastAsia="en-US"/>
        </w:rPr>
      </w:pPr>
    </w:p>
    <w:p w:rsidR="00256A35" w:rsidRPr="00491C4A" w:rsidRDefault="00491C4A" w:rsidP="00C80C08">
      <w:pPr>
        <w:contextualSpacing/>
        <w:jc w:val="both"/>
        <w:rPr>
          <w:rFonts w:ascii="Times New Roman" w:eastAsia="Calibri" w:hAnsi="Times New Roman"/>
          <w:sz w:val="28"/>
          <w:szCs w:val="28"/>
          <w:lang w:val="es-ES" w:eastAsia="en-US"/>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JORGE ENRIQUE IBÁÑEZ NAJAR</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Presidente</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 xml:space="preserve">NATALIA ÁNGEL </w:t>
      </w:r>
      <w:r w:rsidRPr="00491C4A">
        <w:rPr>
          <w:rFonts w:ascii="Times New Roman" w:hAnsi="Times New Roman"/>
          <w:sz w:val="28"/>
          <w:szCs w:val="28"/>
        </w:rPr>
        <w:t>CABO</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Magistrada</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HECTOR ALFONSO CARVAJAL LONDOÑO</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Magistrado</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JUAN CARLOS CORTÉS GONZÁLEZ</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Magistrado</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LINA MARCELA ESCOBAR MARTÍNEZ</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Magistrada</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VLADIMIR FERNÁNDEZ ANDRADE</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Magistrado</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Con impedimento aceptado</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PAOLA ANDREA MENESES MOSQUERA</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w:t>
      </w:r>
      <w:r w:rsidRPr="00491C4A">
        <w:rPr>
          <w:rFonts w:ascii="Times New Roman" w:hAnsi="Times New Roman"/>
          <w:sz w:val="28"/>
          <w:szCs w:val="28"/>
        </w:rPr>
        <w:t>a</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MIGUEL POLO ROSERO</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Magistrado</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JOSE FERNANDO REYES CUARTAS</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Magistrado</w:t>
      </w: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256A35" w:rsidRPr="00491C4A" w:rsidRDefault="00491C4A" w:rsidP="00006E5E">
      <w:pPr>
        <w:pStyle w:val="Prrafodelista"/>
        <w:ind w:left="0"/>
        <w:jc w:val="center"/>
        <w:rPr>
          <w:rFonts w:ascii="Times New Roman" w:hAnsi="Times New Roman"/>
          <w:sz w:val="28"/>
          <w:szCs w:val="28"/>
        </w:rPr>
      </w:pP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ANDREA LILIANA ROMERO LOPEZ</w:t>
      </w:r>
    </w:p>
    <w:p w:rsidR="00006E5E" w:rsidRPr="00491C4A" w:rsidRDefault="00491C4A" w:rsidP="00006E5E">
      <w:pPr>
        <w:pStyle w:val="Prrafodelista"/>
        <w:ind w:left="0"/>
        <w:jc w:val="center"/>
        <w:rPr>
          <w:rFonts w:ascii="Times New Roman" w:hAnsi="Times New Roman"/>
          <w:sz w:val="28"/>
          <w:szCs w:val="28"/>
        </w:rPr>
      </w:pPr>
      <w:r w:rsidRPr="00491C4A">
        <w:rPr>
          <w:rFonts w:ascii="Times New Roman" w:hAnsi="Times New Roman"/>
          <w:sz w:val="28"/>
          <w:szCs w:val="28"/>
        </w:rPr>
        <w:t>Secretaria General</w:t>
      </w:r>
    </w:p>
    <w:sectPr w:rsidR="00006E5E" w:rsidRPr="00491C4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91C4A">
      <w:pPr>
        <w:spacing w:after="0" w:line="240" w:lineRule="auto"/>
      </w:pPr>
      <w:r>
        <w:separator/>
      </w:r>
    </w:p>
  </w:endnote>
  <w:endnote w:type="continuationSeparator" w:id="0">
    <w:p w:rsidR="00000000" w:rsidRDefault="00491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91C4A">
      <w:pPr>
        <w:spacing w:after="0" w:line="240" w:lineRule="auto"/>
      </w:pPr>
      <w:r>
        <w:separator/>
      </w:r>
    </w:p>
  </w:footnote>
  <w:footnote w:type="continuationSeparator" w:id="0">
    <w:p w:rsidR="00000000" w:rsidRDefault="00491C4A">
      <w:pPr>
        <w:spacing w:after="0" w:line="240" w:lineRule="auto"/>
      </w:pPr>
      <w:r>
        <w:continuationSeparator/>
      </w:r>
    </w:p>
  </w:footnote>
  <w:footnote w:id="1">
    <w:p w:rsidR="00406673" w:rsidRPr="003779AF" w:rsidRDefault="00491C4A" w:rsidP="00406673">
      <w:pPr>
        <w:pStyle w:val="Textonotapie"/>
      </w:pPr>
      <w:r w:rsidRPr="003779AF">
        <w:rPr>
          <w:rStyle w:val="Refdenotaalpie"/>
        </w:rPr>
        <w:footnoteRef/>
      </w:r>
      <w:r w:rsidRPr="003779AF">
        <w:t xml:space="preserve"> Expediente digital: </w:t>
      </w:r>
      <w:hyperlink r:id="rId1" w:tgtFrame="_blank" w:history="1">
        <w:r w:rsidRPr="003779AF">
          <w:rPr>
            <w:rStyle w:val="Hipervnculo"/>
          </w:rPr>
          <w:t xml:space="preserve">Demanda </w:t>
        </w:r>
        <w:r w:rsidRPr="003779AF">
          <w:rPr>
            <w:rStyle w:val="Hipervnculo"/>
          </w:rPr>
          <w:t>ciudadana</w:t>
        </w:r>
      </w:hyperlink>
      <w:r w:rsidRPr="003779AF">
        <w:t>.</w:t>
      </w:r>
    </w:p>
  </w:footnote>
  <w:footnote w:id="2">
    <w:p w:rsidR="00406673" w:rsidRPr="003779AF" w:rsidRDefault="00491C4A" w:rsidP="00406673">
      <w:pPr>
        <w:pStyle w:val="Textonotapie"/>
      </w:pPr>
      <w:r w:rsidRPr="003779AF">
        <w:rPr>
          <w:rStyle w:val="Refdenotaalpie"/>
        </w:rPr>
        <w:footnoteRef/>
      </w:r>
      <w:r w:rsidRPr="003779AF">
        <w:t xml:space="preserve"> Expediente digital: </w:t>
      </w:r>
      <w:hyperlink r:id="rId2" w:tgtFrame="_blank" w:history="1">
        <w:r w:rsidRPr="003779AF">
          <w:rPr>
            <w:rStyle w:val="Hipervnculo"/>
          </w:rPr>
          <w:t>información del radicado y envío de vínculo web.</w:t>
        </w:r>
      </w:hyperlink>
    </w:p>
  </w:footnote>
  <w:footnote w:id="3">
    <w:p w:rsidR="00406673" w:rsidRPr="003779AF" w:rsidRDefault="00491C4A" w:rsidP="00406673">
      <w:pPr>
        <w:pStyle w:val="Textonotapie"/>
      </w:pPr>
      <w:r w:rsidRPr="003779AF">
        <w:rPr>
          <w:rStyle w:val="Refdenotaalpie"/>
        </w:rPr>
        <w:footnoteRef/>
      </w:r>
      <w:r w:rsidRPr="003779AF">
        <w:t xml:space="preserve"> Expediente digital: </w:t>
      </w:r>
      <w:hyperlink r:id="rId3" w:tgtFrame="_blank" w:history="1">
        <w:r w:rsidRPr="003779AF">
          <w:rPr>
            <w:rStyle w:val="Hipervnculo"/>
          </w:rPr>
          <w:t>ACTA DE REPARTO - SESIÓN SALA PLENA 25 de octubre de 2023</w:t>
        </w:r>
      </w:hyperlink>
      <w:r w:rsidRPr="003779AF">
        <w:t>.</w:t>
      </w:r>
    </w:p>
  </w:footnote>
  <w:footnote w:id="4">
    <w:p w:rsidR="00406673" w:rsidRPr="003779AF" w:rsidRDefault="00491C4A" w:rsidP="00406673">
      <w:pPr>
        <w:pStyle w:val="Textonotapie"/>
      </w:pPr>
      <w:r w:rsidRPr="003779AF">
        <w:rPr>
          <w:rStyle w:val="Refdenotaalpie"/>
        </w:rPr>
        <w:footnoteRef/>
      </w:r>
      <w:r w:rsidRPr="003779AF">
        <w:t xml:space="preserve"> Expediente digital: </w:t>
      </w:r>
      <w:hyperlink r:id="rId4" w:tgtFrame="_blank" w:history="1">
        <w:r w:rsidRPr="003779AF">
          <w:rPr>
            <w:rStyle w:val="Hipervnculo"/>
          </w:rPr>
          <w:t xml:space="preserve">Auto que Inadmite y Admite la </w:t>
        </w:r>
        <w:r w:rsidRPr="003779AF">
          <w:rPr>
            <w:rStyle w:val="Hipervnculo"/>
          </w:rPr>
          <w:t>demanda</w:t>
        </w:r>
      </w:hyperlink>
      <w:r w:rsidRPr="003779AF">
        <w:t>.</w:t>
      </w:r>
    </w:p>
  </w:footnote>
  <w:footnote w:id="5">
    <w:p w:rsidR="00406673" w:rsidRPr="003779AF" w:rsidRDefault="00491C4A" w:rsidP="00406673">
      <w:pPr>
        <w:pStyle w:val="Textonotapie"/>
        <w:jc w:val="both"/>
      </w:pPr>
      <w:r w:rsidRPr="003779AF">
        <w:rPr>
          <w:rStyle w:val="Refdenotaalpie"/>
        </w:rPr>
        <w:footnoteRef/>
      </w:r>
      <w:r w:rsidRPr="003779AF">
        <w:t xml:space="preserve"> Adicionalmente, dicha providencia ordenó que, una vez el auto quedara en firme, (i) el asunto fuera fijado en lista por el término de diez días para recibir intervenciones ciudadanas. También se determinó que (ii) la iniciación del proceso fuera</w:t>
      </w:r>
      <w:r w:rsidRPr="003779AF">
        <w:t xml:space="preserve"> comunicada a la Presidencia de Senado de la República, a la Presidencia de la Cámara de Representantes, al Departamento Administrativo de la Presidencia de la República, a la Unidad Administrativa Especial Dirección de Impuestos y Aduanas Nacionales (DIAN</w:t>
      </w:r>
      <w:r w:rsidRPr="003779AF">
        <w:t>), al Ministerio de Hacienda y Crédito Público, al Departamento Nacional de Planeación (DNP), al Ministerio de Minas y Energía, al Ministerio de Ambiente y Desarrollo Sostenible, al Ministerio del Interior, a la Unidad de Planeación Minero Energética (UPME</w:t>
      </w:r>
      <w:r w:rsidRPr="003779AF">
        <w:t>), a la Unidad Administrativa Especial Parques Nacionales Naturales, a la Comisión Nacional de Energía y Gas (CREG), a la Agencia Nacional de Licencias Ambientales. Igualmente, se ordenó que (iii) fueran invitados a participar la Federación Colombiana de M</w:t>
      </w:r>
      <w:r w:rsidRPr="003779AF">
        <w:t xml:space="preserve">unicipios, la Federación Nacional de Departamentos, el Instituto Colombiano de Derecho Tributario, la Academia Colombiana de Jurisprudencia, el Centro de Estudios de Derecho, Justicia y Sociedad (DEJUSTICIA), la Corporación Excelencia para la Justicia, el </w:t>
      </w:r>
      <w:r w:rsidRPr="003779AF">
        <w:t>Consejo Gremial Nacional y las Facultades de Derecho y economía de las Universidades de los Andes, Javeriana, Antioquia, de Caldas, del Cauca, Nacional, Externado de Colombia y del Rosario. Finalmente, se previó que (iv) se corriera traslado a la Procuradu</w:t>
      </w:r>
      <w:r w:rsidRPr="003779AF">
        <w:t>ría General de la Nación, para que rindiera el concepto de su competencia.</w:t>
      </w:r>
    </w:p>
  </w:footnote>
  <w:footnote w:id="6">
    <w:p w:rsidR="00406673" w:rsidRPr="003779AF" w:rsidRDefault="00491C4A" w:rsidP="00406673">
      <w:pPr>
        <w:pStyle w:val="Textonotapie"/>
      </w:pPr>
      <w:r w:rsidRPr="003779AF">
        <w:rPr>
          <w:rStyle w:val="Refdenotaalpie"/>
        </w:rPr>
        <w:footnoteRef/>
      </w:r>
      <w:r w:rsidRPr="003779AF">
        <w:t xml:space="preserve"> Expediente digital: </w:t>
      </w:r>
      <w:hyperlink r:id="rId5" w:tgtFrame="_blank" w:history="1">
        <w:r w:rsidRPr="003779AF">
          <w:rPr>
            <w:rStyle w:val="Hipervnculo"/>
          </w:rPr>
          <w:t>D0015525. Informe a despacho</w:t>
        </w:r>
      </w:hyperlink>
      <w:r w:rsidRPr="003779AF">
        <w:t>.</w:t>
      </w:r>
    </w:p>
  </w:footnote>
  <w:footnote w:id="7">
    <w:p w:rsidR="00406673" w:rsidRPr="003779AF" w:rsidRDefault="00491C4A" w:rsidP="00406673">
      <w:pPr>
        <w:pStyle w:val="Textonotapie"/>
      </w:pPr>
      <w:r w:rsidRPr="003779AF">
        <w:rPr>
          <w:rStyle w:val="Refdenotaalpie"/>
        </w:rPr>
        <w:footnoteRef/>
      </w:r>
      <w:r w:rsidRPr="003779AF">
        <w:t xml:space="preserve"> Expediente digital: </w:t>
      </w:r>
      <w:hyperlink r:id="rId6" w:tgtFrame="_blank" w:history="1">
        <w:r w:rsidRPr="003779AF">
          <w:rPr>
            <w:rStyle w:val="Hipervnculo"/>
          </w:rPr>
          <w:t>Auto que Rechaza, Admite la demanda y decreta la práctica de pruebas</w:t>
        </w:r>
      </w:hyperlink>
      <w:r w:rsidRPr="003779AF">
        <w:t>.</w:t>
      </w:r>
    </w:p>
  </w:footnote>
  <w:footnote w:id="8">
    <w:p w:rsidR="00406673" w:rsidRPr="003779AF" w:rsidRDefault="00491C4A" w:rsidP="00406673">
      <w:pPr>
        <w:pStyle w:val="Textonotapie"/>
        <w:jc w:val="both"/>
      </w:pPr>
      <w:r w:rsidRPr="003779AF">
        <w:rPr>
          <w:rStyle w:val="Refdenotaalpie"/>
        </w:rPr>
        <w:footnoteRef/>
      </w:r>
      <w:r w:rsidRPr="003779AF">
        <w:t xml:space="preserve"> El auto mencionado reiteró las órdenes consistentes en fijar en lista el proceso por co</w:t>
      </w:r>
      <w:r w:rsidRPr="003779AF">
        <w:t>nducto de la Secretaría General de esta corporación; comunicar el proceso a algunos de los sujetos enlistados en el auto del 25 de octubre de 2023; correr traslado al Ministerio Público e invitar a participar a distintas personas, entidades y organizacione</w:t>
      </w:r>
      <w:r w:rsidRPr="003779AF">
        <w:t>s. Dentro de dichas invitaciones se incluyó a la Fundación para la Educación Superior y el Desarrollo (FEDESARROLLO), al Departamento de la Guajira, la Asociación Interamericana para la Defensa del Ambiente (AIDA), la Mesa de Diálogo y Concertación para el</w:t>
      </w:r>
      <w:r w:rsidRPr="003779AF">
        <w:t xml:space="preserve"> Pueblo Wayúu, la Asociación Colombiana de Energía Eléctrica (Acolgen), la Asociación de Energías Renovables (SER COLOMBIA), el Centro Regional de Estudios de Energía, al Observatorio Fiscal de la Universidad Javeriana y al experto Tomás González. Así mism</w:t>
      </w:r>
      <w:r w:rsidRPr="003779AF">
        <w:t>o se invitó a participar a las Facultades de Derecho, Contabilidad y Economía de las Universidades de Antioquia, del Norte, del Valle, del Cauca, Externado de Colombia, del Rosario e Industrial de Santander.</w:t>
      </w:r>
    </w:p>
  </w:footnote>
  <w:footnote w:id="9">
    <w:p w:rsidR="00406673" w:rsidRPr="003779AF" w:rsidRDefault="00491C4A" w:rsidP="00406673">
      <w:pPr>
        <w:pStyle w:val="Prrafodelista"/>
        <w:autoSpaceDE w:val="0"/>
        <w:autoSpaceDN w:val="0"/>
        <w:ind w:left="0"/>
        <w:jc w:val="both"/>
        <w:rPr>
          <w:kern w:val="1"/>
          <w:sz w:val="20"/>
          <w:szCs w:val="20"/>
        </w:rPr>
      </w:pPr>
      <w:r w:rsidRPr="003779AF">
        <w:rPr>
          <w:rStyle w:val="Refdenotaalpie"/>
          <w:sz w:val="20"/>
          <w:szCs w:val="20"/>
        </w:rPr>
        <w:footnoteRef/>
      </w:r>
      <w:r w:rsidRPr="003779AF">
        <w:rPr>
          <w:sz w:val="20"/>
          <w:szCs w:val="20"/>
        </w:rPr>
        <w:t xml:space="preserve"> </w:t>
      </w:r>
      <w:r w:rsidRPr="00491C4A">
        <w:rPr>
          <w:kern w:val="1"/>
          <w:sz w:val="20"/>
          <w:szCs w:val="20"/>
        </w:rPr>
        <w:t xml:space="preserve">Por medio de la Secretaría General, envió los </w:t>
      </w:r>
      <w:r w:rsidRPr="00491C4A">
        <w:rPr>
          <w:kern w:val="1"/>
          <w:sz w:val="20"/>
          <w:szCs w:val="20"/>
        </w:rPr>
        <w:t>siguientes cuestionarios:</w:t>
      </w:r>
    </w:p>
    <w:p w:rsidR="00406673" w:rsidRPr="003779AF" w:rsidRDefault="00491C4A" w:rsidP="00406673">
      <w:pPr>
        <w:autoSpaceDE w:val="0"/>
        <w:autoSpaceDN w:val="0"/>
        <w:jc w:val="both"/>
        <w:rPr>
          <w:kern w:val="1"/>
          <w:sz w:val="20"/>
          <w:szCs w:val="20"/>
        </w:rPr>
      </w:pPr>
      <w:r w:rsidRPr="00491C4A">
        <w:rPr>
          <w:kern w:val="1"/>
          <w:sz w:val="20"/>
          <w:szCs w:val="20"/>
        </w:rPr>
        <w:t xml:space="preserve">a. Al Ministerio de Minas y Energía, con la finalidad de que informara sobre las obligaciones que tienen las plantas en operación de generación de energía producida con fuentes no convencionales con potencia nominal instalada </w:t>
      </w:r>
      <w:r w:rsidRPr="00491C4A">
        <w:rPr>
          <w:kern w:val="1"/>
          <w:sz w:val="20"/>
          <w:szCs w:val="20"/>
        </w:rPr>
        <w:t>superior a los 10.000 Kilovatios. También requirió a esa entidad la explicación de asuntos relacionados con la finalidad y el beneficio que se pretende conseguir con la expedición del artículo 233 de la Ley 2294 de 2023; el alcance de las expresiones ‘depa</w:t>
      </w:r>
      <w:r w:rsidRPr="00491C4A">
        <w:rPr>
          <w:kern w:val="1"/>
          <w:sz w:val="20"/>
          <w:szCs w:val="20"/>
        </w:rPr>
        <w:t>rtamentos de influencia’ y ‘área de influencia’, usadas en el artículo mencionado; el impacto del aumento gradual de la tasa de transferencia en los proyectos existentes y el costo de la energía producida a partir de fuentes no convencionales.</w:t>
      </w:r>
    </w:p>
    <w:p w:rsidR="00406673" w:rsidRPr="003779AF" w:rsidRDefault="00491C4A" w:rsidP="00406673">
      <w:pPr>
        <w:autoSpaceDE w:val="0"/>
        <w:autoSpaceDN w:val="0"/>
        <w:jc w:val="both"/>
        <w:rPr>
          <w:kern w:val="1"/>
          <w:sz w:val="20"/>
          <w:szCs w:val="20"/>
        </w:rPr>
      </w:pPr>
      <w:r w:rsidRPr="00491C4A">
        <w:rPr>
          <w:kern w:val="1"/>
          <w:sz w:val="20"/>
          <w:szCs w:val="20"/>
        </w:rPr>
        <w:t>b. A la Comi</w:t>
      </w:r>
      <w:r w:rsidRPr="00491C4A">
        <w:rPr>
          <w:kern w:val="1"/>
          <w:sz w:val="20"/>
          <w:szCs w:val="20"/>
        </w:rPr>
        <w:t>sión de Regulación de Energía y Gas, con el objetivo de que informara sobre las etapas para entrar en operación y los asuntos relacionados con las obligaciones de las plantas de generación de energía producidas a partir de fuentes no convencionales a las q</w:t>
      </w:r>
      <w:r w:rsidRPr="00491C4A">
        <w:rPr>
          <w:kern w:val="1"/>
          <w:sz w:val="20"/>
          <w:szCs w:val="20"/>
        </w:rPr>
        <w:t>ue se refiere la Ley 1715 de 2014, cuya potencia nominal instalada total supere los 10.000 kilovatios y se encuentren en operación desde el 13 de febrero de 2023.</w:t>
      </w:r>
    </w:p>
  </w:footnote>
  <w:footnote w:id="10">
    <w:p w:rsidR="00406673" w:rsidRPr="003779AF" w:rsidRDefault="00491C4A" w:rsidP="00406673">
      <w:pPr>
        <w:pStyle w:val="Textonotapie"/>
        <w:jc w:val="both"/>
      </w:pPr>
      <w:r w:rsidRPr="00491C4A">
        <w:rPr>
          <w:rStyle w:val="Refdenotaalpie"/>
        </w:rPr>
        <w:footnoteRef/>
      </w:r>
      <w:r w:rsidRPr="003779AF">
        <w:t xml:space="preserve"> Publicada en el Diario Oficial No. 52.400 del 19 de mayo de 2022.</w:t>
      </w:r>
    </w:p>
  </w:footnote>
  <w:footnote w:id="11">
    <w:p w:rsidR="00406673" w:rsidRPr="003779AF" w:rsidRDefault="00491C4A" w:rsidP="00406673">
      <w:pPr>
        <w:pStyle w:val="Textonotapie"/>
        <w:jc w:val="both"/>
      </w:pPr>
      <w:r w:rsidRPr="003779AF">
        <w:rPr>
          <w:rStyle w:val="Refdenotaalpie"/>
        </w:rPr>
        <w:footnoteRef/>
      </w:r>
      <w:r w:rsidRPr="003779AF">
        <w:t xml:space="preserve"> Al respecto, citan las </w:t>
      </w:r>
      <w:r w:rsidRPr="003779AF">
        <w:t xml:space="preserve">Sentencias C-648 de 2006, C-481 de 2019, C-314 de 2022 y C-080 de 2023. </w:t>
      </w:r>
    </w:p>
  </w:footnote>
  <w:footnote w:id="12">
    <w:p w:rsidR="00406673" w:rsidRPr="003779AF" w:rsidRDefault="00491C4A" w:rsidP="00406673">
      <w:pPr>
        <w:pStyle w:val="Prrafodelista"/>
        <w:ind w:left="0"/>
        <w:jc w:val="both"/>
        <w:rPr>
          <w:sz w:val="20"/>
          <w:szCs w:val="20"/>
        </w:rPr>
      </w:pPr>
      <w:r w:rsidRPr="003779AF">
        <w:rPr>
          <w:rStyle w:val="Refdenotaalpie"/>
          <w:sz w:val="20"/>
          <w:szCs w:val="20"/>
        </w:rPr>
        <w:footnoteRef/>
      </w:r>
      <w:r w:rsidRPr="003779AF">
        <w:rPr>
          <w:sz w:val="20"/>
          <w:szCs w:val="20"/>
        </w:rPr>
        <w:t xml:space="preserve"> </w:t>
      </w:r>
      <w:r w:rsidRPr="003779AF">
        <w:rPr>
          <w:sz w:val="20"/>
          <w:szCs w:val="20"/>
          <w:bdr w:val="nil"/>
        </w:rPr>
        <w:t xml:space="preserve">Según la demanda, el </w:t>
      </w:r>
      <w:r w:rsidRPr="003779AF">
        <w:rPr>
          <w:i/>
          <w:iCs/>
          <w:sz w:val="20"/>
          <w:szCs w:val="20"/>
          <w:bdr w:val="nil"/>
        </w:rPr>
        <w:t xml:space="preserve">iter </w:t>
      </w:r>
      <w:r w:rsidRPr="003779AF">
        <w:rPr>
          <w:sz w:val="20"/>
          <w:szCs w:val="20"/>
          <w:bdr w:val="nil"/>
        </w:rPr>
        <w:t>legislativo</w:t>
      </w:r>
      <w:r w:rsidRPr="003779AF">
        <w:rPr>
          <w:i/>
          <w:iCs/>
          <w:sz w:val="20"/>
          <w:szCs w:val="20"/>
          <w:bdr w:val="nil"/>
        </w:rPr>
        <w:t xml:space="preserve"> </w:t>
      </w:r>
      <w:r w:rsidRPr="003779AF">
        <w:rPr>
          <w:sz w:val="20"/>
          <w:szCs w:val="20"/>
          <w:bdr w:val="nil"/>
        </w:rPr>
        <w:t>de la norma habría sido el siguiente:</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De acuerdo con lo consignado en las Gacetas 388 y 386 de 2023, “</w:t>
      </w:r>
      <w:r w:rsidRPr="003779AF">
        <w:rPr>
          <w:i/>
          <w:iCs/>
          <w:sz w:val="20"/>
          <w:szCs w:val="20"/>
        </w:rPr>
        <w:t>los ponentes y coordinadores acuerdan mod</w:t>
      </w:r>
      <w:r w:rsidRPr="003779AF">
        <w:rPr>
          <w:i/>
          <w:iCs/>
          <w:sz w:val="20"/>
          <w:szCs w:val="20"/>
        </w:rPr>
        <w:t>ificar el texto aprobado por las comisiones conjuntas en primer debate, e incluir dentro del texto propuesto del artículo 207</w:t>
      </w:r>
      <w:r w:rsidRPr="003779AF">
        <w:rPr>
          <w:sz w:val="20"/>
          <w:szCs w:val="20"/>
        </w:rPr>
        <w:t xml:space="preserve"> </w:t>
      </w:r>
      <w:r w:rsidRPr="003779AF">
        <w:rPr>
          <w:i/>
          <w:iCs/>
          <w:sz w:val="20"/>
          <w:szCs w:val="20"/>
        </w:rPr>
        <w:t>para ponencia de segundo debate en Plenaria de Cámara y Senado dos párrafos nuevos</w:t>
      </w:r>
      <w:r w:rsidRPr="003779AF">
        <w:rPr>
          <w:sz w:val="20"/>
          <w:szCs w:val="20"/>
        </w:rPr>
        <w:t>”.</w:t>
      </w:r>
      <w:r w:rsidRPr="003779AF">
        <w:rPr>
          <w:rStyle w:val="Refdenotaalpie"/>
          <w:sz w:val="20"/>
          <w:szCs w:val="20"/>
        </w:rPr>
        <w:footnoteRef/>
      </w:r>
      <w:r w:rsidRPr="003779AF">
        <w:rPr>
          <w:sz w:val="20"/>
          <w:szCs w:val="20"/>
        </w:rPr>
        <w:t xml:space="preserve"> </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En la sesión del 2 de mayo de 2023 los auto</w:t>
      </w:r>
      <w:r w:rsidRPr="003779AF">
        <w:rPr>
          <w:sz w:val="20"/>
          <w:szCs w:val="20"/>
        </w:rPr>
        <w:t>res de las proposiciones de eliminación del artículo 207 resolvieron dejarlas como constancia.</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 xml:space="preserve"> Después se aprobó un bloque de artículos como venían en el informe de ponencia, dentro del cual se encontraba el 207; </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w:t>
      </w:r>
      <w:r w:rsidRPr="003779AF">
        <w:rPr>
          <w:i/>
          <w:iCs/>
          <w:sz w:val="20"/>
          <w:szCs w:val="20"/>
        </w:rPr>
        <w:t xml:space="preserve">Con posterioridad, se presentó una </w:t>
      </w:r>
      <w:r w:rsidRPr="003779AF">
        <w:rPr>
          <w:i/>
          <w:iCs/>
          <w:sz w:val="20"/>
          <w:szCs w:val="20"/>
        </w:rPr>
        <w:t>proposición de reapertura del debate del artículo 207 del Proyecto de Ley, la cual fue suscrita por un grupo de más de diez congresistas; sin embargo, dicha proposición no fue objeto de trámite por la mesa directiva de la Cámara de Representantes, lo que i</w:t>
      </w:r>
      <w:r w:rsidRPr="003779AF">
        <w:rPr>
          <w:i/>
          <w:iCs/>
          <w:sz w:val="20"/>
          <w:szCs w:val="20"/>
        </w:rPr>
        <w:t>mpidió que se diera la deliberación necesaria sobre la importancia de reabrir el debate en relación con este artículo</w:t>
      </w:r>
      <w:r w:rsidRPr="003779AF">
        <w:rPr>
          <w:sz w:val="20"/>
          <w:szCs w:val="20"/>
        </w:rPr>
        <w:t>”.</w:t>
      </w:r>
      <w:r w:rsidRPr="003779AF">
        <w:rPr>
          <w:rStyle w:val="Refdenotaalpie"/>
          <w:sz w:val="20"/>
          <w:szCs w:val="20"/>
        </w:rPr>
        <w:footnoteRef/>
      </w:r>
      <w:r w:rsidRPr="003779AF">
        <w:rPr>
          <w:sz w:val="20"/>
          <w:szCs w:val="20"/>
        </w:rPr>
        <w:t xml:space="preserve"> Así, el presidente anunció que las solicitudes de reapertura las dejarían para el final.</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w:t>
      </w:r>
      <w:r w:rsidRPr="003779AF">
        <w:rPr>
          <w:i/>
          <w:iCs/>
          <w:sz w:val="20"/>
          <w:szCs w:val="20"/>
        </w:rPr>
        <w:t xml:space="preserve">Enseguida, la representante Carolina Giraldo </w:t>
      </w:r>
      <w:r w:rsidRPr="003779AF">
        <w:rPr>
          <w:i/>
          <w:iCs/>
          <w:sz w:val="20"/>
          <w:szCs w:val="20"/>
        </w:rPr>
        <w:t>presentó una moción de orden relativa a las solicitudes de reapertura del debate de varios artículos del proyecto de ley</w:t>
      </w:r>
      <w:r w:rsidRPr="003779AF">
        <w:rPr>
          <w:sz w:val="20"/>
          <w:szCs w:val="20"/>
        </w:rPr>
        <w:t>”</w:t>
      </w:r>
      <w:r w:rsidRPr="003779AF">
        <w:rPr>
          <w:rStyle w:val="Refdenotaalpie"/>
          <w:sz w:val="20"/>
          <w:szCs w:val="20"/>
        </w:rPr>
        <w:footnoteRef/>
      </w:r>
      <w:r w:rsidRPr="003779AF">
        <w:rPr>
          <w:sz w:val="20"/>
          <w:szCs w:val="20"/>
        </w:rPr>
        <w:t>, la cual fue insistida por la representante Julia Miranda, luego de que el presidente reiterara que dicho asunto sería abordado de úl</w:t>
      </w:r>
      <w:r w:rsidRPr="003779AF">
        <w:rPr>
          <w:sz w:val="20"/>
          <w:szCs w:val="20"/>
        </w:rPr>
        <w:t>timas. La respuesta recibida fue del siguiente tenor: “</w:t>
      </w:r>
      <w:r w:rsidRPr="003779AF">
        <w:rPr>
          <w:i/>
          <w:iCs/>
          <w:sz w:val="20"/>
          <w:szCs w:val="20"/>
        </w:rPr>
        <w:t>como presidente de la plenaria, que tengo la potestad de administrar el debate, lo vuelvo a decir, voy a dejar al final las aperturas de las solicitudes de aperturas de los artículos, lo evaluaremos al</w:t>
      </w:r>
      <w:r w:rsidRPr="003779AF">
        <w:rPr>
          <w:i/>
          <w:iCs/>
          <w:sz w:val="20"/>
          <w:szCs w:val="20"/>
        </w:rPr>
        <w:t xml:space="preserve"> final después de dar trámite a los artículos pendientes por discutir</w:t>
      </w:r>
      <w:r w:rsidRPr="003779AF">
        <w:rPr>
          <w:sz w:val="20"/>
          <w:szCs w:val="20"/>
        </w:rPr>
        <w:t>”.</w:t>
      </w:r>
      <w:r w:rsidRPr="003779AF">
        <w:rPr>
          <w:rStyle w:val="Refdenotaalpie"/>
          <w:sz w:val="20"/>
          <w:szCs w:val="20"/>
        </w:rPr>
        <w:footnoteRef/>
      </w:r>
      <w:r w:rsidRPr="003779AF">
        <w:rPr>
          <w:sz w:val="20"/>
          <w:szCs w:val="20"/>
        </w:rPr>
        <w:t xml:space="preserve"> El presidente fue interpelado por el mismo tema en dos oportunidades posteriores.</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Paso a seguir, se acogió una propuesta dirigida a que cada partido priorizara un máximo de 5 artículo</w:t>
      </w:r>
      <w:r w:rsidRPr="003779AF">
        <w:rPr>
          <w:sz w:val="20"/>
          <w:szCs w:val="20"/>
        </w:rPr>
        <w:t>s para discutir, de tal forma que los demás fueran votados en bloque, para imprimir celeridad al procedimiento. “</w:t>
      </w:r>
      <w:r w:rsidRPr="003779AF">
        <w:rPr>
          <w:i/>
          <w:iCs/>
          <w:sz w:val="20"/>
          <w:szCs w:val="20"/>
        </w:rPr>
        <w:t>Dentro de estos artículos, se solicitó la priorización de la discusión del artículo 207, sin embargo, su deliberación fue negada por el preside</w:t>
      </w:r>
      <w:r w:rsidRPr="003779AF">
        <w:rPr>
          <w:i/>
          <w:iCs/>
          <w:sz w:val="20"/>
          <w:szCs w:val="20"/>
        </w:rPr>
        <w:t>nte de la Cámara bajo el argumento exclusivo de que ya se había aprobado</w:t>
      </w:r>
      <w:r w:rsidRPr="003779AF">
        <w:rPr>
          <w:sz w:val="20"/>
          <w:szCs w:val="20"/>
        </w:rPr>
        <w:t>”</w:t>
      </w:r>
      <w:r w:rsidRPr="003779AF">
        <w:rPr>
          <w:rStyle w:val="Refdenotaalpie"/>
          <w:sz w:val="20"/>
          <w:szCs w:val="20"/>
        </w:rPr>
        <w:footnoteRef/>
      </w:r>
      <w:r w:rsidRPr="003779AF">
        <w:rPr>
          <w:sz w:val="20"/>
          <w:szCs w:val="20"/>
        </w:rPr>
        <w:t>.</w:t>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w:t>
      </w:r>
      <w:r w:rsidRPr="003779AF">
        <w:rPr>
          <w:i/>
          <w:iCs/>
          <w:sz w:val="20"/>
          <w:szCs w:val="20"/>
        </w:rPr>
        <w:t>Posteriormente, el representante Andrés Forero Jiménez presentó una moción de orden relacionada con la reapertura de la discusión de los artículos</w:t>
      </w:r>
      <w:r w:rsidRPr="003779AF">
        <w:rPr>
          <w:sz w:val="20"/>
          <w:szCs w:val="20"/>
        </w:rPr>
        <w:t xml:space="preserve">. (…) </w:t>
      </w:r>
      <w:r w:rsidRPr="003779AF">
        <w:rPr>
          <w:i/>
          <w:iCs/>
          <w:sz w:val="20"/>
          <w:szCs w:val="20"/>
        </w:rPr>
        <w:t xml:space="preserve">El presidente de la Cámara </w:t>
      </w:r>
      <w:r w:rsidRPr="003779AF">
        <w:rPr>
          <w:i/>
          <w:iCs/>
          <w:sz w:val="20"/>
          <w:szCs w:val="20"/>
        </w:rPr>
        <w:t>negó esta petición, como sigue</w:t>
      </w:r>
      <w:r w:rsidRPr="003779AF">
        <w:rPr>
          <w:sz w:val="20"/>
          <w:szCs w:val="20"/>
        </w:rPr>
        <w:t>: (…) ‘</w:t>
      </w:r>
      <w:r w:rsidRPr="003779AF">
        <w:rPr>
          <w:i/>
          <w:iCs/>
          <w:sz w:val="20"/>
          <w:szCs w:val="20"/>
        </w:rPr>
        <w:t>ya hemos avanzado, continuemos con el acuerdo que habíamos hecho. Vamos a hacerlo rápido, si nos vamos a devolver o por coger otro camino, vamos a volver a perder tiempo, ya se tomó una decisión, echémosla para adelante</w:t>
      </w:r>
      <w:r w:rsidRPr="003779AF">
        <w:rPr>
          <w:i/>
          <w:iCs/>
          <w:sz w:val="20"/>
          <w:szCs w:val="20"/>
        </w:rPr>
        <w:t xml:space="preserve"> para poder avanzar</w:t>
      </w:r>
      <w:r w:rsidRPr="003779AF">
        <w:rPr>
          <w:sz w:val="20"/>
          <w:szCs w:val="20"/>
        </w:rPr>
        <w:t>”.</w:t>
      </w:r>
      <w:r w:rsidRPr="003779AF">
        <w:rPr>
          <w:rStyle w:val="Refdenotaalpie"/>
          <w:sz w:val="20"/>
          <w:szCs w:val="20"/>
        </w:rPr>
        <w:footnoteRef/>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w:t>
      </w:r>
      <w:r w:rsidRPr="003779AF">
        <w:rPr>
          <w:i/>
          <w:iCs/>
          <w:sz w:val="20"/>
          <w:szCs w:val="20"/>
        </w:rPr>
        <w:t>Nuevamente en la sesión plenaria de la Cámara de Representantes de 4 de junio de 2023 se retomó la discusión sobre las solicitudes de reapertura del debate de algunos artículos del proyecto de ley. Nuevamente el presidente de la Cám</w:t>
      </w:r>
      <w:r w:rsidRPr="003779AF">
        <w:rPr>
          <w:i/>
          <w:iCs/>
          <w:sz w:val="20"/>
          <w:szCs w:val="20"/>
        </w:rPr>
        <w:t>ara indicó que se discutiría sobre las reaperturas al final</w:t>
      </w:r>
      <w:r w:rsidRPr="003779AF">
        <w:rPr>
          <w:sz w:val="20"/>
          <w:szCs w:val="20"/>
        </w:rPr>
        <w:t>”.</w:t>
      </w:r>
      <w:r w:rsidRPr="003779AF">
        <w:rPr>
          <w:rStyle w:val="Refdenotaalpie"/>
          <w:sz w:val="20"/>
          <w:szCs w:val="20"/>
        </w:rPr>
        <w:footnoteRef/>
      </w:r>
    </w:p>
    <w:p w:rsidR="00406673" w:rsidRPr="003779AF" w:rsidRDefault="00491C4A" w:rsidP="00406673">
      <w:pPr>
        <w:pStyle w:val="Prrafodelista"/>
        <w:numPr>
          <w:ilvl w:val="2"/>
          <w:numId w:val="3"/>
        </w:numPr>
        <w:ind w:left="0" w:firstLine="0"/>
        <w:jc w:val="both"/>
        <w:rPr>
          <w:sz w:val="20"/>
          <w:szCs w:val="20"/>
        </w:rPr>
      </w:pPr>
      <w:r w:rsidRPr="003779AF">
        <w:rPr>
          <w:sz w:val="20"/>
          <w:szCs w:val="20"/>
        </w:rPr>
        <w:t>Frente a la insistencia de algunos representantes, el presidente “</w:t>
      </w:r>
      <w:r w:rsidRPr="003779AF">
        <w:rPr>
          <w:i/>
          <w:iCs/>
          <w:sz w:val="20"/>
          <w:szCs w:val="20"/>
        </w:rPr>
        <w:t>decidió negar la discusión sobre las proposiciones de reapertura de la discusión de ciertos artículos por razones de tiempo</w:t>
      </w:r>
      <w:r w:rsidRPr="003779AF">
        <w:rPr>
          <w:sz w:val="20"/>
          <w:szCs w:val="20"/>
        </w:rPr>
        <w:t>”.</w:t>
      </w:r>
      <w:r w:rsidRPr="003779AF">
        <w:rPr>
          <w:rStyle w:val="Refdenotaalpie"/>
          <w:sz w:val="20"/>
          <w:szCs w:val="20"/>
        </w:rPr>
        <w:footnoteRef/>
      </w:r>
      <w:r w:rsidRPr="003779AF">
        <w:rPr>
          <w:sz w:val="20"/>
          <w:szCs w:val="20"/>
        </w:rPr>
        <w:t xml:space="preserve"> </w:t>
      </w:r>
      <w:r w:rsidRPr="003779AF">
        <w:rPr>
          <w:sz w:val="20"/>
          <w:szCs w:val="20"/>
        </w:rPr>
        <w:t>Al respecto, el secretario informó al presidente que había “</w:t>
      </w:r>
      <w:r w:rsidRPr="003779AF">
        <w:rPr>
          <w:i/>
          <w:iCs/>
          <w:sz w:val="20"/>
          <w:szCs w:val="20"/>
        </w:rPr>
        <w:t>solicitud de reapertura de 19 proposiciones, pero hay proposiciones que piden reapertura de muchos artículos</w:t>
      </w:r>
      <w:r w:rsidRPr="003779AF">
        <w:rPr>
          <w:sz w:val="20"/>
          <w:szCs w:val="20"/>
        </w:rPr>
        <w:t>”.</w:t>
      </w:r>
      <w:r w:rsidRPr="003779AF">
        <w:rPr>
          <w:rStyle w:val="Refdenotaalpie"/>
          <w:sz w:val="20"/>
          <w:szCs w:val="20"/>
        </w:rPr>
        <w:footnoteRef/>
      </w:r>
      <w:r w:rsidRPr="003779AF">
        <w:rPr>
          <w:sz w:val="20"/>
          <w:szCs w:val="20"/>
        </w:rPr>
        <w:t xml:space="preserve"> Para zanjar la discusión de produjo en torno al tema el presidente afirmó lo siguien</w:t>
      </w:r>
      <w:r w:rsidRPr="003779AF">
        <w:rPr>
          <w:sz w:val="20"/>
          <w:szCs w:val="20"/>
        </w:rPr>
        <w:t>te: “</w:t>
      </w:r>
      <w:r w:rsidRPr="003779AF">
        <w:rPr>
          <w:i/>
          <w:iCs/>
          <w:sz w:val="20"/>
          <w:szCs w:val="20"/>
        </w:rPr>
        <w:t>el criterio mío ha sido lo más equitativo, con el mismo rasero para todos, con eso tomo las decisiones. Que pena con ustedes, no puedo abrir unos artículos y no abrir otros, y tampoco voy a permitir que en el marco de eso después terminen radicando un</w:t>
      </w:r>
      <w:r w:rsidRPr="003779AF">
        <w:rPr>
          <w:i/>
          <w:iCs/>
          <w:sz w:val="20"/>
          <w:szCs w:val="20"/>
        </w:rPr>
        <w:t>a proposición para terminar aceptando el artículo del proyecto del Senado, así que, con toda la claridad, no voy a abrir artículos en este momento si hay 120</w:t>
      </w:r>
      <w:r w:rsidRPr="003779AF">
        <w:rPr>
          <w:sz w:val="20"/>
          <w:szCs w:val="20"/>
        </w:rPr>
        <w:t>.” (Expediente digital, “Demanda ciudadana”, pág. 7).</w:t>
      </w:r>
    </w:p>
  </w:footnote>
  <w:footnote w:id="13">
    <w:p w:rsidR="008F7DE9" w:rsidRPr="003779AF" w:rsidRDefault="00491C4A">
      <w:pPr>
        <w:pStyle w:val="Textonotapie"/>
        <w:rPr>
          <w:i/>
          <w:iCs/>
          <w:lang w:val="es-MX"/>
        </w:rPr>
      </w:pPr>
      <w:r w:rsidRPr="003779AF">
        <w:rPr>
          <w:rStyle w:val="Refdenotaalpie"/>
        </w:rPr>
        <w:footnoteRef/>
      </w:r>
      <w:r w:rsidRPr="003779AF">
        <w:t xml:space="preserve"> </w:t>
      </w:r>
      <w:r w:rsidRPr="003779AF">
        <w:rPr>
          <w:lang w:val="es-MX"/>
        </w:rPr>
        <w:t>La gráfica se encuentra en las páginas 59 a</w:t>
      </w:r>
      <w:r w:rsidRPr="003779AF">
        <w:rPr>
          <w:lang w:val="es-MX"/>
        </w:rPr>
        <w:t xml:space="preserve"> 61 de la demanda.</w:t>
      </w:r>
      <w:r w:rsidRPr="003779AF">
        <w:rPr>
          <w:lang w:val="es-MX"/>
        </w:rPr>
        <w:t xml:space="preserve"> </w:t>
      </w:r>
      <w:r w:rsidRPr="003779AF">
        <w:rPr>
          <w:i/>
          <w:iCs/>
          <w:lang w:val="es-MX"/>
        </w:rPr>
        <w:t>Ibid.</w:t>
      </w:r>
    </w:p>
  </w:footnote>
  <w:footnote w:id="14">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15.</w:t>
      </w:r>
    </w:p>
  </w:footnote>
  <w:footnote w:id="15">
    <w:p w:rsidR="00406673" w:rsidRPr="003779AF" w:rsidRDefault="00491C4A" w:rsidP="00406673">
      <w:pPr>
        <w:pStyle w:val="Textonotapie"/>
        <w:jc w:val="both"/>
      </w:pPr>
      <w:r w:rsidRPr="003779AF">
        <w:rPr>
          <w:rStyle w:val="Refdenotaalpie"/>
        </w:rPr>
        <w:footnoteRef/>
      </w:r>
      <w:r w:rsidRPr="003779AF">
        <w:t xml:space="preserve"> Al respecto, consultar </w:t>
      </w:r>
      <w:hyperlink r:id="rId7" w:history="1">
        <w:r w:rsidRPr="003779AF">
          <w:rPr>
            <w:rStyle w:val="Hipervnculo"/>
          </w:rPr>
          <w:t>https://www.corteconstitucional.gov.co/secretaria/archivo.php?id=63716</w:t>
        </w:r>
      </w:hyperlink>
      <w:r w:rsidRPr="003779AF">
        <w:t xml:space="preserve"> y </w:t>
      </w:r>
      <w:hyperlink r:id="rId8" w:history="1">
        <w:r w:rsidRPr="003779AF">
          <w:rPr>
            <w:rStyle w:val="Hipervnculo"/>
          </w:rPr>
          <w:t>https://www.corteconstitucional.gov.co/secretaria/archivo.php?id=64477</w:t>
        </w:r>
      </w:hyperlink>
      <w:r w:rsidRPr="003779AF">
        <w:t>.</w:t>
      </w:r>
    </w:p>
  </w:footnote>
  <w:footnote w:id="16">
    <w:p w:rsidR="00406673" w:rsidRPr="003779AF" w:rsidRDefault="00491C4A" w:rsidP="00406673">
      <w:pPr>
        <w:pStyle w:val="Textonotapie"/>
        <w:jc w:val="both"/>
      </w:pPr>
      <w:r w:rsidRPr="003779AF">
        <w:rPr>
          <w:rStyle w:val="Refdenotaalpie"/>
        </w:rPr>
        <w:footnoteRef/>
      </w:r>
      <w:r w:rsidRPr="003779AF">
        <w:t xml:space="preserve"> Al respecto, consultar </w:t>
      </w:r>
      <w:hyperlink r:id="rId9" w:history="1">
        <w:r w:rsidRPr="003779AF">
          <w:rPr>
            <w:rStyle w:val="Hipervnculo"/>
          </w:rPr>
          <w:t>https://www.corteconstitucional.gov.co/secretaria/archivo.php?id=69613</w:t>
        </w:r>
      </w:hyperlink>
      <w:r w:rsidRPr="003779AF">
        <w:t xml:space="preserve"> y </w:t>
      </w:r>
      <w:hyperlink r:id="rId10" w:history="1">
        <w:r w:rsidRPr="003779AF">
          <w:rPr>
            <w:rStyle w:val="Hipervnculo"/>
          </w:rPr>
          <w:t>https://www.corteconstitucional.gov.co/secretaria/archivo.php?id=69676</w:t>
        </w:r>
      </w:hyperlink>
      <w:r w:rsidRPr="003779AF">
        <w:t>.</w:t>
      </w:r>
    </w:p>
  </w:footnote>
  <w:footnote w:id="17">
    <w:p w:rsidR="00406673" w:rsidRPr="003779AF" w:rsidRDefault="00491C4A" w:rsidP="00406673">
      <w:pPr>
        <w:pStyle w:val="Textonotapie"/>
        <w:jc w:val="both"/>
      </w:pPr>
      <w:r w:rsidRPr="003779AF">
        <w:rPr>
          <w:rStyle w:val="Refdenotaalpie"/>
        </w:rPr>
        <w:footnoteRef/>
      </w:r>
      <w:r w:rsidRPr="003779AF">
        <w:t xml:space="preserve"> </w:t>
      </w:r>
      <w:hyperlink r:id="rId11" w:history="1">
        <w:r w:rsidRPr="003779AF">
          <w:rPr>
            <w:rStyle w:val="Hipervnculo"/>
          </w:rPr>
          <w:t>https://www.corteconstitucional.gov.co/secretaria/archivo.php?id=71206</w:t>
        </w:r>
      </w:hyperlink>
      <w:r w:rsidRPr="003779AF">
        <w:t xml:space="preserve"> </w:t>
      </w:r>
    </w:p>
  </w:footnote>
  <w:footnote w:id="18">
    <w:p w:rsidR="00406673" w:rsidRPr="003779AF" w:rsidRDefault="00491C4A" w:rsidP="00406673">
      <w:pPr>
        <w:pStyle w:val="Textonotapie"/>
        <w:jc w:val="both"/>
      </w:pPr>
      <w:r w:rsidRPr="00491C4A">
        <w:rPr>
          <w:rStyle w:val="Refdenotaalpie"/>
        </w:rPr>
        <w:footnoteRef/>
      </w:r>
      <w:r w:rsidRPr="003779AF">
        <w:t xml:space="preserve"> Mediante el informe de pruebas del 24 de enero de 2024, la Secretaría General de la Corte Constitucional</w:t>
      </w:r>
      <w:r w:rsidRPr="003779AF">
        <w:t xml:space="preserve"> le comunicó al despacho del magistrado sustanciador el recibo de las pruebas enviadas por el Ministerio de Minas y Energía y la CREG. </w:t>
      </w:r>
    </w:p>
  </w:footnote>
  <w:footnote w:id="19">
    <w:p w:rsidR="00406673" w:rsidRPr="003779AF" w:rsidRDefault="00491C4A" w:rsidP="00406673">
      <w:pPr>
        <w:pStyle w:val="Textonotapie"/>
        <w:jc w:val="both"/>
      </w:pPr>
      <w:r w:rsidRPr="003779AF">
        <w:rPr>
          <w:rStyle w:val="Refdenotaalpie"/>
        </w:rPr>
        <w:footnoteRef/>
      </w:r>
      <w:r w:rsidRPr="003779AF">
        <w:t xml:space="preserve"> Expediente digital, “</w:t>
      </w:r>
      <w:r w:rsidRPr="003779AF">
        <w:rPr>
          <w:i/>
          <w:iCs/>
        </w:rPr>
        <w:t xml:space="preserve">Remisión de pruebas – Respuesta al oficio No. OPC-277 de </w:t>
      </w:r>
      <w:r w:rsidRPr="003779AF">
        <w:t>2023”, pág. 4.</w:t>
      </w:r>
    </w:p>
  </w:footnote>
  <w:footnote w:id="20">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4 y 5.</w:t>
      </w:r>
    </w:p>
  </w:footnote>
  <w:footnote w:id="21">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w:t>
      </w:r>
      <w:r w:rsidRPr="003779AF">
        <w:rPr>
          <w:i/>
          <w:iCs/>
        </w:rPr>
        <w:t xml:space="preserve"> </w:t>
      </w:r>
      <w:r w:rsidRPr="003779AF">
        <w:t>p. 5.</w:t>
      </w:r>
    </w:p>
  </w:footnote>
  <w:footnote w:id="22">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Ibidem</w:t>
      </w:r>
      <w:r w:rsidRPr="003779AF">
        <w:t>.</w:t>
      </w:r>
    </w:p>
  </w:footnote>
  <w:footnote w:id="23">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5-6.</w:t>
      </w:r>
    </w:p>
  </w:footnote>
  <w:footnote w:id="24">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w:t>
      </w:r>
      <w:r w:rsidRPr="003779AF">
        <w:rPr>
          <w:i/>
          <w:iCs/>
        </w:rPr>
        <w:t xml:space="preserve"> </w:t>
      </w:r>
      <w:r w:rsidRPr="003779AF">
        <w:t>6.</w:t>
      </w:r>
    </w:p>
  </w:footnote>
  <w:footnote w:id="25">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 xml:space="preserve">p. 10 y 11. </w:t>
      </w:r>
    </w:p>
  </w:footnote>
  <w:footnote w:id="26">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w:t>
      </w:r>
      <w:r w:rsidRPr="003779AF">
        <w:t>p. 12.</w:t>
      </w:r>
    </w:p>
  </w:footnote>
  <w:footnote w:id="27">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13.</w:t>
      </w:r>
    </w:p>
  </w:footnote>
  <w:footnote w:id="28">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Ibidem</w:t>
      </w:r>
      <w:r w:rsidRPr="003779AF">
        <w:t>. “</w:t>
      </w:r>
      <w:r w:rsidRPr="003779AF">
        <w:rPr>
          <w:i/>
          <w:iCs/>
        </w:rPr>
        <w:t xml:space="preserve">Por ejemplo, en La Guajira, se encuentran 20 proyectos de generación con punto de conexión asignado por la Unidad de Planeación Minero-Energética (UPME). Estos proyectos tienen en conjunto una capacidad máxima de 2,5 Gigavatios (GW). </w:t>
      </w:r>
    </w:p>
    <w:p w:rsidR="00406673" w:rsidRPr="003779AF" w:rsidRDefault="00491C4A" w:rsidP="00406673">
      <w:pPr>
        <w:pStyle w:val="Textonotapie"/>
        <w:jc w:val="both"/>
        <w:rPr>
          <w:i/>
          <w:iCs/>
        </w:rPr>
      </w:pPr>
      <w:r w:rsidRPr="003779AF">
        <w:rPr>
          <w:i/>
          <w:iCs/>
        </w:rPr>
        <w:t xml:space="preserve">De los 20 proyectos </w:t>
      </w:r>
      <w:r w:rsidRPr="003779AF">
        <w:rPr>
          <w:i/>
          <w:iCs/>
        </w:rPr>
        <w:t>de generación, 4 fueron asignados el año (2023) y en total proyectan una capacidad máxima de generación de 235,8 MW.</w:t>
      </w:r>
    </w:p>
    <w:p w:rsidR="00406673" w:rsidRPr="003779AF" w:rsidRDefault="00491C4A" w:rsidP="00406673">
      <w:pPr>
        <w:pStyle w:val="Textonotapie"/>
        <w:jc w:val="both"/>
        <w:rPr>
          <w:i/>
          <w:iCs/>
        </w:rPr>
      </w:pPr>
      <w:r w:rsidRPr="003779AF">
        <w:rPr>
          <w:i/>
          <w:iCs/>
        </w:rPr>
        <w:t xml:space="preserve"> De la totalidad de los proyectos de generación, 17 son parques eólicos y 3 proyectos de generación de energía fotovoltaica. </w:t>
      </w:r>
    </w:p>
    <w:p w:rsidR="00406673" w:rsidRPr="003779AF" w:rsidRDefault="00491C4A" w:rsidP="00406673">
      <w:pPr>
        <w:pStyle w:val="Textonotapie"/>
        <w:jc w:val="both"/>
        <w:rPr>
          <w:i/>
          <w:iCs/>
        </w:rPr>
      </w:pPr>
      <w:r w:rsidRPr="003779AF">
        <w:rPr>
          <w:i/>
          <w:iCs/>
        </w:rPr>
        <w:t xml:space="preserve">La Dirección </w:t>
      </w:r>
      <w:r w:rsidRPr="003779AF">
        <w:rPr>
          <w:i/>
          <w:iCs/>
        </w:rPr>
        <w:t xml:space="preserve">de la Autoridad Nacional de Consulta Previa- DANCP ha certificado (632) comunidades en procesos de consulta previa y se han registrado (136) procesos de gestión de conflictos. </w:t>
      </w:r>
    </w:p>
    <w:p w:rsidR="00406673" w:rsidRPr="003779AF" w:rsidRDefault="00491C4A" w:rsidP="00406673">
      <w:pPr>
        <w:pStyle w:val="Textonotapie"/>
        <w:jc w:val="both"/>
      </w:pPr>
      <w:r w:rsidRPr="003779AF">
        <w:rPr>
          <w:i/>
          <w:iCs/>
        </w:rPr>
        <w:t>Las inconformidades comunitarias son numerosas, pero giran en torno a elementos</w:t>
      </w:r>
      <w:r w:rsidRPr="003779AF">
        <w:rPr>
          <w:i/>
          <w:iCs/>
        </w:rPr>
        <w:t xml:space="preserve"> comunes. En primer lugar, las comunidades encuentran que el territorio se está convirtiendo en un gran parque eólico, con inversiones cuantiosas de empresas nacionales y extranjeras que proyectan generar energía para satisfacer la demanda interna e intern</w:t>
      </w:r>
      <w:r w:rsidRPr="003779AF">
        <w:rPr>
          <w:i/>
          <w:iCs/>
        </w:rPr>
        <w:t>acional, mientras muchas de ellas no cuentan con energía eléctrica, acueducto, agua potable y acceso suficiente a los alimentos, pero además, tendrán que soportar los impactos sobre sus territorios sagrados, ecosistemas frágiles, la avifauna y las áreas de</w:t>
      </w:r>
      <w:r w:rsidRPr="003779AF">
        <w:rPr>
          <w:i/>
          <w:iCs/>
        </w:rPr>
        <w:t>stinadas para la pesca artesanal y la conservación de ecosistemas de importancia ambiental, cultural y espiritual (INDEPAZ-2023)5 . El segundo elemento que condensa reclamos comunes en torno a los proyectos de generación es la exigencia de asegurar la demo</w:t>
      </w:r>
      <w:r w:rsidRPr="003779AF">
        <w:rPr>
          <w:i/>
          <w:iCs/>
        </w:rPr>
        <w:t>cratización de la Transición mediante la participación en beneficios por parte de las comunidades (para lo cual invocan reiteradamente el artículo 15.2 del Convenio 169 de la OIT), y la disponibilidad de recursos suficientes para atender los impactos socia</w:t>
      </w:r>
      <w:r w:rsidRPr="003779AF">
        <w:rPr>
          <w:i/>
          <w:iCs/>
        </w:rPr>
        <w:t>les, culturales, económicos y espirituales de la transición energétic</w:t>
      </w:r>
      <w:r w:rsidRPr="003779AF">
        <w:t>a.” (Expediente digital, “</w:t>
      </w:r>
      <w:r w:rsidRPr="003779AF">
        <w:rPr>
          <w:i/>
          <w:iCs/>
        </w:rPr>
        <w:t xml:space="preserve">Remisión de pruebas – Respuesta al oficio No. OPC-277 de </w:t>
      </w:r>
      <w:r w:rsidRPr="003779AF">
        <w:t>2023”, p. 14).</w:t>
      </w:r>
    </w:p>
  </w:footnote>
  <w:footnote w:id="29">
    <w:p w:rsidR="00406673" w:rsidRPr="003779AF" w:rsidRDefault="00491C4A" w:rsidP="00406673">
      <w:pPr>
        <w:pStyle w:val="Textonotapie"/>
        <w:jc w:val="both"/>
      </w:pPr>
      <w:r w:rsidRPr="003779AF">
        <w:rPr>
          <w:rStyle w:val="Refdenotaalpie"/>
        </w:rPr>
        <w:footnoteRef/>
      </w:r>
      <w:r w:rsidRPr="003779AF">
        <w:t xml:space="preserve"> Expediente digital, “</w:t>
      </w:r>
      <w:r w:rsidRPr="003779AF">
        <w:rPr>
          <w:i/>
          <w:iCs/>
        </w:rPr>
        <w:t xml:space="preserve">Remisión de pruebas – Respuesta al oficio No. OPC-277 de </w:t>
      </w:r>
      <w:r w:rsidRPr="003779AF">
        <w:t>2023”</w:t>
      </w:r>
      <w:r w:rsidRPr="003779AF">
        <w:rPr>
          <w:i/>
          <w:iCs/>
        </w:rPr>
        <w:t xml:space="preserve">, </w:t>
      </w:r>
      <w:r w:rsidRPr="003779AF">
        <w:t>p.</w:t>
      </w:r>
      <w:r w:rsidRPr="003779AF">
        <w:t xml:space="preserve"> 15.</w:t>
      </w:r>
    </w:p>
  </w:footnote>
  <w:footnote w:id="30">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16.</w:t>
      </w:r>
    </w:p>
  </w:footnote>
  <w:footnote w:id="31">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Ibidem.</w:t>
      </w:r>
    </w:p>
  </w:footnote>
  <w:footnote w:id="32">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17</w:t>
      </w:r>
    </w:p>
  </w:footnote>
  <w:footnote w:id="33">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La justicia distributiva se refiere a la asignación justa de las cargas y beneficios ambientales y de otro tipo entre todos los miembros de la sociedad, para lo cual se requiere encontrar diferentes formas de e</w:t>
      </w:r>
      <w:r w:rsidRPr="003779AF">
        <w:rPr>
          <w:i/>
          <w:iCs/>
        </w:rPr>
        <w:t>quilibrar los beneficios, las cargas y los riesgos económicos y de otro tipo. Según estudios empíricos, cuando los proyectos energéticos afectan directamente a los ciudadanos, estas consideraciones de equidad distributiva se vuelven más importantes para la</w:t>
      </w:r>
      <w:r w:rsidRPr="003779AF">
        <w:rPr>
          <w:i/>
          <w:iCs/>
        </w:rPr>
        <w:t xml:space="preserve"> aceptabilidad de estos proyectos 7. Al respecto, varios estudios mostraron que una distribución justa de los beneficios y las cargas aumentará la aceptabilidad de los proyectos de energía sostenible, por ejemplo, la gente prefiere una distribución equitat</w:t>
      </w:r>
      <w:r w:rsidRPr="003779AF">
        <w:rPr>
          <w:i/>
          <w:iCs/>
        </w:rPr>
        <w:t>iva de los beneficios regionales como la introducción de un fondo municipal para financiar medidas de protección del medio ambiente</w:t>
      </w:r>
      <w:r w:rsidRPr="003779AF">
        <w:t>.” (Expediente digital, “</w:t>
      </w:r>
      <w:r w:rsidRPr="003779AF">
        <w:rPr>
          <w:i/>
          <w:iCs/>
        </w:rPr>
        <w:t xml:space="preserve">Remisión de pruebas – Respuesta al oficio No. OPC-277 de </w:t>
      </w:r>
      <w:r w:rsidRPr="003779AF">
        <w:t>2023”, pág. 18).</w:t>
      </w:r>
    </w:p>
  </w:footnote>
  <w:footnote w:id="34">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18.</w:t>
      </w:r>
    </w:p>
  </w:footnote>
  <w:footnote w:id="35">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 xml:space="preserve">Ibid, </w:t>
      </w:r>
      <w:r w:rsidRPr="003779AF">
        <w:t xml:space="preserve">p. </w:t>
      </w:r>
      <w:r w:rsidRPr="003779AF">
        <w:t>19</w:t>
      </w:r>
      <w:r w:rsidRPr="003779AF">
        <w:rPr>
          <w:i/>
          <w:iCs/>
        </w:rPr>
        <w:t xml:space="preserve">. </w:t>
      </w:r>
    </w:p>
  </w:footnote>
  <w:footnote w:id="36">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Ibidem.</w:t>
      </w:r>
    </w:p>
  </w:footnote>
  <w:footnote w:id="37">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Ibidem.</w:t>
      </w:r>
    </w:p>
  </w:footnote>
  <w:footnote w:id="38">
    <w:p w:rsidR="00406673" w:rsidRPr="003779AF" w:rsidRDefault="00491C4A" w:rsidP="00406673">
      <w:pPr>
        <w:pStyle w:val="Textonotapie"/>
        <w:jc w:val="both"/>
      </w:pPr>
      <w:r w:rsidRPr="003779AF">
        <w:rPr>
          <w:rStyle w:val="Refdenotaalpie"/>
        </w:rPr>
        <w:footnoteRef/>
      </w:r>
      <w:r w:rsidRPr="003779AF">
        <w:t xml:space="preserve"> Se puede consultar en </w:t>
      </w:r>
      <w:hyperlink r:id="rId12" w:history="1">
        <w:r w:rsidRPr="003779AF">
          <w:rPr>
            <w:rStyle w:val="Hipervnculo"/>
          </w:rPr>
          <w:t>https://www.corteconstitucional.gov.co/secretaria/archivo.php?id=75333</w:t>
        </w:r>
      </w:hyperlink>
      <w:r w:rsidRPr="003779AF">
        <w:t>.</w:t>
      </w:r>
    </w:p>
  </w:footnote>
  <w:footnote w:id="39">
    <w:p w:rsidR="00406673" w:rsidRPr="003779AF" w:rsidRDefault="00491C4A" w:rsidP="00406673">
      <w:pPr>
        <w:pStyle w:val="Textonotapie"/>
        <w:jc w:val="both"/>
      </w:pPr>
      <w:r w:rsidRPr="003779AF">
        <w:rPr>
          <w:rStyle w:val="Refdenotaalpie"/>
        </w:rPr>
        <w:footnoteRef/>
      </w:r>
      <w:r w:rsidRPr="003779AF">
        <w:t xml:space="preserve"> Expediente digital, “</w:t>
      </w:r>
      <w:r w:rsidRPr="003779AF">
        <w:rPr>
          <w:i/>
          <w:iCs/>
        </w:rPr>
        <w:t>Remisión de pruebas – Res</w:t>
      </w:r>
      <w:r w:rsidRPr="003779AF">
        <w:rPr>
          <w:i/>
          <w:iCs/>
        </w:rPr>
        <w:t xml:space="preserve">puesta al oficio No. OPC-277 de </w:t>
      </w:r>
      <w:r w:rsidRPr="003779AF">
        <w:t>2023”</w:t>
      </w:r>
      <w:r w:rsidRPr="003779AF">
        <w:rPr>
          <w:i/>
          <w:iCs/>
        </w:rPr>
        <w:t xml:space="preserve">, </w:t>
      </w:r>
      <w:r w:rsidRPr="003779AF">
        <w:t>p. 22 y 23.</w:t>
      </w:r>
    </w:p>
  </w:footnote>
  <w:footnote w:id="40">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24.</w:t>
      </w:r>
    </w:p>
  </w:footnote>
  <w:footnote w:id="41">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Ibidem.</w:t>
      </w:r>
    </w:p>
  </w:footnote>
  <w:footnote w:id="42">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Ibidem.</w:t>
      </w:r>
    </w:p>
  </w:footnote>
  <w:footnote w:id="43">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25. “</w:t>
      </w:r>
      <w:r w:rsidRPr="003779AF">
        <w:rPr>
          <w:i/>
          <w:iCs/>
        </w:rPr>
        <w:t>Colombia avanza en medidas para responder a la crisis climática. Sin ser de los países que más emiten Gases de Efecto Invernadero, el país ha implementado</w:t>
      </w:r>
      <w:r w:rsidRPr="003779AF">
        <w:rPr>
          <w:i/>
          <w:iCs/>
        </w:rPr>
        <w:t xml:space="preserve"> medidas para avanzar hacia una Transición Energética. A diferencia de lógica extractiva con fines lucrativos de los países responsables por las mayores emisiones de gases efecto invernadero, la transición en Colombia implica posicionar en el centro de la </w:t>
      </w:r>
      <w:r w:rsidRPr="003779AF">
        <w:rPr>
          <w:i/>
          <w:iCs/>
        </w:rPr>
        <w:t>política a la dimensión cultural y socio ambiental que prevea la prevención y el pago por los daños ambientales y la protección de las comunidades y los territorios para que estos no resulten sacrificados en este proceso</w:t>
      </w:r>
      <w:r w:rsidRPr="003779AF">
        <w:t>.” ((Expediente digital, “</w:t>
      </w:r>
      <w:r w:rsidRPr="003779AF">
        <w:rPr>
          <w:i/>
          <w:iCs/>
        </w:rPr>
        <w:t>Remisión d</w:t>
      </w:r>
      <w:r w:rsidRPr="003779AF">
        <w:rPr>
          <w:i/>
          <w:iCs/>
        </w:rPr>
        <w:t xml:space="preserve">e pruebas – Respuesta al oficio No. OPC-277 de </w:t>
      </w:r>
      <w:r w:rsidRPr="003779AF">
        <w:t>2023”, pág. 25).</w:t>
      </w:r>
    </w:p>
  </w:footnote>
  <w:footnote w:id="44">
    <w:p w:rsidR="00406673" w:rsidRPr="003779AF" w:rsidRDefault="00491C4A" w:rsidP="00406673">
      <w:pPr>
        <w:pStyle w:val="Textonotapie"/>
        <w:jc w:val="both"/>
      </w:pPr>
      <w:r w:rsidRPr="003779AF">
        <w:rPr>
          <w:rStyle w:val="Refdenotaalpie"/>
        </w:rPr>
        <w:footnoteRef/>
      </w:r>
      <w:r w:rsidRPr="003779AF">
        <w:t xml:space="preserve"> Expediente digital, “</w:t>
      </w:r>
      <w:r w:rsidRPr="003779AF">
        <w:rPr>
          <w:i/>
          <w:iCs/>
        </w:rPr>
        <w:t>Respuesta al oficio -OPC- 278/23 Comisión de Regulación de Energía y Gas</w:t>
      </w:r>
      <w:r w:rsidRPr="003779AF">
        <w:t>”, p. 5.</w:t>
      </w:r>
    </w:p>
  </w:footnote>
  <w:footnote w:id="45">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Ibidem.</w:t>
      </w:r>
    </w:p>
  </w:footnote>
  <w:footnote w:id="46">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6.</w:t>
      </w:r>
    </w:p>
  </w:footnote>
  <w:footnote w:id="47">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Ibidem</w:t>
      </w:r>
    </w:p>
  </w:footnote>
  <w:footnote w:id="48">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5.</w:t>
      </w:r>
    </w:p>
  </w:footnote>
  <w:footnote w:id="49">
    <w:p w:rsidR="00406673" w:rsidRPr="003779AF" w:rsidRDefault="00491C4A" w:rsidP="00406673">
      <w:pPr>
        <w:pStyle w:val="Textonotapie"/>
        <w:jc w:val="both"/>
        <w:rPr>
          <w:i/>
          <w:iCs/>
        </w:rPr>
      </w:pPr>
      <w:r w:rsidRPr="003779AF">
        <w:rPr>
          <w:rStyle w:val="Refdenotaalpie"/>
        </w:rPr>
        <w:footnoteRef/>
      </w:r>
      <w:r w:rsidRPr="003779AF">
        <w:t xml:space="preserve"> “</w:t>
      </w:r>
      <w:r w:rsidRPr="003779AF">
        <w:rPr>
          <w:i/>
          <w:iCs/>
        </w:rPr>
        <w:t>En el cronograma de construcción deben</w:t>
      </w:r>
      <w:r w:rsidRPr="003779AF">
        <w:rPr>
          <w:i/>
          <w:iCs/>
        </w:rPr>
        <w:t xml:space="preserve"> estar las diferentes actividades para la construcción de la planta antes del inicio de las obligaciones, y la curva S que es una curva ponderada de las actividades que permite evaluar el porcentaje de avance de la construcción. Con el cronograma y la curv</w:t>
      </w:r>
      <w:r w:rsidRPr="003779AF">
        <w:rPr>
          <w:i/>
          <w:iCs/>
        </w:rPr>
        <w:t>a S, una auditoría contratada por el Operador del Mercado XM S.A ESP reporta el avance de la construcción y se estable los atrasos. Los informes de las auditorías de construcción se remiten al Ministerio de Minas y Energía, la Unidad de Planeación Minero E</w:t>
      </w:r>
      <w:r w:rsidRPr="003779AF">
        <w:rPr>
          <w:i/>
          <w:iCs/>
        </w:rPr>
        <w:t>nergética (UPME), la CREG y el operador del mercado.</w:t>
      </w:r>
    </w:p>
    <w:p w:rsidR="00406673" w:rsidRPr="003779AF" w:rsidRDefault="00491C4A" w:rsidP="00406673">
      <w:pPr>
        <w:pStyle w:val="Textonotapie"/>
        <w:jc w:val="both"/>
      </w:pPr>
      <w:r w:rsidRPr="003779AF">
        <w:rPr>
          <w:i/>
          <w:iCs/>
        </w:rPr>
        <w:t>El cronograma lo define el desarrollador del proyecto de acuerdo con las características de la planta y por lo general se tienen las actividades que se deben acometen para la construcción, tales como: di</w:t>
      </w:r>
      <w:r w:rsidRPr="003779AF">
        <w:rPr>
          <w:i/>
          <w:iCs/>
        </w:rPr>
        <w:t>seños, adquisición de predios, trámites de permisos y licencias, obras civiles, adquisición de equipos, obras eléctricas, pruebas y puesta en operación</w:t>
      </w:r>
      <w:r w:rsidRPr="003779AF">
        <w:t>.” (Expediente digital, “</w:t>
      </w:r>
      <w:r w:rsidRPr="003779AF">
        <w:rPr>
          <w:i/>
          <w:iCs/>
        </w:rPr>
        <w:t>Respuesta al oficio -OPC- 278/23 Comisión de Regulación de Energía y Gas</w:t>
      </w:r>
      <w:r w:rsidRPr="003779AF">
        <w:t>”, p. 6)</w:t>
      </w:r>
      <w:r w:rsidRPr="003779AF">
        <w:t>.</w:t>
      </w:r>
    </w:p>
  </w:footnote>
  <w:footnote w:id="50">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Respuesta al oficio -OPC- 278/23 Comisión de Regulación de Energía y Gas</w:t>
      </w:r>
      <w:r w:rsidRPr="003779AF">
        <w:t>”, p. 6.</w:t>
      </w:r>
    </w:p>
  </w:footnote>
  <w:footnote w:id="51">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7 y 8.</w:t>
      </w:r>
    </w:p>
  </w:footnote>
  <w:footnote w:id="52">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 </w:t>
      </w:r>
      <w:r w:rsidRPr="003779AF">
        <w:t>p. 8.</w:t>
      </w:r>
    </w:p>
  </w:footnote>
  <w:footnote w:id="53">
    <w:p w:rsidR="00406673" w:rsidRPr="003779AF" w:rsidRDefault="00491C4A" w:rsidP="00406673">
      <w:pPr>
        <w:pStyle w:val="Textonotapie"/>
        <w:jc w:val="both"/>
      </w:pPr>
      <w:r w:rsidRPr="003779AF">
        <w:rPr>
          <w:rStyle w:val="Refdenotaalpie"/>
        </w:rPr>
        <w:footnoteRef/>
      </w:r>
      <w:r w:rsidRPr="003779AF">
        <w:t xml:space="preserve"> </w:t>
      </w:r>
      <w:r w:rsidRPr="003779AF">
        <w:rPr>
          <w:i/>
          <w:iCs/>
        </w:rPr>
        <w:t xml:space="preserve">Ibidem, </w:t>
      </w:r>
      <w:r w:rsidRPr="003779AF">
        <w:t>p. 9.</w:t>
      </w:r>
    </w:p>
  </w:footnote>
  <w:footnote w:id="54">
    <w:p w:rsidR="00406673" w:rsidRPr="003779AF" w:rsidRDefault="00491C4A" w:rsidP="00406673">
      <w:pPr>
        <w:pStyle w:val="Textonotapie"/>
      </w:pPr>
      <w:r w:rsidRPr="003779AF">
        <w:rPr>
          <w:rStyle w:val="Refdenotaalpie"/>
        </w:rPr>
        <w:footnoteRef/>
      </w:r>
      <w:r w:rsidRPr="003779AF">
        <w:t xml:space="preserve"> La presidencia de la República y el Ministerio de Ambiente y Desarrollo Sostenible.</w:t>
      </w:r>
    </w:p>
  </w:footnote>
  <w:footnote w:id="55">
    <w:p w:rsidR="00406673" w:rsidRPr="003779AF" w:rsidRDefault="00491C4A" w:rsidP="00406673">
      <w:pPr>
        <w:pStyle w:val="Textonotapie"/>
      </w:pPr>
      <w:r w:rsidRPr="003779AF">
        <w:rPr>
          <w:rStyle w:val="Refdenotaalpie"/>
        </w:rPr>
        <w:footnoteRef/>
      </w:r>
      <w:r w:rsidRPr="003779AF">
        <w:t xml:space="preserve"> El Ministerio de Hacienda y Crédit</w:t>
      </w:r>
      <w:r w:rsidRPr="003779AF">
        <w:t>o Público, el Departamento Nacional de Planeación, el Ministerio de Minas y Energía y la Presidencia de la República.</w:t>
      </w:r>
    </w:p>
  </w:footnote>
  <w:footnote w:id="56">
    <w:p w:rsidR="00406673" w:rsidRPr="003779AF" w:rsidRDefault="00491C4A" w:rsidP="00406673">
      <w:pPr>
        <w:pStyle w:val="Textonotapie"/>
      </w:pPr>
      <w:r w:rsidRPr="003779AF">
        <w:rPr>
          <w:rStyle w:val="Refdenotaalpie"/>
        </w:rPr>
        <w:footnoteRef/>
      </w:r>
      <w:r w:rsidRPr="003779AF">
        <w:t xml:space="preserve"> La Federación Colombiana de Municipios.</w:t>
      </w:r>
    </w:p>
  </w:footnote>
  <w:footnote w:id="57">
    <w:p w:rsidR="00406673" w:rsidRPr="003779AF" w:rsidRDefault="00491C4A" w:rsidP="00406673">
      <w:pPr>
        <w:pStyle w:val="Textonotapie"/>
      </w:pPr>
      <w:r w:rsidRPr="003779AF">
        <w:rPr>
          <w:rStyle w:val="Refdenotaalpie"/>
        </w:rPr>
        <w:footnoteRef/>
      </w:r>
      <w:r w:rsidRPr="003779AF">
        <w:t xml:space="preserve"> El Ministerio de Minas y Energía, el Departamento Nacional de Planeación, la Presidencia de la</w:t>
      </w:r>
      <w:r w:rsidRPr="003779AF">
        <w:t xml:space="preserve"> República, el Ministerio de Hacienda y Crédito Público, la Universidad Externado de Colombia y la Academia Colombiana de Jurisprudencia.</w:t>
      </w:r>
    </w:p>
  </w:footnote>
  <w:footnote w:id="58">
    <w:p w:rsidR="00406673" w:rsidRPr="003779AF" w:rsidRDefault="00491C4A" w:rsidP="00406673">
      <w:pPr>
        <w:pStyle w:val="Textonotapie"/>
      </w:pPr>
      <w:r w:rsidRPr="003779AF">
        <w:rPr>
          <w:rStyle w:val="Refdenotaalpie"/>
        </w:rPr>
        <w:footnoteRef/>
      </w:r>
      <w:r w:rsidRPr="003779AF">
        <w:t xml:space="preserve"> La Asociación de Energías Renovables Colombia y el ICDT.</w:t>
      </w:r>
    </w:p>
  </w:footnote>
  <w:footnote w:id="59">
    <w:p w:rsidR="00406673" w:rsidRPr="003779AF" w:rsidRDefault="00491C4A" w:rsidP="00406673">
      <w:pPr>
        <w:pStyle w:val="Textonotapie"/>
      </w:pPr>
      <w:r w:rsidRPr="003779AF">
        <w:rPr>
          <w:rStyle w:val="Refdenotaalpie"/>
        </w:rPr>
        <w:footnoteRef/>
      </w:r>
      <w:r w:rsidRPr="003779AF">
        <w:t xml:space="preserve"> El Ministerio de Minas y Energía, el Departamento Naciona</w:t>
      </w:r>
      <w:r w:rsidRPr="003779AF">
        <w:t>l de Planeación, el Ministerio de Ambiente y Desarrollo Sostenible, el Ministerio de Hacienda y Crédito Público, la Universidad Externado de Colombia y el ICDT.</w:t>
      </w:r>
    </w:p>
  </w:footnote>
  <w:footnote w:id="60">
    <w:p w:rsidR="00406673" w:rsidRPr="003779AF" w:rsidRDefault="00491C4A" w:rsidP="00406673">
      <w:pPr>
        <w:pStyle w:val="Textonotapie"/>
      </w:pPr>
      <w:r w:rsidRPr="003779AF">
        <w:rPr>
          <w:rStyle w:val="Refdenotaalpie"/>
        </w:rPr>
        <w:footnoteRef/>
      </w:r>
      <w:r w:rsidRPr="003779AF">
        <w:t xml:space="preserve"> La Universidad Externado de Colombia.</w:t>
      </w:r>
    </w:p>
  </w:footnote>
  <w:footnote w:id="61">
    <w:p w:rsidR="00406673" w:rsidRPr="003779AF" w:rsidRDefault="00491C4A" w:rsidP="00406673">
      <w:pPr>
        <w:pStyle w:val="Textonotapie"/>
      </w:pPr>
      <w:r w:rsidRPr="003779AF">
        <w:rPr>
          <w:rStyle w:val="Refdenotaalpie"/>
        </w:rPr>
        <w:footnoteRef/>
      </w:r>
      <w:r w:rsidRPr="003779AF">
        <w:t xml:space="preserve"> La </w:t>
      </w:r>
      <w:r w:rsidRPr="003779AF">
        <w:rPr>
          <w:iCs/>
        </w:rPr>
        <w:t>Asociación Colombia de Generadores de Energía Eléc</w:t>
      </w:r>
      <w:r w:rsidRPr="003779AF">
        <w:rPr>
          <w:iCs/>
        </w:rPr>
        <w:t>trica y Asociación de Energías Renovables Colombia.</w:t>
      </w:r>
    </w:p>
  </w:footnote>
  <w:footnote w:id="62">
    <w:p w:rsidR="00406673" w:rsidRPr="003779AF" w:rsidRDefault="00491C4A" w:rsidP="00406673">
      <w:pPr>
        <w:pStyle w:val="Textonotapie"/>
      </w:pPr>
      <w:r w:rsidRPr="003779AF">
        <w:rPr>
          <w:rStyle w:val="Refdenotaalpie"/>
        </w:rPr>
        <w:footnoteRef/>
      </w:r>
      <w:r w:rsidRPr="003779AF">
        <w:t xml:space="preserve"> El Ministerio de Minas y Energías, el Departamento Nacional de Planeación y la Academia Colombiana de Jurisprudencia.</w:t>
      </w:r>
    </w:p>
  </w:footnote>
  <w:footnote w:id="63">
    <w:p w:rsidR="00406673" w:rsidRPr="003779AF" w:rsidRDefault="00491C4A" w:rsidP="00406673">
      <w:pPr>
        <w:pStyle w:val="Textonotapie"/>
      </w:pPr>
      <w:r w:rsidRPr="003779AF">
        <w:rPr>
          <w:rStyle w:val="Refdenotaalpie"/>
        </w:rPr>
        <w:footnoteRef/>
      </w:r>
      <w:r w:rsidRPr="003779AF">
        <w:t xml:space="preserve"> La </w:t>
      </w:r>
      <w:r w:rsidRPr="003779AF">
        <w:rPr>
          <w:iCs/>
        </w:rPr>
        <w:t>Asociación Colombia de Generadores de Energía Eléctrica, la Asociación de Energ</w:t>
      </w:r>
      <w:r w:rsidRPr="003779AF">
        <w:rPr>
          <w:iCs/>
        </w:rPr>
        <w:t>ías Renovables Colombia y el ICDT.</w:t>
      </w:r>
    </w:p>
  </w:footnote>
  <w:footnote w:id="64">
    <w:p w:rsidR="009A6345" w:rsidRPr="003779AF" w:rsidRDefault="00491C4A" w:rsidP="00D74F06">
      <w:pPr>
        <w:pStyle w:val="Textonotapie"/>
        <w:jc w:val="both"/>
      </w:pPr>
      <w:r w:rsidRPr="00491C4A">
        <w:rPr>
          <w:rStyle w:val="Refdenotaalpie"/>
        </w:rPr>
        <w:footnoteRef/>
      </w:r>
      <w:r w:rsidRPr="003779AF">
        <w:t xml:space="preserve"> Expediente digital </w:t>
      </w:r>
      <w:r w:rsidRPr="003779AF">
        <w:rPr>
          <w:i/>
          <w:iCs/>
        </w:rPr>
        <w:t xml:space="preserve">“Concepto de la Procuradora General de la Nación </w:t>
      </w:r>
      <w:r w:rsidRPr="003779AF">
        <w:rPr>
          <w:i/>
          <w:iCs/>
        </w:rPr>
        <w:t>d</w:t>
      </w:r>
      <w:r w:rsidRPr="003779AF">
        <w:rPr>
          <w:i/>
          <w:iCs/>
        </w:rPr>
        <w:t>ra. Margarita Cabello Blanco</w:t>
      </w:r>
      <w:r w:rsidRPr="003779AF">
        <w:rPr>
          <w:i/>
          <w:iCs/>
        </w:rPr>
        <w:t>.</w:t>
      </w:r>
      <w:r w:rsidRPr="003779AF">
        <w:rPr>
          <w:i/>
          <w:iCs/>
        </w:rPr>
        <w:t>”</w:t>
      </w:r>
    </w:p>
  </w:footnote>
  <w:footnote w:id="65">
    <w:p w:rsidR="006853FE"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5</w:t>
      </w:r>
      <w:r w:rsidRPr="003779AF">
        <w:t>.</w:t>
      </w:r>
    </w:p>
  </w:footnote>
  <w:footnote w:id="66">
    <w:p w:rsidR="006853FE"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4</w:t>
      </w:r>
      <w:r w:rsidRPr="003779AF">
        <w:t>.</w:t>
      </w:r>
    </w:p>
  </w:footnote>
  <w:footnote w:id="67">
    <w:p w:rsidR="00AA0E7D" w:rsidRPr="003779AF" w:rsidRDefault="00491C4A" w:rsidP="00D74F06">
      <w:pPr>
        <w:pStyle w:val="Textonotapie"/>
        <w:jc w:val="both"/>
      </w:pPr>
      <w:r w:rsidRPr="003779AF">
        <w:rPr>
          <w:rStyle w:val="Refdenotaalpie"/>
        </w:rPr>
        <w:footnoteRef/>
      </w:r>
      <w:r w:rsidRPr="003779AF">
        <w:rPr>
          <w:i/>
          <w:iCs/>
        </w:rPr>
        <w:t xml:space="preserve">Ibid, </w:t>
      </w:r>
      <w:r w:rsidRPr="003779AF">
        <w:t>p.</w:t>
      </w:r>
      <w:r w:rsidRPr="003779AF">
        <w:t xml:space="preserve"> 4</w:t>
      </w:r>
      <w:r w:rsidRPr="003779AF">
        <w:t>.</w:t>
      </w:r>
    </w:p>
  </w:footnote>
  <w:footnote w:id="68">
    <w:p w:rsidR="007D55A4" w:rsidRPr="003779AF" w:rsidRDefault="00491C4A" w:rsidP="00D74F06">
      <w:pPr>
        <w:pStyle w:val="Textonotapie"/>
        <w:jc w:val="both"/>
      </w:pPr>
      <w:r w:rsidRPr="00491C4A">
        <w:rPr>
          <w:rStyle w:val="Refdenotaalpie"/>
        </w:rPr>
        <w:footnoteRef/>
      </w:r>
      <w:r w:rsidRPr="003779AF">
        <w:rPr>
          <w:i/>
          <w:iCs/>
          <w:shd w:val="clear" w:color="auto" w:fill="FFFFFF"/>
        </w:rPr>
        <w:t xml:space="preserve">“Artículo 241. A la Corte Constitucional se le confía la guarda de la </w:t>
      </w:r>
      <w:r w:rsidRPr="003779AF">
        <w:rPr>
          <w:i/>
          <w:iCs/>
          <w:shd w:val="clear" w:color="auto" w:fill="FFFFFF"/>
        </w:rPr>
        <w:t>integridad y supremacía de la Constitución, en los estrictos y precisos términos de este artículo. Con tal fin, cumplirá las siguientes funciones: (…) 4. Decidir sobre las demandas de inconstitucionalidad que presenten los ciudadanos contra las leyes, tant</w:t>
      </w:r>
      <w:r w:rsidRPr="003779AF">
        <w:rPr>
          <w:i/>
          <w:iCs/>
          <w:shd w:val="clear" w:color="auto" w:fill="FFFFFF"/>
        </w:rPr>
        <w:t>o por su contenido material como por vicios de procedimiento en su formación.”</w:t>
      </w:r>
    </w:p>
  </w:footnote>
  <w:footnote w:id="69">
    <w:p w:rsidR="000736D5" w:rsidRPr="003779AF" w:rsidRDefault="00491C4A" w:rsidP="00D74F06">
      <w:pPr>
        <w:pStyle w:val="Textonotapie"/>
        <w:jc w:val="both"/>
      </w:pPr>
      <w:r w:rsidRPr="00491C4A">
        <w:rPr>
          <w:rStyle w:val="Refdenotaalpie"/>
        </w:rPr>
        <w:footnoteRef/>
      </w:r>
      <w:r w:rsidRPr="003779AF">
        <w:t xml:space="preserve"> Constitución Política. Artículo 242. </w:t>
      </w:r>
      <w:r w:rsidRPr="003779AF">
        <w:rPr>
          <w:i/>
          <w:iCs/>
        </w:rPr>
        <w:t>“(…) 3. Las acciones por vicios de forma caducan en el término de un año, contado desde la publicación del respectivo acto.”</w:t>
      </w:r>
    </w:p>
  </w:footnote>
  <w:footnote w:id="70">
    <w:p w:rsidR="000736D5" w:rsidRPr="003779AF" w:rsidRDefault="00491C4A" w:rsidP="00D74F06">
      <w:pPr>
        <w:pStyle w:val="Textonotapie"/>
        <w:jc w:val="both"/>
      </w:pPr>
      <w:r w:rsidRPr="00491C4A">
        <w:rPr>
          <w:rStyle w:val="Refdenotaalpie"/>
        </w:rPr>
        <w:footnoteRef/>
      </w:r>
      <w:r w:rsidRPr="003779AF">
        <w:t xml:space="preserve"> Constitución Política. Artículo 242. </w:t>
      </w:r>
      <w:r w:rsidRPr="003779AF">
        <w:rPr>
          <w:i/>
          <w:iCs/>
        </w:rPr>
        <w:t>“(…) 3. Las acciones por vicios de forma caducan en el término de un año, contado desde la publicación del respectivo acto.”</w:t>
      </w:r>
    </w:p>
  </w:footnote>
  <w:footnote w:id="71">
    <w:p w:rsidR="000736D5" w:rsidRPr="003779AF" w:rsidRDefault="00491C4A" w:rsidP="00D74F06">
      <w:pPr>
        <w:pStyle w:val="Textonotapie"/>
        <w:jc w:val="both"/>
        <w:rPr>
          <w:i/>
          <w:iCs/>
        </w:rPr>
      </w:pPr>
      <w:r w:rsidRPr="00491C4A">
        <w:rPr>
          <w:rStyle w:val="Refdenotaalpie"/>
        </w:rPr>
        <w:footnoteRef/>
      </w:r>
      <w:r w:rsidRPr="003779AF">
        <w:t xml:space="preserve"> La jurisprudencia de esta Corte se ha referido al término de caducidad reconocido en el art</w:t>
      </w:r>
      <w:r w:rsidRPr="003779AF">
        <w:t>ículo 242 de la Constitución Política. Por ejemplo, en la Sentencia C-117 de 2004, la Sala Plena señaló: “[c]</w:t>
      </w:r>
      <w:r w:rsidRPr="003779AF">
        <w:rPr>
          <w:i/>
          <w:iCs/>
        </w:rPr>
        <w:t>iertamente, en oposición a los vicios materiales o de fondo, que se predican de la esencia del acto jurídico y que sí afectan su contenido, los vic</w:t>
      </w:r>
      <w:r w:rsidRPr="003779AF">
        <w:rPr>
          <w:i/>
          <w:iCs/>
        </w:rPr>
        <w:t xml:space="preserve">ios de forma se limitan a desconocer aspectos rituales que, aunque fundamentales al proceso legislativo, están circunscritos al ámbito del debate, aprobación y promulgación de las leyes y no a su contenido propiamente dicho, por lo que se reputan defectos </w:t>
      </w:r>
      <w:r w:rsidRPr="003779AF">
        <w:rPr>
          <w:i/>
          <w:iCs/>
        </w:rPr>
        <w:t>menores que por su naturaleza y por razones de seguridad jurídica pueden sanearse con el transcurso del tiempo.”</w:t>
      </w:r>
    </w:p>
  </w:footnote>
  <w:footnote w:id="72">
    <w:p w:rsidR="00260DAD" w:rsidRPr="003779AF" w:rsidRDefault="00491C4A" w:rsidP="00260DAD">
      <w:pPr>
        <w:pStyle w:val="Textonotapie"/>
      </w:pPr>
      <w:r w:rsidRPr="00491C4A">
        <w:rPr>
          <w:rStyle w:val="Refdenotaalpie"/>
        </w:rPr>
        <w:footnoteRef/>
      </w:r>
      <w:r w:rsidRPr="003779AF">
        <w:t xml:space="preserve"> Corte Constitucional, Sentencia C-552 de 2014, fundamento jurídico 2.1.1.4.</w:t>
      </w:r>
    </w:p>
  </w:footnote>
  <w:footnote w:id="73">
    <w:p w:rsidR="00260DAD" w:rsidRPr="003779AF" w:rsidRDefault="00491C4A" w:rsidP="00260DAD">
      <w:pPr>
        <w:pStyle w:val="Textonotapie"/>
      </w:pPr>
      <w:r w:rsidRPr="00491C4A">
        <w:rPr>
          <w:rStyle w:val="Refdenotaalpie"/>
        </w:rPr>
        <w:footnoteRef/>
      </w:r>
      <w:r w:rsidRPr="003779AF">
        <w:t xml:space="preserve"> Corte Constitucional, Sentencias C-774 de 2001, fundamento 3.1. Reiterada en las Sentencias C-468 de 2011, C-007 de 2016 y C-089 de 2020.</w:t>
      </w:r>
    </w:p>
  </w:footnote>
  <w:footnote w:id="74">
    <w:p w:rsidR="00260DAD" w:rsidRPr="003779AF" w:rsidRDefault="00491C4A" w:rsidP="00260DAD">
      <w:pPr>
        <w:pStyle w:val="Textonotapie"/>
        <w:ind w:left="708" w:hanging="708"/>
      </w:pPr>
      <w:r w:rsidRPr="00491C4A">
        <w:rPr>
          <w:rStyle w:val="Refdenotaalpie"/>
        </w:rPr>
        <w:footnoteRef/>
      </w:r>
      <w:r w:rsidRPr="003779AF">
        <w:t xml:space="preserve"> Corte Constitucional, Sentencia C-089 de 2020, fundamento jurídico 28.</w:t>
      </w:r>
    </w:p>
  </w:footnote>
  <w:footnote w:id="75">
    <w:p w:rsidR="00646234" w:rsidRPr="003779AF" w:rsidRDefault="00491C4A">
      <w:pPr>
        <w:pStyle w:val="Textonotapie"/>
        <w:rPr>
          <w:lang w:val="es-MX"/>
        </w:rPr>
      </w:pPr>
      <w:r w:rsidRPr="003779AF">
        <w:rPr>
          <w:rStyle w:val="Refdenotaalpie"/>
        </w:rPr>
        <w:footnoteRef/>
      </w:r>
      <w:r w:rsidRPr="003779AF">
        <w:t xml:space="preserve"> </w:t>
      </w:r>
      <w:r w:rsidRPr="003779AF">
        <w:rPr>
          <w:lang w:val="es-MX"/>
        </w:rPr>
        <w:t>El siguiente cuadro resume las consideraci</w:t>
      </w:r>
      <w:r w:rsidRPr="003779AF">
        <w:rPr>
          <w:lang w:val="es-MX"/>
        </w:rPr>
        <w:t>ones expresadas en la Sentencia C-334 de 2017.</w:t>
      </w:r>
    </w:p>
  </w:footnote>
  <w:footnote w:id="76">
    <w:p w:rsidR="00E27484" w:rsidRPr="003779AF" w:rsidRDefault="00491C4A" w:rsidP="00E27484">
      <w:pPr>
        <w:shd w:val="clear" w:color="auto" w:fill="FFFFFF"/>
        <w:ind w:right="51"/>
        <w:jc w:val="both"/>
        <w:textAlignment w:val="baseline"/>
        <w:rPr>
          <w:sz w:val="20"/>
          <w:szCs w:val="20"/>
          <w:lang w:val="es-MX"/>
        </w:rPr>
      </w:pPr>
      <w:r w:rsidRPr="003779AF">
        <w:rPr>
          <w:rStyle w:val="Refdenotaalpie"/>
          <w:sz w:val="20"/>
          <w:szCs w:val="20"/>
        </w:rPr>
        <w:footnoteRef/>
      </w:r>
      <w:r w:rsidRPr="003779AF">
        <w:rPr>
          <w:sz w:val="20"/>
          <w:szCs w:val="20"/>
        </w:rPr>
        <w:t xml:space="preserve"> </w:t>
      </w:r>
      <w:r w:rsidRPr="003779AF">
        <w:rPr>
          <w:color w:val="000000"/>
          <w:sz w:val="20"/>
          <w:szCs w:val="20"/>
        </w:rPr>
        <w:t xml:space="preserve">La Sala Plena concluyó que el artículo 233 de la Ley 2294 de 2023 no vulneró el principio de unidad de materia. Esto como resultado de aplicar la metodología del juicio de valoración del principio de unidad </w:t>
      </w:r>
      <w:r w:rsidRPr="003779AF">
        <w:rPr>
          <w:color w:val="000000"/>
          <w:sz w:val="20"/>
          <w:szCs w:val="20"/>
        </w:rPr>
        <w:t>de materia en las leyes del plan nacional de desarrollo, considerando el mayor estándar de argumentación exigible al tratarse de a) la modificación de normas de carácter permanente y b) la incorporación de contenidos tributarios en la ley del PND. Constató</w:t>
      </w:r>
      <w:r w:rsidRPr="003779AF">
        <w:rPr>
          <w:color w:val="000000"/>
          <w:sz w:val="20"/>
          <w:szCs w:val="20"/>
        </w:rPr>
        <w:t xml:space="preserve"> que la disposición demandada tiene un fin planificador y de impulso a la ejecución del plan cuatrienal, toda vez que (i) es una expresión de la función de planeación del Gobierno que (ii) constituye una herramienta clave para instrumentalizar la política </w:t>
      </w:r>
      <w:r w:rsidRPr="003779AF">
        <w:rPr>
          <w:color w:val="000000"/>
          <w:sz w:val="20"/>
          <w:szCs w:val="20"/>
        </w:rPr>
        <w:t>pública de Transición Energética Justa descrita en la parte general del PND y, al mismo tiempo, (iii) es un mecanismo idóneo para su ejecución, dadas las líneas de inversión previstas en el plan nacional de inversiones. Y (iv) no se emplea para llenar vací</w:t>
      </w:r>
      <w:r w:rsidRPr="003779AF">
        <w:rPr>
          <w:color w:val="000000"/>
          <w:sz w:val="20"/>
          <w:szCs w:val="20"/>
        </w:rPr>
        <w:t>os e inconsistencias de la norma que modifica, por cuanto configura una fuente de recursos nueva con destinación y beneficiarios específicos. La Corte también confirmó el cumplimiento del estándar de motivación suficiente para la inclusión de disposiciones</w:t>
      </w:r>
      <w:r w:rsidRPr="003779AF">
        <w:rPr>
          <w:color w:val="000000"/>
          <w:sz w:val="20"/>
          <w:szCs w:val="20"/>
        </w:rPr>
        <w:t xml:space="preserve"> tributarias en la ley del plan en el curso del trámite legislativo de la disposición</w:t>
      </w:r>
    </w:p>
  </w:footnote>
  <w:footnote w:id="77">
    <w:p w:rsidR="00434117" w:rsidRPr="003779AF" w:rsidRDefault="00491C4A" w:rsidP="00434117">
      <w:pPr>
        <w:pStyle w:val="Textonotapie"/>
        <w:jc w:val="both"/>
      </w:pPr>
      <w:r w:rsidRPr="00491C4A">
        <w:rPr>
          <w:rStyle w:val="Refdenotaalpie"/>
        </w:rPr>
        <w:footnoteRef/>
      </w:r>
      <w:r w:rsidRPr="003779AF">
        <w:t xml:space="preserve"> Corte Constitucional, Sentencia C-1052 de 2001.</w:t>
      </w:r>
    </w:p>
  </w:footnote>
  <w:footnote w:id="78">
    <w:p w:rsidR="00434117" w:rsidRPr="003779AF" w:rsidRDefault="00491C4A" w:rsidP="00434117">
      <w:pPr>
        <w:pStyle w:val="Textonotapie"/>
        <w:jc w:val="both"/>
      </w:pPr>
      <w:r w:rsidRPr="00491C4A">
        <w:rPr>
          <w:rStyle w:val="Refdenotaalpie"/>
        </w:rPr>
        <w:footnoteRef/>
      </w:r>
      <w:r w:rsidRPr="003779AF">
        <w:t xml:space="preserve"> La Corte ha señalado que el principio </w:t>
      </w:r>
      <w:r w:rsidRPr="003779AF">
        <w:rPr>
          <w:i/>
          <w:iCs/>
        </w:rPr>
        <w:t xml:space="preserve">pro actione </w:t>
      </w:r>
      <w:r w:rsidRPr="003779AF">
        <w:t xml:space="preserve">tiene límites claros: </w:t>
      </w:r>
      <w:r w:rsidRPr="003779AF">
        <w:rPr>
          <w:i/>
          <w:iCs/>
        </w:rPr>
        <w:t>“[s]i bien la Corte debe tomar en cuenta el carácter democrático de la acción de constitucionalidad y la necesidad de adoptar un criterio pro actione en el examen de las demandas que le son presentadas, no puede llegar al extremo de suplantar al actor en l</w:t>
      </w:r>
      <w:r w:rsidRPr="003779AF">
        <w:rPr>
          <w:i/>
          <w:iCs/>
        </w:rPr>
        <w:t>a formulación de los cargos, ni de determinar por sí misma, el concepto de la violación de las normas que ante ella se acusan como infringidas, pues ésta es una carga mínima que se le impone al ciudadano para hacer uso de su derecho político a ejercer la a</w:t>
      </w:r>
      <w:r w:rsidRPr="003779AF">
        <w:rPr>
          <w:i/>
          <w:iCs/>
        </w:rPr>
        <w:t xml:space="preserve">cción de inconstitucionalidad”. </w:t>
      </w:r>
      <w:r w:rsidRPr="003779AF">
        <w:t xml:space="preserve">Corte Constitucional, </w:t>
      </w:r>
      <w:r w:rsidRPr="003779AF">
        <w:t>S</w:t>
      </w:r>
      <w:r w:rsidRPr="003779AF">
        <w:t>entencia C-585 de 2016.</w:t>
      </w:r>
    </w:p>
  </w:footnote>
  <w:footnote w:id="79">
    <w:p w:rsidR="00DD7C64" w:rsidRPr="003779AF" w:rsidRDefault="00491C4A" w:rsidP="00D74F06">
      <w:pPr>
        <w:pStyle w:val="Textonotapie"/>
        <w:jc w:val="both"/>
      </w:pPr>
      <w:r w:rsidRPr="003779AF">
        <w:rPr>
          <w:rStyle w:val="Refdenotaalpie"/>
        </w:rPr>
        <w:footnoteRef/>
      </w:r>
      <w:r w:rsidRPr="003779AF">
        <w:t xml:space="preserve"> Corte Constitucional, Sentencia C-590 de 2019.</w:t>
      </w:r>
    </w:p>
  </w:footnote>
  <w:footnote w:id="80">
    <w:p w:rsidR="00A24E43" w:rsidRPr="003779AF" w:rsidRDefault="00491C4A" w:rsidP="00D74F06">
      <w:pPr>
        <w:pStyle w:val="Textonotapie"/>
        <w:jc w:val="both"/>
      </w:pPr>
      <w:r w:rsidRPr="003779AF">
        <w:rPr>
          <w:rStyle w:val="Refdenotaalpie"/>
        </w:rPr>
        <w:footnoteRef/>
      </w:r>
      <w:r w:rsidRPr="003779AF">
        <w:t xml:space="preserve"> Corte Constitucional, Sentencia C-063 de 2021.</w:t>
      </w:r>
    </w:p>
  </w:footnote>
  <w:footnote w:id="81">
    <w:p w:rsidR="00385371" w:rsidRPr="003779AF" w:rsidRDefault="00491C4A" w:rsidP="00D74F06">
      <w:pPr>
        <w:pStyle w:val="Textonotapie"/>
        <w:jc w:val="both"/>
      </w:pPr>
      <w:r w:rsidRPr="003779AF">
        <w:rPr>
          <w:rStyle w:val="Refdenotaalpie"/>
        </w:rPr>
        <w:footnoteRef/>
      </w:r>
      <w:r w:rsidRPr="003779AF">
        <w:t xml:space="preserve"> Ver, por ejemplo, las Sentencias C-034 de 2009, C-</w:t>
      </w:r>
      <w:r w:rsidRPr="003779AF">
        <w:t xml:space="preserve">258 de 2014, C-084 de 2019 </w:t>
      </w:r>
      <w:r w:rsidRPr="003779AF">
        <w:t>y C-481 de 2019.</w:t>
      </w:r>
    </w:p>
  </w:footnote>
  <w:footnote w:id="82">
    <w:p w:rsidR="00546C63" w:rsidRPr="003779AF" w:rsidRDefault="00491C4A" w:rsidP="00036DD9">
      <w:pPr>
        <w:pStyle w:val="Textonotapie"/>
        <w:jc w:val="both"/>
      </w:pPr>
      <w:r w:rsidRPr="00491C4A">
        <w:rPr>
          <w:rStyle w:val="Refdenotaalpie"/>
        </w:rPr>
        <w:footnoteRef/>
      </w:r>
      <w:r w:rsidRPr="003779AF">
        <w:t xml:space="preserve"> </w:t>
      </w:r>
      <w:r w:rsidRPr="003779AF">
        <w:rPr>
          <w:i/>
        </w:rPr>
        <w:t>Cfr</w:t>
      </w:r>
      <w:r w:rsidRPr="003779AF">
        <w:t xml:space="preserve">. Corte Constitucional, Sentencia </w:t>
      </w:r>
      <w:r w:rsidRPr="003779AF">
        <w:rPr>
          <w:shd w:val="clear" w:color="auto" w:fill="FFFFFF"/>
        </w:rPr>
        <w:t xml:space="preserve">C-109 de 2023. En esta Sentencia, la Corte recordó </w:t>
      </w:r>
      <w:r w:rsidRPr="003779AF">
        <w:rPr>
          <w:bCs/>
        </w:rPr>
        <w:t xml:space="preserve">“(…) </w:t>
      </w:r>
      <w:r w:rsidRPr="003779AF">
        <w:rPr>
          <w:i/>
          <w:iCs/>
          <w:shd w:val="clear" w:color="auto" w:fill="FFFFFF"/>
        </w:rPr>
        <w:t>que el juez constitucional no puede juzgar la calidad del debate parlamentario, pues el control constitucional del debate no comprende tales asp</w:t>
      </w:r>
      <w:r w:rsidRPr="003779AF">
        <w:rPr>
          <w:i/>
          <w:iCs/>
          <w:shd w:val="clear" w:color="auto" w:fill="FFFFFF"/>
        </w:rPr>
        <w:t>ectos, así como tampoco abarca la suficiencia de los argumentos presentados para defender o rechazar la iniciativa legislativa. Esto, por respeto al principio del pluralismo y el principio de autonomía del Congreso de la República</w:t>
      </w:r>
      <w:r w:rsidRPr="003779AF">
        <w:rPr>
          <w:shd w:val="clear" w:color="auto" w:fill="FFFFFF"/>
        </w:rPr>
        <w:t>”. Así mismo, en la Senten</w:t>
      </w:r>
      <w:r w:rsidRPr="003779AF">
        <w:rPr>
          <w:shd w:val="clear" w:color="auto" w:fill="FFFFFF"/>
        </w:rPr>
        <w:t xml:space="preserve">cia C-044 de 2015, la Corte añadió que “(…) </w:t>
      </w:r>
      <w:r w:rsidRPr="003779AF">
        <w:rPr>
          <w:i/>
          <w:iCs/>
          <w:shd w:val="clear" w:color="auto" w:fill="FFFFFF"/>
        </w:rPr>
        <w:t>para efectos del control de constitucionalidad, se entenderá que hay debate cuando formalmente se abra el espacio para la discusión del contenido del proyecto de ley, aun cuando los congresistas no hagan uso de l</w:t>
      </w:r>
      <w:r w:rsidRPr="003779AF">
        <w:rPr>
          <w:i/>
          <w:iCs/>
          <w:shd w:val="clear" w:color="auto" w:fill="FFFFFF"/>
        </w:rPr>
        <w:t>a palabra o entre las posiciones expresadas no exista controversia”.</w:t>
      </w:r>
      <w:r w:rsidRPr="003779AF">
        <w:rPr>
          <w:rStyle w:val="Hipervnculo"/>
        </w:rPr>
        <w:t xml:space="preserve"> </w:t>
      </w:r>
    </w:p>
  </w:footnote>
  <w:footnote w:id="83">
    <w:p w:rsidR="00C94854" w:rsidRPr="003779AF" w:rsidRDefault="00491C4A" w:rsidP="008D046D">
      <w:pPr>
        <w:pStyle w:val="Textonotapie"/>
        <w:jc w:val="both"/>
      </w:pPr>
      <w:r w:rsidRPr="003779AF">
        <w:rPr>
          <w:rStyle w:val="Refdenotaalpie"/>
        </w:rPr>
        <w:footnoteRef/>
      </w:r>
      <w:r w:rsidRPr="003779AF">
        <w:t xml:space="preserve"> </w:t>
      </w:r>
      <w:r w:rsidRPr="003779AF">
        <w:t>Ley 5° de1992, art. 94</w:t>
      </w:r>
    </w:p>
  </w:footnote>
  <w:footnote w:id="84">
    <w:p w:rsidR="008D046D" w:rsidRPr="003779AF" w:rsidRDefault="00491C4A" w:rsidP="008D046D">
      <w:pPr>
        <w:pStyle w:val="NormalWeb"/>
        <w:spacing w:before="0" w:beforeAutospacing="0" w:after="0" w:afterAutospacing="0"/>
        <w:jc w:val="both"/>
        <w:rPr>
          <w:sz w:val="20"/>
          <w:szCs w:val="20"/>
        </w:rPr>
      </w:pPr>
      <w:r w:rsidRPr="003779AF">
        <w:rPr>
          <w:rStyle w:val="Refdenotaalpie"/>
          <w:sz w:val="20"/>
          <w:szCs w:val="20"/>
        </w:rPr>
        <w:footnoteRef/>
      </w:r>
      <w:r w:rsidRPr="003779AF">
        <w:rPr>
          <w:sz w:val="20"/>
          <w:szCs w:val="20"/>
        </w:rPr>
        <w:t xml:space="preserve"> </w:t>
      </w:r>
      <w:r w:rsidRPr="003779AF">
        <w:rPr>
          <w:sz w:val="20"/>
          <w:szCs w:val="20"/>
        </w:rPr>
        <w:t xml:space="preserve">Las proposiciones pueden ser votadas sin discusión previa en las siguientes hipótesis: </w:t>
      </w:r>
      <w:r w:rsidRPr="003779AF">
        <w:rPr>
          <w:i/>
          <w:iCs/>
          <w:sz w:val="20"/>
          <w:szCs w:val="20"/>
        </w:rPr>
        <w:t>(i) Proposiciones especiales (artículo 114.5):</w:t>
      </w:r>
      <w:r w:rsidRPr="003779AF">
        <w:rPr>
          <w:sz w:val="20"/>
          <w:szCs w:val="20"/>
        </w:rPr>
        <w:t xml:space="preserve"> El reglamento reconoce una categoría específica de proposiciones que “no admiten discusión y pueden presentarse oralmente”. Dentro de esta categoría se incluyen: a) Proposición de suficiente ilustración; b) Proposición de sesión permanente; y c) Proposici</w:t>
      </w:r>
      <w:r w:rsidRPr="003779AF">
        <w:rPr>
          <w:sz w:val="20"/>
          <w:szCs w:val="20"/>
        </w:rPr>
        <w:t xml:space="preserve">ón de alteración del orden del día. </w:t>
      </w:r>
      <w:r w:rsidRPr="003779AF">
        <w:rPr>
          <w:i/>
          <w:iCs/>
          <w:sz w:val="20"/>
          <w:szCs w:val="20"/>
        </w:rPr>
        <w:t>(ii)</w:t>
      </w:r>
      <w:r w:rsidRPr="003779AF">
        <w:rPr>
          <w:sz w:val="20"/>
          <w:szCs w:val="20"/>
        </w:rPr>
        <w:t xml:space="preserve"> </w:t>
      </w:r>
      <w:r w:rsidRPr="003779AF">
        <w:rPr>
          <w:i/>
          <w:iCs/>
          <w:sz w:val="20"/>
          <w:szCs w:val="20"/>
        </w:rPr>
        <w:t>Casos en que se prohíbe la intervención (artículo 104):</w:t>
      </w:r>
      <w:r w:rsidRPr="003779AF">
        <w:rPr>
          <w:sz w:val="20"/>
          <w:szCs w:val="20"/>
        </w:rPr>
        <w:t xml:space="preserve"> Este artículo restringe el uso de la palabra en ciertas proposiciones de orden puramente procedimental, lo que equivale, en términos prácticos, a la exclusión </w:t>
      </w:r>
      <w:r w:rsidRPr="003779AF">
        <w:rPr>
          <w:sz w:val="20"/>
          <w:szCs w:val="20"/>
        </w:rPr>
        <w:t xml:space="preserve">del debate: Al cierre de cada debate, para cuestiones propuestas por el Presidente; en proposiciones para que la votación sea nominal; y en solicitudes para declarar la sesión permanente. </w:t>
      </w:r>
      <w:r w:rsidRPr="003779AF">
        <w:rPr>
          <w:i/>
          <w:iCs/>
          <w:sz w:val="20"/>
          <w:szCs w:val="20"/>
        </w:rPr>
        <w:t>(iv)</w:t>
      </w:r>
      <w:r w:rsidRPr="003779AF">
        <w:rPr>
          <w:sz w:val="20"/>
          <w:szCs w:val="20"/>
        </w:rPr>
        <w:t xml:space="preserve"> </w:t>
      </w:r>
      <w:r w:rsidRPr="003779AF">
        <w:rPr>
          <w:i/>
          <w:iCs/>
          <w:sz w:val="20"/>
          <w:szCs w:val="20"/>
        </w:rPr>
        <w:t>Suspensión o levantamiento de sesión (artículo 109):</w:t>
      </w:r>
      <w:r w:rsidRPr="003779AF">
        <w:rPr>
          <w:sz w:val="20"/>
          <w:szCs w:val="20"/>
        </w:rPr>
        <w:t xml:space="preserve"> Las propos</w:t>
      </w:r>
      <w:r w:rsidRPr="003779AF">
        <w:rPr>
          <w:sz w:val="20"/>
          <w:szCs w:val="20"/>
        </w:rPr>
        <w:t xml:space="preserve">iciones para suspender o levantar la sesión “por duelo o fuerza mayor” se votan “sin necesidad de debate alguno”. </w:t>
      </w:r>
      <w:r w:rsidRPr="003779AF">
        <w:rPr>
          <w:i/>
          <w:iCs/>
          <w:sz w:val="20"/>
          <w:szCs w:val="20"/>
        </w:rPr>
        <w:t>(v)</w:t>
      </w:r>
      <w:r w:rsidRPr="003779AF">
        <w:rPr>
          <w:sz w:val="20"/>
          <w:szCs w:val="20"/>
        </w:rPr>
        <w:t xml:space="preserve"> </w:t>
      </w:r>
      <w:r w:rsidRPr="003779AF">
        <w:rPr>
          <w:i/>
          <w:iCs/>
          <w:sz w:val="20"/>
          <w:szCs w:val="20"/>
        </w:rPr>
        <w:t>Solicitud de votación nominal (artículo 130):</w:t>
      </w:r>
      <w:r w:rsidRPr="003779AF">
        <w:rPr>
          <w:sz w:val="20"/>
          <w:szCs w:val="20"/>
        </w:rPr>
        <w:t xml:space="preserve"> El artículo 130 permite que, sin discusión, cualquier congresista solicite que una votación </w:t>
      </w:r>
      <w:r w:rsidRPr="003779AF">
        <w:rPr>
          <w:sz w:val="20"/>
          <w:szCs w:val="20"/>
        </w:rPr>
        <w:t>sea nominal, si la Cámara así lo acuerda.</w:t>
      </w:r>
    </w:p>
    <w:p w:rsidR="00831064" w:rsidRPr="003779AF" w:rsidRDefault="00491C4A">
      <w:pPr>
        <w:pStyle w:val="Textonotapie"/>
        <w:rPr>
          <w:lang w:val="es-MX"/>
        </w:rPr>
      </w:pPr>
    </w:p>
  </w:footnote>
  <w:footnote w:id="85">
    <w:p w:rsidR="00DF02A3" w:rsidRPr="003779AF" w:rsidRDefault="00491C4A" w:rsidP="00D74F06">
      <w:pPr>
        <w:pStyle w:val="Textonotapie"/>
        <w:jc w:val="both"/>
      </w:pPr>
      <w:r w:rsidRPr="003779AF">
        <w:rPr>
          <w:rStyle w:val="Refdenotaalpie"/>
        </w:rPr>
        <w:footnoteRef/>
      </w:r>
      <w:r w:rsidRPr="003779AF">
        <w:t xml:space="preserve"> Entre otros aspectos, </w:t>
      </w:r>
      <w:r w:rsidRPr="003779AF">
        <w:t>la demanda cuestionaba el hecho de que el debate al cabo del cual se aprobó la proposición sustitutiva mediante la cual se concedieron facultades extraordinarias fue reabierto sin contar co</w:t>
      </w:r>
      <w:r w:rsidRPr="003779AF">
        <w:t>n mayorías calificadas</w:t>
      </w:r>
      <w:r w:rsidRPr="003779AF">
        <w:t>. La Corte determinó que las facultades extraordinarias consignadas en la norma sí habían sido aprobadas por la mayoría absoluta, de acuerdo con lo exigido por el numeral 10 del artículo 150 de la Constitución Política, en tanto que o</w:t>
      </w:r>
      <w:r w:rsidRPr="003779AF">
        <w:t>btuvo 56 votos afirmativos y 10 negativos. Lo que sucedió en esa ocasión, fue que inicialmente el artículo 30 en cuestión no fue aprobado por no alcanzar la mayoría reglamentaria (40 votos por el sí y 16 por el no); posteriormente se puso a consideración d</w:t>
      </w:r>
      <w:r w:rsidRPr="003779AF">
        <w:t xml:space="preserve">e la plenaria una solicitud de reapertura del debate de varios artículos, dentro de los que se encontraba el 30, la cual fue aprobada con 40 votos a favor y 19 en contra; y, finalmente, cuando se reabrió el debate, se aprobó una proposición sustitutiva de </w:t>
      </w:r>
      <w:r w:rsidRPr="003779AF">
        <w:t xml:space="preserve">ese artículo en los términos antedichos. </w:t>
      </w:r>
    </w:p>
  </w:footnote>
  <w:footnote w:id="86">
    <w:p w:rsidR="00A102EA" w:rsidRPr="003779AF" w:rsidRDefault="00491C4A" w:rsidP="00D74F06">
      <w:pPr>
        <w:pStyle w:val="Textonotapie"/>
        <w:jc w:val="both"/>
      </w:pPr>
      <w:r w:rsidRPr="003779AF">
        <w:rPr>
          <w:rStyle w:val="Refdenotaalpie"/>
        </w:rPr>
        <w:footnoteRef/>
      </w:r>
      <w:r w:rsidRPr="003779AF">
        <w:t xml:space="preserve"> El demandante criticó que el inciso octavo del artículo 1° del Acto Legislativo 01 de 2005 hubiera sido aprobado por una comisión accidental conformada por el Senado de la República en segunda vuelta, luego de qu</w:t>
      </w:r>
      <w:r w:rsidRPr="003779AF">
        <w:t>e la plenaria del Senado</w:t>
      </w:r>
      <w:r w:rsidRPr="003779AF">
        <w:t xml:space="preserve"> no la hubiera aprobado.</w:t>
      </w:r>
      <w:r w:rsidRPr="003779AF">
        <w:t xml:space="preserve"> Es ese caso, la Corte aclaró que “</w:t>
      </w:r>
      <w:r w:rsidRPr="003779AF">
        <w:rPr>
          <w:i/>
          <w:iCs/>
        </w:rPr>
        <w:t>en la segunda votación se aprobó la eliminación de la mesada catorce salvo en los casos de personas que percibieran 3 o menos salarios mínimos y que su pensión se causara an</w:t>
      </w:r>
      <w:r w:rsidRPr="003779AF">
        <w:rPr>
          <w:i/>
          <w:iCs/>
        </w:rPr>
        <w:t>tes de una fecha determinada. Lo que es distinto a haber votado la eliminación total de la mesada catorce.</w:t>
      </w:r>
      <w:r w:rsidRPr="003779AF">
        <w:t>”</w:t>
      </w:r>
      <w:r w:rsidRPr="003779AF">
        <w:t xml:space="preserve"> La Corte concluyó que “</w:t>
      </w:r>
      <w:r w:rsidRPr="003779AF">
        <w:rPr>
          <w:i/>
          <w:iCs/>
        </w:rPr>
        <w:t>la iniciativa no había sido negada sino no aprobada, y en consecuencia la discusión no se consideraba cerrada</w:t>
      </w:r>
      <w:r w:rsidRPr="003779AF">
        <w:t>”; (ii) “</w:t>
      </w:r>
      <w:r w:rsidRPr="003779AF">
        <w:rPr>
          <w:i/>
          <w:iCs/>
        </w:rPr>
        <w:t xml:space="preserve">aún no </w:t>
      </w:r>
      <w:r w:rsidRPr="003779AF">
        <w:rPr>
          <w:i/>
          <w:iCs/>
        </w:rPr>
        <w:t xml:space="preserve">se había concluido el debate general en torno del proyecto de acto legislativo, toda vez que la plenaria del Senado había decidido votar por partes dicho proyecto </w:t>
      </w:r>
      <w:r w:rsidRPr="003779AF">
        <w:t xml:space="preserve">(…) [y] </w:t>
      </w:r>
      <w:r w:rsidRPr="003779AF">
        <w:rPr>
          <w:i/>
          <w:iCs/>
        </w:rPr>
        <w:t>se requiere de una votación general sobre el articulado para declarar cerrada la disc</w:t>
      </w:r>
      <w:r w:rsidRPr="003779AF">
        <w:rPr>
          <w:i/>
          <w:iCs/>
        </w:rPr>
        <w:t>usión y la votación general sobre el articulado para declarar cerrada la discusión y la votación, situación que no se dio</w:t>
      </w:r>
      <w:r w:rsidRPr="003779AF">
        <w:t>”; y (iii) “</w:t>
      </w:r>
      <w:r w:rsidRPr="003779AF">
        <w:rPr>
          <w:i/>
          <w:iCs/>
        </w:rPr>
        <w:t xml:space="preserve">se podría pensar </w:t>
      </w:r>
      <w:r w:rsidRPr="003779AF">
        <w:t>(…)</w:t>
      </w:r>
      <w:r w:rsidRPr="003779AF">
        <w:rPr>
          <w:i/>
          <w:iCs/>
        </w:rPr>
        <w:t xml:space="preserve"> que el Reglamento del Congreso en su artículo 135 sólo autoriza repetir una votación en caso de empate</w:t>
      </w:r>
      <w:r w:rsidRPr="003779AF">
        <w:rPr>
          <w:i/>
          <w:iCs/>
        </w:rPr>
        <w:t xml:space="preserve"> o igualdad, y que esta situación no se dio en el presente caso </w:t>
      </w:r>
      <w:r w:rsidRPr="003779AF">
        <w:t>(…)</w:t>
      </w:r>
      <w:r w:rsidRPr="003779AF">
        <w:rPr>
          <w:i/>
          <w:iCs/>
        </w:rPr>
        <w:t>. Lo cierto es que la Corte ha demostrado que precisamente no se trata de una repetición de la votación, pues lo que se votó una y otra vez fue distinto.</w:t>
      </w:r>
      <w:r w:rsidRPr="003779AF">
        <w:t>”</w:t>
      </w:r>
    </w:p>
  </w:footnote>
  <w:footnote w:id="87">
    <w:p w:rsidR="00E22035" w:rsidRPr="003779AF" w:rsidRDefault="00491C4A" w:rsidP="00D74F06">
      <w:pPr>
        <w:pStyle w:val="Textonotapie"/>
        <w:jc w:val="both"/>
      </w:pPr>
      <w:r w:rsidRPr="003779AF">
        <w:rPr>
          <w:rStyle w:val="Refdenotaalpie"/>
        </w:rPr>
        <w:footnoteRef/>
      </w:r>
      <w:r w:rsidRPr="003779AF">
        <w:t xml:space="preserve"> Las accionantes acusaron, entre otros asuntos, que, en el trámite de expedición del inciso primero del artículo 17 de la Ley 1444 de 2022 en la Plenaria del Senado la mesa directiva desconoció que previamente se había realizado una votación nominal en la </w:t>
      </w:r>
      <w:r w:rsidRPr="003779AF">
        <w:t>que ese apartado no había alcanzado la mayoría requerida</w:t>
      </w:r>
      <w:r w:rsidRPr="003779AF">
        <w:t xml:space="preserve"> para aprobar facultades extraordinarias</w:t>
      </w:r>
      <w:r w:rsidRPr="003779AF">
        <w:t xml:space="preserve"> y procedió a realizar una nueva votación</w:t>
      </w:r>
      <w:r w:rsidRPr="003779AF">
        <w:t xml:space="preserve"> que dio lugar a la expedición irregular de la norma.</w:t>
      </w:r>
    </w:p>
  </w:footnote>
  <w:footnote w:id="88">
    <w:p w:rsidR="00E35E48" w:rsidRPr="003779AF" w:rsidRDefault="00491C4A" w:rsidP="00D74F06">
      <w:pPr>
        <w:pStyle w:val="Textonotapie"/>
        <w:jc w:val="both"/>
      </w:pPr>
      <w:r w:rsidRPr="003779AF">
        <w:rPr>
          <w:rStyle w:val="Refdenotaalpie"/>
        </w:rPr>
        <w:footnoteRef/>
      </w:r>
      <w:r w:rsidRPr="003779AF">
        <w:t xml:space="preserve"> Los accionantes argumentaron que ocurrió una vulneración del pr</w:t>
      </w:r>
      <w:r w:rsidRPr="003779AF">
        <w:t>incipio de consecutividad, dado que “</w:t>
      </w:r>
      <w:r w:rsidRPr="003779AF">
        <w:rPr>
          <w:i/>
          <w:iCs/>
        </w:rPr>
        <w:t>durante el trámite legislativo de aprobación de la Ley 1922 de 2018 hubo una supresión de un artículo que se agregó posteriormente sin cumplir con el trámite dispuesto para ello y que, además, no se estudió en la subcom</w:t>
      </w:r>
      <w:r w:rsidRPr="003779AF">
        <w:rPr>
          <w:i/>
          <w:iCs/>
        </w:rPr>
        <w:t>isión formada para la revisión de este tipo de reformas.</w:t>
      </w:r>
      <w:r w:rsidRPr="003779AF">
        <w:t>”</w:t>
      </w:r>
      <w:r w:rsidRPr="003779AF">
        <w:t xml:space="preserve"> Se trató del artículo 7° sobre la intervención del Ministerio de Defensa Nacional en los procedimientos ante la JEP en los que los comparecientes sean o hayan sido miembros de la Fuerza Pública.</w:t>
      </w:r>
      <w:r w:rsidRPr="003779AF">
        <w:t xml:space="preserve"> En </w:t>
      </w:r>
      <w:r w:rsidRPr="003779AF">
        <w:t xml:space="preserve">ese caso, en el primer debate en comisiones conjuntas -por mensaje de urgencia-, </w:t>
      </w:r>
      <w:r w:rsidRPr="003779AF">
        <w:t xml:space="preserve">se suprimió la disposición del proyecto original que preveía la intervención de las autoridades étnicas en el proceso ante la JEP; </w:t>
      </w:r>
      <w:r w:rsidRPr="003779AF">
        <w:t>y en esa misma etapa, se radicó una nueva pr</w:t>
      </w:r>
      <w:r w:rsidRPr="003779AF">
        <w:t>oposición dirigida a incluir la intervención del Ministerio de Defensa en esos mismos proyectos, pero esta no fue considerada, discutida ni votada en esa etapa. “</w:t>
      </w:r>
      <w:r w:rsidRPr="003779AF">
        <w:rPr>
          <w:i/>
          <w:iCs/>
        </w:rPr>
        <w:t>Posteriormente, el artículo cuya introducción se planteaba en la mencionada proposición, fue i</w:t>
      </w:r>
      <w:r w:rsidRPr="003779AF">
        <w:rPr>
          <w:i/>
          <w:iCs/>
        </w:rPr>
        <w:t>ncluido en la Informe de Ponencia para Segundo Debate de la Plenaria del Senado de la República, así como en el informe de ponencia para segundo debate en la Plenaria de la Cámara de Representantes, como sustitutivo del artículo 7° sobre intervención de au</w:t>
      </w:r>
      <w:r w:rsidRPr="003779AF">
        <w:rPr>
          <w:i/>
          <w:iCs/>
        </w:rPr>
        <w:t>toridades étnicas, eliminado durante el debate en Comisiones</w:t>
      </w:r>
      <w:r w:rsidRPr="003779AF">
        <w:rPr>
          <w:i/>
          <w:iCs/>
        </w:rPr>
        <w:t>.</w:t>
      </w:r>
      <w:r w:rsidRPr="003779AF">
        <w:t>”</w:t>
      </w:r>
      <w:r w:rsidRPr="003779AF">
        <w:t xml:space="preserve"> La norma fue declarada inexequible por violación de los principios de consecutividad e identidad flexible. </w:t>
      </w:r>
    </w:p>
  </w:footnote>
  <w:footnote w:id="89">
    <w:p w:rsidR="00826337" w:rsidRPr="003779AF" w:rsidRDefault="00491C4A" w:rsidP="00D74F06">
      <w:pPr>
        <w:pStyle w:val="Textonotapie"/>
        <w:jc w:val="both"/>
      </w:pPr>
      <w:r w:rsidRPr="003779AF">
        <w:rPr>
          <w:rStyle w:val="Refdenotaalpie"/>
        </w:rPr>
        <w:footnoteRef/>
      </w:r>
      <w:r w:rsidRPr="003779AF">
        <w:t xml:space="preserve"> La Corte estudió la constitucionalidad previa del Acto Legislativo No. 02 de 2021 -</w:t>
      </w:r>
      <w:r w:rsidRPr="003779AF">
        <w:t xml:space="preserve">sobre circunscripciones especiales de paz- y evidenció que, durante el trámite legislativo </w:t>
      </w:r>
    </w:p>
  </w:footnote>
  <w:footnote w:id="90">
    <w:p w:rsidR="0048540A" w:rsidRPr="003779AF" w:rsidRDefault="00491C4A" w:rsidP="00D74F06">
      <w:pPr>
        <w:pStyle w:val="Textonotapie"/>
        <w:jc w:val="both"/>
      </w:pPr>
      <w:r w:rsidRPr="003779AF">
        <w:rPr>
          <w:rStyle w:val="Refdenotaalpie"/>
        </w:rPr>
        <w:footnoteRef/>
      </w:r>
      <w:r w:rsidRPr="003779AF">
        <w:t xml:space="preserve"> Las enmiendas están reguladas en </w:t>
      </w:r>
      <w:r w:rsidRPr="003779AF">
        <w:t>los artículos</w:t>
      </w:r>
      <w:r w:rsidRPr="003779AF">
        <w:t xml:space="preserve"> 160</w:t>
      </w:r>
      <w:r w:rsidRPr="003779AF">
        <w:t xml:space="preserve"> y siguientes</w:t>
      </w:r>
      <w:r w:rsidRPr="003779AF">
        <w:t xml:space="preserve"> de la Ley 5° de 1992</w:t>
      </w:r>
      <w:r w:rsidRPr="003779AF">
        <w:t>.</w:t>
      </w:r>
      <w:r w:rsidRPr="003779AF">
        <w:t xml:space="preserve"> </w:t>
      </w:r>
    </w:p>
  </w:footnote>
  <w:footnote w:id="91">
    <w:p w:rsidR="005D245D" w:rsidRPr="003779AF" w:rsidRDefault="00491C4A" w:rsidP="00D74F06">
      <w:pPr>
        <w:pStyle w:val="Textonotapie"/>
        <w:jc w:val="both"/>
      </w:pPr>
      <w:r w:rsidRPr="003779AF">
        <w:rPr>
          <w:rStyle w:val="Refdenotaalpie"/>
        </w:rPr>
        <w:footnoteRef/>
      </w:r>
      <w:r w:rsidRPr="003779AF">
        <w:t xml:space="preserve"> La Sentencia C-277 de 2007</w:t>
      </w:r>
      <w:r w:rsidRPr="003779AF">
        <w:t xml:space="preserve"> </w:t>
      </w:r>
      <w:r w:rsidRPr="003779AF">
        <w:t xml:space="preserve">hizo alusión en sus fundamentos a las Sentencias C-543 de 1998 y C-1040 de 2005. </w:t>
      </w:r>
    </w:p>
  </w:footnote>
  <w:footnote w:id="92">
    <w:p w:rsidR="0011234D" w:rsidRPr="003779AF" w:rsidRDefault="00491C4A" w:rsidP="0011234D">
      <w:pPr>
        <w:pStyle w:val="Textonotapie"/>
        <w:jc w:val="both"/>
      </w:pPr>
      <w:r w:rsidRPr="003779AF">
        <w:rPr>
          <w:rStyle w:val="Refdenotaalpie"/>
        </w:rPr>
        <w:footnoteRef/>
      </w:r>
      <w:r w:rsidRPr="003779AF">
        <w:t xml:space="preserve"> Corte Constitucional, Sentencia C-395 de 2021. Al respecto, también se pueden consultar las Sentencias C-155 de 1998, C-044 de 2015 y C-332 de 2017. </w:t>
      </w:r>
    </w:p>
  </w:footnote>
  <w:footnote w:id="93">
    <w:p w:rsidR="00036DD9" w:rsidRPr="003779AF" w:rsidRDefault="00491C4A" w:rsidP="00036DD9">
      <w:pPr>
        <w:pStyle w:val="Textonotapie"/>
        <w:jc w:val="both"/>
        <w:rPr>
          <w:i/>
          <w:iCs/>
        </w:rPr>
      </w:pPr>
      <w:r w:rsidRPr="003779AF">
        <w:rPr>
          <w:rStyle w:val="Refdenotaalpie"/>
        </w:rPr>
        <w:footnoteRef/>
      </w:r>
      <w:r w:rsidRPr="003779AF">
        <w:t xml:space="preserve"> </w:t>
      </w:r>
      <w:r w:rsidRPr="003779AF">
        <w:rPr>
          <w:i/>
          <w:iCs/>
        </w:rPr>
        <w:t>Cfr</w:t>
      </w:r>
      <w:r w:rsidRPr="003779AF">
        <w:t>., Corte Constitu</w:t>
      </w:r>
      <w:r w:rsidRPr="003779AF">
        <w:t xml:space="preserve">cional, Sentencia C-332 de 2017: </w:t>
      </w:r>
      <w:r w:rsidRPr="003779AF">
        <w:rPr>
          <w:i/>
          <w:iCs/>
        </w:rPr>
        <w:t>“Por ende, la validez de la votación en bloque depende principalmente que ese mecanismo no haya sido utilizado con el fin de provocar la elusión del debate, comprendido como la irregular omisión de la oportunidad para debat</w:t>
      </w:r>
      <w:r w:rsidRPr="003779AF">
        <w:rPr>
          <w:i/>
          <w:iCs/>
        </w:rPr>
        <w:t xml:space="preserve">ir las iniciativas, en perjuicio del ejercicio de la competencia de oportunidad de deliberación, definitoria de la función legislativa. La elusión del debate tiene lugar cuando las cámaras ejerzan maniobras tendientes a evitar que los congresistas cuenten </w:t>
      </w:r>
      <w:r w:rsidRPr="003779AF">
        <w:rPr>
          <w:i/>
          <w:iCs/>
        </w:rPr>
        <w:t>con la oportunidad de discutir la iniciativa.</w:t>
      </w:r>
    </w:p>
    <w:p w:rsidR="00036DD9" w:rsidRPr="003779AF" w:rsidRDefault="00491C4A" w:rsidP="00036DD9">
      <w:pPr>
        <w:pStyle w:val="Textonotapie"/>
        <w:jc w:val="both"/>
        <w:rPr>
          <w:i/>
          <w:iCs/>
        </w:rPr>
      </w:pPr>
      <w:r w:rsidRPr="003779AF">
        <w:rPr>
          <w:i/>
          <w:iCs/>
        </w:rPr>
        <w:t>Sin embargo, debe aclarase que la prohibición de elusión del debate no es incompatible con la posibilidad que las bancadas acuerden omitir determinadas actuaciones, en virtud de acuerdos políticos que se adopte</w:t>
      </w:r>
      <w:r w:rsidRPr="003779AF">
        <w:rPr>
          <w:i/>
          <w:iCs/>
        </w:rPr>
        <w:t>n en ese sentido, siempre y cuando los mismos no eliminen la oportunidad de debatir. Al respecto, la Corte ha señalado que “se entiende como elusión del debate la votación en bloque de todo un proyecto de ley o de Acto Legislativo compuesto por varios artí</w:t>
      </w:r>
      <w:r w:rsidRPr="003779AF">
        <w:rPr>
          <w:i/>
          <w:iCs/>
        </w:rPr>
        <w:t>culos, y por supuesto la votación fundada exclusivamente sobre la base de acuerdos políticos externos a la sesión misma, celebrados por grupos, partidos o coaliciones, con la pretensión de imponer una mayoría sin previo debate, atropellando los derechos de</w:t>
      </w:r>
      <w:r w:rsidRPr="003779AF">
        <w:rPr>
          <w:i/>
          <w:iCs/>
        </w:rPr>
        <w:t xml:space="preserve"> las minorías o impidiendo el uso de la palabra o la discusión a los congresistas no participantes en tales formas de concierto previo.”</w:t>
      </w:r>
    </w:p>
  </w:footnote>
  <w:footnote w:id="94">
    <w:p w:rsidR="00460631" w:rsidRPr="003779AF" w:rsidRDefault="00491C4A" w:rsidP="00D74F06">
      <w:pPr>
        <w:jc w:val="both"/>
        <w:rPr>
          <w:sz w:val="20"/>
          <w:szCs w:val="20"/>
        </w:rPr>
      </w:pPr>
      <w:r w:rsidRPr="003779AF">
        <w:rPr>
          <w:rStyle w:val="Refdenotaalpie"/>
          <w:sz w:val="20"/>
          <w:szCs w:val="20"/>
        </w:rPr>
        <w:footnoteRef/>
      </w:r>
      <w:r w:rsidRPr="003779AF">
        <w:rPr>
          <w:sz w:val="20"/>
          <w:szCs w:val="20"/>
        </w:rPr>
        <w:t xml:space="preserve"> “</w:t>
      </w:r>
      <w:r w:rsidRPr="003779AF">
        <w:rPr>
          <w:i/>
          <w:iCs/>
          <w:sz w:val="20"/>
          <w:szCs w:val="20"/>
        </w:rPr>
        <w:t>ARTÍCULO 207°. Adiciónense los parágrafos 5, 6 y 7 al artículo 54 de la Ley 143 de 1994, así: PARÁGRAFO 5°. Para aqu</w:t>
      </w:r>
      <w:r w:rsidRPr="003779AF">
        <w:rPr>
          <w:i/>
          <w:iCs/>
          <w:sz w:val="20"/>
          <w:szCs w:val="20"/>
        </w:rPr>
        <w:t>ellas plantas nuevas que aún no se encuentren en operación y que estén localizadas en áreas con la mayor radiación solar promedio anual (mayores a 5 kWh/m2/día) y de mayor velocidad promedio de viento (mayores a 4 m/s a 10m de altura), de acuerdo con los ú</w:t>
      </w:r>
      <w:r w:rsidRPr="003779AF">
        <w:rPr>
          <w:i/>
          <w:iCs/>
          <w:sz w:val="20"/>
          <w:szCs w:val="20"/>
        </w:rPr>
        <w:t>ltimos datos disponibles en los atlas de radiación y velocidad de viento del IDEAM, el porcentaje de la transferencia a la que se refiere este artículo será del 6% de las ventas brutas de energía por generación propia y será implementado de manera gradual,</w:t>
      </w:r>
      <w:r w:rsidRPr="003779AF">
        <w:rPr>
          <w:i/>
          <w:iCs/>
          <w:sz w:val="20"/>
          <w:szCs w:val="20"/>
        </w:rPr>
        <w:t xml:space="preserve"> en los siguientes términos: Transcurridos dos (2) años, a partir de la entrada en vigencia de la presente ley, se aumentará dos (2) puntos porcentuales, quedando en tres por ciento (3%). Al tercer año de la entrada en vigencia de la presente ley, se aumen</w:t>
      </w:r>
      <w:r w:rsidRPr="003779AF">
        <w:rPr>
          <w:i/>
          <w:iCs/>
          <w:sz w:val="20"/>
          <w:szCs w:val="20"/>
        </w:rPr>
        <w:t xml:space="preserve">tará un (1) punto porcentual, quedando en cuatro por ciento (4 %). Al cuarto año de la entrada en vigencia de la presente ley, se aumentará un (1) punto porcentual, quedando en cinco por ciento (5%). A partir del quinto año de la entrada en vigencia de la </w:t>
      </w:r>
      <w:r w:rsidRPr="003779AF">
        <w:rPr>
          <w:i/>
          <w:iCs/>
          <w:sz w:val="20"/>
          <w:szCs w:val="20"/>
        </w:rPr>
        <w:t>presente ley, se aumentará un (1) punto porcentual, llegando al seis por ciento (6%). PARÁGRAFO 6º. Para plantas en operación o plantas con asignación de obligaciones al momento de la vigencia de la presente ley, que estén localizadas en áreas con la mayor</w:t>
      </w:r>
      <w:r w:rsidRPr="003779AF">
        <w:rPr>
          <w:i/>
          <w:iCs/>
          <w:sz w:val="20"/>
          <w:szCs w:val="20"/>
        </w:rPr>
        <w:t xml:space="preserve"> radiación solar promedio anual (mayores a 5 kWh/m2/día) y de mayor velocidad promedio de viento (mayores a 4 m/s a 10m de altura), de acuerdo con los últimos datos disponibles en los atlas de radiación y velocidad de viento del IDEAM, el porcentaje de la </w:t>
      </w:r>
      <w:r w:rsidRPr="003779AF">
        <w:rPr>
          <w:i/>
          <w:iCs/>
          <w:sz w:val="20"/>
          <w:szCs w:val="20"/>
        </w:rPr>
        <w:t>transferencia a la que se refiere este artículo será del 4% de las ventas brutas de energía por generación propia y será implementado de manera gradual, en los siguientes términos: Transcurridos dos (2) años, a partir de la entrada en vigencia de la presen</w:t>
      </w:r>
      <w:r w:rsidRPr="003779AF">
        <w:rPr>
          <w:i/>
          <w:iCs/>
          <w:sz w:val="20"/>
          <w:szCs w:val="20"/>
        </w:rPr>
        <w:t>te ley, se aumentará un (1) punto porcentual, quedando en dos por ciento (2%). Al tercer año de la entrada en vigencia de la presente ley, se aumentará un (1) punto porcentual, quedando en tres por ciento (3%). Al cuarto año de la entrada en vigencia de la</w:t>
      </w:r>
      <w:r w:rsidRPr="003779AF">
        <w:rPr>
          <w:i/>
          <w:iCs/>
          <w:sz w:val="20"/>
          <w:szCs w:val="20"/>
        </w:rPr>
        <w:t xml:space="preserve"> presente ley, se aumentará un (1) punto porcentual, quedando en cuatro por ciento (4%). PARAGRAFO 7°. Estos recursos serán destinados a la financiación de proyectos definidos por las comunidades étnicas ubicadas en los departamentos de influencia de los p</w:t>
      </w:r>
      <w:r w:rsidRPr="003779AF">
        <w:rPr>
          <w:i/>
          <w:iCs/>
          <w:sz w:val="20"/>
          <w:szCs w:val="20"/>
        </w:rPr>
        <w:t>royectos de generación. Asimismo, contará Con una gobernanza con participación étnica que será reglamentada por el Ministerio de Minas y Energía en un plazo de seis (6) meses después de aprobada la presente ley</w:t>
      </w:r>
      <w:r w:rsidRPr="003779AF">
        <w:rPr>
          <w:sz w:val="20"/>
          <w:szCs w:val="20"/>
        </w:rPr>
        <w:t>” (p. 33).</w:t>
      </w:r>
    </w:p>
  </w:footnote>
  <w:footnote w:id="95">
    <w:p w:rsidR="00E93373" w:rsidRPr="003779AF" w:rsidRDefault="00491C4A" w:rsidP="00D74F06">
      <w:pPr>
        <w:pStyle w:val="Textonotapie"/>
        <w:jc w:val="both"/>
      </w:pPr>
      <w:r w:rsidRPr="003779AF">
        <w:rPr>
          <w:rStyle w:val="Refdenotaalpie"/>
        </w:rPr>
        <w:footnoteRef/>
      </w:r>
      <w:r w:rsidRPr="003779AF">
        <w:t xml:space="preserve"> Al revisar los documentos y const</w:t>
      </w:r>
      <w:r w:rsidRPr="003779AF">
        <w:t xml:space="preserve">ancias secretariales -dejando de lado los impedimentos- que figuran en dicha gaceta y que conciernen a la discusión del entonces artículo 207 del proyecto, es una radicada el partido político Mira manifestó su voto negativo respecto al artículo 207, entre </w:t>
      </w:r>
      <w:r w:rsidRPr="003779AF">
        <w:t>otros, fue radica el 2 de mayo de 2023 y firmada por los representantes a la Cámara pertenecientes Irma Luz Herrera Rodríguez, Ana Paola Agudelo García, Manuel Virgüez Piraquive y Carlos Eduardo Guevara V.</w:t>
      </w:r>
    </w:p>
  </w:footnote>
  <w:footnote w:id="96">
    <w:p w:rsidR="00331F5B" w:rsidRPr="003779AF" w:rsidRDefault="00491C4A" w:rsidP="00D74F06">
      <w:pPr>
        <w:pStyle w:val="Textonotapie"/>
        <w:jc w:val="both"/>
      </w:pPr>
      <w:r w:rsidRPr="003779AF">
        <w:rPr>
          <w:rStyle w:val="Refdenotaalpie"/>
        </w:rPr>
        <w:footnoteRef/>
      </w:r>
      <w:r w:rsidRPr="003779AF">
        <w:t xml:space="preserve"> </w:t>
      </w:r>
      <w:r w:rsidRPr="003779AF">
        <w:t>República de Colombia, Gaceta del Congreso 892 d</w:t>
      </w:r>
      <w:r w:rsidRPr="003779AF">
        <w:t>el 21 de julio de 2023, p</w:t>
      </w:r>
      <w:r w:rsidRPr="003779AF">
        <w:t>. 25 a 33.</w:t>
      </w:r>
    </w:p>
  </w:footnote>
  <w:footnote w:id="97">
    <w:p w:rsidR="00774E6A"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35</w:t>
      </w:r>
      <w:r w:rsidRPr="003779AF">
        <w:t xml:space="preserve"> a 40.</w:t>
      </w:r>
    </w:p>
  </w:footnote>
  <w:footnote w:id="98">
    <w:p w:rsidR="007A5346"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38</w:t>
      </w:r>
      <w:r w:rsidRPr="003779AF">
        <w:t>.</w:t>
      </w:r>
    </w:p>
  </w:footnote>
  <w:footnote w:id="99">
    <w:p w:rsidR="00A259B6"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41 a 44.</w:t>
      </w:r>
    </w:p>
  </w:footnote>
  <w:footnote w:id="100">
    <w:p w:rsidR="005C2F95"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p.</w:t>
      </w:r>
      <w:r w:rsidRPr="003779AF">
        <w:t xml:space="preserve"> 44 a 48.</w:t>
      </w:r>
    </w:p>
  </w:footnote>
  <w:footnote w:id="101">
    <w:p w:rsidR="00DF33C4"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P. 47.</w:t>
      </w:r>
    </w:p>
  </w:footnote>
  <w:footnote w:id="102">
    <w:p w:rsidR="00945F08" w:rsidRPr="003779AF" w:rsidRDefault="00491C4A" w:rsidP="00D74F06">
      <w:pPr>
        <w:pStyle w:val="Textonotapie"/>
        <w:jc w:val="both"/>
        <w:rPr>
          <w:lang w:val="en-GB"/>
        </w:rPr>
      </w:pPr>
      <w:r w:rsidRPr="003779AF">
        <w:rPr>
          <w:rStyle w:val="Refdenotaalpie"/>
        </w:rPr>
        <w:footnoteRef/>
      </w:r>
      <w:r w:rsidRPr="003779AF">
        <w:rPr>
          <w:lang w:val="en-GB"/>
        </w:rPr>
        <w:t xml:space="preserve"> </w:t>
      </w:r>
      <w:r w:rsidRPr="003779AF">
        <w:rPr>
          <w:i/>
          <w:iCs/>
          <w:lang w:val="en-GB"/>
        </w:rPr>
        <w:t xml:space="preserve">Ibid, </w:t>
      </w:r>
      <w:r w:rsidRPr="003779AF">
        <w:rPr>
          <w:lang w:val="en-GB"/>
        </w:rPr>
        <w:t xml:space="preserve">p. </w:t>
      </w:r>
      <w:r w:rsidRPr="003779AF">
        <w:rPr>
          <w:lang w:val="en-GB"/>
        </w:rPr>
        <w:t>51</w:t>
      </w:r>
      <w:r w:rsidRPr="003779AF">
        <w:rPr>
          <w:lang w:val="en-GB"/>
        </w:rPr>
        <w:t>.</w:t>
      </w:r>
    </w:p>
  </w:footnote>
  <w:footnote w:id="103">
    <w:p w:rsidR="00642A5B" w:rsidRPr="003779AF" w:rsidRDefault="00491C4A" w:rsidP="00D74F06">
      <w:pPr>
        <w:pStyle w:val="Textonotapie"/>
        <w:jc w:val="both"/>
        <w:rPr>
          <w:lang w:val="en-GB"/>
        </w:rPr>
      </w:pPr>
      <w:r w:rsidRPr="003779AF">
        <w:rPr>
          <w:rStyle w:val="Refdenotaalpie"/>
        </w:rPr>
        <w:footnoteRef/>
      </w:r>
      <w:r w:rsidRPr="003779AF">
        <w:rPr>
          <w:i/>
          <w:iCs/>
          <w:lang w:val="en-GB"/>
        </w:rPr>
        <w:t xml:space="preserve">Ibid, </w:t>
      </w:r>
      <w:r w:rsidRPr="003779AF">
        <w:rPr>
          <w:lang w:val="en-GB"/>
        </w:rPr>
        <w:t xml:space="preserve">p. </w:t>
      </w:r>
      <w:r w:rsidRPr="003779AF">
        <w:rPr>
          <w:lang w:val="en-GB"/>
        </w:rPr>
        <w:t>57-58</w:t>
      </w:r>
      <w:r w:rsidRPr="003779AF">
        <w:rPr>
          <w:lang w:val="en-GB"/>
        </w:rPr>
        <w:t>.</w:t>
      </w:r>
    </w:p>
  </w:footnote>
  <w:footnote w:id="104">
    <w:p w:rsidR="00F15486" w:rsidRPr="003779AF" w:rsidRDefault="00491C4A" w:rsidP="00D74F06">
      <w:pPr>
        <w:pStyle w:val="Textonotapie"/>
        <w:jc w:val="both"/>
        <w:rPr>
          <w:lang w:val="en-GB"/>
        </w:rPr>
      </w:pPr>
      <w:r w:rsidRPr="003779AF">
        <w:rPr>
          <w:rStyle w:val="Refdenotaalpie"/>
        </w:rPr>
        <w:footnoteRef/>
      </w:r>
      <w:r w:rsidRPr="003779AF">
        <w:rPr>
          <w:lang w:val="en-GB"/>
        </w:rPr>
        <w:t xml:space="preserve"> </w:t>
      </w:r>
      <w:r w:rsidRPr="003779AF">
        <w:rPr>
          <w:i/>
          <w:iCs/>
          <w:lang w:val="en-GB"/>
        </w:rPr>
        <w:t xml:space="preserve">Ibid, </w:t>
      </w:r>
      <w:r w:rsidRPr="003779AF">
        <w:rPr>
          <w:lang w:val="en-GB"/>
        </w:rPr>
        <w:t xml:space="preserve">p. </w:t>
      </w:r>
      <w:r w:rsidRPr="003779AF">
        <w:rPr>
          <w:lang w:val="en-GB"/>
        </w:rPr>
        <w:t>6</w:t>
      </w:r>
      <w:r w:rsidRPr="003779AF">
        <w:rPr>
          <w:lang w:val="en-GB"/>
        </w:rPr>
        <w:t>4</w:t>
      </w:r>
      <w:r w:rsidRPr="003779AF">
        <w:rPr>
          <w:lang w:val="en-GB"/>
        </w:rPr>
        <w:t>.</w:t>
      </w:r>
    </w:p>
  </w:footnote>
  <w:footnote w:id="105">
    <w:p w:rsidR="00460631"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64 y 65</w:t>
      </w:r>
      <w:r w:rsidRPr="003779AF">
        <w:t>.</w:t>
      </w:r>
    </w:p>
  </w:footnote>
  <w:footnote w:id="106">
    <w:p w:rsidR="00D330D5"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 xml:space="preserve">66 a </w:t>
      </w:r>
      <w:r w:rsidRPr="003779AF">
        <w:t>73</w:t>
      </w:r>
      <w:r w:rsidRPr="003779AF">
        <w:t>.</w:t>
      </w:r>
    </w:p>
  </w:footnote>
  <w:footnote w:id="107">
    <w:p w:rsidR="00D15D55" w:rsidRPr="003779AF" w:rsidRDefault="00491C4A" w:rsidP="00D74F06">
      <w:pPr>
        <w:pStyle w:val="Textonotapie"/>
        <w:jc w:val="both"/>
      </w:pPr>
      <w:r w:rsidRPr="003779AF">
        <w:rPr>
          <w:rStyle w:val="Refdenotaalpie"/>
        </w:rPr>
        <w:footnoteRef/>
      </w:r>
      <w:r w:rsidRPr="003779AF">
        <w:t xml:space="preserve"> </w:t>
      </w:r>
      <w:r w:rsidRPr="003779AF">
        <w:t xml:space="preserve">República de Colombia, Gaceta del Congreso 1311 del 20 de septiembre de 2023, p. </w:t>
      </w:r>
      <w:r w:rsidRPr="003779AF">
        <w:t>20</w:t>
      </w:r>
      <w:r w:rsidRPr="003779AF">
        <w:t>.</w:t>
      </w:r>
    </w:p>
  </w:footnote>
  <w:footnote w:id="108">
    <w:p w:rsidR="00D15D55" w:rsidRPr="003779AF" w:rsidRDefault="00491C4A" w:rsidP="00D74F06">
      <w:pPr>
        <w:pStyle w:val="Textonotapie"/>
        <w:jc w:val="both"/>
        <w:rPr>
          <w:i/>
          <w:iCs/>
        </w:rPr>
      </w:pPr>
      <w:r w:rsidRPr="003779AF">
        <w:rPr>
          <w:rStyle w:val="Refdenotaalpie"/>
        </w:rPr>
        <w:footnoteRef/>
      </w:r>
      <w:r w:rsidRPr="003779AF">
        <w:t xml:space="preserve"> </w:t>
      </w:r>
      <w:r w:rsidRPr="003779AF">
        <w:rPr>
          <w:i/>
          <w:iCs/>
        </w:rPr>
        <w:t>Ibidem.</w:t>
      </w:r>
    </w:p>
  </w:footnote>
  <w:footnote w:id="109">
    <w:p w:rsidR="009320FE"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21-77</w:t>
      </w:r>
      <w:r w:rsidRPr="003779AF">
        <w:t>.</w:t>
      </w:r>
    </w:p>
  </w:footnote>
  <w:footnote w:id="110">
    <w:p w:rsidR="00435A6E"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77</w:t>
      </w:r>
      <w:r w:rsidRPr="003779AF">
        <w:t>.</w:t>
      </w:r>
    </w:p>
  </w:footnote>
  <w:footnote w:id="111">
    <w:p w:rsidR="004931C7"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79</w:t>
      </w:r>
      <w:r w:rsidRPr="003779AF">
        <w:t>.</w:t>
      </w:r>
    </w:p>
  </w:footnote>
  <w:footnote w:id="112">
    <w:p w:rsidR="00F630D5"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81</w:t>
      </w:r>
    </w:p>
  </w:footnote>
  <w:footnote w:id="113">
    <w:p w:rsidR="00F630D5" w:rsidRPr="003779AF" w:rsidRDefault="00491C4A" w:rsidP="00D74F06">
      <w:pPr>
        <w:pStyle w:val="Textonotapie"/>
        <w:jc w:val="both"/>
        <w:rPr>
          <w:i/>
          <w:iCs/>
        </w:rPr>
      </w:pPr>
      <w:r w:rsidRPr="003779AF">
        <w:rPr>
          <w:rStyle w:val="Refdenotaalpie"/>
        </w:rPr>
        <w:footnoteRef/>
      </w:r>
      <w:r w:rsidRPr="003779AF">
        <w:t xml:space="preserve"> </w:t>
      </w:r>
      <w:r w:rsidRPr="003779AF">
        <w:rPr>
          <w:i/>
          <w:iCs/>
        </w:rPr>
        <w:t>Ibidem.</w:t>
      </w:r>
    </w:p>
  </w:footnote>
  <w:footnote w:id="114">
    <w:p w:rsidR="001D64D2" w:rsidRPr="003779AF" w:rsidRDefault="00491C4A" w:rsidP="00D74F06">
      <w:pPr>
        <w:pStyle w:val="Textonotapie"/>
        <w:jc w:val="both"/>
      </w:pPr>
      <w:r w:rsidRPr="003779AF">
        <w:rPr>
          <w:rStyle w:val="Refdenotaalpie"/>
        </w:rPr>
        <w:footnoteRef/>
      </w:r>
      <w:r w:rsidRPr="003779AF">
        <w:t xml:space="preserve"> </w:t>
      </w:r>
      <w:r w:rsidRPr="003779AF">
        <w:rPr>
          <w:i/>
          <w:iCs/>
        </w:rPr>
        <w:t xml:space="preserve">Ibid, </w:t>
      </w:r>
      <w:r w:rsidRPr="003779AF">
        <w:t xml:space="preserve">p. </w:t>
      </w:r>
      <w:r w:rsidRPr="003779AF">
        <w:t>102 a 103</w:t>
      </w:r>
      <w:r w:rsidRPr="003779AF">
        <w:t>.</w:t>
      </w:r>
    </w:p>
  </w:footnote>
  <w:footnote w:id="115">
    <w:p w:rsidR="003D2CBA" w:rsidRPr="003779AF" w:rsidRDefault="00491C4A" w:rsidP="00D74F06">
      <w:pPr>
        <w:pStyle w:val="Textonotapie"/>
        <w:jc w:val="both"/>
      </w:pPr>
      <w:r w:rsidRPr="003779AF">
        <w:rPr>
          <w:rStyle w:val="Refdenotaalpie"/>
        </w:rPr>
        <w:footnoteRef/>
      </w:r>
      <w:r w:rsidRPr="003779AF">
        <w:t xml:space="preserve"> </w:t>
      </w:r>
      <w:r w:rsidRPr="003779AF">
        <w:t xml:space="preserve">República de Colombia, Gaceta del Congreso 1143 del 25 de agosto de 2023, p. </w:t>
      </w:r>
      <w:r w:rsidRPr="003779AF">
        <w:t>133</w:t>
      </w:r>
      <w:r w:rsidRPr="003779AF">
        <w:t>.</w:t>
      </w:r>
    </w:p>
  </w:footnote>
  <w:footnote w:id="116">
    <w:p w:rsidR="003D2CBA" w:rsidRPr="003779AF" w:rsidRDefault="00491C4A" w:rsidP="00D74F06">
      <w:pPr>
        <w:pStyle w:val="Textonotapie"/>
        <w:jc w:val="both"/>
        <w:rPr>
          <w:i/>
          <w:iCs/>
        </w:rPr>
      </w:pPr>
      <w:r w:rsidRPr="003779AF">
        <w:rPr>
          <w:rStyle w:val="Refdenotaalpie"/>
        </w:rPr>
        <w:footnoteRef/>
      </w:r>
      <w:r w:rsidRPr="003779AF">
        <w:t xml:space="preserve"> </w:t>
      </w:r>
      <w:r w:rsidRPr="003779AF">
        <w:rPr>
          <w:i/>
          <w:iCs/>
        </w:rPr>
        <w:t>Ibidem</w:t>
      </w:r>
    </w:p>
  </w:footnote>
  <w:footnote w:id="117">
    <w:p w:rsidR="00CD0DAA" w:rsidRPr="003779AF" w:rsidRDefault="00491C4A" w:rsidP="00D74F06">
      <w:pPr>
        <w:pStyle w:val="Textonotapie"/>
        <w:jc w:val="both"/>
        <w:rPr>
          <w:i/>
          <w:iCs/>
        </w:rPr>
      </w:pPr>
      <w:r w:rsidRPr="003779AF">
        <w:rPr>
          <w:rStyle w:val="Refdenotaalpie"/>
        </w:rPr>
        <w:footnoteRef/>
      </w:r>
      <w:r w:rsidRPr="003779AF">
        <w:t xml:space="preserve"> </w:t>
      </w:r>
      <w:r w:rsidRPr="003779AF">
        <w:rPr>
          <w:i/>
          <w:iCs/>
        </w:rPr>
        <w:t>Ibidem.</w:t>
      </w:r>
    </w:p>
  </w:footnote>
  <w:footnote w:id="118">
    <w:p w:rsidR="00074DEA" w:rsidRPr="003779AF" w:rsidRDefault="00491C4A" w:rsidP="00D74F06">
      <w:pPr>
        <w:pStyle w:val="Textonotapie"/>
        <w:jc w:val="both"/>
      </w:pPr>
      <w:r w:rsidRPr="003779AF">
        <w:rPr>
          <w:rStyle w:val="Refdenotaalpie"/>
        </w:rPr>
        <w:footnoteRef/>
      </w:r>
      <w:r w:rsidRPr="003779AF">
        <w:t xml:space="preserve"> </w:t>
      </w:r>
      <w:r w:rsidRPr="003779AF">
        <w:t>El retiro de la proposición de eliminación sobre el artículo</w:t>
      </w:r>
      <w:r w:rsidRPr="003779AF">
        <w:t xml:space="preserve"> 207 del Proyecto de Ley </w:t>
      </w:r>
      <w:r w:rsidRPr="003779AF">
        <w:t>número 338 de 2023 (Cámara) y 274 de 2023 (Senado)</w:t>
      </w:r>
      <w:r w:rsidRPr="003779AF">
        <w:t xml:space="preserve"> y la aprobación d</w:t>
      </w:r>
      <w:r w:rsidRPr="003779AF">
        <w:t xml:space="preserve">e su texto como venía en la ponencia para segundo debate </w:t>
      </w:r>
      <w:r w:rsidRPr="003779AF">
        <w:t>consta en el Acta de Plenaria Número 53 de 2023, publicada en la Gaceta del Congreso 892 de</w:t>
      </w:r>
      <w:r w:rsidRPr="003779AF">
        <w:t>l mismo año.</w:t>
      </w:r>
    </w:p>
  </w:footnote>
  <w:footnote w:id="119">
    <w:p w:rsidR="00245DF7" w:rsidRPr="003779AF" w:rsidRDefault="00491C4A" w:rsidP="00D74F06">
      <w:pPr>
        <w:pStyle w:val="Textonotapie"/>
        <w:jc w:val="both"/>
      </w:pPr>
      <w:r w:rsidRPr="003779AF">
        <w:rPr>
          <w:rStyle w:val="Refdenotaalpie"/>
        </w:rPr>
        <w:footnoteRef/>
      </w:r>
      <w:r w:rsidRPr="003779AF">
        <w:t xml:space="preserve"> </w:t>
      </w:r>
      <w:r w:rsidRPr="003779AF">
        <w:t>La ponencia para segundo debate fue publicada en la Gaceta del Congreso 388 del 26 de abril d</w:t>
      </w:r>
      <w:r w:rsidRPr="003779AF">
        <w:t>e 2023.</w:t>
      </w:r>
    </w:p>
  </w:footnote>
  <w:footnote w:id="120">
    <w:p w:rsidR="008F5FC5" w:rsidRPr="003779AF" w:rsidRDefault="00491C4A" w:rsidP="00D74F06">
      <w:pPr>
        <w:pStyle w:val="Textonotapie"/>
        <w:jc w:val="both"/>
      </w:pPr>
      <w:r w:rsidRPr="003779AF">
        <w:rPr>
          <w:rStyle w:val="Refdenotaalpie"/>
        </w:rPr>
        <w:footnoteRef/>
      </w:r>
      <w:r w:rsidRPr="003779AF">
        <w:t xml:space="preserve"> Corte Constitucional, Sentencia C-550 de 2019.</w:t>
      </w:r>
    </w:p>
  </w:footnote>
  <w:footnote w:id="121">
    <w:p w:rsidR="00A121B4" w:rsidRPr="003779AF" w:rsidRDefault="00491C4A" w:rsidP="00D74F06">
      <w:pPr>
        <w:pStyle w:val="Textonotapie"/>
        <w:jc w:val="both"/>
      </w:pPr>
      <w:r w:rsidRPr="003779AF">
        <w:rPr>
          <w:rStyle w:val="Refdenotaalpie"/>
        </w:rPr>
        <w:footnoteRef/>
      </w:r>
      <w:r w:rsidRPr="003779AF">
        <w:t xml:space="preserve"> Corte Constitucional, Sentencia </w:t>
      </w:r>
      <w:r w:rsidRPr="003779AF">
        <w:t>C-502 de 2023.</w:t>
      </w:r>
    </w:p>
  </w:footnote>
  <w:footnote w:id="122">
    <w:p w:rsidR="005031D1" w:rsidRPr="003779AF" w:rsidRDefault="00491C4A" w:rsidP="00D74F06">
      <w:pPr>
        <w:pStyle w:val="Textonotapie"/>
        <w:jc w:val="both"/>
      </w:pPr>
      <w:r w:rsidRPr="003779AF">
        <w:rPr>
          <w:rStyle w:val="Refdenotaalpie"/>
        </w:rPr>
        <w:footnoteRef/>
      </w:r>
      <w:r w:rsidRPr="003779AF">
        <w:t xml:space="preserve"> Ibidem</w:t>
      </w:r>
    </w:p>
  </w:footnote>
  <w:footnote w:id="123">
    <w:p w:rsidR="00EB35A6" w:rsidRPr="003779AF" w:rsidRDefault="00491C4A" w:rsidP="00D74F06">
      <w:pPr>
        <w:pStyle w:val="Textonotapie"/>
        <w:jc w:val="both"/>
      </w:pPr>
      <w:r w:rsidRPr="003779AF">
        <w:rPr>
          <w:rStyle w:val="Refdenotaalpie"/>
        </w:rPr>
        <w:footnoteRef/>
      </w:r>
      <w:r w:rsidRPr="003779AF">
        <w:t xml:space="preserve"> Ibidem.</w:t>
      </w:r>
    </w:p>
  </w:footnote>
  <w:footnote w:id="124">
    <w:p w:rsidR="006F088F" w:rsidRPr="003779AF" w:rsidRDefault="00491C4A" w:rsidP="00D74F06">
      <w:pPr>
        <w:pStyle w:val="Textonotapie"/>
        <w:jc w:val="both"/>
      </w:pPr>
      <w:r w:rsidRPr="003779AF">
        <w:rPr>
          <w:rStyle w:val="Refdenotaalpie"/>
        </w:rPr>
        <w:footnoteRef/>
      </w:r>
      <w:r w:rsidRPr="003779AF">
        <w:t xml:space="preserve"> Corte Constitucional, Sentencias C-488 de 2000 y C-550 de 2019, entre otras.</w:t>
      </w:r>
    </w:p>
  </w:footnote>
  <w:footnote w:id="125">
    <w:p w:rsidR="00A759BA" w:rsidRPr="003779AF" w:rsidRDefault="00491C4A" w:rsidP="00A759BA">
      <w:pPr>
        <w:pStyle w:val="Textonotapie"/>
        <w:jc w:val="both"/>
      </w:pPr>
      <w:r w:rsidRPr="00491C4A">
        <w:rPr>
          <w:rStyle w:val="Refdenotaalpie"/>
        </w:rPr>
        <w:footnoteRef/>
      </w:r>
      <w:r w:rsidRPr="003779AF">
        <w:t xml:space="preserve"> </w:t>
      </w:r>
      <w:r w:rsidRPr="003779AF">
        <w:rPr>
          <w:i/>
          <w:iCs/>
        </w:rPr>
        <w:t xml:space="preserve">Cfr. </w:t>
      </w:r>
      <w:r w:rsidRPr="003779AF">
        <w:t xml:space="preserve">Corte Constitucional. Sentencias C-040 de </w:t>
      </w:r>
      <w:r w:rsidRPr="003779AF">
        <w:t>1993 y C-430 de 1995.</w:t>
      </w:r>
    </w:p>
  </w:footnote>
  <w:footnote w:id="126">
    <w:p w:rsidR="007270C5" w:rsidRPr="003779AF" w:rsidRDefault="00491C4A" w:rsidP="007270C5">
      <w:pPr>
        <w:pStyle w:val="Textonotapie"/>
        <w:jc w:val="both"/>
      </w:pPr>
      <w:r w:rsidRPr="00491C4A">
        <w:rPr>
          <w:rStyle w:val="Refdenotaalpie"/>
        </w:rPr>
        <w:footnoteRef/>
      </w:r>
      <w:r w:rsidRPr="003779AF">
        <w:t xml:space="preserve"> </w:t>
      </w:r>
      <w:r w:rsidRPr="003779AF">
        <w:rPr>
          <w:i/>
          <w:iCs/>
        </w:rPr>
        <w:t>Cfr</w:t>
      </w:r>
      <w:r w:rsidRPr="003779AF">
        <w:t>. Corte Constitucional. Sentencias C-155 de 2016; C-484 de 2020; C-504 de 2020; y C-315 de 2022.</w:t>
      </w:r>
    </w:p>
  </w:footnote>
  <w:footnote w:id="127">
    <w:p w:rsidR="007270C5" w:rsidRPr="003779AF" w:rsidRDefault="00491C4A" w:rsidP="007270C5">
      <w:pPr>
        <w:pStyle w:val="Textonotapie"/>
        <w:jc w:val="both"/>
      </w:pPr>
      <w:r w:rsidRPr="00491C4A">
        <w:rPr>
          <w:rStyle w:val="Refdenotaalpie"/>
        </w:rPr>
        <w:footnoteRef/>
      </w:r>
      <w:r w:rsidRPr="003779AF">
        <w:t xml:space="preserve"> </w:t>
      </w:r>
      <w:r w:rsidRPr="003779AF">
        <w:rPr>
          <w:i/>
          <w:iCs/>
        </w:rPr>
        <w:t>Cfr.,</w:t>
      </w:r>
      <w:r w:rsidRPr="003779AF">
        <w:t xml:space="preserve"> Corte Constitucional. Sentencias C-278 de 2019, C-484 de 2020 y C-147 de 2021.</w:t>
      </w:r>
    </w:p>
  </w:footnote>
  <w:footnote w:id="128">
    <w:p w:rsidR="007270C5" w:rsidRPr="003779AF" w:rsidRDefault="00491C4A" w:rsidP="007270C5">
      <w:pPr>
        <w:pStyle w:val="Textonotapie"/>
        <w:jc w:val="both"/>
      </w:pPr>
      <w:r w:rsidRPr="00491C4A">
        <w:rPr>
          <w:rStyle w:val="Refdenotaalpie"/>
        </w:rPr>
        <w:footnoteRef/>
      </w:r>
      <w:r w:rsidRPr="003779AF">
        <w:t xml:space="preserve"> </w:t>
      </w:r>
      <w:r w:rsidRPr="003779AF">
        <w:rPr>
          <w:i/>
          <w:iCs/>
        </w:rPr>
        <w:t>Ibidem.</w:t>
      </w:r>
    </w:p>
  </w:footnote>
  <w:footnote w:id="129">
    <w:p w:rsidR="00462C96" w:rsidRPr="003779AF" w:rsidRDefault="00491C4A" w:rsidP="00462C96">
      <w:pPr>
        <w:pStyle w:val="Textonotapie"/>
        <w:jc w:val="both"/>
      </w:pPr>
      <w:r w:rsidRPr="003779AF">
        <w:rPr>
          <w:rStyle w:val="Refdenotaalpie"/>
        </w:rPr>
        <w:footnoteRef/>
      </w:r>
      <w:r w:rsidRPr="003779AF">
        <w:t xml:space="preserve"> Ver, por ejemplo, las Sentencias </w:t>
      </w:r>
      <w:r w:rsidRPr="003779AF">
        <w:t>C-253 de 1995, C-537 de 1995, C-550 de 2019, C-593 de 2019 y C-464 de 2020.</w:t>
      </w:r>
    </w:p>
  </w:footnote>
  <w:footnote w:id="130">
    <w:p w:rsidR="00462C96" w:rsidRPr="003779AF" w:rsidRDefault="00491C4A" w:rsidP="00462C96">
      <w:pPr>
        <w:pStyle w:val="Textonotapie"/>
        <w:jc w:val="both"/>
      </w:pPr>
      <w:r w:rsidRPr="003779AF">
        <w:rPr>
          <w:rStyle w:val="Refdenotaalpie"/>
        </w:rPr>
        <w:footnoteRef/>
      </w:r>
      <w:r w:rsidRPr="003779AF">
        <w:t xml:space="preserve"> C-298 de 1998 y C-473 de 2019.</w:t>
      </w:r>
    </w:p>
  </w:footnote>
  <w:footnote w:id="131">
    <w:p w:rsidR="00462C96" w:rsidRPr="003779AF" w:rsidRDefault="00491C4A" w:rsidP="00462C96">
      <w:pPr>
        <w:pStyle w:val="Textonotapie"/>
        <w:jc w:val="both"/>
      </w:pPr>
      <w:r w:rsidRPr="003779AF">
        <w:rPr>
          <w:rStyle w:val="Refdenotaalpie"/>
        </w:rPr>
        <w:footnoteRef/>
      </w:r>
      <w:r w:rsidRPr="003779AF">
        <w:t xml:space="preserve"> C-473 de 2019</w:t>
      </w:r>
    </w:p>
  </w:footnote>
  <w:footnote w:id="132">
    <w:p w:rsidR="00727506" w:rsidRPr="003779AF" w:rsidRDefault="00491C4A" w:rsidP="00727506">
      <w:pPr>
        <w:pStyle w:val="Textonotapie"/>
        <w:jc w:val="both"/>
      </w:pPr>
      <w:r w:rsidRPr="003779AF">
        <w:rPr>
          <w:rStyle w:val="Refdenotaalpie"/>
        </w:rPr>
        <w:footnoteRef/>
      </w:r>
      <w:r w:rsidRPr="003779AF">
        <w:t xml:space="preserve"> </w:t>
      </w:r>
      <w:r w:rsidRPr="003779AF">
        <w:rPr>
          <w:i/>
          <w:iCs/>
        </w:rPr>
        <w:t>Cfr.</w:t>
      </w:r>
      <w:r w:rsidRPr="003779AF">
        <w:t xml:space="preserve">, Corte Constitucional, Sentencia C-389 de 2023: </w:t>
      </w:r>
      <w:r w:rsidRPr="003779AF">
        <w:rPr>
          <w:i/>
          <w:iCs/>
        </w:rPr>
        <w:t>“77. La Sala Plena de la Corte Constitucional considera que el Legislador no vulneró el principio de certeza tributaria en la redacción del párrafo 4 del artículo 240 del Estatuto Tributario, al establecer que la sobretasa analizada aplica a “los contribuy</w:t>
      </w:r>
      <w:r w:rsidRPr="003779AF">
        <w:rPr>
          <w:i/>
          <w:iCs/>
        </w:rPr>
        <w:t xml:space="preserve">entes cuya actividad económica principal sea la GEERH”. En efecto, el alcance de esta expresión, que determina </w:t>
      </w:r>
      <w:r w:rsidRPr="003779AF">
        <w:rPr>
          <w:i/>
          <w:iCs/>
          <w:u w:val="single"/>
        </w:rPr>
        <w:t>los sujetos obligados por la sobretasa en cuestión, puede determinarse con suficiente claridad y precisión, haciendo referencia a la reglamentaci</w:t>
      </w:r>
      <w:r w:rsidRPr="003779AF">
        <w:rPr>
          <w:i/>
          <w:iCs/>
          <w:u w:val="single"/>
        </w:rPr>
        <w:t>ón tributaria y al uso del lenguaje natural para su comprensión</w:t>
      </w:r>
      <w:r w:rsidRPr="003779AF">
        <w:rPr>
          <w:i/>
          <w:iCs/>
        </w:rPr>
        <w:t>. 78. En primer lugar, la determinación de los sujetos gravados en función de su actividad económica se basará en la información contenida en el RUT. Es importante recordar que el artículo 555-</w:t>
      </w:r>
      <w:r w:rsidRPr="003779AF">
        <w:rPr>
          <w:i/>
          <w:iCs/>
        </w:rPr>
        <w:t>2 del Estatuto Tributario establece que la administración del RUT recae en la DIAN y que este registro constituye el único mecanismo para “identificar, ubicar y clasificar las personas y entidades que tengan la calidad de contribuyentes declarantes del imp</w:t>
      </w:r>
      <w:r w:rsidRPr="003779AF">
        <w:rPr>
          <w:i/>
          <w:iCs/>
        </w:rPr>
        <w:t>uesto sobre la renta”. Para lograr esto, el RUT se apoya en la clasificación CIIU (Clasificación Industrial Internacional Uniforme de todas las actividades económicas), que se compone de una serie de códigos que permiten organizar e identificar las activid</w:t>
      </w:r>
      <w:r w:rsidRPr="003779AF">
        <w:rPr>
          <w:i/>
          <w:iCs/>
        </w:rPr>
        <w:t>ades productivas. Esta clasificación representa el método oficial para la categorización de los contribuyentes según su actividad económica, y su propósito es facilitar el “control y administración de los impuestos y demás obligaciones a cargo de la [DIAN]</w:t>
      </w:r>
      <w:r w:rsidRPr="003779AF">
        <w:rPr>
          <w:i/>
          <w:iCs/>
        </w:rPr>
        <w:t>”. 79. De otro lado, la Resolución 114 de 2020 de la DIAN, en su artículo 3°, establece reglas para saber cuál será la actividad económica de un contribuyente que desarrolle varias actividades a la vez. Así, establece que “[c]uando un contribuyente o respo</w:t>
      </w:r>
      <w:r w:rsidRPr="003779AF">
        <w:rPr>
          <w:i/>
          <w:iCs/>
        </w:rPr>
        <w:t>nsable desarrolle dos (2) o más actividades económicas, la actividad económica principal será aquella que le genere el mayor valor de ingresos”. 80. Con las herramientas del RUT, el CIIU y las reglas de la Resolución 114 de 2020 nos acercamos a la determin</w:t>
      </w:r>
      <w:r w:rsidRPr="003779AF">
        <w:rPr>
          <w:i/>
          <w:iCs/>
        </w:rPr>
        <w:t>ación de la actividad económica del contribuyente “cuya actividad económica principal sea la GEERH”. 81. Ahora bien, bajo la clasificación CIIU no existe la actividad denominada “generación de energía a través de recursos hídricos”, como es mencionada en e</w:t>
      </w:r>
      <w:r w:rsidRPr="003779AF">
        <w:rPr>
          <w:i/>
          <w:iCs/>
        </w:rPr>
        <w:t>l parágrafo 4 del artículo 240 ET. En efecto, en la Sección D, subdivisión 35, de la clasificación CIIU solo se encuentra el código 3511, correspondiente a la “generación de energía eléctrica”, sin distinguir, mediante códigos adicionales, la fuente de gen</w:t>
      </w:r>
      <w:r w:rsidRPr="003779AF">
        <w:rPr>
          <w:i/>
          <w:iCs/>
        </w:rPr>
        <w:t>eración. A pesar de ello, si se complementa la lectura del código 3511 con sus notas explicativas, se evidencia que en estas se declara que el código 3511 incluye: “[l]a gestión de las instalaciones de generación de energía eléctrica, ya sean térmicas, </w:t>
      </w:r>
      <w:r w:rsidRPr="003779AF">
        <w:rPr>
          <w:i/>
          <w:iCs/>
          <w:u w:val="single"/>
        </w:rPr>
        <w:t>hid</w:t>
      </w:r>
      <w:r w:rsidRPr="003779AF">
        <w:rPr>
          <w:i/>
          <w:iCs/>
          <w:u w:val="single"/>
        </w:rPr>
        <w:t>roeléctricas</w:t>
      </w:r>
      <w:r w:rsidRPr="003779AF">
        <w:rPr>
          <w:i/>
          <w:iCs/>
        </w:rPr>
        <w:t xml:space="preserve">, de turbina de gas, de diesel y de energías renovables” (subrayado por fuera del texto). Así, un contribuyente cuya actividad principal sea la GEERH no tiene un código CIIU específico, pero sí está identificado en su RUT con el código general </w:t>
      </w:r>
      <w:r w:rsidRPr="003779AF">
        <w:rPr>
          <w:i/>
          <w:iCs/>
        </w:rPr>
        <w:t>de generación de energía eléctrica Nro. 3511. 82. Empero, si bien los códigos de clasificación industrial agrupan a todos los generadores de energía eléctrica dentro del mismo CIIU, no por ello existe una ambigüedad que no pueda ser resuelta con un análisi</w:t>
      </w:r>
      <w:r w:rsidRPr="003779AF">
        <w:rPr>
          <w:i/>
          <w:iCs/>
        </w:rPr>
        <w:t>s básico que recurra al uso natural del lenguaje. Así, dado que la disposición demandada determina los sujetos pasivos de la sobretasa como “[l]os contribuyentes cuya actividad económica principal sea la generación de energía eléctrica a través de recursos</w:t>
      </w:r>
      <w:r w:rsidRPr="003779AF">
        <w:rPr>
          <w:i/>
          <w:iCs/>
        </w:rPr>
        <w:t xml:space="preserve"> hídricos”, se tiene que corresponderá a: (i) un contribuyente del impuesto sobre la renta; (ii) que desarrolle la actividad de generación de energía eléctrica (código CIIU 3511); (iii) que puede tener varias actividades productivas, pero la que le genera </w:t>
      </w:r>
      <w:r w:rsidRPr="003779AF">
        <w:rPr>
          <w:i/>
          <w:iCs/>
        </w:rPr>
        <w:t>un mayor ingreso es la generación de energía eléctrica; y (iv) que el ingreso producto de la electricidad generada debe provenir, en su mayor medida, de fuentes hidroeléctricas.   Este último elemento deriva de la comprensión conjunta del concepto “a travé</w:t>
      </w:r>
      <w:r w:rsidRPr="003779AF">
        <w:rPr>
          <w:i/>
          <w:iCs/>
        </w:rPr>
        <w:t xml:space="preserve">s de recursos hídricos” -que en el lenguaje natural se asocia a la “generación hidroeléctrica” de energía- con el de actividad económica principal, antes explicado. 83. Así las cosas, se ha conseguido mostrar cómo, </w:t>
      </w:r>
      <w:r w:rsidRPr="003779AF">
        <w:rPr>
          <w:i/>
          <w:iCs/>
          <w:u w:val="single"/>
        </w:rPr>
        <w:t>a pesar de que la redacción del parágrafo</w:t>
      </w:r>
      <w:r w:rsidRPr="003779AF">
        <w:rPr>
          <w:i/>
          <w:iCs/>
          <w:u w:val="single"/>
        </w:rPr>
        <w:t xml:space="preserve"> 4 del artículo 240 del Estatuto Tributario no contiene de manera explícita todos los elementos para establecer con total precisión quiénes son los sujetos pasivos de la Sobretasa GEERH</w:t>
      </w:r>
      <w:r w:rsidRPr="003779AF">
        <w:rPr>
          <w:i/>
          <w:iCs/>
        </w:rPr>
        <w:t xml:space="preserve">, </w:t>
      </w:r>
      <w:r w:rsidRPr="003779AF">
        <w:rPr>
          <w:i/>
          <w:iCs/>
          <w:u w:val="single"/>
        </w:rPr>
        <w:t>tal elemento fundamental es discernible y la ambigüedad superable, pu</w:t>
      </w:r>
      <w:r w:rsidRPr="003779AF">
        <w:rPr>
          <w:i/>
          <w:iCs/>
          <w:u w:val="single"/>
        </w:rPr>
        <w:t>es recurriendo a la normativa tributaria del nivel reglamentario y al sentido natural del lenguaje, es posible conocer de manera clara y completa quienes se encuentran obligados a soportar la imposición ahora analizada</w:t>
      </w:r>
      <w:r w:rsidRPr="003779AF">
        <w:rPr>
          <w:i/>
          <w:iCs/>
        </w:rPr>
        <w:t xml:space="preserve">.” </w:t>
      </w:r>
      <w:r w:rsidRPr="003779AF">
        <w:t>(Énfasis añadido)</w:t>
      </w:r>
    </w:p>
  </w:footnote>
  <w:footnote w:id="133">
    <w:p w:rsidR="00727506" w:rsidRPr="003779AF" w:rsidRDefault="00491C4A" w:rsidP="00727506">
      <w:pPr>
        <w:pStyle w:val="Textonotapie"/>
        <w:jc w:val="both"/>
      </w:pPr>
      <w:r w:rsidRPr="003779AF">
        <w:rPr>
          <w:rStyle w:val="Refdenotaalpie"/>
        </w:rPr>
        <w:footnoteRef/>
      </w:r>
      <w:r w:rsidRPr="003779AF">
        <w:t xml:space="preserve"> </w:t>
      </w:r>
      <w:r w:rsidRPr="003779AF">
        <w:rPr>
          <w:i/>
          <w:iCs/>
        </w:rPr>
        <w:t>Cfr.</w:t>
      </w:r>
      <w:r w:rsidRPr="003779AF">
        <w:t>, Corte Con</w:t>
      </w:r>
      <w:r w:rsidRPr="003779AF">
        <w:t xml:space="preserve">stitucional, Sentencia C-056 de 2019: </w:t>
      </w:r>
      <w:r w:rsidRPr="003779AF">
        <w:rPr>
          <w:i/>
          <w:iCs/>
        </w:rPr>
        <w:t>“Con base en lo expuesto, la Corte encuentra que la respuesta al primer problema jurídico es negativa, puesto que si bien es válido el argumento según el cual las expresiones utilizadas por el Legislador para definir e</w:t>
      </w:r>
      <w:r w:rsidRPr="003779AF">
        <w:rPr>
          <w:i/>
          <w:iCs/>
        </w:rPr>
        <w:t xml:space="preserve">l sujeto activo del ICA en los casos analizados son amplias, esta condición no es incompatible con los principios de certeza y legalidad del tributo, en tanto (i) los conceptos pueden ser determinados a partir de un ejercicio probatorio; (ii) </w:t>
      </w:r>
      <w:r w:rsidRPr="003779AF">
        <w:rPr>
          <w:i/>
          <w:iCs/>
          <w:u w:val="single"/>
        </w:rPr>
        <w:t>concurren otr</w:t>
      </w:r>
      <w:r w:rsidRPr="003779AF">
        <w:rPr>
          <w:i/>
          <w:iCs/>
          <w:u w:val="single"/>
        </w:rPr>
        <w:t>as normas legales y reglamentarias que son útiles para concretar dicha definición en cada caso</w:t>
      </w:r>
      <w:r w:rsidRPr="003779AF">
        <w:rPr>
          <w:i/>
          <w:iCs/>
        </w:rPr>
        <w:t>; y en cualquier circunstancia (iii) un grado de generalidad del precepto es imperativo en términos de preservación de las competencias constitucionales de los co</w:t>
      </w:r>
      <w:r w:rsidRPr="003779AF">
        <w:rPr>
          <w:i/>
          <w:iCs/>
        </w:rPr>
        <w:t>ncejos municipales y distritales en la determinación concreta del ICA”</w:t>
      </w:r>
      <w:r w:rsidRPr="003779AF">
        <w:t>.</w:t>
      </w:r>
    </w:p>
  </w:footnote>
  <w:footnote w:id="134">
    <w:p w:rsidR="008345AC" w:rsidRPr="003779AF" w:rsidRDefault="00491C4A" w:rsidP="00D74F06">
      <w:pPr>
        <w:pStyle w:val="Textonotapie"/>
        <w:jc w:val="both"/>
      </w:pPr>
      <w:r w:rsidRPr="003779AF">
        <w:rPr>
          <w:rStyle w:val="Refdenotaalpie"/>
        </w:rPr>
        <w:footnoteRef/>
      </w:r>
      <w:r w:rsidRPr="003779AF">
        <w:t xml:space="preserve"> Corte Constitucional, Sentencia C-019 de 2022.</w:t>
      </w:r>
    </w:p>
  </w:footnote>
  <w:footnote w:id="135">
    <w:p w:rsidR="008345AC" w:rsidRPr="003779AF" w:rsidRDefault="00491C4A" w:rsidP="00D74F06">
      <w:pPr>
        <w:pStyle w:val="Textonotapie"/>
        <w:jc w:val="both"/>
      </w:pPr>
      <w:r w:rsidRPr="003779AF">
        <w:rPr>
          <w:rStyle w:val="Refdenotaalpie"/>
        </w:rPr>
        <w:footnoteRef/>
      </w:r>
      <w:r w:rsidRPr="003779AF">
        <w:t xml:space="preserve"> </w:t>
      </w:r>
      <w:r w:rsidRPr="003779AF">
        <w:rPr>
          <w:i/>
          <w:iCs/>
        </w:rPr>
        <w:t>Ibidem</w:t>
      </w:r>
    </w:p>
  </w:footnote>
  <w:footnote w:id="136">
    <w:p w:rsidR="000A4657" w:rsidRPr="003779AF" w:rsidRDefault="00491C4A" w:rsidP="00D74F06">
      <w:pPr>
        <w:pStyle w:val="Textonotapie"/>
        <w:jc w:val="both"/>
      </w:pPr>
      <w:r w:rsidRPr="003779AF">
        <w:rPr>
          <w:rStyle w:val="Refdenotaalpie"/>
        </w:rPr>
        <w:footnoteRef/>
      </w:r>
      <w:r w:rsidRPr="003779AF">
        <w:t xml:space="preserve"> Sobre la constitucionalidad de este asunto, puede consultarse la Sentencia C-407 de 2019.</w:t>
      </w:r>
    </w:p>
  </w:footnote>
  <w:footnote w:id="137">
    <w:p w:rsidR="006C553F" w:rsidRPr="003779AF" w:rsidRDefault="00491C4A" w:rsidP="006C553F">
      <w:pPr>
        <w:pStyle w:val="Textonotapie"/>
        <w:jc w:val="both"/>
      </w:pPr>
      <w:r w:rsidRPr="003779AF">
        <w:rPr>
          <w:rStyle w:val="Refdenotaalpie"/>
        </w:rPr>
        <w:footnoteRef/>
      </w:r>
      <w:r w:rsidRPr="003779AF">
        <w:t xml:space="preserve"> Sobre la existencia en la norma </w:t>
      </w:r>
      <w:r w:rsidRPr="003779AF">
        <w:t xml:space="preserve">de tres sujetos pasivos distintos, se puede consultar la Sentencia del Consejo de Estado, Sala de lo Contencioso Administrativo, Sección Cuarta, 16 de agosto de 2012, Radicación número 85001-23-31-000-2005-00004-01(17093). </w:t>
      </w:r>
    </w:p>
  </w:footnote>
  <w:footnote w:id="138">
    <w:p w:rsidR="000A4657" w:rsidRPr="003779AF" w:rsidRDefault="00491C4A" w:rsidP="00D74F06">
      <w:pPr>
        <w:pStyle w:val="Prrafodelista"/>
        <w:ind w:left="0"/>
        <w:jc w:val="both"/>
        <w:rPr>
          <w:sz w:val="20"/>
          <w:szCs w:val="20"/>
        </w:rPr>
      </w:pPr>
      <w:r w:rsidRPr="003779AF">
        <w:rPr>
          <w:rStyle w:val="Refdenotaalpie"/>
          <w:sz w:val="20"/>
          <w:szCs w:val="20"/>
        </w:rPr>
        <w:footnoteRef/>
      </w:r>
      <w:r w:rsidRPr="003779AF">
        <w:rPr>
          <w:sz w:val="20"/>
          <w:szCs w:val="20"/>
        </w:rPr>
        <w:t xml:space="preserve"> Adicionalmente, algunas de las resoluciones expedidas por la CREG en la materia son las siguientes: </w:t>
      </w:r>
    </w:p>
    <w:p w:rsidR="000A4657" w:rsidRPr="003779AF" w:rsidRDefault="00491C4A" w:rsidP="00D74F06">
      <w:pPr>
        <w:pStyle w:val="Prrafodelista"/>
        <w:numPr>
          <w:ilvl w:val="0"/>
          <w:numId w:val="8"/>
        </w:numPr>
        <w:jc w:val="both"/>
        <w:rPr>
          <w:sz w:val="20"/>
          <w:szCs w:val="20"/>
        </w:rPr>
      </w:pPr>
      <w:r w:rsidRPr="003779AF">
        <w:rPr>
          <w:sz w:val="20"/>
          <w:szCs w:val="20"/>
        </w:rPr>
        <w:t>Resolución 005 de 2010, “</w:t>
      </w:r>
      <w:r w:rsidRPr="003779AF">
        <w:rPr>
          <w:i/>
          <w:iCs/>
          <w:sz w:val="20"/>
          <w:szCs w:val="20"/>
        </w:rPr>
        <w:t>Por la cual se determinan los requisitos y condiciones técnicas que deben cumplir los procesos de cogeneración y se regula esta a</w:t>
      </w:r>
      <w:r w:rsidRPr="003779AF">
        <w:rPr>
          <w:i/>
          <w:iCs/>
          <w:sz w:val="20"/>
          <w:szCs w:val="20"/>
        </w:rPr>
        <w:t>ctividad.</w:t>
      </w:r>
      <w:r w:rsidRPr="003779AF">
        <w:rPr>
          <w:sz w:val="20"/>
          <w:szCs w:val="20"/>
        </w:rPr>
        <w:t xml:space="preserve">” </w:t>
      </w:r>
    </w:p>
    <w:p w:rsidR="000A4657" w:rsidRPr="003779AF" w:rsidRDefault="00491C4A" w:rsidP="00D74F06">
      <w:pPr>
        <w:pStyle w:val="Prrafodelista"/>
        <w:numPr>
          <w:ilvl w:val="0"/>
          <w:numId w:val="8"/>
        </w:numPr>
        <w:jc w:val="both"/>
        <w:rPr>
          <w:sz w:val="20"/>
          <w:szCs w:val="20"/>
        </w:rPr>
      </w:pPr>
      <w:r w:rsidRPr="003779AF">
        <w:rPr>
          <w:sz w:val="20"/>
          <w:szCs w:val="20"/>
        </w:rPr>
        <w:t>Resolución 024 de 2015, “</w:t>
      </w:r>
      <w:r w:rsidRPr="003779AF">
        <w:rPr>
          <w:i/>
          <w:iCs/>
          <w:sz w:val="20"/>
          <w:szCs w:val="20"/>
        </w:rPr>
        <w:t>Por la cual se regula la actividad de autogeneración a gran escala en al sistema interconectado nacional SIN.</w:t>
      </w:r>
      <w:r w:rsidRPr="003779AF">
        <w:rPr>
          <w:sz w:val="20"/>
          <w:szCs w:val="20"/>
        </w:rPr>
        <w:t>”</w:t>
      </w:r>
    </w:p>
    <w:p w:rsidR="000A4657" w:rsidRPr="003779AF" w:rsidRDefault="00491C4A" w:rsidP="00D74F06">
      <w:pPr>
        <w:pStyle w:val="Prrafodelista"/>
        <w:numPr>
          <w:ilvl w:val="0"/>
          <w:numId w:val="8"/>
        </w:numPr>
        <w:jc w:val="both"/>
        <w:rPr>
          <w:sz w:val="20"/>
          <w:szCs w:val="20"/>
        </w:rPr>
      </w:pPr>
      <w:r w:rsidRPr="003779AF">
        <w:rPr>
          <w:sz w:val="20"/>
          <w:szCs w:val="20"/>
        </w:rPr>
        <w:t>Resolución 281 de 2015, “</w:t>
      </w:r>
      <w:r w:rsidRPr="003779AF">
        <w:rPr>
          <w:i/>
          <w:iCs/>
          <w:sz w:val="20"/>
          <w:szCs w:val="20"/>
        </w:rPr>
        <w:t xml:space="preserve">Por la cual se define el límite máximo de potencia de la autogeneración a pequeña </w:t>
      </w:r>
      <w:r w:rsidRPr="003779AF">
        <w:rPr>
          <w:sz w:val="20"/>
          <w:szCs w:val="20"/>
        </w:rPr>
        <w:t>e</w:t>
      </w:r>
      <w:r w:rsidRPr="003779AF">
        <w:rPr>
          <w:sz w:val="20"/>
          <w:szCs w:val="20"/>
        </w:rPr>
        <w:t>scala.”</w:t>
      </w:r>
    </w:p>
    <w:p w:rsidR="000A4657" w:rsidRPr="003779AF" w:rsidRDefault="00491C4A" w:rsidP="00D74F06">
      <w:pPr>
        <w:pStyle w:val="Prrafodelista"/>
        <w:numPr>
          <w:ilvl w:val="0"/>
          <w:numId w:val="8"/>
        </w:numPr>
        <w:ind w:left="714" w:hanging="357"/>
        <w:jc w:val="both"/>
        <w:rPr>
          <w:sz w:val="20"/>
          <w:szCs w:val="20"/>
        </w:rPr>
      </w:pPr>
      <w:r w:rsidRPr="003779AF">
        <w:rPr>
          <w:sz w:val="20"/>
          <w:szCs w:val="20"/>
        </w:rPr>
        <w:t>Resolución 174 de 2021, “</w:t>
      </w:r>
      <w:r w:rsidRPr="003779AF">
        <w:rPr>
          <w:i/>
          <w:iCs/>
          <w:sz w:val="20"/>
          <w:szCs w:val="20"/>
        </w:rPr>
        <w:t>Por la cual se regulan las actividades de autogeneración a pequeña escala y de generación distribuida en el Sistema Interconectado Nacional.</w:t>
      </w:r>
      <w:r w:rsidRPr="003779AF">
        <w:rPr>
          <w:sz w:val="20"/>
          <w:szCs w:val="20"/>
        </w:rPr>
        <w:t>” La Resolución 174 permite que los APE vendan o entreguen los excedentes cuando ut</w:t>
      </w:r>
      <w:r w:rsidRPr="003779AF">
        <w:rPr>
          <w:sz w:val="20"/>
          <w:szCs w:val="20"/>
        </w:rPr>
        <w:t>ilicen FNCE o FNCER a generadores o comercializadores que destinen la energía para la atención de usuarios no regulados o al comercializadore que atiende al consumo del usuario; establece el tratamiento que debe darse a los excedentes, determina la forma e</w:t>
      </w:r>
      <w:r w:rsidRPr="003779AF">
        <w:rPr>
          <w:sz w:val="20"/>
          <w:szCs w:val="20"/>
        </w:rPr>
        <w:t>n que se reconocerán los excedentes de APE y la responsabilidad de la liquidación de los excedentes.</w:t>
      </w:r>
    </w:p>
  </w:footnote>
  <w:footnote w:id="139">
    <w:p w:rsidR="009F0431" w:rsidRPr="003779AF" w:rsidRDefault="00491C4A" w:rsidP="009F0431">
      <w:pPr>
        <w:pStyle w:val="Textonotapie"/>
        <w:jc w:val="both"/>
        <w:rPr>
          <w:i/>
          <w:iCs/>
          <w:lang w:val="es-MX"/>
        </w:rPr>
      </w:pPr>
      <w:r w:rsidRPr="003779AF">
        <w:rPr>
          <w:rStyle w:val="Refdenotaalpie"/>
        </w:rPr>
        <w:footnoteRef/>
      </w:r>
      <w:r w:rsidRPr="003779AF">
        <w:t xml:space="preserve"> El artículo 2° de la Resolución CREG 071 de 2006 establece que </w:t>
      </w:r>
      <w:r w:rsidRPr="003779AF">
        <w:rPr>
          <w:i/>
          <w:iCs/>
        </w:rPr>
        <w:t xml:space="preserve">“esta energía está asociada a la Capacidad de Generación de Respaldo de que trata el </w:t>
      </w:r>
      <w:r w:rsidRPr="003779AF">
        <w:rPr>
          <w:i/>
          <w:iCs/>
        </w:rPr>
        <w:t>artículo 23 de la Ley 143 de 1994 y es la que puede comprometerse para garantizar a los usuarios la confiabilidad en la prestación del servicio de energía eléctrica bajo condiciones críticas.”</w:t>
      </w:r>
    </w:p>
  </w:footnote>
  <w:footnote w:id="140">
    <w:p w:rsidR="00BC0CD6" w:rsidRPr="003779AF" w:rsidRDefault="00491C4A" w:rsidP="00BC0CD6">
      <w:pPr>
        <w:pStyle w:val="Textonotapie"/>
        <w:jc w:val="both"/>
        <w:rPr>
          <w:lang w:val="es-MX"/>
        </w:rPr>
      </w:pPr>
      <w:r w:rsidRPr="003779AF">
        <w:rPr>
          <w:rStyle w:val="Refdenotaalpie"/>
        </w:rPr>
        <w:footnoteRef/>
      </w:r>
      <w:r w:rsidRPr="003779AF">
        <w:t xml:space="preserve"> </w:t>
      </w:r>
      <w:r w:rsidRPr="003779AF">
        <w:rPr>
          <w:lang w:val="es-MX"/>
        </w:rPr>
        <w:t>La descripción que se presenta a continuación corresponde a l</w:t>
      </w:r>
      <w:r w:rsidRPr="003779AF">
        <w:rPr>
          <w:lang w:val="es-MX"/>
        </w:rPr>
        <w:t xml:space="preserve">a información contenida en </w:t>
      </w:r>
      <w:r w:rsidRPr="003779AF">
        <w:rPr>
          <w:lang w:val="es-MX"/>
        </w:rPr>
        <w:t>la Resolución CREG 071 de 2006 y a</w:t>
      </w:r>
      <w:r w:rsidRPr="003779AF">
        <w:rPr>
          <w:lang w:val="es-MX"/>
        </w:rPr>
        <w:t>l documento “</w:t>
      </w:r>
      <w:r w:rsidRPr="003779AF">
        <w:rPr>
          <w:i/>
          <w:iCs/>
        </w:rPr>
        <w:t xml:space="preserve">Cargo por confiabilidad. Esquema regulatorio para asegurar la confiabilidad en el suministro de energía eléctrica en Colombia, una visión de largo plazo” </w:t>
      </w:r>
      <w:r w:rsidRPr="003779AF">
        <w:t>Comisión de Regulación de En</w:t>
      </w:r>
      <w:r w:rsidRPr="003779AF">
        <w:t xml:space="preserve">ergía y Gas (CREG). (2006). Tomado de: </w:t>
      </w:r>
      <w:hyperlink r:id="rId13" w:history="1">
        <w:r w:rsidRPr="003779AF">
          <w:rPr>
            <w:rStyle w:val="Hipervnculo"/>
          </w:rPr>
          <w:t>https://gestornormativo.creg.gov.co/Publicac.nsf</w:t>
        </w:r>
        <w:r w:rsidRPr="003779AF">
          <w:rPr>
            <w:rStyle w:val="Hipervnculo"/>
          </w:rPr>
          <w:t>/1c09d18d2d5ffb5b05256eee00709c02/7c7ee4f6ee5328880525785a007a6d04/$FILE/CARGO%20POR%20CONFIABILIDAD.pdf</w:t>
        </w:r>
      </w:hyperlink>
      <w:r w:rsidRPr="003779AF">
        <w:t xml:space="preserve"> </w:t>
      </w:r>
    </w:p>
  </w:footnote>
  <w:footnote w:id="141">
    <w:p w:rsidR="0062521C" w:rsidRPr="003779AF" w:rsidRDefault="00491C4A" w:rsidP="0062521C">
      <w:pPr>
        <w:pStyle w:val="Textonotapie"/>
        <w:jc w:val="both"/>
        <w:rPr>
          <w:lang w:val="es-MX"/>
        </w:rPr>
      </w:pPr>
      <w:r w:rsidRPr="003779AF">
        <w:rPr>
          <w:rStyle w:val="Refdenotaalpie"/>
        </w:rPr>
        <w:footnoteRef/>
      </w:r>
      <w:r w:rsidRPr="003779AF">
        <w:t xml:space="preserve"> Este umbral corresponde a un valor asociado al equivalente de costo variable que tendría una planta termoeléctrica que utilizara Fuel Oil No 6.</w:t>
      </w:r>
    </w:p>
  </w:footnote>
  <w:footnote w:id="142">
    <w:p w:rsidR="0062521C" w:rsidRPr="003779AF" w:rsidRDefault="00491C4A">
      <w:pPr>
        <w:pStyle w:val="Textonotapie"/>
        <w:rPr>
          <w:lang w:val="es-MX"/>
        </w:rPr>
      </w:pPr>
      <w:r w:rsidRPr="003779AF">
        <w:rPr>
          <w:rStyle w:val="Refdenotaalpie"/>
        </w:rPr>
        <w:footnoteRef/>
      </w:r>
      <w:r w:rsidRPr="003779AF">
        <w:t xml:space="preserve"> Cu</w:t>
      </w:r>
      <w:r w:rsidRPr="003779AF">
        <w:t>ando el precio corresponde al 98% de la planta más costosa del sistema</w:t>
      </w:r>
    </w:p>
  </w:footnote>
  <w:footnote w:id="143">
    <w:p w:rsidR="00BC0CD6" w:rsidRPr="003779AF" w:rsidRDefault="00491C4A" w:rsidP="00BC0CD6">
      <w:pPr>
        <w:pStyle w:val="Textonotapie"/>
        <w:jc w:val="both"/>
        <w:rPr>
          <w:lang w:val="es-MX"/>
        </w:rPr>
      </w:pPr>
      <w:r w:rsidRPr="003779AF">
        <w:rPr>
          <w:rStyle w:val="Refdenotaalpie"/>
        </w:rPr>
        <w:footnoteRef/>
      </w:r>
      <w:r w:rsidRPr="003779AF">
        <w:t xml:space="preserve"> La Energía Firme está determinada por variables técnicas previamente definidas y su cálculo está homologado actualmente con independencia de la tecnología de generación.</w:t>
      </w:r>
    </w:p>
  </w:footnote>
  <w:footnote w:id="144">
    <w:p w:rsidR="00027103" w:rsidRPr="003779AF" w:rsidRDefault="00491C4A" w:rsidP="00027103">
      <w:pPr>
        <w:pStyle w:val="Textonotapie"/>
        <w:rPr>
          <w:lang w:val="es-MX"/>
        </w:rPr>
      </w:pPr>
      <w:r w:rsidRPr="003779AF">
        <w:rPr>
          <w:rStyle w:val="Refdenotaalpie"/>
        </w:rPr>
        <w:footnoteRef/>
      </w:r>
      <w:r w:rsidRPr="003779AF">
        <w:t xml:space="preserve"> </w:t>
      </w:r>
      <w:r w:rsidRPr="003779AF">
        <w:rPr>
          <w:lang w:val="es-MX"/>
        </w:rPr>
        <w:t xml:space="preserve"> </w:t>
      </w:r>
      <w:r w:rsidRPr="003779AF">
        <w:t xml:space="preserve">Respuesta </w:t>
      </w:r>
      <w:r w:rsidRPr="003779AF">
        <w:t>Expediente D-15525 Ley 2295 de 2023 artículo 233. Radicado CREGS2024000825. P. 8.</w:t>
      </w:r>
    </w:p>
  </w:footnote>
  <w:footnote w:id="145">
    <w:p w:rsidR="00687F9A" w:rsidRPr="003779AF" w:rsidRDefault="00491C4A">
      <w:pPr>
        <w:pStyle w:val="Textonotapie"/>
        <w:rPr>
          <w:lang w:val="es-MX"/>
        </w:rPr>
      </w:pPr>
      <w:r w:rsidRPr="003779AF">
        <w:rPr>
          <w:rStyle w:val="Refdenotaalpie"/>
        </w:rPr>
        <w:footnoteRef/>
      </w:r>
      <w:r w:rsidRPr="003779AF">
        <w:t xml:space="preserve"> Escrito de la demanda</w:t>
      </w:r>
      <w:r w:rsidRPr="003779AF">
        <w:t>, p</w:t>
      </w:r>
      <w:r w:rsidRPr="003779AF">
        <w:t>. 61.</w:t>
      </w:r>
    </w:p>
  </w:footnote>
  <w:footnote w:id="146">
    <w:p w:rsidR="004B32AA" w:rsidRPr="003779AF" w:rsidRDefault="00491C4A" w:rsidP="004B32AA">
      <w:pPr>
        <w:pStyle w:val="Textonotapie"/>
        <w:jc w:val="both"/>
      </w:pPr>
      <w:r w:rsidRPr="003779AF">
        <w:rPr>
          <w:rStyle w:val="Refdenotaalpie"/>
        </w:rPr>
        <w:footnoteRef/>
      </w:r>
      <w:r w:rsidRPr="003779AF">
        <w:t xml:space="preserve"> Corte Constitucional, Sentencia C-209 de 2016.</w:t>
      </w:r>
    </w:p>
  </w:footnote>
  <w:footnote w:id="147">
    <w:p w:rsidR="004B32AA" w:rsidRPr="003779AF" w:rsidRDefault="00491C4A" w:rsidP="004B32AA">
      <w:pPr>
        <w:pStyle w:val="Textonotapie"/>
        <w:jc w:val="both"/>
      </w:pPr>
      <w:r w:rsidRPr="003779AF">
        <w:rPr>
          <w:rStyle w:val="Refdenotaalpie"/>
        </w:rPr>
        <w:footnoteRef/>
      </w:r>
      <w:r w:rsidRPr="003779AF">
        <w:t xml:space="preserve"> Corte Constitucional, Sentencia C-203 de 2021.</w:t>
      </w:r>
    </w:p>
  </w:footnote>
  <w:footnote w:id="148">
    <w:p w:rsidR="004B32AA" w:rsidRPr="003779AF" w:rsidRDefault="00491C4A" w:rsidP="004B32AA">
      <w:pPr>
        <w:pStyle w:val="Textonotapie"/>
        <w:jc w:val="both"/>
      </w:pPr>
      <w:r w:rsidRPr="003779AF">
        <w:rPr>
          <w:rStyle w:val="Refdenotaalpie"/>
        </w:rPr>
        <w:footnoteRef/>
      </w:r>
      <w:r w:rsidRPr="003779AF">
        <w:t xml:space="preserve"> Preámbulo y artículos 1°, 2°, 53, 365, 366 y 367 de la Constitución Política. </w:t>
      </w:r>
    </w:p>
  </w:footnote>
  <w:footnote w:id="149">
    <w:p w:rsidR="004B32AA" w:rsidRPr="003779AF" w:rsidRDefault="00491C4A" w:rsidP="004B32AA">
      <w:pPr>
        <w:pStyle w:val="Textonotapie"/>
        <w:jc w:val="both"/>
      </w:pPr>
      <w:r w:rsidRPr="003779AF">
        <w:rPr>
          <w:rStyle w:val="Refdenotaalpie"/>
        </w:rPr>
        <w:footnoteRef/>
      </w:r>
      <w:r w:rsidRPr="003779AF">
        <w:t xml:space="preserve"> Corte Constitucional, Sentencia C-209 de 2016.</w:t>
      </w:r>
    </w:p>
  </w:footnote>
  <w:footnote w:id="150">
    <w:p w:rsidR="004B32AA" w:rsidRPr="003779AF" w:rsidRDefault="00491C4A" w:rsidP="004B32AA">
      <w:pPr>
        <w:pStyle w:val="Textonotapie"/>
        <w:jc w:val="both"/>
      </w:pPr>
      <w:r w:rsidRPr="003779AF">
        <w:rPr>
          <w:rStyle w:val="Refdenotaalpie"/>
        </w:rPr>
        <w:footnoteRef/>
      </w:r>
      <w:r w:rsidRPr="003779AF">
        <w:t xml:space="preserve"> Corte Constitucional, Sentencia C-379 de 2020.</w:t>
      </w:r>
    </w:p>
  </w:footnote>
  <w:footnote w:id="151">
    <w:p w:rsidR="004B32AA" w:rsidRPr="003779AF" w:rsidRDefault="00491C4A" w:rsidP="004B32AA">
      <w:pPr>
        <w:pStyle w:val="Textonotapie"/>
        <w:jc w:val="both"/>
        <w:rPr>
          <w:i/>
          <w:iCs/>
          <w:lang w:val="es-MX"/>
        </w:rPr>
      </w:pPr>
      <w:r w:rsidRPr="003779AF">
        <w:rPr>
          <w:rStyle w:val="Refdenotaalpie"/>
        </w:rPr>
        <w:footnoteRef/>
      </w:r>
      <w:r w:rsidRPr="003779AF">
        <w:t xml:space="preserve"> </w:t>
      </w:r>
      <w:r w:rsidRPr="003779AF">
        <w:rPr>
          <w:i/>
          <w:iCs/>
          <w:lang w:val="es-MX"/>
        </w:rPr>
        <w:t>Ibidem</w:t>
      </w:r>
    </w:p>
  </w:footnote>
  <w:footnote w:id="152">
    <w:p w:rsidR="004B32AA" w:rsidRPr="003779AF" w:rsidRDefault="00491C4A" w:rsidP="004B32AA">
      <w:pPr>
        <w:pStyle w:val="Textonotapie"/>
        <w:jc w:val="both"/>
      </w:pPr>
      <w:r w:rsidRPr="003779AF">
        <w:rPr>
          <w:rStyle w:val="Refdenotaalpie"/>
        </w:rPr>
        <w:footnoteRef/>
      </w:r>
      <w:r w:rsidRPr="003779AF">
        <w:t xml:space="preserve"> Corte Constitucional, Sentencia C-489 de 2023.</w:t>
      </w:r>
    </w:p>
  </w:footnote>
  <w:footnote w:id="153">
    <w:p w:rsidR="004B32AA" w:rsidRPr="003779AF" w:rsidRDefault="00491C4A" w:rsidP="004B32AA">
      <w:pPr>
        <w:pStyle w:val="Textonotapie"/>
        <w:jc w:val="both"/>
      </w:pPr>
      <w:r w:rsidRPr="003779AF">
        <w:rPr>
          <w:rStyle w:val="Refdenotaalpie"/>
        </w:rPr>
        <w:footnoteRef/>
      </w:r>
      <w:r w:rsidRPr="003779AF">
        <w:t xml:space="preserve"> Corte Constitucion</w:t>
      </w:r>
      <w:r w:rsidRPr="003779AF">
        <w:t xml:space="preserve">al, Sentencia C-038 de 2004 f.j. 22. </w:t>
      </w:r>
    </w:p>
  </w:footnote>
  <w:footnote w:id="154">
    <w:p w:rsidR="004B32AA" w:rsidRPr="003779AF" w:rsidRDefault="00491C4A" w:rsidP="004B32AA">
      <w:pPr>
        <w:pStyle w:val="Textonotapie"/>
        <w:jc w:val="both"/>
      </w:pPr>
      <w:r w:rsidRPr="003779AF">
        <w:rPr>
          <w:rStyle w:val="Refdenotaalpie"/>
        </w:rPr>
        <w:footnoteRef/>
      </w:r>
      <w:r w:rsidRPr="003779AF">
        <w:t xml:space="preserve"> Corte Constitucional, Sentencia T-043 de 2007. El principio de progresividad en materia de DESC ha sido ampliamente desarrollado por la Corte en múltiples sentencias. Para citar solo algunos ejemplos, nos remitimos a las Sentencias C-767 de 2014, C-438 de</w:t>
      </w:r>
      <w:r w:rsidRPr="003779AF">
        <w:t xml:space="preserve"> 2013 y C-294 de 2019.</w:t>
      </w:r>
    </w:p>
  </w:footnote>
  <w:footnote w:id="155">
    <w:p w:rsidR="004B32AA" w:rsidRPr="003779AF" w:rsidRDefault="00491C4A" w:rsidP="004B32AA">
      <w:pPr>
        <w:pStyle w:val="Textonotapie"/>
        <w:jc w:val="both"/>
      </w:pPr>
      <w:r w:rsidRPr="003779AF">
        <w:rPr>
          <w:rStyle w:val="Refdenotaalpie"/>
        </w:rPr>
        <w:footnoteRef/>
      </w:r>
      <w:r w:rsidRPr="003779AF">
        <w:t xml:space="preserve"> El artículo 80 de la CP También dispone: “</w:t>
      </w:r>
      <w:r w:rsidRPr="003779AF">
        <w:rPr>
          <w:i/>
          <w:iCs/>
        </w:rPr>
        <w:t xml:space="preserve">además, deberá prevenir y controlar los factores de deterioro ambiental, imponer las sanciones legales y exigir la reparación de los daños causados. </w:t>
      </w:r>
      <w:r w:rsidRPr="003779AF">
        <w:t>(…)</w:t>
      </w:r>
      <w:r w:rsidRPr="003779AF">
        <w:rPr>
          <w:i/>
          <w:iCs/>
        </w:rPr>
        <w:t xml:space="preserve"> Así mismo, cooperará con otras nacio</w:t>
      </w:r>
      <w:r w:rsidRPr="003779AF">
        <w:rPr>
          <w:i/>
          <w:iCs/>
        </w:rPr>
        <w:t>nes en la protección de los ecosistemas situados en las zonas fronterizas</w:t>
      </w:r>
      <w:r w:rsidRPr="003779AF">
        <w:t>.”</w:t>
      </w:r>
    </w:p>
  </w:footnote>
  <w:footnote w:id="156">
    <w:p w:rsidR="004B32AA" w:rsidRPr="003779AF" w:rsidRDefault="00491C4A" w:rsidP="004B32AA">
      <w:pPr>
        <w:pStyle w:val="Textonotapie"/>
        <w:jc w:val="both"/>
      </w:pPr>
      <w:r w:rsidRPr="003779AF">
        <w:rPr>
          <w:rStyle w:val="Refdenotaalpie"/>
        </w:rPr>
        <w:footnoteRef/>
      </w:r>
      <w:r w:rsidRPr="003779AF">
        <w:t xml:space="preserve"> En la Sentencia C-056 de 2021 la Sala Plena declaró exequible el artículo 296 de la Ley 1955 de 2019 que prevé una medida de fomento para la diversificación de la matriz energéti</w:t>
      </w:r>
      <w:r w:rsidRPr="003779AF">
        <w:t>ca con energía proveniente de FNCER.</w:t>
      </w:r>
    </w:p>
  </w:footnote>
  <w:footnote w:id="157">
    <w:p w:rsidR="004B32AA" w:rsidRPr="003779AF" w:rsidRDefault="00491C4A" w:rsidP="004B32AA">
      <w:pPr>
        <w:jc w:val="both"/>
        <w:rPr>
          <w:sz w:val="20"/>
          <w:szCs w:val="20"/>
        </w:rPr>
      </w:pPr>
      <w:r w:rsidRPr="003779AF">
        <w:rPr>
          <w:sz w:val="20"/>
          <w:szCs w:val="20"/>
          <w:vertAlign w:val="superscript"/>
        </w:rPr>
        <w:footnoteRef/>
      </w:r>
      <w:r w:rsidRPr="003779AF">
        <w:rPr>
          <w:sz w:val="20"/>
          <w:szCs w:val="20"/>
        </w:rPr>
        <w:t xml:space="preserve"> Protocolo de Kyoto, art. 12. “</w:t>
      </w:r>
      <w:r w:rsidRPr="003779AF">
        <w:rPr>
          <w:i/>
          <w:iCs/>
          <w:sz w:val="20"/>
          <w:szCs w:val="20"/>
        </w:rPr>
        <w:t xml:space="preserve">El propósito del mecanismo para un desarrollo limpio es ayudar a las Partes no incluidas en el anexo I a lograr un desarrollo sostenible y contribuir al objetivo último de la Convención, </w:t>
      </w:r>
      <w:r w:rsidRPr="003779AF">
        <w:rPr>
          <w:i/>
          <w:iCs/>
          <w:sz w:val="20"/>
          <w:szCs w:val="20"/>
        </w:rPr>
        <w:t>así como ayudar a las Partes incluidas en el anexo I a dar cumplimiento a sus compromisos cuantificados de limitación y reducción de las emisiones contraídos en virtud del artículo 3</w:t>
      </w:r>
      <w:r w:rsidRPr="003779AF">
        <w:rPr>
          <w:sz w:val="20"/>
          <w:szCs w:val="20"/>
        </w:rPr>
        <w:t xml:space="preserve">”. </w:t>
      </w:r>
    </w:p>
  </w:footnote>
  <w:footnote w:id="158">
    <w:p w:rsidR="004B32AA" w:rsidRPr="003779AF" w:rsidRDefault="00491C4A" w:rsidP="004B32AA">
      <w:pPr>
        <w:pStyle w:val="Textonotapie"/>
        <w:jc w:val="both"/>
      </w:pPr>
      <w:r w:rsidRPr="003779AF">
        <w:rPr>
          <w:vertAlign w:val="superscript"/>
        </w:rPr>
        <w:footnoteRef/>
      </w:r>
      <w:r w:rsidRPr="003779AF">
        <w:t xml:space="preserve"> Acuerdo de París, art. 7.  </w:t>
      </w:r>
    </w:p>
  </w:footnote>
  <w:footnote w:id="159">
    <w:p w:rsidR="004B32AA" w:rsidRPr="003779AF" w:rsidRDefault="00491C4A" w:rsidP="004B32AA">
      <w:pPr>
        <w:jc w:val="both"/>
        <w:rPr>
          <w:sz w:val="20"/>
          <w:szCs w:val="20"/>
        </w:rPr>
      </w:pPr>
      <w:r w:rsidRPr="003779AF">
        <w:rPr>
          <w:rStyle w:val="Refdenotaalpie"/>
          <w:sz w:val="20"/>
          <w:szCs w:val="20"/>
        </w:rPr>
        <w:footnoteRef/>
      </w:r>
      <w:r w:rsidRPr="003779AF">
        <w:rPr>
          <w:sz w:val="20"/>
          <w:szCs w:val="20"/>
        </w:rPr>
        <w:t xml:space="preserve"> Primero, “</w:t>
      </w:r>
      <w:r w:rsidRPr="003779AF">
        <w:rPr>
          <w:i/>
          <w:iCs/>
          <w:sz w:val="20"/>
          <w:szCs w:val="20"/>
        </w:rPr>
        <w:t xml:space="preserve">diversificar la matriz </w:t>
      </w:r>
      <w:r w:rsidRPr="003779AF">
        <w:rPr>
          <w:i/>
          <w:iCs/>
          <w:sz w:val="20"/>
          <w:szCs w:val="20"/>
        </w:rPr>
        <w:t>energética, por medio de la promoción de la autogeneración de energía mediante fuentes alternativas</w:t>
      </w:r>
      <w:r w:rsidRPr="003779AF">
        <w:rPr>
          <w:sz w:val="20"/>
          <w:szCs w:val="20"/>
        </w:rPr>
        <w:t xml:space="preserve">. (…) </w:t>
      </w:r>
      <w:r w:rsidRPr="003779AF">
        <w:rPr>
          <w:i/>
          <w:iCs/>
          <w:sz w:val="20"/>
          <w:szCs w:val="20"/>
        </w:rPr>
        <w:t>Segundo, garantizar la eficiencia energética, esto es, optimizar el suministro de energía eléctrica, de manera que se reduzcas las emisiones sin afecta</w:t>
      </w:r>
      <w:r w:rsidRPr="003779AF">
        <w:rPr>
          <w:i/>
          <w:iCs/>
          <w:sz w:val="20"/>
          <w:szCs w:val="20"/>
        </w:rPr>
        <w:t>r las condiciones del mercado ni la confiabilidad de la prestación del servicio. (…) Tercero, disminuir las emisiones fugitivas asociadas a la cadena productiva de los hidrocarburos, así como incentivar el aprovechamiento de dichas emisiones. Cuarto, mejor</w:t>
      </w:r>
      <w:r w:rsidRPr="003779AF">
        <w:rPr>
          <w:i/>
          <w:iCs/>
          <w:sz w:val="20"/>
          <w:szCs w:val="20"/>
        </w:rPr>
        <w:t>ar la gestión de la demanda de energía eléctrica entre horas pico y valle, así como gestionar la generación de energía eléctrica en horas valle a partir de fuentes no contaminantes</w:t>
      </w:r>
      <w:r w:rsidRPr="003779AF">
        <w:rPr>
          <w:sz w:val="20"/>
          <w:szCs w:val="20"/>
        </w:rPr>
        <w:t>” (Sentencia C-056 de 2021).</w:t>
      </w:r>
    </w:p>
  </w:footnote>
  <w:footnote w:id="160">
    <w:p w:rsidR="004B32AA" w:rsidRPr="003779AF" w:rsidRDefault="00491C4A" w:rsidP="004B32AA">
      <w:pPr>
        <w:pStyle w:val="Textonotapie"/>
        <w:jc w:val="both"/>
      </w:pPr>
      <w:r w:rsidRPr="003779AF">
        <w:rPr>
          <w:rStyle w:val="Refdenotaalpie"/>
        </w:rPr>
        <w:footnoteRef/>
      </w:r>
      <w:r w:rsidRPr="003779AF">
        <w:t xml:space="preserve"> “</w:t>
      </w:r>
      <w:r w:rsidRPr="003779AF">
        <w:rPr>
          <w:i/>
          <w:iCs/>
        </w:rPr>
        <w:t>De un lado, la línea estratégica de infraest</w:t>
      </w:r>
      <w:r w:rsidRPr="003779AF">
        <w:rPr>
          <w:i/>
          <w:iCs/>
        </w:rPr>
        <w:t xml:space="preserve">ructura resiliente </w:t>
      </w:r>
      <w:r w:rsidRPr="003779AF">
        <w:t xml:space="preserve">(…). </w:t>
      </w:r>
      <w:r w:rsidRPr="003779AF">
        <w:rPr>
          <w:i/>
          <w:iCs/>
        </w:rPr>
        <w:t xml:space="preserve">De otro lado, la línea estratégica de información para la adaptación </w:t>
      </w:r>
      <w:r w:rsidRPr="003779AF">
        <w:t xml:space="preserve">(…) </w:t>
      </w:r>
      <w:r w:rsidRPr="003779AF">
        <w:rPr>
          <w:i/>
          <w:iCs/>
        </w:rPr>
        <w:t>Por último, la línea estratégica de gestión del entorno. Las líneas estratégicas tienen un único objetivo común: ‘contribuir a la transformación energética del</w:t>
      </w:r>
      <w:r w:rsidRPr="003779AF">
        <w:rPr>
          <w:i/>
          <w:iCs/>
        </w:rPr>
        <w:t xml:space="preserve"> país, de tal manera que se garantice la competitividad de las industrias minero energéticas ante los escenarios del clima cambiante</w:t>
      </w:r>
      <w:r w:rsidRPr="003779AF">
        <w:t>” (Sentencia C-056 de 2011).</w:t>
      </w:r>
    </w:p>
  </w:footnote>
  <w:footnote w:id="161">
    <w:p w:rsidR="004B32AA" w:rsidRPr="003779AF" w:rsidRDefault="00491C4A" w:rsidP="004B32AA">
      <w:pPr>
        <w:pStyle w:val="Textonotapie"/>
        <w:jc w:val="both"/>
      </w:pPr>
      <w:r w:rsidRPr="003779AF">
        <w:rPr>
          <w:rStyle w:val="Refdenotaalpie"/>
        </w:rPr>
        <w:footnoteRef/>
      </w:r>
      <w:r w:rsidRPr="003779AF">
        <w:t xml:space="preserve"> C-056 de 2021</w:t>
      </w:r>
    </w:p>
  </w:footnote>
  <w:footnote w:id="162">
    <w:p w:rsidR="004B32AA" w:rsidRPr="003779AF" w:rsidRDefault="00491C4A" w:rsidP="004B32AA">
      <w:pPr>
        <w:pStyle w:val="Prrafodelista"/>
        <w:ind w:left="0"/>
        <w:jc w:val="both"/>
        <w:rPr>
          <w:sz w:val="20"/>
          <w:szCs w:val="20"/>
        </w:rPr>
      </w:pPr>
      <w:r w:rsidRPr="003779AF">
        <w:rPr>
          <w:rStyle w:val="Refdenotaalpie"/>
          <w:sz w:val="20"/>
          <w:szCs w:val="20"/>
        </w:rPr>
        <w:footnoteRef/>
      </w:r>
      <w:r w:rsidRPr="003779AF">
        <w:rPr>
          <w:sz w:val="20"/>
          <w:szCs w:val="20"/>
        </w:rPr>
        <w:t xml:space="preserve"> Pág. 564 y ss. En relación con el asunto concreto que la Corte resolvió en la</w:t>
      </w:r>
      <w:r w:rsidRPr="003779AF">
        <w:rPr>
          <w:sz w:val="20"/>
          <w:szCs w:val="20"/>
        </w:rPr>
        <w:t xml:space="preserve"> Sentencia C-056 de 2021, la Corte concluyó que “</w:t>
      </w:r>
      <w:r w:rsidRPr="003779AF">
        <w:rPr>
          <w:i/>
          <w:iCs/>
          <w:sz w:val="20"/>
          <w:szCs w:val="20"/>
        </w:rPr>
        <w:t>la norma demandada es una disposición instrumental del Plan Nacional de Desarrollo 2018-2022 que tiene por finalidad explícita contribuir a contar con una matriz energética complementaria, resiliente y compr</w:t>
      </w:r>
      <w:r w:rsidRPr="003779AF">
        <w:rPr>
          <w:i/>
          <w:iCs/>
          <w:sz w:val="20"/>
          <w:szCs w:val="20"/>
        </w:rPr>
        <w:t>ometida con la reducción de emisiones de carbono. Esta finalidad está directamente relacionada con el cumplimiento de los compromisos de mitigación y adaptación al cambio climático y la PNCC.</w:t>
      </w:r>
      <w:r w:rsidRPr="003779AF">
        <w:rPr>
          <w:sz w:val="20"/>
          <w:szCs w:val="20"/>
        </w:rPr>
        <w:t>”</w:t>
      </w:r>
    </w:p>
  </w:footnote>
  <w:footnote w:id="163">
    <w:p w:rsidR="004B32AA" w:rsidRPr="003779AF" w:rsidRDefault="00491C4A" w:rsidP="004B32AA">
      <w:pPr>
        <w:pStyle w:val="Textonotapie"/>
        <w:jc w:val="both"/>
        <w:rPr>
          <w:i/>
          <w:iCs/>
          <w:lang w:val="es-MX"/>
        </w:rPr>
      </w:pPr>
      <w:r w:rsidRPr="003779AF">
        <w:rPr>
          <w:rStyle w:val="Refdenotaalpie"/>
        </w:rPr>
        <w:footnoteRef/>
      </w:r>
      <w:r w:rsidRPr="003779AF">
        <w:t xml:space="preserve"> Respuesta a Oficio N° OPC-277/23, remitida por el Ministerio </w:t>
      </w:r>
      <w:r w:rsidRPr="003779AF">
        <w:t>de Minas y Energía dentro del expediente D-15.525.</w:t>
      </w:r>
    </w:p>
  </w:footnote>
  <w:footnote w:id="164">
    <w:p w:rsidR="004B32AA" w:rsidRPr="003779AF" w:rsidRDefault="00491C4A" w:rsidP="004B32AA">
      <w:pPr>
        <w:pStyle w:val="Textonotapie"/>
        <w:rPr>
          <w:lang w:val="es-MX"/>
        </w:rPr>
      </w:pPr>
      <w:r w:rsidRPr="003779AF">
        <w:rPr>
          <w:rStyle w:val="Refdenotaalpie"/>
        </w:rPr>
        <w:footnoteRef/>
      </w:r>
      <w:r w:rsidRPr="003779AF">
        <w:t xml:space="preserve"> </w:t>
      </w:r>
      <w:r w:rsidRPr="003779AF">
        <w:rPr>
          <w:lang w:val="es-MX"/>
        </w:rPr>
        <w:t>Intervención del Departamento Nacional de Planeación. P. 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3685A"/>
    <w:multiLevelType w:val="multilevel"/>
    <w:tmpl w:val="4064BD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865001A"/>
    <w:multiLevelType w:val="hybridMultilevel"/>
    <w:tmpl w:val="2CDC4C82"/>
    <w:lvl w:ilvl="0" w:tplc="BEB6EBF8">
      <w:start w:val="4"/>
      <w:numFmt w:val="upperLetter"/>
      <w:lvlText w:val="%1."/>
      <w:lvlJc w:val="left"/>
      <w:pPr>
        <w:ind w:left="107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5771AC"/>
    <w:multiLevelType w:val="hybridMultilevel"/>
    <w:tmpl w:val="AC7C993A"/>
    <w:lvl w:ilvl="0" w:tplc="7312F00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B301609"/>
    <w:multiLevelType w:val="hybridMultilevel"/>
    <w:tmpl w:val="CAB62B54"/>
    <w:lvl w:ilvl="0" w:tplc="9ABA6F90">
      <w:start w:val="1"/>
      <w:numFmt w:val="lowerRoman"/>
      <w:lvlText w:val="%1)"/>
      <w:lvlJc w:val="left"/>
      <w:pPr>
        <w:ind w:left="720" w:hanging="360"/>
      </w:pPr>
      <w:rPr>
        <w:rFonts w:ascii="Times New Roman" w:eastAsia="Times New Roman" w:hAnsi="Times New Roman" w:cs="Times New Roman"/>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67FB1"/>
    <w:multiLevelType w:val="hybridMultilevel"/>
    <w:tmpl w:val="4928E76E"/>
    <w:lvl w:ilvl="0" w:tplc="E8165B20">
      <w:start w:val="1"/>
      <w:numFmt w:val="upperLetter"/>
      <w:lvlText w:val="%1."/>
      <w:lvlJc w:val="left"/>
      <w:pPr>
        <w:ind w:left="2771"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CD620AF"/>
    <w:multiLevelType w:val="hybridMultilevel"/>
    <w:tmpl w:val="E99472FA"/>
    <w:lvl w:ilvl="0" w:tplc="FFFFFFFF">
      <w:start w:val="1"/>
      <w:numFmt w:val="decimal"/>
      <w:lvlText w:val="%1."/>
      <w:lvlJc w:val="left"/>
      <w:pPr>
        <w:ind w:left="1070" w:hanging="360"/>
      </w:pPr>
      <w:rPr>
        <w:rFonts w:ascii="Times New Roman" w:hAnsi="Times New Roman" w:cs="Times New Roman" w:hint="default"/>
        <w:b/>
        <w:bCs/>
        <w:i w:val="0"/>
        <w:iCs w:val="0"/>
        <w:sz w:val="28"/>
        <w:szCs w:val="28"/>
      </w:rPr>
    </w:lvl>
    <w:lvl w:ilvl="1" w:tplc="FFFFFFFF">
      <w:start w:val="1"/>
      <w:numFmt w:val="lowerLetter"/>
      <w:lvlText w:val="%2."/>
      <w:lvlJc w:val="left"/>
      <w:pPr>
        <w:ind w:left="1440" w:hanging="360"/>
      </w:pPr>
    </w:lvl>
    <w:lvl w:ilvl="2" w:tplc="FFFFFFFF">
      <w:start w:val="1"/>
      <w:numFmt w:val="lowerRoman"/>
      <w:lvlText w:val="(%3)"/>
      <w:lvlJc w:val="left"/>
      <w:pPr>
        <w:ind w:left="2700" w:hanging="720"/>
      </w:pPr>
      <w:rPr>
        <w:rFonts w:hint="default"/>
        <w:i w:val="0"/>
        <w:iCs/>
      </w:rPr>
    </w:lvl>
    <w:lvl w:ilvl="3" w:tplc="FFFFFFFF">
      <w:start w:val="1"/>
      <w:numFmt w:val="bullet"/>
      <w:lvlText w:val=""/>
      <w:lvlJc w:val="left"/>
      <w:pPr>
        <w:ind w:left="2880" w:hanging="360"/>
      </w:pPr>
      <w:rPr>
        <w:rFonts w:ascii="Symbol" w:eastAsia="Times New Roman" w:hAnsi="Symbol" w:cs="Times New Roman"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E6B3B12"/>
    <w:multiLevelType w:val="multilevel"/>
    <w:tmpl w:val="F6221DCA"/>
    <w:lvl w:ilvl="0">
      <w:start w:val="1"/>
      <w:numFmt w:val="decimal"/>
      <w:pStyle w:val="Prrafonumerado"/>
      <w:lvlText w:val="%1."/>
      <w:lvlJc w:val="left"/>
      <w:pPr>
        <w:ind w:left="720" w:hanging="360"/>
      </w:pPr>
      <w:rPr>
        <w:rFonts w:eastAsia="Times New Roman"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EE220C7"/>
    <w:multiLevelType w:val="hybridMultilevel"/>
    <w:tmpl w:val="D58A8AF8"/>
    <w:lvl w:ilvl="0" w:tplc="DC763868">
      <w:start w:val="1"/>
      <w:numFmt w:val="upperRoman"/>
      <w:lvlText w:val="%1."/>
      <w:lvlJc w:val="left"/>
      <w:pPr>
        <w:ind w:left="1080" w:hanging="720"/>
      </w:pPr>
      <w:rPr>
        <w:rFonts w:hint="default"/>
        <w:color w:val="auto"/>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5"/>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264C"/>
    <w:rsid w:val="00491C4A"/>
    <w:rsid w:val="006C048A"/>
    <w:rsid w:val="006D26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FCB1068E-258B-4370-B9F7-7C21BC135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rsid w:val="009A6345"/>
    <w:pPr>
      <w:keepNext/>
      <w:keepLines/>
      <w:spacing w:before="360" w:after="80"/>
      <w:outlineLvl w:val="0"/>
    </w:pPr>
    <w:rPr>
      <w:rFonts w:ascii="Calibri Light" w:hAnsi="Calibri Light"/>
      <w:color w:val="2F5496"/>
      <w:sz w:val="40"/>
      <w:szCs w:val="40"/>
    </w:rPr>
  </w:style>
  <w:style w:type="paragraph" w:styleId="Ttulo2">
    <w:name w:val="heading 2"/>
    <w:basedOn w:val="Normal"/>
    <w:next w:val="Normal"/>
    <w:link w:val="Ttulo2Car"/>
    <w:uiPriority w:val="9"/>
    <w:unhideWhenUsed/>
    <w:qFormat/>
    <w:rsid w:val="009A6345"/>
    <w:pPr>
      <w:keepNext/>
      <w:keepLines/>
      <w:spacing w:before="160" w:after="80"/>
      <w:outlineLvl w:val="1"/>
    </w:pPr>
    <w:rPr>
      <w:rFonts w:ascii="Calibri Light" w:hAnsi="Calibri Light"/>
      <w:color w:val="2F5496"/>
      <w:sz w:val="32"/>
      <w:szCs w:val="32"/>
    </w:rPr>
  </w:style>
  <w:style w:type="paragraph" w:styleId="Ttulo3">
    <w:name w:val="heading 3"/>
    <w:basedOn w:val="Normal"/>
    <w:next w:val="Normal"/>
    <w:link w:val="Ttulo3Car"/>
    <w:uiPriority w:val="9"/>
    <w:unhideWhenUsed/>
    <w:qFormat/>
    <w:rsid w:val="009A6345"/>
    <w:pPr>
      <w:keepNext/>
      <w:keepLines/>
      <w:spacing w:before="160" w:after="80"/>
      <w:outlineLvl w:val="2"/>
    </w:pPr>
    <w:rPr>
      <w:color w:val="2F5496"/>
      <w:sz w:val="28"/>
      <w:szCs w:val="28"/>
    </w:rPr>
  </w:style>
  <w:style w:type="paragraph" w:styleId="Ttulo4">
    <w:name w:val="heading 4"/>
    <w:basedOn w:val="Normal"/>
    <w:next w:val="Normal"/>
    <w:link w:val="Ttulo4Car"/>
    <w:uiPriority w:val="9"/>
    <w:semiHidden/>
    <w:unhideWhenUsed/>
    <w:qFormat/>
    <w:rsid w:val="009A6345"/>
    <w:pPr>
      <w:keepNext/>
      <w:keepLines/>
      <w:spacing w:before="80" w:after="40"/>
      <w:outlineLvl w:val="3"/>
    </w:pPr>
    <w:rPr>
      <w:i/>
      <w:iCs/>
      <w:color w:val="2F5496"/>
    </w:rPr>
  </w:style>
  <w:style w:type="paragraph" w:styleId="Ttulo5">
    <w:name w:val="heading 5"/>
    <w:basedOn w:val="Normal"/>
    <w:next w:val="Normal"/>
    <w:link w:val="Ttulo5Car"/>
    <w:uiPriority w:val="9"/>
    <w:semiHidden/>
    <w:unhideWhenUsed/>
    <w:qFormat/>
    <w:rsid w:val="009A6345"/>
    <w:pPr>
      <w:keepNext/>
      <w:keepLines/>
      <w:spacing w:before="80" w:after="40"/>
      <w:outlineLvl w:val="4"/>
    </w:pPr>
    <w:rPr>
      <w:color w:val="2F5496"/>
    </w:rPr>
  </w:style>
  <w:style w:type="paragraph" w:styleId="Ttulo6">
    <w:name w:val="heading 6"/>
    <w:basedOn w:val="Normal"/>
    <w:next w:val="Normal"/>
    <w:link w:val="Ttulo6Car"/>
    <w:uiPriority w:val="9"/>
    <w:semiHidden/>
    <w:unhideWhenUsed/>
    <w:qFormat/>
    <w:rsid w:val="009A6345"/>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9A6345"/>
    <w:pPr>
      <w:keepNext/>
      <w:keepLines/>
      <w:spacing w:before="40"/>
      <w:outlineLvl w:val="6"/>
    </w:pPr>
    <w:rPr>
      <w:color w:val="595959"/>
    </w:rPr>
  </w:style>
  <w:style w:type="paragraph" w:styleId="Ttulo8">
    <w:name w:val="heading 8"/>
    <w:basedOn w:val="Normal"/>
    <w:next w:val="Normal"/>
    <w:link w:val="Ttulo8Car"/>
    <w:uiPriority w:val="9"/>
    <w:semiHidden/>
    <w:unhideWhenUsed/>
    <w:qFormat/>
    <w:rsid w:val="009A6345"/>
    <w:pPr>
      <w:keepNext/>
      <w:keepLines/>
      <w:outlineLvl w:val="7"/>
    </w:pPr>
    <w:rPr>
      <w:i/>
      <w:iCs/>
      <w:color w:val="272727"/>
    </w:rPr>
  </w:style>
  <w:style w:type="paragraph" w:styleId="Ttulo9">
    <w:name w:val="heading 9"/>
    <w:basedOn w:val="Normal"/>
    <w:next w:val="Normal"/>
    <w:link w:val="Ttulo9Car"/>
    <w:uiPriority w:val="9"/>
    <w:semiHidden/>
    <w:unhideWhenUsed/>
    <w:qFormat/>
    <w:rsid w:val="009A6345"/>
    <w:pPr>
      <w:keepNext/>
      <w:keepLines/>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9A6345"/>
    <w:rPr>
      <w:rFonts w:ascii="Calibri Light" w:eastAsia="Times New Roman" w:hAnsi="Calibri Light" w:cs="Times New Roman"/>
      <w:color w:val="2F5496"/>
      <w:sz w:val="40"/>
      <w:szCs w:val="40"/>
    </w:rPr>
  </w:style>
  <w:style w:type="character" w:customStyle="1" w:styleId="Ttulo2Car">
    <w:name w:val="Título 2 Car"/>
    <w:link w:val="Ttulo2"/>
    <w:uiPriority w:val="9"/>
    <w:rsid w:val="009A6345"/>
    <w:rPr>
      <w:rFonts w:ascii="Calibri Light" w:eastAsia="Times New Roman" w:hAnsi="Calibri Light" w:cs="Times New Roman"/>
      <w:color w:val="2F5496"/>
      <w:sz w:val="32"/>
      <w:szCs w:val="32"/>
    </w:rPr>
  </w:style>
  <w:style w:type="character" w:customStyle="1" w:styleId="Ttulo3Car">
    <w:name w:val="Título 3 Car"/>
    <w:link w:val="Ttulo3"/>
    <w:uiPriority w:val="9"/>
    <w:rsid w:val="009A6345"/>
    <w:rPr>
      <w:rFonts w:eastAsia="Times New Roman" w:cs="Times New Roman"/>
      <w:color w:val="2F5496"/>
      <w:sz w:val="28"/>
      <w:szCs w:val="28"/>
    </w:rPr>
  </w:style>
  <w:style w:type="character" w:customStyle="1" w:styleId="Ttulo4Car">
    <w:name w:val="Título 4 Car"/>
    <w:link w:val="Ttulo4"/>
    <w:uiPriority w:val="9"/>
    <w:rsid w:val="009A6345"/>
    <w:rPr>
      <w:rFonts w:eastAsia="Times New Roman" w:cs="Times New Roman"/>
      <w:i/>
      <w:iCs/>
      <w:color w:val="2F5496"/>
    </w:rPr>
  </w:style>
  <w:style w:type="character" w:customStyle="1" w:styleId="Ttulo5Car">
    <w:name w:val="Título 5 Car"/>
    <w:link w:val="Ttulo5"/>
    <w:uiPriority w:val="9"/>
    <w:rsid w:val="009A6345"/>
    <w:rPr>
      <w:rFonts w:eastAsia="Times New Roman" w:cs="Times New Roman"/>
      <w:color w:val="2F5496"/>
    </w:rPr>
  </w:style>
  <w:style w:type="character" w:customStyle="1" w:styleId="Ttulo6Car">
    <w:name w:val="Título 6 Car"/>
    <w:link w:val="Ttulo6"/>
    <w:uiPriority w:val="9"/>
    <w:semiHidden/>
    <w:rsid w:val="009A6345"/>
    <w:rPr>
      <w:rFonts w:eastAsia="Times New Roman" w:cs="Times New Roman"/>
      <w:i/>
      <w:iCs/>
      <w:color w:val="595959"/>
    </w:rPr>
  </w:style>
  <w:style w:type="character" w:customStyle="1" w:styleId="Ttulo7Car">
    <w:name w:val="Título 7 Car"/>
    <w:link w:val="Ttulo7"/>
    <w:uiPriority w:val="9"/>
    <w:semiHidden/>
    <w:rsid w:val="009A6345"/>
    <w:rPr>
      <w:rFonts w:eastAsia="Times New Roman" w:cs="Times New Roman"/>
      <w:color w:val="595959"/>
    </w:rPr>
  </w:style>
  <w:style w:type="character" w:customStyle="1" w:styleId="Ttulo8Car">
    <w:name w:val="Título 8 Car"/>
    <w:link w:val="Ttulo8"/>
    <w:uiPriority w:val="9"/>
    <w:semiHidden/>
    <w:rsid w:val="009A6345"/>
    <w:rPr>
      <w:rFonts w:eastAsia="Times New Roman" w:cs="Times New Roman"/>
      <w:i/>
      <w:iCs/>
      <w:color w:val="272727"/>
    </w:rPr>
  </w:style>
  <w:style w:type="character" w:customStyle="1" w:styleId="Ttulo9Car">
    <w:name w:val="Título 9 Car"/>
    <w:link w:val="Ttulo9"/>
    <w:uiPriority w:val="9"/>
    <w:semiHidden/>
    <w:rsid w:val="009A6345"/>
    <w:rPr>
      <w:rFonts w:eastAsia="Times New Roman" w:cs="Times New Roman"/>
      <w:color w:val="272727"/>
    </w:rPr>
  </w:style>
  <w:style w:type="paragraph" w:styleId="Ttulo">
    <w:name w:val="Title"/>
    <w:basedOn w:val="Normal"/>
    <w:next w:val="Normal"/>
    <w:link w:val="TtuloCar"/>
    <w:uiPriority w:val="10"/>
    <w:qFormat/>
    <w:rsid w:val="009A6345"/>
    <w:pPr>
      <w:spacing w:after="80"/>
      <w:contextualSpacing/>
    </w:pPr>
    <w:rPr>
      <w:rFonts w:ascii="Calibri Light" w:hAnsi="Calibri Light"/>
      <w:spacing w:val="-10"/>
      <w:kern w:val="28"/>
      <w:sz w:val="56"/>
      <w:szCs w:val="56"/>
    </w:rPr>
  </w:style>
  <w:style w:type="character" w:customStyle="1" w:styleId="TtuloCar">
    <w:name w:val="Título Car"/>
    <w:link w:val="Ttulo"/>
    <w:rsid w:val="009A6345"/>
    <w:rPr>
      <w:rFonts w:ascii="Calibri Light" w:eastAsia="Times New Roman" w:hAnsi="Calibri Light" w:cs="Times New Roman"/>
      <w:spacing w:val="-10"/>
      <w:kern w:val="28"/>
      <w:sz w:val="56"/>
      <w:szCs w:val="56"/>
    </w:rPr>
  </w:style>
  <w:style w:type="paragraph" w:styleId="Subttulo">
    <w:name w:val="Subtitle"/>
    <w:basedOn w:val="Normal"/>
    <w:next w:val="Normal"/>
    <w:link w:val="SubttuloCar"/>
    <w:uiPriority w:val="11"/>
    <w:qFormat/>
    <w:rsid w:val="009A6345"/>
    <w:pPr>
      <w:numPr>
        <w:ilvl w:val="1"/>
      </w:numPr>
    </w:pPr>
    <w:rPr>
      <w:color w:val="595959"/>
      <w:spacing w:val="15"/>
      <w:sz w:val="28"/>
      <w:szCs w:val="28"/>
    </w:rPr>
  </w:style>
  <w:style w:type="character" w:customStyle="1" w:styleId="SubttuloCar">
    <w:name w:val="Subtítulo Car"/>
    <w:link w:val="Subttulo"/>
    <w:uiPriority w:val="11"/>
    <w:rsid w:val="009A6345"/>
    <w:rPr>
      <w:rFonts w:eastAsia="Times New Roman" w:cs="Times New Roman"/>
      <w:color w:val="595959"/>
      <w:spacing w:val="15"/>
      <w:sz w:val="28"/>
      <w:szCs w:val="28"/>
    </w:rPr>
  </w:style>
  <w:style w:type="paragraph" w:styleId="Cita">
    <w:name w:val="Quote"/>
    <w:basedOn w:val="Normal"/>
    <w:next w:val="Normal"/>
    <w:link w:val="CitaCar"/>
    <w:uiPriority w:val="29"/>
    <w:qFormat/>
    <w:rsid w:val="009A6345"/>
    <w:pPr>
      <w:spacing w:before="160"/>
      <w:jc w:val="center"/>
    </w:pPr>
    <w:rPr>
      <w:i/>
      <w:iCs/>
      <w:color w:val="404040"/>
    </w:rPr>
  </w:style>
  <w:style w:type="character" w:customStyle="1" w:styleId="CitaCar">
    <w:name w:val="Cita Car"/>
    <w:link w:val="Cita"/>
    <w:uiPriority w:val="29"/>
    <w:rsid w:val="009A6345"/>
    <w:rPr>
      <w:i/>
      <w:iCs/>
      <w:color w:val="404040"/>
    </w:rPr>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9A6345"/>
    <w:pPr>
      <w:ind w:left="720"/>
      <w:contextualSpacing/>
    </w:pPr>
  </w:style>
  <w:style w:type="character" w:styleId="nfasisintenso">
    <w:name w:val="Intense Emphasis"/>
    <w:uiPriority w:val="21"/>
    <w:qFormat/>
    <w:rsid w:val="009A6345"/>
    <w:rPr>
      <w:i/>
      <w:iCs/>
      <w:color w:val="2F5496"/>
    </w:rPr>
  </w:style>
  <w:style w:type="paragraph" w:styleId="Citadestacada">
    <w:name w:val="Intense Quote"/>
    <w:basedOn w:val="Normal"/>
    <w:next w:val="Normal"/>
    <w:link w:val="CitadestacadaCar"/>
    <w:uiPriority w:val="30"/>
    <w:qFormat/>
    <w:rsid w:val="009A6345"/>
    <w:pPr>
      <w:pBdr>
        <w:top w:val="single" w:sz="4" w:space="10" w:color="2F5496"/>
        <w:bottom w:val="single" w:sz="4" w:space="10" w:color="2F5496"/>
      </w:pBdr>
      <w:spacing w:before="360" w:after="360"/>
      <w:ind w:left="864" w:right="864"/>
      <w:jc w:val="center"/>
    </w:pPr>
    <w:rPr>
      <w:i/>
      <w:iCs/>
      <w:color w:val="2F5496"/>
    </w:rPr>
  </w:style>
  <w:style w:type="character" w:customStyle="1" w:styleId="CitadestacadaCar">
    <w:name w:val="Cita destacada Car"/>
    <w:link w:val="Citadestacada"/>
    <w:uiPriority w:val="30"/>
    <w:rsid w:val="009A6345"/>
    <w:rPr>
      <w:i/>
      <w:iCs/>
      <w:color w:val="2F5496"/>
    </w:rPr>
  </w:style>
  <w:style w:type="character" w:styleId="Referenciaintensa">
    <w:name w:val="Intense Reference"/>
    <w:uiPriority w:val="32"/>
    <w:qFormat/>
    <w:rsid w:val="009A6345"/>
    <w:rPr>
      <w:b/>
      <w:bCs/>
      <w:smallCaps/>
      <w:color w:val="2F5496"/>
      <w:spacing w:val="5"/>
    </w:rPr>
  </w:style>
  <w:style w:type="paragraph" w:styleId="Encabezado">
    <w:name w:val="header"/>
    <w:basedOn w:val="Normal"/>
    <w:link w:val="EncabezadoCar"/>
    <w:uiPriority w:val="99"/>
    <w:unhideWhenUsed/>
    <w:rsid w:val="009A6345"/>
    <w:pPr>
      <w:tabs>
        <w:tab w:val="center" w:pos="4419"/>
        <w:tab w:val="right" w:pos="8838"/>
      </w:tabs>
    </w:pPr>
  </w:style>
  <w:style w:type="character" w:customStyle="1" w:styleId="EncabezadoCar">
    <w:name w:val="Encabezado Car"/>
    <w:link w:val="Encabezado"/>
    <w:uiPriority w:val="99"/>
    <w:rsid w:val="009A6345"/>
    <w:rPr>
      <w:rFonts w:ascii="Times New Roman" w:eastAsia="Times New Roman" w:hAnsi="Times New Roman" w:cs="Times New Roman"/>
      <w:kern w:val="0"/>
      <w:sz w:val="24"/>
      <w:szCs w:val="24"/>
      <w:lang w:eastAsia="es-ES_tradnl"/>
    </w:rPr>
  </w:style>
  <w:style w:type="paragraph" w:styleId="Piedepgina">
    <w:name w:val="footer"/>
    <w:basedOn w:val="Normal"/>
    <w:link w:val="PiedepginaCar"/>
    <w:uiPriority w:val="99"/>
    <w:unhideWhenUsed/>
    <w:rsid w:val="009A6345"/>
    <w:pPr>
      <w:tabs>
        <w:tab w:val="center" w:pos="4419"/>
        <w:tab w:val="right" w:pos="8838"/>
      </w:tabs>
    </w:pPr>
  </w:style>
  <w:style w:type="character" w:customStyle="1" w:styleId="PiedepginaCar">
    <w:name w:val="Pie de página Car"/>
    <w:link w:val="Piedepgina"/>
    <w:uiPriority w:val="99"/>
    <w:rsid w:val="009A6345"/>
    <w:rPr>
      <w:rFonts w:ascii="Times New Roman" w:eastAsia="Times New Roman" w:hAnsi="Times New Roman" w:cs="Times New Roman"/>
      <w:kern w:val="0"/>
      <w:sz w:val="24"/>
      <w:szCs w:val="24"/>
      <w:lang w:eastAsia="es-ES_tradnl"/>
    </w:rPr>
  </w:style>
  <w:style w:type="paragraph" w:customStyle="1" w:styleId="Style5">
    <w:name w:val="Style5"/>
    <w:basedOn w:val="Normal"/>
    <w:uiPriority w:val="99"/>
    <w:rsid w:val="009A6345"/>
    <w:pPr>
      <w:widowControl w:val="0"/>
      <w:autoSpaceDE w:val="0"/>
      <w:autoSpaceDN w:val="0"/>
      <w:adjustRightInd w:val="0"/>
      <w:spacing w:line="317" w:lineRule="exact"/>
      <w:jc w:val="both"/>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9A6345"/>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link w:val="Textonotapie"/>
    <w:uiPriority w:val="99"/>
    <w:qFormat/>
    <w:rsid w:val="009A6345"/>
    <w:rPr>
      <w:rFonts w:ascii="Times New Roman" w:eastAsia="Times New Roman" w:hAnsi="Times New Roman" w:cs="Times New Roman"/>
      <w:kern w:val="0"/>
      <w:sz w:val="20"/>
      <w:szCs w:val="20"/>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link w:val="Piedepagina"/>
    <w:uiPriority w:val="99"/>
    <w:unhideWhenUsed/>
    <w:qFormat/>
    <w:rsid w:val="009A6345"/>
    <w:rPr>
      <w:vertAlign w:val="superscript"/>
    </w:rPr>
  </w:style>
  <w:style w:type="paragraph" w:customStyle="1" w:styleId="centrado">
    <w:name w:val="centrado"/>
    <w:basedOn w:val="Normal"/>
    <w:rsid w:val="009A6345"/>
    <w:pPr>
      <w:spacing w:before="100" w:beforeAutospacing="1" w:after="100" w:afterAutospacing="1"/>
    </w:pPr>
  </w:style>
  <w:style w:type="character" w:customStyle="1" w:styleId="baj">
    <w:name w:val="b_aj"/>
    <w:basedOn w:val="Fuentedeprrafopredeter"/>
    <w:rsid w:val="009A6345"/>
  </w:style>
  <w:style w:type="character" w:styleId="Hipervnculo">
    <w:name w:val="Hyperlink"/>
    <w:uiPriority w:val="99"/>
    <w:unhideWhenUsed/>
    <w:rsid w:val="009A6345"/>
    <w:rPr>
      <w:color w:val="0000FF"/>
      <w:u w:val="single"/>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f Car"/>
    <w:uiPriority w:val="99"/>
    <w:locked/>
    <w:rsid w:val="009A6345"/>
    <w:rPr>
      <w:rFonts w:ascii="Times New Roman" w:eastAsia="SimSun" w:hAnsi="Times New Roman" w:cs="Times New Roman"/>
      <w:sz w:val="20"/>
      <w:szCs w:val="20"/>
      <w:lang w:eastAsia="es-ES"/>
    </w:rPr>
  </w:style>
  <w:style w:type="paragraph" w:customStyle="1" w:styleId="Piedepagina">
    <w:name w:val="Pie de pagina"/>
    <w:aliases w:val="Ref. de nota al pie2"/>
    <w:basedOn w:val="Normal"/>
    <w:link w:val="Refdenotaalpie"/>
    <w:uiPriority w:val="99"/>
    <w:qFormat/>
    <w:rsid w:val="009A6345"/>
    <w:pPr>
      <w:spacing w:line="240" w:lineRule="exact"/>
    </w:pPr>
    <w:rPr>
      <w:rFonts w:eastAsia="Calibri"/>
      <w:kern w:val="2"/>
      <w:vertAlign w:val="superscript"/>
      <w:lang w:eastAsia="en-US"/>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9A6345"/>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9A6345"/>
    <w:pPr>
      <w:jc w:val="both"/>
    </w:pPr>
    <w:rPr>
      <w:rFonts w:eastAsia="Calibri"/>
      <w:vertAlign w:val="superscript"/>
      <w:lang w:eastAsia="en-US"/>
    </w:rPr>
  </w:style>
  <w:style w:type="character" w:styleId="Refdecomentario">
    <w:name w:val="annotation reference"/>
    <w:uiPriority w:val="99"/>
    <w:semiHidden/>
    <w:unhideWhenUsed/>
    <w:rsid w:val="009A6345"/>
    <w:rPr>
      <w:sz w:val="16"/>
      <w:szCs w:val="16"/>
    </w:rPr>
  </w:style>
  <w:style w:type="paragraph" w:styleId="Textocomentario">
    <w:name w:val="annotation text"/>
    <w:basedOn w:val="Normal"/>
    <w:link w:val="TextocomentarioCar"/>
    <w:uiPriority w:val="99"/>
    <w:unhideWhenUsed/>
    <w:rsid w:val="009A6345"/>
    <w:rPr>
      <w:sz w:val="20"/>
      <w:szCs w:val="20"/>
    </w:rPr>
  </w:style>
  <w:style w:type="character" w:customStyle="1" w:styleId="TextocomentarioCar">
    <w:name w:val="Texto comentario Car"/>
    <w:link w:val="Textocomentario"/>
    <w:uiPriority w:val="99"/>
    <w:rsid w:val="009A6345"/>
    <w:rPr>
      <w:rFonts w:ascii="Times New Roman" w:eastAsia="Times New Roman" w:hAnsi="Times New Roman" w:cs="Times New Roman"/>
      <w:kern w:val="0"/>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9A6345"/>
    <w:rPr>
      <w:b/>
      <w:bCs/>
    </w:rPr>
  </w:style>
  <w:style w:type="character" w:customStyle="1" w:styleId="AsuntodelcomentarioCar">
    <w:name w:val="Asunto del comentario Car"/>
    <w:link w:val="Asuntodelcomentario"/>
    <w:uiPriority w:val="99"/>
    <w:semiHidden/>
    <w:rsid w:val="009A6345"/>
    <w:rPr>
      <w:rFonts w:ascii="Times New Roman" w:eastAsia="Times New Roman" w:hAnsi="Times New Roman" w:cs="Times New Roman"/>
      <w:b/>
      <w:bCs/>
      <w:kern w:val="0"/>
      <w:sz w:val="20"/>
      <w:szCs w:val="20"/>
      <w:lang w:eastAsia="es-ES_tradnl"/>
    </w:rPr>
  </w:style>
  <w:style w:type="table" w:styleId="Tablaconcuadrcula">
    <w:name w:val="Table Grid"/>
    <w:basedOn w:val="Tablanormal"/>
    <w:uiPriority w:val="39"/>
    <w:rsid w:val="009A63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A6345"/>
    <w:rPr>
      <w:rFonts w:ascii="Times New Roman" w:hAnsi="Times New Roman"/>
      <w:sz w:val="24"/>
      <w:szCs w:val="24"/>
      <w:lang w:eastAsia="es-ES_tradnl"/>
    </w:rPr>
  </w:style>
  <w:style w:type="paragraph" w:styleId="NormalWeb">
    <w:name w:val="Normal (Web)"/>
    <w:basedOn w:val="Normal"/>
    <w:uiPriority w:val="99"/>
    <w:unhideWhenUsed/>
    <w:rsid w:val="009A6345"/>
    <w:pPr>
      <w:spacing w:before="100" w:beforeAutospacing="1" w:after="100" w:afterAutospacing="1"/>
    </w:pPr>
  </w:style>
  <w:style w:type="character" w:customStyle="1" w:styleId="user-highlighted-active">
    <w:name w:val="user-highlighted-active"/>
    <w:basedOn w:val="Fuentedeprrafopredeter"/>
    <w:rsid w:val="009A6345"/>
  </w:style>
  <w:style w:type="character" w:customStyle="1" w:styleId="cf01">
    <w:name w:val="cf01"/>
    <w:rsid w:val="009A6345"/>
    <w:rPr>
      <w:rFonts w:ascii="Segoe UI" w:hAnsi="Segoe UI" w:cs="Segoe UI" w:hint="default"/>
      <w:sz w:val="18"/>
      <w:szCs w:val="18"/>
    </w:rPr>
  </w:style>
  <w:style w:type="character" w:customStyle="1" w:styleId="FontStyle19">
    <w:name w:val="Font Style19"/>
    <w:uiPriority w:val="99"/>
    <w:rsid w:val="009A6345"/>
    <w:rPr>
      <w:rFonts w:ascii="Times New Roman" w:hAnsi="Times New Roman" w:cs="Times New Roman"/>
      <w:sz w:val="26"/>
      <w:szCs w:val="26"/>
    </w:rPr>
  </w:style>
  <w:style w:type="paragraph" w:styleId="Textoindependiente">
    <w:name w:val="Body Text"/>
    <w:basedOn w:val="Normal"/>
    <w:link w:val="TextoindependienteCar"/>
    <w:uiPriority w:val="99"/>
    <w:unhideWhenUsed/>
    <w:rsid w:val="009A6345"/>
    <w:pPr>
      <w:spacing w:after="120"/>
    </w:pPr>
  </w:style>
  <w:style w:type="character" w:customStyle="1" w:styleId="TextoindependienteCar">
    <w:name w:val="Texto independiente Car"/>
    <w:link w:val="Textoindependiente"/>
    <w:uiPriority w:val="99"/>
    <w:rsid w:val="009A6345"/>
    <w:rPr>
      <w:rFonts w:ascii="Times New Roman" w:eastAsia="Times New Roman" w:hAnsi="Times New Roman" w:cs="Times New Roman"/>
      <w:kern w:val="0"/>
      <w:sz w:val="24"/>
      <w:szCs w:val="24"/>
      <w:lang w:eastAsia="es-ES_tradnl"/>
    </w:rPr>
  </w:style>
  <w:style w:type="paragraph" w:styleId="Sangradetextonormal">
    <w:name w:val="Body Text Indent"/>
    <w:basedOn w:val="Normal"/>
    <w:link w:val="SangradetextonormalCar"/>
    <w:uiPriority w:val="99"/>
    <w:semiHidden/>
    <w:unhideWhenUsed/>
    <w:rsid w:val="009A6345"/>
    <w:pPr>
      <w:spacing w:after="120"/>
      <w:ind w:left="283"/>
    </w:pPr>
  </w:style>
  <w:style w:type="character" w:customStyle="1" w:styleId="SangradetextonormalCar">
    <w:name w:val="Sangría de texto normal Car"/>
    <w:link w:val="Sangradetextonormal"/>
    <w:uiPriority w:val="99"/>
    <w:semiHidden/>
    <w:rsid w:val="009A6345"/>
    <w:rPr>
      <w:rFonts w:ascii="Times New Roman" w:eastAsia="Times New Roman" w:hAnsi="Times New Roman" w:cs="Times New Roman"/>
      <w:kern w:val="0"/>
      <w:sz w:val="24"/>
      <w:szCs w:val="24"/>
      <w:lang w:eastAsia="es-ES_tradnl"/>
    </w:rPr>
  </w:style>
  <w:style w:type="paragraph" w:styleId="Textoindependienteprimerasangra2">
    <w:name w:val="Body Text First Indent 2"/>
    <w:basedOn w:val="Sangradetextonormal"/>
    <w:link w:val="Textoindependienteprimerasangra2Car"/>
    <w:uiPriority w:val="99"/>
    <w:unhideWhenUsed/>
    <w:rsid w:val="009A6345"/>
    <w:pPr>
      <w:spacing w:after="0"/>
      <w:ind w:left="360" w:firstLine="360"/>
    </w:pPr>
  </w:style>
  <w:style w:type="character" w:customStyle="1" w:styleId="Textoindependienteprimerasangra2Car">
    <w:name w:val="Texto independiente primera sangría 2 Car"/>
    <w:link w:val="Textoindependienteprimerasangra2"/>
    <w:uiPriority w:val="99"/>
    <w:rsid w:val="009A6345"/>
    <w:rPr>
      <w:rFonts w:ascii="Times New Roman" w:eastAsia="Times New Roman" w:hAnsi="Times New Roman" w:cs="Times New Roman"/>
      <w:kern w:val="0"/>
      <w:sz w:val="24"/>
      <w:szCs w:val="24"/>
      <w:lang w:eastAsia="es-ES_tradnl"/>
    </w:rPr>
  </w:style>
  <w:style w:type="paragraph" w:styleId="Textonotaalfinal">
    <w:name w:val="endnote text"/>
    <w:basedOn w:val="Normal"/>
    <w:link w:val="TextonotaalfinalCar"/>
    <w:uiPriority w:val="99"/>
    <w:semiHidden/>
    <w:unhideWhenUsed/>
    <w:rsid w:val="009A6345"/>
    <w:rPr>
      <w:sz w:val="20"/>
      <w:szCs w:val="20"/>
    </w:rPr>
  </w:style>
  <w:style w:type="character" w:customStyle="1" w:styleId="TextonotaalfinalCar">
    <w:name w:val="Texto nota al final Car"/>
    <w:link w:val="Textonotaalfinal"/>
    <w:uiPriority w:val="99"/>
    <w:semiHidden/>
    <w:rsid w:val="009A6345"/>
    <w:rPr>
      <w:rFonts w:ascii="Times New Roman" w:eastAsia="Times New Roman" w:hAnsi="Times New Roman" w:cs="Times New Roman"/>
      <w:kern w:val="0"/>
      <w:sz w:val="20"/>
      <w:szCs w:val="20"/>
      <w:lang w:eastAsia="es-ES_tradnl"/>
    </w:rPr>
  </w:style>
  <w:style w:type="character" w:styleId="Refdenotaalfinal">
    <w:name w:val="endnote reference"/>
    <w:uiPriority w:val="99"/>
    <w:semiHidden/>
    <w:unhideWhenUsed/>
    <w:rsid w:val="009A6345"/>
    <w:rPr>
      <w:vertAlign w:val="superscript"/>
    </w:rPr>
  </w:style>
  <w:style w:type="paragraph" w:customStyle="1" w:styleId="Prrafonumerado">
    <w:name w:val="Párrafo numerado"/>
    <w:basedOn w:val="Prrafodelista"/>
    <w:link w:val="PrrafonumeradoChar1"/>
    <w:qFormat/>
    <w:rsid w:val="009A6345"/>
    <w:pPr>
      <w:numPr>
        <w:numId w:val="1"/>
      </w:numPr>
      <w:tabs>
        <w:tab w:val="left" w:pos="426"/>
      </w:tabs>
      <w:ind w:left="0" w:firstLine="0"/>
      <w:jc w:val="both"/>
    </w:pPr>
    <w:rPr>
      <w:bCs/>
      <w:color w:val="000000"/>
      <w:sz w:val="28"/>
      <w:szCs w:val="28"/>
      <w:lang w:val="es-ES" w:eastAsia="es-ES"/>
    </w:rPr>
  </w:style>
  <w:style w:type="character" w:customStyle="1" w:styleId="PrrafonumeradoChar1">
    <w:name w:val="Párrafo numerado Char1"/>
    <w:link w:val="Prrafonumerado"/>
    <w:rsid w:val="009A6345"/>
    <w:rPr>
      <w:rFonts w:ascii="Times New Roman" w:eastAsia="Times New Roman" w:hAnsi="Times New Roman" w:cs="Times New Roman"/>
      <w:bCs/>
      <w:color w:val="000000"/>
      <w:kern w:val="0"/>
      <w:sz w:val="28"/>
      <w:szCs w:val="28"/>
      <w:lang w:val="es-ES" w:eastAsia="es-ES"/>
    </w:rPr>
  </w:style>
  <w:style w:type="character" w:customStyle="1" w:styleId="iaj">
    <w:name w:val="iaj"/>
    <w:basedOn w:val="Fuentedeprrafopredeter"/>
    <w:rsid w:val="009A6345"/>
  </w:style>
  <w:style w:type="character" w:styleId="Hipervnculovisitado">
    <w:name w:val="FollowedHyperlink"/>
    <w:uiPriority w:val="99"/>
    <w:semiHidden/>
    <w:unhideWhenUsed/>
    <w:rsid w:val="009A6345"/>
    <w:rPr>
      <w:color w:val="954F72"/>
      <w:u w:val="single"/>
    </w:rPr>
  </w:style>
  <w:style w:type="paragraph" w:customStyle="1" w:styleId="Piedepaginabsico">
    <w:name w:val="Pie de pagina básico"/>
    <w:basedOn w:val="Normal"/>
    <w:uiPriority w:val="99"/>
    <w:qFormat/>
    <w:rsid w:val="009A6345"/>
    <w:pPr>
      <w:jc w:val="both"/>
    </w:pPr>
    <w:rPr>
      <w:vertAlign w:val="superscript"/>
      <w:lang w:eastAsia="en-US"/>
    </w:rPr>
  </w:style>
  <w:style w:type="character" w:customStyle="1" w:styleId="ttulo1car0">
    <w:name w:val="ttulo1car"/>
    <w:basedOn w:val="Fuentedeprrafopredeter"/>
    <w:rsid w:val="009A6345"/>
  </w:style>
  <w:style w:type="paragraph" w:styleId="Textoindependiente2">
    <w:name w:val="Body Text 2"/>
    <w:basedOn w:val="Normal"/>
    <w:link w:val="Textoindependiente2Car"/>
    <w:uiPriority w:val="99"/>
    <w:semiHidden/>
    <w:unhideWhenUsed/>
    <w:rsid w:val="00760AEC"/>
    <w:pPr>
      <w:spacing w:after="120" w:line="480" w:lineRule="auto"/>
    </w:pPr>
  </w:style>
  <w:style w:type="character" w:customStyle="1" w:styleId="Textoindependiente2Car">
    <w:name w:val="Texto independiente 2 Car"/>
    <w:link w:val="Textoindependiente2"/>
    <w:uiPriority w:val="99"/>
    <w:semiHidden/>
    <w:rsid w:val="00760AEC"/>
    <w:rPr>
      <w:rFonts w:ascii="Times New Roman" w:eastAsia="Times New Roman" w:hAnsi="Times New Roman" w:cs="Times New Roman"/>
      <w:kern w:val="0"/>
      <w:sz w:val="24"/>
      <w:szCs w:val="24"/>
      <w:lang w:eastAsia="es-ES_tradnl"/>
    </w:rPr>
  </w:style>
  <w:style w:type="character" w:customStyle="1" w:styleId="textonavy1">
    <w:name w:val="texto_navy1"/>
    <w:rsid w:val="002F55D2"/>
    <w:rPr>
      <w:rFonts w:ascii="Times New Roman" w:hAnsi="Times New Roman" w:cs="Times New Roman" w:hint="default"/>
      <w:color w:val="000000"/>
    </w:rPr>
  </w:style>
  <w:style w:type="character" w:customStyle="1" w:styleId="Ancladenotaalpie">
    <w:name w:val="Ancla de nota al pie"/>
    <w:rsid w:val="00BC0E33"/>
    <w:rPr>
      <w:vertAlign w:val="superscript"/>
    </w:rPr>
  </w:style>
  <w:style w:type="character" w:customStyle="1" w:styleId="FootnoteCharacters">
    <w:name w:val="Footnote Characters"/>
    <w:uiPriority w:val="99"/>
    <w:unhideWhenUsed/>
    <w:qFormat/>
    <w:rsid w:val="00BC0E33"/>
    <w:rPr>
      <w:vertAlign w:val="superscript"/>
    </w:rPr>
  </w:style>
  <w:style w:type="character" w:customStyle="1" w:styleId="Caracteresdenotaalpie">
    <w:name w:val="Caracteres de nota al pie"/>
    <w:qFormat/>
    <w:rsid w:val="00BC0E33"/>
  </w:style>
  <w:style w:type="character" w:customStyle="1" w:styleId="iaj0">
    <w:name w:val="i_aj"/>
    <w:rsid w:val="00C9573B"/>
    <w:rPr>
      <w:rFonts w:cs="Times New Roman"/>
    </w:rPr>
  </w:style>
  <w:style w:type="character" w:styleId="Mencinsinresolver">
    <w:name w:val="Unresolved Mention"/>
    <w:uiPriority w:val="99"/>
    <w:semiHidden/>
    <w:unhideWhenUsed/>
    <w:rsid w:val="008F0C85"/>
    <w:rPr>
      <w:color w:val="605E5C"/>
      <w:shd w:val="clear" w:color="auto" w:fill="E1DFDD"/>
    </w:rPr>
  </w:style>
  <w:style w:type="paragraph" w:styleId="Textodebloque">
    <w:name w:val="Block Text"/>
    <w:basedOn w:val="Normal"/>
    <w:uiPriority w:val="99"/>
    <w:rsid w:val="00E45AF4"/>
    <w:pPr>
      <w:autoSpaceDE w:val="0"/>
      <w:autoSpaceDN w:val="0"/>
      <w:ind w:left="697" w:right="51"/>
      <w:jc w:val="both"/>
    </w:pPr>
    <w:rPr>
      <w:i/>
      <w:iCs/>
      <w:sz w:val="20"/>
      <w:szCs w:val="20"/>
      <w:lang w:val="es-ES" w:eastAsia="es-ES"/>
    </w:rPr>
  </w:style>
  <w:style w:type="paragraph" w:customStyle="1" w:styleId="Cuadrculamedia21">
    <w:name w:val="Cuadrícula media 21"/>
    <w:uiPriority w:val="1"/>
    <w:qFormat/>
    <w:rsid w:val="008D50BC"/>
    <w:rPr>
      <w:rFonts w:cs="Microsoft Himalaya"/>
      <w:sz w:val="22"/>
      <w:szCs w:val="22"/>
      <w:lang w:val="es-ES"/>
    </w:rPr>
  </w:style>
  <w:style w:type="character" w:styleId="nfasis">
    <w:name w:val="Emphasis"/>
    <w:uiPriority w:val="20"/>
    <w:qFormat/>
    <w:rsid w:val="004B32AA"/>
    <w:rPr>
      <w:rFonts w:ascii="Times New Roman" w:hAnsi="Times New Roman" w:cs="Times New Roman"/>
      <w:i/>
      <w:color w:val="auto"/>
      <w:sz w:val="28"/>
    </w:rPr>
  </w:style>
  <w:style w:type="paragraph" w:styleId="TtuloTDC">
    <w:name w:val="TOC Heading"/>
    <w:basedOn w:val="Ttulo1"/>
    <w:next w:val="Normal"/>
    <w:uiPriority w:val="39"/>
    <w:unhideWhenUsed/>
    <w:qFormat/>
    <w:rsid w:val="00E4767B"/>
    <w:pPr>
      <w:spacing w:before="240" w:after="0"/>
      <w:outlineLvl w:val="9"/>
    </w:pPr>
    <w:rPr>
      <w:sz w:val="32"/>
      <w:szCs w:val="32"/>
      <w:lang w:val="es-MX" w:eastAsia="es-MX"/>
    </w:rPr>
  </w:style>
  <w:style w:type="paragraph" w:styleId="TDC1">
    <w:name w:val="toc 1"/>
    <w:basedOn w:val="Normal"/>
    <w:next w:val="Normal"/>
    <w:autoRedefine/>
    <w:uiPriority w:val="39"/>
    <w:unhideWhenUsed/>
    <w:rsid w:val="00E4767B"/>
    <w:pPr>
      <w:spacing w:after="100"/>
    </w:pPr>
  </w:style>
  <w:style w:type="paragraph" w:styleId="TDC2">
    <w:name w:val="toc 2"/>
    <w:basedOn w:val="Normal"/>
    <w:next w:val="Normal"/>
    <w:autoRedefine/>
    <w:uiPriority w:val="39"/>
    <w:unhideWhenUsed/>
    <w:rsid w:val="00E4767B"/>
    <w:pPr>
      <w:spacing w:after="100"/>
      <w:ind w:left="240"/>
    </w:pPr>
  </w:style>
  <w:style w:type="paragraph" w:styleId="TDC3">
    <w:name w:val="toc 3"/>
    <w:basedOn w:val="Normal"/>
    <w:next w:val="Normal"/>
    <w:autoRedefine/>
    <w:uiPriority w:val="39"/>
    <w:unhideWhenUsed/>
    <w:rsid w:val="00E4767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corteconstitucional.gov.co/secretaria/archivo.php?id=64477" TargetMode="External"/><Relationship Id="rId13" Type="http://schemas.openxmlformats.org/officeDocument/2006/relationships/hyperlink" Target="https://gestornormativo.creg.gov.co/Publicac.nsf/1c09d18d2d5ffb5b05256eee00709c02/7c7ee4f6ee5328880525785a007a6d04/$FILE/CARGO%20POR%20CONFIABILIDAD.pdf" TargetMode="External"/><Relationship Id="rId3" Type="http://schemas.openxmlformats.org/officeDocument/2006/relationships/hyperlink" Target="https://www.corteconstitucional.gov.co/secretaria/archivo.php?id=71402" TargetMode="External"/><Relationship Id="rId7" Type="http://schemas.openxmlformats.org/officeDocument/2006/relationships/hyperlink" Target="https://www.corteconstitucional.gov.co/secretaria/archivo.php?id=63716" TargetMode="External"/><Relationship Id="rId12" Type="http://schemas.openxmlformats.org/officeDocument/2006/relationships/hyperlink" Target="https://www.corteconstitucional.gov.co/secretaria/archivo.php?id=75333" TargetMode="External"/><Relationship Id="rId2" Type="http://schemas.openxmlformats.org/officeDocument/2006/relationships/hyperlink" Target="https://www.corteconstitucional.gov.co/secretaria/archivo.php?id=69351" TargetMode="External"/><Relationship Id="rId1" Type="http://schemas.openxmlformats.org/officeDocument/2006/relationships/hyperlink" Target="https://www.corteconstitucional.gov.co/secretaria/archivo.php?id=69245" TargetMode="External"/><Relationship Id="rId6" Type="http://schemas.openxmlformats.org/officeDocument/2006/relationships/hyperlink" Target="https://www.corteconstitucional.gov.co/secretaria/archivo.php?id=73733" TargetMode="External"/><Relationship Id="rId11" Type="http://schemas.openxmlformats.org/officeDocument/2006/relationships/hyperlink" Target="https://www.corteconstitucional.gov.co/secretaria/archivo.php?id=71206" TargetMode="External"/><Relationship Id="rId5" Type="http://schemas.openxmlformats.org/officeDocument/2006/relationships/hyperlink" Target="https://www.corteconstitucional.gov.co/secretaria/archivo.php?id=72797" TargetMode="External"/><Relationship Id="rId10" Type="http://schemas.openxmlformats.org/officeDocument/2006/relationships/hyperlink" Target="https://www.corteconstitucional.gov.co/secretaria/archivo.php?id=69676" TargetMode="External"/><Relationship Id="rId4" Type="http://schemas.openxmlformats.org/officeDocument/2006/relationships/hyperlink" Target="https://www.corteconstitucional.gov.co/secretaria/archivo.php?id=72419" TargetMode="External"/><Relationship Id="rId9" Type="http://schemas.openxmlformats.org/officeDocument/2006/relationships/hyperlink" Target="https://www.corteconstitucional.gov.co/secretaria/archivo.php?id=6961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31970</Words>
  <Characters>175841</Characters>
  <Application>Microsoft Office Word</Application>
  <DocSecurity>0</DocSecurity>
  <Lines>1465</Lines>
  <Paragraphs>414</Paragraphs>
  <ScaleCrop>false</ScaleCrop>
  <Company/>
  <LinksUpToDate>false</LinksUpToDate>
  <CharactersWithSpaces>207397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2026-04-28T16:10:00Z</dcterms:created>
  <dcterms:modified xsi:type="dcterms:W3CDTF">2026-04-28T16:10:00Z</dcterms:modified>
</cp:coreProperties>
</file>