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B4C" w:rsidRPr="002A793E" w:rsidRDefault="00D53B68">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2A793E">
        <w:rPr>
          <w:rFonts w:ascii="Times New Roman" w:hAnsi="Times New Roman" w:cs="Times New Roman"/>
          <w:sz w:val="28"/>
          <w:szCs w:val="24"/>
        </w:rPr>
        <w:t xml:space="preserve"> </w:t>
      </w:r>
    </w:p>
    <w:p w:rsidR="000F6B4C" w:rsidRPr="002A793E" w:rsidRDefault="000F6B4C">
      <w:pPr>
        <w:widowControl w:val="0"/>
        <w:autoSpaceDE w:val="0"/>
        <w:autoSpaceDN w:val="0"/>
        <w:adjustRightInd w:val="0"/>
        <w:spacing w:after="0" w:line="240" w:lineRule="auto"/>
        <w:rPr>
          <w:rFonts w:ascii="Times New Roman" w:hAnsi="Times New Roman" w:cs="Times New Roman"/>
          <w:sz w:val="28"/>
          <w:szCs w:val="28"/>
        </w:rPr>
      </w:pPr>
    </w:p>
    <w:p w:rsidR="000F6B4C" w:rsidRPr="002A793E" w:rsidRDefault="00D53B68">
      <w:pPr>
        <w:widowControl w:val="0"/>
        <w:autoSpaceDE w:val="0"/>
        <w:autoSpaceDN w:val="0"/>
        <w:adjustRightInd w:val="0"/>
        <w:spacing w:after="0" w:line="240" w:lineRule="auto"/>
        <w:jc w:val="center"/>
        <w:rPr>
          <w:rFonts w:ascii="Times New Roman" w:hAnsi="Times New Roman" w:cs="Times New Roman"/>
          <w:b/>
          <w:bCs/>
          <w:sz w:val="28"/>
          <w:szCs w:val="28"/>
        </w:rPr>
      </w:pPr>
      <w:r w:rsidRPr="002A793E">
        <w:rPr>
          <w:rFonts w:ascii="Times New Roman" w:hAnsi="Times New Roman" w:cs="Times New Roman"/>
          <w:b/>
          <w:bCs/>
          <w:sz w:val="28"/>
          <w:szCs w:val="28"/>
        </w:rPr>
        <w:t xml:space="preserve">TEMAS-SUBTEMAS </w:t>
      </w:r>
    </w:p>
    <w:p w:rsidR="000F6B4C" w:rsidRPr="002A793E" w:rsidRDefault="000F6B4C">
      <w:pPr>
        <w:widowControl w:val="0"/>
        <w:autoSpaceDE w:val="0"/>
        <w:autoSpaceDN w:val="0"/>
        <w:adjustRightInd w:val="0"/>
        <w:spacing w:after="0" w:line="240" w:lineRule="auto"/>
        <w:jc w:val="center"/>
        <w:rPr>
          <w:rFonts w:ascii="Times New Roman" w:hAnsi="Times New Roman" w:cs="Times New Roman"/>
          <w:b/>
          <w:bCs/>
          <w:sz w:val="28"/>
          <w:szCs w:val="28"/>
        </w:rPr>
      </w:pPr>
    </w:p>
    <w:p w:rsidR="000F6B4C" w:rsidRPr="002A793E" w:rsidRDefault="00D53B68">
      <w:pPr>
        <w:widowControl w:val="0"/>
        <w:autoSpaceDE w:val="0"/>
        <w:autoSpaceDN w:val="0"/>
        <w:adjustRightInd w:val="0"/>
        <w:spacing w:after="0" w:line="240" w:lineRule="auto"/>
        <w:jc w:val="center"/>
        <w:rPr>
          <w:rFonts w:ascii="Times New Roman" w:hAnsi="Times New Roman" w:cs="Times New Roman"/>
          <w:sz w:val="28"/>
          <w:szCs w:val="28"/>
        </w:rPr>
      </w:pPr>
      <w:r w:rsidRPr="002A793E">
        <w:rPr>
          <w:rFonts w:ascii="Times New Roman" w:hAnsi="Times New Roman" w:cs="Times New Roman"/>
          <w:b/>
          <w:bCs/>
          <w:sz w:val="28"/>
          <w:szCs w:val="28"/>
        </w:rPr>
        <w:t xml:space="preserve">Sentencia C-328/24 </w:t>
      </w:r>
    </w:p>
    <w:p w:rsidR="000F6B4C" w:rsidRPr="002A793E" w:rsidRDefault="000F6B4C">
      <w:pPr>
        <w:widowControl w:val="0"/>
        <w:autoSpaceDE w:val="0"/>
        <w:autoSpaceDN w:val="0"/>
        <w:adjustRightInd w:val="0"/>
        <w:spacing w:after="0" w:line="240" w:lineRule="auto"/>
        <w:jc w:val="both"/>
        <w:rPr>
          <w:rFonts w:ascii="Times New Roman" w:hAnsi="Times New Roman" w:cs="Times New Roman"/>
          <w:sz w:val="28"/>
          <w:szCs w:val="28"/>
        </w:rPr>
      </w:pPr>
    </w:p>
    <w:p w:rsidR="000F6B4C" w:rsidRPr="002A793E" w:rsidRDefault="00D53B68">
      <w:pPr>
        <w:widowControl w:val="0"/>
        <w:autoSpaceDE w:val="0"/>
        <w:autoSpaceDN w:val="0"/>
        <w:adjustRightInd w:val="0"/>
        <w:spacing w:after="0" w:line="240" w:lineRule="auto"/>
        <w:jc w:val="both"/>
        <w:rPr>
          <w:rFonts w:ascii="Times New Roman" w:hAnsi="Times New Roman" w:cs="Times New Roman"/>
          <w:sz w:val="28"/>
          <w:szCs w:val="28"/>
        </w:rPr>
      </w:pPr>
      <w:r w:rsidRPr="002A793E">
        <w:rPr>
          <w:rFonts w:ascii="Times New Roman" w:hAnsi="Times New Roman" w:cs="Times New Roman"/>
          <w:b/>
          <w:bCs/>
          <w:sz w:val="28"/>
          <w:szCs w:val="28"/>
        </w:rPr>
        <w:t>DEMANDA DE INCONSTITUCIONALIDAD CONTRA LA LEY 2294 DE 2023</w:t>
      </w:r>
      <w:r w:rsidRPr="002A793E">
        <w:rPr>
          <w:rFonts w:ascii="Times New Roman" w:hAnsi="Times New Roman" w:cs="Times New Roman"/>
          <w:sz w:val="28"/>
          <w:szCs w:val="28"/>
        </w:rPr>
        <w:t>-Estarse a lo resuelto en la sentencia C-294 de 2024</w:t>
      </w:r>
    </w:p>
    <w:p w:rsidR="000F6B4C" w:rsidRPr="002A793E" w:rsidRDefault="000F6B4C">
      <w:pPr>
        <w:widowControl w:val="0"/>
        <w:autoSpaceDE w:val="0"/>
        <w:autoSpaceDN w:val="0"/>
        <w:adjustRightInd w:val="0"/>
        <w:spacing w:after="0" w:line="240" w:lineRule="auto"/>
        <w:jc w:val="both"/>
        <w:rPr>
          <w:rFonts w:ascii="Times New Roman" w:hAnsi="Times New Roman" w:cs="Times New Roman"/>
          <w:sz w:val="28"/>
          <w:szCs w:val="28"/>
        </w:rPr>
      </w:pPr>
    </w:p>
    <w:p w:rsidR="000F6B4C" w:rsidRPr="002A793E" w:rsidRDefault="00D53B68">
      <w:pPr>
        <w:widowControl w:val="0"/>
        <w:autoSpaceDE w:val="0"/>
        <w:autoSpaceDN w:val="0"/>
        <w:adjustRightInd w:val="0"/>
        <w:spacing w:after="0" w:line="240" w:lineRule="auto"/>
        <w:jc w:val="both"/>
        <w:rPr>
          <w:rFonts w:ascii="Times New Roman" w:hAnsi="Times New Roman" w:cs="Times New Roman"/>
          <w:sz w:val="28"/>
          <w:szCs w:val="28"/>
        </w:rPr>
      </w:pPr>
      <w:r w:rsidRPr="002A793E">
        <w:rPr>
          <w:rFonts w:ascii="Times New Roman" w:hAnsi="Times New Roman" w:cs="Times New Roman"/>
          <w:i/>
          <w:iCs/>
          <w:sz w:val="28"/>
          <w:szCs w:val="28"/>
        </w:rPr>
        <w:t>La Corte Constitucional declaró la inexequibilidad de los artículos acusados por vicios insubsanables en su proceso de formación mediante la sentencia C-294 de 2024. Por lo tanto, dicha providencia constituye cosa juzgada formal y absoluta frente a la demanda que ahora se examina. Así, existe identidad entre las normas acusadas en esta ocasión y las declaradas inexequibles en la sentencia C-294 de 2024, de forma tal que el numeral 6 (parcial) y el parágrafo 3 del artículo 61 de la Ley 2294 de 2023 ya no hacen parte del ordenamiento jurídico.</w:t>
      </w:r>
    </w:p>
    <w:p w:rsidR="000F6B4C" w:rsidRPr="002A793E" w:rsidRDefault="000F6B4C">
      <w:pPr>
        <w:widowControl w:val="0"/>
        <w:autoSpaceDE w:val="0"/>
        <w:autoSpaceDN w:val="0"/>
        <w:adjustRightInd w:val="0"/>
        <w:spacing w:after="0" w:line="240" w:lineRule="auto"/>
        <w:jc w:val="both"/>
        <w:rPr>
          <w:rFonts w:ascii="Times New Roman" w:hAnsi="Times New Roman" w:cs="Times New Roman"/>
          <w:sz w:val="28"/>
          <w:szCs w:val="28"/>
        </w:rPr>
      </w:pPr>
    </w:p>
    <w:p w:rsidR="000F6B4C" w:rsidRPr="002A793E" w:rsidRDefault="00D53B68">
      <w:pPr>
        <w:widowControl w:val="0"/>
        <w:autoSpaceDE w:val="0"/>
        <w:autoSpaceDN w:val="0"/>
        <w:adjustRightInd w:val="0"/>
        <w:spacing w:after="0" w:line="240" w:lineRule="auto"/>
        <w:jc w:val="both"/>
        <w:rPr>
          <w:rFonts w:ascii="Times New Roman" w:hAnsi="Times New Roman" w:cs="Times New Roman"/>
          <w:sz w:val="28"/>
          <w:szCs w:val="28"/>
        </w:rPr>
      </w:pPr>
      <w:r w:rsidRPr="002A793E">
        <w:rPr>
          <w:rFonts w:ascii="Times New Roman" w:hAnsi="Times New Roman" w:cs="Times New Roman"/>
          <w:b/>
          <w:bCs/>
          <w:sz w:val="28"/>
          <w:szCs w:val="28"/>
        </w:rPr>
        <w:t>COSA JUZGADA CONSTITUCIONAL ABSOLUTA</w:t>
      </w:r>
      <w:r w:rsidRPr="002A793E">
        <w:rPr>
          <w:rFonts w:ascii="Times New Roman" w:hAnsi="Times New Roman" w:cs="Times New Roman"/>
          <w:sz w:val="28"/>
          <w:szCs w:val="28"/>
        </w:rPr>
        <w:t xml:space="preserve">-Configuración por declaratoria de inexequibilidad </w:t>
      </w:r>
    </w:p>
    <w:p w:rsidR="000F6B4C" w:rsidRPr="002A793E" w:rsidRDefault="000F6B4C">
      <w:pPr>
        <w:widowControl w:val="0"/>
        <w:autoSpaceDE w:val="0"/>
        <w:autoSpaceDN w:val="0"/>
        <w:adjustRightInd w:val="0"/>
        <w:spacing w:after="0" w:line="240" w:lineRule="auto"/>
        <w:jc w:val="both"/>
        <w:rPr>
          <w:rFonts w:ascii="Times New Roman" w:hAnsi="Times New Roman" w:cs="Times New Roman"/>
          <w:sz w:val="28"/>
          <w:szCs w:val="28"/>
        </w:rPr>
      </w:pPr>
    </w:p>
    <w:p w:rsidR="000F6B4C" w:rsidRPr="002A793E" w:rsidRDefault="00D53B68">
      <w:pPr>
        <w:widowControl w:val="0"/>
        <w:autoSpaceDE w:val="0"/>
        <w:autoSpaceDN w:val="0"/>
        <w:adjustRightInd w:val="0"/>
        <w:spacing w:after="0" w:line="240" w:lineRule="auto"/>
        <w:jc w:val="both"/>
        <w:rPr>
          <w:rFonts w:ascii="Times New Roman" w:hAnsi="Times New Roman" w:cs="Times New Roman"/>
          <w:sz w:val="28"/>
          <w:szCs w:val="28"/>
        </w:rPr>
      </w:pPr>
      <w:r w:rsidRPr="002A793E">
        <w:rPr>
          <w:rFonts w:ascii="Times New Roman" w:hAnsi="Times New Roman" w:cs="Times New Roman"/>
          <w:b/>
          <w:bCs/>
          <w:sz w:val="28"/>
          <w:szCs w:val="28"/>
        </w:rPr>
        <w:t>COSA JUZGADA CONSTITUCIONAL</w:t>
      </w:r>
      <w:r w:rsidRPr="002A793E">
        <w:rPr>
          <w:rFonts w:ascii="Times New Roman" w:hAnsi="Times New Roman" w:cs="Times New Roman"/>
          <w:sz w:val="28"/>
          <w:szCs w:val="28"/>
        </w:rPr>
        <w:t xml:space="preserve">-Requisitos para su configuración </w:t>
      </w:r>
    </w:p>
    <w:p w:rsidR="000F6B4C" w:rsidRPr="002A793E" w:rsidRDefault="000F6B4C">
      <w:pPr>
        <w:widowControl w:val="0"/>
        <w:autoSpaceDE w:val="0"/>
        <w:autoSpaceDN w:val="0"/>
        <w:adjustRightInd w:val="0"/>
        <w:spacing w:after="0" w:line="240" w:lineRule="auto"/>
        <w:jc w:val="both"/>
        <w:rPr>
          <w:rFonts w:ascii="Times New Roman" w:hAnsi="Times New Roman" w:cs="Times New Roman"/>
          <w:sz w:val="28"/>
          <w:szCs w:val="28"/>
        </w:rPr>
      </w:pPr>
    </w:p>
    <w:p w:rsidR="000F6B4C" w:rsidRPr="002A793E" w:rsidRDefault="00D53B68">
      <w:pPr>
        <w:widowControl w:val="0"/>
        <w:autoSpaceDE w:val="0"/>
        <w:autoSpaceDN w:val="0"/>
        <w:adjustRightInd w:val="0"/>
        <w:spacing w:after="0" w:line="240" w:lineRule="auto"/>
        <w:jc w:val="both"/>
        <w:rPr>
          <w:rFonts w:ascii="Times New Roman" w:hAnsi="Times New Roman" w:cs="Times New Roman"/>
          <w:sz w:val="28"/>
          <w:szCs w:val="28"/>
        </w:rPr>
      </w:pPr>
      <w:r w:rsidRPr="002A793E">
        <w:rPr>
          <w:rFonts w:ascii="Times New Roman" w:hAnsi="Times New Roman" w:cs="Times New Roman"/>
          <w:b/>
          <w:bCs/>
          <w:sz w:val="28"/>
          <w:szCs w:val="28"/>
        </w:rPr>
        <w:t>COSA JUZGADA CONSTITUCIONAL</w:t>
      </w:r>
      <w:r w:rsidRPr="002A793E">
        <w:rPr>
          <w:rFonts w:ascii="Times New Roman" w:hAnsi="Times New Roman" w:cs="Times New Roman"/>
          <w:sz w:val="28"/>
          <w:szCs w:val="28"/>
        </w:rPr>
        <w:t xml:space="preserve">-Tipología </w:t>
      </w:r>
    </w:p>
    <w:p w:rsidR="000F6B4C" w:rsidRPr="002A793E" w:rsidRDefault="000F6B4C">
      <w:pPr>
        <w:widowControl w:val="0"/>
        <w:autoSpaceDE w:val="0"/>
        <w:autoSpaceDN w:val="0"/>
        <w:adjustRightInd w:val="0"/>
        <w:spacing w:after="0" w:line="240" w:lineRule="auto"/>
        <w:jc w:val="both"/>
        <w:rPr>
          <w:rFonts w:ascii="Times New Roman" w:hAnsi="Times New Roman" w:cs="Times New Roman"/>
          <w:sz w:val="28"/>
          <w:szCs w:val="28"/>
        </w:rPr>
      </w:pPr>
    </w:p>
    <w:p w:rsidR="000F6B4C" w:rsidRPr="002A793E" w:rsidRDefault="00D53B68">
      <w:pPr>
        <w:widowControl w:val="0"/>
        <w:autoSpaceDE w:val="0"/>
        <w:autoSpaceDN w:val="0"/>
        <w:adjustRightInd w:val="0"/>
        <w:spacing w:after="0" w:line="240" w:lineRule="auto"/>
        <w:jc w:val="both"/>
        <w:rPr>
          <w:rFonts w:ascii="Times New Roman" w:hAnsi="Times New Roman" w:cs="Times New Roman"/>
          <w:sz w:val="28"/>
          <w:szCs w:val="28"/>
        </w:rPr>
      </w:pPr>
      <w:r w:rsidRPr="002A793E">
        <w:rPr>
          <w:rFonts w:ascii="Times New Roman" w:hAnsi="Times New Roman" w:cs="Times New Roman"/>
          <w:b/>
          <w:bCs/>
          <w:sz w:val="28"/>
          <w:szCs w:val="28"/>
        </w:rPr>
        <w:t>COSA JUZGADA</w:t>
      </w:r>
      <w:r w:rsidRPr="002A793E">
        <w:rPr>
          <w:rFonts w:ascii="Times New Roman" w:hAnsi="Times New Roman" w:cs="Times New Roman"/>
          <w:sz w:val="28"/>
          <w:szCs w:val="28"/>
        </w:rPr>
        <w:t xml:space="preserve">-Efectos respecto de decisiones de exequibilidad e inexequibilidad </w:t>
      </w:r>
    </w:p>
    <w:p w:rsidR="000F6B4C" w:rsidRPr="002A793E" w:rsidRDefault="000F6B4C">
      <w:pPr>
        <w:widowControl w:val="0"/>
        <w:autoSpaceDE w:val="0"/>
        <w:autoSpaceDN w:val="0"/>
        <w:adjustRightInd w:val="0"/>
        <w:spacing w:after="0" w:line="240" w:lineRule="auto"/>
        <w:jc w:val="both"/>
        <w:rPr>
          <w:rFonts w:ascii="Times New Roman" w:hAnsi="Times New Roman" w:cs="Times New Roman"/>
          <w:sz w:val="28"/>
          <w:szCs w:val="28"/>
        </w:rPr>
      </w:pPr>
    </w:p>
    <w:p w:rsidR="000F6B4C" w:rsidRPr="002A793E" w:rsidRDefault="002A793E">
      <w:pPr>
        <w:widowControl w:val="0"/>
        <w:autoSpaceDE w:val="0"/>
        <w:autoSpaceDN w:val="0"/>
        <w:adjustRightInd w:val="0"/>
        <w:spacing w:after="0" w:line="240" w:lineRule="auto"/>
        <w:jc w:val="both"/>
        <w:rPr>
          <w:rFonts w:ascii="Times New Roman" w:hAnsi="Times New Roman" w:cs="Times New Roman"/>
          <w:sz w:val="28"/>
        </w:rPr>
      </w:pPr>
      <w:r w:rsidRPr="002A793E">
        <w:rPr>
          <w:rFonts w:ascii="Times New Roman" w:hAnsi="Times New Roman" w:cs="Times New Roman"/>
          <w:sz w:val="28"/>
          <w:szCs w:val="28"/>
        </w:rPr>
        <w:pict>
          <v:rect id="_x0000_i1025" style="width:0;height:1.5pt" o:hralign="center" o:hrstd="t" o:hr="t" fillcolor="#a0a0a0" stroked="f"/>
        </w:pict>
      </w:r>
    </w:p>
    <w:p w:rsidR="00852E35" w:rsidRPr="002A793E" w:rsidRDefault="002A793E" w:rsidP="00EC2E24">
      <w:pPr>
        <w:pStyle w:val="Encabezado"/>
        <w:jc w:val="center"/>
        <w:rPr>
          <w:rFonts w:ascii="Times New Roman" w:hAnsi="Times New Roman" w:cs="Times New Roman"/>
          <w:b/>
          <w:bCs/>
          <w:sz w:val="28"/>
          <w:szCs w:val="28"/>
          <w:lang w:val="es-ES"/>
        </w:rPr>
      </w:pPr>
      <w:r w:rsidRPr="002A793E">
        <w:rPr>
          <w:rFonts w:ascii="Times New Roman" w:hAnsi="Times New Roman" w:cs="Times New Roman"/>
          <w:b/>
          <w:bCs/>
          <w:sz w:val="28"/>
          <w:szCs w:val="28"/>
          <w:lang w:val="es-ES"/>
        </w:rPr>
        <w:t>REPÚBLICA DE COLOMBIA</w:t>
      </w:r>
    </w:p>
    <w:p w:rsidR="00852E35" w:rsidRPr="002A793E" w:rsidRDefault="002A793E" w:rsidP="00EC2E24">
      <w:pPr>
        <w:pStyle w:val="Encabezado"/>
        <w:jc w:val="center"/>
        <w:rPr>
          <w:rFonts w:ascii="Times New Roman" w:hAnsi="Times New Roman" w:cs="Times New Roman"/>
          <w:b/>
          <w:bCs/>
          <w:sz w:val="28"/>
          <w:szCs w:val="28"/>
          <w:lang w:val="es-ES"/>
        </w:rPr>
      </w:pPr>
      <w:r w:rsidRPr="002A793E">
        <w:rPr>
          <w:rFonts w:ascii="Times New Roman" w:hAnsi="Times New Roman" w:cs="Times New Roman"/>
          <w:b/>
          <w:bCs/>
          <w:noProof/>
          <w:sz w:val="28"/>
          <w:szCs w:val="28"/>
        </w:rPr>
        <w:drawing>
          <wp:inline distT="0" distB="0" distL="0" distR="0" wp14:anchorId="3B7E6302" wp14:editId="73A02AA4">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852E35" w:rsidRPr="002A793E" w:rsidRDefault="002A793E" w:rsidP="00EC2E24">
      <w:pPr>
        <w:pStyle w:val="Encabezado"/>
        <w:jc w:val="center"/>
        <w:rPr>
          <w:rFonts w:ascii="Times New Roman" w:hAnsi="Times New Roman" w:cs="Times New Roman"/>
          <w:b/>
          <w:bCs/>
          <w:sz w:val="28"/>
          <w:szCs w:val="28"/>
          <w:lang w:val="es-ES"/>
        </w:rPr>
      </w:pPr>
      <w:r w:rsidRPr="002A793E">
        <w:rPr>
          <w:rFonts w:ascii="Times New Roman" w:hAnsi="Times New Roman" w:cs="Times New Roman"/>
          <w:b/>
          <w:bCs/>
          <w:sz w:val="28"/>
          <w:szCs w:val="28"/>
          <w:lang w:val="es-ES"/>
        </w:rPr>
        <w:t>CORTE CONSTITUCIONAL</w:t>
      </w:r>
    </w:p>
    <w:p w:rsidR="00852E35" w:rsidRPr="002A793E" w:rsidRDefault="002A793E" w:rsidP="00EC2E24">
      <w:pPr>
        <w:pStyle w:val="Encabezado"/>
        <w:jc w:val="center"/>
        <w:rPr>
          <w:rFonts w:ascii="Times New Roman" w:hAnsi="Times New Roman" w:cs="Times New Roman"/>
          <w:b/>
          <w:bCs/>
          <w:sz w:val="28"/>
          <w:szCs w:val="28"/>
          <w:lang w:val="es-ES"/>
        </w:rPr>
      </w:pPr>
      <w:r w:rsidRPr="002A793E">
        <w:rPr>
          <w:rFonts w:ascii="Times New Roman" w:hAnsi="Times New Roman" w:cs="Times New Roman"/>
          <w:b/>
          <w:bCs/>
          <w:sz w:val="28"/>
          <w:szCs w:val="28"/>
          <w:lang w:val="es-ES"/>
        </w:rPr>
        <w:t>Sala Plena</w:t>
      </w:r>
    </w:p>
    <w:p w:rsidR="00852E35" w:rsidRPr="002A793E" w:rsidRDefault="002A793E" w:rsidP="00EC2E24">
      <w:pPr>
        <w:autoSpaceDE w:val="0"/>
        <w:autoSpaceDN w:val="0"/>
        <w:adjustRightInd w:val="0"/>
        <w:ind w:right="49"/>
        <w:contextualSpacing/>
        <w:jc w:val="center"/>
        <w:rPr>
          <w:rFonts w:ascii="Times New Roman" w:eastAsia="Times New Roman" w:hAnsi="Times New Roman" w:cs="Times New Roman"/>
          <w:b/>
          <w:bCs/>
          <w:color w:val="000000" w:themeColor="text1"/>
          <w:sz w:val="28"/>
          <w:szCs w:val="28"/>
          <w:lang w:val="es-ES" w:eastAsia="es-ES"/>
        </w:rPr>
      </w:pPr>
    </w:p>
    <w:p w:rsidR="00852E35" w:rsidRPr="002A793E" w:rsidRDefault="002A793E" w:rsidP="00EC2E24">
      <w:pPr>
        <w:autoSpaceDE w:val="0"/>
        <w:autoSpaceDN w:val="0"/>
        <w:adjustRightInd w:val="0"/>
        <w:ind w:right="49"/>
        <w:contextualSpacing/>
        <w:jc w:val="center"/>
        <w:rPr>
          <w:rFonts w:ascii="Times New Roman" w:eastAsia="Times New Roman" w:hAnsi="Times New Roman" w:cs="Times New Roman"/>
          <w:b/>
          <w:bCs/>
          <w:color w:val="000000" w:themeColor="text1"/>
          <w:sz w:val="28"/>
          <w:szCs w:val="28"/>
          <w:lang w:val="es-ES" w:eastAsia="es-ES"/>
        </w:rPr>
      </w:pPr>
      <w:r w:rsidRPr="002A793E">
        <w:rPr>
          <w:rFonts w:ascii="Times New Roman" w:eastAsia="Times New Roman" w:hAnsi="Times New Roman" w:cs="Times New Roman"/>
          <w:b/>
          <w:bCs/>
          <w:color w:val="000000" w:themeColor="text1"/>
          <w:sz w:val="28"/>
          <w:szCs w:val="28"/>
          <w:lang w:val="es-ES" w:eastAsia="es-ES"/>
        </w:rPr>
        <w:t xml:space="preserve">Sentencia </w:t>
      </w:r>
      <w:r w:rsidRPr="002A793E">
        <w:rPr>
          <w:rFonts w:ascii="Times New Roman" w:eastAsia="Times New Roman" w:hAnsi="Times New Roman" w:cs="Times New Roman"/>
          <w:b/>
          <w:bCs/>
          <w:color w:val="000000" w:themeColor="text1"/>
          <w:sz w:val="28"/>
          <w:szCs w:val="28"/>
          <w:lang w:val="es-ES" w:eastAsia="es-ES"/>
        </w:rPr>
        <w:t>C-</w:t>
      </w:r>
      <w:r w:rsidRPr="002A793E">
        <w:rPr>
          <w:rFonts w:ascii="Times New Roman" w:eastAsia="Times New Roman" w:hAnsi="Times New Roman" w:cs="Times New Roman"/>
          <w:b/>
          <w:bCs/>
          <w:color w:val="000000" w:themeColor="text1"/>
          <w:sz w:val="28"/>
          <w:szCs w:val="28"/>
          <w:lang w:val="es-ES" w:eastAsia="es-ES"/>
        </w:rPr>
        <w:t>328</w:t>
      </w:r>
      <w:r w:rsidRPr="002A793E">
        <w:rPr>
          <w:rFonts w:ascii="Times New Roman" w:eastAsia="Times New Roman" w:hAnsi="Times New Roman" w:cs="Times New Roman"/>
          <w:b/>
          <w:bCs/>
          <w:color w:val="000000" w:themeColor="text1"/>
          <w:sz w:val="28"/>
          <w:szCs w:val="28"/>
          <w:lang w:val="es-ES" w:eastAsia="es-ES"/>
        </w:rPr>
        <w:t xml:space="preserve"> de 202</w:t>
      </w:r>
      <w:r w:rsidRPr="002A793E">
        <w:rPr>
          <w:rFonts w:ascii="Times New Roman" w:eastAsia="Times New Roman" w:hAnsi="Times New Roman" w:cs="Times New Roman"/>
          <w:b/>
          <w:bCs/>
          <w:color w:val="000000" w:themeColor="text1"/>
          <w:sz w:val="28"/>
          <w:szCs w:val="28"/>
          <w:lang w:val="es-ES" w:eastAsia="es-ES"/>
        </w:rPr>
        <w:t>4</w:t>
      </w:r>
    </w:p>
    <w:p w:rsidR="00852E35" w:rsidRPr="002A793E" w:rsidRDefault="002A793E" w:rsidP="00852E35">
      <w:pPr>
        <w:widowControl w:val="0"/>
        <w:autoSpaceDE w:val="0"/>
        <w:autoSpaceDN w:val="0"/>
        <w:adjustRightInd w:val="0"/>
        <w:ind w:right="49"/>
        <w:contextualSpacing/>
        <w:outlineLvl w:val="0"/>
        <w:rPr>
          <w:rFonts w:ascii="Times New Roman" w:eastAsia="Times New Roman" w:hAnsi="Times New Roman" w:cs="Times New Roman"/>
          <w:color w:val="000000" w:themeColor="text1"/>
          <w:sz w:val="28"/>
          <w:szCs w:val="28"/>
          <w:lang w:val="es-ES" w:eastAsia="es-ES"/>
        </w:rPr>
      </w:pPr>
    </w:p>
    <w:p w:rsidR="00852E35" w:rsidRPr="002A793E" w:rsidRDefault="002A793E"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color w:val="000000" w:themeColor="text1"/>
          <w:sz w:val="28"/>
          <w:szCs w:val="28"/>
          <w:lang w:val="es-ES" w:eastAsia="es-ES"/>
        </w:rPr>
      </w:pPr>
      <w:r w:rsidRPr="002A793E">
        <w:rPr>
          <w:rFonts w:ascii="Times New Roman" w:eastAsia="Times New Roman" w:hAnsi="Times New Roman" w:cs="Times New Roman"/>
          <w:b/>
          <w:bCs/>
          <w:color w:val="000000" w:themeColor="text1"/>
          <w:sz w:val="28"/>
          <w:szCs w:val="28"/>
          <w:lang w:val="es-ES" w:eastAsia="es-ES"/>
        </w:rPr>
        <w:t>Expediente:</w:t>
      </w:r>
      <w:r w:rsidRPr="002A793E">
        <w:rPr>
          <w:rFonts w:ascii="Times New Roman" w:eastAsia="Times New Roman" w:hAnsi="Times New Roman" w:cs="Times New Roman"/>
          <w:color w:val="000000" w:themeColor="text1"/>
          <w:sz w:val="28"/>
          <w:szCs w:val="28"/>
          <w:lang w:val="es-ES" w:eastAsia="es-ES"/>
        </w:rPr>
        <w:t xml:space="preserve"> </w:t>
      </w:r>
      <w:r w:rsidRPr="002A793E">
        <w:rPr>
          <w:rFonts w:ascii="Times New Roman" w:eastAsia="Times New Roman" w:hAnsi="Times New Roman" w:cs="Times New Roman"/>
          <w:color w:val="000000" w:themeColor="text1"/>
          <w:sz w:val="28"/>
          <w:szCs w:val="28"/>
          <w:lang w:val="es-ES" w:eastAsia="es-ES"/>
        </w:rPr>
        <w:t>D-</w:t>
      </w:r>
      <w:r w:rsidRPr="002A793E">
        <w:rPr>
          <w:rFonts w:ascii="Times New Roman" w:eastAsia="Times New Roman" w:hAnsi="Times New Roman" w:cs="Times New Roman"/>
          <w:color w:val="000000" w:themeColor="text1"/>
          <w:sz w:val="28"/>
          <w:szCs w:val="28"/>
          <w:lang w:val="es-ES" w:eastAsia="es-ES"/>
        </w:rPr>
        <w:t>15481</w:t>
      </w:r>
      <w:r w:rsidRPr="002A793E">
        <w:rPr>
          <w:rFonts w:ascii="Times New Roman" w:eastAsia="Times New Roman" w:hAnsi="Times New Roman" w:cs="Times New Roman"/>
          <w:color w:val="000000" w:themeColor="text1"/>
          <w:sz w:val="28"/>
          <w:szCs w:val="28"/>
          <w:lang w:val="es-ES" w:eastAsia="es-ES"/>
        </w:rPr>
        <w:t>.</w:t>
      </w:r>
    </w:p>
    <w:p w:rsidR="00852E35" w:rsidRPr="002A793E" w:rsidRDefault="002A793E" w:rsidP="00852E35">
      <w:pPr>
        <w:pStyle w:val="Sinespaciado"/>
        <w:rPr>
          <w:rFonts w:ascii="Times New Roman" w:hAnsi="Times New Roman"/>
          <w:sz w:val="28"/>
          <w:szCs w:val="28"/>
          <w:lang w:val="es-ES"/>
        </w:rPr>
      </w:pPr>
    </w:p>
    <w:p w:rsidR="00AA7568" w:rsidRPr="002A793E" w:rsidRDefault="002A793E" w:rsidP="00AA7568">
      <w:pPr>
        <w:tabs>
          <w:tab w:val="left" w:pos="3544"/>
          <w:tab w:val="left" w:pos="4678"/>
        </w:tabs>
        <w:ind w:left="3969" w:right="51"/>
        <w:contextualSpacing/>
        <w:rPr>
          <w:rFonts w:ascii="Times New Roman" w:eastAsia="Times New Roman" w:hAnsi="Times New Roman" w:cs="Times New Roman"/>
          <w:bCs/>
          <w:iCs/>
          <w:color w:val="000000" w:themeColor="text1"/>
          <w:sz w:val="28"/>
          <w:szCs w:val="28"/>
          <w:lang w:val="es-ES" w:eastAsia="es-ES"/>
        </w:rPr>
      </w:pPr>
      <w:bookmarkStart w:id="1" w:name="_Hlk78544795"/>
      <w:r w:rsidRPr="002A793E">
        <w:rPr>
          <w:rFonts w:ascii="Times New Roman" w:eastAsia="Times New Roman" w:hAnsi="Times New Roman" w:cs="Times New Roman"/>
          <w:bCs/>
          <w:iCs/>
          <w:color w:val="000000" w:themeColor="text1"/>
          <w:sz w:val="28"/>
          <w:szCs w:val="28"/>
          <w:lang w:val="es-ES" w:eastAsia="es-ES"/>
        </w:rPr>
        <w:t xml:space="preserve">Demanda de inconstitucionalidad contra </w:t>
      </w:r>
      <w:bookmarkStart w:id="2" w:name="_Hlk149044707"/>
      <w:r w:rsidRPr="002A793E">
        <w:rPr>
          <w:rFonts w:ascii="Times New Roman" w:eastAsia="Times New Roman" w:hAnsi="Times New Roman" w:cs="Times New Roman"/>
          <w:bCs/>
          <w:iCs/>
          <w:color w:val="000000" w:themeColor="text1"/>
          <w:sz w:val="28"/>
          <w:szCs w:val="28"/>
          <w:lang w:val="es-ES" w:eastAsia="es-ES"/>
        </w:rPr>
        <w:t>el</w:t>
      </w:r>
      <w:r w:rsidRPr="002A793E">
        <w:rPr>
          <w:rFonts w:ascii="Times New Roman" w:eastAsia="Times New Roman" w:hAnsi="Times New Roman" w:cs="Times New Roman"/>
          <w:bCs/>
          <w:iCs/>
          <w:color w:val="000000" w:themeColor="text1"/>
          <w:sz w:val="28"/>
          <w:szCs w:val="28"/>
          <w:lang w:val="es-ES" w:eastAsia="es-ES"/>
        </w:rPr>
        <w:t xml:space="preserve"> artículo</w:t>
      </w:r>
      <w:r w:rsidRPr="002A793E">
        <w:rPr>
          <w:rFonts w:ascii="Times New Roman" w:eastAsia="Times New Roman" w:hAnsi="Times New Roman" w:cs="Times New Roman"/>
          <w:bCs/>
          <w:iCs/>
          <w:color w:val="000000" w:themeColor="text1"/>
          <w:sz w:val="28"/>
          <w:szCs w:val="28"/>
          <w:lang w:val="es-ES" w:eastAsia="es-ES"/>
        </w:rPr>
        <w:t xml:space="preserve"> 61</w:t>
      </w:r>
      <w:r w:rsidRPr="002A793E">
        <w:rPr>
          <w:rFonts w:ascii="Times New Roman" w:eastAsia="Times New Roman" w:hAnsi="Times New Roman" w:cs="Times New Roman"/>
          <w:bCs/>
          <w:iCs/>
          <w:color w:val="000000" w:themeColor="text1"/>
          <w:sz w:val="28"/>
          <w:szCs w:val="28"/>
          <w:lang w:val="es-ES" w:eastAsia="es-ES"/>
        </w:rPr>
        <w:t xml:space="preserve"> </w:t>
      </w:r>
      <w:r w:rsidRPr="002A793E">
        <w:rPr>
          <w:rFonts w:ascii="Times New Roman" w:hAnsi="Times New Roman" w:cs="Times New Roman"/>
          <w:sz w:val="28"/>
          <w:szCs w:val="28"/>
          <w:lang w:val="es-ES"/>
        </w:rPr>
        <w:t xml:space="preserve">(parcial) de la Ley 2294 de 2023, “[p]or </w:t>
      </w:r>
      <w:r w:rsidRPr="002A793E">
        <w:rPr>
          <w:rFonts w:ascii="Times New Roman" w:hAnsi="Times New Roman" w:cs="Times New Roman"/>
          <w:sz w:val="28"/>
          <w:szCs w:val="28"/>
          <w:lang w:val="es-ES"/>
        </w:rPr>
        <w:t>el</w:t>
      </w:r>
      <w:r w:rsidRPr="002A793E">
        <w:rPr>
          <w:rFonts w:ascii="Times New Roman" w:hAnsi="Times New Roman" w:cs="Times New Roman"/>
          <w:sz w:val="28"/>
          <w:szCs w:val="28"/>
          <w:lang w:val="es-ES"/>
        </w:rPr>
        <w:t xml:space="preserve"> cual se expide el Plan Nacional de Desarrollo 2022-2026 ‘Colombia Potencia Mundial de Vida’”.</w:t>
      </w:r>
    </w:p>
    <w:bookmarkEnd w:id="1"/>
    <w:bookmarkEnd w:id="2"/>
    <w:p w:rsidR="00852E35" w:rsidRPr="002A793E" w:rsidRDefault="002A793E" w:rsidP="00852E35">
      <w:pPr>
        <w:pStyle w:val="Sinespaciado"/>
        <w:rPr>
          <w:rFonts w:ascii="Times New Roman" w:hAnsi="Times New Roman"/>
          <w:sz w:val="28"/>
          <w:szCs w:val="28"/>
          <w:lang w:val="es-ES"/>
        </w:rPr>
      </w:pPr>
    </w:p>
    <w:p w:rsidR="00852E35" w:rsidRPr="002A793E" w:rsidRDefault="002A793E" w:rsidP="00852E35">
      <w:pPr>
        <w:widowControl w:val="0"/>
        <w:tabs>
          <w:tab w:val="left" w:pos="3544"/>
          <w:tab w:val="left" w:pos="4678"/>
          <w:tab w:val="left" w:pos="8100"/>
        </w:tabs>
        <w:autoSpaceDE w:val="0"/>
        <w:autoSpaceDN w:val="0"/>
        <w:adjustRightInd w:val="0"/>
        <w:ind w:left="3969" w:right="49"/>
        <w:contextualSpacing/>
        <w:rPr>
          <w:rFonts w:ascii="Times New Roman" w:eastAsia="Times New Roman" w:hAnsi="Times New Roman" w:cs="Times New Roman"/>
          <w:b/>
          <w:color w:val="000000" w:themeColor="text1"/>
          <w:sz w:val="28"/>
          <w:szCs w:val="28"/>
          <w:lang w:val="es-ES" w:eastAsia="es-ES"/>
        </w:rPr>
      </w:pPr>
      <w:r w:rsidRPr="002A793E">
        <w:rPr>
          <w:rFonts w:ascii="Times New Roman" w:eastAsia="Times New Roman" w:hAnsi="Times New Roman" w:cs="Times New Roman"/>
          <w:b/>
          <w:color w:val="000000" w:themeColor="text1"/>
          <w:sz w:val="28"/>
          <w:szCs w:val="28"/>
          <w:lang w:val="es-ES" w:eastAsia="es-ES"/>
        </w:rPr>
        <w:t>Demandante:</w:t>
      </w:r>
      <w:r w:rsidRPr="002A793E">
        <w:rPr>
          <w:rFonts w:ascii="Times New Roman" w:eastAsia="Times New Roman" w:hAnsi="Times New Roman" w:cs="Times New Roman"/>
          <w:b/>
          <w:color w:val="000000" w:themeColor="text1"/>
          <w:sz w:val="28"/>
          <w:szCs w:val="28"/>
          <w:lang w:val="es-ES" w:eastAsia="es-ES"/>
        </w:rPr>
        <w:t xml:space="preserve"> </w:t>
      </w:r>
      <w:r w:rsidRPr="002A793E">
        <w:rPr>
          <w:rFonts w:ascii="Times New Roman" w:eastAsia="Times New Roman" w:hAnsi="Times New Roman" w:cs="Times New Roman"/>
          <w:color w:val="000000" w:themeColor="text1"/>
          <w:sz w:val="28"/>
          <w:szCs w:val="28"/>
          <w:lang w:val="es-ES" w:eastAsia="es-ES"/>
        </w:rPr>
        <w:t>Humberto Sierra Porto.</w:t>
      </w:r>
    </w:p>
    <w:p w:rsidR="00852E35" w:rsidRPr="002A793E" w:rsidRDefault="002A793E" w:rsidP="00852E35">
      <w:pPr>
        <w:pStyle w:val="Sinespaciado"/>
        <w:rPr>
          <w:rFonts w:ascii="Times New Roman" w:hAnsi="Times New Roman"/>
          <w:sz w:val="28"/>
          <w:szCs w:val="28"/>
          <w:lang w:val="es-ES"/>
        </w:rPr>
      </w:pPr>
    </w:p>
    <w:p w:rsidR="00852E35" w:rsidRPr="002A793E" w:rsidRDefault="002A793E"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color w:val="000000" w:themeColor="text1"/>
          <w:sz w:val="28"/>
          <w:szCs w:val="28"/>
          <w:lang w:val="es-ES" w:eastAsia="es-ES"/>
        </w:rPr>
      </w:pPr>
      <w:r w:rsidRPr="002A793E">
        <w:rPr>
          <w:rFonts w:ascii="Times New Roman" w:eastAsia="Times New Roman" w:hAnsi="Times New Roman" w:cs="Times New Roman"/>
          <w:b/>
          <w:color w:val="000000" w:themeColor="text1"/>
          <w:sz w:val="28"/>
          <w:szCs w:val="28"/>
          <w:lang w:val="es-ES" w:eastAsia="es-ES"/>
        </w:rPr>
        <w:t>Magistrada Sustanciadora:</w:t>
      </w:r>
    </w:p>
    <w:p w:rsidR="00852E35" w:rsidRPr="002A793E" w:rsidRDefault="002A793E"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bCs/>
          <w:color w:val="000000" w:themeColor="text1"/>
          <w:sz w:val="28"/>
          <w:szCs w:val="28"/>
          <w:lang w:val="es-ES" w:eastAsia="es-ES"/>
        </w:rPr>
      </w:pPr>
      <w:r w:rsidRPr="002A793E">
        <w:rPr>
          <w:rFonts w:ascii="Times New Roman" w:eastAsia="Times New Roman" w:hAnsi="Times New Roman" w:cs="Times New Roman"/>
          <w:bCs/>
          <w:color w:val="000000" w:themeColor="text1"/>
          <w:sz w:val="28"/>
          <w:szCs w:val="28"/>
          <w:lang w:val="es-ES" w:eastAsia="es-ES"/>
        </w:rPr>
        <w:t>N</w:t>
      </w:r>
      <w:r w:rsidRPr="002A793E">
        <w:rPr>
          <w:rFonts w:ascii="Times New Roman" w:eastAsia="Times New Roman" w:hAnsi="Times New Roman" w:cs="Times New Roman"/>
          <w:bCs/>
          <w:color w:val="000000" w:themeColor="text1"/>
          <w:sz w:val="28"/>
          <w:szCs w:val="28"/>
          <w:lang w:val="es-ES" w:eastAsia="es-ES"/>
        </w:rPr>
        <w:t>atalia</w:t>
      </w:r>
      <w:r w:rsidRPr="002A793E">
        <w:rPr>
          <w:rFonts w:ascii="Times New Roman" w:eastAsia="Times New Roman" w:hAnsi="Times New Roman" w:cs="Times New Roman"/>
          <w:bCs/>
          <w:color w:val="000000" w:themeColor="text1"/>
          <w:sz w:val="28"/>
          <w:szCs w:val="28"/>
          <w:lang w:val="es-ES" w:eastAsia="es-ES"/>
        </w:rPr>
        <w:t xml:space="preserve"> Á</w:t>
      </w:r>
      <w:r w:rsidRPr="002A793E">
        <w:rPr>
          <w:rFonts w:ascii="Times New Roman" w:eastAsia="Times New Roman" w:hAnsi="Times New Roman" w:cs="Times New Roman"/>
          <w:bCs/>
          <w:color w:val="000000" w:themeColor="text1"/>
          <w:sz w:val="28"/>
          <w:szCs w:val="28"/>
          <w:lang w:val="es-ES" w:eastAsia="es-ES"/>
        </w:rPr>
        <w:t>ngel</w:t>
      </w:r>
      <w:r w:rsidRPr="002A793E">
        <w:rPr>
          <w:rFonts w:ascii="Times New Roman" w:eastAsia="Times New Roman" w:hAnsi="Times New Roman" w:cs="Times New Roman"/>
          <w:bCs/>
          <w:color w:val="000000" w:themeColor="text1"/>
          <w:sz w:val="28"/>
          <w:szCs w:val="28"/>
          <w:lang w:val="es-ES" w:eastAsia="es-ES"/>
        </w:rPr>
        <w:t xml:space="preserve"> C</w:t>
      </w:r>
      <w:r w:rsidRPr="002A793E">
        <w:rPr>
          <w:rFonts w:ascii="Times New Roman" w:eastAsia="Times New Roman" w:hAnsi="Times New Roman" w:cs="Times New Roman"/>
          <w:bCs/>
          <w:color w:val="000000" w:themeColor="text1"/>
          <w:sz w:val="28"/>
          <w:szCs w:val="28"/>
          <w:lang w:val="es-ES" w:eastAsia="es-ES"/>
        </w:rPr>
        <w:t>abo</w:t>
      </w:r>
      <w:r w:rsidRPr="002A793E">
        <w:rPr>
          <w:rFonts w:ascii="Times New Roman" w:eastAsia="Times New Roman" w:hAnsi="Times New Roman" w:cs="Times New Roman"/>
          <w:bCs/>
          <w:color w:val="000000" w:themeColor="text1"/>
          <w:sz w:val="28"/>
          <w:szCs w:val="28"/>
          <w:lang w:val="es-ES" w:eastAsia="es-ES"/>
        </w:rPr>
        <w:t>.</w:t>
      </w:r>
    </w:p>
    <w:p w:rsidR="00852E35" w:rsidRPr="002A793E" w:rsidRDefault="002A793E" w:rsidP="00B55121">
      <w:pPr>
        <w:tabs>
          <w:tab w:val="left" w:pos="3544"/>
          <w:tab w:val="left" w:pos="4678"/>
        </w:tabs>
        <w:ind w:right="49"/>
        <w:contextualSpacing/>
        <w:rPr>
          <w:rFonts w:ascii="Times New Roman" w:eastAsia="Times New Roman" w:hAnsi="Times New Roman" w:cs="Times New Roman"/>
          <w:color w:val="000000" w:themeColor="text1"/>
          <w:sz w:val="28"/>
          <w:szCs w:val="28"/>
          <w:lang w:val="es-ES" w:eastAsia="es-ES"/>
        </w:rPr>
      </w:pPr>
    </w:p>
    <w:p w:rsidR="00852E35" w:rsidRPr="002A793E" w:rsidRDefault="002A793E" w:rsidP="00852E35">
      <w:pPr>
        <w:tabs>
          <w:tab w:val="left" w:pos="3544"/>
          <w:tab w:val="left" w:pos="4678"/>
        </w:tabs>
        <w:ind w:right="49"/>
        <w:contextualSpacing/>
        <w:rPr>
          <w:rFonts w:ascii="Times New Roman" w:eastAsia="Times New Roman" w:hAnsi="Times New Roman" w:cs="Times New Roman"/>
          <w:color w:val="000000" w:themeColor="text1"/>
          <w:sz w:val="28"/>
          <w:szCs w:val="28"/>
          <w:lang w:val="es-ES" w:eastAsia="es-ES"/>
        </w:rPr>
      </w:pPr>
      <w:r w:rsidRPr="002A793E">
        <w:rPr>
          <w:rFonts w:ascii="Times New Roman" w:eastAsia="Times New Roman" w:hAnsi="Times New Roman" w:cs="Times New Roman"/>
          <w:color w:val="000000" w:themeColor="text1"/>
          <w:sz w:val="28"/>
          <w:szCs w:val="28"/>
          <w:lang w:val="es-ES" w:eastAsia="es-ES"/>
        </w:rPr>
        <w:t xml:space="preserve">Bogotá, D. C. </w:t>
      </w:r>
      <w:r w:rsidRPr="002A793E">
        <w:rPr>
          <w:rFonts w:ascii="Times New Roman" w:eastAsia="Times New Roman" w:hAnsi="Times New Roman" w:cs="Times New Roman"/>
          <w:color w:val="000000" w:themeColor="text1"/>
          <w:sz w:val="28"/>
          <w:szCs w:val="28"/>
          <w:lang w:val="es-ES" w:eastAsia="es-ES"/>
        </w:rPr>
        <w:t>ocho (8) de agosto</w:t>
      </w:r>
      <w:r w:rsidRPr="002A793E">
        <w:rPr>
          <w:rFonts w:ascii="Times New Roman" w:eastAsia="Times New Roman" w:hAnsi="Times New Roman" w:cs="Times New Roman"/>
          <w:color w:val="000000" w:themeColor="text1"/>
          <w:sz w:val="28"/>
          <w:szCs w:val="28"/>
          <w:lang w:val="es-ES" w:eastAsia="es-ES"/>
        </w:rPr>
        <w:t xml:space="preserve"> de</w:t>
      </w:r>
      <w:r w:rsidRPr="002A793E">
        <w:rPr>
          <w:rFonts w:ascii="Times New Roman" w:eastAsia="Times New Roman" w:hAnsi="Times New Roman" w:cs="Times New Roman"/>
          <w:color w:val="000000" w:themeColor="text1"/>
          <w:sz w:val="28"/>
          <w:szCs w:val="28"/>
          <w:lang w:val="es-ES" w:eastAsia="es-ES"/>
        </w:rPr>
        <w:t xml:space="preserve"> dos mil veinti</w:t>
      </w:r>
      <w:r w:rsidRPr="002A793E">
        <w:rPr>
          <w:rFonts w:ascii="Times New Roman" w:eastAsia="Times New Roman" w:hAnsi="Times New Roman" w:cs="Times New Roman"/>
          <w:color w:val="000000" w:themeColor="text1"/>
          <w:sz w:val="28"/>
          <w:szCs w:val="28"/>
          <w:lang w:val="es-ES" w:eastAsia="es-ES"/>
        </w:rPr>
        <w:t>cuatro</w:t>
      </w:r>
      <w:r w:rsidRPr="002A793E">
        <w:rPr>
          <w:rFonts w:ascii="Times New Roman" w:eastAsia="Times New Roman" w:hAnsi="Times New Roman" w:cs="Times New Roman"/>
          <w:color w:val="000000" w:themeColor="text1"/>
          <w:sz w:val="28"/>
          <w:szCs w:val="28"/>
          <w:lang w:val="es-ES" w:eastAsia="es-ES"/>
        </w:rPr>
        <w:t xml:space="preserve"> (202</w:t>
      </w:r>
      <w:r w:rsidRPr="002A793E">
        <w:rPr>
          <w:rFonts w:ascii="Times New Roman" w:eastAsia="Times New Roman" w:hAnsi="Times New Roman" w:cs="Times New Roman"/>
          <w:color w:val="000000" w:themeColor="text1"/>
          <w:sz w:val="28"/>
          <w:szCs w:val="28"/>
          <w:lang w:val="es-ES" w:eastAsia="es-ES"/>
        </w:rPr>
        <w:t>4</w:t>
      </w:r>
      <w:r w:rsidRPr="002A793E">
        <w:rPr>
          <w:rFonts w:ascii="Times New Roman" w:eastAsia="Times New Roman" w:hAnsi="Times New Roman" w:cs="Times New Roman"/>
          <w:color w:val="000000" w:themeColor="text1"/>
          <w:sz w:val="28"/>
          <w:szCs w:val="28"/>
          <w:lang w:val="es-ES" w:eastAsia="es-ES"/>
        </w:rPr>
        <w:t>)</w:t>
      </w:r>
    </w:p>
    <w:p w:rsidR="00852E35" w:rsidRPr="002A793E" w:rsidRDefault="002A793E" w:rsidP="00852E35">
      <w:pPr>
        <w:tabs>
          <w:tab w:val="left" w:pos="2608"/>
        </w:tabs>
        <w:contextualSpacing/>
        <w:rPr>
          <w:rFonts w:ascii="Times New Roman" w:hAnsi="Times New Roman" w:cs="Times New Roman"/>
          <w:color w:val="000000" w:themeColor="text1"/>
          <w:sz w:val="28"/>
          <w:szCs w:val="28"/>
          <w:lang w:val="es-ES"/>
        </w:rPr>
      </w:pPr>
    </w:p>
    <w:p w:rsidR="00852E35" w:rsidRPr="002A793E" w:rsidRDefault="002A793E" w:rsidP="00852E35">
      <w:pPr>
        <w:tabs>
          <w:tab w:val="left" w:pos="2608"/>
        </w:tabs>
        <w:contextualSpacing/>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La Sala Plena de la Corte Constitucional, en ejercicio de sus atribuciones constitucionales y legales, en </w:t>
      </w:r>
      <w:r w:rsidRPr="002A793E">
        <w:rPr>
          <w:rFonts w:ascii="Times New Roman" w:hAnsi="Times New Roman" w:cs="Times New Roman"/>
          <w:color w:val="000000" w:themeColor="text1"/>
          <w:sz w:val="28"/>
          <w:szCs w:val="28"/>
          <w:lang w:val="es-ES"/>
        </w:rPr>
        <w:t>especial de las previstas en el numeral 4º del artículo 241 de la Constitución Política, y cumplidos todos los trámites y requisitos contemplados en el Decreto 2067 de 1991, profiere la siguiente:</w:t>
      </w:r>
    </w:p>
    <w:p w:rsidR="00852E35" w:rsidRPr="002A793E" w:rsidRDefault="002A793E" w:rsidP="00852E35">
      <w:pPr>
        <w:tabs>
          <w:tab w:val="left" w:pos="2608"/>
        </w:tabs>
        <w:contextualSpacing/>
        <w:rPr>
          <w:rFonts w:ascii="Times New Roman" w:hAnsi="Times New Roman" w:cs="Times New Roman"/>
          <w:color w:val="000000" w:themeColor="text1"/>
          <w:sz w:val="28"/>
          <w:szCs w:val="28"/>
          <w:lang w:val="es-ES"/>
        </w:rPr>
      </w:pPr>
    </w:p>
    <w:p w:rsidR="00852E35" w:rsidRPr="002A793E" w:rsidRDefault="002A793E" w:rsidP="00852E35">
      <w:pPr>
        <w:tabs>
          <w:tab w:val="left" w:pos="2608"/>
        </w:tabs>
        <w:contextualSpacing/>
        <w:jc w:val="center"/>
        <w:rPr>
          <w:rFonts w:ascii="Times New Roman" w:hAnsi="Times New Roman" w:cs="Times New Roman"/>
          <w:b/>
          <w:color w:val="000000" w:themeColor="text1"/>
          <w:sz w:val="28"/>
          <w:szCs w:val="28"/>
          <w:lang w:val="es-ES"/>
        </w:rPr>
      </w:pPr>
      <w:r w:rsidRPr="002A793E">
        <w:rPr>
          <w:rFonts w:ascii="Times New Roman" w:hAnsi="Times New Roman" w:cs="Times New Roman"/>
          <w:b/>
          <w:color w:val="000000" w:themeColor="text1"/>
          <w:sz w:val="28"/>
          <w:szCs w:val="28"/>
          <w:lang w:val="es-ES"/>
        </w:rPr>
        <w:t>SENTENCIA.</w:t>
      </w:r>
    </w:p>
    <w:p w:rsidR="00D734EC" w:rsidRPr="002A793E" w:rsidRDefault="002A793E" w:rsidP="00852E35">
      <w:pPr>
        <w:tabs>
          <w:tab w:val="left" w:pos="2608"/>
        </w:tabs>
        <w:contextualSpacing/>
        <w:jc w:val="center"/>
        <w:rPr>
          <w:rFonts w:ascii="Times New Roman" w:hAnsi="Times New Roman" w:cs="Times New Roman"/>
          <w:b/>
          <w:color w:val="000000" w:themeColor="text1"/>
          <w:sz w:val="28"/>
          <w:szCs w:val="28"/>
          <w:lang w:val="es-ES"/>
        </w:rPr>
      </w:pPr>
    </w:p>
    <w:p w:rsidR="00D734EC" w:rsidRPr="002A793E" w:rsidRDefault="002A793E" w:rsidP="00D734EC">
      <w:pPr>
        <w:tabs>
          <w:tab w:val="left" w:pos="2608"/>
        </w:tabs>
        <w:contextualSpacing/>
        <w:rPr>
          <w:rFonts w:ascii="Times New Roman" w:hAnsi="Times New Roman" w:cs="Times New Roman"/>
          <w:b/>
          <w:color w:val="000000" w:themeColor="text1"/>
          <w:sz w:val="28"/>
          <w:szCs w:val="28"/>
          <w:lang w:val="es-ES"/>
        </w:rPr>
      </w:pPr>
      <w:r w:rsidRPr="002A793E">
        <w:rPr>
          <w:rFonts w:ascii="Times New Roman" w:hAnsi="Times New Roman" w:cs="Times New Roman"/>
          <w:b/>
          <w:color w:val="000000" w:themeColor="text1"/>
          <w:sz w:val="28"/>
          <w:szCs w:val="28"/>
          <w:lang w:val="es-ES"/>
        </w:rPr>
        <w:t>Síntesis de la decisión</w:t>
      </w:r>
    </w:p>
    <w:p w:rsidR="00D734EC" w:rsidRPr="002A793E" w:rsidRDefault="002A793E" w:rsidP="00D734EC">
      <w:pPr>
        <w:tabs>
          <w:tab w:val="left" w:pos="2608"/>
        </w:tabs>
        <w:contextualSpacing/>
        <w:rPr>
          <w:rFonts w:ascii="Times New Roman" w:hAnsi="Times New Roman" w:cs="Times New Roman"/>
          <w:bCs/>
          <w:color w:val="000000" w:themeColor="text1"/>
          <w:sz w:val="28"/>
          <w:szCs w:val="28"/>
          <w:lang w:val="es-ES"/>
        </w:rPr>
      </w:pPr>
    </w:p>
    <w:p w:rsidR="00D734EC" w:rsidRPr="002A793E" w:rsidRDefault="002A793E" w:rsidP="00696A23">
      <w:pPr>
        <w:tabs>
          <w:tab w:val="left" w:pos="2608"/>
        </w:tabs>
        <w:contextualSpacing/>
        <w:rPr>
          <w:rFonts w:ascii="Times New Roman" w:hAnsi="Times New Roman" w:cs="Times New Roman"/>
          <w:color w:val="000000" w:themeColor="text1"/>
          <w:sz w:val="28"/>
          <w:szCs w:val="28"/>
          <w:lang w:val="es-ES"/>
        </w:rPr>
      </w:pPr>
      <w:r w:rsidRPr="002A793E">
        <w:rPr>
          <w:rFonts w:ascii="Times New Roman" w:hAnsi="Times New Roman" w:cs="Times New Roman"/>
          <w:bCs/>
          <w:color w:val="000000" w:themeColor="text1"/>
          <w:sz w:val="28"/>
          <w:szCs w:val="28"/>
          <w:lang w:val="es-ES"/>
        </w:rPr>
        <w:t xml:space="preserve">La Corte Constitucional analizó una demanda de inconstitucionalidad en contra del numeral 6 (parcial) y </w:t>
      </w:r>
      <w:r w:rsidRPr="002A793E">
        <w:rPr>
          <w:rFonts w:ascii="Times New Roman" w:hAnsi="Times New Roman" w:cs="Times New Roman"/>
          <w:bCs/>
          <w:color w:val="000000" w:themeColor="text1"/>
          <w:sz w:val="28"/>
          <w:szCs w:val="28"/>
          <w:lang w:val="es-ES"/>
        </w:rPr>
        <w:t>d</w:t>
      </w:r>
      <w:r w:rsidRPr="002A793E">
        <w:rPr>
          <w:rFonts w:ascii="Times New Roman" w:hAnsi="Times New Roman" w:cs="Times New Roman"/>
          <w:bCs/>
          <w:color w:val="000000" w:themeColor="text1"/>
          <w:sz w:val="28"/>
          <w:szCs w:val="28"/>
          <w:lang w:val="es-ES"/>
        </w:rPr>
        <w:t xml:space="preserve">el parágrafo 3 del artículo 61 de la Ley 2294 de 2023, “[p]or </w:t>
      </w:r>
      <w:r w:rsidRPr="002A793E">
        <w:rPr>
          <w:rFonts w:ascii="Times New Roman" w:hAnsi="Times New Roman" w:cs="Times New Roman"/>
          <w:bCs/>
          <w:color w:val="000000" w:themeColor="text1"/>
          <w:sz w:val="28"/>
          <w:szCs w:val="28"/>
          <w:lang w:val="es-ES"/>
        </w:rPr>
        <w:t>el</w:t>
      </w:r>
      <w:r w:rsidRPr="002A793E">
        <w:rPr>
          <w:rFonts w:ascii="Times New Roman" w:hAnsi="Times New Roman" w:cs="Times New Roman"/>
          <w:bCs/>
          <w:color w:val="000000" w:themeColor="text1"/>
          <w:sz w:val="28"/>
          <w:szCs w:val="28"/>
          <w:lang w:val="es-ES"/>
        </w:rPr>
        <w:t xml:space="preserve"> </w:t>
      </w:r>
      <w:r w:rsidRPr="002A793E">
        <w:rPr>
          <w:rFonts w:ascii="Times New Roman" w:hAnsi="Times New Roman" w:cs="Times New Roman"/>
          <w:bCs/>
          <w:color w:val="000000" w:themeColor="text1"/>
          <w:sz w:val="28"/>
          <w:szCs w:val="28"/>
          <w:lang w:val="es-ES"/>
        </w:rPr>
        <w:t xml:space="preserve">cual se expide el Plan Nacional de Desarrollo 2022-2026 ‘Colombia Potencia Mundial de </w:t>
      </w:r>
      <w:r w:rsidRPr="002A793E">
        <w:rPr>
          <w:rFonts w:ascii="Times New Roman" w:hAnsi="Times New Roman" w:cs="Times New Roman"/>
          <w:bCs/>
          <w:color w:val="000000" w:themeColor="text1"/>
          <w:sz w:val="28"/>
          <w:szCs w:val="28"/>
          <w:lang w:val="es-ES"/>
        </w:rPr>
        <w:t xml:space="preserve">la Vida’”. El accionante solicitó a la Corte Constitucional declarar la inexequibilidad de las disposiciones acusadas por la vulneración de los principios de publicidad </w:t>
      </w:r>
      <w:r w:rsidRPr="002A793E">
        <w:rPr>
          <w:rFonts w:ascii="Times New Roman" w:hAnsi="Times New Roman" w:cs="Times New Roman"/>
          <w:bCs/>
          <w:color w:val="000000" w:themeColor="text1"/>
          <w:sz w:val="28"/>
          <w:szCs w:val="28"/>
          <w:lang w:val="es-ES"/>
        </w:rPr>
        <w:t xml:space="preserve">y de unidad de materia, </w:t>
      </w:r>
      <w:r w:rsidRPr="002A793E">
        <w:rPr>
          <w:rFonts w:ascii="Times New Roman" w:hAnsi="Times New Roman" w:cs="Times New Roman"/>
          <w:sz w:val="28"/>
          <w:szCs w:val="28"/>
          <w:lang w:val="es-ES"/>
        </w:rPr>
        <w:t>de los derechos de acceso a la administración de justicia, a la</w:t>
      </w:r>
      <w:r w:rsidRPr="002A793E">
        <w:rPr>
          <w:rFonts w:ascii="Times New Roman" w:hAnsi="Times New Roman" w:cs="Times New Roman"/>
          <w:sz w:val="28"/>
          <w:szCs w:val="28"/>
          <w:lang w:val="es-ES"/>
        </w:rPr>
        <w:t xml:space="preserve"> tutela judicial efectiva y a la propiedad privada, </w:t>
      </w:r>
      <w:r w:rsidRPr="002A793E">
        <w:rPr>
          <w:rFonts w:ascii="Times New Roman" w:hAnsi="Times New Roman" w:cs="Times New Roman"/>
          <w:sz w:val="28"/>
          <w:szCs w:val="28"/>
          <w:lang w:val="es-ES"/>
        </w:rPr>
        <w:t xml:space="preserve">al igual que </w:t>
      </w:r>
      <w:r w:rsidRPr="002A793E">
        <w:rPr>
          <w:rFonts w:ascii="Times New Roman" w:hAnsi="Times New Roman" w:cs="Times New Roman"/>
          <w:color w:val="000000" w:themeColor="text1"/>
          <w:sz w:val="28"/>
          <w:szCs w:val="28"/>
          <w:lang w:val="es-ES"/>
        </w:rPr>
        <w:t>del principio de progresividad y de la prohibición de regresividad</w:t>
      </w:r>
      <w:r w:rsidRPr="002A793E">
        <w:rPr>
          <w:rFonts w:ascii="Times New Roman" w:hAnsi="Times New Roman" w:cs="Times New Roman"/>
          <w:color w:val="000000" w:themeColor="text1"/>
          <w:sz w:val="28"/>
          <w:szCs w:val="28"/>
          <w:lang w:val="es-ES"/>
        </w:rPr>
        <w:t xml:space="preserve">. </w:t>
      </w:r>
    </w:p>
    <w:p w:rsidR="00696A23" w:rsidRPr="002A793E" w:rsidRDefault="002A793E" w:rsidP="00696A23">
      <w:pPr>
        <w:tabs>
          <w:tab w:val="left" w:pos="2608"/>
        </w:tabs>
        <w:contextualSpacing/>
        <w:rPr>
          <w:rFonts w:ascii="Times New Roman" w:hAnsi="Times New Roman" w:cs="Times New Roman"/>
          <w:color w:val="000000" w:themeColor="text1"/>
          <w:sz w:val="28"/>
          <w:szCs w:val="28"/>
          <w:lang w:val="es-ES"/>
        </w:rPr>
      </w:pPr>
    </w:p>
    <w:p w:rsidR="00696A23" w:rsidRPr="002A793E" w:rsidRDefault="002A793E" w:rsidP="00696A23">
      <w:pPr>
        <w:tabs>
          <w:tab w:val="left" w:pos="2608"/>
        </w:tabs>
        <w:contextualSpacing/>
        <w:rPr>
          <w:rFonts w:ascii="Times New Roman" w:hAnsi="Times New Roman" w:cs="Times New Roman"/>
          <w:sz w:val="28"/>
          <w:szCs w:val="28"/>
          <w:lang w:val="es-ES"/>
        </w:rPr>
      </w:pPr>
      <w:r w:rsidRPr="002A793E">
        <w:rPr>
          <w:rFonts w:ascii="Times New Roman" w:hAnsi="Times New Roman" w:cs="Times New Roman"/>
          <w:sz w:val="28"/>
          <w:szCs w:val="28"/>
          <w:lang w:val="es-ES"/>
        </w:rPr>
        <w:t>Tras reiterar su jurisprudencia sobre la cosa juzgada constitucional, la Sala destacó que, en la sentencia C-294 de 2024,</w:t>
      </w:r>
      <w:r w:rsidRPr="002A793E">
        <w:rPr>
          <w:rFonts w:ascii="Times New Roman" w:hAnsi="Times New Roman" w:cs="Times New Roman"/>
          <w:sz w:val="28"/>
          <w:szCs w:val="28"/>
          <w:lang w:val="es-ES"/>
        </w:rPr>
        <w:t xml:space="preserve"> la Corte declaró la inexequibilidad del numeral 6 y del parágrafo 3 del artículo 61 de la Ley 2294 de 20</w:t>
      </w:r>
      <w:r w:rsidRPr="002A793E">
        <w:rPr>
          <w:rFonts w:ascii="Times New Roman" w:hAnsi="Times New Roman" w:cs="Times New Roman"/>
          <w:sz w:val="28"/>
          <w:szCs w:val="28"/>
          <w:lang w:val="es-ES"/>
        </w:rPr>
        <w:t>2</w:t>
      </w:r>
      <w:r w:rsidRPr="002A793E">
        <w:rPr>
          <w:rFonts w:ascii="Times New Roman" w:hAnsi="Times New Roman" w:cs="Times New Roman"/>
          <w:sz w:val="28"/>
          <w:szCs w:val="28"/>
          <w:lang w:val="es-ES"/>
        </w:rPr>
        <w:t xml:space="preserve">3. Por lo tanto, tras confirmar </w:t>
      </w:r>
      <w:r w:rsidRPr="002A793E">
        <w:rPr>
          <w:rFonts w:ascii="Times New Roman" w:hAnsi="Times New Roman" w:cs="Times New Roman"/>
          <w:sz w:val="28"/>
          <w:szCs w:val="28"/>
          <w:lang w:val="es-ES"/>
        </w:rPr>
        <w:t xml:space="preserve">que se produjo el fenómeno de la </w:t>
      </w:r>
      <w:r w:rsidRPr="002A793E">
        <w:rPr>
          <w:rFonts w:ascii="Times New Roman" w:hAnsi="Times New Roman" w:cs="Times New Roman"/>
          <w:sz w:val="28"/>
          <w:szCs w:val="28"/>
          <w:lang w:val="es-ES"/>
        </w:rPr>
        <w:t>cosa juzgada formal y</w:t>
      </w:r>
      <w:r w:rsidRPr="002A793E">
        <w:rPr>
          <w:rFonts w:ascii="Times New Roman" w:hAnsi="Times New Roman" w:cs="Times New Roman"/>
          <w:sz w:val="28"/>
          <w:szCs w:val="28"/>
          <w:lang w:val="es-ES"/>
        </w:rPr>
        <w:t xml:space="preserve"> absoluta y</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 xml:space="preserve">que las normas acusadas </w:t>
      </w:r>
      <w:r w:rsidRPr="002A793E">
        <w:rPr>
          <w:rFonts w:ascii="Times New Roman" w:hAnsi="Times New Roman" w:cs="Times New Roman"/>
          <w:sz w:val="28"/>
          <w:szCs w:val="28"/>
          <w:lang w:val="es-ES"/>
        </w:rPr>
        <w:t xml:space="preserve">en esta ocasión </w:t>
      </w:r>
      <w:r w:rsidRPr="002A793E">
        <w:rPr>
          <w:rFonts w:ascii="Times New Roman" w:hAnsi="Times New Roman" w:cs="Times New Roman"/>
          <w:sz w:val="28"/>
          <w:szCs w:val="28"/>
          <w:lang w:val="es-ES"/>
        </w:rPr>
        <w:t>fueron expul</w:t>
      </w:r>
      <w:r w:rsidRPr="002A793E">
        <w:rPr>
          <w:rFonts w:ascii="Times New Roman" w:hAnsi="Times New Roman" w:cs="Times New Roman"/>
          <w:sz w:val="28"/>
          <w:szCs w:val="28"/>
          <w:lang w:val="es-ES"/>
        </w:rPr>
        <w:t xml:space="preserve">sadas del </w:t>
      </w:r>
      <w:r w:rsidRPr="002A793E">
        <w:rPr>
          <w:rFonts w:ascii="Times New Roman" w:hAnsi="Times New Roman" w:cs="Times New Roman"/>
          <w:sz w:val="28"/>
          <w:szCs w:val="28"/>
          <w:lang w:val="es-ES"/>
        </w:rPr>
        <w:t>ordenamiento jurídico, la Sala decidió estarse a lo resuelto en dicha providencia.</w:t>
      </w:r>
      <w:r w:rsidRPr="002A793E">
        <w:rPr>
          <w:rFonts w:ascii="Times New Roman" w:hAnsi="Times New Roman" w:cs="Times New Roman"/>
          <w:sz w:val="28"/>
          <w:szCs w:val="28"/>
          <w:lang w:val="es-ES"/>
        </w:rPr>
        <w:t xml:space="preserve"> </w:t>
      </w:r>
    </w:p>
    <w:p w:rsidR="00D734EC" w:rsidRPr="002A793E" w:rsidRDefault="002A793E" w:rsidP="00D734EC">
      <w:pPr>
        <w:tabs>
          <w:tab w:val="left" w:pos="2608"/>
        </w:tabs>
        <w:contextualSpacing/>
        <w:rPr>
          <w:rFonts w:ascii="Times New Roman" w:hAnsi="Times New Roman" w:cs="Times New Roman"/>
          <w:bCs/>
          <w:color w:val="000000" w:themeColor="text1"/>
          <w:sz w:val="28"/>
          <w:szCs w:val="28"/>
          <w:lang w:val="es-ES"/>
        </w:rPr>
      </w:pPr>
    </w:p>
    <w:p w:rsidR="00D734EC" w:rsidRPr="002A793E" w:rsidRDefault="002A793E" w:rsidP="00D734EC">
      <w:pPr>
        <w:tabs>
          <w:tab w:val="left" w:pos="2608"/>
        </w:tabs>
        <w:contextualSpacing/>
        <w:rPr>
          <w:rFonts w:ascii="Times New Roman" w:hAnsi="Times New Roman" w:cs="Times New Roman"/>
          <w:bCs/>
          <w:color w:val="000000" w:themeColor="text1"/>
          <w:sz w:val="28"/>
          <w:szCs w:val="28"/>
          <w:lang w:val="es-ES"/>
        </w:rPr>
      </w:pPr>
    </w:p>
    <w:p w:rsidR="00852E35" w:rsidRPr="002A793E" w:rsidRDefault="002A793E" w:rsidP="00852E35">
      <w:pPr>
        <w:pStyle w:val="Sinespaciado"/>
        <w:rPr>
          <w:rFonts w:ascii="Times New Roman" w:hAnsi="Times New Roman"/>
          <w:sz w:val="28"/>
          <w:szCs w:val="28"/>
          <w:lang w:val="es-ES"/>
        </w:rPr>
      </w:pPr>
    </w:p>
    <w:p w:rsidR="00852E35" w:rsidRPr="002A793E" w:rsidRDefault="002A793E" w:rsidP="00B05DAD">
      <w:pPr>
        <w:pStyle w:val="Prrafodelista"/>
        <w:numPr>
          <w:ilvl w:val="0"/>
          <w:numId w:val="1"/>
        </w:numPr>
        <w:rPr>
          <w:rFonts w:ascii="Times New Roman" w:hAnsi="Times New Roman" w:cs="Times New Roman"/>
          <w:b/>
          <w:bCs/>
          <w:color w:val="000000" w:themeColor="text1"/>
          <w:sz w:val="28"/>
          <w:szCs w:val="28"/>
          <w:lang w:val="es-ES"/>
        </w:rPr>
      </w:pPr>
      <w:r w:rsidRPr="002A793E">
        <w:rPr>
          <w:rFonts w:ascii="Times New Roman" w:hAnsi="Times New Roman" w:cs="Times New Roman"/>
          <w:b/>
          <w:bCs/>
          <w:color w:val="000000" w:themeColor="text1"/>
          <w:sz w:val="28"/>
          <w:szCs w:val="28"/>
          <w:lang w:val="es-ES"/>
        </w:rPr>
        <w:t>ANTECEDENTES</w:t>
      </w:r>
    </w:p>
    <w:p w:rsidR="00852E35" w:rsidRPr="002A793E" w:rsidRDefault="002A793E" w:rsidP="00852E35">
      <w:pPr>
        <w:pStyle w:val="Sinespaciado"/>
        <w:rPr>
          <w:rFonts w:ascii="Times New Roman" w:hAnsi="Times New Roman"/>
          <w:sz w:val="28"/>
          <w:szCs w:val="28"/>
          <w:lang w:val="es-ES"/>
        </w:rPr>
      </w:pPr>
    </w:p>
    <w:p w:rsidR="00AC7FC5" w:rsidRPr="002A793E" w:rsidRDefault="002A793E" w:rsidP="00AC7FC5">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En ejercicio de la acción pública de inconstitucionalidad, consagrada en el artículo 241 de la Constitución Política, Iris Lizzette Buitrago Almanza y Humberto Sierra Porto presentaron, de manera independiente, demandas de inconstitucionalidad en contra de</w:t>
      </w:r>
      <w:r w:rsidRPr="002A793E">
        <w:rPr>
          <w:rFonts w:ascii="Times New Roman" w:hAnsi="Times New Roman" w:cs="Times New Roman"/>
          <w:color w:val="000000" w:themeColor="text1"/>
          <w:sz w:val="28"/>
          <w:szCs w:val="28"/>
          <w:lang w:val="es-ES"/>
        </w:rPr>
        <w:t xml:space="preserve">l </w:t>
      </w:r>
      <w:r w:rsidRPr="002A793E">
        <w:rPr>
          <w:rFonts w:ascii="Times New Roman" w:hAnsi="Times New Roman" w:cs="Times New Roman"/>
          <w:color w:val="000000" w:themeColor="text1"/>
          <w:sz w:val="28"/>
          <w:szCs w:val="28"/>
          <w:lang w:val="es-ES"/>
        </w:rPr>
        <w:t xml:space="preserve">numeral 6 parcial y el parágrafo 3 del </w:t>
      </w:r>
      <w:r w:rsidRPr="002A793E">
        <w:rPr>
          <w:rFonts w:ascii="Times New Roman" w:hAnsi="Times New Roman" w:cs="Times New Roman"/>
          <w:color w:val="000000" w:themeColor="text1"/>
          <w:sz w:val="28"/>
          <w:szCs w:val="28"/>
          <w:lang w:val="es-ES"/>
        </w:rPr>
        <w:t xml:space="preserve">artículo 61 </w:t>
      </w:r>
      <w:r w:rsidRPr="002A793E">
        <w:rPr>
          <w:rFonts w:ascii="Times New Roman" w:hAnsi="Times New Roman" w:cs="Times New Roman"/>
          <w:color w:val="000000" w:themeColor="text1"/>
          <w:sz w:val="28"/>
          <w:szCs w:val="28"/>
          <w:lang w:val="es-ES"/>
        </w:rPr>
        <w:t xml:space="preserve">parcial </w:t>
      </w:r>
      <w:r w:rsidRPr="002A793E">
        <w:rPr>
          <w:rFonts w:ascii="Times New Roman" w:hAnsi="Times New Roman" w:cs="Times New Roman"/>
          <w:color w:val="000000" w:themeColor="text1"/>
          <w:sz w:val="28"/>
          <w:szCs w:val="28"/>
          <w:lang w:val="es-ES"/>
        </w:rPr>
        <w:t xml:space="preserve">de la Ley 2294 de 2023. </w:t>
      </w:r>
    </w:p>
    <w:p w:rsidR="00AC7FC5" w:rsidRPr="002A793E" w:rsidRDefault="002A793E" w:rsidP="00AC7FC5">
      <w:pPr>
        <w:pStyle w:val="Prrafodelista"/>
        <w:ind w:left="0"/>
        <w:rPr>
          <w:rFonts w:ascii="Times New Roman" w:hAnsi="Times New Roman" w:cs="Times New Roman"/>
          <w:color w:val="000000" w:themeColor="text1"/>
          <w:sz w:val="28"/>
          <w:szCs w:val="28"/>
          <w:lang w:val="es-ES"/>
        </w:rPr>
      </w:pPr>
    </w:p>
    <w:p w:rsidR="00AC7FC5" w:rsidRPr="002A793E" w:rsidRDefault="002A793E" w:rsidP="00B62B9A">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El ciudadano Sierra Porto (expediente D-15481) demandó el numeral </w:t>
      </w:r>
      <w:r w:rsidRPr="002A793E">
        <w:rPr>
          <w:rFonts w:ascii="Times New Roman" w:hAnsi="Times New Roman" w:cs="Times New Roman"/>
          <w:color w:val="000000" w:themeColor="text1"/>
          <w:sz w:val="28"/>
          <w:szCs w:val="28"/>
          <w:lang w:val="es-ES"/>
        </w:rPr>
        <w:t>sexto</w:t>
      </w:r>
      <w:r w:rsidRPr="002A793E">
        <w:rPr>
          <w:rFonts w:ascii="Times New Roman" w:hAnsi="Times New Roman" w:cs="Times New Roman"/>
          <w:color w:val="000000" w:themeColor="text1"/>
          <w:sz w:val="28"/>
          <w:szCs w:val="28"/>
          <w:lang w:val="es-ES"/>
        </w:rPr>
        <w:t xml:space="preserve"> parcial</w:t>
      </w:r>
      <w:r w:rsidRPr="002A793E">
        <w:rPr>
          <w:rFonts w:ascii="Times New Roman" w:hAnsi="Times New Roman" w:cs="Times New Roman"/>
          <w:color w:val="000000" w:themeColor="text1"/>
          <w:sz w:val="28"/>
          <w:szCs w:val="28"/>
          <w:lang w:val="es-ES"/>
        </w:rPr>
        <w:t xml:space="preserve"> y el parágrafo tercero </w:t>
      </w:r>
      <w:r w:rsidRPr="002A793E">
        <w:rPr>
          <w:rFonts w:ascii="Times New Roman" w:hAnsi="Times New Roman" w:cs="Times New Roman"/>
          <w:color w:val="000000" w:themeColor="text1"/>
          <w:sz w:val="28"/>
          <w:szCs w:val="28"/>
          <w:lang w:val="es-ES"/>
        </w:rPr>
        <w:t>del artículo 61 de la Ley 2294 de 2023</w:t>
      </w:r>
      <w:r w:rsidRPr="002A793E">
        <w:rPr>
          <w:rFonts w:ascii="Times New Roman" w:hAnsi="Times New Roman" w:cs="Times New Roman"/>
          <w:color w:val="000000" w:themeColor="text1"/>
          <w:sz w:val="28"/>
          <w:szCs w:val="28"/>
          <w:lang w:val="es-ES"/>
        </w:rPr>
        <w:t xml:space="preserve">, por resultar contrarios a </w:t>
      </w:r>
      <w:r w:rsidRPr="002A793E">
        <w:rPr>
          <w:rFonts w:ascii="Times New Roman" w:hAnsi="Times New Roman" w:cs="Times New Roman"/>
          <w:color w:val="000000" w:themeColor="text1"/>
          <w:sz w:val="28"/>
          <w:szCs w:val="28"/>
          <w:lang w:val="es-ES"/>
        </w:rPr>
        <w:t>diversos principios</w:t>
      </w:r>
      <w:r w:rsidRPr="002A793E">
        <w:rPr>
          <w:rFonts w:ascii="Times New Roman" w:hAnsi="Times New Roman" w:cs="Times New Roman"/>
          <w:color w:val="000000" w:themeColor="text1"/>
          <w:sz w:val="28"/>
          <w:szCs w:val="28"/>
          <w:lang w:val="es-ES"/>
        </w:rPr>
        <w:t xml:space="preserve"> y derechos constitucionales </w:t>
      </w:r>
      <w:r w:rsidRPr="002A793E">
        <w:rPr>
          <w:rFonts w:ascii="Times New Roman" w:hAnsi="Times New Roman" w:cs="Times New Roman"/>
          <w:sz w:val="28"/>
          <w:szCs w:val="28"/>
          <w:lang w:val="es-ES"/>
        </w:rPr>
        <w:t>En concreto, el ciudadano presentó cinco cargos de inconstitucionalidad</w:t>
      </w:r>
      <w:r w:rsidRPr="002A793E">
        <w:rPr>
          <w:rStyle w:val="Refdenotaalpie"/>
          <w:rFonts w:ascii="Times New Roman" w:hAnsi="Times New Roman" w:cs="Times New Roman"/>
          <w:sz w:val="28"/>
          <w:szCs w:val="28"/>
          <w:lang w:val="es-ES"/>
        </w:rPr>
        <w:footnoteReference w:id="1"/>
      </w:r>
      <w:r w:rsidRPr="002A793E">
        <w:rPr>
          <w:rFonts w:ascii="Times New Roman" w:hAnsi="Times New Roman" w:cs="Times New Roman"/>
          <w:sz w:val="28"/>
          <w:szCs w:val="28"/>
          <w:lang w:val="es-ES"/>
        </w:rPr>
        <w:t xml:space="preserve">. </w:t>
      </w:r>
      <w:bookmarkStart w:id="3" w:name="_Hlk163477895"/>
      <w:r w:rsidRPr="002A793E">
        <w:rPr>
          <w:rFonts w:ascii="Times New Roman" w:hAnsi="Times New Roman" w:cs="Times New Roman"/>
          <w:sz w:val="28"/>
          <w:szCs w:val="28"/>
          <w:lang w:val="es-ES"/>
        </w:rPr>
        <w:t xml:space="preserve">El primero, </w:t>
      </w:r>
      <w:r w:rsidRPr="002A793E">
        <w:rPr>
          <w:rFonts w:ascii="Times New Roman" w:hAnsi="Times New Roman" w:cs="Times New Roman"/>
          <w:sz w:val="28"/>
          <w:szCs w:val="28"/>
          <w:lang w:val="es-ES"/>
        </w:rPr>
        <w:t>la violación del principio de publicidad del trámite legislativo</w:t>
      </w:r>
      <w:r w:rsidRPr="002A793E">
        <w:rPr>
          <w:rStyle w:val="Refdenotaalpie"/>
          <w:rFonts w:ascii="Times New Roman" w:hAnsi="Times New Roman" w:cs="Times New Roman"/>
          <w:sz w:val="28"/>
          <w:szCs w:val="28"/>
          <w:lang w:val="es-ES"/>
        </w:rPr>
        <w:footnoteReference w:id="2"/>
      </w:r>
      <w:r w:rsidRPr="002A793E">
        <w:rPr>
          <w:rFonts w:ascii="Times New Roman" w:hAnsi="Times New Roman" w:cs="Times New Roman"/>
          <w:sz w:val="28"/>
          <w:szCs w:val="28"/>
          <w:lang w:val="es-ES"/>
        </w:rPr>
        <w:t xml:space="preserve">. El segundo, la violación del principio de unidad de </w:t>
      </w:r>
      <w:r w:rsidRPr="002A793E">
        <w:rPr>
          <w:rFonts w:ascii="Times New Roman" w:hAnsi="Times New Roman" w:cs="Times New Roman"/>
          <w:sz w:val="28"/>
          <w:szCs w:val="28"/>
          <w:lang w:val="es-ES"/>
        </w:rPr>
        <w:t>materia</w:t>
      </w:r>
      <w:r w:rsidRPr="002A793E">
        <w:rPr>
          <w:rStyle w:val="Refdenotaalpie"/>
          <w:rFonts w:ascii="Times New Roman" w:hAnsi="Times New Roman" w:cs="Times New Roman"/>
          <w:sz w:val="28"/>
          <w:szCs w:val="28"/>
          <w:lang w:val="es-ES"/>
        </w:rPr>
        <w:footnoteReference w:id="3"/>
      </w:r>
      <w:r w:rsidRPr="002A793E">
        <w:rPr>
          <w:rFonts w:ascii="Times New Roman" w:hAnsi="Times New Roman" w:cs="Times New Roman"/>
          <w:sz w:val="28"/>
          <w:szCs w:val="28"/>
          <w:lang w:val="es-ES"/>
        </w:rPr>
        <w:t>. El tercero, la violación del derecho de acceso a la administración de justicia, a la tutela judicial efectiva y a la propiedad privada</w:t>
      </w:r>
      <w:r w:rsidRPr="002A793E">
        <w:rPr>
          <w:rStyle w:val="Refdenotaalpie"/>
          <w:rFonts w:ascii="Times New Roman" w:hAnsi="Times New Roman" w:cs="Times New Roman"/>
          <w:sz w:val="28"/>
          <w:szCs w:val="28"/>
          <w:lang w:val="es-ES"/>
        </w:rPr>
        <w:footnoteReference w:id="4"/>
      </w:r>
      <w:r w:rsidRPr="002A793E">
        <w:rPr>
          <w:rFonts w:ascii="Times New Roman" w:hAnsi="Times New Roman" w:cs="Times New Roman"/>
          <w:sz w:val="28"/>
          <w:szCs w:val="28"/>
          <w:lang w:val="es-ES"/>
        </w:rPr>
        <w:t>. El cuarto, la violación de la prohibición de regresividad de los derechos económicos, sociales y culturales</w:t>
      </w:r>
      <w:r w:rsidRPr="002A793E">
        <w:rPr>
          <w:rStyle w:val="Refdenotaalpie"/>
          <w:rFonts w:ascii="Times New Roman" w:hAnsi="Times New Roman" w:cs="Times New Roman"/>
          <w:sz w:val="28"/>
          <w:szCs w:val="28"/>
          <w:lang w:val="es-ES"/>
        </w:rPr>
        <w:footnoteReference w:id="5"/>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El cargo quinto, </w:t>
      </w:r>
      <w:r w:rsidRPr="002A793E">
        <w:rPr>
          <w:rFonts w:ascii="Times New Roman" w:hAnsi="Times New Roman" w:cs="Times New Roman"/>
          <w:sz w:val="28"/>
          <w:szCs w:val="28"/>
          <w:lang w:val="es-ES"/>
        </w:rPr>
        <w:t>la violación del derecho a la consulta previa de las comunidades indígenas, las comunidades negras,</w:t>
      </w:r>
      <w:r w:rsidRPr="002A793E">
        <w:rPr>
          <w:rFonts w:ascii="Times New Roman" w:hAnsi="Times New Roman" w:cs="Times New Roman"/>
          <w:sz w:val="28"/>
          <w:szCs w:val="28"/>
          <w:lang w:val="es-ES"/>
        </w:rPr>
        <w:t xml:space="preserve"> y</w:t>
      </w:r>
      <w:r w:rsidRPr="002A793E">
        <w:rPr>
          <w:rFonts w:ascii="Times New Roman" w:hAnsi="Times New Roman" w:cs="Times New Roman"/>
          <w:sz w:val="28"/>
          <w:szCs w:val="28"/>
          <w:lang w:val="es-ES"/>
        </w:rPr>
        <w:t xml:space="preserve"> las comunidades ROM y palenqueras</w:t>
      </w:r>
      <w:r w:rsidRPr="002A793E">
        <w:rPr>
          <w:rStyle w:val="Refdenotaalpie"/>
          <w:rFonts w:ascii="Times New Roman" w:hAnsi="Times New Roman" w:cs="Times New Roman"/>
          <w:sz w:val="28"/>
          <w:szCs w:val="28"/>
          <w:lang w:val="es-ES"/>
        </w:rPr>
        <w:footnoteReference w:id="6"/>
      </w:r>
      <w:r w:rsidRPr="002A793E">
        <w:rPr>
          <w:rFonts w:ascii="Times New Roman" w:hAnsi="Times New Roman" w:cs="Times New Roman"/>
          <w:sz w:val="28"/>
          <w:szCs w:val="28"/>
          <w:lang w:val="es-ES"/>
        </w:rPr>
        <w:t xml:space="preserve">. </w:t>
      </w:r>
      <w:bookmarkEnd w:id="3"/>
    </w:p>
    <w:p w:rsidR="00AF7BE1" w:rsidRPr="002A793E" w:rsidRDefault="002A793E" w:rsidP="00AF7BE1">
      <w:pPr>
        <w:pStyle w:val="Prrafodelista"/>
        <w:ind w:left="0"/>
        <w:rPr>
          <w:rFonts w:ascii="Times New Roman" w:hAnsi="Times New Roman" w:cs="Times New Roman"/>
          <w:color w:val="000000" w:themeColor="text1"/>
          <w:sz w:val="28"/>
          <w:szCs w:val="28"/>
          <w:lang w:val="es-ES"/>
        </w:rPr>
      </w:pPr>
    </w:p>
    <w:p w:rsidR="00AC7FC5" w:rsidRPr="002A793E" w:rsidRDefault="002A793E" w:rsidP="00AC7FC5">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Por su parte, la señora Buitrago Almanza (expediente D-15470) demandó los incisos 1, 2, 3 y 6 del </w:t>
      </w:r>
      <w:r w:rsidRPr="002A793E">
        <w:rPr>
          <w:rFonts w:ascii="Times New Roman" w:hAnsi="Times New Roman" w:cs="Times New Roman"/>
          <w:color w:val="000000" w:themeColor="text1"/>
          <w:sz w:val="28"/>
          <w:szCs w:val="28"/>
          <w:lang w:val="es-ES"/>
        </w:rPr>
        <w:t xml:space="preserve">numeral sexto, así como </w:t>
      </w:r>
      <w:r w:rsidRPr="002A793E">
        <w:rPr>
          <w:rFonts w:ascii="Times New Roman" w:hAnsi="Times New Roman" w:cs="Times New Roman"/>
          <w:color w:val="000000" w:themeColor="text1"/>
          <w:sz w:val="28"/>
          <w:szCs w:val="28"/>
          <w:lang w:val="es-ES"/>
        </w:rPr>
        <w:t>el parágrafo tercero del artículo 61, por ser contrarios a los artículos 150.3, 339 y 342 de la Constitución y de la Ley 152 de 1994</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La </w:t>
      </w:r>
      <w:r w:rsidRPr="002A793E">
        <w:rPr>
          <w:rFonts w:ascii="Times New Roman" w:hAnsi="Times New Roman" w:cs="Times New Roman"/>
          <w:color w:val="000000" w:themeColor="text1"/>
          <w:sz w:val="28"/>
          <w:szCs w:val="28"/>
          <w:lang w:val="es-ES"/>
        </w:rPr>
        <w:t xml:space="preserve">ciudadana presentó dos cargos de inconstitucionalidad. El primero, </w:t>
      </w:r>
      <w:r w:rsidRPr="002A793E">
        <w:rPr>
          <w:rFonts w:ascii="Times New Roman" w:hAnsi="Times New Roman" w:cs="Times New Roman"/>
          <w:color w:val="000000" w:themeColor="text1"/>
          <w:sz w:val="28"/>
          <w:szCs w:val="28"/>
          <w:lang w:val="es-ES"/>
        </w:rPr>
        <w:t>propuso el desconocimiento d</w:t>
      </w:r>
      <w:r w:rsidRPr="002A793E">
        <w:rPr>
          <w:rFonts w:ascii="Times New Roman" w:hAnsi="Times New Roman" w:cs="Times New Roman"/>
          <w:color w:val="000000" w:themeColor="text1"/>
          <w:sz w:val="28"/>
          <w:szCs w:val="28"/>
          <w:lang w:val="es-ES"/>
        </w:rPr>
        <w:t>el contenido del Plan Nacional de Desarrollo</w:t>
      </w:r>
      <w:r w:rsidRPr="002A793E">
        <w:rPr>
          <w:rFonts w:ascii="Times New Roman" w:hAnsi="Times New Roman" w:cs="Times New Roman"/>
          <w:color w:val="000000" w:themeColor="text1"/>
          <w:sz w:val="28"/>
          <w:szCs w:val="28"/>
          <w:lang w:val="es-ES"/>
        </w:rPr>
        <w:t xml:space="preserve"> (en adelante PND)</w:t>
      </w:r>
      <w:r w:rsidRPr="002A793E">
        <w:rPr>
          <w:rStyle w:val="Refdenotaalpie"/>
          <w:rFonts w:ascii="Times New Roman" w:hAnsi="Times New Roman" w:cs="Times New Roman"/>
          <w:color w:val="000000" w:themeColor="text1"/>
          <w:sz w:val="28"/>
          <w:szCs w:val="28"/>
          <w:lang w:val="es-ES"/>
        </w:rPr>
        <w:footnoteReference w:id="7"/>
      </w:r>
      <w:r w:rsidRPr="002A793E">
        <w:rPr>
          <w:rFonts w:ascii="Times New Roman" w:hAnsi="Times New Roman" w:cs="Times New Roman"/>
          <w:color w:val="000000" w:themeColor="text1"/>
          <w:sz w:val="28"/>
          <w:szCs w:val="28"/>
          <w:lang w:val="es-ES"/>
        </w:rPr>
        <w:t>. El segundo</w:t>
      </w:r>
      <w:r w:rsidRPr="002A793E">
        <w:rPr>
          <w:rFonts w:ascii="Times New Roman" w:hAnsi="Times New Roman" w:cs="Times New Roman"/>
          <w:color w:val="000000" w:themeColor="text1"/>
          <w:sz w:val="28"/>
          <w:szCs w:val="28"/>
          <w:lang w:val="es-ES"/>
        </w:rPr>
        <w:t xml:space="preserve">, planteó un exceso en el ejercicio de </w:t>
      </w:r>
      <w:r w:rsidRPr="002A793E">
        <w:rPr>
          <w:rFonts w:ascii="Times New Roman" w:hAnsi="Times New Roman" w:cs="Times New Roman"/>
          <w:color w:val="000000" w:themeColor="text1"/>
          <w:sz w:val="28"/>
          <w:szCs w:val="28"/>
          <w:lang w:val="es-ES"/>
        </w:rPr>
        <w:t xml:space="preserve">la competencia del Congreso </w:t>
      </w:r>
      <w:r w:rsidRPr="002A793E">
        <w:rPr>
          <w:rFonts w:ascii="Times New Roman" w:hAnsi="Times New Roman" w:cs="Times New Roman"/>
          <w:color w:val="000000" w:themeColor="text1"/>
          <w:sz w:val="28"/>
          <w:szCs w:val="28"/>
          <w:lang w:val="es-ES"/>
        </w:rPr>
        <w:t xml:space="preserve">de la República </w:t>
      </w:r>
      <w:r w:rsidRPr="002A793E">
        <w:rPr>
          <w:rFonts w:ascii="Times New Roman" w:hAnsi="Times New Roman" w:cs="Times New Roman"/>
          <w:color w:val="000000" w:themeColor="text1"/>
          <w:sz w:val="28"/>
          <w:szCs w:val="28"/>
          <w:lang w:val="es-ES"/>
        </w:rPr>
        <w:t>para la aprobación de</w:t>
      </w:r>
      <w:r w:rsidRPr="002A793E">
        <w:rPr>
          <w:rFonts w:ascii="Times New Roman" w:hAnsi="Times New Roman" w:cs="Times New Roman"/>
          <w:color w:val="000000" w:themeColor="text1"/>
          <w:sz w:val="28"/>
          <w:szCs w:val="28"/>
          <w:lang w:val="es-ES"/>
        </w:rPr>
        <w:t>l PND</w:t>
      </w:r>
      <w:r w:rsidRPr="002A793E">
        <w:rPr>
          <w:rStyle w:val="Refdenotaalpie"/>
          <w:rFonts w:ascii="Times New Roman" w:hAnsi="Times New Roman" w:cs="Times New Roman"/>
          <w:color w:val="000000" w:themeColor="text1"/>
          <w:sz w:val="28"/>
          <w:szCs w:val="28"/>
          <w:lang w:val="es-ES"/>
        </w:rPr>
        <w:footnoteReference w:id="8"/>
      </w:r>
      <w:r w:rsidRPr="002A793E">
        <w:rPr>
          <w:rFonts w:ascii="Times New Roman" w:hAnsi="Times New Roman" w:cs="Times New Roman"/>
          <w:color w:val="000000" w:themeColor="text1"/>
          <w:sz w:val="28"/>
          <w:szCs w:val="28"/>
          <w:lang w:val="es-ES"/>
        </w:rPr>
        <w:t>.</w:t>
      </w:r>
    </w:p>
    <w:p w:rsidR="00961799" w:rsidRPr="002A793E" w:rsidRDefault="002A793E" w:rsidP="00961799">
      <w:pPr>
        <w:pStyle w:val="Prrafodelista"/>
        <w:rPr>
          <w:rFonts w:ascii="Times New Roman" w:hAnsi="Times New Roman" w:cs="Times New Roman"/>
          <w:color w:val="000000" w:themeColor="text1"/>
          <w:sz w:val="28"/>
          <w:szCs w:val="28"/>
          <w:lang w:val="es-ES"/>
        </w:rPr>
      </w:pPr>
    </w:p>
    <w:p w:rsidR="00961799" w:rsidRPr="002A793E" w:rsidRDefault="002A793E" w:rsidP="00AC7FC5">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En auto del 8 de septiembre de 2023, la magistrada sustanciadora </w:t>
      </w:r>
      <w:r w:rsidRPr="002A793E">
        <w:rPr>
          <w:rFonts w:ascii="Times New Roman" w:hAnsi="Times New Roman" w:cs="Times New Roman"/>
          <w:color w:val="000000" w:themeColor="text1"/>
          <w:sz w:val="28"/>
          <w:szCs w:val="28"/>
          <w:lang w:val="es-ES"/>
        </w:rPr>
        <w:t>decidió inadmitir los cargos de inconstitucionalidad formulados por los ciudadanos Sierra Porto y Buitrago Almanza en el marco de los expedientes D-15470 y D-15481. En consecuencia, les otorgó a los demandantes el término de tres días para subsanar las fal</w:t>
      </w:r>
      <w:r w:rsidRPr="002A793E">
        <w:rPr>
          <w:rFonts w:ascii="Times New Roman" w:hAnsi="Times New Roman" w:cs="Times New Roman"/>
          <w:color w:val="000000" w:themeColor="text1"/>
          <w:sz w:val="28"/>
          <w:szCs w:val="28"/>
          <w:lang w:val="es-ES"/>
        </w:rPr>
        <w:t>encias identificadas en el auto de inadmisión.</w:t>
      </w:r>
    </w:p>
    <w:p w:rsidR="00961799" w:rsidRPr="002A793E" w:rsidRDefault="002A793E" w:rsidP="00961799">
      <w:pPr>
        <w:pStyle w:val="Prrafodelista"/>
        <w:rPr>
          <w:rFonts w:ascii="Times New Roman" w:hAnsi="Times New Roman" w:cs="Times New Roman"/>
          <w:color w:val="000000" w:themeColor="text1"/>
          <w:sz w:val="28"/>
          <w:szCs w:val="28"/>
          <w:lang w:val="es-ES"/>
        </w:rPr>
      </w:pPr>
    </w:p>
    <w:p w:rsidR="00415EDA" w:rsidRPr="002A793E" w:rsidRDefault="002A793E" w:rsidP="00AC7FC5">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Tras la presentación de escritos de corrección en </w:t>
      </w:r>
      <w:r w:rsidRPr="002A793E">
        <w:rPr>
          <w:rFonts w:ascii="Times New Roman" w:hAnsi="Times New Roman" w:cs="Times New Roman"/>
          <w:color w:val="000000" w:themeColor="text1"/>
          <w:sz w:val="28"/>
          <w:szCs w:val="28"/>
          <w:lang w:val="es-ES"/>
        </w:rPr>
        <w:t>los dos expedientes</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en auto del 2 de octubre de 2023 la magistrada sustanciadora</w:t>
      </w:r>
      <w:r w:rsidRPr="002A793E">
        <w:rPr>
          <w:rFonts w:ascii="Times New Roman" w:hAnsi="Times New Roman" w:cs="Times New Roman"/>
          <w:color w:val="000000" w:themeColor="text1"/>
          <w:sz w:val="28"/>
          <w:szCs w:val="28"/>
          <w:lang w:val="es-ES"/>
        </w:rPr>
        <w:t xml:space="preserve"> examinó los argumentos de subsanación presentados por los demandantes y</w:t>
      </w:r>
      <w:r w:rsidRPr="002A793E">
        <w:rPr>
          <w:rFonts w:ascii="Times New Roman" w:hAnsi="Times New Roman" w:cs="Times New Roman"/>
          <w:color w:val="000000" w:themeColor="text1"/>
          <w:sz w:val="28"/>
          <w:szCs w:val="28"/>
          <w:lang w:val="es-ES"/>
        </w:rPr>
        <w:t xml:space="preserve"> deci</w:t>
      </w:r>
      <w:r w:rsidRPr="002A793E">
        <w:rPr>
          <w:rFonts w:ascii="Times New Roman" w:hAnsi="Times New Roman" w:cs="Times New Roman"/>
          <w:color w:val="000000" w:themeColor="text1"/>
          <w:sz w:val="28"/>
          <w:szCs w:val="28"/>
          <w:lang w:val="es-ES"/>
        </w:rPr>
        <w:t>dió</w:t>
      </w:r>
      <w:r w:rsidRPr="002A793E">
        <w:rPr>
          <w:rFonts w:ascii="Times New Roman" w:hAnsi="Times New Roman" w:cs="Times New Roman"/>
          <w:color w:val="000000" w:themeColor="text1"/>
          <w:sz w:val="28"/>
          <w:szCs w:val="28"/>
          <w:lang w:val="es-ES"/>
        </w:rPr>
        <w:t>:</w:t>
      </w:r>
    </w:p>
    <w:p w:rsidR="00415EDA" w:rsidRPr="002A793E" w:rsidRDefault="002A793E" w:rsidP="00415EDA">
      <w:pPr>
        <w:pStyle w:val="Prrafodelista"/>
        <w:rPr>
          <w:rFonts w:ascii="Times New Roman" w:hAnsi="Times New Roman" w:cs="Times New Roman"/>
          <w:color w:val="000000" w:themeColor="text1"/>
          <w:sz w:val="28"/>
          <w:szCs w:val="28"/>
          <w:lang w:val="es-ES"/>
        </w:rPr>
      </w:pPr>
    </w:p>
    <w:p w:rsidR="00415EDA" w:rsidRPr="002A793E" w:rsidRDefault="002A793E" w:rsidP="006F3184">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Primero, </w:t>
      </w:r>
      <w:r w:rsidRPr="002A793E">
        <w:rPr>
          <w:rFonts w:ascii="Times New Roman" w:hAnsi="Times New Roman" w:cs="Times New Roman"/>
          <w:color w:val="000000" w:themeColor="text1"/>
          <w:sz w:val="28"/>
          <w:szCs w:val="28"/>
          <w:lang w:val="es-ES"/>
        </w:rPr>
        <w:t xml:space="preserve">rechazar los cargos de inconstitucionalidad formulados por la ciudadana Buitrago Almanza en el marco del expediento D-15470. </w:t>
      </w:r>
      <w:r w:rsidRPr="002A793E">
        <w:rPr>
          <w:rFonts w:ascii="Times New Roman" w:hAnsi="Times New Roman" w:cs="Times New Roman"/>
          <w:color w:val="000000" w:themeColor="text1"/>
          <w:sz w:val="28"/>
          <w:szCs w:val="28"/>
          <w:lang w:val="es-ES"/>
        </w:rPr>
        <w:t xml:space="preserve">Sobre esta decisión la magistrada otorgó el término de tres días a la demandante para la formulación del recurso de </w:t>
      </w:r>
      <w:r w:rsidRPr="002A793E">
        <w:rPr>
          <w:rFonts w:ascii="Times New Roman" w:hAnsi="Times New Roman" w:cs="Times New Roman"/>
          <w:color w:val="000000" w:themeColor="text1"/>
          <w:sz w:val="28"/>
          <w:szCs w:val="28"/>
          <w:lang w:val="es-ES"/>
        </w:rPr>
        <w:t>súplica.</w:t>
      </w:r>
    </w:p>
    <w:p w:rsidR="00415EDA" w:rsidRPr="002A793E" w:rsidRDefault="002A793E" w:rsidP="00415EDA">
      <w:pPr>
        <w:pStyle w:val="Prrafodelista"/>
        <w:ind w:left="0"/>
        <w:rPr>
          <w:rFonts w:ascii="Times New Roman" w:hAnsi="Times New Roman" w:cs="Times New Roman"/>
          <w:color w:val="000000" w:themeColor="text1"/>
          <w:sz w:val="28"/>
          <w:szCs w:val="28"/>
          <w:lang w:val="es-ES"/>
        </w:rPr>
      </w:pPr>
    </w:p>
    <w:p w:rsidR="00EA0603" w:rsidRPr="002A793E" w:rsidRDefault="002A793E" w:rsidP="006F3184">
      <w:pPr>
        <w:pStyle w:val="Prrafodelista"/>
        <w:numPr>
          <w:ilvl w:val="0"/>
          <w:numId w:val="2"/>
        </w:numPr>
        <w:ind w:left="0" w:firstLine="0"/>
        <w:rPr>
          <w:rFonts w:ascii="Times New Roman" w:hAnsi="Times New Roman" w:cs="Times New Roman"/>
          <w:sz w:val="28"/>
          <w:szCs w:val="28"/>
          <w:lang w:val="es-ES"/>
        </w:rPr>
      </w:pPr>
      <w:r w:rsidRPr="002A793E">
        <w:rPr>
          <w:rFonts w:ascii="Times New Roman" w:hAnsi="Times New Roman" w:cs="Times New Roman"/>
          <w:color w:val="000000" w:themeColor="text1"/>
          <w:sz w:val="28"/>
          <w:szCs w:val="28"/>
          <w:lang w:val="es-ES"/>
        </w:rPr>
        <w:t>Segundo, en relación con el expediente D-15481 decidió admitir los siguientes cargos formulados por el ciudadano Sierra Porto</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sz w:val="28"/>
          <w:szCs w:val="28"/>
          <w:lang w:val="es-ES"/>
        </w:rPr>
        <w:t>en contra del numeral sexto</w:t>
      </w:r>
      <w:r w:rsidRPr="002A793E">
        <w:rPr>
          <w:rFonts w:ascii="Times New Roman" w:hAnsi="Times New Roman" w:cs="Times New Roman"/>
          <w:sz w:val="28"/>
          <w:szCs w:val="28"/>
          <w:lang w:val="es-ES"/>
        </w:rPr>
        <w:t xml:space="preserve"> parcial</w:t>
      </w:r>
      <w:r w:rsidRPr="002A793E">
        <w:rPr>
          <w:rFonts w:ascii="Times New Roman" w:hAnsi="Times New Roman" w:cs="Times New Roman"/>
          <w:sz w:val="28"/>
          <w:szCs w:val="28"/>
          <w:lang w:val="es-ES"/>
        </w:rPr>
        <w:t xml:space="preserve">, y del parágrafo tercero del artículo 61 de la Ley 2294 de 2023 “[p]or el cual se </w:t>
      </w:r>
      <w:r w:rsidRPr="002A793E">
        <w:rPr>
          <w:rFonts w:ascii="Times New Roman" w:hAnsi="Times New Roman" w:cs="Times New Roman"/>
          <w:sz w:val="28"/>
          <w:szCs w:val="28"/>
          <w:lang w:val="es-ES"/>
        </w:rPr>
        <w:t>expide el Plan Nacional de Desarrollo 2022- 2026 ‘Colombia Potencia Mundial de la Vida’”</w:t>
      </w:r>
      <w:r w:rsidRPr="002A793E">
        <w:rPr>
          <w:rStyle w:val="Refdenotaalpie"/>
          <w:rFonts w:ascii="Times New Roman" w:hAnsi="Times New Roman" w:cs="Times New Roman"/>
          <w:sz w:val="28"/>
          <w:szCs w:val="28"/>
          <w:lang w:val="es-ES"/>
        </w:rPr>
        <w:footnoteReference w:id="9"/>
      </w:r>
      <w:r w:rsidRPr="002A793E">
        <w:rPr>
          <w:rFonts w:ascii="Times New Roman" w:hAnsi="Times New Roman" w:cs="Times New Roman"/>
          <w:color w:val="000000" w:themeColor="text1"/>
          <w:sz w:val="28"/>
          <w:szCs w:val="28"/>
          <w:lang w:val="es-ES"/>
        </w:rPr>
        <w:t>: (</w:t>
      </w:r>
      <w:r w:rsidRPr="002A793E">
        <w:rPr>
          <w:rFonts w:ascii="Times New Roman" w:hAnsi="Times New Roman" w:cs="Times New Roman"/>
          <w:color w:val="000000" w:themeColor="text1"/>
          <w:sz w:val="28"/>
          <w:szCs w:val="28"/>
          <w:lang w:val="es-ES"/>
        </w:rPr>
        <w:t>i</w:t>
      </w:r>
      <w:r w:rsidRPr="002A793E">
        <w:rPr>
          <w:rFonts w:ascii="Times New Roman" w:hAnsi="Times New Roman" w:cs="Times New Roman"/>
          <w:color w:val="000000" w:themeColor="text1"/>
          <w:sz w:val="28"/>
          <w:szCs w:val="28"/>
          <w:lang w:val="es-ES"/>
        </w:rPr>
        <w:t>) el cargo</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sz w:val="28"/>
          <w:szCs w:val="28"/>
          <w:lang w:val="es-ES"/>
        </w:rPr>
        <w:t>que planteó la violación del principio de publicidad del trámite legislativo; (ii) el cargo que cuestionó la violación del principio de unidad de materi</w:t>
      </w:r>
      <w:r w:rsidRPr="002A793E">
        <w:rPr>
          <w:rFonts w:ascii="Times New Roman" w:hAnsi="Times New Roman" w:cs="Times New Roman"/>
          <w:sz w:val="28"/>
          <w:szCs w:val="28"/>
          <w:lang w:val="es-ES"/>
        </w:rPr>
        <w:t>a; (iii) el cargo q</w:t>
      </w:r>
      <w:r w:rsidRPr="002A793E">
        <w:rPr>
          <w:rFonts w:ascii="Times New Roman" w:hAnsi="Times New Roman" w:cs="Times New Roman"/>
          <w:sz w:val="28"/>
          <w:szCs w:val="28"/>
          <w:lang w:val="es-ES"/>
        </w:rPr>
        <w:t>ue planteó la violación del derecho de acceso a la administración de justicia, a la tutela judicial efectiva y a la propiedad privada en relación con los sujetos que no hicieron parte del procedimiento único previsto en el Decreto Ley 90</w:t>
      </w:r>
      <w:r w:rsidRPr="002A793E">
        <w:rPr>
          <w:rFonts w:ascii="Times New Roman" w:hAnsi="Times New Roman" w:cs="Times New Roman"/>
          <w:sz w:val="28"/>
          <w:szCs w:val="28"/>
          <w:lang w:val="es-ES"/>
        </w:rPr>
        <w:t>2 de 2017;</w:t>
      </w:r>
      <w:r w:rsidRPr="002A793E">
        <w:rPr>
          <w:rFonts w:ascii="Times New Roman" w:hAnsi="Times New Roman" w:cs="Times New Roman"/>
          <w:sz w:val="28"/>
          <w:szCs w:val="28"/>
          <w:lang w:val="es-ES"/>
        </w:rPr>
        <w:t xml:space="preserve"> y (iv) el cargo</w:t>
      </w:r>
      <w:r w:rsidRPr="002A793E">
        <w:rPr>
          <w:rFonts w:ascii="Times New Roman" w:hAnsi="Times New Roman" w:cs="Times New Roman"/>
          <w:sz w:val="28"/>
          <w:szCs w:val="28"/>
          <w:lang w:val="es-ES"/>
        </w:rPr>
        <w:t xml:space="preserve"> por la violación de la prohibición de regresividad de los derechos económicos, sociales y culturales</w:t>
      </w:r>
      <w:r w:rsidRPr="002A793E">
        <w:rPr>
          <w:rFonts w:ascii="Times New Roman" w:hAnsi="Times New Roman" w:cs="Times New Roman"/>
          <w:sz w:val="28"/>
          <w:szCs w:val="28"/>
          <w:lang w:val="es-ES"/>
        </w:rPr>
        <w:t>.</w:t>
      </w:r>
    </w:p>
    <w:p w:rsidR="00415EDA" w:rsidRPr="002A793E" w:rsidRDefault="002A793E" w:rsidP="00415EDA">
      <w:pPr>
        <w:pStyle w:val="Prrafodelista"/>
        <w:ind w:left="0"/>
        <w:rPr>
          <w:rFonts w:ascii="Times New Roman" w:hAnsi="Times New Roman" w:cs="Times New Roman"/>
          <w:sz w:val="28"/>
          <w:szCs w:val="28"/>
          <w:lang w:val="es-ES"/>
        </w:rPr>
      </w:pPr>
    </w:p>
    <w:p w:rsidR="00415EDA" w:rsidRPr="002A793E" w:rsidRDefault="002A793E" w:rsidP="006F3184">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Tercero, en relación con el expediente D-15481 la magistrada decidió rechazar el cargo </w:t>
      </w:r>
      <w:r w:rsidRPr="002A793E">
        <w:rPr>
          <w:rFonts w:ascii="Times New Roman" w:hAnsi="Times New Roman" w:cs="Times New Roman"/>
          <w:color w:val="000000" w:themeColor="text1"/>
          <w:sz w:val="28"/>
          <w:szCs w:val="28"/>
          <w:lang w:val="es-ES"/>
        </w:rPr>
        <w:t>que planteó la</w:t>
      </w:r>
      <w:r w:rsidRPr="002A793E">
        <w:rPr>
          <w:rFonts w:ascii="Times New Roman" w:hAnsi="Times New Roman" w:cs="Times New Roman"/>
          <w:color w:val="000000" w:themeColor="text1"/>
          <w:sz w:val="28"/>
          <w:szCs w:val="28"/>
          <w:lang w:val="es-ES"/>
        </w:rPr>
        <w:t xml:space="preserve"> violación </w:t>
      </w:r>
      <w:r w:rsidRPr="002A793E">
        <w:rPr>
          <w:rFonts w:ascii="Times New Roman" w:hAnsi="Times New Roman" w:cs="Times New Roman"/>
          <w:sz w:val="28"/>
          <w:szCs w:val="28"/>
          <w:lang w:val="es-ES"/>
        </w:rPr>
        <w:t xml:space="preserve">del derecho a la consulta previa de las </w:t>
      </w:r>
      <w:r w:rsidRPr="002A793E">
        <w:rPr>
          <w:rFonts w:ascii="Times New Roman" w:hAnsi="Times New Roman" w:cs="Times New Roman"/>
          <w:color w:val="000000" w:themeColor="text1"/>
          <w:sz w:val="28"/>
          <w:szCs w:val="28"/>
          <w:lang w:val="es-ES"/>
        </w:rPr>
        <w:t>comunidades</w:t>
      </w:r>
      <w:r w:rsidRPr="002A793E">
        <w:rPr>
          <w:rFonts w:ascii="Times New Roman" w:hAnsi="Times New Roman" w:cs="Times New Roman"/>
          <w:sz w:val="28"/>
          <w:szCs w:val="28"/>
          <w:lang w:val="es-ES"/>
        </w:rPr>
        <w:t xml:space="preserve"> indígenas, las comunidades negras, y las comunidades ROM y palenqueras, así como el cargo</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sz w:val="28"/>
          <w:szCs w:val="28"/>
          <w:lang w:val="es-ES"/>
        </w:rPr>
        <w:t xml:space="preserve">que planteó la violación del derecho de acceso a la administración de justicia, a la tutela judicial efectiva y a </w:t>
      </w:r>
      <w:r w:rsidRPr="002A793E">
        <w:rPr>
          <w:rFonts w:ascii="Times New Roman" w:hAnsi="Times New Roman" w:cs="Times New Roman"/>
          <w:sz w:val="28"/>
          <w:szCs w:val="28"/>
          <w:lang w:val="es-ES"/>
        </w:rPr>
        <w:t xml:space="preserve">la propiedad privada en relación con los sujetos que </w:t>
      </w:r>
      <w:r w:rsidRPr="002A793E">
        <w:rPr>
          <w:rFonts w:ascii="Times New Roman" w:hAnsi="Times New Roman" w:cs="Times New Roman"/>
          <w:sz w:val="28"/>
          <w:szCs w:val="28"/>
          <w:lang w:val="es-ES"/>
        </w:rPr>
        <w:t xml:space="preserve">sí </w:t>
      </w:r>
      <w:r w:rsidRPr="002A793E">
        <w:rPr>
          <w:rFonts w:ascii="Times New Roman" w:hAnsi="Times New Roman" w:cs="Times New Roman"/>
          <w:sz w:val="28"/>
          <w:szCs w:val="28"/>
          <w:lang w:val="es-ES"/>
        </w:rPr>
        <w:t>hicieron parte del procedimiento único previsto en el Decreto Ley 902 de 2017</w:t>
      </w:r>
      <w:r w:rsidRPr="002A793E">
        <w:rPr>
          <w:rStyle w:val="Refdenotaalpie"/>
          <w:rFonts w:ascii="Times New Roman" w:hAnsi="Times New Roman" w:cs="Times New Roman"/>
          <w:sz w:val="28"/>
          <w:szCs w:val="28"/>
          <w:lang w:val="es-ES"/>
        </w:rPr>
        <w:footnoteReference w:id="10"/>
      </w:r>
      <w:r w:rsidRPr="002A793E">
        <w:rPr>
          <w:rFonts w:ascii="Times New Roman" w:hAnsi="Times New Roman" w:cs="Times New Roman"/>
          <w:sz w:val="28"/>
          <w:szCs w:val="28"/>
          <w:lang w:val="es-ES"/>
        </w:rPr>
        <w:t xml:space="preserve">. </w:t>
      </w:r>
      <w:r w:rsidRPr="002A793E">
        <w:rPr>
          <w:rFonts w:ascii="Times New Roman" w:hAnsi="Times New Roman" w:cs="Times New Roman"/>
          <w:color w:val="000000" w:themeColor="text1"/>
          <w:sz w:val="28"/>
          <w:szCs w:val="28"/>
          <w:lang w:val="es-ES"/>
        </w:rPr>
        <w:t>Sobre esta decisión</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otorgó el término de tres días para la formulación del recurso de súplica.</w:t>
      </w:r>
    </w:p>
    <w:p w:rsidR="002929C6" w:rsidRPr="002A793E" w:rsidRDefault="002A793E" w:rsidP="002929C6">
      <w:pPr>
        <w:pStyle w:val="Prrafodelista"/>
        <w:ind w:left="0"/>
        <w:rPr>
          <w:rFonts w:ascii="Times New Roman" w:hAnsi="Times New Roman" w:cs="Times New Roman"/>
          <w:color w:val="000000" w:themeColor="text1"/>
          <w:sz w:val="28"/>
          <w:szCs w:val="28"/>
          <w:lang w:val="es-ES"/>
        </w:rPr>
      </w:pPr>
    </w:p>
    <w:p w:rsidR="002929C6" w:rsidRPr="002A793E" w:rsidRDefault="002A793E" w:rsidP="006F3184">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Cuarto, en atención a l</w:t>
      </w:r>
      <w:r w:rsidRPr="002A793E">
        <w:rPr>
          <w:rFonts w:ascii="Times New Roman" w:hAnsi="Times New Roman" w:cs="Times New Roman"/>
          <w:color w:val="000000" w:themeColor="text1"/>
          <w:sz w:val="28"/>
          <w:szCs w:val="28"/>
          <w:lang w:val="es-ES"/>
        </w:rPr>
        <w:t xml:space="preserve">os cargos admitidos en el expediente D-15481 la magistrada </w:t>
      </w:r>
      <w:r w:rsidRPr="002A793E">
        <w:rPr>
          <w:rFonts w:ascii="Times New Roman" w:hAnsi="Times New Roman" w:cs="Times New Roman"/>
          <w:sz w:val="28"/>
          <w:szCs w:val="28"/>
          <w:lang w:val="es-ES"/>
        </w:rPr>
        <w:t>sustanciadora</w:t>
      </w:r>
      <w:r w:rsidRPr="002A793E">
        <w:rPr>
          <w:rFonts w:ascii="Times New Roman" w:hAnsi="Times New Roman" w:cs="Times New Roman"/>
          <w:color w:val="000000" w:themeColor="text1"/>
          <w:sz w:val="28"/>
          <w:szCs w:val="28"/>
          <w:lang w:val="es-ES"/>
        </w:rPr>
        <w:t xml:space="preserve"> ordenó la práctica de pruebas, particularmente dispuso oficiar a los secretarios generales de Cámara y Senado del Congreso de la República para que remitieran informes, documentos y constancias relacionadas con el trámite de aprobación de la Ley 2294 de 2</w:t>
      </w:r>
      <w:r w:rsidRPr="002A793E">
        <w:rPr>
          <w:rFonts w:ascii="Times New Roman" w:hAnsi="Times New Roman" w:cs="Times New Roman"/>
          <w:color w:val="000000" w:themeColor="text1"/>
          <w:sz w:val="28"/>
          <w:szCs w:val="28"/>
          <w:lang w:val="es-ES"/>
        </w:rPr>
        <w:t>023. Asimismo, dispuso que una vez recaudadas las pruebas correspondientes</w:t>
      </w:r>
      <w:r w:rsidRPr="002A793E">
        <w:rPr>
          <w:rFonts w:ascii="Times New Roman" w:hAnsi="Times New Roman" w:cs="Times New Roman"/>
          <w:color w:val="000000" w:themeColor="text1"/>
          <w:sz w:val="28"/>
          <w:szCs w:val="28"/>
          <w:lang w:val="es-ES"/>
        </w:rPr>
        <w:t xml:space="preserve"> y en caso de que el término para interponer el recurso de súplica venciera en silencio o una vez se hubiere dado trámite a este recurso, </w:t>
      </w:r>
      <w:r w:rsidRPr="002A793E">
        <w:rPr>
          <w:rFonts w:ascii="Times New Roman" w:hAnsi="Times New Roman" w:cs="Times New Roman"/>
          <w:color w:val="000000" w:themeColor="text1"/>
          <w:sz w:val="28"/>
          <w:szCs w:val="28"/>
          <w:lang w:val="es-ES"/>
        </w:rPr>
        <w:t>se s</w:t>
      </w:r>
      <w:r w:rsidRPr="002A793E">
        <w:rPr>
          <w:rFonts w:ascii="Times New Roman" w:hAnsi="Times New Roman" w:cs="Times New Roman"/>
          <w:color w:val="000000" w:themeColor="text1"/>
          <w:sz w:val="28"/>
          <w:szCs w:val="28"/>
          <w:lang w:val="es-ES"/>
        </w:rPr>
        <w:t>iguiera</w:t>
      </w:r>
      <w:r w:rsidRPr="002A793E">
        <w:rPr>
          <w:rFonts w:ascii="Times New Roman" w:hAnsi="Times New Roman" w:cs="Times New Roman"/>
          <w:color w:val="000000" w:themeColor="text1"/>
          <w:sz w:val="28"/>
          <w:szCs w:val="28"/>
          <w:lang w:val="es-ES"/>
        </w:rPr>
        <w:t xml:space="preserve"> adelante con el trámite</w:t>
      </w:r>
      <w:r w:rsidRPr="002A793E">
        <w:rPr>
          <w:rFonts w:ascii="Times New Roman" w:hAnsi="Times New Roman" w:cs="Times New Roman"/>
          <w:color w:val="000000" w:themeColor="text1"/>
          <w:sz w:val="28"/>
          <w:szCs w:val="28"/>
          <w:lang w:val="es-ES"/>
        </w:rPr>
        <w:t xml:space="preserve"> de los c</w:t>
      </w:r>
      <w:r w:rsidRPr="002A793E">
        <w:rPr>
          <w:rFonts w:ascii="Times New Roman" w:hAnsi="Times New Roman" w:cs="Times New Roman"/>
          <w:color w:val="000000" w:themeColor="text1"/>
          <w:sz w:val="28"/>
          <w:szCs w:val="28"/>
          <w:lang w:val="es-ES"/>
        </w:rPr>
        <w:t>argos admitidos</w:t>
      </w:r>
      <w:r w:rsidRPr="002A793E">
        <w:rPr>
          <w:rFonts w:ascii="Times New Roman" w:hAnsi="Times New Roman" w:cs="Times New Roman"/>
          <w:color w:val="000000" w:themeColor="text1"/>
          <w:sz w:val="28"/>
          <w:szCs w:val="28"/>
          <w:lang w:val="es-ES"/>
        </w:rPr>
        <w:t>, particularmente</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(i) </w:t>
      </w:r>
      <w:r w:rsidRPr="002A793E">
        <w:rPr>
          <w:rFonts w:ascii="Times New Roman" w:hAnsi="Times New Roman" w:cs="Times New Roman"/>
          <w:color w:val="000000" w:themeColor="text1"/>
          <w:sz w:val="28"/>
          <w:szCs w:val="28"/>
          <w:lang w:val="es-ES"/>
        </w:rPr>
        <w:t>la comunicación del inicio del proceso al presidente de la República y al presidente del Congreso</w:t>
      </w:r>
      <w:r w:rsidRPr="002A793E">
        <w:rPr>
          <w:rFonts w:ascii="Times New Roman" w:hAnsi="Times New Roman" w:cs="Times New Roman"/>
          <w:color w:val="000000" w:themeColor="text1"/>
          <w:sz w:val="28"/>
          <w:szCs w:val="28"/>
          <w:lang w:val="es-ES"/>
        </w:rPr>
        <w:t xml:space="preserve">; (ii) </w:t>
      </w:r>
      <w:r w:rsidRPr="002A793E">
        <w:rPr>
          <w:rFonts w:ascii="Times New Roman" w:hAnsi="Times New Roman" w:cs="Times New Roman"/>
          <w:color w:val="000000" w:themeColor="text1"/>
          <w:sz w:val="28"/>
          <w:szCs w:val="28"/>
          <w:lang w:val="es-ES"/>
        </w:rPr>
        <w:t>el traslado a la Procuradora General de la Nación para que rinda el concepto correspondiente</w:t>
      </w:r>
      <w:r w:rsidRPr="002A793E">
        <w:rPr>
          <w:rFonts w:ascii="Times New Roman" w:hAnsi="Times New Roman" w:cs="Times New Roman"/>
          <w:color w:val="000000" w:themeColor="text1"/>
          <w:sz w:val="28"/>
          <w:szCs w:val="28"/>
          <w:lang w:val="es-ES"/>
        </w:rPr>
        <w:t>; (iii)</w:t>
      </w:r>
      <w:r w:rsidRPr="002A793E">
        <w:rPr>
          <w:rFonts w:ascii="Times New Roman" w:hAnsi="Times New Roman" w:cs="Times New Roman"/>
          <w:color w:val="000000" w:themeColor="text1"/>
          <w:sz w:val="28"/>
          <w:szCs w:val="28"/>
          <w:lang w:val="es-ES"/>
        </w:rPr>
        <w:t xml:space="preserve"> la fijación en</w:t>
      </w:r>
      <w:r w:rsidRPr="002A793E">
        <w:rPr>
          <w:rFonts w:ascii="Times New Roman" w:hAnsi="Times New Roman" w:cs="Times New Roman"/>
          <w:color w:val="000000" w:themeColor="text1"/>
          <w:sz w:val="28"/>
          <w:szCs w:val="28"/>
          <w:lang w:val="es-ES"/>
        </w:rPr>
        <w:t xml:space="preserve"> lista </w:t>
      </w:r>
      <w:r w:rsidRPr="002A793E">
        <w:rPr>
          <w:rFonts w:ascii="Times New Roman" w:hAnsi="Times New Roman" w:cs="Times New Roman"/>
          <w:color w:val="000000" w:themeColor="text1"/>
          <w:sz w:val="28"/>
          <w:szCs w:val="28"/>
          <w:lang w:val="es-ES"/>
        </w:rPr>
        <w:t xml:space="preserve">de </w:t>
      </w:r>
      <w:r w:rsidRPr="002A793E">
        <w:rPr>
          <w:rFonts w:ascii="Times New Roman" w:hAnsi="Times New Roman" w:cs="Times New Roman"/>
          <w:color w:val="000000" w:themeColor="text1"/>
          <w:sz w:val="28"/>
          <w:szCs w:val="28"/>
          <w:lang w:val="es-ES"/>
        </w:rPr>
        <w:t xml:space="preserve">la norma acusada para garantizar las intervenciones ciudadanas y </w:t>
      </w:r>
      <w:r w:rsidRPr="002A793E">
        <w:rPr>
          <w:rFonts w:ascii="Times New Roman" w:hAnsi="Times New Roman" w:cs="Times New Roman"/>
          <w:color w:val="000000" w:themeColor="text1"/>
          <w:sz w:val="28"/>
          <w:szCs w:val="28"/>
          <w:lang w:val="es-ES"/>
        </w:rPr>
        <w:t xml:space="preserve">(iv) </w:t>
      </w:r>
      <w:r w:rsidRPr="002A793E">
        <w:rPr>
          <w:rFonts w:ascii="Times New Roman" w:hAnsi="Times New Roman" w:cs="Times New Roman"/>
          <w:color w:val="000000" w:themeColor="text1"/>
          <w:sz w:val="28"/>
          <w:szCs w:val="28"/>
          <w:lang w:val="es-ES"/>
        </w:rPr>
        <w:t>la invitación a participar en el trámite constitucional a varias instituciones estatales y académicas para defender o atacar la constitucionalidad de la disposición demandada</w:t>
      </w:r>
      <w:r w:rsidRPr="002A793E">
        <w:rPr>
          <w:rStyle w:val="Refdenotaalpie"/>
          <w:rFonts w:ascii="Times New Roman" w:hAnsi="Times New Roman" w:cs="Times New Roman"/>
          <w:color w:val="000000" w:themeColor="text1"/>
          <w:sz w:val="28"/>
          <w:szCs w:val="28"/>
          <w:lang w:val="es-ES"/>
        </w:rPr>
        <w:footnoteReference w:id="11"/>
      </w:r>
      <w:r w:rsidRPr="002A793E">
        <w:rPr>
          <w:rFonts w:ascii="Times New Roman" w:hAnsi="Times New Roman" w:cs="Times New Roman"/>
          <w:color w:val="000000" w:themeColor="text1"/>
          <w:sz w:val="28"/>
          <w:szCs w:val="28"/>
          <w:lang w:val="es-ES"/>
        </w:rPr>
        <w:t>.</w:t>
      </w:r>
    </w:p>
    <w:p w:rsidR="002929C6" w:rsidRPr="002A793E" w:rsidRDefault="002A793E" w:rsidP="002929C6">
      <w:pPr>
        <w:pStyle w:val="Prrafodelista"/>
        <w:ind w:left="0"/>
        <w:rPr>
          <w:rFonts w:ascii="Times New Roman" w:hAnsi="Times New Roman" w:cs="Times New Roman"/>
          <w:color w:val="000000" w:themeColor="text1"/>
          <w:sz w:val="28"/>
          <w:szCs w:val="28"/>
          <w:lang w:val="es-ES"/>
        </w:rPr>
      </w:pPr>
    </w:p>
    <w:p w:rsidR="00415EDA" w:rsidRPr="002A793E" w:rsidRDefault="002A793E" w:rsidP="00415EDA">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Los demandantes</w:t>
      </w:r>
      <w:r w:rsidRPr="002A793E">
        <w:rPr>
          <w:rFonts w:ascii="Times New Roman" w:hAnsi="Times New Roman" w:cs="Times New Roman"/>
          <w:sz w:val="28"/>
          <w:szCs w:val="28"/>
          <w:lang w:val="es-ES"/>
        </w:rPr>
        <w:t xml:space="preserve"> Iris Lizzette Buitrago Almanza y</w:t>
      </w:r>
      <w:r w:rsidRPr="002A793E">
        <w:rPr>
          <w:rFonts w:ascii="Times New Roman" w:eastAsia="Times New Roman" w:hAnsi="Times New Roman" w:cs="Times New Roman"/>
          <w:b/>
          <w:color w:val="000000" w:themeColor="text1"/>
          <w:sz w:val="28"/>
          <w:szCs w:val="28"/>
          <w:lang w:val="es-ES" w:eastAsia="es-ES"/>
        </w:rPr>
        <w:t xml:space="preserve"> </w:t>
      </w:r>
      <w:r w:rsidRPr="002A793E">
        <w:rPr>
          <w:rFonts w:ascii="Times New Roman" w:eastAsia="Times New Roman" w:hAnsi="Times New Roman" w:cs="Times New Roman"/>
          <w:color w:val="000000" w:themeColor="text1"/>
          <w:sz w:val="28"/>
          <w:szCs w:val="28"/>
          <w:lang w:val="es-ES" w:eastAsia="es-ES"/>
        </w:rPr>
        <w:t xml:space="preserve">Humberto Sierra Porto presentaron, de forma independiente, recursos de súplica en contra </w:t>
      </w:r>
      <w:r w:rsidRPr="002A793E">
        <w:rPr>
          <w:rFonts w:ascii="Times New Roman" w:eastAsia="Times New Roman" w:hAnsi="Times New Roman" w:cs="Times New Roman"/>
          <w:color w:val="000000" w:themeColor="text1"/>
          <w:sz w:val="28"/>
          <w:szCs w:val="28"/>
          <w:lang w:val="es-ES" w:eastAsia="es-ES"/>
        </w:rPr>
        <w:t xml:space="preserve">de </w:t>
      </w:r>
      <w:r w:rsidRPr="002A793E">
        <w:rPr>
          <w:rFonts w:ascii="Times New Roman" w:eastAsia="Times New Roman" w:hAnsi="Times New Roman" w:cs="Times New Roman"/>
          <w:color w:val="000000" w:themeColor="text1"/>
          <w:sz w:val="28"/>
          <w:szCs w:val="28"/>
          <w:lang w:val="es-ES" w:eastAsia="es-ES"/>
        </w:rPr>
        <w:t>las decisiones de rechazo</w:t>
      </w:r>
      <w:r w:rsidRPr="002A793E">
        <w:rPr>
          <w:rFonts w:ascii="Times New Roman" w:eastAsia="Times New Roman" w:hAnsi="Times New Roman" w:cs="Times New Roman"/>
          <w:color w:val="000000" w:themeColor="text1"/>
          <w:sz w:val="28"/>
          <w:szCs w:val="28"/>
          <w:lang w:val="es-ES" w:eastAsia="es-ES"/>
        </w:rPr>
        <w:t xml:space="preserve"> del auto de 2 de octubre de 2023</w:t>
      </w:r>
      <w:r w:rsidRPr="002A793E">
        <w:rPr>
          <w:rFonts w:ascii="Times New Roman" w:eastAsia="Times New Roman" w:hAnsi="Times New Roman" w:cs="Times New Roman"/>
          <w:color w:val="000000" w:themeColor="text1"/>
          <w:sz w:val="28"/>
          <w:szCs w:val="28"/>
          <w:lang w:val="es-ES" w:eastAsia="es-ES"/>
        </w:rPr>
        <w:t xml:space="preserve">. </w:t>
      </w:r>
    </w:p>
    <w:p w:rsidR="00415EDA" w:rsidRPr="002A793E" w:rsidRDefault="002A793E" w:rsidP="00415EDA">
      <w:pPr>
        <w:pStyle w:val="Prrafodelista"/>
        <w:ind w:left="0"/>
        <w:rPr>
          <w:rFonts w:ascii="Times New Roman" w:hAnsi="Times New Roman" w:cs="Times New Roman"/>
          <w:color w:val="000000" w:themeColor="text1"/>
          <w:sz w:val="28"/>
          <w:szCs w:val="28"/>
          <w:lang w:val="es-ES"/>
        </w:rPr>
      </w:pPr>
    </w:p>
    <w:p w:rsidR="00415EDA" w:rsidRPr="002A793E" w:rsidRDefault="002A793E" w:rsidP="00415EDA">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En auto 2756 de </w:t>
      </w:r>
      <w:r w:rsidRPr="002A793E">
        <w:rPr>
          <w:rFonts w:ascii="Times New Roman" w:hAnsi="Times New Roman" w:cs="Times New Roman"/>
          <w:color w:val="000000" w:themeColor="text1"/>
          <w:sz w:val="28"/>
          <w:szCs w:val="28"/>
          <w:lang w:val="es-ES"/>
        </w:rPr>
        <w:t xml:space="preserve">2 de noviembre de </w:t>
      </w:r>
      <w:r w:rsidRPr="002A793E">
        <w:rPr>
          <w:rFonts w:ascii="Times New Roman" w:hAnsi="Times New Roman" w:cs="Times New Roman"/>
          <w:color w:val="000000" w:themeColor="text1"/>
          <w:sz w:val="28"/>
          <w:szCs w:val="28"/>
          <w:lang w:val="es-ES"/>
        </w:rPr>
        <w:t xml:space="preserve">2023, la Sala Plena de la Corte Constitucional decidió rechazar el recurso de súplica formulado por la ciudadana </w:t>
      </w:r>
      <w:r w:rsidRPr="002A793E">
        <w:rPr>
          <w:rFonts w:ascii="Times New Roman" w:hAnsi="Times New Roman" w:cs="Times New Roman"/>
          <w:sz w:val="28"/>
          <w:szCs w:val="28"/>
          <w:lang w:val="es-ES"/>
        </w:rPr>
        <w:t>Buitrago Almanza en el marco del expediente D-15470 y negar el recurso formulado por el actor Sierra Porto en el expediente D-15481</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En consecuencia, dispuso confirmar el auto de 2 de octubre de 2023</w:t>
      </w:r>
      <w:r w:rsidRPr="002A793E">
        <w:rPr>
          <w:rStyle w:val="Refdenotaalpie"/>
          <w:rFonts w:ascii="Times New Roman" w:hAnsi="Times New Roman" w:cs="Times New Roman"/>
          <w:sz w:val="28"/>
          <w:szCs w:val="28"/>
          <w:lang w:val="es-ES"/>
        </w:rPr>
        <w:footnoteReference w:id="12"/>
      </w:r>
      <w:r w:rsidRPr="002A793E">
        <w:rPr>
          <w:rFonts w:ascii="Times New Roman" w:hAnsi="Times New Roman" w:cs="Times New Roman"/>
          <w:sz w:val="28"/>
          <w:szCs w:val="28"/>
          <w:lang w:val="es-ES"/>
        </w:rPr>
        <w:t>.</w:t>
      </w:r>
    </w:p>
    <w:p w:rsidR="004E4967" w:rsidRPr="002A793E" w:rsidRDefault="002A793E" w:rsidP="004E4967">
      <w:pPr>
        <w:pStyle w:val="Prrafodelista"/>
        <w:rPr>
          <w:rFonts w:ascii="Times New Roman" w:hAnsi="Times New Roman" w:cs="Times New Roman"/>
          <w:color w:val="000000" w:themeColor="text1"/>
          <w:sz w:val="28"/>
          <w:szCs w:val="28"/>
          <w:lang w:val="es-ES"/>
        </w:rPr>
      </w:pPr>
    </w:p>
    <w:p w:rsidR="00B6086E" w:rsidRPr="002A793E" w:rsidRDefault="002A793E" w:rsidP="007632E8">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El 6 de diciembre de 2023, la Secretaría de la Corte Constitucional remitió comunicaciones a los secretarios generales del Senado de la República y la Cámara de Representantes para que </w:t>
      </w:r>
      <w:r w:rsidRPr="002A793E">
        <w:rPr>
          <w:rFonts w:ascii="Times New Roman" w:hAnsi="Times New Roman" w:cs="Times New Roman"/>
          <w:color w:val="000000" w:themeColor="text1"/>
          <w:sz w:val="28"/>
          <w:szCs w:val="28"/>
          <w:lang w:val="es-ES"/>
        </w:rPr>
        <w:t xml:space="preserve">enviaran al despacho sustanciador las gacetas en </w:t>
      </w:r>
      <w:r w:rsidRPr="002A793E">
        <w:rPr>
          <w:rFonts w:ascii="Times New Roman" w:hAnsi="Times New Roman" w:cs="Times New Roman"/>
          <w:color w:val="000000" w:themeColor="text1"/>
          <w:sz w:val="28"/>
          <w:szCs w:val="28"/>
          <w:lang w:val="es-ES"/>
        </w:rPr>
        <w:t xml:space="preserve">las que obraban algunas de las actuaciones del trámite legislativo. </w:t>
      </w:r>
    </w:p>
    <w:p w:rsidR="005E1354" w:rsidRPr="002A793E" w:rsidRDefault="002A793E" w:rsidP="005E1354">
      <w:pPr>
        <w:pStyle w:val="Prrafodelista"/>
        <w:ind w:left="0"/>
        <w:rPr>
          <w:rFonts w:ascii="Times New Roman" w:hAnsi="Times New Roman" w:cs="Times New Roman"/>
          <w:color w:val="000000" w:themeColor="text1"/>
          <w:sz w:val="28"/>
          <w:szCs w:val="28"/>
          <w:lang w:val="es-ES"/>
        </w:rPr>
      </w:pPr>
    </w:p>
    <w:p w:rsidR="00B6086E" w:rsidRPr="002A793E" w:rsidRDefault="002A793E" w:rsidP="00AC7FC5">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El 19 de diciembre de 2023, el secretario general del Senado remitió algunas de las gacetas correspondientes al trámite legislativo. Venc</w:t>
      </w:r>
      <w:r w:rsidRPr="002A793E">
        <w:rPr>
          <w:rFonts w:ascii="Times New Roman" w:hAnsi="Times New Roman" w:cs="Times New Roman"/>
          <w:color w:val="000000" w:themeColor="text1"/>
          <w:sz w:val="28"/>
          <w:szCs w:val="28"/>
          <w:lang w:val="es-ES"/>
        </w:rPr>
        <w:t>ido el término otorgado en el auto del 2 de octubre de 2023, no se recibió respuesta por parte del secretario general de la Cámara de Representantes</w:t>
      </w:r>
      <w:r w:rsidRPr="002A793E">
        <w:rPr>
          <w:rFonts w:ascii="Times New Roman" w:hAnsi="Times New Roman" w:cs="Times New Roman"/>
          <w:color w:val="000000" w:themeColor="text1"/>
          <w:sz w:val="28"/>
          <w:szCs w:val="28"/>
          <w:lang w:val="es-ES"/>
        </w:rPr>
        <w:t xml:space="preserve"> y tampoco se había recibido toda la información requerida del Senado de la República. </w:t>
      </w:r>
      <w:r w:rsidRPr="002A793E">
        <w:rPr>
          <w:rFonts w:ascii="Times New Roman" w:hAnsi="Times New Roman" w:cs="Times New Roman"/>
          <w:color w:val="000000" w:themeColor="text1"/>
          <w:sz w:val="28"/>
          <w:szCs w:val="28"/>
          <w:lang w:val="es-ES"/>
        </w:rPr>
        <w:t>Por lo tanto, en auto</w:t>
      </w:r>
      <w:r w:rsidRPr="002A793E">
        <w:rPr>
          <w:rFonts w:ascii="Times New Roman" w:hAnsi="Times New Roman" w:cs="Times New Roman"/>
          <w:color w:val="000000" w:themeColor="text1"/>
          <w:sz w:val="28"/>
          <w:szCs w:val="28"/>
          <w:lang w:val="es-ES"/>
        </w:rPr>
        <w:t xml:space="preserve"> de 17 de enero de 2024</w:t>
      </w:r>
      <w:r w:rsidRPr="002A793E">
        <w:rPr>
          <w:rFonts w:ascii="Times New Roman" w:hAnsi="Times New Roman" w:cs="Times New Roman"/>
          <w:color w:val="000000" w:themeColor="text1"/>
          <w:sz w:val="28"/>
          <w:szCs w:val="28"/>
          <w:lang w:val="es-ES"/>
        </w:rPr>
        <w:t xml:space="preserve"> efectuó un nuevo requerimiento probatorio.</w:t>
      </w:r>
    </w:p>
    <w:p w:rsidR="009B240E" w:rsidRPr="002A793E" w:rsidRDefault="002A793E" w:rsidP="009B240E">
      <w:pPr>
        <w:pStyle w:val="Prrafodelista"/>
        <w:rPr>
          <w:rFonts w:ascii="Times New Roman" w:hAnsi="Times New Roman" w:cs="Times New Roman"/>
          <w:color w:val="000000" w:themeColor="text1"/>
          <w:sz w:val="28"/>
          <w:szCs w:val="28"/>
          <w:lang w:val="es-ES"/>
        </w:rPr>
      </w:pPr>
    </w:p>
    <w:p w:rsidR="009B240E" w:rsidRPr="002A793E" w:rsidRDefault="002A793E" w:rsidP="00AC7FC5">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El 6 de febrero de 2024, la magistrada sustanciadora calificó las pruebas recaudadas en relación con el desarrollo del trámite legislativo de la Ley 2294 de 2023. En concreto, consideró qu</w:t>
      </w:r>
      <w:r w:rsidRPr="002A793E">
        <w:rPr>
          <w:rFonts w:ascii="Times New Roman" w:hAnsi="Times New Roman" w:cs="Times New Roman"/>
          <w:color w:val="000000" w:themeColor="text1"/>
          <w:sz w:val="28"/>
          <w:szCs w:val="28"/>
          <w:lang w:val="es-ES"/>
        </w:rPr>
        <w:t>e s</w:t>
      </w:r>
      <w:r w:rsidRPr="002A793E">
        <w:rPr>
          <w:rFonts w:ascii="Times New Roman" w:hAnsi="Times New Roman" w:cs="Times New Roman"/>
          <w:sz w:val="28"/>
          <w:szCs w:val="28"/>
          <w:lang w:val="es-ES"/>
        </w:rPr>
        <w:t>i bien los señores secretarios generales del Senado y de la Cámara de Representantes no remitieron todo el material probatorio solicitado procedía continuar con el trámite de constitucionalidad en atención a: (i) los principios de celeridad y economía p</w:t>
      </w:r>
      <w:r w:rsidRPr="002A793E">
        <w:rPr>
          <w:rFonts w:ascii="Times New Roman" w:hAnsi="Times New Roman" w:cs="Times New Roman"/>
          <w:sz w:val="28"/>
          <w:szCs w:val="28"/>
          <w:lang w:val="es-ES"/>
        </w:rPr>
        <w:t>rocesal; (ii) la facultad con la que cuenta esta corporación para la evaluación del trámite legislativo a través de diferentes medios; y (iii) debido a que obran en el expediente elementos del trámite legislativo que permiten la participación efectiva de l</w:t>
      </w:r>
      <w:r w:rsidRPr="002A793E">
        <w:rPr>
          <w:rFonts w:ascii="Times New Roman" w:hAnsi="Times New Roman" w:cs="Times New Roman"/>
          <w:sz w:val="28"/>
          <w:szCs w:val="28"/>
          <w:lang w:val="es-ES"/>
        </w:rPr>
        <w:t>os intervinientes.</w:t>
      </w:r>
    </w:p>
    <w:p w:rsidR="005773B1" w:rsidRPr="002A793E" w:rsidRDefault="002A793E" w:rsidP="005773B1">
      <w:pPr>
        <w:pStyle w:val="Prrafodelista"/>
        <w:ind w:left="0"/>
        <w:rPr>
          <w:rFonts w:ascii="Times New Roman" w:hAnsi="Times New Roman" w:cs="Times New Roman"/>
          <w:color w:val="000000" w:themeColor="text1"/>
          <w:sz w:val="28"/>
          <w:szCs w:val="28"/>
          <w:lang w:val="es-ES"/>
        </w:rPr>
      </w:pPr>
    </w:p>
    <w:p w:rsidR="0060390A" w:rsidRPr="002A793E" w:rsidRDefault="002A793E" w:rsidP="009B240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E</w:t>
      </w:r>
      <w:r w:rsidRPr="002A793E">
        <w:rPr>
          <w:rFonts w:ascii="Times New Roman" w:hAnsi="Times New Roman" w:cs="Times New Roman"/>
          <w:color w:val="000000" w:themeColor="text1"/>
          <w:sz w:val="28"/>
          <w:szCs w:val="28"/>
          <w:lang w:val="es-ES"/>
        </w:rPr>
        <w:t xml:space="preserve">n </w:t>
      </w:r>
      <w:r w:rsidRPr="002A793E">
        <w:rPr>
          <w:rFonts w:ascii="Times New Roman" w:hAnsi="Times New Roman" w:cs="Times New Roman"/>
          <w:color w:val="000000" w:themeColor="text1"/>
          <w:sz w:val="28"/>
          <w:szCs w:val="28"/>
          <w:lang w:val="es-ES"/>
        </w:rPr>
        <w:t xml:space="preserve">cumplimiento de la orden emitida en auto de 6 de febrero de 2024, se </w:t>
      </w:r>
      <w:r w:rsidRPr="002A793E">
        <w:rPr>
          <w:rFonts w:ascii="Times New Roman" w:hAnsi="Times New Roman" w:cs="Times New Roman"/>
          <w:color w:val="000000" w:themeColor="text1"/>
          <w:sz w:val="28"/>
          <w:szCs w:val="28"/>
          <w:lang w:val="es-ES"/>
        </w:rPr>
        <w:t>comunicó el inicio del proceso al presidente de la República y al presidente del Congreso</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se </w:t>
      </w:r>
      <w:r w:rsidRPr="002A793E">
        <w:rPr>
          <w:rFonts w:ascii="Times New Roman" w:hAnsi="Times New Roman" w:cs="Times New Roman"/>
          <w:color w:val="000000" w:themeColor="text1"/>
          <w:sz w:val="28"/>
          <w:szCs w:val="28"/>
          <w:lang w:val="es-ES"/>
        </w:rPr>
        <w:t xml:space="preserve">corrió traslado a </w:t>
      </w:r>
      <w:r w:rsidRPr="002A793E">
        <w:rPr>
          <w:rFonts w:ascii="Times New Roman" w:hAnsi="Times New Roman" w:cs="Times New Roman"/>
          <w:color w:val="000000" w:themeColor="text1"/>
          <w:sz w:val="28"/>
          <w:szCs w:val="28"/>
          <w:lang w:val="es-ES"/>
        </w:rPr>
        <w:t xml:space="preserve">la procuradora general de la Nación </w:t>
      </w:r>
      <w:r w:rsidRPr="002A793E">
        <w:rPr>
          <w:rFonts w:ascii="Times New Roman" w:hAnsi="Times New Roman" w:cs="Times New Roman"/>
          <w:color w:val="000000" w:themeColor="text1"/>
          <w:sz w:val="28"/>
          <w:szCs w:val="28"/>
          <w:lang w:val="es-ES"/>
        </w:rPr>
        <w:t xml:space="preserve">para que </w:t>
      </w:r>
      <w:r w:rsidRPr="002A793E">
        <w:rPr>
          <w:rFonts w:ascii="Times New Roman" w:hAnsi="Times New Roman" w:cs="Times New Roman"/>
          <w:color w:val="000000" w:themeColor="text1"/>
          <w:sz w:val="28"/>
          <w:szCs w:val="28"/>
          <w:lang w:val="es-ES"/>
        </w:rPr>
        <w:t>rindiera el concepto correspondiente</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se </w:t>
      </w:r>
      <w:r w:rsidRPr="002A793E">
        <w:rPr>
          <w:rFonts w:ascii="Times New Roman" w:hAnsi="Times New Roman" w:cs="Times New Roman"/>
          <w:color w:val="000000" w:themeColor="text1"/>
          <w:sz w:val="28"/>
          <w:szCs w:val="28"/>
          <w:lang w:val="es-ES"/>
        </w:rPr>
        <w:t>o</w:t>
      </w:r>
      <w:r w:rsidRPr="002A793E">
        <w:rPr>
          <w:rFonts w:ascii="Times New Roman" w:hAnsi="Times New Roman" w:cs="Times New Roman"/>
          <w:color w:val="000000" w:themeColor="text1"/>
          <w:sz w:val="28"/>
          <w:szCs w:val="28"/>
          <w:lang w:val="es-ES"/>
        </w:rPr>
        <w:t>rdenó fijar en lista la norma acusada para garantizar las intervenciones ciudadanas</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y se </w:t>
      </w:r>
      <w:r w:rsidRPr="002A793E">
        <w:rPr>
          <w:rFonts w:ascii="Times New Roman" w:hAnsi="Times New Roman" w:cs="Times New Roman"/>
          <w:color w:val="000000" w:themeColor="text1"/>
          <w:sz w:val="28"/>
          <w:szCs w:val="28"/>
          <w:lang w:val="es-ES"/>
        </w:rPr>
        <w:t>invitó a participar en el trámite constitucional a varias instituciones estatales y académicas para defender o atacar la cons</w:t>
      </w:r>
      <w:r w:rsidRPr="002A793E">
        <w:rPr>
          <w:rFonts w:ascii="Times New Roman" w:hAnsi="Times New Roman" w:cs="Times New Roman"/>
          <w:color w:val="000000" w:themeColor="text1"/>
          <w:sz w:val="28"/>
          <w:szCs w:val="28"/>
          <w:lang w:val="es-ES"/>
        </w:rPr>
        <w:t>titucionalidad de la</w:t>
      </w:r>
      <w:r w:rsidRPr="002A793E">
        <w:rPr>
          <w:rFonts w:ascii="Times New Roman" w:hAnsi="Times New Roman" w:cs="Times New Roman"/>
          <w:color w:val="000000" w:themeColor="text1"/>
          <w:sz w:val="28"/>
          <w:szCs w:val="28"/>
          <w:lang w:val="es-ES"/>
        </w:rPr>
        <w:t xml:space="preserve"> disposición demandada.</w:t>
      </w:r>
    </w:p>
    <w:p w:rsidR="0060390A" w:rsidRPr="002A793E" w:rsidRDefault="002A793E" w:rsidP="0060390A">
      <w:pPr>
        <w:pStyle w:val="Prrafodelista"/>
        <w:rPr>
          <w:rFonts w:ascii="Times New Roman" w:hAnsi="Times New Roman" w:cs="Times New Roman"/>
          <w:color w:val="000000" w:themeColor="text1"/>
          <w:sz w:val="28"/>
          <w:szCs w:val="28"/>
          <w:lang w:val="es-ES"/>
        </w:rPr>
      </w:pPr>
    </w:p>
    <w:p w:rsidR="0060390A" w:rsidRPr="002A793E" w:rsidRDefault="002A793E" w:rsidP="0060390A">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Una vez cumplidos los trámites previstos en el artículo 242 de la Constitución y en el Decreto Ley 2067 de 1991, la Corte procede a resolver sobr</w:t>
      </w:r>
      <w:r w:rsidRPr="002A793E">
        <w:rPr>
          <w:rFonts w:ascii="Times New Roman" w:hAnsi="Times New Roman" w:cs="Times New Roman"/>
          <w:color w:val="000000" w:themeColor="text1"/>
          <w:sz w:val="28"/>
          <w:szCs w:val="28"/>
          <w:lang w:val="es-ES"/>
        </w:rPr>
        <w:t>e los cargos admitidos en relación con el expediente D-15481.</w:t>
      </w:r>
    </w:p>
    <w:p w:rsidR="00FE4185" w:rsidRPr="002A793E" w:rsidRDefault="002A793E" w:rsidP="008B4750">
      <w:pPr>
        <w:pStyle w:val="Prrafodelista"/>
        <w:ind w:left="0"/>
        <w:rPr>
          <w:rFonts w:ascii="Times New Roman" w:hAnsi="Times New Roman" w:cs="Times New Roman"/>
          <w:color w:val="000000" w:themeColor="text1"/>
          <w:sz w:val="28"/>
          <w:szCs w:val="28"/>
          <w:lang w:val="es-ES"/>
        </w:rPr>
      </w:pPr>
    </w:p>
    <w:p w:rsidR="00852E35" w:rsidRPr="002A793E" w:rsidRDefault="002A793E" w:rsidP="00B05DAD">
      <w:pPr>
        <w:pStyle w:val="Prrafodelista"/>
        <w:numPr>
          <w:ilvl w:val="0"/>
          <w:numId w:val="1"/>
        </w:numPr>
        <w:rPr>
          <w:rFonts w:ascii="Times New Roman" w:eastAsia="Calibri" w:hAnsi="Times New Roman" w:cs="Times New Roman"/>
          <w:b/>
          <w:bCs/>
          <w:color w:val="000000" w:themeColor="text1"/>
          <w:sz w:val="28"/>
          <w:szCs w:val="28"/>
          <w:u w:color="000000"/>
          <w:lang w:val="es-ES"/>
        </w:rPr>
      </w:pPr>
      <w:r w:rsidRPr="002A793E">
        <w:rPr>
          <w:rFonts w:ascii="Times New Roman" w:hAnsi="Times New Roman" w:cs="Times New Roman"/>
          <w:b/>
          <w:bCs/>
          <w:color w:val="000000" w:themeColor="text1"/>
          <w:sz w:val="28"/>
          <w:szCs w:val="28"/>
          <w:lang w:val="es-ES"/>
        </w:rPr>
        <w:t>TEXTO</w:t>
      </w:r>
      <w:r w:rsidRPr="002A793E">
        <w:rPr>
          <w:rFonts w:ascii="Times New Roman" w:eastAsia="Calibri" w:hAnsi="Times New Roman" w:cs="Times New Roman"/>
          <w:b/>
          <w:bCs/>
          <w:color w:val="000000" w:themeColor="text1"/>
          <w:sz w:val="28"/>
          <w:szCs w:val="28"/>
          <w:u w:color="000000"/>
          <w:lang w:val="es-ES"/>
        </w:rPr>
        <w:t xml:space="preserve"> DE LA NORMA DEMANDADA</w:t>
      </w:r>
    </w:p>
    <w:p w:rsidR="00852E35" w:rsidRPr="002A793E" w:rsidRDefault="002A793E" w:rsidP="00852E35">
      <w:pPr>
        <w:pStyle w:val="Prrafodelista"/>
        <w:ind w:left="0"/>
        <w:rPr>
          <w:rFonts w:ascii="Times New Roman" w:eastAsia="Calibri" w:hAnsi="Times New Roman" w:cs="Times New Roman"/>
          <w:bCs/>
          <w:color w:val="000000" w:themeColor="text1"/>
          <w:sz w:val="28"/>
          <w:szCs w:val="28"/>
          <w:u w:color="000000"/>
          <w:lang w:val="es-ES"/>
        </w:rPr>
      </w:pPr>
    </w:p>
    <w:p w:rsidR="00852E35" w:rsidRPr="002A793E" w:rsidRDefault="002A793E" w:rsidP="00852E35">
      <w:pPr>
        <w:pStyle w:val="Prrafodelista"/>
        <w:numPr>
          <w:ilvl w:val="0"/>
          <w:numId w:val="2"/>
        </w:numPr>
        <w:ind w:left="0" w:firstLine="0"/>
        <w:rPr>
          <w:rFonts w:ascii="Times New Roman" w:eastAsia="Calibri" w:hAnsi="Times New Roman" w:cs="Times New Roman"/>
          <w:bCs/>
          <w:color w:val="000000" w:themeColor="text1"/>
          <w:sz w:val="28"/>
          <w:szCs w:val="28"/>
          <w:u w:color="000000"/>
          <w:lang w:val="es-ES"/>
        </w:rPr>
      </w:pPr>
      <w:r w:rsidRPr="002A793E">
        <w:rPr>
          <w:rFonts w:ascii="Times New Roman" w:eastAsia="Calibri" w:hAnsi="Times New Roman" w:cs="Times New Roman"/>
          <w:bCs/>
          <w:color w:val="000000" w:themeColor="text1"/>
          <w:sz w:val="28"/>
          <w:szCs w:val="28"/>
          <w:u w:color="000000"/>
          <w:lang w:val="es-ES"/>
        </w:rPr>
        <w:t>A continuación, se transcribe</w:t>
      </w:r>
      <w:r w:rsidRPr="002A793E">
        <w:rPr>
          <w:rFonts w:ascii="Times New Roman" w:eastAsia="Calibri" w:hAnsi="Times New Roman" w:cs="Times New Roman"/>
          <w:bCs/>
          <w:color w:val="000000" w:themeColor="text1"/>
          <w:sz w:val="28"/>
          <w:szCs w:val="28"/>
          <w:u w:color="000000"/>
          <w:lang w:val="es-ES"/>
        </w:rPr>
        <w:t xml:space="preserve"> la norma demandada</w:t>
      </w:r>
      <w:r w:rsidRPr="002A793E">
        <w:rPr>
          <w:rFonts w:ascii="Times New Roman" w:eastAsia="Calibri" w:hAnsi="Times New Roman" w:cs="Times New Roman"/>
          <w:bCs/>
          <w:color w:val="000000" w:themeColor="text1"/>
          <w:sz w:val="28"/>
          <w:szCs w:val="28"/>
          <w:u w:color="000000"/>
          <w:lang w:val="es-ES"/>
        </w:rPr>
        <w:t xml:space="preserve"> y se subrayan los apartes acusados</w:t>
      </w:r>
      <w:r w:rsidRPr="002A793E">
        <w:rPr>
          <w:rFonts w:ascii="Times New Roman" w:eastAsia="Calibri" w:hAnsi="Times New Roman" w:cs="Times New Roman"/>
          <w:bCs/>
          <w:color w:val="000000" w:themeColor="text1"/>
          <w:sz w:val="28"/>
          <w:szCs w:val="28"/>
          <w:u w:color="000000"/>
          <w:lang w:val="es-ES"/>
        </w:rPr>
        <w:t xml:space="preserve"> en los cargos admitidos</w:t>
      </w:r>
      <w:r w:rsidRPr="002A793E">
        <w:rPr>
          <w:rFonts w:ascii="Times New Roman" w:eastAsia="Calibri" w:hAnsi="Times New Roman" w:cs="Times New Roman"/>
          <w:bCs/>
          <w:color w:val="000000" w:themeColor="text1"/>
          <w:sz w:val="28"/>
          <w:szCs w:val="28"/>
          <w:u w:color="000000"/>
          <w:lang w:val="es-ES"/>
        </w:rPr>
        <w:t>:</w:t>
      </w:r>
    </w:p>
    <w:p w:rsidR="00852E35" w:rsidRPr="002A793E" w:rsidRDefault="002A793E" w:rsidP="00852E35">
      <w:pPr>
        <w:pStyle w:val="Sinespaciado"/>
        <w:rPr>
          <w:rFonts w:ascii="Times New Roman" w:hAnsi="Times New Roman"/>
          <w:sz w:val="28"/>
          <w:lang w:val="es-ES"/>
        </w:rPr>
      </w:pPr>
    </w:p>
    <w:p w:rsidR="00D8793B" w:rsidRPr="002A793E" w:rsidRDefault="002A793E" w:rsidP="007968CA">
      <w:pPr>
        <w:pStyle w:val="centrado"/>
        <w:spacing w:line="270" w:lineRule="atLeast"/>
        <w:ind w:left="709"/>
        <w:jc w:val="center"/>
        <w:rPr>
          <w:color w:val="4B4949"/>
          <w:sz w:val="28"/>
          <w:lang w:val="es-ES"/>
        </w:rPr>
      </w:pPr>
      <w:r w:rsidRPr="002A793E">
        <w:rPr>
          <w:b/>
          <w:bCs/>
          <w:sz w:val="28"/>
          <w:lang w:val="es-ES"/>
        </w:rPr>
        <w:t>“</w:t>
      </w:r>
      <w:r w:rsidRPr="002A793E">
        <w:rPr>
          <w:b/>
          <w:bCs/>
          <w:color w:val="000000"/>
          <w:sz w:val="28"/>
          <w:lang w:val="es-ES"/>
        </w:rPr>
        <w:t>LEY 2294 DE 2023</w:t>
      </w:r>
    </w:p>
    <w:p w:rsidR="00D8793B" w:rsidRPr="002A793E" w:rsidRDefault="002A793E" w:rsidP="007968CA">
      <w:pPr>
        <w:spacing w:before="100" w:beforeAutospacing="1" w:after="100" w:afterAutospacing="1" w:line="270" w:lineRule="atLeast"/>
        <w:ind w:left="709"/>
        <w:jc w:val="center"/>
        <w:rPr>
          <w:rFonts w:ascii="Times New Roman" w:eastAsia="Times New Roman" w:hAnsi="Times New Roman" w:cs="Times New Roman"/>
          <w:color w:val="4B4949"/>
          <w:sz w:val="28"/>
          <w:szCs w:val="24"/>
          <w:lang w:val="es-ES"/>
        </w:rPr>
      </w:pPr>
      <w:r w:rsidRPr="002A793E">
        <w:rPr>
          <w:rFonts w:ascii="Times New Roman" w:eastAsia="Times New Roman" w:hAnsi="Times New Roman" w:cs="Times New Roman"/>
          <w:color w:val="4B4949"/>
          <w:sz w:val="28"/>
          <w:szCs w:val="24"/>
          <w:lang w:val="es-ES"/>
        </w:rPr>
        <w:t>(mayo 19)</w:t>
      </w:r>
      <w:r w:rsidRPr="002A793E">
        <w:rPr>
          <w:rStyle w:val="Refdenotaalpie"/>
          <w:rFonts w:ascii="Times New Roman" w:eastAsia="Times New Roman" w:hAnsi="Times New Roman" w:cs="Times New Roman"/>
          <w:color w:val="4B4949"/>
          <w:sz w:val="28"/>
          <w:szCs w:val="24"/>
          <w:lang w:val="es-ES"/>
        </w:rPr>
        <w:footnoteReference w:id="13"/>
      </w:r>
    </w:p>
    <w:p w:rsidR="00D8793B" w:rsidRPr="002A793E" w:rsidRDefault="002A793E" w:rsidP="007968CA">
      <w:pPr>
        <w:spacing w:before="100" w:beforeAutospacing="1" w:after="100" w:afterAutospacing="1" w:line="270" w:lineRule="atLeast"/>
        <w:ind w:left="709"/>
        <w:jc w:val="center"/>
        <w:rPr>
          <w:rFonts w:ascii="Times New Roman" w:eastAsia="Times New Roman" w:hAnsi="Times New Roman" w:cs="Times New Roman"/>
          <w:color w:val="4B4949"/>
          <w:sz w:val="28"/>
          <w:szCs w:val="24"/>
          <w:lang w:val="es-ES"/>
        </w:rPr>
      </w:pPr>
      <w:r w:rsidRPr="002A793E">
        <w:rPr>
          <w:rFonts w:ascii="Times New Roman" w:eastAsia="Times New Roman" w:hAnsi="Times New Roman" w:cs="Times New Roman"/>
          <w:b/>
          <w:bCs/>
          <w:color w:val="000000"/>
          <w:sz w:val="28"/>
          <w:szCs w:val="24"/>
          <w:lang w:val="es-ES"/>
        </w:rPr>
        <w:t>PODER PÚBLICO - RAMA LEGISLATIVA</w:t>
      </w:r>
    </w:p>
    <w:p w:rsidR="00D8793B" w:rsidRPr="002A793E" w:rsidRDefault="002A793E" w:rsidP="007968CA">
      <w:pPr>
        <w:spacing w:before="100" w:beforeAutospacing="1" w:after="100" w:afterAutospacing="1" w:line="270" w:lineRule="atLeast"/>
        <w:ind w:left="709"/>
        <w:jc w:val="center"/>
        <w:rPr>
          <w:rFonts w:ascii="Times New Roman" w:eastAsia="Times New Roman" w:hAnsi="Times New Roman" w:cs="Times New Roman"/>
          <w:color w:val="4B4949"/>
          <w:sz w:val="28"/>
          <w:szCs w:val="24"/>
          <w:lang w:val="es-ES"/>
        </w:rPr>
      </w:pPr>
      <w:r w:rsidRPr="002A793E">
        <w:rPr>
          <w:rFonts w:ascii="Times New Roman" w:eastAsia="Times New Roman" w:hAnsi="Times New Roman" w:cs="Times New Roman"/>
          <w:color w:val="4B4949"/>
          <w:sz w:val="28"/>
          <w:szCs w:val="24"/>
          <w:lang w:val="es-ES"/>
        </w:rPr>
        <w:t xml:space="preserve">Por el cual se expide el Plan Nacional de Desarrollo 2022-2026 </w:t>
      </w:r>
      <w:r w:rsidRPr="002A793E">
        <w:rPr>
          <w:rFonts w:ascii="Times New Roman" w:eastAsia="Times New Roman" w:hAnsi="Times New Roman" w:cs="Times New Roman"/>
          <w:color w:val="4B4949"/>
          <w:sz w:val="28"/>
          <w:szCs w:val="24"/>
          <w:lang w:val="es-ES"/>
        </w:rPr>
        <w:t>‘</w:t>
      </w:r>
      <w:r w:rsidRPr="002A793E">
        <w:rPr>
          <w:rFonts w:ascii="Times New Roman" w:eastAsia="Times New Roman" w:hAnsi="Times New Roman" w:cs="Times New Roman"/>
          <w:color w:val="4B4949"/>
          <w:sz w:val="28"/>
          <w:szCs w:val="24"/>
          <w:lang w:val="es-ES"/>
        </w:rPr>
        <w:t>Colombia Potencia Mundial de la Vida</w:t>
      </w:r>
      <w:r w:rsidRPr="002A793E">
        <w:rPr>
          <w:rFonts w:ascii="Times New Roman" w:eastAsia="Times New Roman" w:hAnsi="Times New Roman" w:cs="Times New Roman"/>
          <w:color w:val="4B4949"/>
          <w:sz w:val="28"/>
          <w:szCs w:val="24"/>
          <w:lang w:val="es-ES"/>
        </w:rPr>
        <w:t>’</w:t>
      </w:r>
      <w:r w:rsidRPr="002A793E">
        <w:rPr>
          <w:rFonts w:ascii="Times New Roman" w:eastAsia="Times New Roman" w:hAnsi="Times New Roman" w:cs="Times New Roman"/>
          <w:color w:val="4B4949"/>
          <w:sz w:val="28"/>
          <w:szCs w:val="24"/>
          <w:lang w:val="es-ES"/>
        </w:rPr>
        <w:t>.</w:t>
      </w:r>
    </w:p>
    <w:p w:rsidR="00D8793B" w:rsidRPr="002A793E" w:rsidRDefault="002A793E" w:rsidP="007968CA">
      <w:pPr>
        <w:spacing w:before="100" w:beforeAutospacing="1" w:after="100" w:afterAutospacing="1" w:line="270" w:lineRule="atLeast"/>
        <w:ind w:left="709"/>
        <w:jc w:val="center"/>
        <w:rPr>
          <w:rFonts w:ascii="Times New Roman" w:eastAsia="Times New Roman" w:hAnsi="Times New Roman" w:cs="Times New Roman"/>
          <w:color w:val="4B4949"/>
          <w:sz w:val="28"/>
          <w:szCs w:val="24"/>
          <w:lang w:val="es-ES"/>
        </w:rPr>
      </w:pPr>
      <w:r w:rsidRPr="002A793E">
        <w:rPr>
          <w:rFonts w:ascii="Times New Roman" w:eastAsia="Times New Roman" w:hAnsi="Times New Roman" w:cs="Times New Roman"/>
          <w:b/>
          <w:bCs/>
          <w:color w:val="000000"/>
          <w:sz w:val="28"/>
          <w:szCs w:val="24"/>
          <w:lang w:val="es-ES"/>
        </w:rPr>
        <w:t> EL CONGRESO DE COLOMBIA,</w:t>
      </w:r>
    </w:p>
    <w:p w:rsidR="00D8793B" w:rsidRPr="002A793E" w:rsidRDefault="002A793E" w:rsidP="007968CA">
      <w:pPr>
        <w:spacing w:before="100" w:beforeAutospacing="1" w:after="100" w:afterAutospacing="1" w:line="270" w:lineRule="atLeast"/>
        <w:ind w:left="709"/>
        <w:jc w:val="center"/>
        <w:rPr>
          <w:rFonts w:ascii="Times New Roman" w:eastAsia="Times New Roman" w:hAnsi="Times New Roman" w:cs="Times New Roman"/>
          <w:color w:val="4B4949"/>
          <w:sz w:val="28"/>
          <w:szCs w:val="24"/>
          <w:lang w:val="es-ES"/>
        </w:rPr>
      </w:pPr>
      <w:r w:rsidRPr="002A793E">
        <w:rPr>
          <w:rFonts w:ascii="Times New Roman" w:eastAsia="Times New Roman" w:hAnsi="Times New Roman" w:cs="Times New Roman"/>
          <w:b/>
          <w:bCs/>
          <w:color w:val="000000"/>
          <w:sz w:val="28"/>
          <w:szCs w:val="24"/>
          <w:lang w:val="es-ES"/>
        </w:rPr>
        <w:t>DECRETA:</w:t>
      </w:r>
    </w:p>
    <w:p w:rsidR="00D8793B" w:rsidRPr="002A793E" w:rsidRDefault="002A793E" w:rsidP="007968CA">
      <w:pPr>
        <w:pStyle w:val="NormalWeb"/>
        <w:ind w:left="709"/>
        <w:contextualSpacing/>
        <w:rPr>
          <w:color w:val="000000" w:themeColor="text1"/>
          <w:sz w:val="28"/>
          <w:lang w:val="es-ES"/>
        </w:rPr>
      </w:pPr>
      <w:bookmarkStart w:id="4" w:name="61"/>
      <w:r w:rsidRPr="002A793E">
        <w:rPr>
          <w:b/>
          <w:bCs/>
          <w:color w:val="000000" w:themeColor="text1"/>
          <w:sz w:val="28"/>
          <w:lang w:val="es-ES"/>
        </w:rPr>
        <w:t>ARTÍCULO 61. MECANISMOS PARA FACILITAR Y DINAMIZAR LOS PROCESOS DE COMPRA DE TIERRAS POR OFERTA VOLUNTARIA.</w:t>
      </w:r>
      <w:bookmarkEnd w:id="4"/>
      <w:r w:rsidRPr="002A793E">
        <w:rPr>
          <w:color w:val="000000" w:themeColor="text1"/>
          <w:sz w:val="28"/>
          <w:lang w:val="es-ES"/>
        </w:rPr>
        <w:t> En el marc</w:t>
      </w:r>
      <w:r w:rsidRPr="002A793E">
        <w:rPr>
          <w:color w:val="000000" w:themeColor="text1"/>
          <w:sz w:val="28"/>
          <w:lang w:val="es-ES"/>
        </w:rPr>
        <w:t>o del procedimiento de compra por oferta voluntaria de tierras, que se destinarán al fondo de tierras a cargo de la Agencia Nacional de Tierras (ANT), podrán adelantarse las siguientes medidas:</w:t>
      </w:r>
    </w:p>
    <w:p w:rsidR="00D8793B" w:rsidRPr="002A793E" w:rsidRDefault="002A793E" w:rsidP="007968CA">
      <w:pPr>
        <w:pStyle w:val="NormalWeb"/>
        <w:ind w:left="709"/>
        <w:contextualSpacing/>
        <w:rPr>
          <w:color w:val="000000" w:themeColor="text1"/>
          <w:sz w:val="28"/>
          <w:lang w:val="es-ES"/>
        </w:rPr>
      </w:pPr>
    </w:p>
    <w:p w:rsidR="00332AA6" w:rsidRPr="002A793E" w:rsidRDefault="002A793E" w:rsidP="007968CA">
      <w:pPr>
        <w:pStyle w:val="NormalWeb"/>
        <w:ind w:left="709"/>
        <w:contextualSpacing/>
        <w:rPr>
          <w:color w:val="000000" w:themeColor="text1"/>
          <w:sz w:val="28"/>
          <w:lang w:val="es-ES"/>
        </w:rPr>
      </w:pPr>
      <w:bookmarkStart w:id="5" w:name="TÍTULO_I"/>
      <w:r w:rsidRPr="002A793E">
        <w:rPr>
          <w:color w:val="000000" w:themeColor="text1"/>
          <w:sz w:val="28"/>
          <w:lang w:val="es-ES"/>
        </w:rPr>
        <w:t>(…)</w:t>
      </w:r>
    </w:p>
    <w:p w:rsidR="00D8793B" w:rsidRPr="002A793E" w:rsidRDefault="002A793E" w:rsidP="007968CA">
      <w:pPr>
        <w:pStyle w:val="NormalWeb"/>
        <w:ind w:left="709"/>
        <w:contextualSpacing/>
        <w:rPr>
          <w:color w:val="000000" w:themeColor="text1"/>
          <w:sz w:val="28"/>
          <w:lang w:val="es-ES"/>
        </w:rPr>
      </w:pPr>
      <w:r w:rsidRPr="002A793E">
        <w:rPr>
          <w:color w:val="000000" w:themeColor="text1"/>
          <w:sz w:val="28"/>
          <w:lang w:val="es-ES"/>
        </w:rPr>
        <w:t xml:space="preserve"> </w:t>
      </w:r>
    </w:p>
    <w:p w:rsidR="00D8793B" w:rsidRPr="002A793E" w:rsidRDefault="002A793E" w:rsidP="007968CA">
      <w:pPr>
        <w:pStyle w:val="NormalWeb"/>
        <w:ind w:left="709"/>
        <w:contextualSpacing/>
        <w:rPr>
          <w:color w:val="000000" w:themeColor="text1"/>
          <w:sz w:val="28"/>
          <w:u w:val="single"/>
          <w:lang w:val="es-ES"/>
        </w:rPr>
      </w:pPr>
      <w:r w:rsidRPr="002A793E">
        <w:rPr>
          <w:color w:val="000000" w:themeColor="text1"/>
          <w:sz w:val="28"/>
          <w:lang w:val="es-ES"/>
        </w:rPr>
        <w:t>6</w:t>
      </w:r>
      <w:r w:rsidRPr="002A793E">
        <w:rPr>
          <w:color w:val="000000" w:themeColor="text1"/>
          <w:sz w:val="28"/>
          <w:u w:val="single"/>
          <w:lang w:val="es-ES"/>
        </w:rPr>
        <w:t>. </w:t>
      </w:r>
      <w:r w:rsidRPr="002A793E">
        <w:rPr>
          <w:rStyle w:val="baj"/>
          <w:b/>
          <w:bCs/>
          <w:color w:val="000000" w:themeColor="text1"/>
          <w:sz w:val="28"/>
          <w:u w:val="single"/>
          <w:lang w:val="es-ES"/>
        </w:rPr>
        <w:t xml:space="preserve">Procedimientos de la autoridad de tierras que </w:t>
      </w:r>
      <w:r w:rsidRPr="002A793E">
        <w:rPr>
          <w:rStyle w:val="baj"/>
          <w:b/>
          <w:bCs/>
          <w:color w:val="000000" w:themeColor="text1"/>
          <w:sz w:val="28"/>
          <w:u w:val="single"/>
          <w:lang w:val="es-ES"/>
        </w:rPr>
        <w:t>deberán ser resueltos en fase administrativa</w:t>
      </w:r>
      <w:r w:rsidRPr="002A793E">
        <w:rPr>
          <w:color w:val="000000" w:themeColor="text1"/>
          <w:sz w:val="28"/>
          <w:u w:val="single"/>
          <w:lang w:val="es-ES"/>
        </w:rPr>
        <w:t>. Para los asuntos de que trata los numerales 4, 5 y 7 del artículo</w:t>
      </w:r>
      <w:r w:rsidRPr="002A793E">
        <w:rPr>
          <w:color w:val="000000" w:themeColor="text1"/>
          <w:sz w:val="28"/>
          <w:u w:val="single"/>
          <w:lang w:val="es-ES"/>
        </w:rPr>
        <w:t xml:space="preserve"> </w:t>
      </w:r>
      <w:hyperlink r:id="rId8" w:anchor="58" w:history="1">
        <w:r w:rsidRPr="002A793E">
          <w:rPr>
            <w:rStyle w:val="Hipervnculo"/>
            <w:color w:val="000000" w:themeColor="text1"/>
            <w:sz w:val="28"/>
            <w:lang w:val="es-ES"/>
          </w:rPr>
          <w:t>58</w:t>
        </w:r>
      </w:hyperlink>
      <w:r w:rsidRPr="002A793E">
        <w:rPr>
          <w:rStyle w:val="Hipervnculo"/>
          <w:color w:val="000000" w:themeColor="text1"/>
          <w:sz w:val="28"/>
          <w:lang w:val="es-ES"/>
        </w:rPr>
        <w:t xml:space="preserve"> </w:t>
      </w:r>
      <w:r w:rsidRPr="002A793E">
        <w:rPr>
          <w:color w:val="000000" w:themeColor="text1"/>
          <w:sz w:val="28"/>
          <w:u w:val="single"/>
          <w:lang w:val="es-ES"/>
        </w:rPr>
        <w:t>del Decreto Ley 902 de 2017, la Agenci</w:t>
      </w:r>
      <w:r w:rsidRPr="002A793E">
        <w:rPr>
          <w:color w:val="000000" w:themeColor="text1"/>
          <w:sz w:val="28"/>
          <w:u w:val="single"/>
          <w:lang w:val="es-ES"/>
        </w:rPr>
        <w:t>a Nacional de Tierras (ANT), mediante acto administrativo fundamentado en el informe técnico-jurídico definitivo y demás pruebas recaudadas, tomará la decisión de fondo que corresponda.</w:t>
      </w:r>
    </w:p>
    <w:p w:rsidR="00232568" w:rsidRPr="002A793E" w:rsidRDefault="002A793E" w:rsidP="007968CA">
      <w:pPr>
        <w:pStyle w:val="NormalWeb"/>
        <w:ind w:left="709"/>
        <w:contextualSpacing/>
        <w:rPr>
          <w:color w:val="000000" w:themeColor="text1"/>
          <w:sz w:val="28"/>
          <w:u w:val="single"/>
          <w:lang w:val="es-ES"/>
        </w:rPr>
      </w:pPr>
    </w:p>
    <w:p w:rsidR="00D8793B" w:rsidRPr="002A793E" w:rsidRDefault="002A793E" w:rsidP="007968CA">
      <w:pPr>
        <w:pStyle w:val="NormalWeb"/>
        <w:ind w:left="709"/>
        <w:contextualSpacing/>
        <w:rPr>
          <w:color w:val="000000" w:themeColor="text1"/>
          <w:sz w:val="28"/>
          <w:u w:val="single"/>
          <w:lang w:val="es-ES"/>
        </w:rPr>
      </w:pPr>
      <w:r w:rsidRPr="002A793E">
        <w:rPr>
          <w:color w:val="000000" w:themeColor="text1"/>
          <w:sz w:val="28"/>
          <w:u w:val="single"/>
          <w:lang w:val="es-ES"/>
        </w:rPr>
        <w:t xml:space="preserve">En firme dicho acto administrativo, la ANT procederá a su radicación </w:t>
      </w:r>
      <w:r w:rsidRPr="002A793E">
        <w:rPr>
          <w:color w:val="000000" w:themeColor="text1"/>
          <w:sz w:val="28"/>
          <w:u w:val="single"/>
          <w:lang w:val="es-ES"/>
        </w:rPr>
        <w:t>en la Oficina de Registro de Instrumentos Públicos del círculo donde se encuentra el predio, con el fin de que se realice el respectivo registro en el folio de matrícula inmobiliaria.</w:t>
      </w:r>
    </w:p>
    <w:p w:rsidR="00232568" w:rsidRPr="002A793E" w:rsidRDefault="002A793E" w:rsidP="007968CA">
      <w:pPr>
        <w:pStyle w:val="NormalWeb"/>
        <w:ind w:left="709"/>
        <w:contextualSpacing/>
        <w:rPr>
          <w:color w:val="000000" w:themeColor="text1"/>
          <w:sz w:val="28"/>
          <w:lang w:val="es-ES"/>
        </w:rPr>
      </w:pPr>
    </w:p>
    <w:p w:rsidR="00D8793B" w:rsidRPr="002A793E" w:rsidRDefault="002A793E" w:rsidP="007968CA">
      <w:pPr>
        <w:pStyle w:val="NormalWeb"/>
        <w:ind w:left="709"/>
        <w:contextualSpacing/>
        <w:rPr>
          <w:color w:val="000000" w:themeColor="text1"/>
          <w:sz w:val="28"/>
          <w:u w:val="single"/>
          <w:lang w:val="es-ES"/>
        </w:rPr>
      </w:pPr>
      <w:bookmarkStart w:id="6" w:name="_Hlk163572591"/>
      <w:r w:rsidRPr="002A793E">
        <w:rPr>
          <w:color w:val="000000" w:themeColor="text1"/>
          <w:sz w:val="28"/>
          <w:u w:val="single"/>
          <w:lang w:val="es-ES"/>
        </w:rPr>
        <w:t>Los particulares que aduzcan tener derechos reales sobre los predios so</w:t>
      </w:r>
      <w:r w:rsidRPr="002A793E">
        <w:rPr>
          <w:color w:val="000000" w:themeColor="text1"/>
          <w:sz w:val="28"/>
          <w:u w:val="single"/>
          <w:lang w:val="es-ES"/>
        </w:rPr>
        <w:t>metidos a los asuntos indicados, podrán ejercer únicamente la acción de nulidad agraria de que trata el artículo </w:t>
      </w:r>
      <w:hyperlink r:id="rId9" w:anchor="39" w:history="1">
        <w:r w:rsidRPr="002A793E">
          <w:rPr>
            <w:rStyle w:val="Hipervnculo"/>
            <w:color w:val="000000" w:themeColor="text1"/>
            <w:sz w:val="28"/>
            <w:lang w:val="es-ES"/>
          </w:rPr>
          <w:t>39</w:t>
        </w:r>
      </w:hyperlink>
      <w:r w:rsidRPr="002A793E">
        <w:rPr>
          <w:color w:val="000000" w:themeColor="text1"/>
          <w:sz w:val="28"/>
          <w:u w:val="single"/>
          <w:lang w:val="es-ES"/>
        </w:rPr>
        <w:t> de dicho decreto.</w:t>
      </w:r>
    </w:p>
    <w:p w:rsidR="00232568" w:rsidRPr="002A793E" w:rsidRDefault="002A793E" w:rsidP="007968CA">
      <w:pPr>
        <w:pStyle w:val="NormalWeb"/>
        <w:ind w:left="709"/>
        <w:contextualSpacing/>
        <w:rPr>
          <w:color w:val="000000" w:themeColor="text1"/>
          <w:sz w:val="28"/>
          <w:lang w:val="es-ES"/>
        </w:rPr>
      </w:pPr>
    </w:p>
    <w:p w:rsidR="00D8793B" w:rsidRPr="002A793E" w:rsidRDefault="002A793E" w:rsidP="007968CA">
      <w:pPr>
        <w:pStyle w:val="NormalWeb"/>
        <w:ind w:left="709"/>
        <w:contextualSpacing/>
        <w:rPr>
          <w:color w:val="000000" w:themeColor="text1"/>
          <w:sz w:val="28"/>
          <w:lang w:val="es-ES"/>
        </w:rPr>
      </w:pPr>
      <w:r w:rsidRPr="002A793E">
        <w:rPr>
          <w:color w:val="000000" w:themeColor="text1"/>
          <w:sz w:val="28"/>
          <w:lang w:val="es-ES"/>
        </w:rPr>
        <w:t xml:space="preserve">Dicha acción operará </w:t>
      </w:r>
      <w:r w:rsidRPr="002A793E">
        <w:rPr>
          <w:color w:val="000000" w:themeColor="text1"/>
          <w:sz w:val="28"/>
          <w:lang w:val="es-ES"/>
        </w:rPr>
        <w:t>como control judicial frente al acto administrativo en el que se toma la decisión de fondo. Para su interposición, el accionante contará con un término de tres (3) años, contados a partir de la fecha de inscripción del acto administrativo en el folio de ma</w:t>
      </w:r>
      <w:r w:rsidRPr="002A793E">
        <w:rPr>
          <w:color w:val="000000" w:themeColor="text1"/>
          <w:sz w:val="28"/>
          <w:lang w:val="es-ES"/>
        </w:rPr>
        <w:t>trícula inmobiliaria. Esta acción podrá interponerse directamente, sin necesidad de haber agotado los recursos contra el acto administrativo.</w:t>
      </w:r>
    </w:p>
    <w:bookmarkEnd w:id="6"/>
    <w:p w:rsidR="00232568" w:rsidRPr="002A793E" w:rsidRDefault="002A793E" w:rsidP="007968CA">
      <w:pPr>
        <w:pStyle w:val="NormalWeb"/>
        <w:ind w:left="709"/>
        <w:contextualSpacing/>
        <w:rPr>
          <w:color w:val="000000" w:themeColor="text1"/>
          <w:sz w:val="28"/>
          <w:lang w:val="es-ES"/>
        </w:rPr>
      </w:pPr>
    </w:p>
    <w:p w:rsidR="00D8793B" w:rsidRPr="002A793E" w:rsidRDefault="002A793E" w:rsidP="007968CA">
      <w:pPr>
        <w:pStyle w:val="NormalWeb"/>
        <w:ind w:left="709"/>
        <w:contextualSpacing/>
        <w:rPr>
          <w:color w:val="000000" w:themeColor="text1"/>
          <w:sz w:val="28"/>
          <w:lang w:val="es-ES"/>
        </w:rPr>
      </w:pPr>
      <w:r w:rsidRPr="002A793E">
        <w:rPr>
          <w:color w:val="000000" w:themeColor="text1"/>
          <w:sz w:val="28"/>
          <w:lang w:val="es-ES"/>
        </w:rPr>
        <w:t>En los eventos en los que el juez disponga la suspensión provisional del acto administrativo en el marco de la ac</w:t>
      </w:r>
      <w:r w:rsidRPr="002A793E">
        <w:rPr>
          <w:color w:val="000000" w:themeColor="text1"/>
          <w:sz w:val="28"/>
          <w:lang w:val="es-ES"/>
        </w:rPr>
        <w:t>ción de nulidad agraria, la ANT podrá disponer del inmueble conforme a sus competencias legales, siempre y cuando constituya una reserva destinada a cumplir las órdenes judiciales que se puedan dar en favor de los accionantes. Dicha reserva podrá ser const</w:t>
      </w:r>
      <w:r w:rsidRPr="002A793E">
        <w:rPr>
          <w:color w:val="000000" w:themeColor="text1"/>
          <w:sz w:val="28"/>
          <w:lang w:val="es-ES"/>
        </w:rPr>
        <w:t>ituida con recursos de su presupuesto, vehículos financieros públicos y/o cuentas especiales de la Nación.</w:t>
      </w:r>
    </w:p>
    <w:p w:rsidR="00232568" w:rsidRPr="002A793E" w:rsidRDefault="002A793E" w:rsidP="007968CA">
      <w:pPr>
        <w:pStyle w:val="NormalWeb"/>
        <w:ind w:left="709"/>
        <w:contextualSpacing/>
        <w:rPr>
          <w:color w:val="000000" w:themeColor="text1"/>
          <w:sz w:val="28"/>
          <w:lang w:val="es-ES"/>
        </w:rPr>
      </w:pPr>
    </w:p>
    <w:p w:rsidR="00D8793B" w:rsidRPr="002A793E" w:rsidRDefault="002A793E" w:rsidP="007968CA">
      <w:pPr>
        <w:pStyle w:val="NormalWeb"/>
        <w:ind w:left="709"/>
        <w:contextualSpacing/>
        <w:rPr>
          <w:color w:val="000000" w:themeColor="text1"/>
          <w:sz w:val="28"/>
          <w:u w:val="single"/>
          <w:lang w:val="es-ES"/>
        </w:rPr>
      </w:pPr>
      <w:r w:rsidRPr="002A793E">
        <w:rPr>
          <w:color w:val="000000" w:themeColor="text1"/>
          <w:sz w:val="28"/>
          <w:u w:val="single"/>
          <w:lang w:val="es-ES"/>
        </w:rPr>
        <w:t>Los procedimientos especiales agrarios que hubiesen pasado a etapa judicial, empero no hayan surtido la fase probatoria en dicha instancia, podrán s</w:t>
      </w:r>
      <w:r w:rsidRPr="002A793E">
        <w:rPr>
          <w:color w:val="000000" w:themeColor="text1"/>
          <w:sz w:val="28"/>
          <w:u w:val="single"/>
          <w:lang w:val="es-ES"/>
        </w:rPr>
        <w:t>er reasumidos, mediante acto administrativo, por la Agencia Nacional de Tierras y tramitarse atendiendo las disposiciones acá contenidas.</w:t>
      </w:r>
    </w:p>
    <w:p w:rsidR="00232568" w:rsidRPr="002A793E" w:rsidRDefault="002A793E" w:rsidP="007968CA">
      <w:pPr>
        <w:pStyle w:val="NormalWeb"/>
        <w:ind w:left="709"/>
        <w:contextualSpacing/>
        <w:rPr>
          <w:color w:val="000000" w:themeColor="text1"/>
          <w:sz w:val="28"/>
          <w:lang w:val="es-ES"/>
        </w:rPr>
      </w:pPr>
    </w:p>
    <w:p w:rsidR="00232568" w:rsidRPr="002A793E" w:rsidRDefault="002A793E" w:rsidP="007968CA">
      <w:pPr>
        <w:pStyle w:val="NormalWeb"/>
        <w:ind w:left="709"/>
        <w:contextualSpacing/>
        <w:rPr>
          <w:rStyle w:val="baj"/>
          <w:bCs/>
          <w:color w:val="000000" w:themeColor="text1"/>
          <w:sz w:val="28"/>
          <w:lang w:val="es-ES"/>
        </w:rPr>
      </w:pPr>
      <w:r w:rsidRPr="002A793E">
        <w:rPr>
          <w:rStyle w:val="baj"/>
          <w:bCs/>
          <w:color w:val="000000" w:themeColor="text1"/>
          <w:sz w:val="28"/>
          <w:lang w:val="es-ES"/>
        </w:rPr>
        <w:t xml:space="preserve">(…) </w:t>
      </w:r>
    </w:p>
    <w:p w:rsidR="00232568" w:rsidRPr="002A793E" w:rsidRDefault="002A793E" w:rsidP="007968CA">
      <w:pPr>
        <w:pStyle w:val="NormalWeb"/>
        <w:ind w:left="709"/>
        <w:contextualSpacing/>
        <w:rPr>
          <w:rStyle w:val="baj"/>
          <w:bCs/>
          <w:color w:val="000000" w:themeColor="text1"/>
          <w:sz w:val="28"/>
          <w:lang w:val="es-ES"/>
        </w:rPr>
      </w:pPr>
    </w:p>
    <w:p w:rsidR="00232568" w:rsidRPr="002A793E" w:rsidRDefault="002A793E" w:rsidP="00F8351E">
      <w:pPr>
        <w:pStyle w:val="NormalWeb"/>
        <w:ind w:left="709"/>
        <w:contextualSpacing/>
        <w:rPr>
          <w:color w:val="000000" w:themeColor="text1"/>
          <w:sz w:val="28"/>
          <w:u w:val="single"/>
          <w:lang w:val="es-ES"/>
        </w:rPr>
      </w:pPr>
      <w:r w:rsidRPr="002A793E">
        <w:rPr>
          <w:rStyle w:val="baj"/>
          <w:b/>
          <w:bCs/>
          <w:color w:val="000000" w:themeColor="text1"/>
          <w:sz w:val="28"/>
          <w:u w:val="single"/>
          <w:lang w:val="es-ES"/>
        </w:rPr>
        <w:t>PARÁGRAFO 3o.</w:t>
      </w:r>
      <w:r w:rsidRPr="002A793E">
        <w:rPr>
          <w:color w:val="000000" w:themeColor="text1"/>
          <w:sz w:val="28"/>
          <w:u w:val="single"/>
          <w:lang w:val="es-ES"/>
        </w:rPr>
        <w:t> El numeral 6 del presente artículo deroga el inciso segundo del artículo </w:t>
      </w:r>
      <w:hyperlink r:id="rId10" w:anchor="39" w:history="1">
        <w:r w:rsidRPr="002A793E">
          <w:rPr>
            <w:rStyle w:val="Hipervnculo"/>
            <w:color w:val="000000" w:themeColor="text1"/>
            <w:sz w:val="28"/>
            <w:lang w:val="es-ES"/>
          </w:rPr>
          <w:t>39</w:t>
        </w:r>
      </w:hyperlink>
      <w:r w:rsidRPr="002A793E">
        <w:rPr>
          <w:color w:val="000000" w:themeColor="text1"/>
          <w:sz w:val="28"/>
          <w:u w:val="single"/>
          <w:lang w:val="es-ES"/>
        </w:rPr>
        <w:t>, el numeral 2 del artículo </w:t>
      </w:r>
      <w:hyperlink r:id="rId11" w:anchor="60" w:history="1">
        <w:r w:rsidRPr="002A793E">
          <w:rPr>
            <w:rStyle w:val="Hipervnculo"/>
            <w:color w:val="000000" w:themeColor="text1"/>
            <w:sz w:val="28"/>
            <w:lang w:val="es-ES"/>
          </w:rPr>
          <w:t>60</w:t>
        </w:r>
      </w:hyperlink>
      <w:r w:rsidRPr="002A793E">
        <w:rPr>
          <w:color w:val="000000" w:themeColor="text1"/>
          <w:sz w:val="28"/>
          <w:u w:val="single"/>
          <w:lang w:val="es-ES"/>
        </w:rPr>
        <w:t>, el inciso segundo del ar</w:t>
      </w:r>
      <w:r w:rsidRPr="002A793E">
        <w:rPr>
          <w:color w:val="000000" w:themeColor="text1"/>
          <w:sz w:val="28"/>
          <w:u w:val="single"/>
          <w:lang w:val="es-ES"/>
        </w:rPr>
        <w:t>tículo </w:t>
      </w:r>
      <w:hyperlink r:id="rId12" w:anchor="61" w:history="1">
        <w:r w:rsidRPr="002A793E">
          <w:rPr>
            <w:rStyle w:val="Hipervnculo"/>
            <w:color w:val="000000" w:themeColor="text1"/>
            <w:sz w:val="28"/>
            <w:lang w:val="es-ES"/>
          </w:rPr>
          <w:t>61</w:t>
        </w:r>
      </w:hyperlink>
      <w:r w:rsidRPr="002A793E">
        <w:rPr>
          <w:color w:val="000000" w:themeColor="text1"/>
          <w:sz w:val="28"/>
          <w:u w:val="single"/>
          <w:lang w:val="es-ES"/>
        </w:rPr>
        <w:t>, el artículo </w:t>
      </w:r>
      <w:hyperlink r:id="rId13" w:anchor="75" w:history="1">
        <w:r w:rsidRPr="002A793E">
          <w:rPr>
            <w:rStyle w:val="Hipervnculo"/>
            <w:color w:val="000000" w:themeColor="text1"/>
            <w:sz w:val="28"/>
            <w:lang w:val="es-ES"/>
          </w:rPr>
          <w:t>75</w:t>
        </w:r>
      </w:hyperlink>
      <w:r w:rsidRPr="002A793E">
        <w:rPr>
          <w:color w:val="000000" w:themeColor="text1"/>
          <w:sz w:val="28"/>
          <w:u w:val="single"/>
          <w:lang w:val="es-ES"/>
        </w:rPr>
        <w:t xml:space="preserve"> y el inciso tercero del </w:t>
      </w:r>
      <w:r w:rsidRPr="002A793E">
        <w:rPr>
          <w:color w:val="000000" w:themeColor="text1"/>
          <w:sz w:val="28"/>
          <w:u w:val="single"/>
          <w:lang w:val="es-ES"/>
        </w:rPr>
        <w:t>artículo </w:t>
      </w:r>
      <w:hyperlink r:id="rId14" w:anchor="76" w:history="1">
        <w:r w:rsidRPr="002A793E">
          <w:rPr>
            <w:rStyle w:val="Hipervnculo"/>
            <w:color w:val="000000" w:themeColor="text1"/>
            <w:sz w:val="28"/>
            <w:lang w:val="es-ES"/>
          </w:rPr>
          <w:t>76</w:t>
        </w:r>
      </w:hyperlink>
      <w:r w:rsidRPr="002A793E">
        <w:rPr>
          <w:color w:val="000000" w:themeColor="text1"/>
          <w:sz w:val="28"/>
          <w:u w:val="single"/>
          <w:lang w:val="es-ES"/>
        </w:rPr>
        <w:t>, solo en lo que respecta a los asuntos de que trata los numerales 4, 5 y 7 del artículo </w:t>
      </w:r>
      <w:hyperlink r:id="rId15" w:anchor="58" w:history="1">
        <w:r w:rsidRPr="002A793E">
          <w:rPr>
            <w:rStyle w:val="Hipervnculo"/>
            <w:color w:val="000000" w:themeColor="text1"/>
            <w:sz w:val="28"/>
            <w:lang w:val="es-ES"/>
          </w:rPr>
          <w:t>58</w:t>
        </w:r>
      </w:hyperlink>
      <w:r w:rsidRPr="002A793E">
        <w:rPr>
          <w:color w:val="000000" w:themeColor="text1"/>
          <w:sz w:val="28"/>
          <w:u w:val="single"/>
          <w:lang w:val="es-ES"/>
        </w:rPr>
        <w:t> del Decreto Ley 902 de 2017; y las demás normas procedimentales que contradigan su contenido</w:t>
      </w:r>
      <w:r w:rsidRPr="002A793E">
        <w:rPr>
          <w:color w:val="000000" w:themeColor="text1"/>
          <w:sz w:val="28"/>
          <w:lang w:val="es-ES"/>
        </w:rPr>
        <w:t xml:space="preserve">”. </w:t>
      </w:r>
    </w:p>
    <w:bookmarkEnd w:id="5"/>
    <w:p w:rsidR="00852E35" w:rsidRPr="002A793E" w:rsidRDefault="002A793E" w:rsidP="00B05DAD">
      <w:pPr>
        <w:pStyle w:val="Prrafodelista"/>
        <w:numPr>
          <w:ilvl w:val="0"/>
          <w:numId w:val="1"/>
        </w:numPr>
        <w:rPr>
          <w:rFonts w:ascii="Times New Roman" w:eastAsia="Calibri" w:hAnsi="Times New Roman" w:cs="Times New Roman"/>
          <w:b/>
          <w:bCs/>
          <w:color w:val="000000" w:themeColor="text1"/>
          <w:sz w:val="28"/>
          <w:szCs w:val="28"/>
          <w:u w:color="000000"/>
          <w:lang w:val="es-ES"/>
        </w:rPr>
      </w:pPr>
      <w:r w:rsidRPr="002A793E">
        <w:rPr>
          <w:rFonts w:ascii="Times New Roman" w:hAnsi="Times New Roman" w:cs="Times New Roman"/>
          <w:b/>
          <w:bCs/>
          <w:color w:val="000000" w:themeColor="text1"/>
          <w:sz w:val="28"/>
          <w:szCs w:val="28"/>
          <w:lang w:val="es-ES"/>
        </w:rPr>
        <w:t>LA</w:t>
      </w:r>
      <w:r w:rsidRPr="002A793E">
        <w:rPr>
          <w:rFonts w:ascii="Times New Roman" w:eastAsia="Calibri" w:hAnsi="Times New Roman" w:cs="Times New Roman"/>
          <w:b/>
          <w:bCs/>
          <w:color w:val="000000" w:themeColor="text1"/>
          <w:sz w:val="28"/>
          <w:szCs w:val="28"/>
          <w:u w:color="000000"/>
          <w:lang w:val="es-ES"/>
        </w:rPr>
        <w:t xml:space="preserve"> DEMANDA</w:t>
      </w:r>
    </w:p>
    <w:p w:rsidR="00ED2CC0" w:rsidRPr="002A793E" w:rsidRDefault="002A793E" w:rsidP="00852E35">
      <w:pPr>
        <w:rPr>
          <w:rFonts w:ascii="Times New Roman" w:hAnsi="Times New Roman" w:cs="Times New Roman"/>
          <w:bCs/>
          <w:sz w:val="28"/>
          <w:szCs w:val="28"/>
          <w:lang w:val="es-ES" w:eastAsia="es-ES"/>
        </w:rPr>
      </w:pPr>
    </w:p>
    <w:p w:rsidR="00001338" w:rsidRPr="002A793E" w:rsidRDefault="002A793E" w:rsidP="00B62B9A">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El ciudadano </w:t>
      </w:r>
      <w:r w:rsidRPr="002A793E">
        <w:rPr>
          <w:rFonts w:ascii="Times New Roman" w:hAnsi="Times New Roman" w:cs="Times New Roman"/>
          <w:color w:val="000000" w:themeColor="text1"/>
          <w:sz w:val="28"/>
          <w:szCs w:val="28"/>
          <w:lang w:val="es-ES"/>
        </w:rPr>
        <w:t>Humberto Sierra Porto</w:t>
      </w:r>
      <w:r w:rsidRPr="002A793E">
        <w:rPr>
          <w:rFonts w:ascii="Times New Roman" w:hAnsi="Times New Roman" w:cs="Times New Roman"/>
          <w:color w:val="000000" w:themeColor="text1"/>
          <w:sz w:val="28"/>
          <w:szCs w:val="28"/>
          <w:lang w:val="es-ES"/>
        </w:rPr>
        <w:t xml:space="preserve"> presentó demanda de inconstitucionalidad</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en contra</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d</w:t>
      </w:r>
      <w:r w:rsidRPr="002A793E">
        <w:rPr>
          <w:rFonts w:ascii="Times New Roman" w:hAnsi="Times New Roman" w:cs="Times New Roman"/>
          <w:color w:val="000000" w:themeColor="text1"/>
          <w:sz w:val="28"/>
          <w:szCs w:val="28"/>
          <w:lang w:val="es-ES"/>
        </w:rPr>
        <w:t xml:space="preserve">el </w:t>
      </w:r>
      <w:r w:rsidRPr="002A793E">
        <w:rPr>
          <w:rFonts w:ascii="Times New Roman" w:hAnsi="Times New Roman" w:cs="Times New Roman"/>
          <w:color w:val="000000" w:themeColor="text1"/>
          <w:sz w:val="28"/>
          <w:szCs w:val="28"/>
          <w:lang w:val="es-ES"/>
        </w:rPr>
        <w:t xml:space="preserve">numeral 6º </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parcial</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y el parágrafo 3º del artículo 61 de la Ley 2294 de 2023</w:t>
      </w:r>
      <w:r w:rsidRPr="002A793E">
        <w:rPr>
          <w:rFonts w:ascii="Times New Roman" w:eastAsia="Times New Roman" w:hAnsi="Times New Roman" w:cs="Times New Roman"/>
          <w:bCs/>
          <w:iCs/>
          <w:color w:val="000000" w:themeColor="text1"/>
          <w:sz w:val="28"/>
          <w:szCs w:val="28"/>
          <w:lang w:val="es-ES" w:eastAsia="es-ES"/>
        </w:rPr>
        <w:t xml:space="preserve">. </w:t>
      </w:r>
      <w:r w:rsidRPr="002A793E">
        <w:rPr>
          <w:rFonts w:ascii="Times New Roman" w:eastAsia="Times New Roman" w:hAnsi="Times New Roman" w:cs="Times New Roman"/>
          <w:bCs/>
          <w:iCs/>
          <w:color w:val="000000" w:themeColor="text1"/>
          <w:sz w:val="28"/>
          <w:szCs w:val="28"/>
          <w:lang w:val="es-ES" w:eastAsia="es-ES"/>
        </w:rPr>
        <w:t>Por medio del</w:t>
      </w:r>
      <w:r w:rsidRPr="002A793E">
        <w:rPr>
          <w:rFonts w:ascii="Times New Roman" w:eastAsia="Times New Roman" w:hAnsi="Times New Roman" w:cs="Times New Roman"/>
          <w:bCs/>
          <w:iCs/>
          <w:color w:val="000000" w:themeColor="text1"/>
          <w:sz w:val="28"/>
          <w:szCs w:val="28"/>
          <w:lang w:val="es-ES" w:eastAsia="es-ES"/>
        </w:rPr>
        <w:t xml:space="preserve"> auto de</w:t>
      </w:r>
      <w:r w:rsidRPr="002A793E">
        <w:rPr>
          <w:rFonts w:ascii="Times New Roman" w:eastAsia="Times New Roman" w:hAnsi="Times New Roman" w:cs="Times New Roman"/>
          <w:bCs/>
          <w:iCs/>
          <w:color w:val="000000" w:themeColor="text1"/>
          <w:sz w:val="28"/>
          <w:szCs w:val="28"/>
          <w:lang w:val="es-ES" w:eastAsia="es-ES"/>
        </w:rPr>
        <w:t>l</w:t>
      </w:r>
      <w:r w:rsidRPr="002A793E">
        <w:rPr>
          <w:rFonts w:ascii="Times New Roman" w:eastAsia="Times New Roman" w:hAnsi="Times New Roman" w:cs="Times New Roman"/>
          <w:bCs/>
          <w:iCs/>
          <w:color w:val="000000" w:themeColor="text1"/>
          <w:sz w:val="28"/>
          <w:szCs w:val="28"/>
          <w:lang w:val="es-ES" w:eastAsia="es-ES"/>
        </w:rPr>
        <w:t xml:space="preserve"> </w:t>
      </w:r>
      <w:r w:rsidRPr="002A793E">
        <w:rPr>
          <w:rFonts w:ascii="Times New Roman" w:eastAsia="Times New Roman" w:hAnsi="Times New Roman" w:cs="Times New Roman"/>
          <w:bCs/>
          <w:iCs/>
          <w:color w:val="000000" w:themeColor="text1"/>
          <w:sz w:val="28"/>
          <w:szCs w:val="28"/>
          <w:lang w:val="es-ES" w:eastAsia="es-ES"/>
        </w:rPr>
        <w:t>2 de octubre de</w:t>
      </w:r>
      <w:r w:rsidRPr="002A793E">
        <w:rPr>
          <w:rFonts w:ascii="Times New Roman" w:eastAsia="Times New Roman" w:hAnsi="Times New Roman" w:cs="Times New Roman"/>
          <w:bCs/>
          <w:iCs/>
          <w:color w:val="000000" w:themeColor="text1"/>
          <w:sz w:val="28"/>
          <w:szCs w:val="28"/>
          <w:lang w:val="es-ES" w:eastAsia="es-ES"/>
        </w:rPr>
        <w:t>l</w:t>
      </w:r>
      <w:r w:rsidRPr="002A793E">
        <w:rPr>
          <w:rFonts w:ascii="Times New Roman" w:eastAsia="Times New Roman" w:hAnsi="Times New Roman" w:cs="Times New Roman"/>
          <w:bCs/>
          <w:iCs/>
          <w:color w:val="000000" w:themeColor="text1"/>
          <w:sz w:val="28"/>
          <w:szCs w:val="28"/>
          <w:lang w:val="es-ES" w:eastAsia="es-ES"/>
        </w:rPr>
        <w:t xml:space="preserve"> </w:t>
      </w:r>
      <w:r w:rsidRPr="002A793E">
        <w:rPr>
          <w:rFonts w:ascii="Times New Roman" w:eastAsia="Times New Roman" w:hAnsi="Times New Roman" w:cs="Times New Roman"/>
          <w:bCs/>
          <w:iCs/>
          <w:color w:val="000000" w:themeColor="text1"/>
          <w:sz w:val="28"/>
          <w:szCs w:val="28"/>
          <w:lang w:val="es-ES" w:eastAsia="es-ES"/>
        </w:rPr>
        <w:t>20</w:t>
      </w:r>
      <w:r w:rsidRPr="002A793E">
        <w:rPr>
          <w:rFonts w:ascii="Times New Roman" w:eastAsia="Times New Roman" w:hAnsi="Times New Roman" w:cs="Times New Roman"/>
          <w:bCs/>
          <w:iCs/>
          <w:color w:val="000000" w:themeColor="text1"/>
          <w:sz w:val="28"/>
          <w:szCs w:val="28"/>
          <w:lang w:val="es-ES" w:eastAsia="es-ES"/>
        </w:rPr>
        <w:t>23</w:t>
      </w:r>
      <w:r w:rsidRPr="002A793E">
        <w:rPr>
          <w:rFonts w:ascii="Times New Roman" w:eastAsia="Times New Roman" w:hAnsi="Times New Roman" w:cs="Times New Roman"/>
          <w:bCs/>
          <w:iCs/>
          <w:color w:val="000000" w:themeColor="text1"/>
          <w:sz w:val="28"/>
          <w:szCs w:val="28"/>
          <w:lang w:val="es-ES" w:eastAsia="es-ES"/>
        </w:rPr>
        <w:t>,</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la magistrada sustanciadora</w:t>
      </w:r>
      <w:r w:rsidRPr="002A793E">
        <w:rPr>
          <w:rFonts w:ascii="Times New Roman" w:hAnsi="Times New Roman" w:cs="Times New Roman"/>
          <w:color w:val="000000" w:themeColor="text1"/>
          <w:sz w:val="28"/>
          <w:szCs w:val="28"/>
          <w:lang w:val="es-ES"/>
        </w:rPr>
        <w:t xml:space="preserve"> admit</w:t>
      </w:r>
      <w:r w:rsidRPr="002A793E">
        <w:rPr>
          <w:rFonts w:ascii="Times New Roman" w:hAnsi="Times New Roman" w:cs="Times New Roman"/>
          <w:color w:val="000000" w:themeColor="text1"/>
          <w:sz w:val="28"/>
          <w:szCs w:val="28"/>
          <w:lang w:val="es-ES"/>
        </w:rPr>
        <w:t>i</w:t>
      </w:r>
      <w:r w:rsidRPr="002A793E">
        <w:rPr>
          <w:rFonts w:ascii="Times New Roman" w:hAnsi="Times New Roman" w:cs="Times New Roman"/>
          <w:color w:val="000000" w:themeColor="text1"/>
          <w:sz w:val="28"/>
          <w:szCs w:val="28"/>
          <w:lang w:val="es-ES"/>
        </w:rPr>
        <w:t>ó los siguientes</w:t>
      </w:r>
      <w:r w:rsidRPr="002A793E">
        <w:rPr>
          <w:rFonts w:ascii="Times New Roman" w:hAnsi="Times New Roman" w:cs="Times New Roman"/>
          <w:color w:val="000000" w:themeColor="text1"/>
          <w:sz w:val="28"/>
          <w:szCs w:val="28"/>
          <w:lang w:val="es-ES"/>
        </w:rPr>
        <w:t xml:space="preserve"> cuatro cargos de inconstitucionalidad</w:t>
      </w:r>
      <w:r w:rsidRPr="002A793E">
        <w:rPr>
          <w:rFonts w:ascii="Times New Roman" w:hAnsi="Times New Roman" w:cs="Times New Roman"/>
          <w:color w:val="000000" w:themeColor="text1"/>
          <w:sz w:val="28"/>
          <w:szCs w:val="28"/>
          <w:lang w:val="es-ES"/>
        </w:rPr>
        <w:t>.</w:t>
      </w:r>
    </w:p>
    <w:p w:rsidR="00C30399" w:rsidRPr="002A793E" w:rsidRDefault="002A793E" w:rsidP="00C30399">
      <w:pPr>
        <w:pStyle w:val="Prrafodelista"/>
        <w:ind w:left="0"/>
        <w:rPr>
          <w:rFonts w:ascii="Times New Roman" w:hAnsi="Times New Roman" w:cs="Times New Roman"/>
          <w:color w:val="000000" w:themeColor="text1"/>
          <w:sz w:val="28"/>
          <w:szCs w:val="28"/>
          <w:lang w:val="es-ES"/>
        </w:rPr>
      </w:pPr>
    </w:p>
    <w:p w:rsidR="008235CC" w:rsidRPr="002A793E" w:rsidRDefault="002A793E" w:rsidP="00B62B9A">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eastAsia="Times New Roman" w:hAnsi="Times New Roman" w:cs="Times New Roman"/>
          <w:bCs/>
          <w:sz w:val="28"/>
          <w:szCs w:val="28"/>
          <w:lang w:val="es-ES" w:eastAsia="es-ES"/>
        </w:rPr>
        <w:t xml:space="preserve">En </w:t>
      </w:r>
      <w:r w:rsidRPr="002A793E">
        <w:rPr>
          <w:rFonts w:ascii="Times New Roman" w:eastAsia="Times New Roman" w:hAnsi="Times New Roman" w:cs="Times New Roman"/>
          <w:bCs/>
          <w:sz w:val="28"/>
          <w:szCs w:val="28"/>
          <w:lang w:val="es-ES" w:eastAsia="es-ES"/>
        </w:rPr>
        <w:t xml:space="preserve">el </w:t>
      </w:r>
      <w:r w:rsidRPr="002A793E">
        <w:rPr>
          <w:rFonts w:ascii="Times New Roman" w:eastAsia="Times New Roman" w:hAnsi="Times New Roman" w:cs="Times New Roman"/>
          <w:b/>
          <w:bCs/>
          <w:sz w:val="28"/>
          <w:szCs w:val="28"/>
          <w:lang w:val="es-ES" w:eastAsia="es-ES"/>
        </w:rPr>
        <w:t>cargo primero</w:t>
      </w:r>
      <w:r w:rsidRPr="002A793E">
        <w:rPr>
          <w:rFonts w:ascii="Times New Roman" w:eastAsia="Times New Roman" w:hAnsi="Times New Roman" w:cs="Times New Roman"/>
          <w:bCs/>
          <w:sz w:val="28"/>
          <w:szCs w:val="28"/>
          <w:lang w:val="es-ES" w:eastAsia="es-ES"/>
        </w:rPr>
        <w:t xml:space="preserve">, </w:t>
      </w:r>
      <w:r w:rsidRPr="002A793E">
        <w:rPr>
          <w:rFonts w:ascii="Times New Roman" w:eastAsia="Times New Roman" w:hAnsi="Times New Roman" w:cs="Times New Roman"/>
          <w:b/>
          <w:bCs/>
          <w:sz w:val="28"/>
          <w:szCs w:val="28"/>
          <w:lang w:val="es-ES" w:eastAsia="es-ES"/>
        </w:rPr>
        <w:t>e</w:t>
      </w:r>
      <w:r w:rsidRPr="002A793E">
        <w:rPr>
          <w:rFonts w:ascii="Times New Roman" w:eastAsia="Times New Roman" w:hAnsi="Times New Roman" w:cs="Times New Roman"/>
          <w:b/>
          <w:bCs/>
          <w:sz w:val="28"/>
          <w:szCs w:val="28"/>
          <w:lang w:val="es-ES" w:eastAsia="es-ES"/>
        </w:rPr>
        <w:t xml:space="preserve">l actor planteó la violación del principio de publicidad que </w:t>
      </w:r>
      <w:bookmarkStart w:id="7" w:name="_Hlk167723917"/>
      <w:r w:rsidRPr="002A793E">
        <w:rPr>
          <w:rFonts w:ascii="Times New Roman" w:eastAsia="Times New Roman" w:hAnsi="Times New Roman" w:cs="Times New Roman"/>
          <w:b/>
          <w:bCs/>
          <w:sz w:val="28"/>
          <w:szCs w:val="28"/>
          <w:lang w:val="es-ES" w:eastAsia="es-ES"/>
        </w:rPr>
        <w:t>rige</w:t>
      </w:r>
      <w:r w:rsidRPr="002A793E">
        <w:rPr>
          <w:rFonts w:ascii="Times New Roman" w:eastAsia="Times New Roman" w:hAnsi="Times New Roman" w:cs="Times New Roman"/>
          <w:b/>
          <w:bCs/>
          <w:sz w:val="28"/>
          <w:szCs w:val="28"/>
          <w:lang w:val="es-ES" w:eastAsia="es-ES"/>
        </w:rPr>
        <w:t xml:space="preserve"> el trámite legislativo</w:t>
      </w:r>
      <w:r w:rsidRPr="002A793E">
        <w:rPr>
          <w:rFonts w:ascii="Times New Roman" w:eastAsia="Times New Roman" w:hAnsi="Times New Roman" w:cs="Times New Roman"/>
          <w:bCs/>
          <w:sz w:val="28"/>
          <w:szCs w:val="28"/>
          <w:lang w:val="es-ES" w:eastAsia="es-ES"/>
        </w:rPr>
        <w:t xml:space="preserve"> (</w:t>
      </w:r>
      <w:r w:rsidRPr="002A793E">
        <w:rPr>
          <w:rFonts w:ascii="Times New Roman" w:hAnsi="Times New Roman" w:cs="Times New Roman"/>
          <w:sz w:val="28"/>
          <w:szCs w:val="28"/>
          <w:lang w:val="es-ES"/>
        </w:rPr>
        <w:t>Artículo</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 xml:space="preserve"> 157 y 160 de la Constitución Política y Ley 5ª de 1992)</w:t>
      </w:r>
      <w:r w:rsidRPr="002A793E">
        <w:rPr>
          <w:rFonts w:ascii="Times New Roman" w:eastAsia="Times New Roman" w:hAnsi="Times New Roman" w:cs="Times New Roman"/>
          <w:bCs/>
          <w:sz w:val="28"/>
          <w:szCs w:val="28"/>
          <w:lang w:val="es-ES" w:eastAsia="es-ES"/>
        </w:rPr>
        <w:t>.</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 xml:space="preserve">A juicio del accionante, </w:t>
      </w:r>
      <w:r w:rsidRPr="002A793E">
        <w:rPr>
          <w:rFonts w:ascii="Times New Roman" w:hAnsi="Times New Roman" w:cs="Times New Roman"/>
          <w:sz w:val="28"/>
          <w:szCs w:val="28"/>
          <w:lang w:val="es-ES"/>
        </w:rPr>
        <w:t>en el trámite de aprobación de</w:t>
      </w:r>
      <w:r w:rsidRPr="002A793E">
        <w:rPr>
          <w:rFonts w:ascii="Times New Roman" w:eastAsia="Times New Roman" w:hAnsi="Times New Roman" w:cs="Times New Roman"/>
          <w:bCs/>
          <w:sz w:val="28"/>
          <w:szCs w:val="28"/>
          <w:lang w:val="es-ES" w:eastAsia="es-ES"/>
        </w:rPr>
        <w:t>l numeral 6 parcial y del parágrafo 3 del ar</w:t>
      </w:r>
      <w:r w:rsidRPr="002A793E">
        <w:rPr>
          <w:rFonts w:ascii="Times New Roman" w:eastAsia="Times New Roman" w:hAnsi="Times New Roman" w:cs="Times New Roman"/>
          <w:bCs/>
          <w:sz w:val="28"/>
          <w:szCs w:val="28"/>
          <w:lang w:val="es-ES" w:eastAsia="es-ES"/>
        </w:rPr>
        <w:t>tículo 61 de la Ley 2294 de 2023</w:t>
      </w:r>
      <w:r w:rsidRPr="002A793E">
        <w:rPr>
          <w:rFonts w:ascii="Times New Roman" w:eastAsia="Times New Roman" w:hAnsi="Times New Roman" w:cs="Times New Roman"/>
          <w:bCs/>
          <w:sz w:val="28"/>
          <w:szCs w:val="28"/>
          <w:lang w:val="es-ES" w:eastAsia="es-ES"/>
        </w:rPr>
        <w:t xml:space="preserve"> </w:t>
      </w:r>
      <w:r w:rsidRPr="002A793E">
        <w:rPr>
          <w:rFonts w:ascii="Times New Roman" w:eastAsia="Times New Roman" w:hAnsi="Times New Roman" w:cs="Times New Roman"/>
          <w:bCs/>
          <w:sz w:val="28"/>
          <w:szCs w:val="28"/>
          <w:lang w:val="es-ES" w:eastAsia="es-ES"/>
        </w:rPr>
        <w:t>se desconoció el principio de publicida</w:t>
      </w:r>
      <w:r w:rsidRPr="002A793E">
        <w:rPr>
          <w:rFonts w:ascii="Times New Roman" w:eastAsia="Times New Roman" w:hAnsi="Times New Roman" w:cs="Times New Roman"/>
          <w:bCs/>
          <w:sz w:val="28"/>
          <w:szCs w:val="28"/>
          <w:lang w:val="es-ES" w:eastAsia="es-ES"/>
        </w:rPr>
        <w:t>d que rige el procedimiento legislativo</w:t>
      </w:r>
      <w:r w:rsidRPr="002A793E">
        <w:rPr>
          <w:rFonts w:ascii="Times New Roman" w:eastAsia="Times New Roman" w:hAnsi="Times New Roman" w:cs="Times New Roman"/>
          <w:bCs/>
          <w:sz w:val="28"/>
          <w:szCs w:val="28"/>
          <w:lang w:val="es-ES" w:eastAsia="es-ES"/>
        </w:rPr>
        <w:t xml:space="preserve"> y que debe analizarse de forma más estricta cuando se trata de</w:t>
      </w:r>
      <w:r w:rsidRPr="002A793E">
        <w:rPr>
          <w:rFonts w:ascii="Times New Roman" w:eastAsia="Times New Roman" w:hAnsi="Times New Roman" w:cs="Times New Roman"/>
          <w:bCs/>
          <w:sz w:val="28"/>
          <w:szCs w:val="28"/>
          <w:lang w:val="es-ES" w:eastAsia="es-ES"/>
        </w:rPr>
        <w:t xml:space="preserve"> la ley aprobatoria del</w:t>
      </w:r>
      <w:r w:rsidRPr="002A793E">
        <w:rPr>
          <w:rFonts w:ascii="Times New Roman" w:eastAsia="Times New Roman" w:hAnsi="Times New Roman" w:cs="Times New Roman"/>
          <w:bCs/>
          <w:sz w:val="28"/>
          <w:szCs w:val="28"/>
          <w:lang w:val="es-ES" w:eastAsia="es-ES"/>
        </w:rPr>
        <w:t xml:space="preserve"> PND</w:t>
      </w:r>
      <w:r w:rsidRPr="002A793E">
        <w:rPr>
          <w:rStyle w:val="Refdenotaalpie"/>
          <w:rFonts w:ascii="Times New Roman" w:eastAsia="Times New Roman" w:hAnsi="Times New Roman" w:cs="Times New Roman"/>
          <w:bCs/>
          <w:sz w:val="28"/>
          <w:szCs w:val="28"/>
          <w:lang w:val="es-ES" w:eastAsia="es-ES"/>
        </w:rPr>
        <w:footnoteReference w:id="14"/>
      </w:r>
      <w:r w:rsidRPr="002A793E">
        <w:rPr>
          <w:rFonts w:ascii="Times New Roman" w:eastAsia="Times New Roman" w:hAnsi="Times New Roman" w:cs="Times New Roman"/>
          <w:bCs/>
          <w:sz w:val="28"/>
          <w:szCs w:val="28"/>
          <w:lang w:val="es-ES" w:eastAsia="es-ES"/>
        </w:rPr>
        <w:t xml:space="preserve">, </w:t>
      </w:r>
      <w:r w:rsidRPr="002A793E">
        <w:rPr>
          <w:rFonts w:ascii="Times New Roman" w:eastAsia="Times New Roman" w:hAnsi="Times New Roman" w:cs="Times New Roman"/>
          <w:bCs/>
          <w:sz w:val="28"/>
          <w:szCs w:val="28"/>
          <w:lang w:val="es-ES" w:eastAsia="es-ES"/>
        </w:rPr>
        <w:t>pue</w:t>
      </w:r>
      <w:r w:rsidRPr="002A793E">
        <w:rPr>
          <w:rFonts w:ascii="Times New Roman" w:eastAsia="Times New Roman" w:hAnsi="Times New Roman" w:cs="Times New Roman"/>
          <w:bCs/>
          <w:sz w:val="28"/>
          <w:szCs w:val="28"/>
          <w:lang w:val="es-ES" w:eastAsia="es-ES"/>
        </w:rPr>
        <w:t>s</w:t>
      </w:r>
      <w:r w:rsidRPr="002A793E">
        <w:rPr>
          <w:rFonts w:ascii="Times New Roman" w:eastAsia="Times New Roman" w:hAnsi="Times New Roman" w:cs="Times New Roman"/>
          <w:bCs/>
          <w:sz w:val="28"/>
          <w:szCs w:val="28"/>
          <w:lang w:val="es-ES" w:eastAsia="es-ES"/>
        </w:rPr>
        <w:t xml:space="preserve"> en la plenaria del Senado que se realizó el 2 de mayo de 2023 se votó </w:t>
      </w:r>
      <w:r w:rsidRPr="002A793E">
        <w:rPr>
          <w:rFonts w:ascii="Times New Roman" w:eastAsia="Times New Roman" w:hAnsi="Times New Roman" w:cs="Times New Roman"/>
          <w:bCs/>
          <w:sz w:val="28"/>
          <w:szCs w:val="28"/>
          <w:lang w:val="es-ES" w:eastAsia="es-ES"/>
        </w:rPr>
        <w:t>el</w:t>
      </w:r>
      <w:r w:rsidRPr="002A793E">
        <w:rPr>
          <w:rFonts w:ascii="Times New Roman" w:eastAsia="Times New Roman" w:hAnsi="Times New Roman" w:cs="Times New Roman"/>
          <w:bCs/>
          <w:sz w:val="28"/>
          <w:szCs w:val="28"/>
          <w:lang w:val="es-ES" w:eastAsia="es-ES"/>
        </w:rPr>
        <w:t xml:space="preserve"> artículo</w:t>
      </w:r>
      <w:r w:rsidRPr="002A793E">
        <w:rPr>
          <w:rFonts w:ascii="Times New Roman" w:eastAsia="Times New Roman" w:hAnsi="Times New Roman" w:cs="Times New Roman"/>
          <w:bCs/>
          <w:sz w:val="28"/>
          <w:szCs w:val="28"/>
          <w:lang w:val="es-ES" w:eastAsia="es-ES"/>
        </w:rPr>
        <w:t xml:space="preserve"> </w:t>
      </w:r>
      <w:r w:rsidRPr="002A793E">
        <w:rPr>
          <w:rFonts w:ascii="Times New Roman" w:eastAsia="Times New Roman" w:hAnsi="Times New Roman" w:cs="Times New Roman"/>
          <w:bCs/>
          <w:sz w:val="28"/>
          <w:szCs w:val="28"/>
          <w:lang w:val="es-ES" w:eastAsia="es-ES"/>
        </w:rPr>
        <w:t xml:space="preserve">acusado, el cual fue </w:t>
      </w:r>
      <w:r w:rsidRPr="002A793E">
        <w:rPr>
          <w:rFonts w:ascii="Times New Roman" w:eastAsia="Times New Roman" w:hAnsi="Times New Roman" w:cs="Times New Roman"/>
          <w:bCs/>
          <w:sz w:val="28"/>
          <w:szCs w:val="28"/>
          <w:lang w:val="es-ES" w:eastAsia="es-ES"/>
        </w:rPr>
        <w:t xml:space="preserve">modificado por una proposición que no se dio a </w:t>
      </w:r>
      <w:r w:rsidRPr="002A793E">
        <w:rPr>
          <w:rFonts w:ascii="Times New Roman" w:eastAsia="Times New Roman" w:hAnsi="Times New Roman" w:cs="Times New Roman"/>
          <w:bCs/>
          <w:sz w:val="28"/>
          <w:szCs w:val="28"/>
          <w:lang w:val="es-ES" w:eastAsia="es-ES"/>
        </w:rPr>
        <w:t>conocer a</w:t>
      </w:r>
      <w:r w:rsidRPr="002A793E">
        <w:rPr>
          <w:rFonts w:ascii="Times New Roman" w:eastAsia="Times New Roman" w:hAnsi="Times New Roman" w:cs="Times New Roman"/>
          <w:bCs/>
          <w:sz w:val="28"/>
          <w:szCs w:val="28"/>
          <w:lang w:val="es-ES" w:eastAsia="es-ES"/>
        </w:rPr>
        <w:t xml:space="preserve"> los congresistas</w:t>
      </w:r>
      <w:r w:rsidRPr="002A793E">
        <w:rPr>
          <w:rFonts w:ascii="Times New Roman" w:eastAsia="Times New Roman" w:hAnsi="Times New Roman" w:cs="Times New Roman"/>
          <w:bCs/>
          <w:sz w:val="28"/>
          <w:szCs w:val="28"/>
          <w:lang w:val="es-ES" w:eastAsia="es-ES"/>
        </w:rPr>
        <w:t xml:space="preserve">. </w:t>
      </w:r>
    </w:p>
    <w:bookmarkEnd w:id="7"/>
    <w:p w:rsidR="008235CC" w:rsidRPr="002A793E" w:rsidRDefault="002A793E" w:rsidP="008235CC">
      <w:pPr>
        <w:pStyle w:val="Prrafodelista"/>
        <w:rPr>
          <w:rFonts w:ascii="Times New Roman" w:eastAsia="Times New Roman" w:hAnsi="Times New Roman" w:cs="Times New Roman"/>
          <w:bCs/>
          <w:sz w:val="28"/>
          <w:szCs w:val="28"/>
          <w:lang w:val="es-ES" w:eastAsia="es-ES"/>
        </w:rPr>
      </w:pPr>
    </w:p>
    <w:p w:rsidR="008235CC" w:rsidRPr="002A793E" w:rsidRDefault="002A793E" w:rsidP="00B62B9A">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eastAsia="Times New Roman" w:hAnsi="Times New Roman" w:cs="Times New Roman"/>
          <w:bCs/>
          <w:sz w:val="28"/>
          <w:szCs w:val="28"/>
          <w:lang w:val="es-ES" w:eastAsia="es-ES"/>
        </w:rPr>
        <w:t xml:space="preserve">El demandante explicó que en la sesión mencionada </w:t>
      </w:r>
      <w:r w:rsidRPr="002A793E">
        <w:rPr>
          <w:rFonts w:ascii="Times New Roman" w:eastAsia="Times New Roman" w:hAnsi="Times New Roman" w:cs="Times New Roman"/>
          <w:bCs/>
          <w:sz w:val="28"/>
          <w:szCs w:val="28"/>
          <w:lang w:val="es-ES" w:eastAsia="es-ES"/>
        </w:rPr>
        <w:t xml:space="preserve">el </w:t>
      </w:r>
      <w:r w:rsidRPr="002A793E">
        <w:rPr>
          <w:rFonts w:ascii="Times New Roman" w:eastAsia="Times New Roman" w:hAnsi="Times New Roman" w:cs="Times New Roman"/>
          <w:bCs/>
          <w:sz w:val="28"/>
          <w:szCs w:val="28"/>
          <w:lang w:val="es-ES" w:eastAsia="es-ES"/>
        </w:rPr>
        <w:t>presidente</w:t>
      </w:r>
      <w:r w:rsidRPr="002A793E">
        <w:rPr>
          <w:rFonts w:ascii="Times New Roman" w:eastAsia="Times New Roman" w:hAnsi="Times New Roman" w:cs="Times New Roman"/>
          <w:bCs/>
          <w:sz w:val="28"/>
          <w:szCs w:val="28"/>
          <w:lang w:val="es-ES" w:eastAsia="es-ES"/>
        </w:rPr>
        <w:t xml:space="preserve"> del Senado sometió a votación el entonces artículo 55, luego de señalar que se había presentado una proposición avalada por el Gobierno sin leer, explicar o dar </w:t>
      </w:r>
      <w:r w:rsidRPr="002A793E">
        <w:rPr>
          <w:rFonts w:ascii="Times New Roman" w:eastAsia="Times New Roman" w:hAnsi="Times New Roman" w:cs="Times New Roman"/>
          <w:bCs/>
          <w:sz w:val="28"/>
          <w:szCs w:val="28"/>
          <w:lang w:val="es-ES" w:eastAsia="es-ES"/>
        </w:rPr>
        <w:t>a</w:t>
      </w:r>
      <w:r w:rsidRPr="002A793E">
        <w:rPr>
          <w:rFonts w:ascii="Times New Roman" w:eastAsia="Times New Roman" w:hAnsi="Times New Roman" w:cs="Times New Roman"/>
          <w:bCs/>
          <w:sz w:val="28"/>
          <w:szCs w:val="28"/>
          <w:lang w:val="es-ES" w:eastAsia="es-ES"/>
        </w:rPr>
        <w:t xml:space="preserve"> conocer </w:t>
      </w:r>
      <w:r w:rsidRPr="002A793E">
        <w:rPr>
          <w:rFonts w:ascii="Times New Roman" w:eastAsia="Times New Roman" w:hAnsi="Times New Roman" w:cs="Times New Roman"/>
          <w:bCs/>
          <w:sz w:val="28"/>
          <w:szCs w:val="28"/>
          <w:lang w:val="es-ES" w:eastAsia="es-ES"/>
        </w:rPr>
        <w:t xml:space="preserve">su contenido </w:t>
      </w:r>
      <w:r w:rsidRPr="002A793E">
        <w:rPr>
          <w:rFonts w:ascii="Times New Roman" w:eastAsia="Times New Roman" w:hAnsi="Times New Roman" w:cs="Times New Roman"/>
          <w:bCs/>
          <w:sz w:val="28"/>
          <w:szCs w:val="28"/>
          <w:lang w:val="es-ES" w:eastAsia="es-ES"/>
        </w:rPr>
        <w:t>por un medio efectivo</w:t>
      </w:r>
      <w:r w:rsidRPr="002A793E">
        <w:rPr>
          <w:rFonts w:ascii="Times New Roman" w:eastAsia="Times New Roman" w:hAnsi="Times New Roman" w:cs="Times New Roman"/>
          <w:bCs/>
          <w:sz w:val="28"/>
          <w:szCs w:val="28"/>
          <w:lang w:val="es-ES" w:eastAsia="es-ES"/>
        </w:rPr>
        <w:t xml:space="preserve">, </w:t>
      </w:r>
      <w:r w:rsidRPr="002A793E">
        <w:rPr>
          <w:rFonts w:ascii="Times New Roman" w:eastAsia="Times New Roman" w:hAnsi="Times New Roman" w:cs="Times New Roman"/>
          <w:bCs/>
          <w:sz w:val="28"/>
          <w:szCs w:val="28"/>
          <w:lang w:val="es-ES" w:eastAsia="es-ES"/>
        </w:rPr>
        <w:t xml:space="preserve">a pesar de los cambios sustanciales que </w:t>
      </w:r>
      <w:r w:rsidRPr="002A793E">
        <w:rPr>
          <w:rFonts w:ascii="Times New Roman" w:eastAsia="Times New Roman" w:hAnsi="Times New Roman" w:cs="Times New Roman"/>
          <w:bCs/>
          <w:sz w:val="28"/>
          <w:szCs w:val="28"/>
          <w:lang w:val="es-ES" w:eastAsia="es-ES"/>
        </w:rPr>
        <w:t xml:space="preserve">dicha </w:t>
      </w:r>
      <w:r w:rsidRPr="002A793E">
        <w:rPr>
          <w:rFonts w:ascii="Times New Roman" w:eastAsia="Times New Roman" w:hAnsi="Times New Roman" w:cs="Times New Roman"/>
          <w:bCs/>
          <w:sz w:val="28"/>
          <w:szCs w:val="28"/>
          <w:lang w:val="es-ES" w:eastAsia="es-ES"/>
        </w:rPr>
        <w:t>proposición</w:t>
      </w:r>
      <w:r w:rsidRPr="002A793E">
        <w:rPr>
          <w:rFonts w:ascii="Times New Roman" w:eastAsia="Times New Roman" w:hAnsi="Times New Roman" w:cs="Times New Roman"/>
          <w:bCs/>
          <w:sz w:val="28"/>
          <w:szCs w:val="28"/>
          <w:lang w:val="es-ES" w:eastAsia="es-ES"/>
        </w:rPr>
        <w:t xml:space="preserve"> ocasionó con respecto al alcance del artículo previamente aprobado</w:t>
      </w:r>
      <w:r w:rsidRPr="002A793E">
        <w:rPr>
          <w:rFonts w:ascii="Times New Roman" w:eastAsia="Times New Roman" w:hAnsi="Times New Roman" w:cs="Times New Roman"/>
          <w:bCs/>
          <w:sz w:val="28"/>
          <w:szCs w:val="28"/>
          <w:lang w:val="es-ES" w:eastAsia="es-ES"/>
        </w:rPr>
        <w:t>. P</w:t>
      </w:r>
      <w:r w:rsidRPr="002A793E">
        <w:rPr>
          <w:rFonts w:ascii="Times New Roman" w:eastAsia="Times New Roman" w:hAnsi="Times New Roman" w:cs="Times New Roman"/>
          <w:bCs/>
          <w:sz w:val="28"/>
          <w:szCs w:val="28"/>
          <w:lang w:val="es-ES" w:eastAsia="es-ES"/>
        </w:rPr>
        <w:t>ara evidenciar la modificación</w:t>
      </w:r>
      <w:r w:rsidRPr="002A793E">
        <w:rPr>
          <w:rFonts w:ascii="Times New Roman" w:eastAsia="Times New Roman" w:hAnsi="Times New Roman" w:cs="Times New Roman"/>
          <w:bCs/>
          <w:sz w:val="28"/>
          <w:szCs w:val="28"/>
          <w:lang w:val="es-ES" w:eastAsia="es-ES"/>
        </w:rPr>
        <w:t xml:space="preserve"> y el vicio correspondiente a la falta de publicidad</w:t>
      </w:r>
      <w:r w:rsidRPr="002A793E">
        <w:rPr>
          <w:rFonts w:ascii="Times New Roman" w:eastAsia="Times New Roman" w:hAnsi="Times New Roman" w:cs="Times New Roman"/>
          <w:bCs/>
          <w:sz w:val="28"/>
          <w:szCs w:val="28"/>
          <w:lang w:val="es-ES" w:eastAsia="es-ES"/>
        </w:rPr>
        <w:t xml:space="preserve">, el actor </w:t>
      </w:r>
      <w:r w:rsidRPr="002A793E">
        <w:rPr>
          <w:rFonts w:ascii="Times New Roman" w:eastAsia="Times New Roman" w:hAnsi="Times New Roman" w:cs="Times New Roman"/>
          <w:bCs/>
          <w:sz w:val="28"/>
          <w:szCs w:val="28"/>
          <w:lang w:val="es-ES" w:eastAsia="es-ES"/>
        </w:rPr>
        <w:t>transcribió: (i) la disposición publicada en la ponencia para segundo debate en Se</w:t>
      </w:r>
      <w:r w:rsidRPr="002A793E">
        <w:rPr>
          <w:rFonts w:ascii="Times New Roman" w:eastAsia="Times New Roman" w:hAnsi="Times New Roman" w:cs="Times New Roman"/>
          <w:bCs/>
          <w:sz w:val="28"/>
          <w:szCs w:val="28"/>
          <w:lang w:val="es-ES" w:eastAsia="es-ES"/>
        </w:rPr>
        <w:t>nado; (ii)</w:t>
      </w:r>
      <w:r w:rsidRPr="002A793E">
        <w:rPr>
          <w:rFonts w:ascii="Times New Roman" w:eastAsia="Times New Roman" w:hAnsi="Times New Roman" w:cs="Times New Roman"/>
          <w:bCs/>
          <w:sz w:val="28"/>
          <w:szCs w:val="28"/>
          <w:lang w:val="es-ES" w:eastAsia="es-ES"/>
        </w:rPr>
        <w:t xml:space="preserve"> la proposición presentada; (iii) la presentación de la ponencia efectuada por el presidente del Senado de la República en la sesión del 2 de mayo de 2023; y (iv) </w:t>
      </w:r>
      <w:r w:rsidRPr="002A793E">
        <w:rPr>
          <w:rFonts w:ascii="Times New Roman" w:eastAsia="Times New Roman" w:hAnsi="Times New Roman" w:cs="Times New Roman"/>
          <w:bCs/>
          <w:sz w:val="28"/>
          <w:szCs w:val="28"/>
          <w:lang w:val="es-ES" w:eastAsia="es-ES"/>
        </w:rPr>
        <w:t>el artículo aprobado en la sesión plenari</w:t>
      </w:r>
      <w:r w:rsidRPr="002A793E">
        <w:rPr>
          <w:rFonts w:ascii="Times New Roman" w:eastAsia="Times New Roman" w:hAnsi="Times New Roman" w:cs="Times New Roman"/>
          <w:bCs/>
          <w:sz w:val="28"/>
          <w:szCs w:val="28"/>
          <w:lang w:val="es-ES" w:eastAsia="es-ES"/>
        </w:rPr>
        <w:t>a de dicha cámara</w:t>
      </w:r>
      <w:r w:rsidRPr="002A793E">
        <w:rPr>
          <w:rFonts w:ascii="Times New Roman" w:eastAsia="Times New Roman" w:hAnsi="Times New Roman" w:cs="Times New Roman"/>
          <w:bCs/>
          <w:sz w:val="28"/>
          <w:szCs w:val="28"/>
          <w:lang w:val="es-ES" w:eastAsia="es-ES"/>
        </w:rPr>
        <w:t>.</w:t>
      </w:r>
    </w:p>
    <w:p w:rsidR="008235CC" w:rsidRPr="002A793E" w:rsidRDefault="002A793E" w:rsidP="008235CC">
      <w:pPr>
        <w:pStyle w:val="Prrafodelista"/>
        <w:rPr>
          <w:rFonts w:ascii="Times New Roman" w:eastAsia="Times New Roman" w:hAnsi="Times New Roman" w:cs="Times New Roman"/>
          <w:bCs/>
          <w:sz w:val="28"/>
          <w:szCs w:val="28"/>
          <w:lang w:val="es-ES" w:eastAsia="es-ES"/>
        </w:rPr>
      </w:pPr>
    </w:p>
    <w:p w:rsidR="004D16D3" w:rsidRPr="002A793E" w:rsidRDefault="002A793E" w:rsidP="002D663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sz w:val="28"/>
          <w:szCs w:val="28"/>
          <w:lang w:val="es-ES"/>
        </w:rPr>
        <w:t xml:space="preserve">A partir de los elementos </w:t>
      </w:r>
      <w:r w:rsidRPr="002A793E">
        <w:rPr>
          <w:rFonts w:ascii="Times New Roman" w:hAnsi="Times New Roman" w:cs="Times New Roman"/>
          <w:sz w:val="28"/>
          <w:szCs w:val="28"/>
          <w:lang w:val="es-ES"/>
        </w:rPr>
        <w:t>en mención</w:t>
      </w:r>
      <w:r w:rsidRPr="002A793E">
        <w:rPr>
          <w:rFonts w:ascii="Times New Roman" w:hAnsi="Times New Roman" w:cs="Times New Roman"/>
          <w:sz w:val="28"/>
          <w:szCs w:val="28"/>
          <w:lang w:val="es-ES"/>
        </w:rPr>
        <w:t xml:space="preserve">, el actor indicó que el artículo inicialmente presentado y estudiado en el marco de la plenaria del Senado de la República fue diferente al </w:t>
      </w:r>
      <w:r w:rsidRPr="002A793E">
        <w:rPr>
          <w:rFonts w:ascii="Times New Roman" w:hAnsi="Times New Roman" w:cs="Times New Roman"/>
          <w:sz w:val="28"/>
          <w:szCs w:val="28"/>
          <w:lang w:val="es-ES"/>
        </w:rPr>
        <w:t xml:space="preserve">que fue </w:t>
      </w:r>
      <w:r w:rsidRPr="002A793E">
        <w:rPr>
          <w:rFonts w:ascii="Times New Roman" w:hAnsi="Times New Roman" w:cs="Times New Roman"/>
          <w:sz w:val="28"/>
          <w:szCs w:val="28"/>
          <w:lang w:val="es-ES"/>
        </w:rPr>
        <w:t>puesto a votación</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sin que existiera claridad sobre ello </w:t>
      </w:r>
      <w:r w:rsidRPr="002A793E">
        <w:rPr>
          <w:rFonts w:ascii="Times New Roman" w:hAnsi="Times New Roman" w:cs="Times New Roman"/>
          <w:sz w:val="28"/>
          <w:szCs w:val="28"/>
          <w:lang w:val="es-ES"/>
        </w:rPr>
        <w:t>ni</w:t>
      </w:r>
      <w:r w:rsidRPr="002A793E">
        <w:rPr>
          <w:rFonts w:ascii="Times New Roman" w:hAnsi="Times New Roman" w:cs="Times New Roman"/>
          <w:sz w:val="28"/>
          <w:szCs w:val="28"/>
          <w:lang w:val="es-ES"/>
        </w:rPr>
        <w:t xml:space="preserve"> sobre el nu</w:t>
      </w:r>
      <w:r w:rsidRPr="002A793E">
        <w:rPr>
          <w:rFonts w:ascii="Times New Roman" w:hAnsi="Times New Roman" w:cs="Times New Roman"/>
          <w:sz w:val="28"/>
          <w:szCs w:val="28"/>
          <w:lang w:val="es-ES"/>
        </w:rPr>
        <w:t>evo contenido del articulado. Para el ac</w:t>
      </w:r>
      <w:r w:rsidRPr="002A793E">
        <w:rPr>
          <w:rFonts w:ascii="Times New Roman" w:hAnsi="Times New Roman" w:cs="Times New Roman"/>
          <w:sz w:val="28"/>
          <w:szCs w:val="28"/>
          <w:lang w:val="es-ES"/>
        </w:rPr>
        <w:t>cionante</w:t>
      </w:r>
      <w:r w:rsidRPr="002A793E">
        <w:rPr>
          <w:rFonts w:ascii="Times New Roman" w:hAnsi="Times New Roman" w:cs="Times New Roman"/>
          <w:sz w:val="28"/>
          <w:szCs w:val="28"/>
          <w:lang w:val="es-ES"/>
        </w:rPr>
        <w:t>, esta circunstancia transgrede el principio de publicidad que rige el procedimiento legislativo</w:t>
      </w:r>
      <w:r w:rsidRPr="002A793E">
        <w:rPr>
          <w:rFonts w:ascii="Times New Roman" w:hAnsi="Times New Roman" w:cs="Times New Roman"/>
          <w:sz w:val="28"/>
          <w:szCs w:val="28"/>
          <w:lang w:val="es-ES"/>
        </w:rPr>
        <w:t xml:space="preserve"> porque, </w:t>
      </w:r>
      <w:r w:rsidRPr="002A793E">
        <w:rPr>
          <w:rFonts w:ascii="Times New Roman" w:hAnsi="Times New Roman" w:cs="Times New Roman"/>
          <w:sz w:val="28"/>
          <w:szCs w:val="28"/>
          <w:lang w:val="es-ES"/>
        </w:rPr>
        <w:t xml:space="preserve">si bien </w:t>
      </w:r>
      <w:r w:rsidRPr="002A793E">
        <w:rPr>
          <w:rFonts w:ascii="Times New Roman" w:hAnsi="Times New Roman" w:cs="Times New Roman"/>
          <w:sz w:val="28"/>
          <w:szCs w:val="28"/>
          <w:lang w:val="es-ES"/>
        </w:rPr>
        <w:t xml:space="preserve">en </w:t>
      </w:r>
      <w:r w:rsidRPr="002A793E">
        <w:rPr>
          <w:rFonts w:ascii="Times New Roman" w:hAnsi="Times New Roman" w:cs="Times New Roman"/>
          <w:sz w:val="28"/>
          <w:szCs w:val="28"/>
          <w:lang w:val="es-ES"/>
        </w:rPr>
        <w:t>e</w:t>
      </w:r>
      <w:r w:rsidRPr="002A793E">
        <w:rPr>
          <w:rFonts w:ascii="Times New Roman" w:hAnsi="Times New Roman" w:cs="Times New Roman"/>
          <w:sz w:val="28"/>
          <w:szCs w:val="28"/>
          <w:lang w:val="es-ES"/>
        </w:rPr>
        <w:t>l tenor literal de</w:t>
      </w:r>
      <w:r w:rsidRPr="002A793E">
        <w:rPr>
          <w:rFonts w:ascii="Times New Roman" w:hAnsi="Times New Roman" w:cs="Times New Roman"/>
          <w:sz w:val="28"/>
          <w:szCs w:val="28"/>
          <w:lang w:val="es-ES"/>
        </w:rPr>
        <w:t xml:space="preserve"> los artículos </w:t>
      </w:r>
      <w:r w:rsidRPr="002A793E">
        <w:rPr>
          <w:rFonts w:ascii="Times New Roman" w:hAnsi="Times New Roman" w:cs="Times New Roman"/>
          <w:sz w:val="28"/>
          <w:szCs w:val="28"/>
          <w:lang w:val="es-ES"/>
        </w:rPr>
        <w:t>157</w:t>
      </w:r>
      <w:r w:rsidRPr="002A793E">
        <w:rPr>
          <w:rFonts w:ascii="Times New Roman" w:hAnsi="Times New Roman" w:cs="Times New Roman"/>
          <w:sz w:val="28"/>
          <w:szCs w:val="28"/>
          <w:lang w:val="es-ES"/>
        </w:rPr>
        <w:t xml:space="preserve"> y </w:t>
      </w:r>
      <w:r w:rsidRPr="002A793E">
        <w:rPr>
          <w:rFonts w:ascii="Times New Roman" w:hAnsi="Times New Roman" w:cs="Times New Roman"/>
          <w:sz w:val="28"/>
          <w:szCs w:val="28"/>
          <w:lang w:val="es-ES"/>
        </w:rPr>
        <w:t xml:space="preserve">160 </w:t>
      </w:r>
      <w:r w:rsidRPr="002A793E">
        <w:rPr>
          <w:rFonts w:ascii="Times New Roman" w:hAnsi="Times New Roman" w:cs="Times New Roman"/>
          <w:sz w:val="28"/>
          <w:szCs w:val="28"/>
          <w:lang w:val="es-ES"/>
        </w:rPr>
        <w:t xml:space="preserve">superiores y de la </w:t>
      </w:r>
      <w:r w:rsidRPr="002A793E">
        <w:rPr>
          <w:rFonts w:ascii="Times New Roman" w:hAnsi="Times New Roman" w:cs="Times New Roman"/>
          <w:sz w:val="28"/>
          <w:szCs w:val="28"/>
          <w:lang w:val="es-ES"/>
        </w:rPr>
        <w:t>L</w:t>
      </w:r>
      <w:r w:rsidRPr="002A793E">
        <w:rPr>
          <w:rFonts w:ascii="Times New Roman" w:hAnsi="Times New Roman" w:cs="Times New Roman"/>
          <w:sz w:val="28"/>
          <w:szCs w:val="28"/>
          <w:lang w:val="es-ES"/>
        </w:rPr>
        <w:t xml:space="preserve">ey 5ª de 1992 </w:t>
      </w:r>
      <w:r w:rsidRPr="002A793E">
        <w:rPr>
          <w:rFonts w:ascii="Times New Roman" w:hAnsi="Times New Roman" w:cs="Times New Roman"/>
          <w:sz w:val="28"/>
          <w:szCs w:val="28"/>
          <w:lang w:val="es-ES"/>
        </w:rPr>
        <w:t xml:space="preserve">no se </w:t>
      </w:r>
      <w:r w:rsidRPr="002A793E">
        <w:rPr>
          <w:rFonts w:ascii="Times New Roman" w:hAnsi="Times New Roman" w:cs="Times New Roman"/>
          <w:sz w:val="28"/>
          <w:szCs w:val="28"/>
          <w:lang w:val="es-ES"/>
        </w:rPr>
        <w:t>establece</w:t>
      </w:r>
      <w:r w:rsidRPr="002A793E">
        <w:rPr>
          <w:rFonts w:ascii="Times New Roman" w:hAnsi="Times New Roman" w:cs="Times New Roman"/>
          <w:sz w:val="28"/>
          <w:szCs w:val="28"/>
          <w:lang w:val="es-ES"/>
        </w:rPr>
        <w:t xml:space="preserve"> la obligación de efectuar una lectura integral</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 xml:space="preserve">de las </w:t>
      </w:r>
      <w:r w:rsidRPr="002A793E">
        <w:rPr>
          <w:rFonts w:ascii="Times New Roman" w:hAnsi="Times New Roman" w:cs="Times New Roman"/>
          <w:sz w:val="28"/>
          <w:szCs w:val="28"/>
          <w:lang w:val="es-ES"/>
        </w:rPr>
        <w:t>proposiciones</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lo cierto es que la jurisprudencia constitucional, particularmente la sentencia C-481 de 2019, exige que el debate legislativo se sustente en el conocimiento previo, integral y </w:t>
      </w:r>
      <w:r w:rsidRPr="002A793E">
        <w:rPr>
          <w:rFonts w:ascii="Times New Roman" w:hAnsi="Times New Roman" w:cs="Times New Roman"/>
          <w:sz w:val="28"/>
          <w:szCs w:val="28"/>
          <w:lang w:val="es-ES"/>
        </w:rPr>
        <w:t xml:space="preserve">real del objeto del debate, esto es, </w:t>
      </w:r>
      <w:r w:rsidRPr="002A793E">
        <w:rPr>
          <w:rFonts w:ascii="Times New Roman" w:hAnsi="Times New Roman" w:cs="Times New Roman"/>
          <w:sz w:val="28"/>
          <w:szCs w:val="28"/>
          <w:lang w:val="es-ES"/>
        </w:rPr>
        <w:t xml:space="preserve">tanto </w:t>
      </w:r>
      <w:r w:rsidRPr="002A793E">
        <w:rPr>
          <w:rFonts w:ascii="Times New Roman" w:hAnsi="Times New Roman" w:cs="Times New Roman"/>
          <w:sz w:val="28"/>
          <w:szCs w:val="28"/>
          <w:lang w:val="es-ES"/>
        </w:rPr>
        <w:t xml:space="preserve">del proyecto </w:t>
      </w:r>
      <w:r w:rsidRPr="002A793E">
        <w:rPr>
          <w:rFonts w:ascii="Times New Roman" w:hAnsi="Times New Roman" w:cs="Times New Roman"/>
          <w:sz w:val="28"/>
          <w:szCs w:val="28"/>
          <w:lang w:val="es-ES"/>
        </w:rPr>
        <w:t>como</w:t>
      </w:r>
      <w:r w:rsidRPr="002A793E">
        <w:rPr>
          <w:rFonts w:ascii="Times New Roman" w:hAnsi="Times New Roman" w:cs="Times New Roman"/>
          <w:sz w:val="28"/>
          <w:szCs w:val="28"/>
          <w:lang w:val="es-ES"/>
        </w:rPr>
        <w:t xml:space="preserve"> de las proposiciones. Así, el </w:t>
      </w:r>
      <w:r w:rsidRPr="002A793E">
        <w:rPr>
          <w:rFonts w:ascii="Times New Roman" w:hAnsi="Times New Roman" w:cs="Times New Roman"/>
          <w:sz w:val="28"/>
          <w:szCs w:val="28"/>
          <w:lang w:val="es-ES"/>
        </w:rPr>
        <w:t>demandante</w:t>
      </w:r>
      <w:r w:rsidRPr="002A793E">
        <w:rPr>
          <w:rFonts w:ascii="Times New Roman" w:hAnsi="Times New Roman" w:cs="Times New Roman"/>
          <w:sz w:val="28"/>
          <w:szCs w:val="28"/>
          <w:lang w:val="es-ES"/>
        </w:rPr>
        <w:t xml:space="preserve"> citó apartes de esa decisión en la que se indicó, entre otras cosas, que:</w:t>
      </w:r>
    </w:p>
    <w:p w:rsidR="004D16D3" w:rsidRPr="002A793E" w:rsidRDefault="002A793E" w:rsidP="004D16D3">
      <w:pPr>
        <w:pStyle w:val="Prrafodelista"/>
        <w:ind w:left="0"/>
        <w:rPr>
          <w:rFonts w:ascii="Times New Roman" w:hAnsi="Times New Roman" w:cs="Times New Roman"/>
          <w:color w:val="000000" w:themeColor="text1"/>
          <w:sz w:val="28"/>
          <w:szCs w:val="28"/>
          <w:lang w:val="es-ES"/>
        </w:rPr>
      </w:pPr>
    </w:p>
    <w:p w:rsidR="006A335B" w:rsidRPr="002A793E" w:rsidRDefault="002A793E" w:rsidP="004D16D3">
      <w:pPr>
        <w:pStyle w:val="Prrafodelista"/>
        <w:ind w:left="708"/>
        <w:rPr>
          <w:rFonts w:ascii="Times New Roman" w:hAnsi="Times New Roman" w:cs="Times New Roman"/>
          <w:sz w:val="28"/>
          <w:szCs w:val="24"/>
          <w:lang w:val="es-ES"/>
        </w:rPr>
      </w:pPr>
      <w:r w:rsidRPr="002A793E">
        <w:rPr>
          <w:rFonts w:ascii="Times New Roman" w:hAnsi="Times New Roman" w:cs="Times New Roman"/>
          <w:sz w:val="28"/>
          <w:szCs w:val="24"/>
          <w:lang w:val="es-ES"/>
        </w:rPr>
        <w:t xml:space="preserve"> “(…) el debate solo puede existir cuando los congresistas conocen el objeto del mismo. Dicho conocimiento debe ser completo y no parcial, pues es claro que a los congresistas les está vedado discutir y votar un texto indeterminado o desconocido parcialmen</w:t>
      </w:r>
      <w:r w:rsidRPr="002A793E">
        <w:rPr>
          <w:rFonts w:ascii="Times New Roman" w:hAnsi="Times New Roman" w:cs="Times New Roman"/>
          <w:sz w:val="28"/>
          <w:szCs w:val="24"/>
          <w:lang w:val="es-ES"/>
        </w:rPr>
        <w:t>te, lo que supone haber tenido acceso al tenor literal de las disposiciones que se someten a su consideración y aprobación.”</w:t>
      </w:r>
    </w:p>
    <w:p w:rsidR="004D16D3" w:rsidRPr="002A793E" w:rsidRDefault="002A793E" w:rsidP="004D16D3">
      <w:pPr>
        <w:pStyle w:val="Prrafodelista"/>
        <w:ind w:left="708"/>
        <w:rPr>
          <w:rFonts w:ascii="Times New Roman" w:hAnsi="Times New Roman" w:cs="Times New Roman"/>
          <w:color w:val="000000" w:themeColor="text1"/>
          <w:sz w:val="28"/>
          <w:szCs w:val="24"/>
          <w:lang w:val="es-ES"/>
        </w:rPr>
      </w:pPr>
    </w:p>
    <w:p w:rsidR="00726D73" w:rsidRPr="002A793E" w:rsidRDefault="002A793E" w:rsidP="002D663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A partir de lo anterior, </w:t>
      </w:r>
      <w:r w:rsidRPr="002A793E">
        <w:rPr>
          <w:rFonts w:ascii="Times New Roman" w:hAnsi="Times New Roman" w:cs="Times New Roman"/>
          <w:color w:val="000000" w:themeColor="text1"/>
          <w:sz w:val="28"/>
          <w:szCs w:val="28"/>
          <w:lang w:val="es-ES"/>
        </w:rPr>
        <w:t xml:space="preserve">el </w:t>
      </w:r>
      <w:r w:rsidRPr="002A793E">
        <w:rPr>
          <w:rFonts w:ascii="Times New Roman" w:hAnsi="Times New Roman" w:cs="Times New Roman"/>
          <w:color w:val="000000" w:themeColor="text1"/>
          <w:sz w:val="28"/>
          <w:szCs w:val="28"/>
          <w:lang w:val="es-ES"/>
        </w:rPr>
        <w:t>ciudadano</w:t>
      </w:r>
      <w:r w:rsidRPr="002A793E">
        <w:rPr>
          <w:rFonts w:ascii="Times New Roman" w:hAnsi="Times New Roman" w:cs="Times New Roman"/>
          <w:color w:val="000000" w:themeColor="text1"/>
          <w:sz w:val="28"/>
          <w:szCs w:val="28"/>
          <w:lang w:val="es-ES"/>
        </w:rPr>
        <w:t xml:space="preserve"> expuso</w:t>
      </w:r>
      <w:r w:rsidRPr="002A793E">
        <w:rPr>
          <w:rFonts w:ascii="Times New Roman" w:hAnsi="Times New Roman" w:cs="Times New Roman"/>
          <w:color w:val="000000" w:themeColor="text1"/>
          <w:sz w:val="28"/>
          <w:szCs w:val="28"/>
          <w:lang w:val="es-ES"/>
        </w:rPr>
        <w:t xml:space="preserve"> que en relación </w:t>
      </w:r>
      <w:r w:rsidRPr="002A793E">
        <w:rPr>
          <w:rFonts w:ascii="Times New Roman" w:hAnsi="Times New Roman" w:cs="Times New Roman"/>
          <w:color w:val="000000" w:themeColor="text1"/>
          <w:sz w:val="28"/>
          <w:szCs w:val="28"/>
          <w:lang w:val="es-ES"/>
        </w:rPr>
        <w:t xml:space="preserve">con </w:t>
      </w:r>
      <w:r w:rsidRPr="002A793E">
        <w:rPr>
          <w:rFonts w:ascii="Times New Roman" w:hAnsi="Times New Roman" w:cs="Times New Roman"/>
          <w:color w:val="000000" w:themeColor="text1"/>
          <w:sz w:val="28"/>
          <w:szCs w:val="28"/>
          <w:lang w:val="es-ES"/>
        </w:rPr>
        <w:t xml:space="preserve">el </w:t>
      </w:r>
      <w:r w:rsidRPr="002A793E">
        <w:rPr>
          <w:rFonts w:ascii="Times New Roman" w:hAnsi="Times New Roman" w:cs="Times New Roman"/>
          <w:color w:val="000000" w:themeColor="text1"/>
          <w:sz w:val="28"/>
          <w:szCs w:val="28"/>
          <w:lang w:val="es-ES"/>
        </w:rPr>
        <w:t>numeral 6 (parcial) y el parágrafo 3 del artículo 61</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se aprobó una proposición que no fue conocida de manera previa, real y completa por parte de los congresistas, pues la publicidad de la proposición votada se materializó a través de una referencia </w:t>
      </w:r>
      <w:r w:rsidRPr="002A793E">
        <w:rPr>
          <w:rFonts w:ascii="Times New Roman" w:hAnsi="Times New Roman" w:cs="Times New Roman"/>
          <w:color w:val="000000" w:themeColor="text1"/>
          <w:sz w:val="28"/>
          <w:szCs w:val="28"/>
          <w:lang w:val="es-ES"/>
        </w:rPr>
        <w:t xml:space="preserve">oral, </w:t>
      </w:r>
      <w:r w:rsidRPr="002A793E">
        <w:rPr>
          <w:rFonts w:ascii="Times New Roman" w:hAnsi="Times New Roman" w:cs="Times New Roman"/>
          <w:color w:val="000000" w:themeColor="text1"/>
          <w:sz w:val="28"/>
          <w:szCs w:val="28"/>
          <w:lang w:val="es-ES"/>
        </w:rPr>
        <w:t>parcial e insuficiente</w:t>
      </w:r>
      <w:r w:rsidRPr="002A793E">
        <w:rPr>
          <w:rFonts w:ascii="Times New Roman" w:hAnsi="Times New Roman" w:cs="Times New Roman"/>
          <w:color w:val="000000" w:themeColor="text1"/>
          <w:sz w:val="28"/>
          <w:szCs w:val="28"/>
          <w:lang w:val="es-ES"/>
        </w:rPr>
        <w:t xml:space="preserve"> por parte del presidente del S</w:t>
      </w:r>
      <w:r w:rsidRPr="002A793E">
        <w:rPr>
          <w:rFonts w:ascii="Times New Roman" w:hAnsi="Times New Roman" w:cs="Times New Roman"/>
          <w:color w:val="000000" w:themeColor="text1"/>
          <w:sz w:val="28"/>
          <w:szCs w:val="28"/>
          <w:lang w:val="es-ES"/>
        </w:rPr>
        <w:t>enado</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en la que aludió muy brevemente al</w:t>
      </w:r>
      <w:r w:rsidRPr="002A793E">
        <w:rPr>
          <w:rFonts w:ascii="Times New Roman" w:hAnsi="Times New Roman" w:cs="Times New Roman"/>
          <w:color w:val="000000" w:themeColor="text1"/>
          <w:sz w:val="28"/>
          <w:szCs w:val="28"/>
          <w:lang w:val="es-ES"/>
        </w:rPr>
        <w:t xml:space="preserve"> contenido de la proposición</w:t>
      </w:r>
      <w:r w:rsidRPr="002A793E">
        <w:rPr>
          <w:rFonts w:ascii="Times New Roman" w:hAnsi="Times New Roman" w:cs="Times New Roman"/>
          <w:color w:val="000000" w:themeColor="text1"/>
          <w:sz w:val="28"/>
          <w:szCs w:val="28"/>
          <w:lang w:val="es-ES"/>
        </w:rPr>
        <w:t xml:space="preserve"> y en la que omitió aspectos trascendentales de la misma. Adicionalmente, el actor señaló que</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aunque la proposición estaba publicada en la página web</w:t>
      </w:r>
      <w:r w:rsidRPr="002A793E">
        <w:rPr>
          <w:rFonts w:ascii="Times New Roman" w:hAnsi="Times New Roman" w:cs="Times New Roman"/>
          <w:color w:val="000000" w:themeColor="text1"/>
          <w:sz w:val="28"/>
          <w:szCs w:val="28"/>
          <w:lang w:val="es-ES"/>
        </w:rPr>
        <w:t xml:space="preserve"> del Senado</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dicha publicación no fue </w:t>
      </w:r>
      <w:r w:rsidRPr="002A793E">
        <w:rPr>
          <w:rFonts w:ascii="Times New Roman" w:hAnsi="Times New Roman" w:cs="Times New Roman"/>
          <w:color w:val="000000" w:themeColor="text1"/>
          <w:sz w:val="28"/>
          <w:szCs w:val="28"/>
          <w:lang w:val="es-ES"/>
        </w:rPr>
        <w:t>informada a los congresistas para que pudieran conocer el alcance de la proposición y, en esta misma línea, agregó que solo ante circunstancias excepcionales</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como sucedió con la pandemia </w:t>
      </w:r>
      <w:r w:rsidRPr="002A793E">
        <w:rPr>
          <w:rFonts w:ascii="Times New Roman" w:hAnsi="Times New Roman" w:cs="Times New Roman"/>
          <w:color w:val="000000" w:themeColor="text1"/>
          <w:sz w:val="28"/>
          <w:szCs w:val="28"/>
          <w:lang w:val="es-ES"/>
        </w:rPr>
        <w:t xml:space="preserve">generada por el </w:t>
      </w:r>
      <w:r w:rsidRPr="002A793E">
        <w:rPr>
          <w:rFonts w:ascii="Times New Roman" w:hAnsi="Times New Roman" w:cs="Times New Roman"/>
          <w:color w:val="000000" w:themeColor="text1"/>
          <w:sz w:val="28"/>
          <w:szCs w:val="28"/>
          <w:lang w:val="es-ES"/>
        </w:rPr>
        <w:t>Covid-19</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la jurisprudencia ha matizado el deber de</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conocimiento de las proposiciones y de la</w:t>
      </w:r>
      <w:r w:rsidRPr="002A793E">
        <w:rPr>
          <w:rFonts w:ascii="Times New Roman" w:hAnsi="Times New Roman" w:cs="Times New Roman"/>
          <w:color w:val="000000" w:themeColor="text1"/>
          <w:sz w:val="28"/>
          <w:szCs w:val="28"/>
          <w:lang w:val="es-ES"/>
        </w:rPr>
        <w:t xml:space="preserve"> información sobre </w:t>
      </w:r>
      <w:r w:rsidRPr="002A793E">
        <w:rPr>
          <w:rFonts w:ascii="Times New Roman" w:hAnsi="Times New Roman" w:cs="Times New Roman"/>
          <w:color w:val="000000" w:themeColor="text1"/>
          <w:sz w:val="28"/>
          <w:szCs w:val="28"/>
          <w:lang w:val="es-ES"/>
        </w:rPr>
        <w:t>su</w:t>
      </w:r>
      <w:r w:rsidRPr="002A793E">
        <w:rPr>
          <w:rFonts w:ascii="Times New Roman" w:hAnsi="Times New Roman" w:cs="Times New Roman"/>
          <w:color w:val="000000" w:themeColor="text1"/>
          <w:sz w:val="28"/>
          <w:szCs w:val="28"/>
          <w:lang w:val="es-ES"/>
        </w:rPr>
        <w:t xml:space="preserve"> publicación en la página web</w:t>
      </w:r>
      <w:r w:rsidRPr="002A793E">
        <w:rPr>
          <w:rFonts w:ascii="Times New Roman" w:hAnsi="Times New Roman" w:cs="Times New Roman"/>
          <w:color w:val="000000" w:themeColor="text1"/>
          <w:sz w:val="28"/>
          <w:szCs w:val="28"/>
          <w:lang w:val="es-ES"/>
        </w:rPr>
        <w:t>. Es</w:t>
      </w:r>
      <w:r w:rsidRPr="002A793E">
        <w:rPr>
          <w:rFonts w:ascii="Times New Roman" w:hAnsi="Times New Roman" w:cs="Times New Roman"/>
          <w:color w:val="000000" w:themeColor="text1"/>
          <w:sz w:val="28"/>
          <w:szCs w:val="28"/>
          <w:lang w:val="es-ES"/>
        </w:rPr>
        <w:t>tas circunstancias excepcionales</w:t>
      </w:r>
      <w:r w:rsidRPr="002A793E">
        <w:rPr>
          <w:rFonts w:ascii="Times New Roman" w:hAnsi="Times New Roman" w:cs="Times New Roman"/>
          <w:color w:val="000000" w:themeColor="text1"/>
          <w:sz w:val="28"/>
          <w:szCs w:val="28"/>
          <w:lang w:val="es-ES"/>
        </w:rPr>
        <w:t>, a su juicio,</w:t>
      </w:r>
      <w:r w:rsidRPr="002A793E">
        <w:rPr>
          <w:rFonts w:ascii="Times New Roman" w:hAnsi="Times New Roman" w:cs="Times New Roman"/>
          <w:color w:val="000000" w:themeColor="text1"/>
          <w:sz w:val="28"/>
          <w:szCs w:val="28"/>
          <w:lang w:val="es-ES"/>
        </w:rPr>
        <w:t xml:space="preserve"> no concurren en el presente asunto.</w:t>
      </w:r>
      <w:r w:rsidRPr="002A793E">
        <w:rPr>
          <w:rStyle w:val="Refdenotaalpie"/>
          <w:rFonts w:ascii="Times New Roman" w:hAnsi="Times New Roman" w:cs="Times New Roman"/>
          <w:color w:val="000000" w:themeColor="text1"/>
          <w:sz w:val="28"/>
          <w:szCs w:val="28"/>
          <w:lang w:val="es-ES"/>
        </w:rPr>
        <w:footnoteReference w:id="15"/>
      </w:r>
    </w:p>
    <w:p w:rsidR="00726D73" w:rsidRPr="002A793E" w:rsidRDefault="002A793E" w:rsidP="00726D73">
      <w:pPr>
        <w:rPr>
          <w:rFonts w:ascii="Times New Roman" w:hAnsi="Times New Roman" w:cs="Times New Roman"/>
          <w:color w:val="000000" w:themeColor="text1"/>
          <w:sz w:val="28"/>
          <w:szCs w:val="28"/>
          <w:lang w:val="es-ES"/>
        </w:rPr>
      </w:pPr>
    </w:p>
    <w:p w:rsidR="00726D73" w:rsidRPr="002A793E" w:rsidRDefault="002A793E" w:rsidP="008B4750">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Así, con fundamento en lo expuesto</w:t>
      </w:r>
      <w:r w:rsidRPr="002A793E">
        <w:rPr>
          <w:rFonts w:ascii="Times New Roman" w:hAnsi="Times New Roman" w:cs="Times New Roman"/>
          <w:color w:val="000000" w:themeColor="text1"/>
          <w:sz w:val="28"/>
          <w:szCs w:val="28"/>
          <w:lang w:val="es-ES"/>
        </w:rPr>
        <w:t>, el</w:t>
      </w:r>
      <w:r w:rsidRPr="002A793E">
        <w:rPr>
          <w:rFonts w:ascii="Times New Roman" w:hAnsi="Times New Roman" w:cs="Times New Roman"/>
          <w:color w:val="000000" w:themeColor="text1"/>
          <w:sz w:val="28"/>
          <w:szCs w:val="28"/>
          <w:lang w:val="es-ES"/>
        </w:rPr>
        <w:t xml:space="preserve"> ciudadano Sierra Porto planteó que el</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numeral 6 </w:t>
      </w:r>
      <w:r w:rsidRPr="002A793E">
        <w:rPr>
          <w:rFonts w:ascii="Times New Roman" w:hAnsi="Times New Roman" w:cs="Times New Roman"/>
          <w:color w:val="000000" w:themeColor="text1"/>
          <w:sz w:val="28"/>
          <w:szCs w:val="28"/>
          <w:lang w:val="es-ES"/>
        </w:rPr>
        <w:t xml:space="preserve">(parcial) y el parágrafo 3 </w:t>
      </w:r>
      <w:r w:rsidRPr="002A793E">
        <w:rPr>
          <w:rFonts w:ascii="Times New Roman" w:hAnsi="Times New Roman" w:cs="Times New Roman"/>
          <w:color w:val="000000" w:themeColor="text1"/>
          <w:sz w:val="28"/>
          <w:szCs w:val="28"/>
          <w:lang w:val="es-ES"/>
        </w:rPr>
        <w:t xml:space="preserve">del </w:t>
      </w:r>
      <w:r w:rsidRPr="002A793E">
        <w:rPr>
          <w:rFonts w:ascii="Times New Roman" w:hAnsi="Times New Roman" w:cs="Times New Roman"/>
          <w:color w:val="000000" w:themeColor="text1"/>
          <w:sz w:val="28"/>
          <w:szCs w:val="28"/>
          <w:lang w:val="es-ES"/>
        </w:rPr>
        <w:t xml:space="preserve">artículo 61 de la Ley 2294 de 2023 </w:t>
      </w:r>
      <w:r w:rsidRPr="002A793E">
        <w:rPr>
          <w:rFonts w:ascii="Times New Roman" w:hAnsi="Times New Roman" w:cs="Times New Roman"/>
          <w:color w:val="000000" w:themeColor="text1"/>
          <w:sz w:val="28"/>
          <w:szCs w:val="28"/>
          <w:lang w:val="es-ES"/>
        </w:rPr>
        <w:t>son</w:t>
      </w:r>
      <w:r w:rsidRPr="002A793E">
        <w:rPr>
          <w:rFonts w:ascii="Times New Roman" w:hAnsi="Times New Roman" w:cs="Times New Roman"/>
          <w:color w:val="000000" w:themeColor="text1"/>
          <w:sz w:val="28"/>
          <w:szCs w:val="28"/>
          <w:lang w:val="es-ES"/>
        </w:rPr>
        <w:t xml:space="preserve"> inconstitucional</w:t>
      </w:r>
      <w:r w:rsidRPr="002A793E">
        <w:rPr>
          <w:rFonts w:ascii="Times New Roman" w:hAnsi="Times New Roman" w:cs="Times New Roman"/>
          <w:color w:val="000000" w:themeColor="text1"/>
          <w:sz w:val="28"/>
          <w:szCs w:val="28"/>
          <w:lang w:val="es-ES"/>
        </w:rPr>
        <w:t>es</w:t>
      </w:r>
      <w:r w:rsidRPr="002A793E">
        <w:rPr>
          <w:rFonts w:ascii="Times New Roman" w:hAnsi="Times New Roman" w:cs="Times New Roman"/>
          <w:color w:val="000000" w:themeColor="text1"/>
          <w:sz w:val="28"/>
          <w:szCs w:val="28"/>
          <w:lang w:val="es-ES"/>
        </w:rPr>
        <w:t xml:space="preserve"> porque en el trámite de aprobación se incurrió en un vicio insubsanable</w:t>
      </w:r>
      <w:r w:rsidRPr="002A793E">
        <w:rPr>
          <w:rFonts w:ascii="Times New Roman" w:hAnsi="Times New Roman" w:cs="Times New Roman"/>
          <w:color w:val="000000" w:themeColor="text1"/>
          <w:sz w:val="28"/>
          <w:szCs w:val="28"/>
          <w:lang w:val="es-ES"/>
        </w:rPr>
        <w:t>, debido a</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sz w:val="28"/>
          <w:szCs w:val="28"/>
          <w:lang w:val="es-ES"/>
        </w:rPr>
        <w:t xml:space="preserve">que </w:t>
      </w:r>
      <w:r w:rsidRPr="002A793E">
        <w:rPr>
          <w:rFonts w:ascii="Times New Roman" w:hAnsi="Times New Roman" w:cs="Times New Roman"/>
          <w:sz w:val="28"/>
          <w:szCs w:val="28"/>
          <w:lang w:val="es-ES"/>
        </w:rPr>
        <w:t xml:space="preserve">la proposición que modificaba el texto sometido a debate y aprobación </w:t>
      </w:r>
      <w:r w:rsidRPr="002A793E">
        <w:rPr>
          <w:rFonts w:ascii="Times New Roman" w:hAnsi="Times New Roman" w:cs="Times New Roman"/>
          <w:sz w:val="28"/>
          <w:szCs w:val="28"/>
          <w:lang w:val="es-ES"/>
        </w:rPr>
        <w:t xml:space="preserve">no se </w:t>
      </w:r>
      <w:r w:rsidRPr="002A793E">
        <w:rPr>
          <w:rFonts w:ascii="Times New Roman" w:hAnsi="Times New Roman" w:cs="Times New Roman"/>
          <w:sz w:val="28"/>
          <w:szCs w:val="28"/>
          <w:lang w:val="es-ES"/>
        </w:rPr>
        <w:t>dio a conocer, de</w:t>
      </w:r>
      <w:r w:rsidRPr="002A793E">
        <w:rPr>
          <w:rFonts w:ascii="Times New Roman" w:hAnsi="Times New Roman" w:cs="Times New Roman"/>
          <w:sz w:val="28"/>
          <w:szCs w:val="28"/>
          <w:lang w:val="es-ES"/>
        </w:rPr>
        <w:t xml:space="preserve"> manera integral, durante el trámite ante la plenaria del Senado de la República</w:t>
      </w:r>
      <w:r w:rsidRPr="002A793E">
        <w:rPr>
          <w:rFonts w:ascii="Times New Roman" w:hAnsi="Times New Roman" w:cs="Times New Roman"/>
          <w:sz w:val="28"/>
          <w:szCs w:val="28"/>
          <w:lang w:val="es-ES"/>
        </w:rPr>
        <w:t>.</w:t>
      </w:r>
    </w:p>
    <w:p w:rsidR="008B4750" w:rsidRPr="002A793E" w:rsidRDefault="002A793E" w:rsidP="008B4750">
      <w:pPr>
        <w:pStyle w:val="Prrafodelista"/>
        <w:ind w:left="0"/>
        <w:rPr>
          <w:rFonts w:ascii="Times New Roman" w:hAnsi="Times New Roman" w:cs="Times New Roman"/>
          <w:color w:val="000000" w:themeColor="text1"/>
          <w:sz w:val="28"/>
          <w:szCs w:val="28"/>
          <w:lang w:val="es-ES"/>
        </w:rPr>
      </w:pPr>
    </w:p>
    <w:p w:rsidR="0097197D" w:rsidRPr="002A793E" w:rsidRDefault="002A793E" w:rsidP="002D663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En el </w:t>
      </w:r>
      <w:r w:rsidRPr="002A793E">
        <w:rPr>
          <w:rFonts w:ascii="Times New Roman" w:hAnsi="Times New Roman" w:cs="Times New Roman"/>
          <w:b/>
          <w:bCs/>
          <w:color w:val="000000" w:themeColor="text1"/>
          <w:sz w:val="28"/>
          <w:szCs w:val="28"/>
          <w:lang w:val="es-ES"/>
        </w:rPr>
        <w:t>cargo segundo</w:t>
      </w:r>
      <w:r w:rsidRPr="002A793E">
        <w:rPr>
          <w:rFonts w:ascii="Times New Roman" w:hAnsi="Times New Roman" w:cs="Times New Roman"/>
          <w:color w:val="000000" w:themeColor="text1"/>
          <w:sz w:val="28"/>
          <w:szCs w:val="28"/>
          <w:lang w:val="es-ES"/>
        </w:rPr>
        <w:t xml:space="preserve">, el demandante planteó </w:t>
      </w:r>
      <w:r w:rsidRPr="002A793E">
        <w:rPr>
          <w:rFonts w:ascii="Times New Roman" w:hAnsi="Times New Roman" w:cs="Times New Roman"/>
          <w:b/>
          <w:color w:val="000000" w:themeColor="text1"/>
          <w:sz w:val="28"/>
          <w:szCs w:val="28"/>
          <w:lang w:val="es-ES"/>
        </w:rPr>
        <w:t xml:space="preserve">la violación del principio de unidad </w:t>
      </w:r>
      <w:r w:rsidRPr="002A793E">
        <w:rPr>
          <w:rFonts w:ascii="Times New Roman" w:hAnsi="Times New Roman" w:cs="Times New Roman"/>
          <w:b/>
          <w:color w:val="000000" w:themeColor="text1"/>
          <w:sz w:val="28"/>
          <w:szCs w:val="28"/>
          <w:lang w:val="es-ES"/>
        </w:rPr>
        <w:t>de materia</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artículo 158 de la Carta Política)</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En este c</w:t>
      </w:r>
      <w:r w:rsidRPr="002A793E">
        <w:rPr>
          <w:rFonts w:ascii="Times New Roman" w:hAnsi="Times New Roman" w:cs="Times New Roman"/>
          <w:color w:val="000000" w:themeColor="text1"/>
          <w:sz w:val="28"/>
          <w:szCs w:val="28"/>
          <w:lang w:val="es-ES"/>
        </w:rPr>
        <w:t>uestionamiento</w:t>
      </w:r>
      <w:r w:rsidRPr="002A793E">
        <w:rPr>
          <w:rFonts w:ascii="Times New Roman" w:hAnsi="Times New Roman" w:cs="Times New Roman"/>
          <w:color w:val="000000" w:themeColor="text1"/>
          <w:sz w:val="28"/>
          <w:szCs w:val="28"/>
          <w:lang w:val="es-ES"/>
        </w:rPr>
        <w:t xml:space="preserve">, el actor argumentó la falta de conexidad de las derogatorias establecidas por el numeral 6 </w:t>
      </w:r>
      <w:r w:rsidRPr="002A793E">
        <w:rPr>
          <w:rFonts w:ascii="Times New Roman" w:hAnsi="Times New Roman" w:cs="Times New Roman"/>
          <w:color w:val="000000" w:themeColor="text1"/>
          <w:sz w:val="28"/>
          <w:szCs w:val="28"/>
          <w:lang w:val="es-ES"/>
        </w:rPr>
        <w:t xml:space="preserve">(parcial) y el parágrafo </w:t>
      </w:r>
      <w:r w:rsidRPr="002A793E">
        <w:rPr>
          <w:rFonts w:ascii="Times New Roman" w:hAnsi="Times New Roman" w:cs="Times New Roman"/>
          <w:color w:val="000000" w:themeColor="text1"/>
          <w:sz w:val="28"/>
          <w:szCs w:val="28"/>
          <w:lang w:val="es-ES"/>
        </w:rPr>
        <w:t xml:space="preserve">demandado con los objetivos generales y metas establecidos en la </w:t>
      </w:r>
      <w:r w:rsidRPr="002A793E">
        <w:rPr>
          <w:rFonts w:ascii="Times New Roman" w:hAnsi="Times New Roman" w:cs="Times New Roman"/>
          <w:color w:val="000000" w:themeColor="text1"/>
          <w:sz w:val="28"/>
          <w:szCs w:val="28"/>
          <w:lang w:val="es-ES"/>
        </w:rPr>
        <w:t>Ley 2294 de 2023</w:t>
      </w:r>
      <w:r w:rsidRPr="002A793E">
        <w:rPr>
          <w:rFonts w:ascii="Times New Roman" w:hAnsi="Times New Roman" w:cs="Times New Roman"/>
          <w:color w:val="000000" w:themeColor="text1"/>
          <w:sz w:val="28"/>
          <w:szCs w:val="28"/>
          <w:lang w:val="es-ES"/>
        </w:rPr>
        <w:t>.</w:t>
      </w:r>
    </w:p>
    <w:p w:rsidR="0097197D" w:rsidRPr="002A793E" w:rsidRDefault="002A793E" w:rsidP="0097197D">
      <w:pPr>
        <w:pStyle w:val="Prrafodelista"/>
        <w:rPr>
          <w:rFonts w:ascii="Times New Roman" w:hAnsi="Times New Roman" w:cs="Times New Roman"/>
          <w:color w:val="000000" w:themeColor="text1"/>
          <w:sz w:val="28"/>
          <w:szCs w:val="28"/>
          <w:lang w:val="es-ES"/>
        </w:rPr>
      </w:pPr>
    </w:p>
    <w:p w:rsidR="0097197D" w:rsidRPr="002A793E" w:rsidRDefault="002A793E" w:rsidP="002D663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Para sustentar el cargo, el </w:t>
      </w:r>
      <w:r w:rsidRPr="002A793E">
        <w:rPr>
          <w:rFonts w:ascii="Times New Roman" w:hAnsi="Times New Roman" w:cs="Times New Roman"/>
          <w:color w:val="000000" w:themeColor="text1"/>
          <w:sz w:val="28"/>
          <w:szCs w:val="28"/>
          <w:lang w:val="es-ES"/>
        </w:rPr>
        <w:t xml:space="preserve">demandante hizo referencia a los objetivos generales del </w:t>
      </w:r>
      <w:r w:rsidRPr="002A793E">
        <w:rPr>
          <w:rFonts w:ascii="Times New Roman" w:hAnsi="Times New Roman" w:cs="Times New Roman"/>
          <w:color w:val="000000" w:themeColor="text1"/>
          <w:sz w:val="28"/>
          <w:szCs w:val="28"/>
          <w:lang w:val="es-ES"/>
        </w:rPr>
        <w:t>PND</w:t>
      </w:r>
      <w:r w:rsidRPr="002A793E">
        <w:rPr>
          <w:rStyle w:val="Refdenotaalpie"/>
          <w:rFonts w:ascii="Times New Roman" w:hAnsi="Times New Roman" w:cs="Times New Roman"/>
          <w:color w:val="000000" w:themeColor="text1"/>
          <w:sz w:val="28"/>
          <w:szCs w:val="28"/>
          <w:lang w:val="es-ES"/>
        </w:rPr>
        <w:footnoteReference w:id="16"/>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 a la integración </w:t>
      </w:r>
      <w:r w:rsidRPr="002A793E">
        <w:rPr>
          <w:rFonts w:ascii="Times New Roman" w:hAnsi="Times New Roman" w:cs="Times New Roman"/>
          <w:color w:val="000000" w:themeColor="text1"/>
          <w:sz w:val="28"/>
          <w:szCs w:val="28"/>
          <w:lang w:val="es-ES"/>
        </w:rPr>
        <w:t>al P</w:t>
      </w:r>
      <w:r w:rsidRPr="002A793E">
        <w:rPr>
          <w:rFonts w:ascii="Times New Roman" w:hAnsi="Times New Roman" w:cs="Times New Roman"/>
          <w:color w:val="000000" w:themeColor="text1"/>
          <w:sz w:val="28"/>
          <w:szCs w:val="28"/>
          <w:lang w:val="es-ES"/>
        </w:rPr>
        <w:t>ND de</w:t>
      </w:r>
      <w:r w:rsidRPr="002A793E">
        <w:rPr>
          <w:rFonts w:ascii="Times New Roman" w:hAnsi="Times New Roman" w:cs="Times New Roman"/>
          <w:color w:val="000000" w:themeColor="text1"/>
          <w:sz w:val="28"/>
          <w:szCs w:val="28"/>
          <w:lang w:val="es-ES"/>
        </w:rPr>
        <w:t>l documento</w:t>
      </w:r>
      <w:r w:rsidRPr="002A793E">
        <w:rPr>
          <w:rFonts w:ascii="Times New Roman" w:hAnsi="Times New Roman" w:cs="Times New Roman"/>
          <w:color w:val="000000" w:themeColor="text1"/>
          <w:sz w:val="28"/>
          <w:szCs w:val="28"/>
          <w:lang w:val="es-ES"/>
        </w:rPr>
        <w:t xml:space="preserve"> Bases</w:t>
      </w:r>
      <w:r w:rsidRPr="002A793E">
        <w:rPr>
          <w:rFonts w:ascii="Times New Roman" w:hAnsi="Times New Roman" w:cs="Times New Roman"/>
          <w:color w:val="000000" w:themeColor="text1"/>
          <w:sz w:val="28"/>
          <w:szCs w:val="28"/>
          <w:lang w:val="es-ES"/>
        </w:rPr>
        <w:t xml:space="preserve"> del PND</w:t>
      </w:r>
      <w:r w:rsidRPr="002A793E">
        <w:rPr>
          <w:rFonts w:ascii="Times New Roman" w:hAnsi="Times New Roman" w:cs="Times New Roman"/>
          <w:color w:val="000000" w:themeColor="text1"/>
          <w:sz w:val="28"/>
          <w:szCs w:val="28"/>
          <w:lang w:val="es-ES"/>
        </w:rPr>
        <w:t xml:space="preserve"> junto con sus anexos</w:t>
      </w:r>
      <w:r w:rsidRPr="002A793E">
        <w:rPr>
          <w:rStyle w:val="Refdenotaalpie"/>
          <w:rFonts w:ascii="Times New Roman" w:hAnsi="Times New Roman" w:cs="Times New Roman"/>
          <w:color w:val="000000" w:themeColor="text1"/>
          <w:sz w:val="28"/>
          <w:szCs w:val="28"/>
          <w:lang w:val="es-ES"/>
        </w:rPr>
        <w:footnoteReference w:id="17"/>
      </w:r>
      <w:r w:rsidRPr="002A793E">
        <w:rPr>
          <w:rFonts w:ascii="Times New Roman" w:hAnsi="Times New Roman" w:cs="Times New Roman"/>
          <w:color w:val="000000" w:themeColor="text1"/>
          <w:sz w:val="28"/>
          <w:szCs w:val="28"/>
          <w:lang w:val="es-ES"/>
        </w:rPr>
        <w:t>; a los cinco ejes de transformación que propone el PND</w:t>
      </w:r>
      <w:r w:rsidRPr="002A793E">
        <w:rPr>
          <w:rStyle w:val="Refdenotaalpie"/>
          <w:rFonts w:ascii="Times New Roman" w:hAnsi="Times New Roman" w:cs="Times New Roman"/>
          <w:color w:val="000000" w:themeColor="text1"/>
          <w:sz w:val="28"/>
          <w:szCs w:val="28"/>
          <w:lang w:val="es-ES"/>
        </w:rPr>
        <w:footnoteReference w:id="18"/>
      </w:r>
      <w:r w:rsidRPr="002A793E">
        <w:rPr>
          <w:rFonts w:ascii="Times New Roman" w:hAnsi="Times New Roman" w:cs="Times New Roman"/>
          <w:color w:val="000000" w:themeColor="text1"/>
          <w:sz w:val="28"/>
          <w:szCs w:val="28"/>
          <w:lang w:val="es-ES"/>
        </w:rPr>
        <w:t xml:space="preserve">. Luego, </w:t>
      </w:r>
      <w:r w:rsidRPr="002A793E">
        <w:rPr>
          <w:rFonts w:ascii="Times New Roman" w:hAnsi="Times New Roman" w:cs="Times New Roman"/>
          <w:color w:val="000000" w:themeColor="text1"/>
          <w:sz w:val="28"/>
          <w:szCs w:val="28"/>
          <w:lang w:val="es-ES"/>
        </w:rPr>
        <w:t xml:space="preserve">indicó </w:t>
      </w:r>
      <w:r w:rsidRPr="002A793E">
        <w:rPr>
          <w:rFonts w:ascii="Times New Roman" w:hAnsi="Times New Roman" w:cs="Times New Roman"/>
          <w:color w:val="000000" w:themeColor="text1"/>
          <w:sz w:val="28"/>
          <w:szCs w:val="28"/>
          <w:lang w:val="es-ES"/>
        </w:rPr>
        <w:t xml:space="preserve">que en estas disposiciones </w:t>
      </w:r>
      <w:r w:rsidRPr="002A793E">
        <w:rPr>
          <w:rFonts w:ascii="Times New Roman" w:hAnsi="Times New Roman" w:cs="Times New Roman"/>
          <w:color w:val="000000" w:themeColor="text1"/>
          <w:sz w:val="28"/>
          <w:szCs w:val="28"/>
          <w:lang w:val="es-ES"/>
        </w:rPr>
        <w:t xml:space="preserve">no hay </w:t>
      </w:r>
      <w:r w:rsidRPr="002A793E">
        <w:rPr>
          <w:rFonts w:ascii="Times New Roman" w:hAnsi="Times New Roman" w:cs="Times New Roman"/>
          <w:color w:val="000000" w:themeColor="text1"/>
          <w:sz w:val="28"/>
          <w:szCs w:val="28"/>
          <w:lang w:val="es-ES"/>
        </w:rPr>
        <w:t xml:space="preserve">alguna </w:t>
      </w:r>
      <w:r w:rsidRPr="002A793E">
        <w:rPr>
          <w:rFonts w:ascii="Times New Roman" w:hAnsi="Times New Roman" w:cs="Times New Roman"/>
          <w:color w:val="000000" w:themeColor="text1"/>
          <w:sz w:val="28"/>
          <w:szCs w:val="28"/>
          <w:lang w:val="es-ES"/>
        </w:rPr>
        <w:t xml:space="preserve">alusión a la necesidad de modificar el Procedimiento Único </w:t>
      </w:r>
      <w:r w:rsidRPr="002A793E">
        <w:rPr>
          <w:rFonts w:ascii="Times New Roman" w:hAnsi="Times New Roman" w:cs="Times New Roman"/>
          <w:sz w:val="28"/>
          <w:szCs w:val="28"/>
          <w:lang w:val="es-ES"/>
        </w:rPr>
        <w:t xml:space="preserve">para implementar los Planes de Ordenamiento Social de la Propiedad Rural regulado en el Decreto Ley 902 de 2017 </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en adelante PUO</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w:t>
      </w:r>
      <w:r w:rsidRPr="002A793E">
        <w:rPr>
          <w:rFonts w:ascii="Times New Roman" w:hAnsi="Times New Roman" w:cs="Times New Roman"/>
          <w:color w:val="000000" w:themeColor="text1"/>
          <w:sz w:val="28"/>
          <w:szCs w:val="28"/>
          <w:lang w:val="es-ES"/>
        </w:rPr>
        <w:t xml:space="preserve">ni en relación con la necesidad de suprimir la reserva judicial en relación con </w:t>
      </w:r>
      <w:r w:rsidRPr="002A793E">
        <w:rPr>
          <w:rFonts w:ascii="Times New Roman" w:hAnsi="Times New Roman" w:cs="Times New Roman"/>
          <w:color w:val="000000" w:themeColor="text1"/>
          <w:sz w:val="28"/>
          <w:szCs w:val="28"/>
          <w:lang w:val="es-ES"/>
        </w:rPr>
        <w:t>los procesos de</w:t>
      </w:r>
      <w:r w:rsidRPr="002A793E">
        <w:rPr>
          <w:rFonts w:ascii="Times New Roman" w:hAnsi="Times New Roman" w:cs="Times New Roman"/>
          <w:color w:val="000000" w:themeColor="text1"/>
          <w:sz w:val="28"/>
          <w:szCs w:val="28"/>
          <w:lang w:val="es-ES"/>
        </w:rPr>
        <w:t xml:space="preserve"> deslinde</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revocatoria de la titularidad de baldíos o la extinción de dominio de predios rurales</w:t>
      </w:r>
      <w:r w:rsidRPr="002A793E">
        <w:rPr>
          <w:rFonts w:ascii="Times New Roman" w:hAnsi="Times New Roman" w:cs="Times New Roman"/>
          <w:color w:val="000000" w:themeColor="text1"/>
          <w:sz w:val="28"/>
          <w:szCs w:val="28"/>
          <w:lang w:val="es-ES"/>
        </w:rPr>
        <w:t>.</w:t>
      </w:r>
    </w:p>
    <w:p w:rsidR="0097197D" w:rsidRPr="002A793E" w:rsidRDefault="002A793E" w:rsidP="0097197D">
      <w:pPr>
        <w:pStyle w:val="Prrafodelista"/>
        <w:rPr>
          <w:rFonts w:ascii="Times New Roman" w:hAnsi="Times New Roman" w:cs="Times New Roman"/>
          <w:color w:val="000000" w:themeColor="text1"/>
          <w:sz w:val="28"/>
          <w:szCs w:val="28"/>
          <w:lang w:val="es-ES"/>
        </w:rPr>
      </w:pPr>
    </w:p>
    <w:p w:rsidR="00332AA6" w:rsidRPr="002A793E" w:rsidRDefault="002A793E" w:rsidP="00332AA6">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Adicionalmente, el actor destacó que en las </w:t>
      </w:r>
      <w:r w:rsidRPr="002A793E">
        <w:rPr>
          <w:rFonts w:ascii="Times New Roman" w:hAnsi="Times New Roman" w:cs="Times New Roman"/>
          <w:sz w:val="28"/>
          <w:szCs w:val="28"/>
          <w:lang w:val="es-ES"/>
        </w:rPr>
        <w:t>Bases del PND 202</w:t>
      </w:r>
      <w:r w:rsidRPr="002A793E">
        <w:rPr>
          <w:rFonts w:ascii="Times New Roman" w:hAnsi="Times New Roman" w:cs="Times New Roman"/>
          <w:sz w:val="28"/>
          <w:szCs w:val="28"/>
          <w:lang w:val="es-ES"/>
        </w:rPr>
        <w:t xml:space="preserve">2-2026, aparece la expresión “extinción del dominio” en tres partes, de las cuales dos referencias están relacionadas con la Sociedad de Activos Especiales (p. 90 y 93) y la tercera alude a los procesos de restitución de tierras (p. 248). </w:t>
      </w:r>
      <w:r w:rsidRPr="002A793E">
        <w:rPr>
          <w:rFonts w:ascii="Times New Roman" w:hAnsi="Times New Roman" w:cs="Times New Roman"/>
          <w:color w:val="000000" w:themeColor="text1"/>
          <w:sz w:val="28"/>
          <w:szCs w:val="28"/>
          <w:lang w:val="es-ES"/>
        </w:rPr>
        <w:t>En ese mismo sent</w:t>
      </w:r>
      <w:r w:rsidRPr="002A793E">
        <w:rPr>
          <w:rFonts w:ascii="Times New Roman" w:hAnsi="Times New Roman" w:cs="Times New Roman"/>
          <w:color w:val="000000" w:themeColor="text1"/>
          <w:sz w:val="28"/>
          <w:szCs w:val="28"/>
          <w:lang w:val="es-ES"/>
        </w:rPr>
        <w:t xml:space="preserve">ido, el actor aludió a otros elementos del documento Bases del PND 2022-2026 en los que: (i) se indica que los bajos niveles de formalización de la tenencia </w:t>
      </w:r>
      <w:r w:rsidRPr="002A793E">
        <w:rPr>
          <w:rFonts w:ascii="Times New Roman" w:hAnsi="Times New Roman" w:cs="Times New Roman"/>
          <w:color w:val="000000" w:themeColor="text1"/>
          <w:sz w:val="28"/>
          <w:szCs w:val="28"/>
          <w:lang w:val="es-ES"/>
        </w:rPr>
        <w:t xml:space="preserve">de la tierra </w:t>
      </w:r>
      <w:r w:rsidRPr="002A793E">
        <w:rPr>
          <w:rFonts w:ascii="Times New Roman" w:hAnsi="Times New Roman" w:cs="Times New Roman"/>
          <w:color w:val="000000" w:themeColor="text1"/>
          <w:sz w:val="28"/>
          <w:szCs w:val="28"/>
          <w:lang w:val="es-ES"/>
        </w:rPr>
        <w:t>y el letargo en la restitución son una barrera para alcanzar la paz y superar los conf</w:t>
      </w:r>
      <w:r w:rsidRPr="002A793E">
        <w:rPr>
          <w:rFonts w:ascii="Times New Roman" w:hAnsi="Times New Roman" w:cs="Times New Roman"/>
          <w:color w:val="000000" w:themeColor="text1"/>
          <w:sz w:val="28"/>
          <w:szCs w:val="28"/>
          <w:lang w:val="es-ES"/>
        </w:rPr>
        <w:t>lictos sociales</w:t>
      </w:r>
      <w:r w:rsidRPr="002A793E">
        <w:rPr>
          <w:rStyle w:val="Refdenotaalpie"/>
          <w:rFonts w:ascii="Times New Roman" w:hAnsi="Times New Roman" w:cs="Times New Roman"/>
          <w:color w:val="000000" w:themeColor="text1"/>
          <w:sz w:val="28"/>
          <w:szCs w:val="28"/>
          <w:lang w:val="es-ES"/>
        </w:rPr>
        <w:footnoteReference w:id="19"/>
      </w:r>
      <w:r w:rsidRPr="002A793E">
        <w:rPr>
          <w:rFonts w:ascii="Times New Roman" w:hAnsi="Times New Roman" w:cs="Times New Roman"/>
          <w:color w:val="000000" w:themeColor="text1"/>
          <w:sz w:val="28"/>
          <w:szCs w:val="28"/>
          <w:lang w:val="es-ES"/>
        </w:rPr>
        <w:t xml:space="preserve">; (ii) se destaca la relevancia del orden territorial para controlar </w:t>
      </w:r>
      <w:r w:rsidRPr="002A793E">
        <w:rPr>
          <w:rFonts w:ascii="Times New Roman" w:hAnsi="Times New Roman" w:cs="Times New Roman"/>
          <w:sz w:val="28"/>
          <w:szCs w:val="28"/>
          <w:lang w:val="es-ES"/>
        </w:rPr>
        <w:t>la expansión indiscriminada de la frontera agrícola, la colonización de baldíos y la apropiación ilegal de tierras</w:t>
      </w:r>
      <w:r w:rsidRPr="002A793E">
        <w:rPr>
          <w:rStyle w:val="Refdenotaalpie"/>
          <w:rFonts w:ascii="Times New Roman" w:hAnsi="Times New Roman" w:cs="Times New Roman"/>
          <w:sz w:val="28"/>
          <w:szCs w:val="28"/>
          <w:lang w:val="es-ES"/>
        </w:rPr>
        <w:footnoteReference w:id="20"/>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y </w:t>
      </w:r>
      <w:r w:rsidRPr="002A793E">
        <w:rPr>
          <w:rFonts w:ascii="Times New Roman" w:hAnsi="Times New Roman" w:cs="Times New Roman"/>
          <w:color w:val="000000" w:themeColor="text1"/>
          <w:sz w:val="28"/>
          <w:szCs w:val="28"/>
          <w:lang w:val="es-ES"/>
        </w:rPr>
        <w:t>(iii) se presentan los datos de los rezagos d</w:t>
      </w:r>
      <w:r w:rsidRPr="002A793E">
        <w:rPr>
          <w:rFonts w:ascii="Times New Roman" w:hAnsi="Times New Roman" w:cs="Times New Roman"/>
          <w:sz w:val="28"/>
          <w:szCs w:val="28"/>
          <w:lang w:val="es-ES"/>
        </w:rPr>
        <w:t xml:space="preserve">e </w:t>
      </w:r>
      <w:r w:rsidRPr="002A793E">
        <w:rPr>
          <w:rFonts w:ascii="Times New Roman" w:hAnsi="Times New Roman" w:cs="Times New Roman"/>
          <w:sz w:val="28"/>
          <w:szCs w:val="28"/>
          <w:lang w:val="es-ES"/>
        </w:rPr>
        <w:t>implementación en los nueve pilares que conforman el punto 1 de la Reforma Rural Integral .</w:t>
      </w:r>
    </w:p>
    <w:p w:rsidR="00332AA6" w:rsidRPr="002A793E" w:rsidRDefault="002A793E" w:rsidP="00332AA6">
      <w:pPr>
        <w:pStyle w:val="Prrafodelista"/>
        <w:rPr>
          <w:rFonts w:ascii="Times New Roman" w:hAnsi="Times New Roman" w:cs="Times New Roman"/>
          <w:color w:val="000000" w:themeColor="text1"/>
          <w:sz w:val="28"/>
          <w:szCs w:val="28"/>
          <w:lang w:val="es-ES"/>
        </w:rPr>
      </w:pPr>
    </w:p>
    <w:p w:rsidR="00332AA6" w:rsidRPr="002A793E" w:rsidRDefault="002A793E" w:rsidP="002D663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A partir de los elementos descritos, el ciudadano señal</w:t>
      </w:r>
      <w:r w:rsidRPr="002A793E">
        <w:rPr>
          <w:rFonts w:ascii="Times New Roman" w:hAnsi="Times New Roman" w:cs="Times New Roman"/>
          <w:color w:val="000000" w:themeColor="text1"/>
          <w:sz w:val="28"/>
          <w:szCs w:val="28"/>
          <w:lang w:val="es-ES"/>
        </w:rPr>
        <w:t>ó</w:t>
      </w:r>
      <w:r w:rsidRPr="002A793E">
        <w:rPr>
          <w:rFonts w:ascii="Times New Roman" w:hAnsi="Times New Roman" w:cs="Times New Roman"/>
          <w:color w:val="000000" w:themeColor="text1"/>
          <w:sz w:val="28"/>
          <w:szCs w:val="28"/>
          <w:lang w:val="es-ES"/>
        </w:rPr>
        <w:t xml:space="preserve"> que en el documento Bases del PND 2022-2026 tampoco hay una referencia a la necesidad de utilizar el proce</w:t>
      </w:r>
      <w:r w:rsidRPr="002A793E">
        <w:rPr>
          <w:rFonts w:ascii="Times New Roman" w:hAnsi="Times New Roman" w:cs="Times New Roman"/>
          <w:color w:val="000000" w:themeColor="text1"/>
          <w:sz w:val="28"/>
          <w:szCs w:val="28"/>
          <w:lang w:val="es-ES"/>
        </w:rPr>
        <w:t>so de extinción de dominio para adquirir tierras; a la relación entre la ejecución de la Reforma Rural Integral y la supresión de la reserva judicial en materia de extinción del dominio prevista por el Decreto Ley 902 de 2017</w:t>
      </w:r>
      <w:r w:rsidRPr="002A793E">
        <w:rPr>
          <w:rFonts w:ascii="Times New Roman" w:hAnsi="Times New Roman" w:cs="Times New Roman"/>
          <w:color w:val="000000" w:themeColor="text1"/>
          <w:sz w:val="28"/>
          <w:szCs w:val="28"/>
          <w:lang w:val="es-ES"/>
        </w:rPr>
        <w:t xml:space="preserve"> ni se plantea alguna referenci</w:t>
      </w:r>
      <w:r w:rsidRPr="002A793E">
        <w:rPr>
          <w:rFonts w:ascii="Times New Roman" w:hAnsi="Times New Roman" w:cs="Times New Roman"/>
          <w:color w:val="000000" w:themeColor="text1"/>
          <w:sz w:val="28"/>
          <w:szCs w:val="28"/>
          <w:lang w:val="es-ES"/>
        </w:rPr>
        <w:t>a a</w:t>
      </w:r>
      <w:r w:rsidRPr="002A793E">
        <w:rPr>
          <w:rFonts w:ascii="Times New Roman" w:hAnsi="Times New Roman" w:cs="Times New Roman"/>
          <w:color w:val="000000" w:themeColor="text1"/>
          <w:sz w:val="28"/>
          <w:szCs w:val="28"/>
          <w:lang w:val="es-ES"/>
        </w:rPr>
        <w:t xml:space="preserve"> la fase judicial de los procedimientos relacionados con </w:t>
      </w:r>
      <w:r w:rsidRPr="002A793E">
        <w:rPr>
          <w:rFonts w:ascii="Times New Roman" w:hAnsi="Times New Roman" w:cs="Times New Roman"/>
          <w:color w:val="000000" w:themeColor="text1"/>
          <w:sz w:val="28"/>
          <w:szCs w:val="28"/>
          <w:lang w:val="es-ES"/>
        </w:rPr>
        <w:t xml:space="preserve">la </w:t>
      </w:r>
      <w:r w:rsidRPr="002A793E">
        <w:rPr>
          <w:rFonts w:ascii="Times New Roman" w:hAnsi="Times New Roman" w:cs="Times New Roman"/>
          <w:color w:val="000000" w:themeColor="text1"/>
          <w:sz w:val="28"/>
          <w:szCs w:val="28"/>
          <w:lang w:val="es-ES"/>
        </w:rPr>
        <w:t xml:space="preserve">clarificación de la propiedad, </w:t>
      </w:r>
      <w:r w:rsidRPr="002A793E">
        <w:rPr>
          <w:rFonts w:ascii="Times New Roman" w:hAnsi="Times New Roman" w:cs="Times New Roman"/>
          <w:color w:val="000000" w:themeColor="text1"/>
          <w:sz w:val="28"/>
          <w:szCs w:val="28"/>
          <w:lang w:val="es-ES"/>
        </w:rPr>
        <w:t xml:space="preserve">el </w:t>
      </w:r>
      <w:r w:rsidRPr="002A793E">
        <w:rPr>
          <w:rFonts w:ascii="Times New Roman" w:hAnsi="Times New Roman" w:cs="Times New Roman"/>
          <w:color w:val="000000" w:themeColor="text1"/>
          <w:sz w:val="28"/>
          <w:szCs w:val="28"/>
          <w:lang w:val="es-ES"/>
        </w:rPr>
        <w:t xml:space="preserve">deslinde y recuperación de baldíos, </w:t>
      </w:r>
      <w:r w:rsidRPr="002A793E">
        <w:rPr>
          <w:rFonts w:ascii="Times New Roman" w:hAnsi="Times New Roman" w:cs="Times New Roman"/>
          <w:color w:val="000000" w:themeColor="text1"/>
          <w:sz w:val="28"/>
          <w:szCs w:val="28"/>
          <w:lang w:val="es-ES"/>
        </w:rPr>
        <w:t xml:space="preserve">la </w:t>
      </w:r>
      <w:r w:rsidRPr="002A793E">
        <w:rPr>
          <w:rFonts w:ascii="Times New Roman" w:hAnsi="Times New Roman" w:cs="Times New Roman"/>
          <w:color w:val="000000" w:themeColor="text1"/>
          <w:sz w:val="28"/>
          <w:szCs w:val="28"/>
          <w:lang w:val="es-ES"/>
        </w:rPr>
        <w:t xml:space="preserve">extinción judicial del dominio sobre tierras incultas y caducidad administrativa, </w:t>
      </w:r>
      <w:r w:rsidRPr="002A793E">
        <w:rPr>
          <w:rFonts w:ascii="Times New Roman" w:hAnsi="Times New Roman" w:cs="Times New Roman"/>
          <w:color w:val="000000" w:themeColor="text1"/>
          <w:sz w:val="28"/>
          <w:szCs w:val="28"/>
          <w:lang w:val="es-ES"/>
        </w:rPr>
        <w:t xml:space="preserve">la </w:t>
      </w:r>
      <w:r w:rsidRPr="002A793E">
        <w:rPr>
          <w:rFonts w:ascii="Times New Roman" w:hAnsi="Times New Roman" w:cs="Times New Roman"/>
          <w:color w:val="000000" w:themeColor="text1"/>
          <w:sz w:val="28"/>
          <w:szCs w:val="28"/>
          <w:lang w:val="es-ES"/>
        </w:rPr>
        <w:t>condición resolutoria del subsidio,</w:t>
      </w:r>
      <w:r w:rsidRPr="002A793E">
        <w:rPr>
          <w:rFonts w:ascii="Times New Roman" w:hAnsi="Times New Roman" w:cs="Times New Roman"/>
          <w:color w:val="000000" w:themeColor="text1"/>
          <w:sz w:val="28"/>
          <w:szCs w:val="28"/>
          <w:lang w:val="es-ES"/>
        </w:rPr>
        <w:t xml:space="preserve"> reversión y revocatoria de titulación de baldíos</w:t>
      </w:r>
      <w:r w:rsidRPr="002A793E">
        <w:rPr>
          <w:rFonts w:ascii="Times New Roman" w:hAnsi="Times New Roman" w:cs="Times New Roman"/>
          <w:color w:val="000000" w:themeColor="text1"/>
          <w:sz w:val="28"/>
          <w:szCs w:val="28"/>
          <w:lang w:val="es-ES"/>
        </w:rPr>
        <w:t xml:space="preserve">. De manera que, no hay una relación directa entre los </w:t>
      </w:r>
      <w:r w:rsidRPr="002A793E">
        <w:rPr>
          <w:rFonts w:ascii="Times New Roman" w:hAnsi="Times New Roman" w:cs="Times New Roman"/>
          <w:color w:val="000000" w:themeColor="text1"/>
          <w:sz w:val="28"/>
          <w:szCs w:val="28"/>
          <w:lang w:val="es-ES"/>
        </w:rPr>
        <w:t>objetivos y metas establecidos en</w:t>
      </w:r>
      <w:r w:rsidRPr="002A793E">
        <w:rPr>
          <w:rFonts w:ascii="Times New Roman" w:hAnsi="Times New Roman" w:cs="Times New Roman"/>
          <w:color w:val="000000" w:themeColor="text1"/>
          <w:sz w:val="28"/>
          <w:szCs w:val="28"/>
          <w:lang w:val="es-ES"/>
        </w:rPr>
        <w:t xml:space="preserve"> el PND y la disposición acusada</w:t>
      </w:r>
      <w:r w:rsidRPr="002A793E">
        <w:rPr>
          <w:rFonts w:ascii="Times New Roman" w:hAnsi="Times New Roman" w:cs="Times New Roman"/>
          <w:color w:val="000000" w:themeColor="text1"/>
          <w:sz w:val="28"/>
          <w:szCs w:val="28"/>
          <w:lang w:val="es-ES"/>
        </w:rPr>
        <w:t>.</w:t>
      </w:r>
    </w:p>
    <w:p w:rsidR="00332AA6" w:rsidRPr="002A793E" w:rsidRDefault="002A793E" w:rsidP="00332AA6">
      <w:pPr>
        <w:pStyle w:val="Prrafodelista"/>
        <w:rPr>
          <w:rFonts w:ascii="Times New Roman" w:hAnsi="Times New Roman" w:cs="Times New Roman"/>
          <w:color w:val="000000" w:themeColor="text1"/>
          <w:sz w:val="28"/>
          <w:szCs w:val="28"/>
          <w:lang w:val="es-ES"/>
        </w:rPr>
      </w:pPr>
    </w:p>
    <w:p w:rsidR="00332AA6" w:rsidRPr="002A793E" w:rsidRDefault="002A793E" w:rsidP="002D663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Por lo anterior, el actor planteó que </w:t>
      </w:r>
      <w:r w:rsidRPr="002A793E">
        <w:rPr>
          <w:rFonts w:ascii="Times New Roman" w:hAnsi="Times New Roman" w:cs="Times New Roman"/>
          <w:sz w:val="28"/>
          <w:szCs w:val="28"/>
          <w:lang w:val="es-ES"/>
        </w:rPr>
        <w:t xml:space="preserve">el numeral 6 </w:t>
      </w:r>
      <w:r w:rsidRPr="002A793E">
        <w:rPr>
          <w:rFonts w:ascii="Times New Roman" w:hAnsi="Times New Roman" w:cs="Times New Roman"/>
          <w:sz w:val="28"/>
          <w:szCs w:val="28"/>
          <w:lang w:val="es-ES"/>
        </w:rPr>
        <w:t xml:space="preserve">(parcial) y el </w:t>
      </w:r>
      <w:r w:rsidRPr="002A793E">
        <w:rPr>
          <w:rFonts w:ascii="Times New Roman" w:hAnsi="Times New Roman" w:cs="Times New Roman"/>
          <w:sz w:val="28"/>
          <w:szCs w:val="28"/>
          <w:lang w:val="es-ES"/>
        </w:rPr>
        <w:t>parágrafo</w:t>
      </w:r>
      <w:r w:rsidRPr="002A793E">
        <w:rPr>
          <w:rFonts w:ascii="Times New Roman" w:hAnsi="Times New Roman" w:cs="Times New Roman"/>
          <w:sz w:val="28"/>
          <w:szCs w:val="28"/>
          <w:lang w:val="es-ES"/>
        </w:rPr>
        <w:t xml:space="preserve"> 3 </w:t>
      </w:r>
      <w:r w:rsidRPr="002A793E">
        <w:rPr>
          <w:rFonts w:ascii="Times New Roman" w:hAnsi="Times New Roman" w:cs="Times New Roman"/>
          <w:sz w:val="28"/>
          <w:szCs w:val="28"/>
          <w:lang w:val="es-ES"/>
        </w:rPr>
        <w:t xml:space="preserve">del </w:t>
      </w:r>
      <w:r w:rsidRPr="002A793E">
        <w:rPr>
          <w:rFonts w:ascii="Times New Roman" w:hAnsi="Times New Roman" w:cs="Times New Roman"/>
          <w:sz w:val="28"/>
          <w:szCs w:val="28"/>
          <w:lang w:val="es-ES"/>
        </w:rPr>
        <w:t>artículo 61 de la Ley 2294 de 2023 viola</w:t>
      </w:r>
      <w:r w:rsidRPr="002A793E">
        <w:rPr>
          <w:rFonts w:ascii="Times New Roman" w:hAnsi="Times New Roman" w:cs="Times New Roman"/>
          <w:sz w:val="28"/>
          <w:szCs w:val="28"/>
          <w:lang w:val="es-ES"/>
        </w:rPr>
        <w:t>n</w:t>
      </w:r>
      <w:r w:rsidRPr="002A793E">
        <w:rPr>
          <w:rFonts w:ascii="Times New Roman" w:hAnsi="Times New Roman" w:cs="Times New Roman"/>
          <w:sz w:val="28"/>
          <w:szCs w:val="28"/>
          <w:lang w:val="es-ES"/>
        </w:rPr>
        <w:t xml:space="preserve"> el principio de unidad de materia, debido a que la derogatoria de la fase judicial del PUO para los procesos </w:t>
      </w:r>
      <w:r w:rsidRPr="002A793E">
        <w:rPr>
          <w:rFonts w:ascii="Times New Roman" w:hAnsi="Times New Roman" w:cs="Times New Roman"/>
          <w:sz w:val="28"/>
          <w:szCs w:val="28"/>
          <w:lang w:val="es-ES"/>
        </w:rPr>
        <w:t xml:space="preserve">previstos en </w:t>
      </w:r>
      <w:r w:rsidRPr="002A793E">
        <w:rPr>
          <w:rFonts w:ascii="Times New Roman" w:hAnsi="Times New Roman" w:cs="Times New Roman"/>
          <w:color w:val="000000" w:themeColor="text1"/>
          <w:sz w:val="28"/>
          <w:szCs w:val="28"/>
          <w:lang w:val="es-ES"/>
        </w:rPr>
        <w:t>los numerales 4, 5 y 7 del artículo </w:t>
      </w:r>
      <w:hyperlink r:id="rId16" w:anchor="58" w:history="1">
        <w:r w:rsidRPr="002A793E">
          <w:rPr>
            <w:rStyle w:val="Hipervnculo"/>
            <w:rFonts w:ascii="Times New Roman" w:hAnsi="Times New Roman" w:cs="Times New Roman"/>
            <w:color w:val="000000" w:themeColor="text1"/>
            <w:sz w:val="28"/>
            <w:szCs w:val="28"/>
            <w:u w:val="none"/>
            <w:lang w:val="es-ES"/>
          </w:rPr>
          <w:t>58</w:t>
        </w:r>
      </w:hyperlink>
      <w:r w:rsidRPr="002A793E">
        <w:rPr>
          <w:rFonts w:ascii="Times New Roman" w:hAnsi="Times New Roman" w:cs="Times New Roman"/>
          <w:color w:val="000000" w:themeColor="text1"/>
          <w:sz w:val="28"/>
          <w:szCs w:val="28"/>
          <w:lang w:val="es-ES"/>
        </w:rPr>
        <w:t> del Decreto Ley 902 de 2017</w:t>
      </w:r>
      <w:r w:rsidRPr="002A793E">
        <w:rPr>
          <w:rFonts w:ascii="Times New Roman" w:hAnsi="Times New Roman" w:cs="Times New Roman"/>
          <w:sz w:val="28"/>
          <w:szCs w:val="28"/>
          <w:lang w:val="es-ES"/>
        </w:rPr>
        <w:t xml:space="preserve"> no tiene conexidad con los objetivos y metas establecidos en la Parte General de dicha ley.</w:t>
      </w:r>
    </w:p>
    <w:p w:rsidR="00760CAE" w:rsidRPr="002A793E" w:rsidRDefault="002A793E" w:rsidP="00760CAE">
      <w:pPr>
        <w:pStyle w:val="Prrafodelista"/>
        <w:rPr>
          <w:rFonts w:ascii="Times New Roman" w:hAnsi="Times New Roman" w:cs="Times New Roman"/>
          <w:color w:val="000000" w:themeColor="text1"/>
          <w:sz w:val="28"/>
          <w:szCs w:val="28"/>
          <w:lang w:val="es-ES"/>
        </w:rPr>
      </w:pPr>
    </w:p>
    <w:p w:rsidR="00760CAE" w:rsidRPr="002A793E" w:rsidRDefault="002A793E" w:rsidP="002D663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En el </w:t>
      </w:r>
      <w:r w:rsidRPr="002A793E">
        <w:rPr>
          <w:rFonts w:ascii="Times New Roman" w:hAnsi="Times New Roman" w:cs="Times New Roman"/>
          <w:b/>
          <w:color w:val="000000" w:themeColor="text1"/>
          <w:sz w:val="28"/>
          <w:szCs w:val="28"/>
          <w:lang w:val="es-ES"/>
        </w:rPr>
        <w:t>cargo tercero</w:t>
      </w:r>
      <w:r w:rsidRPr="002A793E">
        <w:rPr>
          <w:rFonts w:ascii="Times New Roman" w:hAnsi="Times New Roman" w:cs="Times New Roman"/>
          <w:color w:val="000000" w:themeColor="text1"/>
          <w:sz w:val="28"/>
          <w:szCs w:val="28"/>
          <w:lang w:val="es-ES"/>
        </w:rPr>
        <w:t xml:space="preserve">, el demandante planteó </w:t>
      </w:r>
      <w:r w:rsidRPr="002A793E">
        <w:rPr>
          <w:rFonts w:ascii="Times New Roman" w:hAnsi="Times New Roman" w:cs="Times New Roman"/>
          <w:color w:val="000000" w:themeColor="text1"/>
          <w:sz w:val="28"/>
          <w:szCs w:val="28"/>
          <w:lang w:val="es-ES"/>
        </w:rPr>
        <w:t>que la</w:t>
      </w:r>
      <w:r w:rsidRPr="002A793E">
        <w:rPr>
          <w:rFonts w:ascii="Times New Roman" w:hAnsi="Times New Roman" w:cs="Times New Roman"/>
          <w:color w:val="000000" w:themeColor="text1"/>
          <w:sz w:val="28"/>
          <w:szCs w:val="28"/>
          <w:lang w:val="es-ES"/>
        </w:rPr>
        <w:t>s</w:t>
      </w:r>
      <w:r w:rsidRPr="002A793E">
        <w:rPr>
          <w:rFonts w:ascii="Times New Roman" w:hAnsi="Times New Roman" w:cs="Times New Roman"/>
          <w:color w:val="000000" w:themeColor="text1"/>
          <w:sz w:val="28"/>
          <w:szCs w:val="28"/>
          <w:lang w:val="es-ES"/>
        </w:rPr>
        <w:t xml:space="preserve"> disposici</w:t>
      </w:r>
      <w:r w:rsidRPr="002A793E">
        <w:rPr>
          <w:rFonts w:ascii="Times New Roman" w:hAnsi="Times New Roman" w:cs="Times New Roman"/>
          <w:color w:val="000000" w:themeColor="text1"/>
          <w:sz w:val="28"/>
          <w:szCs w:val="28"/>
          <w:lang w:val="es-ES"/>
        </w:rPr>
        <w:t>o</w:t>
      </w:r>
      <w:r w:rsidRPr="002A793E">
        <w:rPr>
          <w:rFonts w:ascii="Times New Roman" w:hAnsi="Times New Roman" w:cs="Times New Roman"/>
          <w:color w:val="000000" w:themeColor="text1"/>
          <w:sz w:val="28"/>
          <w:szCs w:val="28"/>
          <w:lang w:val="es-ES"/>
        </w:rPr>
        <w:t>n</w:t>
      </w:r>
      <w:r w:rsidRPr="002A793E">
        <w:rPr>
          <w:rFonts w:ascii="Times New Roman" w:hAnsi="Times New Roman" w:cs="Times New Roman"/>
          <w:color w:val="000000" w:themeColor="text1"/>
          <w:sz w:val="28"/>
          <w:szCs w:val="28"/>
          <w:lang w:val="es-ES"/>
        </w:rPr>
        <w:t>es</w:t>
      </w:r>
      <w:r w:rsidRPr="002A793E">
        <w:rPr>
          <w:rFonts w:ascii="Times New Roman" w:hAnsi="Times New Roman" w:cs="Times New Roman"/>
          <w:color w:val="000000" w:themeColor="text1"/>
          <w:sz w:val="28"/>
          <w:szCs w:val="28"/>
          <w:lang w:val="es-ES"/>
        </w:rPr>
        <w:t xml:space="preserve"> acusada</w:t>
      </w:r>
      <w:r w:rsidRPr="002A793E">
        <w:rPr>
          <w:rFonts w:ascii="Times New Roman" w:hAnsi="Times New Roman" w:cs="Times New Roman"/>
          <w:color w:val="000000" w:themeColor="text1"/>
          <w:sz w:val="28"/>
          <w:szCs w:val="28"/>
          <w:lang w:val="es-ES"/>
        </w:rPr>
        <w:t>s</w:t>
      </w:r>
      <w:r w:rsidRPr="002A793E">
        <w:rPr>
          <w:rFonts w:ascii="Times New Roman" w:hAnsi="Times New Roman" w:cs="Times New Roman"/>
          <w:color w:val="000000" w:themeColor="text1"/>
          <w:sz w:val="28"/>
          <w:szCs w:val="28"/>
          <w:lang w:val="es-ES"/>
        </w:rPr>
        <w:t xml:space="preserve"> incurri</w:t>
      </w:r>
      <w:r w:rsidRPr="002A793E">
        <w:rPr>
          <w:rFonts w:ascii="Times New Roman" w:hAnsi="Times New Roman" w:cs="Times New Roman"/>
          <w:color w:val="000000" w:themeColor="text1"/>
          <w:sz w:val="28"/>
          <w:szCs w:val="28"/>
          <w:lang w:val="es-ES"/>
        </w:rPr>
        <w:t>eron</w:t>
      </w:r>
      <w:r w:rsidRPr="002A793E">
        <w:rPr>
          <w:rFonts w:ascii="Times New Roman" w:hAnsi="Times New Roman" w:cs="Times New Roman"/>
          <w:color w:val="000000" w:themeColor="text1"/>
          <w:sz w:val="28"/>
          <w:szCs w:val="28"/>
          <w:lang w:val="es-ES"/>
        </w:rPr>
        <w:t xml:space="preserve"> en </w:t>
      </w:r>
      <w:r w:rsidRPr="002A793E">
        <w:rPr>
          <w:rFonts w:ascii="Times New Roman" w:hAnsi="Times New Roman" w:cs="Times New Roman"/>
          <w:b/>
          <w:bCs/>
          <w:color w:val="000000" w:themeColor="text1"/>
          <w:sz w:val="28"/>
          <w:szCs w:val="28"/>
          <w:lang w:val="es-ES"/>
        </w:rPr>
        <w:t xml:space="preserve">la violación del derecho de acceso a la administración de justicia, a la tutela judicial efectiva y a la propiedad privada </w:t>
      </w:r>
      <w:r w:rsidRPr="002A793E">
        <w:rPr>
          <w:rFonts w:ascii="Times New Roman" w:hAnsi="Times New Roman" w:cs="Times New Roman"/>
          <w:color w:val="000000" w:themeColor="text1"/>
          <w:sz w:val="28"/>
          <w:szCs w:val="28"/>
          <w:lang w:val="es-ES"/>
        </w:rPr>
        <w:t>(artículos</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sz w:val="28"/>
          <w:szCs w:val="28"/>
          <w:lang w:val="es-ES"/>
        </w:rPr>
        <w:t>58</w:t>
      </w:r>
      <w:r w:rsidRPr="002A793E">
        <w:rPr>
          <w:rFonts w:ascii="Times New Roman" w:hAnsi="Times New Roman" w:cs="Times New Roman"/>
          <w:sz w:val="28"/>
          <w:szCs w:val="28"/>
          <w:lang w:val="es-ES"/>
        </w:rPr>
        <w:t xml:space="preserve"> y </w:t>
      </w:r>
      <w:r w:rsidRPr="002A793E">
        <w:rPr>
          <w:rFonts w:ascii="Times New Roman" w:hAnsi="Times New Roman" w:cs="Times New Roman"/>
          <w:sz w:val="28"/>
          <w:szCs w:val="28"/>
          <w:lang w:val="es-ES"/>
        </w:rPr>
        <w:t>229 de la Constitución</w:t>
      </w:r>
      <w:r w:rsidRPr="002A793E">
        <w:rPr>
          <w:rFonts w:ascii="Times New Roman" w:hAnsi="Times New Roman" w:cs="Times New Roman"/>
          <w:sz w:val="28"/>
          <w:szCs w:val="28"/>
          <w:lang w:val="es-ES"/>
        </w:rPr>
        <w:t>, 8, 21 y 25 de la C</w:t>
      </w:r>
      <w:r w:rsidRPr="002A793E">
        <w:rPr>
          <w:rFonts w:ascii="Times New Roman" w:hAnsi="Times New Roman" w:cs="Times New Roman"/>
          <w:sz w:val="28"/>
          <w:szCs w:val="28"/>
          <w:lang w:val="es-ES"/>
        </w:rPr>
        <w:t xml:space="preserve">onvención </w:t>
      </w:r>
      <w:r w:rsidRPr="002A793E">
        <w:rPr>
          <w:rFonts w:ascii="Times New Roman" w:hAnsi="Times New Roman" w:cs="Times New Roman"/>
          <w:sz w:val="28"/>
          <w:szCs w:val="28"/>
          <w:lang w:val="es-ES"/>
        </w:rPr>
        <w:t>A</w:t>
      </w:r>
      <w:r w:rsidRPr="002A793E">
        <w:rPr>
          <w:rFonts w:ascii="Times New Roman" w:hAnsi="Times New Roman" w:cs="Times New Roman"/>
          <w:sz w:val="28"/>
          <w:szCs w:val="28"/>
          <w:lang w:val="es-ES"/>
        </w:rPr>
        <w:t xml:space="preserve">mericana de </w:t>
      </w:r>
      <w:r w:rsidRPr="002A793E">
        <w:rPr>
          <w:rFonts w:ascii="Times New Roman" w:hAnsi="Times New Roman" w:cs="Times New Roman"/>
          <w:sz w:val="28"/>
          <w:szCs w:val="28"/>
          <w:lang w:val="es-ES"/>
        </w:rPr>
        <w:t>D</w:t>
      </w:r>
      <w:r w:rsidRPr="002A793E">
        <w:rPr>
          <w:rFonts w:ascii="Times New Roman" w:hAnsi="Times New Roman" w:cs="Times New Roman"/>
          <w:sz w:val="28"/>
          <w:szCs w:val="28"/>
          <w:lang w:val="es-ES"/>
        </w:rPr>
        <w:t xml:space="preserve">erechos </w:t>
      </w:r>
      <w:r w:rsidRPr="002A793E">
        <w:rPr>
          <w:rFonts w:ascii="Times New Roman" w:hAnsi="Times New Roman" w:cs="Times New Roman"/>
          <w:sz w:val="28"/>
          <w:szCs w:val="28"/>
          <w:lang w:val="es-ES"/>
        </w:rPr>
        <w:t>H</w:t>
      </w:r>
      <w:r w:rsidRPr="002A793E">
        <w:rPr>
          <w:rFonts w:ascii="Times New Roman" w:hAnsi="Times New Roman" w:cs="Times New Roman"/>
          <w:sz w:val="28"/>
          <w:szCs w:val="28"/>
          <w:lang w:val="es-ES"/>
        </w:rPr>
        <w:t>umanos, en adelante CADH</w:t>
      </w:r>
      <w:r w:rsidRPr="002A793E">
        <w:rPr>
          <w:rFonts w:ascii="Times New Roman" w:hAnsi="Times New Roman" w:cs="Times New Roman"/>
          <w:color w:val="000000" w:themeColor="text1"/>
          <w:sz w:val="28"/>
          <w:szCs w:val="28"/>
          <w:lang w:val="es-ES"/>
        </w:rPr>
        <w:t>).</w:t>
      </w:r>
    </w:p>
    <w:p w:rsidR="00760CAE" w:rsidRPr="002A793E" w:rsidRDefault="002A793E" w:rsidP="00760CAE">
      <w:pPr>
        <w:pStyle w:val="Prrafodelista"/>
        <w:rPr>
          <w:rFonts w:ascii="Times New Roman" w:hAnsi="Times New Roman" w:cs="Times New Roman"/>
          <w:color w:val="000000" w:themeColor="text1"/>
          <w:sz w:val="28"/>
          <w:szCs w:val="28"/>
          <w:lang w:val="es-ES"/>
        </w:rPr>
      </w:pPr>
    </w:p>
    <w:p w:rsidR="007E0E16" w:rsidRPr="002A793E" w:rsidRDefault="002A793E" w:rsidP="001A5AE3">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De forma </w:t>
      </w:r>
      <w:r w:rsidRPr="002A793E">
        <w:rPr>
          <w:rFonts w:ascii="Times New Roman" w:hAnsi="Times New Roman" w:cs="Times New Roman"/>
          <w:color w:val="000000" w:themeColor="text1"/>
          <w:sz w:val="28"/>
          <w:szCs w:val="28"/>
          <w:lang w:val="es-ES"/>
        </w:rPr>
        <w:t>inicial, el ac</w:t>
      </w:r>
      <w:r w:rsidRPr="002A793E">
        <w:rPr>
          <w:rFonts w:ascii="Times New Roman" w:hAnsi="Times New Roman" w:cs="Times New Roman"/>
          <w:color w:val="000000" w:themeColor="text1"/>
          <w:sz w:val="28"/>
          <w:szCs w:val="28"/>
          <w:lang w:val="es-ES"/>
        </w:rPr>
        <w:t>cionante</w:t>
      </w:r>
      <w:r w:rsidRPr="002A793E">
        <w:rPr>
          <w:rFonts w:ascii="Times New Roman" w:hAnsi="Times New Roman" w:cs="Times New Roman"/>
          <w:color w:val="000000" w:themeColor="text1"/>
          <w:sz w:val="28"/>
          <w:szCs w:val="28"/>
          <w:lang w:val="es-ES"/>
        </w:rPr>
        <w:t xml:space="preserve"> explicó el alcance de l</w:t>
      </w:r>
      <w:r w:rsidRPr="002A793E">
        <w:rPr>
          <w:rFonts w:ascii="Times New Roman" w:hAnsi="Times New Roman" w:cs="Times New Roman"/>
          <w:color w:val="000000" w:themeColor="text1"/>
          <w:sz w:val="28"/>
          <w:szCs w:val="28"/>
          <w:lang w:val="es-ES"/>
        </w:rPr>
        <w:t>as</w:t>
      </w:r>
      <w:r w:rsidRPr="002A793E">
        <w:rPr>
          <w:rFonts w:ascii="Times New Roman" w:hAnsi="Times New Roman" w:cs="Times New Roman"/>
          <w:color w:val="000000" w:themeColor="text1"/>
          <w:sz w:val="28"/>
          <w:szCs w:val="28"/>
          <w:lang w:val="es-ES"/>
        </w:rPr>
        <w:t xml:space="preserve"> disposici</w:t>
      </w:r>
      <w:r w:rsidRPr="002A793E">
        <w:rPr>
          <w:rFonts w:ascii="Times New Roman" w:hAnsi="Times New Roman" w:cs="Times New Roman"/>
          <w:color w:val="000000" w:themeColor="text1"/>
          <w:sz w:val="28"/>
          <w:szCs w:val="28"/>
          <w:lang w:val="es-ES"/>
        </w:rPr>
        <w:t>ones</w:t>
      </w:r>
      <w:r w:rsidRPr="002A793E">
        <w:rPr>
          <w:rFonts w:ascii="Times New Roman" w:hAnsi="Times New Roman" w:cs="Times New Roman"/>
          <w:color w:val="000000" w:themeColor="text1"/>
          <w:sz w:val="28"/>
          <w:szCs w:val="28"/>
          <w:lang w:val="es-ES"/>
        </w:rPr>
        <w:t xml:space="preserve"> acusada</w:t>
      </w:r>
      <w:r w:rsidRPr="002A793E">
        <w:rPr>
          <w:rFonts w:ascii="Times New Roman" w:hAnsi="Times New Roman" w:cs="Times New Roman"/>
          <w:color w:val="000000" w:themeColor="text1"/>
          <w:sz w:val="28"/>
          <w:szCs w:val="28"/>
          <w:lang w:val="es-ES"/>
        </w:rPr>
        <w:t>s</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Para el efecto</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señaló que </w:t>
      </w:r>
      <w:r w:rsidRPr="002A793E">
        <w:rPr>
          <w:rFonts w:ascii="Times New Roman" w:hAnsi="Times New Roman" w:cs="Times New Roman"/>
          <w:color w:val="000000" w:themeColor="text1"/>
          <w:sz w:val="28"/>
          <w:szCs w:val="28"/>
          <w:lang w:val="es-ES"/>
        </w:rPr>
        <w:t>el Decreto Ley 902 de 20</w:t>
      </w:r>
      <w:r w:rsidRPr="002A793E">
        <w:rPr>
          <w:rFonts w:ascii="Times New Roman" w:hAnsi="Times New Roman" w:cs="Times New Roman"/>
          <w:color w:val="000000" w:themeColor="text1"/>
          <w:sz w:val="28"/>
          <w:szCs w:val="28"/>
          <w:lang w:val="es-ES"/>
        </w:rPr>
        <w:t>1</w:t>
      </w:r>
      <w:r w:rsidRPr="002A793E">
        <w:rPr>
          <w:rFonts w:ascii="Times New Roman" w:hAnsi="Times New Roman" w:cs="Times New Roman"/>
          <w:color w:val="000000" w:themeColor="text1"/>
          <w:sz w:val="28"/>
          <w:szCs w:val="28"/>
          <w:lang w:val="es-ES"/>
        </w:rPr>
        <w:t xml:space="preserve">7 </w:t>
      </w:r>
      <w:r w:rsidRPr="002A793E">
        <w:rPr>
          <w:rFonts w:ascii="Times New Roman" w:hAnsi="Times New Roman" w:cs="Times New Roman"/>
          <w:color w:val="000000" w:themeColor="text1"/>
          <w:sz w:val="28"/>
          <w:szCs w:val="28"/>
          <w:lang w:val="es-ES"/>
        </w:rPr>
        <w:t xml:space="preserve">reguló el </w:t>
      </w:r>
      <w:r w:rsidRPr="002A793E">
        <w:rPr>
          <w:rFonts w:ascii="Times New Roman" w:hAnsi="Times New Roman" w:cs="Times New Roman"/>
          <w:color w:val="000000" w:themeColor="text1"/>
          <w:sz w:val="28"/>
          <w:szCs w:val="28"/>
          <w:lang w:val="es-ES"/>
        </w:rPr>
        <w:t>PUO</w:t>
      </w:r>
      <w:r w:rsidRPr="002A793E">
        <w:rPr>
          <w:rFonts w:ascii="Times New Roman" w:hAnsi="Times New Roman" w:cs="Times New Roman"/>
          <w:color w:val="000000" w:themeColor="text1"/>
          <w:sz w:val="28"/>
          <w:szCs w:val="28"/>
          <w:lang w:val="es-ES"/>
        </w:rPr>
        <w:t xml:space="preserve">, compuesto por una fase administrativa y una judicial, y </w:t>
      </w:r>
      <w:r w:rsidRPr="002A793E">
        <w:rPr>
          <w:rFonts w:ascii="Times New Roman" w:hAnsi="Times New Roman" w:cs="Times New Roman"/>
          <w:color w:val="000000" w:themeColor="text1"/>
          <w:sz w:val="28"/>
          <w:szCs w:val="28"/>
          <w:lang w:val="es-ES"/>
        </w:rPr>
        <w:t>a través del que</w:t>
      </w:r>
      <w:r w:rsidRPr="002A793E">
        <w:rPr>
          <w:rFonts w:ascii="Times New Roman" w:hAnsi="Times New Roman" w:cs="Times New Roman"/>
          <w:color w:val="000000" w:themeColor="text1"/>
          <w:sz w:val="28"/>
          <w:szCs w:val="28"/>
          <w:lang w:val="es-ES"/>
        </w:rPr>
        <w:t xml:space="preserve"> se tramita</w:t>
      </w:r>
      <w:r w:rsidRPr="002A793E">
        <w:rPr>
          <w:rFonts w:ascii="Times New Roman" w:hAnsi="Times New Roman" w:cs="Times New Roman"/>
          <w:color w:val="000000" w:themeColor="text1"/>
          <w:sz w:val="28"/>
          <w:szCs w:val="28"/>
          <w:lang w:val="es-ES"/>
        </w:rPr>
        <w:t>ba</w:t>
      </w:r>
      <w:r w:rsidRPr="002A793E">
        <w:rPr>
          <w:rFonts w:ascii="Times New Roman" w:hAnsi="Times New Roman" w:cs="Times New Roman"/>
          <w:color w:val="000000" w:themeColor="text1"/>
          <w:sz w:val="28"/>
          <w:szCs w:val="28"/>
          <w:lang w:val="es-ES"/>
        </w:rPr>
        <w:t xml:space="preserve">n, entre otros, los procesos </w:t>
      </w:r>
      <w:r w:rsidRPr="002A793E">
        <w:rPr>
          <w:rFonts w:ascii="Times New Roman" w:hAnsi="Times New Roman" w:cs="Times New Roman"/>
          <w:color w:val="000000" w:themeColor="text1"/>
          <w:sz w:val="28"/>
          <w:szCs w:val="28"/>
          <w:lang w:val="es-ES"/>
        </w:rPr>
        <w:t>previstos en los numerales 4, 5 y 7 del artículo 58 del Decreto Ley 902 de 20</w:t>
      </w:r>
      <w:r w:rsidRPr="002A793E">
        <w:rPr>
          <w:rFonts w:ascii="Times New Roman" w:hAnsi="Times New Roman" w:cs="Times New Roman"/>
          <w:color w:val="000000" w:themeColor="text1"/>
          <w:sz w:val="28"/>
          <w:szCs w:val="28"/>
          <w:lang w:val="es-ES"/>
        </w:rPr>
        <w:t>1</w:t>
      </w:r>
      <w:r w:rsidRPr="002A793E">
        <w:rPr>
          <w:rFonts w:ascii="Times New Roman" w:hAnsi="Times New Roman" w:cs="Times New Roman"/>
          <w:color w:val="000000" w:themeColor="text1"/>
          <w:sz w:val="28"/>
          <w:szCs w:val="28"/>
          <w:lang w:val="es-ES"/>
        </w:rPr>
        <w:t>7</w:t>
      </w:r>
      <w:r w:rsidRPr="002A793E">
        <w:rPr>
          <w:rFonts w:ascii="Times New Roman" w:hAnsi="Times New Roman" w:cs="Times New Roman"/>
          <w:color w:val="000000" w:themeColor="text1"/>
          <w:sz w:val="28"/>
          <w:szCs w:val="28"/>
          <w:lang w:val="es-ES"/>
        </w:rPr>
        <w:t xml:space="preserve"> y</w:t>
      </w:r>
      <w:r w:rsidRPr="002A793E">
        <w:rPr>
          <w:rFonts w:ascii="Times New Roman" w:hAnsi="Times New Roman" w:cs="Times New Roman"/>
          <w:color w:val="000000" w:themeColor="text1"/>
          <w:sz w:val="28"/>
          <w:szCs w:val="28"/>
          <w:lang w:val="es-ES"/>
        </w:rPr>
        <w:t xml:space="preserve"> que corresponden a: </w:t>
      </w:r>
    </w:p>
    <w:p w:rsidR="007E0E16" w:rsidRPr="002A793E" w:rsidRDefault="002A793E" w:rsidP="007E0E16">
      <w:pPr>
        <w:pStyle w:val="Prrafodelista"/>
        <w:rPr>
          <w:rFonts w:ascii="Times New Roman" w:hAnsi="Times New Roman" w:cs="Times New Roman"/>
          <w:color w:val="000000" w:themeColor="text1"/>
          <w:sz w:val="28"/>
          <w:szCs w:val="28"/>
          <w:lang w:val="es-ES"/>
        </w:rPr>
      </w:pPr>
    </w:p>
    <w:p w:rsidR="00B55121" w:rsidRPr="002A793E" w:rsidRDefault="002A793E" w:rsidP="007E0E16">
      <w:pPr>
        <w:pStyle w:val="Prrafodelista"/>
        <w:numPr>
          <w:ilvl w:val="0"/>
          <w:numId w:val="3"/>
        </w:numPr>
        <w:rPr>
          <w:rFonts w:ascii="Times New Roman" w:hAnsi="Times New Roman" w:cs="Times New Roman"/>
          <w:color w:val="000000" w:themeColor="text1"/>
          <w:sz w:val="28"/>
          <w:szCs w:val="28"/>
          <w:lang w:val="es-ES"/>
        </w:rPr>
      </w:pPr>
      <w:r w:rsidRPr="002A793E">
        <w:rPr>
          <w:rFonts w:ascii="Times New Roman" w:hAnsi="Times New Roman" w:cs="Times New Roman"/>
          <w:sz w:val="28"/>
          <w:szCs w:val="28"/>
          <w:lang w:val="es-ES"/>
        </w:rPr>
        <w:t>L</w:t>
      </w:r>
      <w:r w:rsidRPr="002A793E">
        <w:rPr>
          <w:rFonts w:ascii="Times New Roman" w:hAnsi="Times New Roman" w:cs="Times New Roman"/>
          <w:sz w:val="28"/>
          <w:szCs w:val="28"/>
          <w:lang w:val="es-ES"/>
        </w:rPr>
        <w:t>a c</w:t>
      </w:r>
      <w:r w:rsidRPr="002A793E">
        <w:rPr>
          <w:rFonts w:ascii="Times New Roman" w:hAnsi="Times New Roman" w:cs="Times New Roman"/>
          <w:color w:val="000000" w:themeColor="text1"/>
          <w:sz w:val="28"/>
          <w:szCs w:val="28"/>
          <w:lang w:val="es-ES"/>
        </w:rPr>
        <w:t>larificación de la propiedad, deslinde y recuperación de baldíos de que trata la Ley 160 de 1994</w:t>
      </w:r>
      <w:r w:rsidRPr="002A793E">
        <w:rPr>
          <w:rFonts w:ascii="Times New Roman" w:hAnsi="Times New Roman" w:cs="Times New Roman"/>
          <w:color w:val="000000" w:themeColor="text1"/>
          <w:sz w:val="28"/>
          <w:szCs w:val="28"/>
          <w:lang w:val="es-ES"/>
        </w:rPr>
        <w:t>.</w:t>
      </w:r>
    </w:p>
    <w:p w:rsidR="007E0E16" w:rsidRPr="002A793E" w:rsidRDefault="002A793E" w:rsidP="00B55121">
      <w:pPr>
        <w:pStyle w:val="Prrafodelista"/>
        <w:ind w:left="108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 </w:t>
      </w:r>
    </w:p>
    <w:p w:rsidR="00B55121" w:rsidRPr="002A793E" w:rsidRDefault="002A793E" w:rsidP="007E0E16">
      <w:pPr>
        <w:pStyle w:val="Prrafodelista"/>
        <w:numPr>
          <w:ilvl w:val="0"/>
          <w:numId w:val="3"/>
        </w:numPr>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L</w:t>
      </w:r>
      <w:r w:rsidRPr="002A793E">
        <w:rPr>
          <w:rFonts w:ascii="Times New Roman" w:hAnsi="Times New Roman" w:cs="Times New Roman"/>
          <w:color w:val="000000" w:themeColor="text1"/>
          <w:sz w:val="28"/>
          <w:szCs w:val="28"/>
          <w:lang w:val="es-ES"/>
        </w:rPr>
        <w:t xml:space="preserve">a extinción judicial del dominio sobre tierras </w:t>
      </w:r>
      <w:r w:rsidRPr="002A793E">
        <w:rPr>
          <w:rFonts w:ascii="Times New Roman" w:hAnsi="Times New Roman" w:cs="Times New Roman"/>
          <w:color w:val="000000" w:themeColor="text1"/>
          <w:sz w:val="28"/>
          <w:szCs w:val="28"/>
          <w:lang w:val="es-ES"/>
        </w:rPr>
        <w:t>incultas de que trata la Ley 160 de 1994</w:t>
      </w:r>
      <w:r w:rsidRPr="002A793E">
        <w:rPr>
          <w:rFonts w:ascii="Times New Roman" w:hAnsi="Times New Roman" w:cs="Times New Roman"/>
          <w:color w:val="000000" w:themeColor="text1"/>
          <w:sz w:val="28"/>
          <w:szCs w:val="28"/>
          <w:lang w:val="es-ES"/>
        </w:rPr>
        <w:t xml:space="preserve">. </w:t>
      </w:r>
    </w:p>
    <w:p w:rsidR="007E0E16" w:rsidRPr="002A793E" w:rsidRDefault="002A793E" w:rsidP="00B55121">
      <w:pPr>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 </w:t>
      </w:r>
    </w:p>
    <w:p w:rsidR="007E0E16" w:rsidRPr="002A793E" w:rsidRDefault="002A793E" w:rsidP="007E0E16">
      <w:pPr>
        <w:pStyle w:val="Prrafodelista"/>
        <w:numPr>
          <w:ilvl w:val="0"/>
          <w:numId w:val="3"/>
        </w:numPr>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L</w:t>
      </w:r>
      <w:r w:rsidRPr="002A793E">
        <w:rPr>
          <w:rFonts w:ascii="Times New Roman" w:hAnsi="Times New Roman" w:cs="Times New Roman"/>
          <w:color w:val="000000" w:themeColor="text1"/>
          <w:sz w:val="28"/>
          <w:szCs w:val="28"/>
          <w:lang w:val="es-ES"/>
        </w:rPr>
        <w:t xml:space="preserve">a caducidad administrativa, condición resolutoria del subsidio, reversión y revocatoria de titulación de baldíos. </w:t>
      </w:r>
    </w:p>
    <w:p w:rsidR="007E0E16" w:rsidRPr="002A793E" w:rsidRDefault="002A793E" w:rsidP="007E0E16">
      <w:pPr>
        <w:rPr>
          <w:rFonts w:ascii="Times New Roman" w:hAnsi="Times New Roman" w:cs="Times New Roman"/>
          <w:color w:val="000000" w:themeColor="text1"/>
          <w:sz w:val="28"/>
          <w:szCs w:val="28"/>
          <w:lang w:val="es-ES"/>
        </w:rPr>
      </w:pPr>
    </w:p>
    <w:p w:rsidR="0097197D" w:rsidRPr="002A793E" w:rsidRDefault="002A793E" w:rsidP="001A5AE3">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De manera que, sobre estos tipos de procesos se agotaban dos etapas, que fueron explicadas por</w:t>
      </w:r>
      <w:r w:rsidRPr="002A793E">
        <w:rPr>
          <w:rFonts w:ascii="Times New Roman" w:hAnsi="Times New Roman" w:cs="Times New Roman"/>
          <w:color w:val="000000" w:themeColor="text1"/>
          <w:sz w:val="28"/>
          <w:szCs w:val="28"/>
          <w:lang w:val="es-ES"/>
        </w:rPr>
        <w:t xml:space="preserve"> el demandante a partir de las consideraciones de la sentencia C-073 de 2018. Así, en el PUO se</w:t>
      </w:r>
      <w:r w:rsidRPr="002A793E">
        <w:rPr>
          <w:rFonts w:ascii="Times New Roman" w:hAnsi="Times New Roman" w:cs="Times New Roman"/>
          <w:color w:val="000000" w:themeColor="text1"/>
          <w:sz w:val="28"/>
          <w:szCs w:val="28"/>
          <w:lang w:val="es-ES"/>
        </w:rPr>
        <w:t xml:space="preserve"> surt</w:t>
      </w:r>
      <w:r w:rsidRPr="002A793E">
        <w:rPr>
          <w:rFonts w:ascii="Times New Roman" w:hAnsi="Times New Roman" w:cs="Times New Roman"/>
          <w:color w:val="000000" w:themeColor="text1"/>
          <w:sz w:val="28"/>
          <w:szCs w:val="28"/>
          <w:lang w:val="es-ES"/>
        </w:rPr>
        <w:t>e</w:t>
      </w:r>
      <w:r w:rsidRPr="002A793E">
        <w:rPr>
          <w:rFonts w:ascii="Times New Roman" w:hAnsi="Times New Roman" w:cs="Times New Roman"/>
          <w:color w:val="000000" w:themeColor="text1"/>
          <w:sz w:val="28"/>
          <w:szCs w:val="28"/>
          <w:lang w:val="es-ES"/>
        </w:rPr>
        <w:t xml:space="preserve"> una </w:t>
      </w:r>
      <w:r w:rsidRPr="002A793E">
        <w:rPr>
          <w:rFonts w:ascii="Times New Roman" w:hAnsi="Times New Roman" w:cs="Times New Roman"/>
          <w:color w:val="000000" w:themeColor="text1"/>
          <w:sz w:val="28"/>
          <w:szCs w:val="28"/>
          <w:lang w:val="es-ES"/>
        </w:rPr>
        <w:t xml:space="preserve">primera </w:t>
      </w:r>
      <w:r w:rsidRPr="002A793E">
        <w:rPr>
          <w:rFonts w:ascii="Times New Roman" w:hAnsi="Times New Roman" w:cs="Times New Roman"/>
          <w:color w:val="000000" w:themeColor="text1"/>
          <w:sz w:val="28"/>
          <w:szCs w:val="28"/>
          <w:lang w:val="es-ES"/>
        </w:rPr>
        <w:t xml:space="preserve">fase administrativa, </w:t>
      </w:r>
      <w:r w:rsidRPr="002A793E">
        <w:rPr>
          <w:rFonts w:ascii="Times New Roman" w:hAnsi="Times New Roman" w:cs="Times New Roman"/>
          <w:color w:val="000000" w:themeColor="text1"/>
          <w:sz w:val="28"/>
          <w:szCs w:val="28"/>
          <w:lang w:val="es-ES"/>
        </w:rPr>
        <w:t>la cual con</w:t>
      </w:r>
      <w:r w:rsidRPr="002A793E">
        <w:rPr>
          <w:rFonts w:ascii="Times New Roman" w:hAnsi="Times New Roman" w:cs="Times New Roman"/>
          <w:color w:val="000000" w:themeColor="text1"/>
          <w:sz w:val="28"/>
          <w:szCs w:val="28"/>
          <w:lang w:val="es-ES"/>
        </w:rPr>
        <w:t>s</w:t>
      </w:r>
      <w:r w:rsidRPr="002A793E">
        <w:rPr>
          <w:rFonts w:ascii="Times New Roman" w:hAnsi="Times New Roman" w:cs="Times New Roman"/>
          <w:color w:val="000000" w:themeColor="text1"/>
          <w:sz w:val="28"/>
          <w:szCs w:val="28"/>
          <w:lang w:val="es-ES"/>
        </w:rPr>
        <w:t xml:space="preserve">ta de tres etapas y que corresponden a la </w:t>
      </w:r>
      <w:r w:rsidRPr="002A793E">
        <w:rPr>
          <w:rFonts w:ascii="Times New Roman" w:hAnsi="Times New Roman" w:cs="Times New Roman"/>
          <w:color w:val="000000" w:themeColor="text1"/>
          <w:sz w:val="28"/>
          <w:szCs w:val="28"/>
          <w:lang w:val="es-ES"/>
        </w:rPr>
        <w:t xml:space="preserve">fase </w:t>
      </w:r>
      <w:r w:rsidRPr="002A793E">
        <w:rPr>
          <w:rFonts w:ascii="Times New Roman" w:hAnsi="Times New Roman" w:cs="Times New Roman"/>
          <w:sz w:val="28"/>
          <w:szCs w:val="28"/>
          <w:lang w:val="es-ES"/>
        </w:rPr>
        <w:t xml:space="preserve">preliminar, la de exposición de resultados y la de decisiones </w:t>
      </w:r>
      <w:r w:rsidRPr="002A793E">
        <w:rPr>
          <w:rFonts w:ascii="Times New Roman" w:hAnsi="Times New Roman" w:cs="Times New Roman"/>
          <w:sz w:val="28"/>
          <w:szCs w:val="28"/>
          <w:lang w:val="es-ES"/>
        </w:rPr>
        <w:t>y cierre administrativo. Una vez concluida la fase administrativa, el acto administrativo de cierre disponía la presentación de la demanda ante el juez competente</w:t>
      </w:r>
      <w:r w:rsidRPr="002A793E">
        <w:rPr>
          <w:rStyle w:val="Refdenotaalpie"/>
          <w:rFonts w:ascii="Times New Roman" w:hAnsi="Times New Roman" w:cs="Times New Roman"/>
          <w:sz w:val="28"/>
          <w:szCs w:val="28"/>
          <w:lang w:val="es-ES"/>
        </w:rPr>
        <w:footnoteReference w:id="21"/>
      </w:r>
      <w:r w:rsidRPr="002A793E">
        <w:rPr>
          <w:rFonts w:ascii="Times New Roman" w:hAnsi="Times New Roman" w:cs="Times New Roman"/>
          <w:sz w:val="28"/>
          <w:szCs w:val="28"/>
          <w:lang w:val="es-ES"/>
        </w:rPr>
        <w:t>. Luego, la fase judicial se adelantaba bajo las reglas del proceso verbal sumario y culminab</w:t>
      </w:r>
      <w:r w:rsidRPr="002A793E">
        <w:rPr>
          <w:rFonts w:ascii="Times New Roman" w:hAnsi="Times New Roman" w:cs="Times New Roman"/>
          <w:sz w:val="28"/>
          <w:szCs w:val="28"/>
          <w:lang w:val="es-ES"/>
        </w:rPr>
        <w:t xml:space="preserve">a con la sentencia proferida por la autoridad judicial. De manera que, </w:t>
      </w:r>
      <w:r w:rsidRPr="002A793E">
        <w:rPr>
          <w:rFonts w:ascii="Times New Roman" w:hAnsi="Times New Roman" w:cs="Times New Roman"/>
          <w:sz w:val="28"/>
          <w:szCs w:val="28"/>
          <w:lang w:val="es-ES"/>
        </w:rPr>
        <w:t>era la decisión judicial la que</w:t>
      </w:r>
      <w:r w:rsidRPr="002A793E">
        <w:rPr>
          <w:rFonts w:ascii="Times New Roman" w:hAnsi="Times New Roman" w:cs="Times New Roman"/>
          <w:sz w:val="28"/>
          <w:szCs w:val="28"/>
          <w:lang w:val="es-ES"/>
        </w:rPr>
        <w:t xml:space="preserve"> constituía e</w:t>
      </w:r>
      <w:r w:rsidRPr="002A793E">
        <w:rPr>
          <w:rFonts w:ascii="Times New Roman" w:hAnsi="Times New Roman" w:cs="Times New Roman"/>
          <w:sz w:val="28"/>
          <w:szCs w:val="28"/>
          <w:lang w:val="es-ES"/>
        </w:rPr>
        <w:t>l</w:t>
      </w:r>
      <w:r w:rsidRPr="002A793E">
        <w:rPr>
          <w:rFonts w:ascii="Times New Roman" w:hAnsi="Times New Roman" w:cs="Times New Roman"/>
          <w:sz w:val="28"/>
          <w:szCs w:val="28"/>
          <w:lang w:val="es-ES"/>
        </w:rPr>
        <w:t xml:space="preserve"> título traslaticio de dominio o el acto que defin</w:t>
      </w:r>
      <w:r w:rsidRPr="002A793E">
        <w:rPr>
          <w:rFonts w:ascii="Times New Roman" w:hAnsi="Times New Roman" w:cs="Times New Roman"/>
          <w:sz w:val="28"/>
          <w:szCs w:val="28"/>
          <w:lang w:val="es-ES"/>
        </w:rPr>
        <w:t xml:space="preserve">ía </w:t>
      </w:r>
      <w:r w:rsidRPr="002A793E">
        <w:rPr>
          <w:rFonts w:ascii="Times New Roman" w:hAnsi="Times New Roman" w:cs="Times New Roman"/>
          <w:sz w:val="28"/>
          <w:szCs w:val="28"/>
          <w:lang w:val="es-ES"/>
        </w:rPr>
        <w:t>la situación jurídica del bien, de donde se derivaba una garantía de reserva judicial p</w:t>
      </w:r>
      <w:r w:rsidRPr="002A793E">
        <w:rPr>
          <w:rFonts w:ascii="Times New Roman" w:hAnsi="Times New Roman" w:cs="Times New Roman"/>
          <w:sz w:val="28"/>
          <w:szCs w:val="28"/>
          <w:lang w:val="es-ES"/>
        </w:rPr>
        <w:t>ara la definición de los asuntos sometidos a ese proceso.</w:t>
      </w:r>
    </w:p>
    <w:p w:rsidR="00C21AA5" w:rsidRPr="002A793E" w:rsidRDefault="002A793E" w:rsidP="00C21AA5">
      <w:pPr>
        <w:pStyle w:val="Prrafodelista"/>
        <w:rPr>
          <w:rFonts w:ascii="Times New Roman" w:hAnsi="Times New Roman" w:cs="Times New Roman"/>
          <w:color w:val="000000" w:themeColor="text1"/>
          <w:sz w:val="28"/>
          <w:szCs w:val="28"/>
          <w:lang w:val="es-ES"/>
        </w:rPr>
      </w:pPr>
    </w:p>
    <w:p w:rsidR="007E0E16" w:rsidRPr="002A793E" w:rsidRDefault="002A793E" w:rsidP="001A5AE3">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Sin embargo, como consecuencia</w:t>
      </w:r>
      <w:r w:rsidRPr="002A793E">
        <w:rPr>
          <w:rFonts w:ascii="Times New Roman" w:hAnsi="Times New Roman" w:cs="Times New Roman"/>
          <w:color w:val="000000" w:themeColor="text1"/>
          <w:sz w:val="28"/>
          <w:szCs w:val="28"/>
          <w:lang w:val="es-ES"/>
        </w:rPr>
        <w:t xml:space="preserve"> de </w:t>
      </w:r>
      <w:r w:rsidRPr="002A793E">
        <w:rPr>
          <w:rFonts w:ascii="Times New Roman" w:hAnsi="Times New Roman" w:cs="Times New Roman"/>
          <w:color w:val="000000" w:themeColor="text1"/>
          <w:sz w:val="28"/>
          <w:szCs w:val="28"/>
          <w:lang w:val="es-ES"/>
        </w:rPr>
        <w:t>las disposiciones acusadas</w:t>
      </w:r>
      <w:r w:rsidRPr="002A793E">
        <w:rPr>
          <w:rFonts w:ascii="Times New Roman" w:hAnsi="Times New Roman" w:cs="Times New Roman"/>
          <w:color w:val="000000" w:themeColor="text1"/>
          <w:sz w:val="28"/>
          <w:szCs w:val="28"/>
          <w:lang w:val="es-ES"/>
        </w:rPr>
        <w:t xml:space="preserve">, la definición de los asuntos indicados en los numerales 4, 5 y 7 del artículo 58 </w:t>
      </w:r>
      <w:r w:rsidRPr="002A793E">
        <w:rPr>
          <w:rFonts w:ascii="Times New Roman" w:hAnsi="Times New Roman" w:cs="Times New Roman"/>
          <w:sz w:val="28"/>
          <w:szCs w:val="28"/>
          <w:lang w:val="es-ES"/>
        </w:rPr>
        <w:t xml:space="preserve">del Decreto Ley 902 de 2017 sólo contarán con la fase administrativa. Por lo tanto, la Agencia Nacional de </w:t>
      </w:r>
      <w:r w:rsidRPr="002A793E">
        <w:rPr>
          <w:rFonts w:ascii="Times New Roman" w:hAnsi="Times New Roman" w:cs="Times New Roman"/>
          <w:sz w:val="28"/>
          <w:szCs w:val="28"/>
          <w:lang w:val="es-ES"/>
        </w:rPr>
        <w:t>Tierras mediante</w:t>
      </w:r>
      <w:r w:rsidRPr="002A793E">
        <w:rPr>
          <w:rFonts w:ascii="Times New Roman" w:hAnsi="Times New Roman" w:cs="Times New Roman"/>
          <w:sz w:val="28"/>
          <w:szCs w:val="28"/>
          <w:lang w:val="es-ES"/>
        </w:rPr>
        <w:t xml:space="preserve"> acto administrativo tomará la decisión de fondo que corresponda. En firme dicho acto administrativo, la ANT procederá a su radicació</w:t>
      </w:r>
      <w:r w:rsidRPr="002A793E">
        <w:rPr>
          <w:rFonts w:ascii="Times New Roman" w:hAnsi="Times New Roman" w:cs="Times New Roman"/>
          <w:sz w:val="28"/>
          <w:szCs w:val="28"/>
          <w:lang w:val="es-ES"/>
        </w:rPr>
        <w:t>n en la Oficina de Registro de Instrumentos Públicos con el fin de que se realice el respectivo registro en el folio de matrícula inmobiliaria</w:t>
      </w:r>
      <w:r w:rsidRPr="002A793E">
        <w:rPr>
          <w:rFonts w:ascii="Times New Roman" w:hAnsi="Times New Roman" w:cs="Times New Roman"/>
          <w:sz w:val="28"/>
          <w:szCs w:val="28"/>
          <w:lang w:val="es-ES"/>
        </w:rPr>
        <w:t xml:space="preserve"> y l</w:t>
      </w:r>
      <w:r w:rsidRPr="002A793E">
        <w:rPr>
          <w:rFonts w:ascii="Times New Roman" w:hAnsi="Times New Roman" w:cs="Times New Roman"/>
          <w:sz w:val="28"/>
          <w:szCs w:val="28"/>
          <w:lang w:val="es-ES"/>
        </w:rPr>
        <w:t>os particulares que aduzcan tener derechos reales sobre los predios sometidos a los asuntos indicados</w:t>
      </w:r>
      <w:r w:rsidRPr="002A793E">
        <w:rPr>
          <w:rFonts w:ascii="Times New Roman" w:hAnsi="Times New Roman" w:cs="Times New Roman"/>
          <w:sz w:val="28"/>
          <w:szCs w:val="28"/>
          <w:lang w:val="es-ES"/>
        </w:rPr>
        <w:t xml:space="preserve"> solo </w:t>
      </w:r>
      <w:r w:rsidRPr="002A793E">
        <w:rPr>
          <w:rFonts w:ascii="Times New Roman" w:hAnsi="Times New Roman" w:cs="Times New Roman"/>
          <w:sz w:val="28"/>
          <w:szCs w:val="28"/>
          <w:lang w:val="es-ES"/>
        </w:rPr>
        <w:t>pod</w:t>
      </w:r>
      <w:r w:rsidRPr="002A793E">
        <w:rPr>
          <w:rFonts w:ascii="Times New Roman" w:hAnsi="Times New Roman" w:cs="Times New Roman"/>
          <w:sz w:val="28"/>
          <w:szCs w:val="28"/>
          <w:lang w:val="es-ES"/>
        </w:rPr>
        <w:t>rán ejercer la acción de nulidad agraria de que trata el artículo 39 de</w:t>
      </w:r>
      <w:r w:rsidRPr="002A793E">
        <w:rPr>
          <w:rFonts w:ascii="Times New Roman" w:hAnsi="Times New Roman" w:cs="Times New Roman"/>
          <w:sz w:val="28"/>
          <w:szCs w:val="28"/>
          <w:lang w:val="es-ES"/>
        </w:rPr>
        <w:t xml:space="preserve">l Decreto 902 de 2017. </w:t>
      </w:r>
    </w:p>
    <w:p w:rsidR="007E0E16" w:rsidRPr="002A793E" w:rsidRDefault="002A793E" w:rsidP="007E0E16">
      <w:pPr>
        <w:pStyle w:val="Prrafodelista"/>
        <w:rPr>
          <w:rFonts w:ascii="Times New Roman" w:hAnsi="Times New Roman" w:cs="Times New Roman"/>
          <w:sz w:val="28"/>
          <w:szCs w:val="28"/>
          <w:lang w:val="es-ES"/>
        </w:rPr>
      </w:pPr>
    </w:p>
    <w:p w:rsidR="00775E9D" w:rsidRPr="002A793E" w:rsidRDefault="002A793E" w:rsidP="00775E9D">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sz w:val="28"/>
          <w:szCs w:val="28"/>
          <w:lang w:val="es-ES"/>
        </w:rPr>
        <w:t>Adicionalmente, el actor destac</w:t>
      </w:r>
      <w:r w:rsidRPr="002A793E">
        <w:rPr>
          <w:rFonts w:ascii="Times New Roman" w:hAnsi="Times New Roman" w:cs="Times New Roman"/>
          <w:sz w:val="28"/>
          <w:szCs w:val="28"/>
          <w:lang w:val="es-ES"/>
        </w:rPr>
        <w:t>ó</w:t>
      </w:r>
      <w:r w:rsidRPr="002A793E">
        <w:rPr>
          <w:rFonts w:ascii="Times New Roman" w:hAnsi="Times New Roman" w:cs="Times New Roman"/>
          <w:sz w:val="28"/>
          <w:szCs w:val="28"/>
          <w:lang w:val="es-ES"/>
        </w:rPr>
        <w:t xml:space="preserve"> que la disposición acusada remite al artículo 39 del Decreto Le</w:t>
      </w:r>
      <w:r w:rsidRPr="002A793E">
        <w:rPr>
          <w:rFonts w:ascii="Times New Roman" w:hAnsi="Times New Roman" w:cs="Times New Roman"/>
          <w:sz w:val="28"/>
          <w:szCs w:val="28"/>
          <w:lang w:val="es-ES"/>
        </w:rPr>
        <w:t xml:space="preserve">y 902 de 2017 que, a su vez, limita la interposición de la acción de nulidad agraria a los particulares que </w:t>
      </w:r>
      <w:r w:rsidRPr="002A793E">
        <w:rPr>
          <w:rFonts w:ascii="Times New Roman" w:hAnsi="Times New Roman" w:cs="Times New Roman"/>
          <w:sz w:val="28"/>
          <w:szCs w:val="28"/>
          <w:lang w:val="es-ES"/>
        </w:rPr>
        <w:t>hicieron parte del PUO.</w:t>
      </w:r>
      <w:r w:rsidRPr="002A793E">
        <w:rPr>
          <w:rFonts w:ascii="Times New Roman" w:hAnsi="Times New Roman" w:cs="Times New Roman"/>
          <w:sz w:val="28"/>
          <w:szCs w:val="28"/>
          <w:lang w:val="es-ES"/>
        </w:rPr>
        <w:t xml:space="preserve"> De manera que, en relación con los particulares que no hicieron parte del PUO</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una autoridad administrativa</w:t>
      </w:r>
      <w:r w:rsidRPr="002A793E">
        <w:rPr>
          <w:rFonts w:ascii="Times New Roman" w:hAnsi="Times New Roman" w:cs="Times New Roman"/>
          <w:sz w:val="28"/>
          <w:szCs w:val="28"/>
          <w:lang w:val="es-ES"/>
        </w:rPr>
        <w:t xml:space="preserve"> definirá aspecto</w:t>
      </w:r>
      <w:r w:rsidRPr="002A793E">
        <w:rPr>
          <w:rFonts w:ascii="Times New Roman" w:hAnsi="Times New Roman" w:cs="Times New Roman"/>
          <w:sz w:val="28"/>
          <w:szCs w:val="28"/>
          <w:lang w:val="es-ES"/>
        </w:rPr>
        <w:t>s trascendentales de la propiedad y sin ningún control judicial</w:t>
      </w:r>
      <w:r w:rsidRPr="002A793E">
        <w:rPr>
          <w:rFonts w:ascii="Times New Roman" w:hAnsi="Times New Roman" w:cs="Times New Roman"/>
          <w:sz w:val="28"/>
          <w:szCs w:val="28"/>
          <w:lang w:val="es-ES"/>
        </w:rPr>
        <w:t>, pues estos sujetos no podrán iniciar la acción de nulidad agraria.</w:t>
      </w:r>
    </w:p>
    <w:p w:rsidR="00775E9D" w:rsidRPr="002A793E" w:rsidRDefault="002A793E" w:rsidP="00775E9D">
      <w:pPr>
        <w:pStyle w:val="Prrafodelista"/>
        <w:rPr>
          <w:rFonts w:ascii="Times New Roman" w:hAnsi="Times New Roman" w:cs="Times New Roman"/>
          <w:sz w:val="28"/>
          <w:szCs w:val="28"/>
          <w:lang w:val="es-ES"/>
        </w:rPr>
      </w:pPr>
    </w:p>
    <w:p w:rsidR="00450034" w:rsidRPr="002A793E" w:rsidRDefault="002A793E" w:rsidP="00775E9D">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sz w:val="28"/>
          <w:szCs w:val="28"/>
          <w:lang w:val="es-ES"/>
        </w:rPr>
        <w:t>P</w:t>
      </w:r>
      <w:r w:rsidRPr="002A793E">
        <w:rPr>
          <w:rFonts w:ascii="Times New Roman" w:hAnsi="Times New Roman" w:cs="Times New Roman"/>
          <w:color w:val="000000" w:themeColor="text1"/>
          <w:sz w:val="28"/>
          <w:szCs w:val="28"/>
          <w:lang w:val="es-ES"/>
        </w:rPr>
        <w:t>ara el demandante, la definición de los asuntos relacionados con la clarificación de la propiedad y los otros procesos enu</w:t>
      </w:r>
      <w:r w:rsidRPr="002A793E">
        <w:rPr>
          <w:rFonts w:ascii="Times New Roman" w:hAnsi="Times New Roman" w:cs="Times New Roman"/>
          <w:color w:val="000000" w:themeColor="text1"/>
          <w:sz w:val="28"/>
          <w:szCs w:val="28"/>
          <w:lang w:val="es-ES"/>
        </w:rPr>
        <w:t xml:space="preserve">nciados en los numerales 4, 5 y 7 a través de decisiones administrativas y sin la garantía de la reserva judicial constituye una </w:t>
      </w:r>
      <w:r w:rsidRPr="002A793E">
        <w:rPr>
          <w:rFonts w:ascii="Times New Roman" w:hAnsi="Times New Roman" w:cs="Times New Roman"/>
          <w:sz w:val="28"/>
          <w:szCs w:val="28"/>
          <w:lang w:val="es-ES"/>
        </w:rPr>
        <w:t>violación del derecho de acceso a la administración de justicia</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el derecho a un recurso judicial efectivo</w:t>
      </w:r>
      <w:r w:rsidRPr="002A793E">
        <w:rPr>
          <w:rFonts w:ascii="Times New Roman" w:hAnsi="Times New Roman" w:cs="Times New Roman"/>
          <w:sz w:val="28"/>
          <w:szCs w:val="28"/>
          <w:lang w:val="es-ES"/>
        </w:rPr>
        <w:t xml:space="preserve"> y el derecho de prop</w:t>
      </w:r>
      <w:r w:rsidRPr="002A793E">
        <w:rPr>
          <w:rFonts w:ascii="Times New Roman" w:hAnsi="Times New Roman" w:cs="Times New Roman"/>
          <w:sz w:val="28"/>
          <w:szCs w:val="28"/>
          <w:lang w:val="es-ES"/>
        </w:rPr>
        <w:t>iedad</w:t>
      </w:r>
      <w:r w:rsidRPr="002A793E">
        <w:rPr>
          <w:rFonts w:ascii="Times New Roman" w:hAnsi="Times New Roman" w:cs="Times New Roman"/>
          <w:sz w:val="28"/>
          <w:szCs w:val="28"/>
          <w:lang w:val="es-ES"/>
        </w:rPr>
        <w:t xml:space="preserve"> de aquellos particulares que no fueron parte del PUO</w:t>
      </w:r>
      <w:r w:rsidRPr="002A793E">
        <w:rPr>
          <w:rFonts w:ascii="Times New Roman" w:hAnsi="Times New Roman" w:cs="Times New Roman"/>
          <w:sz w:val="28"/>
          <w:szCs w:val="28"/>
          <w:lang w:val="es-ES"/>
        </w:rPr>
        <w:t xml:space="preserve"> y que </w:t>
      </w:r>
      <w:r w:rsidRPr="002A793E">
        <w:rPr>
          <w:rFonts w:ascii="Times New Roman" w:hAnsi="Times New Roman" w:cs="Times New Roman"/>
          <w:sz w:val="28"/>
          <w:szCs w:val="28"/>
          <w:lang w:val="es-ES"/>
        </w:rPr>
        <w:t xml:space="preserve">no cuentan con una acción para demandar el acto administrativo definitivo expedido por la ANT. </w:t>
      </w:r>
      <w:r w:rsidRPr="002A793E">
        <w:rPr>
          <w:rFonts w:ascii="Times New Roman" w:hAnsi="Times New Roman" w:cs="Times New Roman"/>
          <w:sz w:val="28"/>
          <w:szCs w:val="28"/>
          <w:lang w:val="es-ES"/>
        </w:rPr>
        <w:t>En ese sentido</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el ciudadano agregó que si bien </w:t>
      </w:r>
      <w:r w:rsidRPr="002A793E">
        <w:rPr>
          <w:rFonts w:ascii="Times New Roman" w:hAnsi="Times New Roman" w:cs="Times New Roman"/>
          <w:sz w:val="28"/>
          <w:szCs w:val="28"/>
          <w:lang w:val="es-ES"/>
        </w:rPr>
        <w:t xml:space="preserve">la medida de eliminación de la reserva judicial puede contribuir a </w:t>
      </w:r>
      <w:r w:rsidRPr="002A793E">
        <w:rPr>
          <w:rFonts w:ascii="Times New Roman" w:hAnsi="Times New Roman" w:cs="Times New Roman"/>
          <w:sz w:val="28"/>
          <w:szCs w:val="28"/>
          <w:lang w:val="es-ES"/>
        </w:rPr>
        <w:t>una</w:t>
      </w:r>
      <w:r w:rsidRPr="002A793E">
        <w:rPr>
          <w:rFonts w:ascii="Times New Roman" w:hAnsi="Times New Roman" w:cs="Times New Roman"/>
          <w:sz w:val="28"/>
          <w:szCs w:val="28"/>
          <w:lang w:val="es-ES"/>
        </w:rPr>
        <w:t xml:space="preserve"> mayor celeridad en lo</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 xml:space="preserve"> procesos de ordenamiento territorial</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genera </w:t>
      </w:r>
      <w:r w:rsidRPr="002A793E">
        <w:rPr>
          <w:rFonts w:ascii="Times New Roman" w:hAnsi="Times New Roman" w:cs="Times New Roman"/>
          <w:sz w:val="28"/>
          <w:szCs w:val="28"/>
          <w:lang w:val="es-ES"/>
        </w:rPr>
        <w:t>que mediante procesos administrativos se afecten derechos de propiedad y relaciones con la tierra, por ejemplo con ba</w:t>
      </w:r>
      <w:r w:rsidRPr="002A793E">
        <w:rPr>
          <w:rFonts w:ascii="Times New Roman" w:hAnsi="Times New Roman" w:cs="Times New Roman"/>
          <w:sz w:val="28"/>
          <w:szCs w:val="28"/>
          <w:lang w:val="es-ES"/>
        </w:rPr>
        <w:t>ldíos</w:t>
      </w:r>
      <w:r w:rsidRPr="002A793E">
        <w:rPr>
          <w:rFonts w:ascii="Times New Roman" w:hAnsi="Times New Roman" w:cs="Times New Roman"/>
          <w:sz w:val="28"/>
          <w:szCs w:val="28"/>
          <w:lang w:val="es-ES"/>
        </w:rPr>
        <w:t>. A juicio del demandante, esa situación supone</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 xml:space="preserve">una afectación intensa </w:t>
      </w:r>
      <w:r w:rsidRPr="002A793E">
        <w:rPr>
          <w:rFonts w:ascii="Times New Roman" w:hAnsi="Times New Roman" w:cs="Times New Roman"/>
          <w:sz w:val="28"/>
          <w:szCs w:val="28"/>
          <w:lang w:val="es-ES"/>
        </w:rPr>
        <w:t xml:space="preserve">y desproporcionada </w:t>
      </w:r>
      <w:r w:rsidRPr="002A793E">
        <w:rPr>
          <w:rFonts w:ascii="Times New Roman" w:hAnsi="Times New Roman" w:cs="Times New Roman"/>
          <w:sz w:val="28"/>
          <w:szCs w:val="28"/>
          <w:lang w:val="es-ES"/>
        </w:rPr>
        <w:t xml:space="preserve">del derecho de propiedad, del acceso a la administración de justicia y de </w:t>
      </w:r>
      <w:r w:rsidRPr="002A793E">
        <w:rPr>
          <w:rFonts w:ascii="Times New Roman" w:hAnsi="Times New Roman" w:cs="Times New Roman"/>
          <w:sz w:val="28"/>
          <w:szCs w:val="28"/>
          <w:lang w:val="es-ES"/>
        </w:rPr>
        <w:t>un recurso judicial efectivo, con impacto en sujetos de especial protección constitucio</w:t>
      </w:r>
      <w:r w:rsidRPr="002A793E">
        <w:rPr>
          <w:rFonts w:ascii="Times New Roman" w:hAnsi="Times New Roman" w:cs="Times New Roman"/>
          <w:sz w:val="28"/>
          <w:szCs w:val="28"/>
          <w:lang w:val="es-ES"/>
        </w:rPr>
        <w:t>nal como los campesinos.</w:t>
      </w:r>
    </w:p>
    <w:p w:rsidR="00C21AA5" w:rsidRPr="002A793E" w:rsidRDefault="002A793E" w:rsidP="00C21AA5">
      <w:pPr>
        <w:pStyle w:val="Prrafodelista"/>
        <w:rPr>
          <w:rFonts w:ascii="Times New Roman" w:hAnsi="Times New Roman" w:cs="Times New Roman"/>
          <w:color w:val="000000" w:themeColor="text1"/>
          <w:sz w:val="28"/>
          <w:szCs w:val="28"/>
          <w:lang w:val="es-ES"/>
        </w:rPr>
      </w:pPr>
    </w:p>
    <w:p w:rsidR="00C21AA5" w:rsidRPr="002A793E" w:rsidRDefault="002A793E" w:rsidP="006920B1">
      <w:pPr>
        <w:pStyle w:val="Prrafodelista"/>
        <w:numPr>
          <w:ilvl w:val="0"/>
          <w:numId w:val="2"/>
        </w:numPr>
        <w:ind w:left="0" w:firstLine="0"/>
        <w:rPr>
          <w:rFonts w:ascii="Times New Roman" w:hAnsi="Times New Roman" w:cs="Times New Roman"/>
          <w:sz w:val="28"/>
          <w:szCs w:val="28"/>
          <w:lang w:val="es-ES"/>
        </w:rPr>
      </w:pPr>
      <w:r w:rsidRPr="002A793E">
        <w:rPr>
          <w:rFonts w:ascii="Times New Roman" w:hAnsi="Times New Roman" w:cs="Times New Roman"/>
          <w:color w:val="000000" w:themeColor="text1"/>
          <w:sz w:val="28"/>
          <w:szCs w:val="28"/>
          <w:lang w:val="es-ES"/>
        </w:rPr>
        <w:t xml:space="preserve">En el </w:t>
      </w:r>
      <w:r w:rsidRPr="002A793E">
        <w:rPr>
          <w:rFonts w:ascii="Times New Roman" w:hAnsi="Times New Roman" w:cs="Times New Roman"/>
          <w:b/>
          <w:color w:val="000000" w:themeColor="text1"/>
          <w:sz w:val="28"/>
          <w:szCs w:val="28"/>
          <w:lang w:val="es-ES"/>
        </w:rPr>
        <w:t>cargo cuarto</w:t>
      </w:r>
      <w:r w:rsidRPr="002A793E">
        <w:rPr>
          <w:rFonts w:ascii="Times New Roman" w:hAnsi="Times New Roman" w:cs="Times New Roman"/>
          <w:color w:val="000000" w:themeColor="text1"/>
          <w:sz w:val="28"/>
          <w:szCs w:val="28"/>
          <w:lang w:val="es-ES"/>
        </w:rPr>
        <w:t xml:space="preserve">, el actor planteó la </w:t>
      </w:r>
      <w:r w:rsidRPr="002A793E">
        <w:rPr>
          <w:rFonts w:ascii="Times New Roman" w:hAnsi="Times New Roman" w:cs="Times New Roman"/>
          <w:b/>
          <w:bCs/>
          <w:color w:val="000000" w:themeColor="text1"/>
          <w:sz w:val="28"/>
          <w:szCs w:val="28"/>
          <w:lang w:val="es-ES"/>
        </w:rPr>
        <w:t xml:space="preserve">violación del principio de progresividad </w:t>
      </w:r>
      <w:r w:rsidRPr="002A793E">
        <w:rPr>
          <w:rFonts w:ascii="Times New Roman" w:hAnsi="Times New Roman" w:cs="Times New Roman"/>
          <w:b/>
          <w:bCs/>
          <w:color w:val="000000" w:themeColor="text1"/>
          <w:sz w:val="28"/>
          <w:szCs w:val="28"/>
          <w:lang w:val="es-ES"/>
        </w:rPr>
        <w:t>y la prohibición de regresividad</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artículo 2.1 del </w:t>
      </w:r>
      <w:r w:rsidRPr="002A793E">
        <w:rPr>
          <w:rFonts w:ascii="Times New Roman" w:hAnsi="Times New Roman" w:cs="Times New Roman"/>
          <w:color w:val="000000" w:themeColor="text1"/>
          <w:sz w:val="28"/>
          <w:szCs w:val="28"/>
          <w:lang w:val="es-ES"/>
        </w:rPr>
        <w:t>Pacto Internacional de Derechos Económicos Sociales y Culturales, en adelante PIDESC;</w:t>
      </w:r>
      <w:r w:rsidRPr="002A793E">
        <w:rPr>
          <w:rFonts w:ascii="Times New Roman" w:hAnsi="Times New Roman" w:cs="Times New Roman"/>
          <w:color w:val="000000" w:themeColor="text1"/>
          <w:sz w:val="28"/>
          <w:szCs w:val="28"/>
          <w:lang w:val="es-ES"/>
        </w:rPr>
        <w:t xml:space="preserve"> artículo 1 del Protocolo Adicional a la CADH</w:t>
      </w:r>
      <w:r w:rsidRPr="002A793E">
        <w:rPr>
          <w:rFonts w:ascii="Times New Roman" w:hAnsi="Times New Roman" w:cs="Times New Roman"/>
          <w:color w:val="000000" w:themeColor="text1"/>
          <w:sz w:val="28"/>
          <w:szCs w:val="28"/>
          <w:lang w:val="es-ES"/>
        </w:rPr>
        <w:t xml:space="preserve">, en adelante </w:t>
      </w:r>
      <w:r w:rsidRPr="002A793E">
        <w:rPr>
          <w:rFonts w:ascii="Times New Roman" w:hAnsi="Times New Roman" w:cs="Times New Roman"/>
          <w:color w:val="000000" w:themeColor="text1"/>
          <w:sz w:val="28"/>
          <w:szCs w:val="28"/>
          <w:lang w:val="es-ES"/>
        </w:rPr>
        <w:t>Protocolo de San Salvador</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y artículo 26 de la CADH</w:t>
      </w:r>
      <w:r w:rsidRPr="002A793E">
        <w:rPr>
          <w:rFonts w:ascii="Times New Roman" w:hAnsi="Times New Roman" w:cs="Times New Roman"/>
          <w:color w:val="000000" w:themeColor="text1"/>
          <w:sz w:val="28"/>
          <w:szCs w:val="28"/>
          <w:lang w:val="es-ES"/>
        </w:rPr>
        <w:t xml:space="preserve">). El </w:t>
      </w:r>
      <w:r w:rsidRPr="002A793E">
        <w:rPr>
          <w:rFonts w:ascii="Times New Roman" w:hAnsi="Times New Roman" w:cs="Times New Roman"/>
          <w:color w:val="000000" w:themeColor="text1"/>
          <w:sz w:val="28"/>
          <w:szCs w:val="28"/>
          <w:lang w:val="es-ES"/>
        </w:rPr>
        <w:t xml:space="preserve">demandante </w:t>
      </w:r>
      <w:r w:rsidRPr="002A793E">
        <w:rPr>
          <w:rFonts w:ascii="Times New Roman" w:hAnsi="Times New Roman" w:cs="Times New Roman"/>
          <w:color w:val="000000" w:themeColor="text1"/>
          <w:sz w:val="28"/>
          <w:szCs w:val="28"/>
          <w:lang w:val="es-ES"/>
        </w:rPr>
        <w:t>señaló que la e</w:t>
      </w:r>
      <w:r w:rsidRPr="002A793E">
        <w:rPr>
          <w:rFonts w:ascii="Times New Roman" w:hAnsi="Times New Roman" w:cs="Times New Roman"/>
          <w:color w:val="000000" w:themeColor="text1"/>
          <w:sz w:val="28"/>
          <w:szCs w:val="28"/>
          <w:lang w:val="es-ES"/>
        </w:rPr>
        <w:t>liminación de la fase judicial para algunos procesos constituye</w:t>
      </w:r>
      <w:r w:rsidRPr="002A793E">
        <w:rPr>
          <w:rFonts w:ascii="Times New Roman" w:hAnsi="Times New Roman" w:cs="Times New Roman"/>
          <w:sz w:val="28"/>
          <w:szCs w:val="28"/>
          <w:lang w:val="es-ES"/>
        </w:rPr>
        <w:t xml:space="preserve"> una medida regresiva en relación con la protección </w:t>
      </w:r>
      <w:r w:rsidRPr="002A793E">
        <w:rPr>
          <w:rFonts w:ascii="Times New Roman" w:hAnsi="Times New Roman" w:cs="Times New Roman"/>
          <w:sz w:val="28"/>
          <w:szCs w:val="28"/>
          <w:lang w:val="es-ES"/>
        </w:rPr>
        <w:t>del derecho a la propiedad privada, pues reduce un estándar de protección que estaba previst</w:t>
      </w:r>
      <w:r w:rsidRPr="002A793E">
        <w:rPr>
          <w:rFonts w:ascii="Times New Roman" w:hAnsi="Times New Roman" w:cs="Times New Roman"/>
          <w:sz w:val="28"/>
          <w:szCs w:val="28"/>
          <w:lang w:val="es-ES"/>
        </w:rPr>
        <w:t>o</w:t>
      </w:r>
      <w:r w:rsidRPr="002A793E">
        <w:rPr>
          <w:rFonts w:ascii="Times New Roman" w:hAnsi="Times New Roman" w:cs="Times New Roman"/>
          <w:sz w:val="28"/>
          <w:szCs w:val="28"/>
          <w:lang w:val="es-ES"/>
        </w:rPr>
        <w:t xml:space="preserve"> en el Decreto Ley 902 de 2017, </w:t>
      </w:r>
      <w:r w:rsidRPr="002A793E">
        <w:rPr>
          <w:rFonts w:ascii="Times New Roman" w:hAnsi="Times New Roman" w:cs="Times New Roman"/>
          <w:sz w:val="28"/>
          <w:szCs w:val="28"/>
          <w:lang w:val="es-ES"/>
        </w:rPr>
        <w:t>el cual</w:t>
      </w:r>
      <w:r w:rsidRPr="002A793E">
        <w:rPr>
          <w:rFonts w:ascii="Times New Roman" w:hAnsi="Times New Roman" w:cs="Times New Roman"/>
          <w:sz w:val="28"/>
          <w:szCs w:val="28"/>
          <w:lang w:val="es-ES"/>
        </w:rPr>
        <w:t xml:space="preserve"> establecía una reserva judicial en relación con la afectación de la propiedad privada en el marco de los procesos de ordena</w:t>
      </w:r>
      <w:r w:rsidRPr="002A793E">
        <w:rPr>
          <w:rFonts w:ascii="Times New Roman" w:hAnsi="Times New Roman" w:cs="Times New Roman"/>
          <w:sz w:val="28"/>
          <w:szCs w:val="28"/>
          <w:lang w:val="es-ES"/>
        </w:rPr>
        <w:t>miento territorial. El actor agregó que este retroceso no supera un test de regresividad</w:t>
      </w:r>
      <w:r w:rsidRPr="002A793E">
        <w:rPr>
          <w:rStyle w:val="Refdenotaalpie"/>
          <w:rFonts w:ascii="Times New Roman" w:hAnsi="Times New Roman" w:cs="Times New Roman"/>
          <w:sz w:val="28"/>
          <w:szCs w:val="28"/>
          <w:lang w:val="es-ES"/>
        </w:rPr>
        <w:footnoteReference w:id="22"/>
      </w:r>
      <w:r w:rsidRPr="002A793E">
        <w:rPr>
          <w:rFonts w:ascii="Times New Roman" w:hAnsi="Times New Roman" w:cs="Times New Roman"/>
          <w:sz w:val="28"/>
          <w:szCs w:val="28"/>
          <w:lang w:val="es-ES"/>
        </w:rPr>
        <w:t>.</w:t>
      </w:r>
    </w:p>
    <w:p w:rsidR="007A2154" w:rsidRPr="002A793E" w:rsidRDefault="002A793E" w:rsidP="004B7603">
      <w:pPr>
        <w:pStyle w:val="Prrafodelista"/>
        <w:ind w:left="0"/>
        <w:rPr>
          <w:rFonts w:ascii="Times New Roman" w:eastAsia="Times New Roman" w:hAnsi="Times New Roman" w:cs="Times New Roman"/>
          <w:color w:val="000000" w:themeColor="text1"/>
          <w:sz w:val="28"/>
          <w:szCs w:val="28"/>
          <w:lang w:val="es-ES" w:eastAsia="es-MX"/>
        </w:rPr>
      </w:pPr>
    </w:p>
    <w:p w:rsidR="00EE7A55" w:rsidRPr="002A793E" w:rsidRDefault="002A793E" w:rsidP="00EE7A55">
      <w:pPr>
        <w:pStyle w:val="Prrafodelista"/>
        <w:numPr>
          <w:ilvl w:val="0"/>
          <w:numId w:val="1"/>
        </w:numPr>
        <w:rPr>
          <w:rFonts w:ascii="Times New Roman" w:eastAsia="Times New Roman" w:hAnsi="Times New Roman" w:cs="Times New Roman"/>
          <w:b/>
          <w:bCs/>
          <w:color w:val="000000" w:themeColor="text1"/>
          <w:sz w:val="28"/>
          <w:szCs w:val="28"/>
          <w:lang w:val="es-ES" w:eastAsia="es-MX"/>
        </w:rPr>
      </w:pPr>
      <w:r w:rsidRPr="002A793E">
        <w:rPr>
          <w:rFonts w:ascii="Times New Roman" w:hAnsi="Times New Roman" w:cs="Times New Roman"/>
          <w:b/>
          <w:bCs/>
          <w:color w:val="000000" w:themeColor="text1"/>
          <w:sz w:val="28"/>
          <w:szCs w:val="28"/>
          <w:lang w:val="es-ES"/>
        </w:rPr>
        <w:t>INTERVENCIONES</w:t>
      </w:r>
    </w:p>
    <w:p w:rsidR="00301654" w:rsidRPr="002A793E" w:rsidRDefault="002A793E" w:rsidP="004B7603">
      <w:pPr>
        <w:pStyle w:val="Prrafodelista"/>
        <w:ind w:left="0"/>
        <w:rPr>
          <w:rFonts w:ascii="Times New Roman" w:eastAsia="Times New Roman" w:hAnsi="Times New Roman" w:cs="Times New Roman"/>
          <w:b/>
          <w:bCs/>
          <w:color w:val="000000" w:themeColor="text1"/>
          <w:sz w:val="28"/>
          <w:szCs w:val="28"/>
          <w:lang w:val="es-ES" w:eastAsia="es-MX"/>
        </w:rPr>
      </w:pPr>
    </w:p>
    <w:p w:rsidR="007A2154" w:rsidRPr="002A793E" w:rsidRDefault="002A793E" w:rsidP="007632E8">
      <w:pPr>
        <w:pStyle w:val="Prrafodelista"/>
        <w:numPr>
          <w:ilvl w:val="0"/>
          <w:numId w:val="2"/>
        </w:numPr>
        <w:spacing w:line="300" w:lineRule="atLeast"/>
        <w:ind w:left="0" w:firstLine="0"/>
        <w:rPr>
          <w:rFonts w:ascii="Times New Roman" w:hAnsi="Times New Roman" w:cs="Times New Roman"/>
          <w:sz w:val="28"/>
          <w:szCs w:val="20"/>
          <w:lang w:val="es-ES"/>
        </w:rPr>
      </w:pPr>
      <w:r w:rsidRPr="002A793E">
        <w:rPr>
          <w:rFonts w:ascii="Times New Roman" w:eastAsia="Candara" w:hAnsi="Times New Roman" w:cs="Times New Roman"/>
          <w:sz w:val="28"/>
          <w:szCs w:val="28"/>
          <w:lang w:val="es-ES"/>
        </w:rPr>
        <w:t>Dentro del término de fijación en lista y en el marco de los artículos 7, 11 y 13 del Decreto 2067 de 1991 se recibieron cuatro intervenciones ciudadanas y siete conceptos de entidades públicas y organizaciones privadas invitadas. A continuación, se identi</w:t>
      </w:r>
      <w:r w:rsidRPr="002A793E">
        <w:rPr>
          <w:rFonts w:ascii="Times New Roman" w:eastAsia="Candara" w:hAnsi="Times New Roman" w:cs="Times New Roman"/>
          <w:sz w:val="28"/>
          <w:szCs w:val="28"/>
          <w:lang w:val="es-ES"/>
        </w:rPr>
        <w:t xml:space="preserve">ficarán los conceptos e intervenciones en el orden en que fueron presentadas. </w:t>
      </w:r>
    </w:p>
    <w:p w:rsidR="00287E71" w:rsidRPr="002A793E" w:rsidRDefault="002A793E" w:rsidP="00287E71">
      <w:pPr>
        <w:pStyle w:val="Prrafodelista"/>
        <w:spacing w:line="300" w:lineRule="atLeast"/>
        <w:ind w:left="0"/>
        <w:rPr>
          <w:rFonts w:ascii="Times New Roman" w:hAnsi="Times New Roman" w:cs="Times New Roman"/>
          <w:sz w:val="28"/>
          <w:szCs w:val="20"/>
          <w:lang w:val="es-ES"/>
        </w:rPr>
      </w:pPr>
    </w:p>
    <w:tbl>
      <w:tblPr>
        <w:tblStyle w:val="Tablaconcuadrcula"/>
        <w:tblW w:w="8931" w:type="dxa"/>
        <w:tblInd w:w="-5" w:type="dxa"/>
        <w:tblLook w:val="04A0" w:firstRow="1" w:lastRow="0" w:firstColumn="1" w:lastColumn="0" w:noHBand="0" w:noVBand="1"/>
      </w:tblPr>
      <w:tblGrid>
        <w:gridCol w:w="567"/>
        <w:gridCol w:w="4820"/>
        <w:gridCol w:w="3544"/>
      </w:tblGrid>
      <w:tr w:rsidR="00352823" w:rsidRPr="002A793E" w:rsidTr="007A2154">
        <w:tc>
          <w:tcPr>
            <w:tcW w:w="567" w:type="dxa"/>
            <w:shd w:val="clear" w:color="auto" w:fill="E7E6E6" w:themeFill="background2"/>
          </w:tcPr>
          <w:p w:rsidR="007A2154" w:rsidRPr="002A793E" w:rsidRDefault="002A793E" w:rsidP="00077C4E">
            <w:pPr>
              <w:spacing w:line="300" w:lineRule="atLeast"/>
              <w:jc w:val="center"/>
              <w:rPr>
                <w:rFonts w:ascii="Times New Roman" w:hAnsi="Times New Roman" w:cs="Times New Roman"/>
                <w:b/>
                <w:bCs/>
                <w:sz w:val="28"/>
                <w:szCs w:val="20"/>
                <w:lang w:val="es-ES"/>
              </w:rPr>
            </w:pPr>
          </w:p>
        </w:tc>
        <w:tc>
          <w:tcPr>
            <w:tcW w:w="4820" w:type="dxa"/>
            <w:shd w:val="clear" w:color="auto" w:fill="E7E6E6" w:themeFill="background2"/>
          </w:tcPr>
          <w:p w:rsidR="007A2154" w:rsidRPr="002A793E" w:rsidRDefault="002A793E" w:rsidP="00077C4E">
            <w:pPr>
              <w:spacing w:line="300" w:lineRule="atLeast"/>
              <w:jc w:val="center"/>
              <w:rPr>
                <w:rFonts w:ascii="Times New Roman" w:hAnsi="Times New Roman" w:cs="Times New Roman"/>
                <w:b/>
                <w:bCs/>
                <w:sz w:val="28"/>
                <w:szCs w:val="20"/>
                <w:lang w:val="es-ES"/>
              </w:rPr>
            </w:pPr>
            <w:r w:rsidRPr="002A793E">
              <w:rPr>
                <w:rFonts w:ascii="Times New Roman" w:hAnsi="Times New Roman" w:cs="Times New Roman"/>
                <w:b/>
                <w:bCs/>
                <w:sz w:val="28"/>
                <w:szCs w:val="20"/>
                <w:lang w:val="es-ES"/>
              </w:rPr>
              <w:t>INTERVINIENTE</w:t>
            </w:r>
          </w:p>
        </w:tc>
        <w:tc>
          <w:tcPr>
            <w:tcW w:w="3544" w:type="dxa"/>
            <w:shd w:val="clear" w:color="auto" w:fill="E7E6E6" w:themeFill="background2"/>
          </w:tcPr>
          <w:p w:rsidR="007A2154" w:rsidRPr="002A793E" w:rsidRDefault="002A793E" w:rsidP="00077C4E">
            <w:pPr>
              <w:spacing w:line="300" w:lineRule="atLeast"/>
              <w:jc w:val="center"/>
              <w:rPr>
                <w:rFonts w:ascii="Times New Roman" w:hAnsi="Times New Roman" w:cs="Times New Roman"/>
                <w:b/>
                <w:bCs/>
                <w:sz w:val="28"/>
                <w:szCs w:val="20"/>
                <w:lang w:val="es-ES"/>
              </w:rPr>
            </w:pPr>
            <w:r w:rsidRPr="002A793E">
              <w:rPr>
                <w:rFonts w:ascii="Times New Roman" w:hAnsi="Times New Roman" w:cs="Times New Roman"/>
                <w:b/>
                <w:bCs/>
                <w:sz w:val="28"/>
                <w:szCs w:val="20"/>
                <w:lang w:val="es-ES"/>
              </w:rPr>
              <w:t>SOLICITUD</w:t>
            </w:r>
          </w:p>
        </w:tc>
      </w:tr>
      <w:tr w:rsidR="007A2154" w:rsidRPr="002A793E" w:rsidTr="007A2154">
        <w:tc>
          <w:tcPr>
            <w:tcW w:w="567"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1.</w:t>
            </w:r>
          </w:p>
        </w:tc>
        <w:tc>
          <w:tcPr>
            <w:tcW w:w="4820"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Andrés Felipe Cano Sterling, Laura Inés Toro Hernández y Catalina Arce Cano</w:t>
            </w:r>
          </w:p>
        </w:tc>
        <w:tc>
          <w:tcPr>
            <w:tcW w:w="3544"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EXEQUIBILIDAD</w:t>
            </w:r>
          </w:p>
        </w:tc>
      </w:tr>
      <w:tr w:rsidR="00203B51" w:rsidRPr="002A793E" w:rsidTr="007A2154">
        <w:tc>
          <w:tcPr>
            <w:tcW w:w="567" w:type="dxa"/>
          </w:tcPr>
          <w:p w:rsidR="00203B51"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2.</w:t>
            </w:r>
          </w:p>
        </w:tc>
        <w:tc>
          <w:tcPr>
            <w:tcW w:w="4820" w:type="dxa"/>
          </w:tcPr>
          <w:p w:rsidR="00203B51"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Agencia de Defensa Jurídica del Estado y Departamento</w:t>
            </w:r>
            <w:r w:rsidRPr="002A793E">
              <w:rPr>
                <w:rFonts w:ascii="Times New Roman" w:hAnsi="Times New Roman" w:cs="Times New Roman"/>
                <w:sz w:val="28"/>
                <w:szCs w:val="20"/>
                <w:lang w:val="es-ES"/>
              </w:rPr>
              <w:t xml:space="preserve"> Nacional de Planeación</w:t>
            </w:r>
          </w:p>
        </w:tc>
        <w:tc>
          <w:tcPr>
            <w:tcW w:w="3544" w:type="dxa"/>
          </w:tcPr>
          <w:p w:rsidR="00203B51"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EXEQUIBILIDAD</w:t>
            </w:r>
          </w:p>
        </w:tc>
      </w:tr>
      <w:tr w:rsidR="007A2154" w:rsidRPr="002A793E" w:rsidTr="00197BCE">
        <w:trPr>
          <w:trHeight w:val="374"/>
        </w:trPr>
        <w:tc>
          <w:tcPr>
            <w:tcW w:w="567"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3</w:t>
            </w:r>
            <w:r w:rsidRPr="002A793E">
              <w:rPr>
                <w:rFonts w:ascii="Times New Roman" w:hAnsi="Times New Roman" w:cs="Times New Roman"/>
                <w:sz w:val="28"/>
                <w:szCs w:val="20"/>
                <w:lang w:val="es-ES"/>
              </w:rPr>
              <w:t xml:space="preserve">. </w:t>
            </w:r>
          </w:p>
        </w:tc>
        <w:tc>
          <w:tcPr>
            <w:tcW w:w="4820" w:type="dxa"/>
          </w:tcPr>
          <w:p w:rsidR="007A2154" w:rsidRPr="002A793E" w:rsidRDefault="002A793E" w:rsidP="00197BC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Harold Sua Montaña</w:t>
            </w:r>
          </w:p>
        </w:tc>
        <w:tc>
          <w:tcPr>
            <w:tcW w:w="3544"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IN</w:t>
            </w:r>
            <w:r w:rsidRPr="002A793E">
              <w:rPr>
                <w:rFonts w:ascii="Times New Roman" w:hAnsi="Times New Roman" w:cs="Times New Roman"/>
                <w:sz w:val="28"/>
                <w:szCs w:val="20"/>
                <w:lang w:val="es-ES"/>
              </w:rPr>
              <w:t>EXEQUIBILIDAD</w:t>
            </w:r>
            <w:r w:rsidRPr="002A793E">
              <w:rPr>
                <w:rFonts w:ascii="Times New Roman" w:hAnsi="Times New Roman" w:cs="Times New Roman"/>
                <w:sz w:val="28"/>
                <w:szCs w:val="20"/>
                <w:lang w:val="es-ES"/>
              </w:rPr>
              <w:t xml:space="preserve"> (</w:t>
            </w:r>
            <w:r w:rsidRPr="002A793E">
              <w:rPr>
                <w:rFonts w:ascii="Times New Roman" w:hAnsi="Times New Roman" w:cs="Times New Roman"/>
                <w:sz w:val="28"/>
                <w:szCs w:val="20"/>
                <w:lang w:val="es-ES"/>
              </w:rPr>
              <w:t>segundo</w:t>
            </w:r>
            <w:r w:rsidRPr="002A793E">
              <w:rPr>
                <w:rFonts w:ascii="Times New Roman" w:hAnsi="Times New Roman" w:cs="Times New Roman"/>
                <w:sz w:val="28"/>
                <w:szCs w:val="20"/>
                <w:lang w:val="es-ES"/>
              </w:rPr>
              <w:t xml:space="preserve"> </w:t>
            </w:r>
            <w:r w:rsidRPr="002A793E">
              <w:rPr>
                <w:rFonts w:ascii="Times New Roman" w:hAnsi="Times New Roman" w:cs="Times New Roman"/>
                <w:sz w:val="28"/>
                <w:szCs w:val="20"/>
                <w:lang w:val="es-ES"/>
              </w:rPr>
              <w:t>cargo</w:t>
            </w:r>
            <w:r w:rsidRPr="002A793E">
              <w:rPr>
                <w:rFonts w:ascii="Times New Roman" w:hAnsi="Times New Roman" w:cs="Times New Roman"/>
                <w:sz w:val="28"/>
                <w:szCs w:val="20"/>
                <w:lang w:val="es-ES"/>
              </w:rPr>
              <w:t>)</w:t>
            </w:r>
          </w:p>
        </w:tc>
      </w:tr>
      <w:tr w:rsidR="007A2154" w:rsidRPr="002A793E" w:rsidTr="007A2154">
        <w:tc>
          <w:tcPr>
            <w:tcW w:w="567"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4</w:t>
            </w:r>
            <w:r w:rsidRPr="002A793E">
              <w:rPr>
                <w:rFonts w:ascii="Times New Roman" w:hAnsi="Times New Roman" w:cs="Times New Roman"/>
                <w:sz w:val="28"/>
                <w:szCs w:val="20"/>
                <w:lang w:val="es-ES"/>
              </w:rPr>
              <w:t>.</w:t>
            </w:r>
          </w:p>
        </w:tc>
        <w:tc>
          <w:tcPr>
            <w:tcW w:w="4820" w:type="dxa"/>
          </w:tcPr>
          <w:p w:rsidR="007A2154" w:rsidRPr="002A793E" w:rsidRDefault="002A793E" w:rsidP="00197BC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CAMACOL</w:t>
            </w:r>
          </w:p>
        </w:tc>
        <w:tc>
          <w:tcPr>
            <w:tcW w:w="3544" w:type="dxa"/>
          </w:tcPr>
          <w:p w:rsidR="00197BCE"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IN</w:t>
            </w:r>
            <w:r w:rsidRPr="002A793E">
              <w:rPr>
                <w:rFonts w:ascii="Times New Roman" w:hAnsi="Times New Roman" w:cs="Times New Roman"/>
                <w:sz w:val="28"/>
                <w:szCs w:val="20"/>
                <w:lang w:val="es-ES"/>
              </w:rPr>
              <w:t>EXEQUIBILIDAD</w:t>
            </w:r>
            <w:r w:rsidRPr="002A793E">
              <w:rPr>
                <w:rFonts w:ascii="Times New Roman" w:hAnsi="Times New Roman" w:cs="Times New Roman"/>
                <w:sz w:val="28"/>
                <w:szCs w:val="20"/>
                <w:lang w:val="es-ES"/>
              </w:rPr>
              <w:t xml:space="preserve"> (Cuatro cargos) </w:t>
            </w:r>
          </w:p>
        </w:tc>
      </w:tr>
      <w:tr w:rsidR="007A2154" w:rsidRPr="002A793E" w:rsidTr="007A2154">
        <w:tc>
          <w:tcPr>
            <w:tcW w:w="567"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5</w:t>
            </w:r>
            <w:r w:rsidRPr="002A793E">
              <w:rPr>
                <w:rFonts w:ascii="Times New Roman" w:hAnsi="Times New Roman" w:cs="Times New Roman"/>
                <w:sz w:val="28"/>
                <w:szCs w:val="20"/>
                <w:lang w:val="es-ES"/>
              </w:rPr>
              <w:t xml:space="preserve">. </w:t>
            </w:r>
          </w:p>
        </w:tc>
        <w:tc>
          <w:tcPr>
            <w:tcW w:w="4820"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 xml:space="preserve">Nicole Sofía Salamanca Parra </w:t>
            </w:r>
          </w:p>
        </w:tc>
        <w:tc>
          <w:tcPr>
            <w:tcW w:w="3544"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IN</w:t>
            </w:r>
            <w:r w:rsidRPr="002A793E">
              <w:rPr>
                <w:rFonts w:ascii="Times New Roman" w:hAnsi="Times New Roman" w:cs="Times New Roman"/>
                <w:sz w:val="28"/>
                <w:szCs w:val="20"/>
                <w:lang w:val="es-ES"/>
              </w:rPr>
              <w:t>EXEQUIBILIDAD</w:t>
            </w:r>
            <w:r w:rsidRPr="002A793E">
              <w:rPr>
                <w:rFonts w:ascii="Times New Roman" w:hAnsi="Times New Roman" w:cs="Times New Roman"/>
                <w:sz w:val="28"/>
                <w:szCs w:val="20"/>
                <w:lang w:val="es-ES"/>
              </w:rPr>
              <w:t xml:space="preserve"> (Cuatro cargos)</w:t>
            </w:r>
          </w:p>
        </w:tc>
      </w:tr>
      <w:tr w:rsidR="007A2154" w:rsidRPr="002A793E" w:rsidTr="007A2154">
        <w:tc>
          <w:tcPr>
            <w:tcW w:w="567"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6</w:t>
            </w:r>
            <w:r w:rsidRPr="002A793E">
              <w:rPr>
                <w:rFonts w:ascii="Times New Roman" w:hAnsi="Times New Roman" w:cs="Times New Roman"/>
                <w:sz w:val="28"/>
                <w:szCs w:val="20"/>
                <w:lang w:val="es-ES"/>
              </w:rPr>
              <w:t>.</w:t>
            </w:r>
          </w:p>
        </w:tc>
        <w:tc>
          <w:tcPr>
            <w:tcW w:w="4820" w:type="dxa"/>
            <w:shd w:val="clear" w:color="auto" w:fill="auto"/>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Ministerio de Agricultura y Desarrollo Rural</w:t>
            </w:r>
          </w:p>
        </w:tc>
        <w:tc>
          <w:tcPr>
            <w:tcW w:w="3544" w:type="dxa"/>
            <w:shd w:val="clear" w:color="auto" w:fill="auto"/>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E</w:t>
            </w:r>
            <w:r w:rsidRPr="002A793E">
              <w:rPr>
                <w:rFonts w:ascii="Times New Roman" w:hAnsi="Times New Roman" w:cs="Times New Roman"/>
                <w:sz w:val="28"/>
                <w:szCs w:val="20"/>
                <w:lang w:val="es-ES"/>
              </w:rPr>
              <w:t>XEQUIBILIDAD</w:t>
            </w:r>
          </w:p>
        </w:tc>
      </w:tr>
      <w:tr w:rsidR="007A2154" w:rsidRPr="002A793E" w:rsidTr="000524A9">
        <w:trPr>
          <w:trHeight w:val="356"/>
        </w:trPr>
        <w:tc>
          <w:tcPr>
            <w:tcW w:w="567" w:type="dxa"/>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7</w:t>
            </w:r>
            <w:r w:rsidRPr="002A793E">
              <w:rPr>
                <w:rFonts w:ascii="Times New Roman" w:hAnsi="Times New Roman" w:cs="Times New Roman"/>
                <w:sz w:val="28"/>
                <w:szCs w:val="20"/>
                <w:lang w:val="es-ES"/>
              </w:rPr>
              <w:t>.</w:t>
            </w:r>
          </w:p>
        </w:tc>
        <w:tc>
          <w:tcPr>
            <w:tcW w:w="4820" w:type="dxa"/>
            <w:shd w:val="clear" w:color="auto" w:fill="auto"/>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Leidy Angélica Ramírez Primiciero</w:t>
            </w:r>
          </w:p>
        </w:tc>
        <w:tc>
          <w:tcPr>
            <w:tcW w:w="3544" w:type="dxa"/>
            <w:shd w:val="clear" w:color="auto" w:fill="auto"/>
          </w:tcPr>
          <w:p w:rsidR="007A2154"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IN</w:t>
            </w:r>
            <w:r w:rsidRPr="002A793E">
              <w:rPr>
                <w:rFonts w:ascii="Times New Roman" w:hAnsi="Times New Roman" w:cs="Times New Roman"/>
                <w:sz w:val="28"/>
                <w:szCs w:val="20"/>
                <w:lang w:val="es-ES"/>
              </w:rPr>
              <w:t>EXEQUIBILIDAD</w:t>
            </w:r>
          </w:p>
        </w:tc>
      </w:tr>
      <w:tr w:rsidR="000524A9" w:rsidRPr="002A793E" w:rsidTr="000524A9">
        <w:trPr>
          <w:trHeight w:val="702"/>
        </w:trPr>
        <w:tc>
          <w:tcPr>
            <w:tcW w:w="567" w:type="dxa"/>
          </w:tcPr>
          <w:p w:rsidR="000524A9"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8</w:t>
            </w:r>
            <w:r w:rsidRPr="002A793E">
              <w:rPr>
                <w:rFonts w:ascii="Times New Roman" w:hAnsi="Times New Roman" w:cs="Times New Roman"/>
                <w:sz w:val="28"/>
                <w:szCs w:val="20"/>
                <w:lang w:val="es-ES"/>
              </w:rPr>
              <w:t xml:space="preserve">. </w:t>
            </w:r>
          </w:p>
        </w:tc>
        <w:tc>
          <w:tcPr>
            <w:tcW w:w="4820" w:type="dxa"/>
            <w:shd w:val="clear" w:color="auto" w:fill="auto"/>
          </w:tcPr>
          <w:p w:rsidR="000524A9"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Clínica de Acciones y Litigio de Interés Público (CALIP) de la Universidad Javeriana</w:t>
            </w:r>
          </w:p>
        </w:tc>
        <w:tc>
          <w:tcPr>
            <w:tcW w:w="3544" w:type="dxa"/>
            <w:shd w:val="clear" w:color="auto" w:fill="auto"/>
          </w:tcPr>
          <w:p w:rsidR="000524A9"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INEXEQUIBILIDAD (tercer cargo)</w:t>
            </w:r>
          </w:p>
        </w:tc>
      </w:tr>
      <w:tr w:rsidR="000524A9" w:rsidRPr="002A793E" w:rsidTr="00410AB8">
        <w:trPr>
          <w:trHeight w:val="626"/>
        </w:trPr>
        <w:tc>
          <w:tcPr>
            <w:tcW w:w="567" w:type="dxa"/>
          </w:tcPr>
          <w:p w:rsidR="000524A9"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9</w:t>
            </w:r>
            <w:r w:rsidRPr="002A793E">
              <w:rPr>
                <w:rFonts w:ascii="Times New Roman" w:hAnsi="Times New Roman" w:cs="Times New Roman"/>
                <w:sz w:val="28"/>
                <w:szCs w:val="20"/>
                <w:lang w:val="es-ES"/>
              </w:rPr>
              <w:t>.</w:t>
            </w:r>
          </w:p>
        </w:tc>
        <w:tc>
          <w:tcPr>
            <w:tcW w:w="4820" w:type="dxa"/>
            <w:shd w:val="clear" w:color="auto" w:fill="auto"/>
          </w:tcPr>
          <w:p w:rsidR="000524A9"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 xml:space="preserve">Clínica Jurídica de la Escuela de Derecho y Ciencias Políticas </w:t>
            </w:r>
            <w:r w:rsidRPr="002A793E">
              <w:rPr>
                <w:rFonts w:ascii="Times New Roman" w:hAnsi="Times New Roman" w:cs="Times New Roman"/>
                <w:sz w:val="28"/>
                <w:szCs w:val="20"/>
                <w:lang w:val="es-ES"/>
              </w:rPr>
              <w:t>de la Universidad Pontificia Bolivariana de Medellín</w:t>
            </w:r>
          </w:p>
        </w:tc>
        <w:tc>
          <w:tcPr>
            <w:tcW w:w="3544" w:type="dxa"/>
            <w:shd w:val="clear" w:color="auto" w:fill="auto"/>
          </w:tcPr>
          <w:p w:rsidR="000524A9"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INEXEQUIBILIDAD</w:t>
            </w:r>
            <w:r w:rsidRPr="002A793E">
              <w:rPr>
                <w:rFonts w:ascii="Times New Roman" w:hAnsi="Times New Roman" w:cs="Times New Roman"/>
                <w:sz w:val="28"/>
                <w:szCs w:val="20"/>
                <w:lang w:val="es-ES"/>
              </w:rPr>
              <w:t xml:space="preserve"> (</w:t>
            </w:r>
            <w:r w:rsidRPr="002A793E">
              <w:rPr>
                <w:rFonts w:ascii="Times New Roman" w:hAnsi="Times New Roman" w:cs="Times New Roman"/>
                <w:sz w:val="28"/>
                <w:szCs w:val="20"/>
                <w:lang w:val="es-ES"/>
              </w:rPr>
              <w:t xml:space="preserve">cargos </w:t>
            </w:r>
            <w:r w:rsidRPr="002A793E">
              <w:rPr>
                <w:rFonts w:ascii="Times New Roman" w:hAnsi="Times New Roman" w:cs="Times New Roman"/>
                <w:sz w:val="28"/>
                <w:szCs w:val="20"/>
                <w:lang w:val="es-ES"/>
              </w:rPr>
              <w:t>prime</w:t>
            </w:r>
            <w:r w:rsidRPr="002A793E">
              <w:rPr>
                <w:rFonts w:ascii="Times New Roman" w:hAnsi="Times New Roman" w:cs="Times New Roman"/>
                <w:sz w:val="28"/>
                <w:szCs w:val="20"/>
                <w:lang w:val="es-ES"/>
              </w:rPr>
              <w:t>ro y</w:t>
            </w:r>
            <w:r w:rsidRPr="002A793E">
              <w:rPr>
                <w:rFonts w:ascii="Times New Roman" w:hAnsi="Times New Roman" w:cs="Times New Roman"/>
                <w:sz w:val="28"/>
                <w:szCs w:val="20"/>
                <w:lang w:val="es-ES"/>
              </w:rPr>
              <w:t xml:space="preserve"> segundo)</w:t>
            </w:r>
          </w:p>
        </w:tc>
      </w:tr>
      <w:tr w:rsidR="00557305" w:rsidRPr="002A793E" w:rsidTr="00410AB8">
        <w:trPr>
          <w:trHeight w:val="626"/>
        </w:trPr>
        <w:tc>
          <w:tcPr>
            <w:tcW w:w="567" w:type="dxa"/>
          </w:tcPr>
          <w:p w:rsidR="00557305"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10</w:t>
            </w:r>
            <w:r w:rsidRPr="002A793E">
              <w:rPr>
                <w:rFonts w:ascii="Times New Roman" w:hAnsi="Times New Roman" w:cs="Times New Roman"/>
                <w:sz w:val="28"/>
                <w:szCs w:val="20"/>
                <w:lang w:val="es-ES"/>
              </w:rPr>
              <w:t xml:space="preserve">. </w:t>
            </w:r>
          </w:p>
        </w:tc>
        <w:tc>
          <w:tcPr>
            <w:tcW w:w="4820" w:type="dxa"/>
            <w:shd w:val="clear" w:color="auto" w:fill="auto"/>
          </w:tcPr>
          <w:p w:rsidR="00557305" w:rsidRPr="002A793E" w:rsidRDefault="002A793E" w:rsidP="00197BC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Observatorio de Intervención Ciudadana Constitucional de la Universidad Libre de Bogotá</w:t>
            </w:r>
          </w:p>
          <w:p w:rsidR="00557305" w:rsidRPr="002A793E" w:rsidRDefault="002A793E" w:rsidP="00077C4E">
            <w:pPr>
              <w:spacing w:line="300" w:lineRule="atLeast"/>
              <w:rPr>
                <w:rFonts w:ascii="Times New Roman" w:hAnsi="Times New Roman" w:cs="Times New Roman"/>
                <w:sz w:val="28"/>
                <w:szCs w:val="20"/>
                <w:lang w:val="es-ES"/>
              </w:rPr>
            </w:pPr>
          </w:p>
        </w:tc>
        <w:tc>
          <w:tcPr>
            <w:tcW w:w="3544" w:type="dxa"/>
            <w:shd w:val="clear" w:color="auto" w:fill="auto"/>
          </w:tcPr>
          <w:p w:rsidR="00557305"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EXEQUIBILIDAD (cargos tercero y cuarto)</w:t>
            </w:r>
          </w:p>
        </w:tc>
      </w:tr>
      <w:tr w:rsidR="00557305" w:rsidRPr="002A793E" w:rsidTr="00197BCE">
        <w:trPr>
          <w:trHeight w:val="404"/>
        </w:trPr>
        <w:tc>
          <w:tcPr>
            <w:tcW w:w="567" w:type="dxa"/>
          </w:tcPr>
          <w:p w:rsidR="00557305"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1</w:t>
            </w:r>
            <w:r w:rsidRPr="002A793E">
              <w:rPr>
                <w:rFonts w:ascii="Times New Roman" w:hAnsi="Times New Roman" w:cs="Times New Roman"/>
                <w:sz w:val="28"/>
                <w:szCs w:val="20"/>
                <w:lang w:val="es-ES"/>
              </w:rPr>
              <w:t>1</w:t>
            </w:r>
            <w:r w:rsidRPr="002A793E">
              <w:rPr>
                <w:rFonts w:ascii="Times New Roman" w:hAnsi="Times New Roman" w:cs="Times New Roman"/>
                <w:sz w:val="28"/>
                <w:szCs w:val="20"/>
                <w:lang w:val="es-ES"/>
              </w:rPr>
              <w:t xml:space="preserve">. </w:t>
            </w:r>
          </w:p>
        </w:tc>
        <w:tc>
          <w:tcPr>
            <w:tcW w:w="4820" w:type="dxa"/>
            <w:shd w:val="clear" w:color="auto" w:fill="auto"/>
          </w:tcPr>
          <w:p w:rsidR="00557305" w:rsidRPr="002A793E" w:rsidRDefault="002A793E" w:rsidP="00197BC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 xml:space="preserve">Presidencia de la </w:t>
            </w:r>
            <w:r w:rsidRPr="002A793E">
              <w:rPr>
                <w:rFonts w:ascii="Times New Roman" w:hAnsi="Times New Roman" w:cs="Times New Roman"/>
                <w:sz w:val="28"/>
                <w:szCs w:val="20"/>
                <w:lang w:val="es-ES"/>
              </w:rPr>
              <w:t>República</w:t>
            </w:r>
          </w:p>
        </w:tc>
        <w:tc>
          <w:tcPr>
            <w:tcW w:w="3544" w:type="dxa"/>
            <w:shd w:val="clear" w:color="auto" w:fill="auto"/>
          </w:tcPr>
          <w:p w:rsidR="008D1949"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 xml:space="preserve">INHIBICIÓN </w:t>
            </w:r>
          </w:p>
          <w:p w:rsidR="00557305" w:rsidRPr="002A793E" w:rsidRDefault="002A793E" w:rsidP="00077C4E">
            <w:pPr>
              <w:spacing w:line="300" w:lineRule="atLeast"/>
              <w:rPr>
                <w:rFonts w:ascii="Times New Roman" w:hAnsi="Times New Roman" w:cs="Times New Roman"/>
                <w:sz w:val="28"/>
                <w:szCs w:val="20"/>
                <w:lang w:val="es-ES"/>
              </w:rPr>
            </w:pPr>
            <w:r w:rsidRPr="002A793E">
              <w:rPr>
                <w:rFonts w:ascii="Times New Roman" w:hAnsi="Times New Roman" w:cs="Times New Roman"/>
                <w:sz w:val="28"/>
                <w:szCs w:val="20"/>
                <w:lang w:val="es-ES"/>
              </w:rPr>
              <w:t>EXEQUIBILIDAD</w:t>
            </w:r>
            <w:r w:rsidRPr="002A793E">
              <w:rPr>
                <w:rFonts w:ascii="Times New Roman" w:hAnsi="Times New Roman" w:cs="Times New Roman"/>
                <w:sz w:val="28"/>
                <w:szCs w:val="20"/>
                <w:lang w:val="es-ES"/>
              </w:rPr>
              <w:t xml:space="preserve"> (</w:t>
            </w:r>
            <w:r w:rsidRPr="002A793E">
              <w:rPr>
                <w:rFonts w:ascii="Times New Roman" w:hAnsi="Times New Roman" w:cs="Times New Roman"/>
                <w:sz w:val="28"/>
                <w:szCs w:val="20"/>
                <w:lang w:val="es-ES"/>
              </w:rPr>
              <w:t>cuatro</w:t>
            </w:r>
            <w:r w:rsidRPr="002A793E">
              <w:rPr>
                <w:rFonts w:ascii="Times New Roman" w:hAnsi="Times New Roman" w:cs="Times New Roman"/>
                <w:sz w:val="28"/>
                <w:szCs w:val="20"/>
                <w:lang w:val="es-ES"/>
              </w:rPr>
              <w:t xml:space="preserve"> cargos)</w:t>
            </w:r>
          </w:p>
        </w:tc>
      </w:tr>
    </w:tbl>
    <w:p w:rsidR="00153DD1" w:rsidRPr="002A793E" w:rsidRDefault="002A793E" w:rsidP="00153DD1">
      <w:pPr>
        <w:pStyle w:val="Prrafodelista"/>
        <w:spacing w:line="360" w:lineRule="atLeast"/>
        <w:rPr>
          <w:rFonts w:ascii="Times New Roman" w:hAnsi="Times New Roman" w:cs="Times New Roman"/>
          <w:b/>
          <w:sz w:val="28"/>
          <w:szCs w:val="28"/>
          <w:lang w:val="es-ES"/>
        </w:rPr>
      </w:pPr>
    </w:p>
    <w:p w:rsidR="007A2154" w:rsidRPr="002A793E" w:rsidRDefault="002A793E" w:rsidP="00EE7A55">
      <w:pPr>
        <w:pStyle w:val="Prrafodelista"/>
        <w:numPr>
          <w:ilvl w:val="1"/>
          <w:numId w:val="4"/>
        </w:numPr>
        <w:spacing w:line="360" w:lineRule="atLeast"/>
        <w:rPr>
          <w:rFonts w:ascii="Times New Roman" w:hAnsi="Times New Roman" w:cs="Times New Roman"/>
          <w:b/>
          <w:sz w:val="28"/>
          <w:szCs w:val="28"/>
          <w:lang w:val="es-ES"/>
        </w:rPr>
      </w:pPr>
      <w:r w:rsidRPr="002A793E">
        <w:rPr>
          <w:rFonts w:ascii="Times New Roman" w:hAnsi="Times New Roman" w:cs="Times New Roman"/>
          <w:b/>
          <w:sz w:val="28"/>
          <w:szCs w:val="28"/>
          <w:lang w:val="es-ES"/>
        </w:rPr>
        <w:t>A</w:t>
      </w:r>
      <w:r w:rsidRPr="002A793E">
        <w:rPr>
          <w:rFonts w:ascii="Times New Roman" w:hAnsi="Times New Roman" w:cs="Times New Roman"/>
          <w:b/>
          <w:sz w:val="28"/>
          <w:szCs w:val="28"/>
          <w:lang w:val="es-ES"/>
        </w:rPr>
        <w:t>ndrés Felipe Cano Sterling, Laura Inés Toro Hernández y Catalina Arce Cano</w:t>
      </w:r>
    </w:p>
    <w:p w:rsidR="007A2154" w:rsidRPr="002A793E" w:rsidRDefault="002A793E" w:rsidP="007A2154">
      <w:pPr>
        <w:pStyle w:val="Prrafodelista"/>
        <w:ind w:left="0"/>
        <w:rPr>
          <w:rFonts w:ascii="Times New Roman" w:eastAsia="Calibri" w:hAnsi="Times New Roman" w:cs="Times New Roman"/>
          <w:b/>
          <w:bCs/>
          <w:color w:val="000000" w:themeColor="text1"/>
          <w:sz w:val="28"/>
          <w:szCs w:val="28"/>
          <w:u w:color="000000"/>
          <w:lang w:val="es-ES"/>
        </w:rPr>
      </w:pPr>
    </w:p>
    <w:p w:rsidR="00410AB8" w:rsidRPr="002A793E" w:rsidRDefault="002A793E" w:rsidP="00AE3769">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Los ciudadanos solicitaron a la Corte declarar la exequibilidad de la disposición acusada. En </w:t>
      </w:r>
      <w:r w:rsidRPr="002A793E">
        <w:rPr>
          <w:rFonts w:ascii="Times New Roman" w:eastAsia="Calibri" w:hAnsi="Times New Roman" w:cs="Times New Roman"/>
          <w:color w:val="000000" w:themeColor="text1"/>
          <w:sz w:val="28"/>
          <w:szCs w:val="28"/>
          <w:lang w:val="es-ES"/>
        </w:rPr>
        <w:t xml:space="preserve">el escrito, los intervinientes </w:t>
      </w:r>
      <w:r w:rsidRPr="002A793E">
        <w:rPr>
          <w:rFonts w:ascii="Times New Roman" w:eastAsia="Calibri" w:hAnsi="Times New Roman" w:cs="Times New Roman"/>
          <w:color w:val="000000" w:themeColor="text1"/>
          <w:sz w:val="28"/>
          <w:szCs w:val="28"/>
          <w:lang w:val="es-ES"/>
        </w:rPr>
        <w:t>plantearon que la Ley del P</w:t>
      </w:r>
      <w:r w:rsidRPr="002A793E">
        <w:rPr>
          <w:rFonts w:ascii="Times New Roman" w:eastAsia="Calibri" w:hAnsi="Times New Roman" w:cs="Times New Roman"/>
          <w:color w:val="000000" w:themeColor="text1"/>
          <w:sz w:val="28"/>
          <w:szCs w:val="28"/>
          <w:lang w:val="es-ES"/>
        </w:rPr>
        <w:t xml:space="preserve">ND </w:t>
      </w:r>
      <w:r w:rsidRPr="002A793E">
        <w:rPr>
          <w:rFonts w:ascii="Times New Roman" w:eastAsia="Calibri" w:hAnsi="Times New Roman" w:cs="Times New Roman"/>
          <w:color w:val="000000" w:themeColor="text1"/>
          <w:sz w:val="28"/>
          <w:szCs w:val="28"/>
          <w:lang w:val="es-ES"/>
        </w:rPr>
        <w:t xml:space="preserve">no está supeditada a disposiciones de rango legal como el Decreto Ley 902 de 2017 y que </w:t>
      </w:r>
      <w:r w:rsidRPr="002A793E">
        <w:rPr>
          <w:rFonts w:ascii="Times New Roman" w:eastAsia="Calibri" w:hAnsi="Times New Roman" w:cs="Times New Roman"/>
          <w:color w:val="000000" w:themeColor="text1"/>
          <w:sz w:val="28"/>
          <w:szCs w:val="28"/>
          <w:lang w:val="es-ES"/>
        </w:rPr>
        <w:t xml:space="preserve">en atención </w:t>
      </w:r>
      <w:r w:rsidRPr="002A793E">
        <w:rPr>
          <w:rFonts w:ascii="Times New Roman" w:eastAsia="Calibri" w:hAnsi="Times New Roman" w:cs="Times New Roman"/>
          <w:color w:val="000000" w:themeColor="text1"/>
          <w:sz w:val="28"/>
          <w:szCs w:val="28"/>
          <w:lang w:val="es-ES"/>
        </w:rPr>
        <w:t xml:space="preserve">al carácter multitemático del PND, la ley que lo aprueba puede modificar aquellas disposiciones legales que se consideren </w:t>
      </w:r>
      <w:r w:rsidRPr="002A793E">
        <w:rPr>
          <w:rFonts w:ascii="Times New Roman" w:eastAsia="Calibri" w:hAnsi="Times New Roman" w:cs="Times New Roman"/>
          <w:color w:val="000000" w:themeColor="text1"/>
          <w:sz w:val="28"/>
          <w:szCs w:val="28"/>
          <w:lang w:val="es-ES"/>
        </w:rPr>
        <w:t>pertinentes para el cumplimiento de los objetivo</w:t>
      </w:r>
      <w:r w:rsidRPr="002A793E">
        <w:rPr>
          <w:rFonts w:ascii="Times New Roman" w:eastAsia="Calibri" w:hAnsi="Times New Roman" w:cs="Times New Roman"/>
          <w:color w:val="000000" w:themeColor="text1"/>
          <w:sz w:val="28"/>
          <w:szCs w:val="28"/>
          <w:lang w:val="es-ES"/>
        </w:rPr>
        <w:t>s</w:t>
      </w:r>
      <w:r w:rsidRPr="002A793E">
        <w:rPr>
          <w:rFonts w:ascii="Times New Roman" w:eastAsia="Calibri" w:hAnsi="Times New Roman" w:cs="Times New Roman"/>
          <w:color w:val="000000" w:themeColor="text1"/>
          <w:sz w:val="28"/>
          <w:szCs w:val="28"/>
          <w:lang w:val="es-ES"/>
        </w:rPr>
        <w:t xml:space="preserve"> y finalidades del PND. En consecuencia, la Ley 2294 de 2023 podía modificar aspectos del PUO regulado en el Decreto Ley 902 de 2017.</w:t>
      </w:r>
    </w:p>
    <w:p w:rsidR="00EA02B7" w:rsidRPr="002A793E" w:rsidRDefault="002A793E" w:rsidP="00AE3769">
      <w:pPr>
        <w:rPr>
          <w:rFonts w:ascii="Times New Roman" w:eastAsia="Calibri" w:hAnsi="Times New Roman" w:cs="Times New Roman"/>
          <w:color w:val="000000" w:themeColor="text1"/>
          <w:sz w:val="28"/>
          <w:szCs w:val="28"/>
          <w:lang w:val="es-ES"/>
        </w:rPr>
      </w:pPr>
    </w:p>
    <w:p w:rsidR="00A40484" w:rsidRPr="002A793E" w:rsidRDefault="002A793E" w:rsidP="001A5AE3">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De otra parte, los ciudadanos indicaron que el análisis efectuado en la </w:t>
      </w:r>
      <w:r w:rsidRPr="002A793E">
        <w:rPr>
          <w:rFonts w:ascii="Times New Roman" w:eastAsia="Calibri" w:hAnsi="Times New Roman" w:cs="Times New Roman"/>
          <w:color w:val="000000" w:themeColor="text1"/>
          <w:sz w:val="28"/>
          <w:szCs w:val="28"/>
          <w:lang w:val="es-ES"/>
        </w:rPr>
        <w:t xml:space="preserve">demanda no es pertinente </w:t>
      </w:r>
      <w:r w:rsidRPr="002A793E">
        <w:rPr>
          <w:rFonts w:ascii="Times New Roman" w:eastAsia="Calibri" w:hAnsi="Times New Roman" w:cs="Times New Roman"/>
          <w:color w:val="000000" w:themeColor="text1"/>
          <w:sz w:val="28"/>
          <w:szCs w:val="28"/>
          <w:lang w:val="es-ES"/>
        </w:rPr>
        <w:t>ni</w:t>
      </w:r>
      <w:r w:rsidRPr="002A793E">
        <w:rPr>
          <w:rFonts w:ascii="Times New Roman" w:eastAsia="Calibri" w:hAnsi="Times New Roman" w:cs="Times New Roman"/>
          <w:color w:val="000000" w:themeColor="text1"/>
          <w:sz w:val="28"/>
          <w:szCs w:val="28"/>
          <w:lang w:val="es-ES"/>
        </w:rPr>
        <w:t xml:space="preserve"> suficiente, pues</w:t>
      </w:r>
      <w:r w:rsidRPr="002A793E">
        <w:rPr>
          <w:rFonts w:ascii="Times New Roman" w:eastAsia="Calibri" w:hAnsi="Times New Roman" w:cs="Times New Roman"/>
          <w:color w:val="000000" w:themeColor="text1"/>
          <w:sz w:val="28"/>
          <w:szCs w:val="28"/>
          <w:lang w:val="es-ES"/>
        </w:rPr>
        <w:t xml:space="preserve">: (i) </w:t>
      </w:r>
      <w:r w:rsidRPr="002A793E">
        <w:rPr>
          <w:rFonts w:ascii="Times New Roman" w:eastAsia="Calibri" w:hAnsi="Times New Roman" w:cs="Times New Roman"/>
          <w:color w:val="000000" w:themeColor="text1"/>
          <w:sz w:val="28"/>
          <w:szCs w:val="28"/>
          <w:lang w:val="es-ES"/>
        </w:rPr>
        <w:t>cuestiona la eliminación de la intervención judicial a pesar de que la disposición acusada establece la procedencia de la acción de nulidad agraria</w:t>
      </w:r>
      <w:r w:rsidRPr="002A793E">
        <w:rPr>
          <w:rFonts w:ascii="Times New Roman" w:eastAsia="Calibri" w:hAnsi="Times New Roman" w:cs="Times New Roman"/>
          <w:color w:val="000000" w:themeColor="text1"/>
          <w:sz w:val="28"/>
          <w:szCs w:val="28"/>
          <w:lang w:val="es-ES"/>
        </w:rPr>
        <w:t xml:space="preserve">; (ii) </w:t>
      </w:r>
      <w:r w:rsidRPr="002A793E">
        <w:rPr>
          <w:rFonts w:ascii="Times New Roman" w:eastAsia="Calibri" w:hAnsi="Times New Roman" w:cs="Times New Roman"/>
          <w:color w:val="000000" w:themeColor="text1"/>
          <w:sz w:val="28"/>
          <w:szCs w:val="28"/>
          <w:lang w:val="es-ES"/>
        </w:rPr>
        <w:t xml:space="preserve">hace referencia a algunos apartes del documento </w:t>
      </w:r>
      <w:r w:rsidRPr="002A793E">
        <w:rPr>
          <w:rFonts w:ascii="Times New Roman" w:eastAsia="Calibri" w:hAnsi="Times New Roman" w:cs="Times New Roman"/>
          <w:color w:val="000000" w:themeColor="text1"/>
          <w:sz w:val="28"/>
          <w:szCs w:val="28"/>
          <w:lang w:val="es-ES"/>
        </w:rPr>
        <w:t>Base</w:t>
      </w:r>
      <w:r w:rsidRPr="002A793E">
        <w:rPr>
          <w:rFonts w:ascii="Times New Roman" w:eastAsia="Calibri" w:hAnsi="Times New Roman" w:cs="Times New Roman"/>
          <w:color w:val="000000" w:themeColor="text1"/>
          <w:sz w:val="28"/>
          <w:szCs w:val="28"/>
          <w:lang w:val="es-ES"/>
        </w:rPr>
        <w:t>s del PND</w:t>
      </w:r>
      <w:r w:rsidRPr="002A793E">
        <w:rPr>
          <w:rFonts w:ascii="Times New Roman" w:eastAsia="Calibri" w:hAnsi="Times New Roman" w:cs="Times New Roman"/>
          <w:color w:val="000000" w:themeColor="text1"/>
          <w:sz w:val="28"/>
          <w:szCs w:val="28"/>
          <w:lang w:val="es-ES"/>
        </w:rPr>
        <w:t xml:space="preserve"> relacionados con la disposición acusada y luego concluye que el artículo 61 demandado contradice las </w:t>
      </w:r>
      <w:r w:rsidRPr="002A793E">
        <w:rPr>
          <w:rFonts w:ascii="Times New Roman" w:eastAsia="Calibri" w:hAnsi="Times New Roman" w:cs="Times New Roman"/>
          <w:color w:val="000000" w:themeColor="text1"/>
          <w:sz w:val="28"/>
          <w:szCs w:val="28"/>
          <w:lang w:val="es-ES"/>
        </w:rPr>
        <w:t>B</w:t>
      </w:r>
      <w:r w:rsidRPr="002A793E">
        <w:rPr>
          <w:rFonts w:ascii="Times New Roman" w:eastAsia="Calibri" w:hAnsi="Times New Roman" w:cs="Times New Roman"/>
          <w:color w:val="000000" w:themeColor="text1"/>
          <w:sz w:val="28"/>
          <w:szCs w:val="28"/>
          <w:lang w:val="es-ES"/>
        </w:rPr>
        <w:t xml:space="preserve">ases del PND por la supuesta eliminación de la intervención judicial, a partir de una </w:t>
      </w:r>
      <w:r w:rsidRPr="002A793E">
        <w:rPr>
          <w:rFonts w:ascii="Times New Roman" w:eastAsia="Calibri" w:hAnsi="Times New Roman" w:cs="Times New Roman"/>
          <w:color w:val="000000" w:themeColor="text1"/>
          <w:sz w:val="28"/>
          <w:szCs w:val="28"/>
          <w:lang w:val="es-ES"/>
        </w:rPr>
        <w:t>lectura de la norma que</w:t>
      </w:r>
      <w:r w:rsidRPr="002A793E">
        <w:rPr>
          <w:rFonts w:ascii="Times New Roman" w:eastAsia="Calibri" w:hAnsi="Times New Roman" w:cs="Times New Roman"/>
          <w:color w:val="000000" w:themeColor="text1"/>
          <w:sz w:val="28"/>
          <w:szCs w:val="28"/>
          <w:lang w:val="es-ES"/>
        </w:rPr>
        <w:t xml:space="preserve"> para los intervinientes es subjeti</w:t>
      </w:r>
      <w:r w:rsidRPr="002A793E">
        <w:rPr>
          <w:rFonts w:ascii="Times New Roman" w:eastAsia="Calibri" w:hAnsi="Times New Roman" w:cs="Times New Roman"/>
          <w:color w:val="000000" w:themeColor="text1"/>
          <w:sz w:val="28"/>
          <w:szCs w:val="28"/>
          <w:lang w:val="es-ES"/>
        </w:rPr>
        <w:t xml:space="preserve">va y desconoce </w:t>
      </w:r>
      <w:r w:rsidRPr="002A793E">
        <w:rPr>
          <w:rFonts w:ascii="Times New Roman" w:eastAsia="Calibri" w:hAnsi="Times New Roman" w:cs="Times New Roman"/>
          <w:color w:val="000000" w:themeColor="text1"/>
          <w:sz w:val="28"/>
          <w:szCs w:val="28"/>
          <w:lang w:val="es-ES"/>
        </w:rPr>
        <w:t>su</w:t>
      </w:r>
      <w:r w:rsidRPr="002A793E">
        <w:rPr>
          <w:rFonts w:ascii="Times New Roman" w:eastAsia="Calibri" w:hAnsi="Times New Roman" w:cs="Times New Roman"/>
          <w:color w:val="000000" w:themeColor="text1"/>
          <w:sz w:val="28"/>
          <w:szCs w:val="28"/>
          <w:lang w:val="es-ES"/>
        </w:rPr>
        <w:t xml:space="preserve"> tenor</w:t>
      </w:r>
      <w:r w:rsidRPr="002A793E">
        <w:rPr>
          <w:rFonts w:ascii="Times New Roman" w:eastAsia="Calibri" w:hAnsi="Times New Roman" w:cs="Times New Roman"/>
          <w:color w:val="000000" w:themeColor="text1"/>
          <w:sz w:val="28"/>
          <w:szCs w:val="28"/>
          <w:lang w:val="es-ES"/>
        </w:rPr>
        <w:t xml:space="preserve"> literal</w:t>
      </w:r>
      <w:r w:rsidRPr="002A793E">
        <w:rPr>
          <w:rFonts w:ascii="Times New Roman" w:eastAsia="Calibri" w:hAnsi="Times New Roman" w:cs="Times New Roman"/>
          <w:color w:val="000000" w:themeColor="text1"/>
          <w:sz w:val="28"/>
          <w:szCs w:val="28"/>
          <w:lang w:val="es-ES"/>
        </w:rPr>
        <w:t>. Finalmente, los ciudadanos señalan que en el marco del control abstracto de constitucionalidad no proceden evaluaciones de eficiencia ni la determinación del mejor diseño procesal como lo plantea el demandante.</w:t>
      </w:r>
    </w:p>
    <w:p w:rsidR="00A40484" w:rsidRPr="002A793E" w:rsidRDefault="002A793E" w:rsidP="00A40484">
      <w:pPr>
        <w:pStyle w:val="Prrafodelista"/>
        <w:rPr>
          <w:rFonts w:ascii="Times New Roman" w:eastAsia="Calibri" w:hAnsi="Times New Roman" w:cs="Times New Roman"/>
          <w:color w:val="000000" w:themeColor="text1"/>
          <w:sz w:val="28"/>
          <w:szCs w:val="28"/>
          <w:lang w:val="es-ES"/>
        </w:rPr>
      </w:pPr>
    </w:p>
    <w:p w:rsidR="00A40484" w:rsidRPr="002A793E" w:rsidRDefault="002A793E" w:rsidP="00EE7A55">
      <w:pPr>
        <w:pStyle w:val="Prrafodelista"/>
        <w:numPr>
          <w:ilvl w:val="1"/>
          <w:numId w:val="4"/>
        </w:numPr>
        <w:spacing w:line="360" w:lineRule="atLeast"/>
        <w:rPr>
          <w:rFonts w:ascii="Times New Roman" w:eastAsia="Calibri" w:hAnsi="Times New Roman" w:cs="Times New Roman"/>
          <w:b/>
          <w:color w:val="000000" w:themeColor="text1"/>
          <w:sz w:val="28"/>
          <w:szCs w:val="28"/>
          <w:lang w:val="es-ES"/>
        </w:rPr>
      </w:pPr>
      <w:r w:rsidRPr="002A793E">
        <w:rPr>
          <w:rFonts w:ascii="Times New Roman" w:eastAsia="Calibri" w:hAnsi="Times New Roman" w:cs="Times New Roman"/>
          <w:b/>
          <w:color w:val="000000" w:themeColor="text1"/>
          <w:sz w:val="28"/>
          <w:szCs w:val="28"/>
          <w:lang w:val="es-ES"/>
        </w:rPr>
        <w:t xml:space="preserve">Harold </w:t>
      </w:r>
      <w:r w:rsidRPr="002A793E">
        <w:rPr>
          <w:rFonts w:ascii="Times New Roman" w:hAnsi="Times New Roman" w:cs="Times New Roman"/>
          <w:b/>
          <w:sz w:val="28"/>
          <w:szCs w:val="28"/>
          <w:lang w:val="es-ES"/>
        </w:rPr>
        <w:t>Sua</w:t>
      </w:r>
      <w:r w:rsidRPr="002A793E">
        <w:rPr>
          <w:rFonts w:ascii="Times New Roman" w:eastAsia="Calibri" w:hAnsi="Times New Roman" w:cs="Times New Roman"/>
          <w:b/>
          <w:color w:val="000000" w:themeColor="text1"/>
          <w:sz w:val="28"/>
          <w:szCs w:val="28"/>
          <w:lang w:val="es-ES"/>
        </w:rPr>
        <w:t xml:space="preserve"> Montaña</w:t>
      </w:r>
    </w:p>
    <w:p w:rsidR="00A40484" w:rsidRPr="002A793E" w:rsidRDefault="002A793E" w:rsidP="00A40484">
      <w:pPr>
        <w:pStyle w:val="Prrafodelista"/>
        <w:rPr>
          <w:rFonts w:ascii="Times New Roman" w:eastAsia="Calibri" w:hAnsi="Times New Roman" w:cs="Times New Roman"/>
          <w:color w:val="000000" w:themeColor="text1"/>
          <w:sz w:val="28"/>
          <w:szCs w:val="28"/>
          <w:lang w:val="es-ES"/>
        </w:rPr>
      </w:pPr>
    </w:p>
    <w:p w:rsidR="00A40484" w:rsidRPr="002A793E" w:rsidRDefault="002A793E" w:rsidP="001A5AE3">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El ciudadano, de forma inicial, hizo referencia a las intervenciones que ha </w:t>
      </w:r>
      <w:r w:rsidRPr="002A793E">
        <w:rPr>
          <w:rFonts w:ascii="Times New Roman" w:eastAsia="Calibri" w:hAnsi="Times New Roman" w:cs="Times New Roman"/>
          <w:color w:val="000000" w:themeColor="text1"/>
          <w:sz w:val="28"/>
          <w:szCs w:val="28"/>
          <w:lang w:val="es-ES"/>
        </w:rPr>
        <w:t>presentado</w:t>
      </w:r>
      <w:r w:rsidRPr="002A793E">
        <w:rPr>
          <w:rFonts w:ascii="Times New Roman" w:eastAsia="Calibri" w:hAnsi="Times New Roman" w:cs="Times New Roman"/>
          <w:color w:val="000000" w:themeColor="text1"/>
          <w:sz w:val="28"/>
          <w:szCs w:val="28"/>
          <w:lang w:val="es-ES"/>
        </w:rPr>
        <w:t xml:space="preserve"> en otros procesos que se adelantan ante esta corporación y luego precisó que la </w:t>
      </w:r>
      <w:r w:rsidRPr="002A793E">
        <w:rPr>
          <w:rFonts w:ascii="Times New Roman" w:eastAsia="Calibri" w:hAnsi="Times New Roman" w:cs="Times New Roman"/>
          <w:color w:val="000000" w:themeColor="text1"/>
          <w:sz w:val="28"/>
          <w:szCs w:val="28"/>
          <w:lang w:val="es-ES"/>
        </w:rPr>
        <w:t>calidad de conjuez del demandante Humberto Sierra Porto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afecta la imparcialidad</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en</w:t>
      </w:r>
      <w:r w:rsidRPr="002A793E">
        <w:rPr>
          <w:rFonts w:ascii="Times New Roman" w:eastAsia="Calibri" w:hAnsi="Times New Roman" w:cs="Times New Roman"/>
          <w:color w:val="000000" w:themeColor="text1"/>
          <w:sz w:val="28"/>
          <w:szCs w:val="28"/>
          <w:lang w:val="es-ES"/>
        </w:rPr>
        <w:t xml:space="preserve"> la decisión que debe ser adoptada por la Corte Constitucional. </w:t>
      </w:r>
    </w:p>
    <w:p w:rsidR="00D442CC" w:rsidRPr="002A793E" w:rsidRDefault="002A793E" w:rsidP="00D442CC">
      <w:pPr>
        <w:pStyle w:val="Prrafodelista"/>
        <w:ind w:left="0"/>
        <w:rPr>
          <w:rFonts w:ascii="Times New Roman" w:eastAsia="Calibri" w:hAnsi="Times New Roman" w:cs="Times New Roman"/>
          <w:color w:val="000000" w:themeColor="text1"/>
          <w:sz w:val="28"/>
          <w:szCs w:val="28"/>
          <w:lang w:val="es-ES"/>
        </w:rPr>
      </w:pPr>
    </w:p>
    <w:p w:rsidR="008C5044" w:rsidRPr="002A793E" w:rsidRDefault="002A793E" w:rsidP="001A5AE3">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Luego, en relación con los cargos de inconstitucionalidad</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el interviniente indicó que no se violó el principio de publicidad, debido a que </w:t>
      </w:r>
      <w:r w:rsidRPr="002A793E">
        <w:rPr>
          <w:rFonts w:ascii="Times New Roman" w:eastAsia="Calibri" w:hAnsi="Times New Roman" w:cs="Times New Roman"/>
          <w:color w:val="000000" w:themeColor="text1"/>
          <w:sz w:val="28"/>
          <w:szCs w:val="28"/>
          <w:lang w:val="es-ES"/>
        </w:rPr>
        <w:t xml:space="preserve">el artículo 61 proviene de proposiciones </w:t>
      </w:r>
      <w:r w:rsidRPr="002A793E">
        <w:rPr>
          <w:rFonts w:ascii="Times New Roman" w:eastAsia="Calibri" w:hAnsi="Times New Roman" w:cs="Times New Roman"/>
          <w:color w:val="000000" w:themeColor="text1"/>
          <w:sz w:val="28"/>
          <w:szCs w:val="28"/>
          <w:lang w:val="es-ES"/>
        </w:rPr>
        <w:t xml:space="preserve">a los artículos 5 y 55 </w:t>
      </w:r>
      <w:r w:rsidRPr="002A793E">
        <w:rPr>
          <w:rFonts w:ascii="Times New Roman" w:eastAsia="Calibri" w:hAnsi="Times New Roman" w:cs="Times New Roman"/>
          <w:color w:val="000000" w:themeColor="text1"/>
          <w:sz w:val="28"/>
          <w:szCs w:val="28"/>
          <w:lang w:val="es-ES"/>
        </w:rPr>
        <w:t xml:space="preserve">avaladas en el informe de ponencia publicado el 26 de abril de 2023. </w:t>
      </w:r>
      <w:r w:rsidRPr="002A793E">
        <w:rPr>
          <w:rFonts w:ascii="Times New Roman" w:eastAsia="Calibri" w:hAnsi="Times New Roman" w:cs="Times New Roman"/>
          <w:color w:val="000000" w:themeColor="text1"/>
          <w:sz w:val="28"/>
          <w:szCs w:val="28"/>
          <w:lang w:val="es-ES"/>
        </w:rPr>
        <w:t>Sobre dicho informe,</w:t>
      </w:r>
      <w:r w:rsidRPr="002A793E">
        <w:rPr>
          <w:rFonts w:ascii="Times New Roman" w:eastAsia="Calibri" w:hAnsi="Times New Roman" w:cs="Times New Roman"/>
          <w:color w:val="000000" w:themeColor="text1"/>
          <w:sz w:val="28"/>
          <w:szCs w:val="28"/>
          <w:lang w:val="es-ES"/>
        </w:rPr>
        <w:t xml:space="preserve"> la presidencia de</w:t>
      </w:r>
      <w:r w:rsidRPr="002A793E">
        <w:rPr>
          <w:rFonts w:ascii="Times New Roman" w:eastAsia="Calibri" w:hAnsi="Times New Roman" w:cs="Times New Roman"/>
          <w:color w:val="000000" w:themeColor="text1"/>
          <w:sz w:val="28"/>
          <w:szCs w:val="28"/>
          <w:lang w:val="es-ES"/>
        </w:rPr>
        <w:t>l</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S</w:t>
      </w:r>
      <w:r w:rsidRPr="002A793E">
        <w:rPr>
          <w:rFonts w:ascii="Times New Roman" w:eastAsia="Calibri" w:hAnsi="Times New Roman" w:cs="Times New Roman"/>
          <w:color w:val="000000" w:themeColor="text1"/>
          <w:sz w:val="28"/>
          <w:szCs w:val="28"/>
          <w:lang w:val="es-ES"/>
        </w:rPr>
        <w:t xml:space="preserve">enado </w:t>
      </w:r>
      <w:r w:rsidRPr="002A793E">
        <w:rPr>
          <w:rFonts w:ascii="Times New Roman" w:eastAsia="Calibri" w:hAnsi="Times New Roman" w:cs="Times New Roman"/>
          <w:color w:val="000000" w:themeColor="text1"/>
          <w:sz w:val="28"/>
          <w:szCs w:val="28"/>
          <w:lang w:val="es-ES"/>
        </w:rPr>
        <w:t xml:space="preserve">explicó sucintamente, en atención a la solicitud del senador Fabián Díaz, </w:t>
      </w:r>
      <w:r w:rsidRPr="002A793E">
        <w:rPr>
          <w:rFonts w:ascii="Times New Roman" w:eastAsia="Calibri" w:hAnsi="Times New Roman" w:cs="Times New Roman"/>
          <w:color w:val="000000" w:themeColor="text1"/>
          <w:sz w:val="28"/>
          <w:szCs w:val="28"/>
          <w:lang w:val="es-ES"/>
        </w:rPr>
        <w:t xml:space="preserve">las proposiciones </w:t>
      </w:r>
      <w:r w:rsidRPr="002A793E">
        <w:rPr>
          <w:rFonts w:ascii="Times New Roman" w:eastAsia="Calibri" w:hAnsi="Times New Roman" w:cs="Times New Roman"/>
          <w:color w:val="000000" w:themeColor="text1"/>
          <w:sz w:val="28"/>
          <w:szCs w:val="28"/>
          <w:lang w:val="es-ES"/>
        </w:rPr>
        <w:t>avaladas</w:t>
      </w:r>
      <w:r w:rsidRPr="002A793E">
        <w:rPr>
          <w:rFonts w:ascii="Times New Roman" w:eastAsia="Calibri" w:hAnsi="Times New Roman" w:cs="Times New Roman"/>
          <w:color w:val="000000" w:themeColor="text1"/>
          <w:sz w:val="28"/>
          <w:szCs w:val="28"/>
          <w:lang w:val="es-ES"/>
        </w:rPr>
        <w:t>. Adicionalmente,</w:t>
      </w:r>
      <w:r w:rsidRPr="002A793E">
        <w:rPr>
          <w:rFonts w:ascii="Times New Roman" w:eastAsia="Calibri" w:hAnsi="Times New Roman" w:cs="Times New Roman"/>
          <w:color w:val="000000" w:themeColor="text1"/>
          <w:sz w:val="28"/>
          <w:szCs w:val="28"/>
          <w:lang w:val="es-ES"/>
        </w:rPr>
        <w:t xml:space="preserve"> el ciudadano destacó que </w:t>
      </w:r>
      <w:r w:rsidRPr="002A793E">
        <w:rPr>
          <w:rFonts w:ascii="Times New Roman" w:eastAsia="Calibri" w:hAnsi="Times New Roman" w:cs="Times New Roman"/>
          <w:color w:val="000000" w:themeColor="text1"/>
          <w:sz w:val="28"/>
          <w:szCs w:val="28"/>
          <w:lang w:val="es-ES"/>
        </w:rPr>
        <w:t xml:space="preserve">ningún congresista solicitó moción de orden por falta de discusión previa cuando </w:t>
      </w:r>
      <w:r w:rsidRPr="002A793E">
        <w:rPr>
          <w:rFonts w:ascii="Times New Roman" w:eastAsia="Calibri" w:hAnsi="Times New Roman" w:cs="Times New Roman"/>
          <w:color w:val="000000" w:themeColor="text1"/>
          <w:sz w:val="28"/>
          <w:szCs w:val="28"/>
          <w:lang w:val="es-ES"/>
        </w:rPr>
        <w:t>se acogió</w:t>
      </w:r>
      <w:r w:rsidRPr="002A793E">
        <w:rPr>
          <w:rFonts w:ascii="Times New Roman" w:eastAsia="Calibri" w:hAnsi="Times New Roman" w:cs="Times New Roman"/>
          <w:color w:val="000000" w:themeColor="text1"/>
          <w:sz w:val="28"/>
          <w:szCs w:val="28"/>
          <w:lang w:val="es-ES"/>
        </w:rPr>
        <w:t xml:space="preserve"> la solicitud </w:t>
      </w:r>
      <w:r w:rsidRPr="002A793E">
        <w:rPr>
          <w:rFonts w:ascii="Times New Roman" w:eastAsia="Calibri" w:hAnsi="Times New Roman" w:cs="Times New Roman"/>
          <w:color w:val="000000" w:themeColor="text1"/>
          <w:sz w:val="28"/>
          <w:szCs w:val="28"/>
          <w:lang w:val="es-ES"/>
        </w:rPr>
        <w:t xml:space="preserve">del </w:t>
      </w:r>
      <w:r w:rsidRPr="002A793E">
        <w:rPr>
          <w:rFonts w:ascii="Times New Roman" w:eastAsia="Calibri" w:hAnsi="Times New Roman" w:cs="Times New Roman"/>
          <w:color w:val="000000" w:themeColor="text1"/>
          <w:sz w:val="28"/>
          <w:szCs w:val="28"/>
          <w:lang w:val="es-ES"/>
        </w:rPr>
        <w:t>senador Carlos Abraham Jiménez de votar primero dichas proposiciones en vez de las no avaladas</w:t>
      </w:r>
      <w:r w:rsidRPr="002A793E">
        <w:rPr>
          <w:rFonts w:ascii="Times New Roman" w:eastAsia="Calibri" w:hAnsi="Times New Roman" w:cs="Times New Roman"/>
          <w:color w:val="000000" w:themeColor="text1"/>
          <w:sz w:val="28"/>
          <w:szCs w:val="28"/>
          <w:lang w:val="es-ES"/>
        </w:rPr>
        <w:t>. Por lo tanto,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a partir de </w:t>
      </w:r>
      <w:r w:rsidRPr="002A793E">
        <w:rPr>
          <w:rFonts w:ascii="Times New Roman" w:eastAsia="Calibri" w:hAnsi="Times New Roman" w:cs="Times New Roman"/>
          <w:color w:val="000000" w:themeColor="text1"/>
          <w:sz w:val="28"/>
          <w:szCs w:val="28"/>
          <w:lang w:val="es-ES"/>
        </w:rPr>
        <w:t>este procedimiento está satisfecho</w:t>
      </w:r>
      <w:r w:rsidRPr="002A793E">
        <w:rPr>
          <w:rFonts w:ascii="Times New Roman" w:eastAsia="Calibri" w:hAnsi="Times New Roman" w:cs="Times New Roman"/>
          <w:color w:val="000000" w:themeColor="text1"/>
          <w:sz w:val="28"/>
          <w:szCs w:val="28"/>
          <w:lang w:val="es-ES"/>
        </w:rPr>
        <w:t xml:space="preserve"> el principio de publicidad</w:t>
      </w:r>
      <w:r w:rsidRPr="002A793E">
        <w:rPr>
          <w:rFonts w:ascii="Times New Roman" w:eastAsia="Calibri" w:hAnsi="Times New Roman" w:cs="Times New Roman"/>
          <w:color w:val="000000" w:themeColor="text1"/>
          <w:sz w:val="28"/>
          <w:szCs w:val="28"/>
          <w:lang w:val="es-ES"/>
        </w:rPr>
        <w:t>.</w:t>
      </w:r>
    </w:p>
    <w:p w:rsidR="00672EE1" w:rsidRPr="002A793E" w:rsidRDefault="002A793E" w:rsidP="00672EE1">
      <w:pPr>
        <w:pStyle w:val="Prrafodelista"/>
        <w:ind w:left="0"/>
        <w:rPr>
          <w:rFonts w:ascii="Times New Roman" w:eastAsia="Calibri" w:hAnsi="Times New Roman" w:cs="Times New Roman"/>
          <w:color w:val="000000" w:themeColor="text1"/>
          <w:sz w:val="28"/>
          <w:szCs w:val="28"/>
          <w:lang w:val="es-ES"/>
        </w:rPr>
      </w:pPr>
    </w:p>
    <w:p w:rsidR="00A40484" w:rsidRPr="002A793E" w:rsidRDefault="002A793E" w:rsidP="001A5AE3">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Finalmente, el interviniente indicó que la disposición acusada viola el principio de unidad de materia, debido a que prevé una modificación permanente a un procedimiento, el cual excede la vig</w:t>
      </w:r>
      <w:r w:rsidRPr="002A793E">
        <w:rPr>
          <w:rFonts w:ascii="Times New Roman" w:eastAsia="Calibri" w:hAnsi="Times New Roman" w:cs="Times New Roman"/>
          <w:color w:val="000000" w:themeColor="text1"/>
          <w:sz w:val="28"/>
          <w:szCs w:val="28"/>
          <w:lang w:val="es-ES"/>
        </w:rPr>
        <w:t>encia temporal del PND. Igualmente, indicó que la disposición acusada no guarda una relación con la temática del eje transversal del PND 2022-2026 en el que se ubica la norma y que corresponde al ordenamiento del territorio alrededor del agua.</w:t>
      </w:r>
    </w:p>
    <w:p w:rsidR="00672EE1" w:rsidRPr="002A793E" w:rsidRDefault="002A793E" w:rsidP="00C85E8C">
      <w:pPr>
        <w:pStyle w:val="Sinespaciado"/>
        <w:rPr>
          <w:rFonts w:ascii="Times New Roman" w:hAnsi="Times New Roman"/>
          <w:sz w:val="28"/>
          <w:lang w:val="es-ES"/>
        </w:rPr>
      </w:pPr>
    </w:p>
    <w:p w:rsidR="00672EE1" w:rsidRPr="002A793E" w:rsidRDefault="002A793E" w:rsidP="00EE7A55">
      <w:pPr>
        <w:pStyle w:val="Prrafodelista"/>
        <w:numPr>
          <w:ilvl w:val="1"/>
          <w:numId w:val="4"/>
        </w:numPr>
        <w:spacing w:line="360" w:lineRule="atLeast"/>
        <w:rPr>
          <w:rFonts w:ascii="Times New Roman" w:eastAsia="Calibri" w:hAnsi="Times New Roman" w:cs="Times New Roman"/>
          <w:b/>
          <w:color w:val="000000" w:themeColor="text1"/>
          <w:sz w:val="28"/>
          <w:szCs w:val="28"/>
          <w:lang w:val="es-ES"/>
        </w:rPr>
      </w:pPr>
      <w:r w:rsidRPr="002A793E">
        <w:rPr>
          <w:rFonts w:ascii="Times New Roman" w:eastAsia="Calibri" w:hAnsi="Times New Roman" w:cs="Times New Roman"/>
          <w:b/>
          <w:color w:val="000000" w:themeColor="text1"/>
          <w:sz w:val="28"/>
          <w:szCs w:val="28"/>
          <w:lang w:val="es-ES"/>
        </w:rPr>
        <w:t xml:space="preserve">Agencia de </w:t>
      </w:r>
      <w:r w:rsidRPr="002A793E">
        <w:rPr>
          <w:rFonts w:ascii="Times New Roman" w:hAnsi="Times New Roman" w:cs="Times New Roman"/>
          <w:b/>
          <w:sz w:val="28"/>
          <w:szCs w:val="28"/>
          <w:lang w:val="es-ES"/>
        </w:rPr>
        <w:t>Defensa</w:t>
      </w:r>
      <w:r w:rsidRPr="002A793E">
        <w:rPr>
          <w:rFonts w:ascii="Times New Roman" w:eastAsia="Calibri" w:hAnsi="Times New Roman" w:cs="Times New Roman"/>
          <w:b/>
          <w:color w:val="000000" w:themeColor="text1"/>
          <w:sz w:val="28"/>
          <w:szCs w:val="28"/>
          <w:lang w:val="es-ES"/>
        </w:rPr>
        <w:t xml:space="preserve"> Jurídica del Estado y Departamento Nacional de Planeación</w:t>
      </w:r>
    </w:p>
    <w:p w:rsidR="00672EE1" w:rsidRPr="002A793E" w:rsidRDefault="002A793E" w:rsidP="00C85E8C">
      <w:pPr>
        <w:pStyle w:val="Sinespaciado"/>
        <w:rPr>
          <w:rFonts w:ascii="Times New Roman" w:hAnsi="Times New Roman"/>
          <w:sz w:val="28"/>
          <w:lang w:val="es-ES"/>
        </w:rPr>
      </w:pPr>
    </w:p>
    <w:p w:rsidR="00672EE1" w:rsidRPr="002A793E" w:rsidRDefault="002A793E" w:rsidP="001A5AE3">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L</w:t>
      </w:r>
      <w:r w:rsidRPr="002A793E">
        <w:rPr>
          <w:rFonts w:ascii="Times New Roman" w:eastAsia="Calibri" w:hAnsi="Times New Roman" w:cs="Times New Roman"/>
          <w:color w:val="000000" w:themeColor="text1"/>
          <w:sz w:val="28"/>
          <w:szCs w:val="28"/>
          <w:lang w:val="es-ES"/>
        </w:rPr>
        <w:t xml:space="preserve">a Agencia de Defensa Jurídica del Estado y el Departamento Nacional de Planeación presentaron intervención conjunta en la que solicitaron que se declare la </w:t>
      </w:r>
      <w:r w:rsidRPr="002A793E">
        <w:rPr>
          <w:rFonts w:ascii="Times New Roman" w:eastAsia="Calibri" w:hAnsi="Times New Roman" w:cs="Times New Roman"/>
          <w:color w:val="000000" w:themeColor="text1"/>
          <w:sz w:val="28"/>
          <w:szCs w:val="28"/>
          <w:lang w:val="es-ES"/>
        </w:rPr>
        <w:t>e</w:t>
      </w:r>
      <w:r w:rsidRPr="002A793E">
        <w:rPr>
          <w:rFonts w:ascii="Times New Roman" w:eastAsia="Calibri" w:hAnsi="Times New Roman" w:cs="Times New Roman"/>
          <w:color w:val="000000" w:themeColor="text1"/>
          <w:sz w:val="28"/>
          <w:szCs w:val="28"/>
          <w:lang w:val="es-ES"/>
        </w:rPr>
        <w:t>xequibilidad del artículo 61 de</w:t>
      </w:r>
      <w:r w:rsidRPr="002A793E">
        <w:rPr>
          <w:rFonts w:ascii="Times New Roman" w:eastAsia="Calibri" w:hAnsi="Times New Roman" w:cs="Times New Roman"/>
          <w:color w:val="000000" w:themeColor="text1"/>
          <w:sz w:val="28"/>
          <w:szCs w:val="28"/>
          <w:lang w:val="es-ES"/>
        </w:rPr>
        <w:t xml:space="preserve"> la Ley 2294 de 2023.</w:t>
      </w:r>
    </w:p>
    <w:p w:rsidR="00C5796A" w:rsidRPr="002A793E" w:rsidRDefault="002A793E" w:rsidP="007C0CB0">
      <w:pPr>
        <w:pStyle w:val="Prrafodelista"/>
        <w:ind w:left="0"/>
        <w:rPr>
          <w:rFonts w:ascii="Times New Roman" w:eastAsia="Calibri" w:hAnsi="Times New Roman" w:cs="Times New Roman"/>
          <w:color w:val="000000" w:themeColor="text1"/>
          <w:sz w:val="28"/>
          <w:szCs w:val="28"/>
          <w:lang w:val="es-ES"/>
        </w:rPr>
      </w:pPr>
    </w:p>
    <w:p w:rsidR="00CC73B0" w:rsidRPr="002A793E" w:rsidRDefault="002A793E" w:rsidP="00D442CC">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En relación con el </w:t>
      </w:r>
      <w:r w:rsidRPr="002A793E">
        <w:rPr>
          <w:rFonts w:ascii="Times New Roman" w:eastAsia="Calibri" w:hAnsi="Times New Roman" w:cs="Times New Roman"/>
          <w:b/>
          <w:color w:val="000000" w:themeColor="text1"/>
          <w:sz w:val="28"/>
          <w:szCs w:val="28"/>
          <w:lang w:val="es-ES"/>
        </w:rPr>
        <w:t>cargo primero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que planteó la violación del principio de publicidad, las entidades indicaron que la proposición avalada en el debate ante la plenaria del Senado de la República fue conocida por los congresistas a t</w:t>
      </w:r>
      <w:r w:rsidRPr="002A793E">
        <w:rPr>
          <w:rFonts w:ascii="Times New Roman" w:eastAsia="Calibri" w:hAnsi="Times New Roman" w:cs="Times New Roman"/>
          <w:color w:val="000000" w:themeColor="text1"/>
          <w:sz w:val="28"/>
          <w:szCs w:val="28"/>
          <w:lang w:val="es-ES"/>
        </w:rPr>
        <w:t xml:space="preserve">ravés </w:t>
      </w:r>
      <w:r w:rsidRPr="002A793E">
        <w:rPr>
          <w:rFonts w:ascii="Times New Roman" w:eastAsia="Calibri" w:hAnsi="Times New Roman" w:cs="Times New Roman"/>
          <w:color w:val="000000" w:themeColor="text1"/>
          <w:sz w:val="28"/>
          <w:szCs w:val="28"/>
          <w:lang w:val="es-ES"/>
        </w:rPr>
        <w:t xml:space="preserve">de la explicación por parte del presidente del Senado, la exposición de la </w:t>
      </w:r>
      <w:r w:rsidRPr="002A793E">
        <w:rPr>
          <w:rFonts w:ascii="Times New Roman" w:eastAsia="Calibri" w:hAnsi="Times New Roman" w:cs="Times New Roman"/>
          <w:color w:val="000000" w:themeColor="text1"/>
          <w:sz w:val="28"/>
          <w:szCs w:val="28"/>
          <w:lang w:val="es-ES"/>
        </w:rPr>
        <w:t>ministra de agricultura y desarrollo rural</w:t>
      </w:r>
      <w:r w:rsidRPr="002A793E">
        <w:rPr>
          <w:rFonts w:ascii="Times New Roman" w:eastAsia="Calibri" w:hAnsi="Times New Roman" w:cs="Times New Roman"/>
          <w:color w:val="000000" w:themeColor="text1"/>
          <w:sz w:val="28"/>
          <w:szCs w:val="28"/>
          <w:lang w:val="es-ES"/>
        </w:rPr>
        <w:t>, y la publicación en la página web del Senado de la República.</w:t>
      </w:r>
    </w:p>
    <w:p w:rsidR="00CC73B0" w:rsidRPr="002A793E" w:rsidRDefault="002A793E" w:rsidP="00CC73B0">
      <w:pPr>
        <w:pStyle w:val="Prrafodelista"/>
        <w:rPr>
          <w:rFonts w:ascii="Times New Roman" w:eastAsia="Calibri" w:hAnsi="Times New Roman" w:cs="Times New Roman"/>
          <w:color w:val="000000" w:themeColor="text1"/>
          <w:sz w:val="28"/>
          <w:szCs w:val="28"/>
          <w:lang w:val="es-ES"/>
        </w:rPr>
      </w:pPr>
    </w:p>
    <w:p w:rsidR="00A57529" w:rsidRPr="002A793E" w:rsidRDefault="002A793E" w:rsidP="00D442CC">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Con respecto a</w:t>
      </w:r>
      <w:r w:rsidRPr="002A793E">
        <w:rPr>
          <w:rFonts w:ascii="Times New Roman" w:eastAsia="Calibri" w:hAnsi="Times New Roman" w:cs="Times New Roman"/>
          <w:color w:val="000000" w:themeColor="text1"/>
          <w:sz w:val="28"/>
          <w:szCs w:val="28"/>
          <w:lang w:val="es-ES"/>
        </w:rPr>
        <w:t xml:space="preserve">l conocimiento efectivo </w:t>
      </w:r>
      <w:r w:rsidRPr="002A793E">
        <w:rPr>
          <w:rFonts w:ascii="Times New Roman" w:eastAsia="Calibri" w:hAnsi="Times New Roman" w:cs="Times New Roman"/>
          <w:color w:val="000000" w:themeColor="text1"/>
          <w:sz w:val="28"/>
          <w:szCs w:val="28"/>
          <w:lang w:val="es-ES"/>
        </w:rPr>
        <w:t>que tuvieron los congresistas</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sobre </w:t>
      </w:r>
      <w:r w:rsidRPr="002A793E">
        <w:rPr>
          <w:rFonts w:ascii="Times New Roman" w:eastAsia="Calibri" w:hAnsi="Times New Roman" w:cs="Times New Roman"/>
          <w:color w:val="000000" w:themeColor="text1"/>
          <w:sz w:val="28"/>
          <w:szCs w:val="28"/>
          <w:lang w:val="es-ES"/>
        </w:rPr>
        <w:t xml:space="preserve">la proposición aprobada las entidades destacaron </w:t>
      </w:r>
      <w:r w:rsidRPr="002A793E">
        <w:rPr>
          <w:rFonts w:ascii="Times New Roman" w:eastAsia="Calibri" w:hAnsi="Times New Roman" w:cs="Times New Roman"/>
          <w:color w:val="000000" w:themeColor="text1"/>
          <w:sz w:val="28"/>
          <w:szCs w:val="28"/>
          <w:lang w:val="es-ES"/>
        </w:rPr>
        <w:t>varios</w:t>
      </w:r>
      <w:r w:rsidRPr="002A793E">
        <w:rPr>
          <w:rFonts w:ascii="Times New Roman" w:eastAsia="Calibri" w:hAnsi="Times New Roman" w:cs="Times New Roman"/>
          <w:color w:val="000000" w:themeColor="text1"/>
          <w:sz w:val="28"/>
          <w:szCs w:val="28"/>
          <w:lang w:val="es-ES"/>
        </w:rPr>
        <w:t xml:space="preserve"> aspectos</w:t>
      </w:r>
      <w:r w:rsidRPr="002A793E">
        <w:rPr>
          <w:rFonts w:ascii="Times New Roman" w:eastAsia="Calibri" w:hAnsi="Times New Roman" w:cs="Times New Roman"/>
          <w:color w:val="000000" w:themeColor="text1"/>
          <w:sz w:val="28"/>
          <w:szCs w:val="28"/>
          <w:lang w:val="es-ES"/>
        </w:rPr>
        <w:t xml:space="preserve"> puntuales</w:t>
      </w:r>
      <w:r w:rsidRPr="002A793E">
        <w:rPr>
          <w:rFonts w:ascii="Times New Roman" w:eastAsia="Calibri" w:hAnsi="Times New Roman" w:cs="Times New Roman"/>
          <w:color w:val="000000" w:themeColor="text1"/>
          <w:sz w:val="28"/>
          <w:szCs w:val="28"/>
          <w:lang w:val="es-ES"/>
        </w:rPr>
        <w:t xml:space="preserve"> del trámite surtido ante la plenaria del Senado de la República</w:t>
      </w:r>
      <w:r w:rsidRPr="002A793E">
        <w:rPr>
          <w:rFonts w:ascii="Times New Roman" w:eastAsia="Calibri" w:hAnsi="Times New Roman" w:cs="Times New Roman"/>
          <w:color w:val="000000" w:themeColor="text1"/>
          <w:sz w:val="28"/>
          <w:szCs w:val="28"/>
          <w:lang w:val="es-ES"/>
        </w:rPr>
        <w:t xml:space="preserve"> relacionados con la forma en la que se votaron los artículos que incluían las proposiciones avaladas por el Gob</w:t>
      </w:r>
      <w:r w:rsidRPr="002A793E">
        <w:rPr>
          <w:rFonts w:ascii="Times New Roman" w:eastAsia="Calibri" w:hAnsi="Times New Roman" w:cs="Times New Roman"/>
          <w:color w:val="000000" w:themeColor="text1"/>
          <w:sz w:val="28"/>
          <w:szCs w:val="28"/>
          <w:lang w:val="es-ES"/>
        </w:rPr>
        <w:t>ierno nacional, entre los cuales se incluía el entonces artículo 61 de la Ley 2294 de 2023; la explicación de las proposiciones correspondientes y la intervención que hizo la ministra de agricultura el 3 de mayo ante la plenaria del Senado, en la que esa f</w:t>
      </w:r>
      <w:r w:rsidRPr="002A793E">
        <w:rPr>
          <w:rFonts w:ascii="Times New Roman" w:eastAsia="Calibri" w:hAnsi="Times New Roman" w:cs="Times New Roman"/>
          <w:color w:val="000000" w:themeColor="text1"/>
          <w:sz w:val="28"/>
          <w:szCs w:val="28"/>
          <w:lang w:val="es-ES"/>
        </w:rPr>
        <w:t xml:space="preserve">uncionaria se refirió sobre la necesidad de eliminar la etapa judicial en los procedimientos agrarios. </w:t>
      </w:r>
    </w:p>
    <w:p w:rsidR="000507C3" w:rsidRPr="002A793E" w:rsidRDefault="002A793E" w:rsidP="004D2B8E">
      <w:pPr>
        <w:rPr>
          <w:rFonts w:ascii="Times New Roman" w:eastAsia="Calibri" w:hAnsi="Times New Roman" w:cs="Times New Roman"/>
          <w:color w:val="000000" w:themeColor="text1"/>
          <w:sz w:val="28"/>
          <w:szCs w:val="28"/>
          <w:lang w:val="es-ES"/>
        </w:rPr>
      </w:pPr>
    </w:p>
    <w:p w:rsidR="000507C3" w:rsidRPr="002A793E" w:rsidRDefault="002A793E" w:rsidP="001A5AE3">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Así, a partir de las circunstancias descritas, las entidades intervinientes indicaron que se cumplió el principio de publicidad en relación con la prop</w:t>
      </w:r>
      <w:r w:rsidRPr="002A793E">
        <w:rPr>
          <w:rFonts w:ascii="Times New Roman" w:eastAsia="Calibri" w:hAnsi="Times New Roman" w:cs="Times New Roman"/>
          <w:color w:val="000000" w:themeColor="text1"/>
          <w:sz w:val="28"/>
          <w:szCs w:val="28"/>
          <w:lang w:val="es-ES"/>
        </w:rPr>
        <w:t>osición presentada frente a</w:t>
      </w:r>
      <w:r w:rsidRPr="002A793E">
        <w:rPr>
          <w:rFonts w:ascii="Times New Roman" w:eastAsia="Calibri" w:hAnsi="Times New Roman" w:cs="Times New Roman"/>
          <w:color w:val="000000" w:themeColor="text1"/>
          <w:sz w:val="28"/>
          <w:szCs w:val="28"/>
          <w:lang w:val="es-ES"/>
        </w:rPr>
        <w:t xml:space="preserve">l hoy artículo 61 </w:t>
      </w:r>
      <w:r w:rsidRPr="002A793E">
        <w:rPr>
          <w:rFonts w:ascii="Times New Roman" w:eastAsia="Calibri" w:hAnsi="Times New Roman" w:cs="Times New Roman"/>
          <w:color w:val="000000" w:themeColor="text1"/>
          <w:sz w:val="28"/>
          <w:szCs w:val="28"/>
          <w:lang w:val="es-ES"/>
        </w:rPr>
        <w:t>en el trámite ante la plenaria del Senado</w:t>
      </w:r>
      <w:r w:rsidRPr="002A793E">
        <w:rPr>
          <w:rFonts w:ascii="Times New Roman" w:eastAsia="Calibri" w:hAnsi="Times New Roman" w:cs="Times New Roman"/>
          <w:color w:val="000000" w:themeColor="text1"/>
          <w:sz w:val="28"/>
          <w:szCs w:val="28"/>
          <w:lang w:val="es-ES"/>
        </w:rPr>
        <w:t>.</w:t>
      </w:r>
    </w:p>
    <w:p w:rsidR="00A57529" w:rsidRPr="002A793E" w:rsidRDefault="002A793E" w:rsidP="00A57529">
      <w:pPr>
        <w:pStyle w:val="Prrafodelista"/>
        <w:rPr>
          <w:rFonts w:ascii="Times New Roman" w:eastAsia="Calibri" w:hAnsi="Times New Roman" w:cs="Times New Roman"/>
          <w:color w:val="000000" w:themeColor="text1"/>
          <w:sz w:val="28"/>
          <w:szCs w:val="28"/>
          <w:lang w:val="es-ES"/>
        </w:rPr>
      </w:pPr>
    </w:p>
    <w:p w:rsidR="007C0CB0" w:rsidRPr="002A793E" w:rsidRDefault="002A793E" w:rsidP="00F41F46">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Con respecto al </w:t>
      </w:r>
      <w:r w:rsidRPr="002A793E">
        <w:rPr>
          <w:rFonts w:ascii="Times New Roman" w:eastAsia="Calibri" w:hAnsi="Times New Roman" w:cs="Times New Roman"/>
          <w:b/>
          <w:color w:val="000000" w:themeColor="text1"/>
          <w:sz w:val="28"/>
          <w:szCs w:val="28"/>
          <w:lang w:val="es-ES"/>
        </w:rPr>
        <w:t>cargo segundo,</w:t>
      </w:r>
      <w:r w:rsidRPr="002A793E">
        <w:rPr>
          <w:rFonts w:ascii="Times New Roman" w:eastAsia="Calibri" w:hAnsi="Times New Roman" w:cs="Times New Roman"/>
          <w:color w:val="000000" w:themeColor="text1"/>
          <w:sz w:val="28"/>
          <w:szCs w:val="28"/>
          <w:lang w:val="es-ES"/>
        </w:rPr>
        <w:t xml:space="preserve"> que planteó la violación del principio de unidad de materia, las entidades señalaron que la disposición acusada guarda relación directa con elementos definitorios del PND. En concreto, las entidades indicaron que la disposición simplifica el PUO suprimien</w:t>
      </w:r>
      <w:r w:rsidRPr="002A793E">
        <w:rPr>
          <w:rFonts w:ascii="Times New Roman" w:eastAsia="Calibri" w:hAnsi="Times New Roman" w:cs="Times New Roman"/>
          <w:color w:val="000000" w:themeColor="text1"/>
          <w:sz w:val="28"/>
          <w:szCs w:val="28"/>
          <w:lang w:val="es-ES"/>
        </w:rPr>
        <w:t>do la fase judicial en relación con algunos procedimientos</w:t>
      </w:r>
      <w:r w:rsidRPr="002A793E">
        <w:rPr>
          <w:rFonts w:ascii="Times New Roman" w:eastAsia="Calibri" w:hAnsi="Times New Roman" w:cs="Times New Roman"/>
          <w:color w:val="000000" w:themeColor="text1"/>
          <w:sz w:val="28"/>
          <w:szCs w:val="28"/>
          <w:lang w:val="es-ES"/>
        </w:rPr>
        <w:t>, lo cual contribuye a la formalización y entrega de tierras para el cumplimiento de los acuerdos de paz. Luego,</w:t>
      </w:r>
      <w:r w:rsidRPr="002A793E">
        <w:rPr>
          <w:rFonts w:ascii="Times New Roman" w:eastAsia="Calibri" w:hAnsi="Times New Roman" w:cs="Times New Roman"/>
          <w:color w:val="000000" w:themeColor="text1"/>
          <w:sz w:val="28"/>
          <w:szCs w:val="28"/>
          <w:lang w:val="es-ES"/>
        </w:rPr>
        <w:t xml:space="preserve"> se</w:t>
      </w:r>
      <w:r w:rsidRPr="002A793E">
        <w:rPr>
          <w:rFonts w:ascii="Times New Roman" w:eastAsia="Calibri" w:hAnsi="Times New Roman" w:cs="Times New Roman"/>
          <w:color w:val="000000" w:themeColor="text1"/>
          <w:sz w:val="28"/>
          <w:szCs w:val="28"/>
          <w:lang w:val="es-ES"/>
        </w:rPr>
        <w:t xml:space="preserve"> refirieron </w:t>
      </w:r>
      <w:r w:rsidRPr="002A793E">
        <w:rPr>
          <w:rFonts w:ascii="Times New Roman" w:eastAsia="Calibri" w:hAnsi="Times New Roman" w:cs="Times New Roman"/>
          <w:color w:val="000000" w:themeColor="text1"/>
          <w:sz w:val="28"/>
          <w:szCs w:val="28"/>
          <w:lang w:val="es-ES"/>
        </w:rPr>
        <w:t>a varios</w:t>
      </w:r>
      <w:r w:rsidRPr="002A793E">
        <w:rPr>
          <w:rFonts w:ascii="Times New Roman" w:eastAsia="Calibri" w:hAnsi="Times New Roman" w:cs="Times New Roman"/>
          <w:color w:val="000000" w:themeColor="text1"/>
          <w:sz w:val="28"/>
          <w:szCs w:val="28"/>
          <w:lang w:val="es-ES"/>
        </w:rPr>
        <w:t xml:space="preserve"> apartes del documento Bases del PND</w:t>
      </w:r>
      <w:r w:rsidRPr="002A793E">
        <w:rPr>
          <w:rFonts w:ascii="Times New Roman" w:eastAsia="Calibri" w:hAnsi="Times New Roman" w:cs="Times New Roman"/>
          <w:color w:val="000000" w:themeColor="text1"/>
          <w:sz w:val="28"/>
          <w:szCs w:val="28"/>
          <w:lang w:val="es-ES"/>
        </w:rPr>
        <w:t xml:space="preserve"> relacionados con el catalizador de la Reforma Rural Integral y el componente de acceso y formalización de la propiedad en la transformación del ordenamiento territorial,</w:t>
      </w:r>
      <w:r w:rsidRPr="002A793E">
        <w:rPr>
          <w:rFonts w:ascii="Times New Roman" w:eastAsia="Calibri" w:hAnsi="Times New Roman" w:cs="Times New Roman"/>
          <w:color w:val="000000" w:themeColor="text1"/>
          <w:sz w:val="28"/>
          <w:szCs w:val="28"/>
          <w:lang w:val="es-ES"/>
        </w:rPr>
        <w:t xml:space="preserve"> a los que vincularon la disposición acusada.</w:t>
      </w:r>
      <w:r w:rsidRPr="002A793E">
        <w:rPr>
          <w:rFonts w:ascii="Times New Roman" w:eastAsia="Calibri" w:hAnsi="Times New Roman" w:cs="Times New Roman"/>
          <w:color w:val="000000" w:themeColor="text1"/>
          <w:sz w:val="28"/>
          <w:szCs w:val="28"/>
          <w:lang w:val="es-ES"/>
        </w:rPr>
        <w:t xml:space="preserve"> </w:t>
      </w:r>
    </w:p>
    <w:p w:rsidR="00270A4B" w:rsidRPr="002A793E" w:rsidRDefault="002A793E" w:rsidP="00270A4B">
      <w:pPr>
        <w:pStyle w:val="Prrafodelista"/>
        <w:ind w:left="1080"/>
        <w:rPr>
          <w:rFonts w:ascii="Times New Roman" w:eastAsia="Calibri" w:hAnsi="Times New Roman" w:cs="Times New Roman"/>
          <w:color w:val="000000" w:themeColor="text1"/>
          <w:sz w:val="28"/>
          <w:szCs w:val="28"/>
          <w:lang w:val="es-ES"/>
        </w:rPr>
      </w:pPr>
    </w:p>
    <w:p w:rsidR="00E11B23" w:rsidRPr="002A793E" w:rsidRDefault="002A793E" w:rsidP="00901030">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A partir de los elementos descritos, </w:t>
      </w:r>
      <w:r w:rsidRPr="002A793E">
        <w:rPr>
          <w:rFonts w:ascii="Times New Roman" w:eastAsia="Calibri" w:hAnsi="Times New Roman" w:cs="Times New Roman"/>
          <w:color w:val="000000" w:themeColor="text1"/>
          <w:sz w:val="28"/>
          <w:szCs w:val="28"/>
          <w:lang w:val="es-ES"/>
        </w:rPr>
        <w:t>las entidades indica</w:t>
      </w:r>
      <w:r w:rsidRPr="002A793E">
        <w:rPr>
          <w:rFonts w:ascii="Times New Roman" w:eastAsia="Calibri" w:hAnsi="Times New Roman" w:cs="Times New Roman"/>
          <w:color w:val="000000" w:themeColor="text1"/>
          <w:sz w:val="28"/>
          <w:szCs w:val="28"/>
          <w:lang w:val="es-ES"/>
        </w:rPr>
        <w:t>ro</w:t>
      </w:r>
      <w:r w:rsidRPr="002A793E">
        <w:rPr>
          <w:rFonts w:ascii="Times New Roman" w:eastAsia="Calibri" w:hAnsi="Times New Roman" w:cs="Times New Roman"/>
          <w:color w:val="000000" w:themeColor="text1"/>
          <w:sz w:val="28"/>
          <w:szCs w:val="28"/>
          <w:lang w:val="es-ES"/>
        </w:rPr>
        <w:t xml:space="preserve">n </w:t>
      </w:r>
      <w:r w:rsidRPr="002A793E">
        <w:rPr>
          <w:rFonts w:ascii="Times New Roman" w:eastAsia="Calibri" w:hAnsi="Times New Roman" w:cs="Times New Roman"/>
          <w:color w:val="000000" w:themeColor="text1"/>
          <w:sz w:val="28"/>
          <w:szCs w:val="28"/>
          <w:lang w:val="es-ES"/>
        </w:rPr>
        <w:t>que la simplificación del</w:t>
      </w:r>
      <w:r w:rsidRPr="002A793E">
        <w:rPr>
          <w:rFonts w:ascii="Times New Roman" w:eastAsia="Calibri" w:hAnsi="Times New Roman" w:cs="Times New Roman"/>
          <w:color w:val="000000" w:themeColor="text1"/>
          <w:sz w:val="28"/>
          <w:szCs w:val="28"/>
          <w:lang w:val="es-ES"/>
        </w:rPr>
        <w:t xml:space="preserve"> PUO </w:t>
      </w:r>
      <w:r w:rsidRPr="002A793E">
        <w:rPr>
          <w:rFonts w:ascii="Times New Roman" w:eastAsia="Calibri" w:hAnsi="Times New Roman" w:cs="Times New Roman"/>
          <w:color w:val="000000" w:themeColor="text1"/>
          <w:sz w:val="28"/>
          <w:szCs w:val="28"/>
          <w:lang w:val="es-ES"/>
        </w:rPr>
        <w:t>en algunas materias es una</w:t>
      </w:r>
      <w:r w:rsidRPr="002A793E">
        <w:rPr>
          <w:rFonts w:ascii="Times New Roman" w:eastAsia="Calibri" w:hAnsi="Times New Roman" w:cs="Times New Roman"/>
          <w:color w:val="000000" w:themeColor="text1"/>
          <w:sz w:val="28"/>
          <w:szCs w:val="28"/>
          <w:lang w:val="es-ES"/>
        </w:rPr>
        <w:t xml:space="preserve"> medida instrumental </w:t>
      </w:r>
      <w:r w:rsidRPr="002A793E">
        <w:rPr>
          <w:rFonts w:ascii="Times New Roman" w:eastAsia="Calibri" w:hAnsi="Times New Roman" w:cs="Times New Roman"/>
          <w:color w:val="000000" w:themeColor="text1"/>
          <w:sz w:val="28"/>
          <w:szCs w:val="28"/>
          <w:lang w:val="es-ES"/>
        </w:rPr>
        <w:t>que cumple con las condiciones definidas por</w:t>
      </w:r>
      <w:r w:rsidRPr="002A793E">
        <w:rPr>
          <w:rFonts w:ascii="Times New Roman" w:eastAsia="Calibri" w:hAnsi="Times New Roman" w:cs="Times New Roman"/>
          <w:color w:val="000000" w:themeColor="text1"/>
          <w:sz w:val="28"/>
          <w:szCs w:val="28"/>
          <w:lang w:val="es-ES"/>
        </w:rPr>
        <w:t xml:space="preserve"> la jurisprudencia constitucional</w:t>
      </w:r>
      <w:r w:rsidRPr="002A793E">
        <w:rPr>
          <w:rFonts w:ascii="Times New Roman" w:eastAsia="Calibri" w:hAnsi="Times New Roman" w:cs="Times New Roman"/>
          <w:color w:val="000000" w:themeColor="text1"/>
          <w:sz w:val="28"/>
          <w:szCs w:val="28"/>
          <w:lang w:val="es-ES"/>
        </w:rPr>
        <w:t xml:space="preserve"> sobre el requisito de unidad de materia</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pues </w:t>
      </w:r>
      <w:r w:rsidRPr="002A793E">
        <w:rPr>
          <w:rFonts w:ascii="Times New Roman" w:eastAsia="Calibri" w:hAnsi="Times New Roman" w:cs="Times New Roman"/>
          <w:color w:val="000000" w:themeColor="text1"/>
          <w:sz w:val="28"/>
          <w:szCs w:val="28"/>
          <w:lang w:val="es-ES"/>
        </w:rPr>
        <w:t xml:space="preserve">tiene una conexidad directa e inmediata con </w:t>
      </w:r>
      <w:r w:rsidRPr="002A793E">
        <w:rPr>
          <w:rFonts w:ascii="Times New Roman" w:eastAsia="Calibri" w:hAnsi="Times New Roman" w:cs="Times New Roman"/>
          <w:color w:val="000000" w:themeColor="text1"/>
          <w:sz w:val="28"/>
          <w:szCs w:val="28"/>
          <w:lang w:val="es-ES"/>
        </w:rPr>
        <w:t xml:space="preserve">los objetivos y planes generales </w:t>
      </w:r>
      <w:r w:rsidRPr="002A793E">
        <w:rPr>
          <w:rFonts w:ascii="Times New Roman" w:eastAsia="Calibri" w:hAnsi="Times New Roman" w:cs="Times New Roman"/>
          <w:color w:val="000000" w:themeColor="text1"/>
          <w:sz w:val="28"/>
          <w:szCs w:val="28"/>
          <w:lang w:val="es-ES"/>
        </w:rPr>
        <w:t>del PND</w:t>
      </w:r>
      <w:r w:rsidRPr="002A793E">
        <w:rPr>
          <w:rFonts w:ascii="Times New Roman" w:eastAsia="Calibri" w:hAnsi="Times New Roman" w:cs="Times New Roman"/>
          <w:color w:val="000000" w:themeColor="text1"/>
          <w:sz w:val="28"/>
          <w:szCs w:val="28"/>
          <w:lang w:val="es-ES"/>
        </w:rPr>
        <w:t>, particularmente con el aseguramiento de una oferta predial suficiente que permita el cumplimiento de las metas asociadas a la Reforma Rural Integral así como los compromi</w:t>
      </w:r>
      <w:r w:rsidRPr="002A793E">
        <w:rPr>
          <w:rFonts w:ascii="Times New Roman" w:eastAsia="Calibri" w:hAnsi="Times New Roman" w:cs="Times New Roman"/>
          <w:color w:val="000000" w:themeColor="text1"/>
          <w:sz w:val="28"/>
          <w:szCs w:val="28"/>
          <w:lang w:val="es-ES"/>
        </w:rPr>
        <w:t>sos estatales reflejados en el Acto Legislativo 02 de 2017</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Igualmente, aclararon que la falta de una referencia expresa a la simplificación de los procedimientos agrarios en las </w:t>
      </w:r>
      <w:r w:rsidRPr="002A793E">
        <w:rPr>
          <w:rFonts w:ascii="Times New Roman" w:eastAsia="Calibri" w:hAnsi="Times New Roman" w:cs="Times New Roman"/>
          <w:color w:val="000000" w:themeColor="text1"/>
          <w:sz w:val="28"/>
          <w:szCs w:val="28"/>
          <w:lang w:val="es-ES"/>
        </w:rPr>
        <w:t>B</w:t>
      </w:r>
      <w:r w:rsidRPr="002A793E">
        <w:rPr>
          <w:rFonts w:ascii="Times New Roman" w:eastAsia="Calibri" w:hAnsi="Times New Roman" w:cs="Times New Roman"/>
          <w:color w:val="000000" w:themeColor="text1"/>
          <w:sz w:val="28"/>
          <w:szCs w:val="28"/>
          <w:lang w:val="es-ES"/>
        </w:rPr>
        <w:t xml:space="preserve">ases del </w:t>
      </w:r>
      <w:r w:rsidRPr="002A793E">
        <w:rPr>
          <w:rFonts w:ascii="Times New Roman" w:eastAsia="Calibri" w:hAnsi="Times New Roman" w:cs="Times New Roman"/>
          <w:color w:val="000000" w:themeColor="text1"/>
          <w:sz w:val="28"/>
          <w:szCs w:val="28"/>
          <w:lang w:val="es-ES"/>
        </w:rPr>
        <w:t>PND no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es indicativa del </w:t>
      </w:r>
      <w:r w:rsidRPr="002A793E">
        <w:rPr>
          <w:rFonts w:ascii="Times New Roman" w:eastAsia="Calibri" w:hAnsi="Times New Roman" w:cs="Times New Roman"/>
          <w:color w:val="000000" w:themeColor="text1"/>
          <w:sz w:val="28"/>
          <w:szCs w:val="28"/>
          <w:lang w:val="es-ES"/>
        </w:rPr>
        <w:t xml:space="preserve">incumplimiento del principio de unidad de </w:t>
      </w:r>
      <w:r w:rsidRPr="002A793E">
        <w:rPr>
          <w:rFonts w:ascii="Times New Roman" w:eastAsia="Calibri" w:hAnsi="Times New Roman" w:cs="Times New Roman"/>
          <w:color w:val="000000" w:themeColor="text1"/>
          <w:sz w:val="28"/>
          <w:szCs w:val="28"/>
          <w:lang w:val="es-ES"/>
        </w:rPr>
        <w:t>materia</w:t>
      </w:r>
      <w:r w:rsidRPr="002A793E">
        <w:rPr>
          <w:rStyle w:val="Refdenotaalpie"/>
          <w:rFonts w:ascii="Times New Roman" w:eastAsia="Calibri" w:hAnsi="Times New Roman" w:cs="Times New Roman"/>
          <w:color w:val="000000" w:themeColor="text1"/>
          <w:sz w:val="28"/>
          <w:szCs w:val="28"/>
          <w:lang w:val="es-ES"/>
        </w:rPr>
        <w:footnoteReference w:id="23"/>
      </w:r>
      <w:r w:rsidRPr="002A793E">
        <w:rPr>
          <w:rFonts w:ascii="Times New Roman" w:eastAsia="Calibri" w:hAnsi="Times New Roman" w:cs="Times New Roman"/>
          <w:color w:val="000000" w:themeColor="text1"/>
          <w:sz w:val="28"/>
          <w:szCs w:val="28"/>
          <w:lang w:val="es-ES"/>
        </w:rPr>
        <w:t xml:space="preserve">. </w:t>
      </w:r>
    </w:p>
    <w:p w:rsidR="000A0E4A" w:rsidRPr="002A793E" w:rsidRDefault="002A793E" w:rsidP="00A57529">
      <w:pPr>
        <w:pStyle w:val="Prrafodelista"/>
        <w:ind w:left="0"/>
        <w:rPr>
          <w:rFonts w:ascii="Times New Roman" w:eastAsia="Calibri" w:hAnsi="Times New Roman" w:cs="Times New Roman"/>
          <w:color w:val="000000" w:themeColor="text1"/>
          <w:sz w:val="28"/>
          <w:szCs w:val="28"/>
          <w:lang w:val="es-ES"/>
        </w:rPr>
      </w:pPr>
    </w:p>
    <w:p w:rsidR="00901030" w:rsidRPr="002A793E" w:rsidRDefault="002A793E" w:rsidP="00901030">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En relación con </w:t>
      </w:r>
      <w:r w:rsidRPr="002A793E">
        <w:rPr>
          <w:rFonts w:ascii="Times New Roman" w:eastAsia="Calibri" w:hAnsi="Times New Roman" w:cs="Times New Roman"/>
          <w:b/>
          <w:color w:val="000000" w:themeColor="text1"/>
          <w:sz w:val="28"/>
          <w:szCs w:val="28"/>
          <w:lang w:val="es-ES"/>
        </w:rPr>
        <w:t>el cargo tercero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en el que </w:t>
      </w:r>
      <w:r w:rsidRPr="002A793E">
        <w:rPr>
          <w:rFonts w:ascii="Times New Roman" w:eastAsia="Calibri" w:hAnsi="Times New Roman" w:cs="Times New Roman"/>
          <w:color w:val="000000" w:themeColor="text1"/>
          <w:sz w:val="28"/>
          <w:szCs w:val="28"/>
          <w:lang w:val="es-ES"/>
        </w:rPr>
        <w:t>el demandante</w:t>
      </w:r>
      <w:r w:rsidRPr="002A793E">
        <w:rPr>
          <w:rFonts w:ascii="Times New Roman" w:eastAsia="Calibri" w:hAnsi="Times New Roman" w:cs="Times New Roman"/>
          <w:color w:val="000000" w:themeColor="text1"/>
          <w:sz w:val="28"/>
          <w:szCs w:val="28"/>
          <w:lang w:val="es-ES"/>
        </w:rPr>
        <w:t xml:space="preserve"> plante</w:t>
      </w:r>
      <w:r w:rsidRPr="002A793E">
        <w:rPr>
          <w:rFonts w:ascii="Times New Roman" w:eastAsia="Calibri" w:hAnsi="Times New Roman" w:cs="Times New Roman"/>
          <w:color w:val="000000" w:themeColor="text1"/>
          <w:sz w:val="28"/>
          <w:szCs w:val="28"/>
          <w:lang w:val="es-ES"/>
        </w:rPr>
        <w:t>ó</w:t>
      </w:r>
      <w:r w:rsidRPr="002A793E">
        <w:rPr>
          <w:rFonts w:ascii="Times New Roman" w:eastAsia="Calibri" w:hAnsi="Times New Roman" w:cs="Times New Roman"/>
          <w:color w:val="000000" w:themeColor="text1"/>
          <w:sz w:val="28"/>
          <w:szCs w:val="28"/>
          <w:lang w:val="es-ES"/>
        </w:rPr>
        <w:t xml:space="preserve"> que</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a partir de</w:t>
      </w:r>
      <w:r w:rsidRPr="002A793E">
        <w:rPr>
          <w:rFonts w:ascii="Times New Roman" w:eastAsia="Calibri" w:hAnsi="Times New Roman" w:cs="Times New Roman"/>
          <w:color w:val="000000" w:themeColor="text1"/>
          <w:sz w:val="28"/>
          <w:szCs w:val="28"/>
          <w:lang w:val="es-ES"/>
        </w:rPr>
        <w:t xml:space="preserve"> una lectura conjunta del artículo 61 </w:t>
      </w:r>
      <w:r w:rsidRPr="002A793E">
        <w:rPr>
          <w:rFonts w:ascii="Times New Roman" w:eastAsia="Calibri" w:hAnsi="Times New Roman" w:cs="Times New Roman"/>
          <w:color w:val="000000" w:themeColor="text1"/>
          <w:sz w:val="28"/>
          <w:szCs w:val="28"/>
          <w:lang w:val="es-ES"/>
        </w:rPr>
        <w:t xml:space="preserve">parcial </w:t>
      </w:r>
      <w:r w:rsidRPr="002A793E">
        <w:rPr>
          <w:rFonts w:ascii="Times New Roman" w:eastAsia="Calibri" w:hAnsi="Times New Roman" w:cs="Times New Roman"/>
          <w:color w:val="000000" w:themeColor="text1"/>
          <w:sz w:val="28"/>
          <w:szCs w:val="28"/>
          <w:lang w:val="es-ES"/>
        </w:rPr>
        <w:t>acusado y del artículo 39 del Decreto Ley 902 de 2017</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la acción de nulidad agraria solo puede ser interpuesta por quienes hicieron parte del PUO, las entidades señala</w:t>
      </w:r>
      <w:r w:rsidRPr="002A793E">
        <w:rPr>
          <w:rFonts w:ascii="Times New Roman" w:eastAsia="Calibri" w:hAnsi="Times New Roman" w:cs="Times New Roman"/>
          <w:color w:val="000000" w:themeColor="text1"/>
          <w:sz w:val="28"/>
          <w:szCs w:val="28"/>
          <w:lang w:val="es-ES"/>
        </w:rPr>
        <w:t>ro</w:t>
      </w:r>
      <w:r w:rsidRPr="002A793E">
        <w:rPr>
          <w:rFonts w:ascii="Times New Roman" w:eastAsia="Calibri" w:hAnsi="Times New Roman" w:cs="Times New Roman"/>
          <w:color w:val="000000" w:themeColor="text1"/>
          <w:sz w:val="28"/>
          <w:szCs w:val="28"/>
          <w:lang w:val="es-ES"/>
        </w:rPr>
        <w:t xml:space="preserve">n que </w:t>
      </w:r>
      <w:r w:rsidRPr="002A793E">
        <w:rPr>
          <w:rFonts w:ascii="Times New Roman" w:eastAsia="Calibri" w:hAnsi="Times New Roman" w:cs="Times New Roman"/>
          <w:color w:val="000000" w:themeColor="text1"/>
          <w:sz w:val="28"/>
          <w:szCs w:val="28"/>
          <w:lang w:val="es-ES"/>
        </w:rPr>
        <w:t>la lectura propuesta por el actor</w:t>
      </w:r>
      <w:r w:rsidRPr="002A793E">
        <w:rPr>
          <w:rFonts w:ascii="Times New Roman" w:eastAsia="Calibri" w:hAnsi="Times New Roman" w:cs="Times New Roman"/>
          <w:color w:val="000000" w:themeColor="text1"/>
          <w:sz w:val="28"/>
          <w:szCs w:val="28"/>
          <w:lang w:val="es-ES"/>
        </w:rPr>
        <w:t xml:space="preserve"> solo </w:t>
      </w:r>
      <w:r w:rsidRPr="002A793E">
        <w:rPr>
          <w:rFonts w:ascii="Times New Roman" w:eastAsia="Calibri" w:hAnsi="Times New Roman" w:cs="Times New Roman"/>
          <w:color w:val="000000" w:themeColor="text1"/>
          <w:sz w:val="28"/>
          <w:szCs w:val="28"/>
          <w:lang w:val="es-ES"/>
        </w:rPr>
        <w:t xml:space="preserve">es </w:t>
      </w:r>
      <w:r w:rsidRPr="002A793E">
        <w:rPr>
          <w:rFonts w:ascii="Times New Roman" w:eastAsia="Calibri" w:hAnsi="Times New Roman" w:cs="Times New Roman"/>
          <w:color w:val="000000" w:themeColor="text1"/>
          <w:sz w:val="28"/>
          <w:szCs w:val="28"/>
          <w:lang w:val="es-ES"/>
        </w:rPr>
        <w:t xml:space="preserve">una interpretación plausible </w:t>
      </w:r>
      <w:r w:rsidRPr="002A793E">
        <w:rPr>
          <w:rFonts w:ascii="Times New Roman" w:eastAsia="Calibri" w:hAnsi="Times New Roman" w:cs="Times New Roman"/>
          <w:color w:val="000000" w:themeColor="text1"/>
          <w:sz w:val="28"/>
          <w:szCs w:val="28"/>
          <w:lang w:val="es-ES"/>
        </w:rPr>
        <w:t xml:space="preserve">de la disposición </w:t>
      </w:r>
      <w:r w:rsidRPr="002A793E">
        <w:rPr>
          <w:rFonts w:ascii="Times New Roman" w:eastAsia="Calibri" w:hAnsi="Times New Roman" w:cs="Times New Roman"/>
          <w:color w:val="000000" w:themeColor="text1"/>
          <w:sz w:val="28"/>
          <w:szCs w:val="28"/>
          <w:lang w:val="es-ES"/>
        </w:rPr>
        <w:t xml:space="preserve">y que, en contraste, </w:t>
      </w:r>
      <w:r w:rsidRPr="002A793E">
        <w:rPr>
          <w:rFonts w:ascii="Times New Roman" w:eastAsia="Calibri" w:hAnsi="Times New Roman" w:cs="Times New Roman"/>
          <w:color w:val="000000" w:themeColor="text1"/>
          <w:sz w:val="28"/>
          <w:szCs w:val="28"/>
          <w:lang w:val="es-ES"/>
        </w:rPr>
        <w:t xml:space="preserve">la norma acusada </w:t>
      </w:r>
      <w:r w:rsidRPr="002A793E">
        <w:rPr>
          <w:rFonts w:ascii="Times New Roman" w:eastAsia="Calibri" w:hAnsi="Times New Roman" w:cs="Times New Roman"/>
          <w:color w:val="000000" w:themeColor="text1"/>
          <w:sz w:val="28"/>
          <w:szCs w:val="28"/>
          <w:lang w:val="es-ES"/>
        </w:rPr>
        <w:t>tiene un</w:t>
      </w:r>
      <w:r w:rsidRPr="002A793E">
        <w:rPr>
          <w:rFonts w:ascii="Times New Roman" w:eastAsia="Calibri" w:hAnsi="Times New Roman" w:cs="Times New Roman"/>
          <w:color w:val="000000" w:themeColor="text1"/>
          <w:sz w:val="28"/>
          <w:szCs w:val="28"/>
          <w:lang w:val="es-ES"/>
        </w:rPr>
        <w:t xml:space="preserve"> alcance autónomo del que no se deriva esa restricción. En concreto, para las entidades es claro que l</w:t>
      </w:r>
      <w:r w:rsidRPr="002A793E">
        <w:rPr>
          <w:rFonts w:ascii="Times New Roman" w:eastAsia="Calibri" w:hAnsi="Times New Roman" w:cs="Times New Roman"/>
          <w:color w:val="000000" w:themeColor="text1"/>
          <w:sz w:val="28"/>
          <w:szCs w:val="28"/>
          <w:lang w:val="es-ES"/>
        </w:rPr>
        <w:t>os</w:t>
      </w:r>
      <w:r w:rsidRPr="002A793E">
        <w:rPr>
          <w:rFonts w:ascii="Times New Roman" w:eastAsia="Calibri" w:hAnsi="Times New Roman" w:cs="Times New Roman"/>
          <w:color w:val="000000" w:themeColor="text1"/>
          <w:sz w:val="28"/>
          <w:szCs w:val="28"/>
          <w:lang w:val="es-ES"/>
        </w:rPr>
        <w:t xml:space="preserve"> inciso</w:t>
      </w:r>
      <w:r w:rsidRPr="002A793E">
        <w:rPr>
          <w:rFonts w:ascii="Times New Roman" w:eastAsia="Calibri" w:hAnsi="Times New Roman" w:cs="Times New Roman"/>
          <w:color w:val="000000" w:themeColor="text1"/>
          <w:sz w:val="28"/>
          <w:szCs w:val="28"/>
          <w:lang w:val="es-ES"/>
        </w:rPr>
        <w:t>s</w:t>
      </w:r>
      <w:r w:rsidRPr="002A793E">
        <w:rPr>
          <w:rFonts w:ascii="Times New Roman" w:eastAsia="Calibri" w:hAnsi="Times New Roman" w:cs="Times New Roman"/>
          <w:color w:val="000000" w:themeColor="text1"/>
          <w:sz w:val="28"/>
          <w:szCs w:val="28"/>
          <w:lang w:val="es-ES"/>
        </w:rPr>
        <w:t xml:space="preserve"> 3 y 4 del </w:t>
      </w:r>
      <w:r w:rsidRPr="002A793E">
        <w:rPr>
          <w:rFonts w:ascii="Times New Roman" w:eastAsia="Calibri" w:hAnsi="Times New Roman" w:cs="Times New Roman"/>
          <w:color w:val="000000" w:themeColor="text1"/>
          <w:sz w:val="28"/>
          <w:szCs w:val="28"/>
          <w:lang w:val="es-ES"/>
        </w:rPr>
        <w:t>artículo</w:t>
      </w:r>
      <w:r w:rsidRPr="002A793E">
        <w:rPr>
          <w:rFonts w:ascii="Times New Roman" w:eastAsia="Calibri" w:hAnsi="Times New Roman" w:cs="Times New Roman"/>
          <w:color w:val="000000" w:themeColor="text1"/>
          <w:sz w:val="28"/>
          <w:szCs w:val="28"/>
          <w:lang w:val="es-ES"/>
        </w:rPr>
        <w:t xml:space="preserve"> 61</w:t>
      </w:r>
      <w:r w:rsidRPr="002A793E">
        <w:rPr>
          <w:rFonts w:ascii="Times New Roman" w:eastAsia="Calibri" w:hAnsi="Times New Roman" w:cs="Times New Roman"/>
          <w:color w:val="000000" w:themeColor="text1"/>
          <w:sz w:val="28"/>
          <w:szCs w:val="28"/>
          <w:lang w:val="es-ES"/>
        </w:rPr>
        <w:t xml:space="preserve"> establecen las condiciones para la formulación de la acción de nulidad agraria contra la decisión de la ANT y no limitan </w:t>
      </w:r>
      <w:r w:rsidRPr="002A793E">
        <w:rPr>
          <w:rFonts w:ascii="Times New Roman" w:eastAsia="Calibri" w:hAnsi="Times New Roman" w:cs="Times New Roman"/>
          <w:color w:val="000000" w:themeColor="text1"/>
          <w:sz w:val="28"/>
          <w:szCs w:val="28"/>
          <w:lang w:val="es-ES"/>
        </w:rPr>
        <w:t xml:space="preserve">la presentación de la acción a los particulares que </w:t>
      </w:r>
      <w:r w:rsidRPr="002A793E">
        <w:rPr>
          <w:rFonts w:ascii="Times New Roman" w:eastAsia="Calibri" w:hAnsi="Times New Roman" w:cs="Times New Roman"/>
          <w:color w:val="000000" w:themeColor="text1"/>
          <w:sz w:val="28"/>
          <w:szCs w:val="28"/>
          <w:lang w:val="es-ES"/>
        </w:rPr>
        <w:t>hicieron parte del PUO.</w:t>
      </w:r>
    </w:p>
    <w:p w:rsidR="001C3A71" w:rsidRPr="002A793E" w:rsidRDefault="002A793E" w:rsidP="00C85E8C">
      <w:pPr>
        <w:pStyle w:val="Sinespaciado"/>
        <w:rPr>
          <w:rFonts w:ascii="Times New Roman" w:hAnsi="Times New Roman"/>
          <w:sz w:val="28"/>
          <w:lang w:val="es-ES"/>
        </w:rPr>
      </w:pPr>
    </w:p>
    <w:p w:rsidR="001C3A71" w:rsidRPr="002A793E" w:rsidRDefault="002A793E" w:rsidP="00901030">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De otra parte, las entidades indicaron que en la sentencia C-073 de 2018 se consideró</w:t>
      </w:r>
      <w:r w:rsidRPr="002A793E">
        <w:rPr>
          <w:rFonts w:ascii="Times New Roman" w:eastAsia="Calibri" w:hAnsi="Times New Roman" w:cs="Times New Roman"/>
          <w:color w:val="000000" w:themeColor="text1"/>
          <w:sz w:val="28"/>
          <w:szCs w:val="28"/>
          <w:lang w:val="es-ES"/>
        </w:rPr>
        <w:t xml:space="preserve">, al examinar el </w:t>
      </w:r>
      <w:r w:rsidRPr="002A793E">
        <w:rPr>
          <w:rFonts w:ascii="Times New Roman" w:eastAsia="Calibri" w:hAnsi="Times New Roman" w:cs="Times New Roman"/>
          <w:color w:val="000000" w:themeColor="text1"/>
          <w:sz w:val="28"/>
          <w:szCs w:val="28"/>
          <w:lang w:val="es-ES"/>
        </w:rPr>
        <w:t xml:space="preserve">PUO </w:t>
      </w:r>
      <w:r w:rsidRPr="002A793E">
        <w:rPr>
          <w:rFonts w:ascii="Times New Roman" w:eastAsia="Calibri" w:hAnsi="Times New Roman" w:cs="Times New Roman"/>
          <w:color w:val="000000" w:themeColor="text1"/>
          <w:sz w:val="28"/>
          <w:szCs w:val="28"/>
          <w:lang w:val="es-ES"/>
        </w:rPr>
        <w:t xml:space="preserve">regulado en el Decreto 902 de 2017, que no se consagraron </w:t>
      </w:r>
      <w:r w:rsidRPr="002A793E">
        <w:rPr>
          <w:rFonts w:ascii="Times New Roman" w:eastAsia="Calibri" w:hAnsi="Times New Roman" w:cs="Times New Roman"/>
          <w:color w:val="000000" w:themeColor="text1"/>
          <w:sz w:val="28"/>
          <w:szCs w:val="28"/>
          <w:lang w:val="es-ES"/>
        </w:rPr>
        <w:t xml:space="preserve">potestades omnímodas de la ANT </w:t>
      </w:r>
      <w:r w:rsidRPr="002A793E">
        <w:rPr>
          <w:rFonts w:ascii="Times New Roman" w:hAnsi="Times New Roman" w:cs="Times New Roman"/>
          <w:sz w:val="28"/>
          <w:szCs w:val="28"/>
          <w:lang w:val="es-ES"/>
        </w:rPr>
        <w:t xml:space="preserve">para decretar la formalización de la posesión o </w:t>
      </w:r>
      <w:r w:rsidRPr="002A793E">
        <w:rPr>
          <w:rFonts w:ascii="Times New Roman" w:hAnsi="Times New Roman" w:cs="Times New Roman"/>
          <w:sz w:val="28"/>
          <w:szCs w:val="28"/>
          <w:lang w:val="es-ES"/>
        </w:rPr>
        <w:t xml:space="preserve">el </w:t>
      </w:r>
      <w:r w:rsidRPr="002A793E">
        <w:rPr>
          <w:rFonts w:ascii="Times New Roman" w:hAnsi="Times New Roman" w:cs="Times New Roman"/>
          <w:sz w:val="28"/>
          <w:szCs w:val="28"/>
          <w:lang w:val="es-ES"/>
        </w:rPr>
        <w:t>saneamiento de la falsa tradición</w:t>
      </w:r>
      <w:r w:rsidRPr="002A793E">
        <w:rPr>
          <w:rFonts w:ascii="Times New Roman" w:hAnsi="Times New Roman" w:cs="Times New Roman"/>
          <w:sz w:val="28"/>
          <w:szCs w:val="28"/>
          <w:lang w:val="es-ES"/>
        </w:rPr>
        <w:t>, debido a que ese cuerpo normativo previó</w:t>
      </w:r>
      <w:r w:rsidRPr="002A793E">
        <w:rPr>
          <w:rFonts w:ascii="Times New Roman" w:eastAsia="Calibri" w:hAnsi="Times New Roman" w:cs="Times New Roman"/>
          <w:color w:val="000000" w:themeColor="text1"/>
          <w:sz w:val="28"/>
          <w:szCs w:val="28"/>
          <w:lang w:val="es-ES"/>
        </w:rPr>
        <w:t xml:space="preserve"> la acción de nulidad agraria. En consecuencia, las entidades </w:t>
      </w:r>
      <w:r w:rsidRPr="002A793E">
        <w:rPr>
          <w:rFonts w:ascii="Times New Roman" w:eastAsia="Calibri" w:hAnsi="Times New Roman" w:cs="Times New Roman"/>
          <w:color w:val="000000" w:themeColor="text1"/>
          <w:sz w:val="28"/>
          <w:szCs w:val="28"/>
          <w:lang w:val="es-ES"/>
        </w:rPr>
        <w:t>trasladaron ese argumento al presente</w:t>
      </w:r>
      <w:r w:rsidRPr="002A793E">
        <w:rPr>
          <w:rFonts w:ascii="Times New Roman" w:eastAsia="Calibri" w:hAnsi="Times New Roman" w:cs="Times New Roman"/>
          <w:color w:val="000000" w:themeColor="text1"/>
          <w:sz w:val="28"/>
          <w:szCs w:val="28"/>
          <w:lang w:val="es-ES"/>
        </w:rPr>
        <w:t xml:space="preserve"> asunto para destacar </w:t>
      </w:r>
      <w:r w:rsidRPr="002A793E">
        <w:rPr>
          <w:rFonts w:ascii="Times New Roman" w:eastAsia="Calibri" w:hAnsi="Times New Roman" w:cs="Times New Roman"/>
          <w:color w:val="000000" w:themeColor="text1"/>
          <w:sz w:val="28"/>
          <w:szCs w:val="28"/>
          <w:lang w:val="es-ES"/>
        </w:rPr>
        <w:t>la procedencia de la nulidad agraria.</w:t>
      </w:r>
    </w:p>
    <w:p w:rsidR="00901030" w:rsidRPr="002A793E" w:rsidRDefault="002A793E" w:rsidP="00901030">
      <w:pPr>
        <w:pStyle w:val="Prrafodelista"/>
        <w:rPr>
          <w:rFonts w:ascii="Times New Roman" w:eastAsia="Calibri" w:hAnsi="Times New Roman" w:cs="Times New Roman"/>
          <w:color w:val="000000" w:themeColor="text1"/>
          <w:sz w:val="28"/>
          <w:szCs w:val="28"/>
          <w:lang w:val="es-ES"/>
        </w:rPr>
      </w:pPr>
    </w:p>
    <w:p w:rsidR="00901030" w:rsidRPr="002A793E" w:rsidRDefault="002A793E" w:rsidP="00901030">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En relación con el </w:t>
      </w:r>
      <w:r w:rsidRPr="002A793E">
        <w:rPr>
          <w:rFonts w:ascii="Times New Roman" w:eastAsia="Calibri" w:hAnsi="Times New Roman" w:cs="Times New Roman"/>
          <w:b/>
          <w:color w:val="000000" w:themeColor="text1"/>
          <w:sz w:val="28"/>
          <w:szCs w:val="28"/>
          <w:lang w:val="es-ES"/>
        </w:rPr>
        <w:t>cargo cuarto</w:t>
      </w:r>
      <w:r w:rsidRPr="002A793E">
        <w:rPr>
          <w:rFonts w:ascii="Times New Roman" w:eastAsia="Calibri" w:hAnsi="Times New Roman" w:cs="Times New Roman"/>
          <w:color w:val="000000" w:themeColor="text1"/>
          <w:sz w:val="28"/>
          <w:szCs w:val="28"/>
          <w:lang w:val="es-ES"/>
        </w:rPr>
        <w:t xml:space="preserve">, las entidades indicaron que </w:t>
      </w:r>
      <w:r w:rsidRPr="002A793E">
        <w:rPr>
          <w:rFonts w:ascii="Times New Roman" w:eastAsia="Calibri" w:hAnsi="Times New Roman" w:cs="Times New Roman"/>
          <w:color w:val="000000" w:themeColor="text1"/>
          <w:sz w:val="28"/>
          <w:szCs w:val="28"/>
          <w:lang w:val="es-ES"/>
        </w:rPr>
        <w:t xml:space="preserve">este cargo debe desestimarse, debido a que: (i) </w:t>
      </w:r>
      <w:r w:rsidRPr="002A793E">
        <w:rPr>
          <w:rFonts w:ascii="Times New Roman" w:eastAsia="Calibri" w:hAnsi="Times New Roman" w:cs="Times New Roman"/>
          <w:color w:val="000000" w:themeColor="text1"/>
          <w:sz w:val="28"/>
          <w:szCs w:val="28"/>
          <w:lang w:val="es-ES"/>
        </w:rPr>
        <w:t xml:space="preserve">no hay una restricción constitucional sobre el tipo de autoridad que puede adoptar decisiones en relación con la propiedad y que el único límite sobre </w:t>
      </w:r>
      <w:r w:rsidRPr="002A793E">
        <w:rPr>
          <w:rFonts w:ascii="Times New Roman" w:eastAsia="Calibri" w:hAnsi="Times New Roman" w:cs="Times New Roman"/>
          <w:color w:val="000000" w:themeColor="text1"/>
          <w:sz w:val="28"/>
          <w:szCs w:val="28"/>
          <w:lang w:val="es-ES"/>
        </w:rPr>
        <w:t xml:space="preserve">esas decisiones </w:t>
      </w:r>
      <w:r w:rsidRPr="002A793E">
        <w:rPr>
          <w:rFonts w:ascii="Times New Roman" w:eastAsia="Calibri" w:hAnsi="Times New Roman" w:cs="Times New Roman"/>
          <w:color w:val="000000" w:themeColor="text1"/>
          <w:sz w:val="28"/>
          <w:szCs w:val="28"/>
          <w:lang w:val="es-ES"/>
        </w:rPr>
        <w:t xml:space="preserve">es </w:t>
      </w:r>
      <w:r w:rsidRPr="002A793E">
        <w:rPr>
          <w:rFonts w:ascii="Times New Roman" w:eastAsia="Calibri" w:hAnsi="Times New Roman" w:cs="Times New Roman"/>
          <w:color w:val="000000" w:themeColor="text1"/>
          <w:sz w:val="28"/>
          <w:szCs w:val="28"/>
          <w:lang w:val="es-ES"/>
        </w:rPr>
        <w:t>la garantía de debido proceso</w:t>
      </w:r>
      <w:r w:rsidRPr="002A793E">
        <w:rPr>
          <w:rFonts w:ascii="Times New Roman" w:eastAsia="Calibri" w:hAnsi="Times New Roman" w:cs="Times New Roman"/>
          <w:color w:val="000000" w:themeColor="text1"/>
          <w:sz w:val="28"/>
          <w:szCs w:val="28"/>
          <w:lang w:val="es-ES"/>
        </w:rPr>
        <w:t>; (ii) en cualquier caso el artículo demandado asegura el</w:t>
      </w:r>
      <w:r w:rsidRPr="002A793E">
        <w:rPr>
          <w:rFonts w:ascii="Times New Roman" w:eastAsia="Calibri" w:hAnsi="Times New Roman" w:cs="Times New Roman"/>
          <w:color w:val="000000" w:themeColor="text1"/>
          <w:sz w:val="28"/>
          <w:szCs w:val="28"/>
          <w:lang w:val="es-ES"/>
        </w:rPr>
        <w:t xml:space="preserve"> control judicial a partir de la acción de nulidad agraria; y (iii) la finalidad de la disposición acusada es </w:t>
      </w:r>
      <w:r w:rsidRPr="002A793E">
        <w:rPr>
          <w:rFonts w:ascii="Times New Roman" w:eastAsia="Calibri" w:hAnsi="Times New Roman" w:cs="Times New Roman"/>
          <w:color w:val="000000" w:themeColor="text1"/>
          <w:sz w:val="28"/>
          <w:szCs w:val="28"/>
          <w:lang w:val="es-ES"/>
        </w:rPr>
        <w:t>garantizar el</w:t>
      </w:r>
      <w:r w:rsidRPr="002A793E">
        <w:rPr>
          <w:rFonts w:ascii="Times New Roman" w:eastAsia="Calibri" w:hAnsi="Times New Roman" w:cs="Times New Roman"/>
          <w:color w:val="000000" w:themeColor="text1"/>
          <w:sz w:val="28"/>
          <w:szCs w:val="28"/>
          <w:lang w:val="es-ES"/>
        </w:rPr>
        <w:t xml:space="preserve"> acceso a la tierra por parte de la población campesina.</w:t>
      </w:r>
    </w:p>
    <w:p w:rsidR="004F1652" w:rsidRPr="002A793E" w:rsidRDefault="002A793E" w:rsidP="004F1652">
      <w:pPr>
        <w:pStyle w:val="Prrafodelista"/>
        <w:rPr>
          <w:rFonts w:ascii="Times New Roman" w:eastAsia="Calibri" w:hAnsi="Times New Roman" w:cs="Times New Roman"/>
          <w:color w:val="000000" w:themeColor="text1"/>
          <w:sz w:val="28"/>
          <w:szCs w:val="28"/>
          <w:lang w:val="es-ES"/>
        </w:rPr>
      </w:pPr>
    </w:p>
    <w:p w:rsidR="00C52489" w:rsidRPr="002A793E" w:rsidRDefault="002A793E" w:rsidP="00D442CC">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En línea con lo anterior, las entidades señalaron</w:t>
      </w:r>
      <w:r w:rsidRPr="002A793E">
        <w:rPr>
          <w:rFonts w:ascii="Times New Roman" w:eastAsia="Calibri" w:hAnsi="Times New Roman" w:cs="Times New Roman"/>
          <w:color w:val="000000" w:themeColor="text1"/>
          <w:sz w:val="28"/>
          <w:szCs w:val="28"/>
          <w:lang w:val="es-ES"/>
        </w:rPr>
        <w:t xml:space="preserve"> que,</w:t>
      </w:r>
      <w:r w:rsidRPr="002A793E">
        <w:rPr>
          <w:rFonts w:ascii="Times New Roman" w:hAnsi="Times New Roman" w:cs="Times New Roman"/>
          <w:sz w:val="28"/>
          <w:szCs w:val="28"/>
          <w:lang w:val="es-ES"/>
        </w:rPr>
        <w:t xml:space="preserve"> salvo materias concretas como la criminal, no existe en la Constitución una naturaleza específica, judicial o administrativa, que se predique de asuntos determinados. Por lo tanto, la definición de asuntos agrarios no tiene reserva judicial y, en ese sent</w:t>
      </w:r>
      <w:r w:rsidRPr="002A793E">
        <w:rPr>
          <w:rFonts w:ascii="Times New Roman" w:hAnsi="Times New Roman" w:cs="Times New Roman"/>
          <w:sz w:val="28"/>
          <w:szCs w:val="28"/>
          <w:lang w:val="es-ES"/>
        </w:rPr>
        <w:t>ido</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la sentencia C-073 de 2018 indicó que el diseño procedimental en esa materia hace parte del margen de configuración del legislador. </w:t>
      </w:r>
      <w:r w:rsidRPr="002A793E">
        <w:rPr>
          <w:rFonts w:ascii="Times New Roman" w:hAnsi="Times New Roman" w:cs="Times New Roman"/>
          <w:sz w:val="28"/>
          <w:szCs w:val="28"/>
          <w:lang w:val="es-ES"/>
        </w:rPr>
        <w:t>Igualmente, en el marco de los procedimientos administrativos debe asegurarse el debido proceso y la decisión que adopt</w:t>
      </w:r>
      <w:r w:rsidRPr="002A793E">
        <w:rPr>
          <w:rFonts w:ascii="Times New Roman" w:hAnsi="Times New Roman" w:cs="Times New Roman"/>
          <w:sz w:val="28"/>
          <w:szCs w:val="28"/>
          <w:lang w:val="es-ES"/>
        </w:rPr>
        <w:t>a la ANT en las hipótesis previstas en la disposición acusada se caracteriza por: (i) el deber de respetar el debido proceso; (ii) la prohibición de arbitrariedad; y (iii) el control judicial a través de la acción de nulidad.</w:t>
      </w:r>
    </w:p>
    <w:p w:rsidR="00E12BCA" w:rsidRPr="002A793E" w:rsidRDefault="002A793E" w:rsidP="00E12BCA">
      <w:pPr>
        <w:pStyle w:val="Prrafodelista"/>
        <w:rPr>
          <w:rFonts w:ascii="Times New Roman" w:eastAsia="Calibri" w:hAnsi="Times New Roman" w:cs="Times New Roman"/>
          <w:color w:val="000000" w:themeColor="text1"/>
          <w:sz w:val="28"/>
          <w:szCs w:val="28"/>
          <w:lang w:val="es-ES"/>
        </w:rPr>
      </w:pPr>
    </w:p>
    <w:p w:rsidR="00203B51" w:rsidRPr="002A793E" w:rsidRDefault="002A793E" w:rsidP="007632E8">
      <w:pPr>
        <w:pStyle w:val="Prrafodelista"/>
        <w:numPr>
          <w:ilvl w:val="0"/>
          <w:numId w:val="2"/>
        </w:numPr>
        <w:ind w:left="0" w:firstLine="0"/>
        <w:rPr>
          <w:rFonts w:ascii="Times New Roman" w:hAnsi="Times New Roman" w:cs="Times New Roman"/>
          <w:b/>
          <w:sz w:val="28"/>
          <w:szCs w:val="28"/>
          <w:lang w:val="es-ES"/>
        </w:rPr>
      </w:pPr>
      <w:r w:rsidRPr="002A793E">
        <w:rPr>
          <w:rFonts w:ascii="Times New Roman" w:eastAsia="Calibri" w:hAnsi="Times New Roman" w:cs="Times New Roman"/>
          <w:color w:val="000000" w:themeColor="text1"/>
          <w:sz w:val="28"/>
          <w:szCs w:val="28"/>
          <w:lang w:val="es-ES"/>
        </w:rPr>
        <w:t xml:space="preserve">De otra parte, las entidades </w:t>
      </w:r>
      <w:r w:rsidRPr="002A793E">
        <w:rPr>
          <w:rFonts w:ascii="Times New Roman" w:eastAsia="Calibri" w:hAnsi="Times New Roman" w:cs="Times New Roman"/>
          <w:color w:val="000000" w:themeColor="text1"/>
          <w:sz w:val="28"/>
          <w:szCs w:val="28"/>
          <w:lang w:val="es-ES"/>
        </w:rPr>
        <w:t>destacaron que la disposición acusada comporta un cambio en el procedimiento en algunas materias agrarias con el propósito de lograr la aceleración en la implementación del Plan Nacional de Formalización de la Propiedad Rural</w:t>
      </w:r>
      <w:r w:rsidRPr="002A793E">
        <w:rPr>
          <w:rFonts w:ascii="Times New Roman" w:eastAsia="Calibri" w:hAnsi="Times New Roman" w:cs="Times New Roman"/>
          <w:color w:val="000000" w:themeColor="text1"/>
          <w:sz w:val="28"/>
          <w:szCs w:val="28"/>
          <w:lang w:val="es-ES"/>
        </w:rPr>
        <w:t xml:space="preserve"> y, de esta forma, asegurar la </w:t>
      </w:r>
      <w:r w:rsidRPr="002A793E">
        <w:rPr>
          <w:rFonts w:ascii="Times New Roman" w:eastAsia="Calibri" w:hAnsi="Times New Roman" w:cs="Times New Roman"/>
          <w:color w:val="000000" w:themeColor="text1"/>
          <w:sz w:val="28"/>
          <w:szCs w:val="28"/>
          <w:lang w:val="es-ES"/>
        </w:rPr>
        <w:t>formalización de la propiedad rural y el acceso a la tierra de los campesinos.</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Adicionalmente, indicaron</w:t>
      </w:r>
      <w:r w:rsidRPr="002A793E">
        <w:rPr>
          <w:rFonts w:ascii="Times New Roman" w:hAnsi="Times New Roman" w:cs="Times New Roman"/>
          <w:sz w:val="28"/>
          <w:szCs w:val="28"/>
          <w:lang w:val="es-ES"/>
        </w:rPr>
        <w:t xml:space="preserve"> que la medida es proporcional, pues no se afecta el núcleo básico del derecho al debido proceso, </w:t>
      </w:r>
      <w:r w:rsidRPr="002A793E">
        <w:rPr>
          <w:rFonts w:ascii="Times New Roman" w:hAnsi="Times New Roman" w:cs="Times New Roman"/>
          <w:sz w:val="28"/>
          <w:szCs w:val="28"/>
          <w:lang w:val="es-ES"/>
        </w:rPr>
        <w:t>ya</w:t>
      </w:r>
      <w:r w:rsidRPr="002A793E">
        <w:rPr>
          <w:rFonts w:ascii="Times New Roman" w:hAnsi="Times New Roman" w:cs="Times New Roman"/>
          <w:sz w:val="28"/>
          <w:szCs w:val="28"/>
          <w:lang w:val="es-ES"/>
        </w:rPr>
        <w:t xml:space="preserve"> que el procedimiento administrativo asegura diversas garantías como el derecho de contradicción </w:t>
      </w:r>
      <w:r w:rsidRPr="002A793E">
        <w:rPr>
          <w:rFonts w:ascii="Times New Roman" w:hAnsi="Times New Roman" w:cs="Times New Roman"/>
          <w:sz w:val="28"/>
          <w:szCs w:val="28"/>
          <w:lang w:val="es-ES"/>
        </w:rPr>
        <w:t>y defensa</w:t>
      </w:r>
      <w:r w:rsidRPr="002A793E">
        <w:rPr>
          <w:rFonts w:ascii="Times New Roman" w:hAnsi="Times New Roman" w:cs="Times New Roman"/>
          <w:sz w:val="28"/>
          <w:szCs w:val="28"/>
          <w:lang w:val="es-ES"/>
        </w:rPr>
        <w:t xml:space="preserve">, el principio de legalidad, la observancia de las formas procesales y el control judicial. </w:t>
      </w:r>
      <w:r w:rsidRPr="002A793E">
        <w:rPr>
          <w:rFonts w:ascii="Times New Roman" w:hAnsi="Times New Roman" w:cs="Times New Roman"/>
          <w:sz w:val="28"/>
          <w:szCs w:val="28"/>
          <w:lang w:val="es-ES"/>
        </w:rPr>
        <w:t>Finalmente</w:t>
      </w:r>
      <w:r w:rsidRPr="002A793E">
        <w:rPr>
          <w:rFonts w:ascii="Times New Roman" w:hAnsi="Times New Roman" w:cs="Times New Roman"/>
          <w:sz w:val="28"/>
          <w:szCs w:val="28"/>
          <w:lang w:val="es-ES"/>
        </w:rPr>
        <w:t>, el beneficio general que la medida proporciona</w:t>
      </w:r>
      <w:r w:rsidRPr="002A793E">
        <w:rPr>
          <w:rFonts w:ascii="Times New Roman" w:hAnsi="Times New Roman" w:cs="Times New Roman"/>
          <w:sz w:val="28"/>
          <w:szCs w:val="28"/>
          <w:lang w:val="es-ES"/>
        </w:rPr>
        <w:t xml:space="preserve"> es significativamente superior al costo que apareja</w:t>
      </w:r>
      <w:r w:rsidRPr="002A793E">
        <w:rPr>
          <w:rFonts w:ascii="Times New Roman" w:hAnsi="Times New Roman" w:cs="Times New Roman"/>
          <w:sz w:val="28"/>
          <w:szCs w:val="28"/>
          <w:lang w:val="es-ES"/>
        </w:rPr>
        <w:t xml:space="preserve">, debido a que </w:t>
      </w:r>
      <w:r w:rsidRPr="002A793E">
        <w:rPr>
          <w:rFonts w:ascii="Times New Roman" w:hAnsi="Times New Roman" w:cs="Times New Roman"/>
          <w:sz w:val="28"/>
          <w:szCs w:val="28"/>
          <w:lang w:val="es-ES"/>
        </w:rPr>
        <w:t>la medida</w:t>
      </w:r>
      <w:r w:rsidRPr="002A793E">
        <w:rPr>
          <w:rFonts w:ascii="Times New Roman" w:hAnsi="Times New Roman" w:cs="Times New Roman"/>
          <w:sz w:val="28"/>
          <w:szCs w:val="28"/>
          <w:lang w:val="es-ES"/>
        </w:rPr>
        <w:t xml:space="preserve"> contribuye a</w:t>
      </w:r>
      <w:r w:rsidRPr="002A793E">
        <w:rPr>
          <w:rFonts w:ascii="Times New Roman" w:hAnsi="Times New Roman" w:cs="Times New Roman"/>
          <w:sz w:val="28"/>
          <w:szCs w:val="28"/>
          <w:lang w:val="es-ES"/>
        </w:rPr>
        <w:t>l cumplimiento del Acuerdo Final</w:t>
      </w:r>
      <w:r w:rsidRPr="002A793E">
        <w:rPr>
          <w:rFonts w:ascii="Times New Roman" w:hAnsi="Times New Roman" w:cs="Times New Roman"/>
          <w:sz w:val="28"/>
          <w:szCs w:val="28"/>
          <w:lang w:val="es-ES"/>
        </w:rPr>
        <w:t>.</w:t>
      </w:r>
    </w:p>
    <w:p w:rsidR="004522A5" w:rsidRPr="002A793E" w:rsidRDefault="002A793E" w:rsidP="004522A5">
      <w:pPr>
        <w:pStyle w:val="Prrafodelista"/>
        <w:ind w:left="0"/>
        <w:rPr>
          <w:rFonts w:ascii="Times New Roman" w:hAnsi="Times New Roman" w:cs="Times New Roman"/>
          <w:b/>
          <w:sz w:val="28"/>
          <w:szCs w:val="28"/>
          <w:lang w:val="es-ES"/>
        </w:rPr>
      </w:pPr>
    </w:p>
    <w:p w:rsidR="00203B51" w:rsidRPr="002A793E" w:rsidRDefault="002A793E" w:rsidP="00EE7A55">
      <w:pPr>
        <w:pStyle w:val="Prrafodelista"/>
        <w:numPr>
          <w:ilvl w:val="1"/>
          <w:numId w:val="4"/>
        </w:numPr>
        <w:spacing w:line="360" w:lineRule="atLeast"/>
        <w:rPr>
          <w:rFonts w:ascii="Times New Roman" w:hAnsi="Times New Roman" w:cs="Times New Roman"/>
          <w:b/>
          <w:sz w:val="28"/>
          <w:szCs w:val="28"/>
          <w:lang w:val="es-ES"/>
        </w:rPr>
      </w:pPr>
      <w:r w:rsidRPr="002A793E">
        <w:rPr>
          <w:rFonts w:ascii="Times New Roman" w:hAnsi="Times New Roman" w:cs="Times New Roman"/>
          <w:b/>
          <w:sz w:val="28"/>
          <w:szCs w:val="28"/>
          <w:lang w:val="es-ES"/>
        </w:rPr>
        <w:t xml:space="preserve">Cámara Colombiana de la Construcción -CAMACOL- </w:t>
      </w:r>
    </w:p>
    <w:p w:rsidR="00203B51" w:rsidRPr="002A793E" w:rsidRDefault="002A793E" w:rsidP="00203B51">
      <w:pPr>
        <w:pStyle w:val="Prrafodelista"/>
        <w:ind w:left="0"/>
        <w:rPr>
          <w:rFonts w:ascii="Times New Roman" w:hAnsi="Times New Roman" w:cs="Times New Roman"/>
          <w:b/>
          <w:sz w:val="28"/>
          <w:szCs w:val="28"/>
          <w:lang w:val="es-ES"/>
        </w:rPr>
      </w:pPr>
    </w:p>
    <w:p w:rsidR="00203B51" w:rsidRPr="002A793E" w:rsidRDefault="002A793E" w:rsidP="00203B51">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La Cámara Colombiana de la Construcción</w:t>
      </w:r>
      <w:r w:rsidRPr="002A793E">
        <w:rPr>
          <w:rStyle w:val="Refdenotaalpie"/>
          <w:rFonts w:ascii="Times New Roman" w:eastAsia="Calibri" w:hAnsi="Times New Roman" w:cs="Times New Roman"/>
          <w:color w:val="000000" w:themeColor="text1"/>
          <w:sz w:val="28"/>
          <w:szCs w:val="28"/>
          <w:lang w:val="es-ES"/>
        </w:rPr>
        <w:footnoteReference w:id="24"/>
      </w:r>
      <w:r w:rsidRPr="002A793E">
        <w:rPr>
          <w:rFonts w:ascii="Times New Roman" w:eastAsia="Calibri" w:hAnsi="Times New Roman" w:cs="Times New Roman"/>
          <w:color w:val="000000" w:themeColor="text1"/>
          <w:sz w:val="28"/>
          <w:szCs w:val="28"/>
          <w:lang w:val="es-ES"/>
        </w:rPr>
        <w:t xml:space="preserve"> presentó intervención en la que solicitó que se declare la inexequibilidad del artículo 61 de la Ley 2294 de 2023 por los cuatro cargos admitidos en el proceso de constitucionalidad.</w:t>
      </w:r>
      <w:r w:rsidRPr="002A793E">
        <w:rPr>
          <w:rFonts w:ascii="Times New Roman" w:eastAsia="Calibri" w:hAnsi="Times New Roman" w:cs="Times New Roman"/>
          <w:color w:val="000000" w:themeColor="text1"/>
          <w:sz w:val="28"/>
          <w:szCs w:val="28"/>
          <w:lang w:val="es-ES"/>
        </w:rPr>
        <w:t xml:space="preserve"> En subsidio, solicitó que se declare la </w:t>
      </w:r>
      <w:r w:rsidRPr="002A793E">
        <w:rPr>
          <w:rFonts w:ascii="Times New Roman" w:eastAsia="Calibri" w:hAnsi="Times New Roman" w:cs="Times New Roman"/>
          <w:color w:val="000000" w:themeColor="text1"/>
          <w:sz w:val="28"/>
          <w:szCs w:val="28"/>
          <w:lang w:val="es-ES"/>
        </w:rPr>
        <w:t>exequibilidad</w:t>
      </w:r>
      <w:r w:rsidRPr="002A793E">
        <w:rPr>
          <w:rFonts w:ascii="Times New Roman" w:eastAsia="Calibri" w:hAnsi="Times New Roman" w:cs="Times New Roman"/>
          <w:color w:val="000000" w:themeColor="text1"/>
          <w:sz w:val="28"/>
          <w:szCs w:val="28"/>
          <w:lang w:val="es-ES"/>
        </w:rPr>
        <w:t xml:space="preserve"> condicionada del i</w:t>
      </w:r>
      <w:r w:rsidRPr="002A793E">
        <w:rPr>
          <w:rFonts w:ascii="Times New Roman" w:eastAsia="Calibri" w:hAnsi="Times New Roman" w:cs="Times New Roman"/>
          <w:color w:val="000000" w:themeColor="text1"/>
          <w:sz w:val="28"/>
          <w:szCs w:val="28"/>
          <w:lang w:val="es-ES"/>
        </w:rPr>
        <w:t>n</w:t>
      </w:r>
      <w:r w:rsidRPr="002A793E">
        <w:rPr>
          <w:rFonts w:ascii="Times New Roman" w:hAnsi="Times New Roman" w:cs="Times New Roman"/>
          <w:sz w:val="28"/>
          <w:szCs w:val="28"/>
          <w:lang w:val="es-ES"/>
        </w:rPr>
        <w:t>ciso 3 del numeral 6 acusado bajo el entendido de que la referencia a la acción de nulidad agraria consagrada en el artículo 39 cobija igualmente a quienes no se hayan hecho parte dentro del procedimiento único para los asuntos objeto de derogatoria.</w:t>
      </w:r>
    </w:p>
    <w:p w:rsidR="0051112E" w:rsidRPr="002A793E" w:rsidRDefault="002A793E" w:rsidP="0051112E">
      <w:pPr>
        <w:pStyle w:val="Prrafodelista"/>
        <w:ind w:left="0"/>
        <w:rPr>
          <w:rFonts w:ascii="Times New Roman" w:eastAsia="Calibri" w:hAnsi="Times New Roman" w:cs="Times New Roman"/>
          <w:color w:val="000000" w:themeColor="text1"/>
          <w:sz w:val="28"/>
          <w:szCs w:val="28"/>
          <w:lang w:val="es-ES"/>
        </w:rPr>
      </w:pPr>
    </w:p>
    <w:p w:rsidR="00C56DE2" w:rsidRPr="002A793E" w:rsidRDefault="002A793E" w:rsidP="00F41F46">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Con</w:t>
      </w:r>
      <w:r w:rsidRPr="002A793E">
        <w:rPr>
          <w:rFonts w:ascii="Times New Roman" w:eastAsia="Calibri" w:hAnsi="Times New Roman" w:cs="Times New Roman"/>
          <w:color w:val="000000" w:themeColor="text1"/>
          <w:sz w:val="28"/>
          <w:szCs w:val="28"/>
          <w:lang w:val="es-ES"/>
        </w:rPr>
        <w:t xml:space="preserve"> respecto al</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b/>
          <w:color w:val="000000" w:themeColor="text1"/>
          <w:sz w:val="28"/>
          <w:szCs w:val="28"/>
          <w:lang w:val="es-ES"/>
        </w:rPr>
        <w:t>cargo primero,</w:t>
      </w:r>
      <w:r w:rsidRPr="002A793E">
        <w:rPr>
          <w:rFonts w:ascii="Times New Roman" w:eastAsia="Calibri" w:hAnsi="Times New Roman" w:cs="Times New Roman"/>
          <w:color w:val="000000" w:themeColor="text1"/>
          <w:sz w:val="28"/>
          <w:szCs w:val="28"/>
          <w:lang w:val="es-ES"/>
        </w:rPr>
        <w:t xml:space="preserve"> la entidad reiteró los argumentos expuestos en la demanda sobre la falta de publicidad de la proposición avalada y aprobada en relación con el entonces artículo 55, actual artículo 61 de la Ley 2294 de 2023. </w:t>
      </w:r>
      <w:r w:rsidRPr="002A793E">
        <w:rPr>
          <w:rFonts w:ascii="Times New Roman" w:eastAsia="Calibri" w:hAnsi="Times New Roman" w:cs="Times New Roman"/>
          <w:color w:val="000000" w:themeColor="text1"/>
          <w:sz w:val="28"/>
          <w:szCs w:val="28"/>
          <w:lang w:val="es-ES"/>
        </w:rPr>
        <w:t>A</w:t>
      </w:r>
      <w:r w:rsidRPr="002A793E">
        <w:rPr>
          <w:rFonts w:ascii="Times New Roman" w:eastAsia="Calibri" w:hAnsi="Times New Roman" w:cs="Times New Roman"/>
          <w:color w:val="000000" w:themeColor="text1"/>
          <w:sz w:val="28"/>
          <w:szCs w:val="28"/>
          <w:lang w:val="es-ES"/>
        </w:rPr>
        <w:t>l respecto</w:t>
      </w:r>
      <w:r w:rsidRPr="002A793E">
        <w:rPr>
          <w:rFonts w:ascii="Times New Roman" w:eastAsia="Calibri" w:hAnsi="Times New Roman" w:cs="Times New Roman"/>
          <w:color w:val="000000" w:themeColor="text1"/>
          <w:sz w:val="28"/>
          <w:szCs w:val="28"/>
          <w:lang w:val="es-ES"/>
        </w:rPr>
        <w:t xml:space="preserve">, la entidad destacó </w:t>
      </w:r>
      <w:r w:rsidRPr="002A793E">
        <w:rPr>
          <w:rFonts w:ascii="Times New Roman" w:eastAsia="Calibri" w:hAnsi="Times New Roman" w:cs="Times New Roman"/>
          <w:color w:val="000000" w:themeColor="text1"/>
          <w:sz w:val="28"/>
          <w:szCs w:val="28"/>
          <w:lang w:val="es-ES"/>
        </w:rPr>
        <w:t>que</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el presidente del Senado no leyó las proposiciones avaladas y estas no fueron publicadas por algún medio alternativo que permitiera el conocimiento efectivo de los congresistas.</w:t>
      </w:r>
    </w:p>
    <w:p w:rsidR="00D445B0" w:rsidRPr="002A793E" w:rsidRDefault="002A793E" w:rsidP="00D445B0">
      <w:pPr>
        <w:pStyle w:val="Prrafodelista"/>
        <w:rPr>
          <w:rFonts w:ascii="Times New Roman" w:eastAsia="Calibri" w:hAnsi="Times New Roman" w:cs="Times New Roman"/>
          <w:color w:val="000000" w:themeColor="text1"/>
          <w:sz w:val="28"/>
          <w:szCs w:val="28"/>
          <w:lang w:val="es-ES"/>
        </w:rPr>
      </w:pPr>
    </w:p>
    <w:p w:rsidR="00153869" w:rsidRPr="002A793E" w:rsidRDefault="002A793E" w:rsidP="00F41F46">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Con respecto al </w:t>
      </w:r>
      <w:r w:rsidRPr="002A793E">
        <w:rPr>
          <w:rFonts w:ascii="Times New Roman" w:eastAsia="Calibri" w:hAnsi="Times New Roman" w:cs="Times New Roman"/>
          <w:b/>
          <w:color w:val="000000" w:themeColor="text1"/>
          <w:sz w:val="28"/>
          <w:szCs w:val="28"/>
          <w:lang w:val="es-ES"/>
        </w:rPr>
        <w:t>cargo segundo</w:t>
      </w:r>
      <w:r w:rsidRPr="002A793E">
        <w:rPr>
          <w:rFonts w:ascii="Times New Roman" w:eastAsia="Calibri" w:hAnsi="Times New Roman" w:cs="Times New Roman"/>
          <w:color w:val="000000" w:themeColor="text1"/>
          <w:sz w:val="28"/>
          <w:szCs w:val="28"/>
          <w:lang w:val="es-ES"/>
        </w:rPr>
        <w:t xml:space="preserve">, la interviniente </w:t>
      </w:r>
      <w:r w:rsidRPr="002A793E">
        <w:rPr>
          <w:rFonts w:ascii="Times New Roman" w:eastAsia="Calibri" w:hAnsi="Times New Roman" w:cs="Times New Roman"/>
          <w:color w:val="000000" w:themeColor="text1"/>
          <w:sz w:val="28"/>
          <w:szCs w:val="28"/>
          <w:lang w:val="es-ES"/>
        </w:rPr>
        <w:t>señal</w:t>
      </w:r>
      <w:r w:rsidRPr="002A793E">
        <w:rPr>
          <w:rFonts w:ascii="Times New Roman" w:eastAsia="Calibri" w:hAnsi="Times New Roman" w:cs="Times New Roman"/>
          <w:color w:val="000000" w:themeColor="text1"/>
          <w:sz w:val="28"/>
          <w:szCs w:val="28"/>
          <w:lang w:val="es-ES"/>
        </w:rPr>
        <w:t>ó</w:t>
      </w:r>
      <w:r w:rsidRPr="002A793E">
        <w:rPr>
          <w:rFonts w:ascii="Times New Roman" w:eastAsia="Calibri" w:hAnsi="Times New Roman" w:cs="Times New Roman"/>
          <w:color w:val="000000" w:themeColor="text1"/>
          <w:sz w:val="28"/>
          <w:szCs w:val="28"/>
          <w:lang w:val="es-ES"/>
        </w:rPr>
        <w:t xml:space="preserve"> que la disposición acusada desconoce el principio de unidad de materia, debido a que se trata de una medida instrumental que no guarda una conexidad directa </w:t>
      </w:r>
      <w:r w:rsidRPr="002A793E">
        <w:rPr>
          <w:rFonts w:ascii="Times New Roman" w:eastAsia="Calibri" w:hAnsi="Times New Roman" w:cs="Times New Roman"/>
          <w:color w:val="000000" w:themeColor="text1"/>
          <w:sz w:val="28"/>
          <w:szCs w:val="28"/>
          <w:lang w:val="es-ES"/>
        </w:rPr>
        <w:t xml:space="preserve">e inmediata </w:t>
      </w:r>
      <w:r w:rsidRPr="002A793E">
        <w:rPr>
          <w:rFonts w:ascii="Times New Roman" w:eastAsia="Calibri" w:hAnsi="Times New Roman" w:cs="Times New Roman"/>
          <w:color w:val="000000" w:themeColor="text1"/>
          <w:sz w:val="28"/>
          <w:szCs w:val="28"/>
          <w:lang w:val="es-ES"/>
        </w:rPr>
        <w:t>con las metas, objetivos y planes del PND 2022-2026. Para sustentar esta conclus</w:t>
      </w:r>
      <w:r w:rsidRPr="002A793E">
        <w:rPr>
          <w:rFonts w:ascii="Times New Roman" w:eastAsia="Calibri" w:hAnsi="Times New Roman" w:cs="Times New Roman"/>
          <w:color w:val="000000" w:themeColor="text1"/>
          <w:sz w:val="28"/>
          <w:szCs w:val="28"/>
          <w:lang w:val="es-ES"/>
        </w:rPr>
        <w:t>ión la entidad plante</w:t>
      </w:r>
      <w:r w:rsidRPr="002A793E">
        <w:rPr>
          <w:rFonts w:ascii="Times New Roman" w:eastAsia="Calibri" w:hAnsi="Times New Roman" w:cs="Times New Roman"/>
          <w:color w:val="000000" w:themeColor="text1"/>
          <w:sz w:val="28"/>
          <w:szCs w:val="28"/>
          <w:lang w:val="es-ES"/>
        </w:rPr>
        <w:t xml:space="preserve">ó </w:t>
      </w:r>
      <w:r w:rsidRPr="002A793E">
        <w:rPr>
          <w:rFonts w:ascii="Times New Roman" w:eastAsia="Calibri" w:hAnsi="Times New Roman" w:cs="Times New Roman"/>
          <w:color w:val="000000" w:themeColor="text1"/>
          <w:sz w:val="28"/>
          <w:szCs w:val="28"/>
          <w:lang w:val="es-ES"/>
        </w:rPr>
        <w:t>que el artículo 61 es una norma instrumental con un carácter permanente y en las Bases del PND no se hace referencia a la necesidad de ajustar el PUO. En ese contexto, esa disposición no tiene ninguna relación con</w:t>
      </w:r>
      <w:r w:rsidRPr="002A793E">
        <w:rPr>
          <w:rFonts w:ascii="Times New Roman" w:eastAsia="Calibri" w:hAnsi="Times New Roman" w:cs="Times New Roman"/>
          <w:color w:val="000000" w:themeColor="text1"/>
          <w:sz w:val="28"/>
          <w:szCs w:val="28"/>
          <w:lang w:val="es-ES"/>
        </w:rPr>
        <w:t xml:space="preserve"> los lineamientos id</w:t>
      </w:r>
      <w:r w:rsidRPr="002A793E">
        <w:rPr>
          <w:rFonts w:ascii="Times New Roman" w:eastAsia="Calibri" w:hAnsi="Times New Roman" w:cs="Times New Roman"/>
          <w:color w:val="000000" w:themeColor="text1"/>
          <w:sz w:val="28"/>
          <w:szCs w:val="28"/>
          <w:lang w:val="es-ES"/>
        </w:rPr>
        <w:t>entificados en la parte general del P</w:t>
      </w:r>
      <w:r w:rsidRPr="002A793E">
        <w:rPr>
          <w:rFonts w:ascii="Times New Roman" w:eastAsia="Calibri" w:hAnsi="Times New Roman" w:cs="Times New Roman"/>
          <w:color w:val="000000" w:themeColor="text1"/>
          <w:sz w:val="28"/>
          <w:szCs w:val="28"/>
          <w:lang w:val="es-ES"/>
        </w:rPr>
        <w:t>ND</w:t>
      </w:r>
      <w:r w:rsidRPr="002A793E">
        <w:rPr>
          <w:rFonts w:ascii="Times New Roman" w:eastAsia="Calibri" w:hAnsi="Times New Roman" w:cs="Times New Roman"/>
          <w:color w:val="000000" w:themeColor="text1"/>
          <w:sz w:val="28"/>
          <w:szCs w:val="28"/>
          <w:lang w:val="es-ES"/>
        </w:rPr>
        <w:t xml:space="preserve">. </w:t>
      </w:r>
    </w:p>
    <w:p w:rsidR="00031CAC" w:rsidRPr="002A793E" w:rsidRDefault="002A793E" w:rsidP="00031CAC">
      <w:pPr>
        <w:pStyle w:val="Prrafodelista"/>
        <w:ind w:left="1080"/>
        <w:rPr>
          <w:rFonts w:ascii="Times New Roman" w:hAnsi="Times New Roman" w:cs="Times New Roman"/>
          <w:sz w:val="28"/>
          <w:szCs w:val="28"/>
          <w:lang w:val="es-ES"/>
        </w:rPr>
      </w:pPr>
    </w:p>
    <w:p w:rsidR="00C56DE2" w:rsidRPr="002A793E" w:rsidRDefault="002A793E" w:rsidP="007632E8">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Con fundamento en lo expuesto, CAMACOL concluy</w:t>
      </w:r>
      <w:r w:rsidRPr="002A793E">
        <w:rPr>
          <w:rFonts w:ascii="Times New Roman" w:eastAsia="Calibri" w:hAnsi="Times New Roman" w:cs="Times New Roman"/>
          <w:color w:val="000000" w:themeColor="text1"/>
          <w:sz w:val="28"/>
          <w:szCs w:val="28"/>
          <w:lang w:val="es-ES"/>
        </w:rPr>
        <w:t>ó</w:t>
      </w:r>
      <w:r w:rsidRPr="002A793E">
        <w:rPr>
          <w:rFonts w:ascii="Times New Roman" w:eastAsia="Calibri" w:hAnsi="Times New Roman" w:cs="Times New Roman"/>
          <w:color w:val="000000" w:themeColor="text1"/>
          <w:sz w:val="28"/>
          <w:szCs w:val="28"/>
          <w:lang w:val="es-ES"/>
        </w:rPr>
        <w:t xml:space="preserve"> que no está acreditada una relación de medio a fin entre la disposición acusada, de naturaleza instrumental, con los objetivos y metas del PND 2022-2026</w:t>
      </w:r>
      <w:r w:rsidRPr="002A793E">
        <w:rPr>
          <w:rFonts w:ascii="Times New Roman" w:eastAsia="Calibri" w:hAnsi="Times New Roman" w:cs="Times New Roman"/>
          <w:color w:val="000000" w:themeColor="text1"/>
          <w:sz w:val="28"/>
          <w:szCs w:val="28"/>
          <w:lang w:val="es-ES"/>
        </w:rPr>
        <w:t>.</w:t>
      </w:r>
    </w:p>
    <w:p w:rsidR="004522A5" w:rsidRPr="002A793E" w:rsidRDefault="002A793E" w:rsidP="004522A5">
      <w:pPr>
        <w:pStyle w:val="Prrafodelista"/>
        <w:ind w:left="0"/>
        <w:rPr>
          <w:rFonts w:ascii="Times New Roman" w:eastAsia="Calibri" w:hAnsi="Times New Roman" w:cs="Times New Roman"/>
          <w:color w:val="000000" w:themeColor="text1"/>
          <w:sz w:val="28"/>
          <w:szCs w:val="28"/>
          <w:lang w:val="es-ES"/>
        </w:rPr>
      </w:pPr>
    </w:p>
    <w:p w:rsidR="005225A7" w:rsidRPr="002A793E" w:rsidRDefault="002A793E" w:rsidP="007632E8">
      <w:pPr>
        <w:pStyle w:val="Prrafodelista"/>
        <w:numPr>
          <w:ilvl w:val="0"/>
          <w:numId w:val="2"/>
        </w:numPr>
        <w:ind w:left="0" w:firstLine="0"/>
        <w:rPr>
          <w:rFonts w:ascii="Times New Roman" w:hAnsi="Times New Roman" w:cs="Times New Roman"/>
          <w:sz w:val="28"/>
          <w:szCs w:val="28"/>
          <w:lang w:val="es-ES"/>
        </w:rPr>
      </w:pPr>
      <w:r w:rsidRPr="002A793E">
        <w:rPr>
          <w:rFonts w:ascii="Times New Roman" w:hAnsi="Times New Roman" w:cs="Times New Roman"/>
          <w:sz w:val="28"/>
          <w:szCs w:val="28"/>
          <w:lang w:val="es-ES"/>
        </w:rPr>
        <w:t xml:space="preserve">En relación con el </w:t>
      </w:r>
      <w:r w:rsidRPr="002A793E">
        <w:rPr>
          <w:rFonts w:ascii="Times New Roman" w:hAnsi="Times New Roman" w:cs="Times New Roman"/>
          <w:b/>
          <w:sz w:val="28"/>
          <w:szCs w:val="28"/>
          <w:lang w:val="es-ES"/>
        </w:rPr>
        <w:t>cargo tercero</w:t>
      </w:r>
      <w:r w:rsidRPr="002A793E">
        <w:rPr>
          <w:rFonts w:ascii="Times New Roman" w:hAnsi="Times New Roman" w:cs="Times New Roman"/>
          <w:sz w:val="28"/>
          <w:szCs w:val="28"/>
          <w:lang w:val="es-ES"/>
        </w:rPr>
        <w:t>, la entidad indicó que</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tal y como lo plantea el demandante</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w:t>
      </w:r>
      <w:r w:rsidRPr="002A793E">
        <w:rPr>
          <w:rFonts w:ascii="Times New Roman" w:eastAsia="Calibri" w:hAnsi="Times New Roman" w:cs="Times New Roman"/>
          <w:color w:val="000000" w:themeColor="text1"/>
          <w:sz w:val="28"/>
          <w:szCs w:val="28"/>
          <w:lang w:val="es-ES"/>
        </w:rPr>
        <w:t>el artículo 61</w:t>
      </w:r>
      <w:r w:rsidRPr="002A793E">
        <w:rPr>
          <w:rFonts w:ascii="Times New Roman" w:eastAsia="Calibri" w:hAnsi="Times New Roman" w:cs="Times New Roman"/>
          <w:color w:val="000000" w:themeColor="text1"/>
          <w:sz w:val="28"/>
          <w:szCs w:val="28"/>
          <w:lang w:val="es-ES"/>
        </w:rPr>
        <w:t xml:space="preserve"> parcial </w:t>
      </w:r>
      <w:r w:rsidRPr="002A793E">
        <w:rPr>
          <w:rFonts w:ascii="Times New Roman" w:eastAsia="Calibri" w:hAnsi="Times New Roman" w:cs="Times New Roman"/>
          <w:color w:val="000000" w:themeColor="text1"/>
          <w:sz w:val="28"/>
          <w:szCs w:val="28"/>
          <w:lang w:val="es-ES"/>
        </w:rPr>
        <w:t xml:space="preserve">demandado: </w:t>
      </w:r>
      <w:r w:rsidRPr="002A793E">
        <w:rPr>
          <w:rFonts w:ascii="Times New Roman" w:hAnsi="Times New Roman" w:cs="Times New Roman"/>
          <w:sz w:val="28"/>
          <w:szCs w:val="28"/>
          <w:lang w:val="es-ES"/>
        </w:rPr>
        <w:t>(i) elimina la fase judicial para los asuntos enunciados</w:t>
      </w:r>
      <w:r w:rsidRPr="002A793E">
        <w:rPr>
          <w:rFonts w:ascii="Times New Roman" w:hAnsi="Times New Roman" w:cs="Times New Roman"/>
          <w:sz w:val="28"/>
          <w:szCs w:val="28"/>
          <w:lang w:val="es-ES"/>
        </w:rPr>
        <w:t xml:space="preserve"> en la </w:t>
      </w:r>
      <w:r w:rsidRPr="002A793E">
        <w:rPr>
          <w:rFonts w:ascii="Times New Roman" w:hAnsi="Times New Roman" w:cs="Times New Roman"/>
          <w:sz w:val="28"/>
          <w:szCs w:val="28"/>
          <w:lang w:val="es-ES"/>
        </w:rPr>
        <w:t>disposición</w:t>
      </w:r>
      <w:r w:rsidRPr="002A793E">
        <w:rPr>
          <w:rFonts w:ascii="Times New Roman" w:hAnsi="Times New Roman" w:cs="Times New Roman"/>
          <w:sz w:val="28"/>
          <w:szCs w:val="28"/>
          <w:lang w:val="es-ES"/>
        </w:rPr>
        <w:t xml:space="preserve"> y (ii) limita la acción de nulidad para los sujetos que no hicieron parte del PUO, circunstancias que transgreden el derecho de acceso a la administración de justicia</w:t>
      </w:r>
      <w:r w:rsidRPr="002A793E">
        <w:rPr>
          <w:rFonts w:ascii="Times New Roman" w:hAnsi="Times New Roman" w:cs="Times New Roman"/>
          <w:sz w:val="28"/>
          <w:szCs w:val="28"/>
          <w:lang w:val="es-ES"/>
        </w:rPr>
        <w:t xml:space="preserve"> y el derecho a la propiedad.</w:t>
      </w:r>
      <w:r w:rsidRPr="002A793E">
        <w:rPr>
          <w:rFonts w:ascii="Times New Roman" w:hAnsi="Times New Roman" w:cs="Times New Roman"/>
          <w:sz w:val="28"/>
          <w:szCs w:val="28"/>
          <w:lang w:val="es-ES"/>
        </w:rPr>
        <w:t xml:space="preserve"> </w:t>
      </w:r>
    </w:p>
    <w:p w:rsidR="002468C5" w:rsidRPr="002A793E" w:rsidRDefault="002A793E" w:rsidP="002468C5">
      <w:pPr>
        <w:pStyle w:val="Prrafodelista"/>
        <w:rPr>
          <w:rFonts w:ascii="Times New Roman" w:hAnsi="Times New Roman" w:cs="Times New Roman"/>
          <w:sz w:val="28"/>
          <w:szCs w:val="28"/>
          <w:lang w:val="es-ES"/>
        </w:rPr>
      </w:pPr>
    </w:p>
    <w:p w:rsidR="00153869" w:rsidRPr="002A793E" w:rsidRDefault="002A793E" w:rsidP="002468C5">
      <w:pPr>
        <w:pStyle w:val="Prrafodelista"/>
        <w:numPr>
          <w:ilvl w:val="0"/>
          <w:numId w:val="2"/>
        </w:numPr>
        <w:ind w:left="0" w:firstLine="0"/>
        <w:rPr>
          <w:rFonts w:ascii="Times New Roman" w:hAnsi="Times New Roman" w:cs="Times New Roman"/>
          <w:sz w:val="28"/>
          <w:szCs w:val="28"/>
          <w:lang w:val="es-ES"/>
        </w:rPr>
      </w:pPr>
      <w:r w:rsidRPr="002A793E">
        <w:rPr>
          <w:rFonts w:ascii="Times New Roman" w:hAnsi="Times New Roman" w:cs="Times New Roman"/>
          <w:sz w:val="28"/>
          <w:szCs w:val="28"/>
          <w:lang w:val="es-ES"/>
        </w:rPr>
        <w:t xml:space="preserve">En relación con el </w:t>
      </w:r>
      <w:r w:rsidRPr="002A793E">
        <w:rPr>
          <w:rFonts w:ascii="Times New Roman" w:hAnsi="Times New Roman" w:cs="Times New Roman"/>
          <w:b/>
          <w:sz w:val="28"/>
          <w:szCs w:val="28"/>
          <w:lang w:val="es-ES"/>
        </w:rPr>
        <w:t>cargo cuarto</w:t>
      </w:r>
      <w:r w:rsidRPr="002A793E">
        <w:rPr>
          <w:rFonts w:ascii="Times New Roman" w:hAnsi="Times New Roman" w:cs="Times New Roman"/>
          <w:sz w:val="28"/>
          <w:szCs w:val="28"/>
          <w:lang w:val="es-ES"/>
        </w:rPr>
        <w:t>, la entidad coadyuv</w:t>
      </w:r>
      <w:r w:rsidRPr="002A793E">
        <w:rPr>
          <w:rFonts w:ascii="Times New Roman" w:hAnsi="Times New Roman" w:cs="Times New Roman"/>
          <w:sz w:val="28"/>
          <w:szCs w:val="28"/>
          <w:lang w:val="es-ES"/>
        </w:rPr>
        <w:t>ó</w:t>
      </w:r>
      <w:r w:rsidRPr="002A793E">
        <w:rPr>
          <w:rFonts w:ascii="Times New Roman" w:hAnsi="Times New Roman" w:cs="Times New Roman"/>
          <w:sz w:val="28"/>
          <w:szCs w:val="28"/>
          <w:lang w:val="es-ES"/>
        </w:rPr>
        <w:t xml:space="preserve"> el planteamiento formulado por el demandante</w:t>
      </w:r>
      <w:r w:rsidRPr="002A793E">
        <w:rPr>
          <w:rFonts w:ascii="Times New Roman" w:hAnsi="Times New Roman" w:cs="Times New Roman"/>
          <w:sz w:val="28"/>
          <w:szCs w:val="28"/>
          <w:lang w:val="es-ES"/>
        </w:rPr>
        <w:t xml:space="preserve">. A su juicio, </w:t>
      </w:r>
      <w:r w:rsidRPr="002A793E">
        <w:rPr>
          <w:rFonts w:ascii="Times New Roman" w:hAnsi="Times New Roman" w:cs="Times New Roman"/>
          <w:sz w:val="28"/>
          <w:szCs w:val="28"/>
          <w:lang w:val="es-ES"/>
        </w:rPr>
        <w:t xml:space="preserve">una vez establecida la garantía de control judicial de las decisiones de la administración </w:t>
      </w:r>
      <w:r w:rsidRPr="002A793E">
        <w:rPr>
          <w:rFonts w:ascii="Times New Roman" w:hAnsi="Times New Roman" w:cs="Times New Roman"/>
          <w:sz w:val="28"/>
          <w:szCs w:val="28"/>
          <w:lang w:val="es-ES"/>
        </w:rPr>
        <w:t xml:space="preserve">la </w:t>
      </w:r>
      <w:r w:rsidRPr="002A793E">
        <w:rPr>
          <w:rFonts w:ascii="Times New Roman" w:hAnsi="Times New Roman" w:cs="Times New Roman"/>
          <w:sz w:val="28"/>
          <w:szCs w:val="28"/>
          <w:lang w:val="es-ES"/>
        </w:rPr>
        <w:t>eliminación</w:t>
      </w:r>
      <w:r w:rsidRPr="002A793E">
        <w:rPr>
          <w:rFonts w:ascii="Times New Roman" w:hAnsi="Times New Roman" w:cs="Times New Roman"/>
          <w:sz w:val="28"/>
          <w:szCs w:val="28"/>
          <w:lang w:val="es-ES"/>
        </w:rPr>
        <w:t xml:space="preserve"> de ese control</w:t>
      </w:r>
      <w:r w:rsidRPr="002A793E">
        <w:rPr>
          <w:rFonts w:ascii="Times New Roman" w:hAnsi="Times New Roman" w:cs="Times New Roman"/>
          <w:sz w:val="28"/>
          <w:szCs w:val="28"/>
          <w:lang w:val="es-ES"/>
        </w:rPr>
        <w:t xml:space="preserve"> constituye un retroceso que afecta el contenido esencial de los derechos in</w:t>
      </w:r>
      <w:r w:rsidRPr="002A793E">
        <w:rPr>
          <w:rFonts w:ascii="Times New Roman" w:hAnsi="Times New Roman" w:cs="Times New Roman"/>
          <w:sz w:val="28"/>
          <w:szCs w:val="28"/>
          <w:lang w:val="es-ES"/>
        </w:rPr>
        <w:t>vocados</w:t>
      </w:r>
      <w:r w:rsidRPr="002A793E">
        <w:rPr>
          <w:rFonts w:ascii="Times New Roman" w:hAnsi="Times New Roman" w:cs="Times New Roman"/>
          <w:sz w:val="28"/>
          <w:szCs w:val="28"/>
          <w:lang w:val="es-ES"/>
        </w:rPr>
        <w:t xml:space="preserve"> como el derecho a la propiedad</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circunstancia</w:t>
      </w:r>
      <w:r w:rsidRPr="002A793E">
        <w:rPr>
          <w:rFonts w:ascii="Times New Roman" w:hAnsi="Times New Roman" w:cs="Times New Roman"/>
          <w:sz w:val="28"/>
          <w:szCs w:val="28"/>
          <w:lang w:val="es-ES"/>
        </w:rPr>
        <w:t xml:space="preserve"> que amerita la expulsión de las disposiciones acusadas del ordenamiento jurídico</w:t>
      </w:r>
      <w:r w:rsidRPr="002A793E">
        <w:rPr>
          <w:rFonts w:ascii="Times New Roman" w:hAnsi="Times New Roman" w:cs="Times New Roman"/>
          <w:sz w:val="28"/>
          <w:szCs w:val="28"/>
          <w:lang w:val="es-ES"/>
        </w:rPr>
        <w:t xml:space="preserve">. </w:t>
      </w:r>
    </w:p>
    <w:p w:rsidR="00D442CC" w:rsidRPr="002A793E" w:rsidRDefault="002A793E" w:rsidP="00D442CC">
      <w:pPr>
        <w:rPr>
          <w:rFonts w:ascii="Times New Roman" w:eastAsia="Calibri" w:hAnsi="Times New Roman" w:cs="Times New Roman"/>
          <w:color w:val="000000" w:themeColor="text1"/>
          <w:sz w:val="28"/>
          <w:szCs w:val="28"/>
          <w:lang w:val="es-ES"/>
        </w:rPr>
      </w:pPr>
    </w:p>
    <w:p w:rsidR="00D442CC" w:rsidRPr="002A793E" w:rsidRDefault="002A793E" w:rsidP="00EE7A55">
      <w:pPr>
        <w:pStyle w:val="Prrafodelista"/>
        <w:numPr>
          <w:ilvl w:val="1"/>
          <w:numId w:val="4"/>
        </w:numPr>
        <w:spacing w:line="360" w:lineRule="atLeast"/>
        <w:rPr>
          <w:rFonts w:ascii="Times New Roman" w:eastAsia="Calibri" w:hAnsi="Times New Roman" w:cs="Times New Roman"/>
          <w:b/>
          <w:color w:val="000000" w:themeColor="text1"/>
          <w:sz w:val="28"/>
          <w:szCs w:val="28"/>
          <w:lang w:val="es-ES"/>
        </w:rPr>
      </w:pPr>
      <w:r w:rsidRPr="002A793E">
        <w:rPr>
          <w:rFonts w:ascii="Times New Roman" w:eastAsia="Calibri" w:hAnsi="Times New Roman" w:cs="Times New Roman"/>
          <w:b/>
          <w:color w:val="000000" w:themeColor="text1"/>
          <w:sz w:val="28"/>
          <w:szCs w:val="28"/>
          <w:lang w:val="es-ES"/>
        </w:rPr>
        <w:t xml:space="preserve">Nicole </w:t>
      </w:r>
      <w:r w:rsidRPr="002A793E">
        <w:rPr>
          <w:rFonts w:ascii="Times New Roman" w:hAnsi="Times New Roman" w:cs="Times New Roman"/>
          <w:b/>
          <w:sz w:val="28"/>
          <w:szCs w:val="28"/>
          <w:lang w:val="es-ES"/>
        </w:rPr>
        <w:t>Sofía</w:t>
      </w:r>
      <w:r w:rsidRPr="002A793E">
        <w:rPr>
          <w:rFonts w:ascii="Times New Roman" w:eastAsia="Calibri" w:hAnsi="Times New Roman" w:cs="Times New Roman"/>
          <w:b/>
          <w:color w:val="000000" w:themeColor="text1"/>
          <w:sz w:val="28"/>
          <w:szCs w:val="28"/>
          <w:lang w:val="es-ES"/>
        </w:rPr>
        <w:t xml:space="preserve"> Salamanca Parra</w:t>
      </w:r>
    </w:p>
    <w:p w:rsidR="00D442CC" w:rsidRPr="002A793E" w:rsidRDefault="002A793E" w:rsidP="00D442CC">
      <w:pPr>
        <w:rPr>
          <w:rFonts w:ascii="Times New Roman" w:eastAsia="Calibri" w:hAnsi="Times New Roman" w:cs="Times New Roman"/>
          <w:color w:val="000000" w:themeColor="text1"/>
          <w:sz w:val="28"/>
          <w:szCs w:val="28"/>
          <w:lang w:val="es-ES"/>
        </w:rPr>
      </w:pPr>
    </w:p>
    <w:p w:rsidR="00D442CC" w:rsidRPr="002A793E" w:rsidRDefault="002A793E" w:rsidP="00D442CC">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La ciudadana Nicole Sofía Salamanca Parra solicitó que se declare la inexequibilidad del</w:t>
      </w:r>
      <w:r w:rsidRPr="002A793E">
        <w:rPr>
          <w:rFonts w:ascii="Times New Roman" w:eastAsia="Calibri" w:hAnsi="Times New Roman" w:cs="Times New Roman"/>
          <w:color w:val="000000" w:themeColor="text1"/>
          <w:sz w:val="28"/>
          <w:szCs w:val="28"/>
          <w:lang w:val="es-ES"/>
        </w:rPr>
        <w:t xml:space="preserve"> artículo 61 de la Ley 2294 de 2023 por los cuatro cargos admitidos en el proceso de constitucionalidad.</w:t>
      </w:r>
    </w:p>
    <w:p w:rsidR="00D442CC" w:rsidRPr="002A793E" w:rsidRDefault="002A793E" w:rsidP="00D442CC">
      <w:pPr>
        <w:pStyle w:val="Prrafodelista"/>
        <w:rPr>
          <w:rFonts w:ascii="Times New Roman" w:hAnsi="Times New Roman" w:cs="Times New Roman"/>
          <w:sz w:val="28"/>
          <w:szCs w:val="28"/>
          <w:lang w:val="es-ES"/>
        </w:rPr>
      </w:pPr>
    </w:p>
    <w:p w:rsidR="00155E03" w:rsidRPr="002A793E" w:rsidRDefault="002A793E" w:rsidP="00D442CC">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Con respecto al </w:t>
      </w:r>
      <w:r w:rsidRPr="002A793E">
        <w:rPr>
          <w:rFonts w:ascii="Times New Roman" w:eastAsia="Calibri" w:hAnsi="Times New Roman" w:cs="Times New Roman"/>
          <w:b/>
          <w:color w:val="000000" w:themeColor="text1"/>
          <w:sz w:val="28"/>
          <w:szCs w:val="28"/>
          <w:lang w:val="es-ES"/>
        </w:rPr>
        <w:t>cargo primero</w:t>
      </w:r>
      <w:r w:rsidRPr="002A793E">
        <w:rPr>
          <w:rFonts w:ascii="Times New Roman" w:eastAsia="Calibri" w:hAnsi="Times New Roman" w:cs="Times New Roman"/>
          <w:color w:val="000000" w:themeColor="text1"/>
          <w:sz w:val="28"/>
          <w:szCs w:val="28"/>
          <w:lang w:val="es-ES"/>
        </w:rPr>
        <w:t>, la interviniente indicó que</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tal y como lo propuso la demanda</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las proposiciones que introdujeron modificaciones al artículo 61</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hAnsi="Times New Roman" w:cs="Times New Roman"/>
          <w:sz w:val="28"/>
          <w:szCs w:val="28"/>
          <w:lang w:val="es-ES"/>
        </w:rPr>
        <w:t>no fueron conocidas por los senadores antes de la votación, pues la publicidad se efectuó a través de la explicación del presidente del Senado, que se limitó a describir el numeral 2 en lo q</w:t>
      </w:r>
      <w:r w:rsidRPr="002A793E">
        <w:rPr>
          <w:rFonts w:ascii="Times New Roman" w:hAnsi="Times New Roman" w:cs="Times New Roman"/>
          <w:sz w:val="28"/>
          <w:szCs w:val="28"/>
          <w:lang w:val="es-ES"/>
        </w:rPr>
        <w:t>ue respecta a las reservas técnicas que debían ser constituidas. Por lo tanto, se transgredió el principio de publicidad que informa el trámite legislativo.</w:t>
      </w:r>
    </w:p>
    <w:p w:rsidR="00155E03" w:rsidRPr="002A793E" w:rsidRDefault="002A793E" w:rsidP="00155E03">
      <w:pPr>
        <w:pStyle w:val="Prrafodelista"/>
        <w:rPr>
          <w:rFonts w:ascii="Times New Roman" w:hAnsi="Times New Roman" w:cs="Times New Roman"/>
          <w:sz w:val="28"/>
          <w:szCs w:val="28"/>
          <w:lang w:val="es-ES"/>
        </w:rPr>
      </w:pPr>
    </w:p>
    <w:p w:rsidR="00571C14" w:rsidRPr="002A793E" w:rsidRDefault="002A793E" w:rsidP="007632E8">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hAnsi="Times New Roman" w:cs="Times New Roman"/>
          <w:sz w:val="28"/>
          <w:szCs w:val="28"/>
          <w:lang w:val="es-ES"/>
        </w:rPr>
        <w:t xml:space="preserve">En relación con el </w:t>
      </w:r>
      <w:r w:rsidRPr="002A793E">
        <w:rPr>
          <w:rFonts w:ascii="Times New Roman" w:hAnsi="Times New Roman" w:cs="Times New Roman"/>
          <w:b/>
          <w:sz w:val="28"/>
          <w:szCs w:val="28"/>
          <w:lang w:val="es-ES"/>
        </w:rPr>
        <w:t>cargo segundo</w:t>
      </w:r>
      <w:r w:rsidRPr="002A793E">
        <w:rPr>
          <w:rFonts w:ascii="Times New Roman" w:hAnsi="Times New Roman" w:cs="Times New Roman"/>
          <w:sz w:val="28"/>
          <w:szCs w:val="28"/>
          <w:lang w:val="es-ES"/>
        </w:rPr>
        <w:t xml:space="preserve">, </w:t>
      </w:r>
      <w:r w:rsidRPr="002A793E">
        <w:rPr>
          <w:rFonts w:ascii="Times New Roman" w:eastAsia="Calibri" w:hAnsi="Times New Roman" w:cs="Times New Roman"/>
          <w:color w:val="000000" w:themeColor="text1"/>
          <w:sz w:val="28"/>
          <w:szCs w:val="28"/>
          <w:lang w:val="es-ES"/>
        </w:rPr>
        <w:t>la interviniente indic</w:t>
      </w:r>
      <w:r w:rsidRPr="002A793E">
        <w:rPr>
          <w:rFonts w:ascii="Times New Roman" w:eastAsia="Calibri" w:hAnsi="Times New Roman" w:cs="Times New Roman"/>
          <w:color w:val="000000" w:themeColor="text1"/>
          <w:sz w:val="28"/>
          <w:szCs w:val="28"/>
          <w:lang w:val="es-ES"/>
        </w:rPr>
        <w:t>ó</w:t>
      </w:r>
      <w:r w:rsidRPr="002A793E">
        <w:rPr>
          <w:rFonts w:ascii="Times New Roman" w:eastAsia="Calibri" w:hAnsi="Times New Roman" w:cs="Times New Roman"/>
          <w:color w:val="000000" w:themeColor="text1"/>
          <w:sz w:val="28"/>
          <w:szCs w:val="28"/>
          <w:lang w:val="es-ES"/>
        </w:rPr>
        <w:t xml:space="preserve"> que la eliminación de la fase judicial del PUO en relación con algunos proce</w:t>
      </w:r>
      <w:r w:rsidRPr="002A793E">
        <w:rPr>
          <w:rFonts w:ascii="Times New Roman" w:eastAsia="Calibri" w:hAnsi="Times New Roman" w:cs="Times New Roman"/>
          <w:color w:val="000000" w:themeColor="text1"/>
          <w:sz w:val="28"/>
          <w:szCs w:val="28"/>
          <w:lang w:val="es-ES"/>
        </w:rPr>
        <w:t xml:space="preserve">sos </w:t>
      </w:r>
      <w:r w:rsidRPr="002A793E">
        <w:rPr>
          <w:rFonts w:ascii="Times New Roman" w:eastAsia="Calibri" w:hAnsi="Times New Roman" w:cs="Times New Roman"/>
          <w:color w:val="000000" w:themeColor="text1"/>
          <w:sz w:val="28"/>
          <w:szCs w:val="28"/>
          <w:lang w:val="es-ES"/>
        </w:rPr>
        <w:t xml:space="preserve">agrarios </w:t>
      </w:r>
      <w:r w:rsidRPr="002A793E">
        <w:rPr>
          <w:rFonts w:ascii="Times New Roman" w:hAnsi="Times New Roman" w:cs="Times New Roman"/>
          <w:sz w:val="28"/>
          <w:szCs w:val="28"/>
          <w:lang w:val="es-ES"/>
        </w:rPr>
        <w:t>solo tiene una relación temática con los objetivos y metas del PND, pero no cuenta con la aptitud sustancial, directa e inmediata que permita realizar las metas gener</w:t>
      </w:r>
      <w:r w:rsidRPr="002A793E">
        <w:rPr>
          <w:rFonts w:ascii="Times New Roman" w:hAnsi="Times New Roman" w:cs="Times New Roman"/>
          <w:sz w:val="28"/>
          <w:szCs w:val="28"/>
          <w:lang w:val="es-ES"/>
        </w:rPr>
        <w:t>ales establecidas en el PND. En concreto, para la ciudadana la disposición acusada al prescindir de la intervención de una autoridad judicial</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imparcial e independiente que defina aspectos centrales sobre la relación con la tierra puede generar mayor confl</w:t>
      </w:r>
      <w:r w:rsidRPr="002A793E">
        <w:rPr>
          <w:rFonts w:ascii="Times New Roman" w:hAnsi="Times New Roman" w:cs="Times New Roman"/>
          <w:sz w:val="28"/>
          <w:szCs w:val="28"/>
          <w:lang w:val="es-ES"/>
        </w:rPr>
        <w:t>ictividad social</w:t>
      </w:r>
      <w:r w:rsidRPr="002A793E">
        <w:rPr>
          <w:rFonts w:ascii="Times New Roman" w:hAnsi="Times New Roman" w:cs="Times New Roman"/>
          <w:sz w:val="28"/>
          <w:szCs w:val="28"/>
          <w:lang w:val="es-ES"/>
        </w:rPr>
        <w:t xml:space="preserve"> y desconoce principios centrales de la Reforma Rural Integral como el respeto por las formas jurídicas</w:t>
      </w:r>
      <w:r w:rsidRPr="002A793E">
        <w:rPr>
          <w:rFonts w:ascii="Times New Roman" w:hAnsi="Times New Roman" w:cs="Times New Roman"/>
          <w:sz w:val="28"/>
          <w:szCs w:val="28"/>
          <w:lang w:val="es-ES"/>
        </w:rPr>
        <w:t>, razón por la que</w:t>
      </w:r>
      <w:r w:rsidRPr="002A793E">
        <w:rPr>
          <w:rFonts w:ascii="Times New Roman" w:hAnsi="Times New Roman" w:cs="Times New Roman"/>
          <w:sz w:val="28"/>
          <w:szCs w:val="28"/>
          <w:lang w:val="es-ES"/>
        </w:rPr>
        <w:t xml:space="preserve"> la disposición </w:t>
      </w:r>
      <w:r w:rsidRPr="002A793E">
        <w:rPr>
          <w:rFonts w:ascii="Times New Roman" w:hAnsi="Times New Roman" w:cs="Times New Roman"/>
          <w:sz w:val="28"/>
          <w:szCs w:val="28"/>
          <w:lang w:val="es-ES"/>
        </w:rPr>
        <w:t xml:space="preserve">se opone a los objetivos del PND. Adicionalmente, la medida al recaer sobre algunos procedimientos </w:t>
      </w:r>
      <w:r w:rsidRPr="002A793E">
        <w:rPr>
          <w:rFonts w:ascii="Times New Roman" w:hAnsi="Times New Roman" w:cs="Times New Roman"/>
          <w:sz w:val="28"/>
          <w:szCs w:val="28"/>
          <w:lang w:val="es-ES"/>
        </w:rPr>
        <w:t>agrarios y no</w:t>
      </w:r>
      <w:r w:rsidRPr="002A793E">
        <w:rPr>
          <w:rFonts w:ascii="Times New Roman" w:hAnsi="Times New Roman" w:cs="Times New Roman"/>
          <w:sz w:val="28"/>
          <w:szCs w:val="28"/>
          <w:lang w:val="es-ES"/>
        </w:rPr>
        <w:t xml:space="preserve"> sobre</w:t>
      </w:r>
      <w:r w:rsidRPr="002A793E">
        <w:rPr>
          <w:rFonts w:ascii="Times New Roman" w:hAnsi="Times New Roman" w:cs="Times New Roman"/>
          <w:sz w:val="28"/>
          <w:szCs w:val="28"/>
          <w:lang w:val="es-ES"/>
        </w:rPr>
        <w:t xml:space="preserve"> todos afecta la estandarización de los procesos y la coordinación entre instituciones del Gobierno y la Rama </w:t>
      </w:r>
      <w:r w:rsidRPr="002A793E">
        <w:rPr>
          <w:rFonts w:ascii="Times New Roman" w:hAnsi="Times New Roman" w:cs="Times New Roman"/>
          <w:sz w:val="28"/>
          <w:szCs w:val="28"/>
          <w:lang w:val="es-ES"/>
        </w:rPr>
        <w:t>Judicial. Finalmente, la vocación de permanencia de la medida también descarta la relación medio a fin entre la disposición acu</w:t>
      </w:r>
      <w:r w:rsidRPr="002A793E">
        <w:rPr>
          <w:rFonts w:ascii="Times New Roman" w:hAnsi="Times New Roman" w:cs="Times New Roman"/>
          <w:sz w:val="28"/>
          <w:szCs w:val="28"/>
          <w:lang w:val="es-ES"/>
        </w:rPr>
        <w:t xml:space="preserve">sada y los objetivos y metas del PND. </w:t>
      </w:r>
    </w:p>
    <w:p w:rsidR="004522A5" w:rsidRPr="002A793E" w:rsidRDefault="002A793E" w:rsidP="004522A5">
      <w:pPr>
        <w:pStyle w:val="Prrafodelista"/>
        <w:ind w:left="0"/>
        <w:rPr>
          <w:rFonts w:ascii="Times New Roman" w:eastAsia="Calibri" w:hAnsi="Times New Roman" w:cs="Times New Roman"/>
          <w:color w:val="000000" w:themeColor="text1"/>
          <w:sz w:val="28"/>
          <w:szCs w:val="28"/>
          <w:lang w:val="es-ES"/>
        </w:rPr>
      </w:pPr>
    </w:p>
    <w:p w:rsidR="008D7E79" w:rsidRPr="002A793E" w:rsidRDefault="002A793E" w:rsidP="007632E8">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Con respecto </w:t>
      </w:r>
      <w:r w:rsidRPr="002A793E">
        <w:rPr>
          <w:rFonts w:ascii="Times New Roman" w:eastAsia="Calibri" w:hAnsi="Times New Roman" w:cs="Times New Roman"/>
          <w:color w:val="000000" w:themeColor="text1"/>
          <w:sz w:val="28"/>
          <w:szCs w:val="28"/>
          <w:lang w:val="es-ES"/>
        </w:rPr>
        <w:t xml:space="preserve">a los </w:t>
      </w:r>
      <w:r w:rsidRPr="002A793E">
        <w:rPr>
          <w:rFonts w:ascii="Times New Roman" w:eastAsia="Calibri" w:hAnsi="Times New Roman" w:cs="Times New Roman"/>
          <w:b/>
          <w:color w:val="000000" w:themeColor="text1"/>
          <w:sz w:val="28"/>
          <w:szCs w:val="28"/>
          <w:lang w:val="es-ES"/>
        </w:rPr>
        <w:t>cargos tercero y cuarto</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la ciudadana señaló que </w:t>
      </w:r>
      <w:r w:rsidRPr="002A793E">
        <w:rPr>
          <w:rFonts w:ascii="Times New Roman" w:hAnsi="Times New Roman" w:cs="Times New Roman"/>
          <w:sz w:val="28"/>
          <w:szCs w:val="28"/>
          <w:lang w:val="es-ES"/>
        </w:rPr>
        <w:t xml:space="preserve">las modificaciones introducidas por la norma acusada </w:t>
      </w:r>
      <w:r w:rsidRPr="002A793E">
        <w:rPr>
          <w:rFonts w:ascii="Times New Roman" w:eastAsia="Calibri" w:hAnsi="Times New Roman" w:cs="Times New Roman"/>
          <w:color w:val="000000" w:themeColor="text1"/>
          <w:sz w:val="28"/>
          <w:szCs w:val="28"/>
          <w:lang w:val="es-ES"/>
        </w:rPr>
        <w:t xml:space="preserve">afectan el derecho de acceso a la administración de justicia y </w:t>
      </w:r>
      <w:r w:rsidRPr="002A793E">
        <w:rPr>
          <w:rFonts w:ascii="Times New Roman" w:hAnsi="Times New Roman" w:cs="Times New Roman"/>
          <w:sz w:val="28"/>
          <w:szCs w:val="28"/>
          <w:lang w:val="es-ES"/>
        </w:rPr>
        <w:t>son regresivas porque eliminan u</w:t>
      </w:r>
      <w:r w:rsidRPr="002A793E">
        <w:rPr>
          <w:rFonts w:ascii="Times New Roman" w:hAnsi="Times New Roman" w:cs="Times New Roman"/>
          <w:sz w:val="28"/>
          <w:szCs w:val="28"/>
          <w:lang w:val="es-ES"/>
        </w:rPr>
        <w:t>na serie de instrumentos jurídicos disponibles</w:t>
      </w:r>
      <w:r w:rsidRPr="002A793E">
        <w:rPr>
          <w:rFonts w:ascii="Times New Roman" w:hAnsi="Times New Roman" w:cs="Times New Roman"/>
          <w:sz w:val="28"/>
          <w:szCs w:val="28"/>
          <w:lang w:val="es-ES"/>
        </w:rPr>
        <w:t xml:space="preserve"> -fase judicial- </w:t>
      </w:r>
      <w:r w:rsidRPr="002A793E">
        <w:rPr>
          <w:rFonts w:ascii="Times New Roman" w:hAnsi="Times New Roman" w:cs="Times New Roman"/>
          <w:sz w:val="28"/>
          <w:szCs w:val="28"/>
          <w:lang w:val="es-ES"/>
        </w:rPr>
        <w:t xml:space="preserve">para que los individuos solucionen las diferencias entre ellos y con las entidades estatales en materia de propiedad rural. Igualmente, señaló que la reducción de la fase judicial no asegura </w:t>
      </w:r>
      <w:r w:rsidRPr="002A793E">
        <w:rPr>
          <w:rFonts w:ascii="Times New Roman" w:hAnsi="Times New Roman" w:cs="Times New Roman"/>
          <w:sz w:val="28"/>
          <w:szCs w:val="28"/>
          <w:lang w:val="es-ES"/>
        </w:rPr>
        <w:t>celeridad, pues las actuaciones administrativas incurren en graves tardanzas tal y como quedó demostrado, por ejemplo, en la sentencia SU-2013 de 2021</w:t>
      </w:r>
      <w:r w:rsidRPr="002A793E">
        <w:rPr>
          <w:rStyle w:val="Refdenotaalpie"/>
          <w:rFonts w:ascii="Times New Roman" w:hAnsi="Times New Roman" w:cs="Times New Roman"/>
          <w:sz w:val="28"/>
          <w:szCs w:val="28"/>
          <w:lang w:val="es-ES"/>
        </w:rPr>
        <w:footnoteReference w:id="25"/>
      </w:r>
      <w:r w:rsidRPr="002A793E">
        <w:rPr>
          <w:rFonts w:ascii="Times New Roman" w:hAnsi="Times New Roman" w:cs="Times New Roman"/>
          <w:sz w:val="28"/>
          <w:szCs w:val="28"/>
          <w:lang w:val="es-ES"/>
        </w:rPr>
        <w:t xml:space="preserve"> y la ANT no cuenta con la capacidad para dar una respuesta oportuna y satisfactoria a los procesos de ac</w:t>
      </w:r>
      <w:r w:rsidRPr="002A793E">
        <w:rPr>
          <w:rFonts w:ascii="Times New Roman" w:hAnsi="Times New Roman" w:cs="Times New Roman"/>
          <w:sz w:val="28"/>
          <w:szCs w:val="28"/>
          <w:lang w:val="es-ES"/>
        </w:rPr>
        <w:t>ceso, formalización, recuperación y adjudicación de la propiedad rural</w:t>
      </w:r>
      <w:r w:rsidRPr="002A793E">
        <w:rPr>
          <w:rFonts w:ascii="Times New Roman" w:hAnsi="Times New Roman" w:cs="Times New Roman"/>
          <w:sz w:val="28"/>
          <w:szCs w:val="28"/>
          <w:lang w:val="es-ES"/>
        </w:rPr>
        <w:t>. Finalmente, indicó que la posibilidad de que la ANT asuma procesos que estaban en la fase judicial desconoce la garantía de juez natural.</w:t>
      </w:r>
    </w:p>
    <w:p w:rsidR="008D7E79" w:rsidRPr="002A793E" w:rsidRDefault="002A793E" w:rsidP="008D7E79">
      <w:pPr>
        <w:pStyle w:val="Prrafodelista"/>
        <w:rPr>
          <w:rFonts w:ascii="Times New Roman" w:eastAsia="Calibri" w:hAnsi="Times New Roman" w:cs="Times New Roman"/>
          <w:color w:val="000000" w:themeColor="text1"/>
          <w:sz w:val="28"/>
          <w:szCs w:val="28"/>
          <w:lang w:val="es-ES"/>
        </w:rPr>
      </w:pPr>
    </w:p>
    <w:p w:rsidR="004F64FE" w:rsidRPr="002A793E" w:rsidRDefault="002A793E" w:rsidP="007632E8">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Finalmente, para la </w:t>
      </w:r>
      <w:r w:rsidRPr="002A793E">
        <w:rPr>
          <w:rFonts w:ascii="Times New Roman" w:eastAsia="Calibri" w:hAnsi="Times New Roman" w:cs="Times New Roman"/>
          <w:color w:val="000000" w:themeColor="text1"/>
          <w:sz w:val="28"/>
          <w:szCs w:val="28"/>
          <w:lang w:val="es-ES"/>
        </w:rPr>
        <w:t xml:space="preserve">ciudadana la eliminación </w:t>
      </w:r>
      <w:r w:rsidRPr="002A793E">
        <w:rPr>
          <w:rFonts w:ascii="Times New Roman" w:eastAsia="Calibri" w:hAnsi="Times New Roman" w:cs="Times New Roman"/>
          <w:color w:val="000000" w:themeColor="text1"/>
          <w:sz w:val="28"/>
          <w:szCs w:val="28"/>
          <w:lang w:val="es-ES"/>
        </w:rPr>
        <w:t xml:space="preserve">de la fase judicial para algunos procesos sobre la propiedad rural </w:t>
      </w:r>
      <w:r w:rsidRPr="002A793E">
        <w:rPr>
          <w:rFonts w:ascii="Times New Roman" w:eastAsia="Calibri" w:hAnsi="Times New Roman" w:cs="Times New Roman"/>
          <w:color w:val="000000" w:themeColor="text1"/>
          <w:sz w:val="28"/>
          <w:szCs w:val="28"/>
          <w:lang w:val="es-ES"/>
        </w:rPr>
        <w:t>es una</w:t>
      </w:r>
      <w:r w:rsidRPr="002A793E">
        <w:rPr>
          <w:rFonts w:ascii="Times New Roman" w:eastAsia="Calibri" w:hAnsi="Times New Roman" w:cs="Times New Roman"/>
          <w:color w:val="000000" w:themeColor="text1"/>
          <w:sz w:val="28"/>
          <w:szCs w:val="28"/>
          <w:lang w:val="es-ES"/>
        </w:rPr>
        <w:t xml:space="preserve"> medida regresiva por la conjunción de los siguientes factores</w:t>
      </w:r>
      <w:r w:rsidRPr="002A793E">
        <w:rPr>
          <w:rFonts w:ascii="Times New Roman" w:eastAsia="Calibri" w:hAnsi="Times New Roman" w:cs="Times New Roman"/>
          <w:color w:val="000000" w:themeColor="text1"/>
          <w:sz w:val="28"/>
          <w:szCs w:val="28"/>
          <w:lang w:val="es-ES"/>
        </w:rPr>
        <w:t>: (i)</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hAnsi="Times New Roman" w:cs="Times New Roman"/>
          <w:sz w:val="28"/>
          <w:szCs w:val="28"/>
          <w:lang w:val="es-ES"/>
        </w:rPr>
        <w:t>la extensión e ineficiencia de los procesos administrativos</w:t>
      </w:r>
      <w:r w:rsidRPr="002A793E">
        <w:rPr>
          <w:rFonts w:ascii="Times New Roman" w:hAnsi="Times New Roman" w:cs="Times New Roman"/>
          <w:sz w:val="28"/>
          <w:szCs w:val="28"/>
          <w:lang w:val="es-ES"/>
        </w:rPr>
        <w:t xml:space="preserve">; (ii) </w:t>
      </w:r>
      <w:r w:rsidRPr="002A793E">
        <w:rPr>
          <w:rFonts w:ascii="Times New Roman" w:hAnsi="Times New Roman" w:cs="Times New Roman"/>
          <w:sz w:val="28"/>
          <w:szCs w:val="28"/>
          <w:lang w:val="es-ES"/>
        </w:rPr>
        <w:t xml:space="preserve">la improcedencia de la fase judicial y </w:t>
      </w:r>
      <w:r w:rsidRPr="002A793E">
        <w:rPr>
          <w:rFonts w:ascii="Times New Roman" w:hAnsi="Times New Roman" w:cs="Times New Roman"/>
          <w:sz w:val="28"/>
          <w:szCs w:val="28"/>
          <w:lang w:val="es-ES"/>
        </w:rPr>
        <w:t xml:space="preserve">(iii) </w:t>
      </w:r>
      <w:r w:rsidRPr="002A793E">
        <w:rPr>
          <w:rFonts w:ascii="Times New Roman" w:hAnsi="Times New Roman" w:cs="Times New Roman"/>
          <w:sz w:val="28"/>
          <w:szCs w:val="28"/>
          <w:lang w:val="es-ES"/>
        </w:rPr>
        <w:t xml:space="preserve">la falta de certeza sobre la procedencia de la acción de nulidad </w:t>
      </w:r>
      <w:r w:rsidRPr="002A793E">
        <w:rPr>
          <w:rFonts w:ascii="Times New Roman" w:hAnsi="Times New Roman" w:cs="Times New Roman"/>
          <w:sz w:val="28"/>
          <w:szCs w:val="28"/>
          <w:lang w:val="es-ES"/>
        </w:rPr>
        <w:t>por parte de</w:t>
      </w:r>
      <w:r w:rsidRPr="002A793E">
        <w:rPr>
          <w:rFonts w:ascii="Times New Roman" w:hAnsi="Times New Roman" w:cs="Times New Roman"/>
          <w:sz w:val="28"/>
          <w:szCs w:val="28"/>
          <w:lang w:val="es-ES"/>
        </w:rPr>
        <w:t xml:space="preserve"> quienes no son titulares de derechos reales sino de expectativas legítimas y quienes no hicieron parte del PUO</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w:t>
      </w:r>
    </w:p>
    <w:p w:rsidR="00280750" w:rsidRPr="002A793E" w:rsidRDefault="002A793E" w:rsidP="00280750">
      <w:pPr>
        <w:pStyle w:val="Prrafodelista"/>
        <w:ind w:left="0"/>
        <w:rPr>
          <w:rFonts w:ascii="Times New Roman" w:eastAsia="Calibri" w:hAnsi="Times New Roman" w:cs="Times New Roman"/>
          <w:color w:val="000000" w:themeColor="text1"/>
          <w:sz w:val="28"/>
          <w:szCs w:val="28"/>
          <w:lang w:val="es-ES"/>
        </w:rPr>
      </w:pPr>
    </w:p>
    <w:p w:rsidR="008A11FF" w:rsidRPr="002A793E" w:rsidRDefault="002A793E" w:rsidP="00EE7A55">
      <w:pPr>
        <w:pStyle w:val="Prrafodelista"/>
        <w:numPr>
          <w:ilvl w:val="1"/>
          <w:numId w:val="4"/>
        </w:numPr>
        <w:spacing w:line="360" w:lineRule="atLeast"/>
        <w:rPr>
          <w:rFonts w:ascii="Times New Roman" w:eastAsia="Calibri" w:hAnsi="Times New Roman" w:cs="Times New Roman"/>
          <w:b/>
          <w:color w:val="000000" w:themeColor="text1"/>
          <w:sz w:val="28"/>
          <w:szCs w:val="28"/>
          <w:lang w:val="es-ES"/>
        </w:rPr>
      </w:pPr>
      <w:r w:rsidRPr="002A793E">
        <w:rPr>
          <w:rFonts w:ascii="Times New Roman" w:hAnsi="Times New Roman" w:cs="Times New Roman"/>
          <w:b/>
          <w:sz w:val="28"/>
          <w:szCs w:val="28"/>
          <w:lang w:val="es-ES"/>
        </w:rPr>
        <w:t>Ministerio</w:t>
      </w:r>
      <w:r w:rsidRPr="002A793E">
        <w:rPr>
          <w:rFonts w:ascii="Times New Roman" w:eastAsia="Calibri" w:hAnsi="Times New Roman" w:cs="Times New Roman"/>
          <w:b/>
          <w:color w:val="000000" w:themeColor="text1"/>
          <w:sz w:val="28"/>
          <w:szCs w:val="28"/>
          <w:lang w:val="es-ES"/>
        </w:rPr>
        <w:t xml:space="preserve"> de Agricultura y Desarrollo Rural</w:t>
      </w:r>
      <w:r w:rsidRPr="002A793E">
        <w:rPr>
          <w:rFonts w:ascii="Times New Roman" w:eastAsia="Calibri" w:hAnsi="Times New Roman" w:cs="Times New Roman"/>
          <w:b/>
          <w:color w:val="000000" w:themeColor="text1"/>
          <w:sz w:val="28"/>
          <w:szCs w:val="28"/>
          <w:lang w:val="es-ES"/>
        </w:rPr>
        <w:t xml:space="preserve"> </w:t>
      </w:r>
    </w:p>
    <w:p w:rsidR="003F6247" w:rsidRPr="002A793E" w:rsidRDefault="002A793E" w:rsidP="003F6247">
      <w:pPr>
        <w:pStyle w:val="Prrafodelista"/>
        <w:rPr>
          <w:rFonts w:ascii="Times New Roman" w:eastAsia="Calibri" w:hAnsi="Times New Roman" w:cs="Times New Roman"/>
          <w:color w:val="000000" w:themeColor="text1"/>
          <w:sz w:val="28"/>
          <w:szCs w:val="28"/>
          <w:lang w:val="es-ES"/>
        </w:rPr>
      </w:pPr>
    </w:p>
    <w:p w:rsidR="000416DA" w:rsidRPr="002A793E" w:rsidRDefault="002A793E" w:rsidP="000416DA">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La entidad </w:t>
      </w:r>
      <w:r w:rsidRPr="002A793E">
        <w:rPr>
          <w:rFonts w:ascii="Times New Roman" w:eastAsia="Calibri" w:hAnsi="Times New Roman" w:cs="Times New Roman"/>
          <w:color w:val="000000" w:themeColor="text1"/>
          <w:sz w:val="28"/>
          <w:szCs w:val="28"/>
          <w:lang w:val="es-ES"/>
        </w:rPr>
        <w:t>solicitó que se declare la exequibilidad del artículo 61 de la Ley 2294 de 2023</w:t>
      </w:r>
      <w:r w:rsidRPr="002A793E">
        <w:rPr>
          <w:rFonts w:ascii="Times New Roman" w:eastAsia="Calibri" w:hAnsi="Times New Roman" w:cs="Times New Roman"/>
          <w:color w:val="000000" w:themeColor="text1"/>
          <w:sz w:val="28"/>
          <w:szCs w:val="28"/>
          <w:lang w:val="es-ES"/>
        </w:rPr>
        <w:t>.</w:t>
      </w:r>
    </w:p>
    <w:p w:rsidR="000416DA" w:rsidRPr="002A793E" w:rsidRDefault="002A793E" w:rsidP="000416DA">
      <w:pPr>
        <w:pStyle w:val="Prrafodelista"/>
        <w:ind w:left="0"/>
        <w:rPr>
          <w:rFonts w:ascii="Times New Roman" w:eastAsia="Calibri" w:hAnsi="Times New Roman" w:cs="Times New Roman"/>
          <w:color w:val="000000" w:themeColor="text1"/>
          <w:sz w:val="28"/>
          <w:szCs w:val="28"/>
          <w:lang w:val="es-ES"/>
        </w:rPr>
      </w:pPr>
    </w:p>
    <w:p w:rsidR="006C20F3" w:rsidRPr="002A793E" w:rsidRDefault="002A793E" w:rsidP="006C20F3">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En relación con el </w:t>
      </w:r>
      <w:r w:rsidRPr="002A793E">
        <w:rPr>
          <w:rFonts w:ascii="Times New Roman" w:eastAsia="Calibri" w:hAnsi="Times New Roman" w:cs="Times New Roman"/>
          <w:b/>
          <w:color w:val="000000" w:themeColor="text1"/>
          <w:sz w:val="28"/>
          <w:szCs w:val="28"/>
          <w:lang w:val="es-ES"/>
        </w:rPr>
        <w:t>cargo primero</w:t>
      </w:r>
      <w:r w:rsidRPr="002A793E">
        <w:rPr>
          <w:rFonts w:ascii="Times New Roman" w:eastAsia="Calibri" w:hAnsi="Times New Roman" w:cs="Times New Roman"/>
          <w:color w:val="000000" w:themeColor="text1"/>
          <w:sz w:val="28"/>
          <w:szCs w:val="28"/>
          <w:lang w:val="es-ES"/>
        </w:rPr>
        <w:t>, la entidad señaló que, de acuerdo con la jurisprudencia constitucional, el principio de publicidad no puede ser valorado a través de criter</w:t>
      </w:r>
      <w:r w:rsidRPr="002A793E">
        <w:rPr>
          <w:rFonts w:ascii="Times New Roman" w:eastAsia="Calibri" w:hAnsi="Times New Roman" w:cs="Times New Roman"/>
          <w:color w:val="000000" w:themeColor="text1"/>
          <w:sz w:val="28"/>
          <w:szCs w:val="28"/>
          <w:lang w:val="es-ES"/>
        </w:rPr>
        <w:t>ios rígidos, sino que debe ser armonizado con otros principios, tales como la instrumentalidad de las formas con el propósito de establecer si en el trámite los congresistas conocieron el alcance de la disposición correspondiente y, por lo tanto, el debate</w:t>
      </w:r>
      <w:r w:rsidRPr="002A793E">
        <w:rPr>
          <w:rFonts w:ascii="Times New Roman" w:eastAsia="Calibri" w:hAnsi="Times New Roman" w:cs="Times New Roman"/>
          <w:color w:val="000000" w:themeColor="text1"/>
          <w:sz w:val="28"/>
          <w:szCs w:val="28"/>
          <w:lang w:val="es-ES"/>
        </w:rPr>
        <w:t xml:space="preserve"> y la aprobación versó sobre una </w:t>
      </w:r>
      <w:r w:rsidRPr="002A793E">
        <w:rPr>
          <w:rFonts w:ascii="Times New Roman" w:eastAsia="Calibri" w:hAnsi="Times New Roman" w:cs="Times New Roman"/>
          <w:color w:val="000000" w:themeColor="text1"/>
          <w:sz w:val="28"/>
          <w:szCs w:val="28"/>
          <w:lang w:val="es-ES"/>
        </w:rPr>
        <w:t>norma</w:t>
      </w:r>
      <w:r w:rsidRPr="002A793E">
        <w:rPr>
          <w:rFonts w:ascii="Times New Roman" w:eastAsia="Calibri" w:hAnsi="Times New Roman" w:cs="Times New Roman"/>
          <w:color w:val="000000" w:themeColor="text1"/>
          <w:sz w:val="28"/>
          <w:szCs w:val="28"/>
          <w:lang w:val="es-ES"/>
        </w:rPr>
        <w:t xml:space="preserve"> que conocían.</w:t>
      </w:r>
    </w:p>
    <w:p w:rsidR="006C20F3" w:rsidRPr="002A793E" w:rsidRDefault="002A793E" w:rsidP="006C20F3">
      <w:pPr>
        <w:pStyle w:val="Prrafodelista"/>
        <w:rPr>
          <w:rFonts w:ascii="Times New Roman" w:eastAsia="Calibri" w:hAnsi="Times New Roman" w:cs="Times New Roman"/>
          <w:color w:val="000000" w:themeColor="text1"/>
          <w:sz w:val="28"/>
          <w:szCs w:val="28"/>
          <w:lang w:val="es-ES"/>
        </w:rPr>
      </w:pPr>
    </w:p>
    <w:p w:rsidR="006C20F3" w:rsidRPr="002A793E" w:rsidRDefault="002A793E" w:rsidP="006C20F3">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Luego, el Ministerio reconstruyó la actuación de la sesión del 2 de mayo de 2023, citó la explicación efectuada por el presidente del Senado en relación con la proposición sobre el entonces artículo 55 </w:t>
      </w:r>
      <w:r w:rsidRPr="002A793E">
        <w:rPr>
          <w:rFonts w:ascii="Times New Roman" w:eastAsia="Calibri" w:hAnsi="Times New Roman" w:cs="Times New Roman"/>
          <w:color w:val="000000" w:themeColor="text1"/>
          <w:sz w:val="28"/>
          <w:szCs w:val="28"/>
          <w:lang w:val="es-ES"/>
        </w:rPr>
        <w:t>hoy 61 y concluyó que: “el presidente del Senado hizo una breve explicación de las disposiciones a votar. Esta explicación, si bien no comprendió una lectura integral de los artículos, fue general y suficiente para dar a entender el alcance de las modifica</w:t>
      </w:r>
      <w:r w:rsidRPr="002A793E">
        <w:rPr>
          <w:rFonts w:ascii="Times New Roman" w:eastAsia="Calibri" w:hAnsi="Times New Roman" w:cs="Times New Roman"/>
          <w:color w:val="000000" w:themeColor="text1"/>
          <w:sz w:val="28"/>
          <w:szCs w:val="28"/>
          <w:lang w:val="es-ES"/>
        </w:rPr>
        <w:t>ciones propuestas.”</w:t>
      </w:r>
      <w:r w:rsidRPr="002A793E">
        <w:rPr>
          <w:rStyle w:val="Refdenotaalpie"/>
          <w:rFonts w:ascii="Times New Roman" w:eastAsia="Calibri" w:hAnsi="Times New Roman" w:cs="Times New Roman"/>
          <w:color w:val="000000" w:themeColor="text1"/>
          <w:sz w:val="28"/>
          <w:szCs w:val="28"/>
          <w:lang w:val="es-ES"/>
        </w:rPr>
        <w:footnoteReference w:id="26"/>
      </w:r>
      <w:r w:rsidRPr="002A793E">
        <w:rPr>
          <w:rFonts w:ascii="Times New Roman" w:eastAsia="Calibri" w:hAnsi="Times New Roman" w:cs="Times New Roman"/>
          <w:color w:val="000000" w:themeColor="text1"/>
          <w:sz w:val="28"/>
          <w:szCs w:val="28"/>
          <w:lang w:val="es-ES"/>
        </w:rPr>
        <w:t xml:space="preserve"> Igualmente, la entidad indicó que en la sesión del 3 de mayo la ministra de agricultura expuso los problemas de ineficiencia de los procedimientos agrarios y del diseño procesal del Decreto Ley 902 de 2017 así como la necesidad de agil</w:t>
      </w:r>
      <w:r w:rsidRPr="002A793E">
        <w:rPr>
          <w:rFonts w:ascii="Times New Roman" w:eastAsia="Calibri" w:hAnsi="Times New Roman" w:cs="Times New Roman"/>
          <w:color w:val="000000" w:themeColor="text1"/>
          <w:sz w:val="28"/>
          <w:szCs w:val="28"/>
          <w:lang w:val="es-ES"/>
        </w:rPr>
        <w:t>izar los procesos agrarios. Como reacción a esta intervención siguió un debate sobre la materia, en el que se plantearon diversas posturas en relación con la simplificación de los procesos agrarios. Según el Ministerio estas intervenciones demuestran que l</w:t>
      </w:r>
      <w:r w:rsidRPr="002A793E">
        <w:rPr>
          <w:rFonts w:ascii="Times New Roman" w:eastAsia="Calibri" w:hAnsi="Times New Roman" w:cs="Times New Roman"/>
          <w:color w:val="000000" w:themeColor="text1"/>
          <w:sz w:val="28"/>
          <w:szCs w:val="28"/>
          <w:lang w:val="es-ES"/>
        </w:rPr>
        <w:t>os congresistas conocían las proposiciones presentadas y el alcance del artículo 61, lo que descarta el vicio en materia de publicidad.</w:t>
      </w:r>
    </w:p>
    <w:p w:rsidR="006C20F3" w:rsidRPr="002A793E" w:rsidRDefault="002A793E" w:rsidP="006C20F3">
      <w:pPr>
        <w:pStyle w:val="Prrafodelista"/>
        <w:rPr>
          <w:rFonts w:ascii="Times New Roman" w:eastAsia="Calibri" w:hAnsi="Times New Roman" w:cs="Times New Roman"/>
          <w:color w:val="000000" w:themeColor="text1"/>
          <w:sz w:val="28"/>
          <w:szCs w:val="28"/>
          <w:lang w:val="es-ES"/>
        </w:rPr>
      </w:pPr>
    </w:p>
    <w:p w:rsidR="00CE57A1" w:rsidRPr="002A793E" w:rsidRDefault="002A793E" w:rsidP="00F41F46">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En relación con el </w:t>
      </w:r>
      <w:r w:rsidRPr="002A793E">
        <w:rPr>
          <w:rFonts w:ascii="Times New Roman" w:eastAsia="Calibri" w:hAnsi="Times New Roman" w:cs="Times New Roman"/>
          <w:b/>
          <w:color w:val="000000" w:themeColor="text1"/>
          <w:sz w:val="28"/>
          <w:szCs w:val="28"/>
          <w:lang w:val="es-ES"/>
        </w:rPr>
        <w:t>cargo segundo</w:t>
      </w:r>
      <w:r w:rsidRPr="002A793E">
        <w:rPr>
          <w:rFonts w:ascii="Times New Roman" w:eastAsia="Calibri" w:hAnsi="Times New Roman" w:cs="Times New Roman"/>
          <w:color w:val="000000" w:themeColor="text1"/>
          <w:sz w:val="28"/>
          <w:szCs w:val="28"/>
          <w:lang w:val="es-ES"/>
        </w:rPr>
        <w:t>, el ministerio indicó que</w:t>
      </w:r>
      <w:r w:rsidRPr="002A793E">
        <w:rPr>
          <w:rFonts w:ascii="Times New Roman" w:eastAsia="Calibri" w:hAnsi="Times New Roman" w:cs="Times New Roman"/>
          <w:color w:val="000000" w:themeColor="text1"/>
          <w:sz w:val="28"/>
          <w:szCs w:val="28"/>
          <w:lang w:val="es-ES"/>
        </w:rPr>
        <w:t xml:space="preserve"> la disposición acusada respeta el principio de unidad de materia, debido a que se trata de una </w:t>
      </w:r>
      <w:r w:rsidRPr="002A793E">
        <w:rPr>
          <w:rFonts w:ascii="Times New Roman" w:eastAsia="Calibri" w:hAnsi="Times New Roman" w:cs="Times New Roman"/>
          <w:color w:val="000000" w:themeColor="text1"/>
          <w:sz w:val="28"/>
          <w:szCs w:val="28"/>
          <w:lang w:val="es-ES"/>
        </w:rPr>
        <w:t>norma</w:t>
      </w:r>
      <w:r w:rsidRPr="002A793E">
        <w:rPr>
          <w:rFonts w:ascii="Times New Roman" w:eastAsia="Calibri" w:hAnsi="Times New Roman" w:cs="Times New Roman"/>
          <w:color w:val="000000" w:themeColor="text1"/>
          <w:sz w:val="28"/>
          <w:szCs w:val="28"/>
          <w:lang w:val="es-ES"/>
        </w:rPr>
        <w:t xml:space="preserve"> instrumental que guarda relación con </w:t>
      </w:r>
      <w:r w:rsidRPr="002A793E">
        <w:rPr>
          <w:rFonts w:ascii="Times New Roman" w:eastAsia="Calibri" w:hAnsi="Times New Roman" w:cs="Times New Roman"/>
          <w:color w:val="000000" w:themeColor="text1"/>
          <w:sz w:val="28"/>
          <w:szCs w:val="28"/>
          <w:lang w:val="es-ES"/>
        </w:rPr>
        <w:t>varios</w:t>
      </w:r>
      <w:r w:rsidRPr="002A793E">
        <w:rPr>
          <w:rFonts w:ascii="Times New Roman" w:eastAsia="Calibri" w:hAnsi="Times New Roman" w:cs="Times New Roman"/>
          <w:color w:val="000000" w:themeColor="text1"/>
          <w:sz w:val="28"/>
          <w:szCs w:val="28"/>
          <w:lang w:val="es-ES"/>
        </w:rPr>
        <w:t xml:space="preserve"> elementos del </w:t>
      </w:r>
      <w:r w:rsidRPr="002A793E">
        <w:rPr>
          <w:rFonts w:ascii="Times New Roman" w:eastAsia="Calibri" w:hAnsi="Times New Roman" w:cs="Times New Roman"/>
          <w:color w:val="000000" w:themeColor="text1"/>
          <w:sz w:val="28"/>
          <w:szCs w:val="28"/>
          <w:lang w:val="es-ES"/>
        </w:rPr>
        <w:t xml:space="preserve">PND </w:t>
      </w:r>
      <w:r w:rsidRPr="002A793E">
        <w:rPr>
          <w:rFonts w:ascii="Times New Roman" w:eastAsia="Calibri" w:hAnsi="Times New Roman" w:cs="Times New Roman"/>
          <w:color w:val="000000" w:themeColor="text1"/>
          <w:sz w:val="28"/>
          <w:szCs w:val="28"/>
          <w:lang w:val="es-ES"/>
        </w:rPr>
        <w:t>2022-2026</w:t>
      </w:r>
      <w:r w:rsidRPr="002A793E">
        <w:rPr>
          <w:rFonts w:ascii="Times New Roman" w:eastAsia="Calibri" w:hAnsi="Times New Roman" w:cs="Times New Roman"/>
          <w:color w:val="000000" w:themeColor="text1"/>
          <w:sz w:val="28"/>
          <w:szCs w:val="28"/>
          <w:lang w:val="es-ES"/>
        </w:rPr>
        <w:t xml:space="preserve">. En particular, </w:t>
      </w:r>
      <w:r w:rsidRPr="002A793E">
        <w:rPr>
          <w:rFonts w:ascii="Times New Roman" w:eastAsia="Calibri" w:hAnsi="Times New Roman" w:cs="Times New Roman"/>
          <w:color w:val="000000" w:themeColor="text1"/>
          <w:sz w:val="28"/>
          <w:szCs w:val="28"/>
          <w:lang w:val="es-ES"/>
        </w:rPr>
        <w:t>la entidad</w:t>
      </w:r>
      <w:r w:rsidRPr="002A793E">
        <w:rPr>
          <w:rFonts w:ascii="Times New Roman" w:eastAsia="Calibri" w:hAnsi="Times New Roman" w:cs="Times New Roman"/>
          <w:color w:val="000000" w:themeColor="text1"/>
          <w:sz w:val="28"/>
          <w:szCs w:val="28"/>
          <w:lang w:val="es-ES"/>
        </w:rPr>
        <w:t xml:space="preserve"> se refirió a</w:t>
      </w:r>
      <w:r w:rsidRPr="002A793E">
        <w:rPr>
          <w:rFonts w:ascii="Times New Roman" w:eastAsia="Calibri" w:hAnsi="Times New Roman" w:cs="Times New Roman"/>
          <w:color w:val="000000" w:themeColor="text1"/>
          <w:sz w:val="28"/>
          <w:szCs w:val="28"/>
          <w:lang w:val="es-ES"/>
        </w:rPr>
        <w:t xml:space="preserve">l objetivo general de dicho plan; </w:t>
      </w:r>
      <w:r w:rsidRPr="002A793E">
        <w:rPr>
          <w:rFonts w:ascii="Times New Roman" w:eastAsia="Calibri" w:hAnsi="Times New Roman" w:cs="Times New Roman"/>
          <w:color w:val="000000" w:themeColor="text1"/>
          <w:sz w:val="28"/>
          <w:szCs w:val="28"/>
          <w:lang w:val="es-ES"/>
        </w:rPr>
        <w:t>a</w:t>
      </w:r>
      <w:r w:rsidRPr="002A793E">
        <w:rPr>
          <w:rFonts w:ascii="Times New Roman" w:eastAsia="Calibri" w:hAnsi="Times New Roman" w:cs="Times New Roman"/>
          <w:color w:val="000000" w:themeColor="text1"/>
          <w:sz w:val="28"/>
          <w:szCs w:val="28"/>
          <w:lang w:val="es-ES"/>
        </w:rPr>
        <w:t>l primer</w:t>
      </w:r>
      <w:r w:rsidRPr="002A793E">
        <w:rPr>
          <w:rFonts w:ascii="Times New Roman" w:eastAsia="Calibri" w:hAnsi="Times New Roman" w:cs="Times New Roman"/>
          <w:color w:val="000000" w:themeColor="text1"/>
          <w:sz w:val="28"/>
          <w:szCs w:val="28"/>
          <w:lang w:val="es-ES"/>
        </w:rPr>
        <w:t xml:space="preserve"> eje transformador que señala la necesidad de establecer acciones e instrumentos para</w:t>
      </w:r>
      <w:r w:rsidRPr="002A793E">
        <w:rPr>
          <w:rFonts w:ascii="Times New Roman" w:eastAsia="Calibri" w:hAnsi="Times New Roman" w:cs="Times New Roman"/>
          <w:color w:val="000000" w:themeColor="text1"/>
          <w:sz w:val="28"/>
          <w:szCs w:val="28"/>
          <w:lang w:val="es-ES"/>
        </w:rPr>
        <w:t xml:space="preserve"> “disminuir los conflictos asociados a la tenencia de la tierra” y la “resolución de conflictos por el uso y disponibilidad de la tierra”</w:t>
      </w:r>
      <w:r w:rsidRPr="002A793E">
        <w:rPr>
          <w:rFonts w:ascii="Times New Roman" w:eastAsia="Calibri" w:hAnsi="Times New Roman" w:cs="Times New Roman"/>
          <w:color w:val="000000" w:themeColor="text1"/>
          <w:sz w:val="28"/>
          <w:szCs w:val="28"/>
          <w:lang w:val="es-ES"/>
        </w:rPr>
        <w:t xml:space="preserve"> y</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a</w:t>
      </w:r>
      <w:r w:rsidRPr="002A793E">
        <w:rPr>
          <w:rFonts w:ascii="Times New Roman" w:eastAsia="Calibri" w:hAnsi="Times New Roman" w:cs="Times New Roman"/>
          <w:color w:val="000000" w:themeColor="text1"/>
          <w:sz w:val="28"/>
          <w:szCs w:val="28"/>
          <w:lang w:val="es-ES"/>
        </w:rPr>
        <w:t xml:space="preserve">l </w:t>
      </w:r>
      <w:r w:rsidRPr="002A793E">
        <w:rPr>
          <w:rFonts w:ascii="Times New Roman" w:eastAsia="Calibri" w:hAnsi="Times New Roman" w:cs="Times New Roman"/>
          <w:color w:val="000000" w:themeColor="text1"/>
          <w:sz w:val="28"/>
          <w:szCs w:val="28"/>
          <w:lang w:val="es-ES"/>
        </w:rPr>
        <w:t xml:space="preserve">objetivo trazado de </w:t>
      </w:r>
      <w:r w:rsidRPr="002A793E">
        <w:rPr>
          <w:rFonts w:ascii="Times New Roman" w:eastAsia="Calibri" w:hAnsi="Times New Roman" w:cs="Times New Roman"/>
          <w:color w:val="000000" w:themeColor="text1"/>
          <w:sz w:val="28"/>
          <w:szCs w:val="28"/>
          <w:lang w:val="es-ES"/>
        </w:rPr>
        <w:t>“armonizar la institucionalidad del ordenamiento territorial y simplificar los instrumentos que la acompañan”</w:t>
      </w:r>
      <w:r w:rsidRPr="002A793E">
        <w:rPr>
          <w:rFonts w:ascii="Times New Roman" w:eastAsia="Calibri" w:hAnsi="Times New Roman" w:cs="Times New Roman"/>
          <w:color w:val="000000" w:themeColor="text1"/>
          <w:sz w:val="28"/>
          <w:szCs w:val="28"/>
          <w:lang w:val="es-ES"/>
        </w:rPr>
        <w:t>, entre otros contenidos de las Bases del PND.</w:t>
      </w:r>
    </w:p>
    <w:p w:rsidR="004F64FE" w:rsidRPr="002A793E" w:rsidRDefault="002A793E" w:rsidP="004F64FE">
      <w:pPr>
        <w:pStyle w:val="Prrafodelista"/>
        <w:ind w:left="1440"/>
        <w:rPr>
          <w:rFonts w:ascii="Times New Roman" w:eastAsia="Calibri" w:hAnsi="Times New Roman" w:cs="Times New Roman"/>
          <w:color w:val="000000" w:themeColor="text1"/>
          <w:sz w:val="28"/>
          <w:szCs w:val="28"/>
          <w:lang w:val="es-ES"/>
        </w:rPr>
      </w:pPr>
    </w:p>
    <w:p w:rsidR="00BB6742" w:rsidRPr="002A793E" w:rsidRDefault="002A793E" w:rsidP="00BB6742">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A partir de los elementos descritos, el </w:t>
      </w:r>
      <w:r w:rsidRPr="002A793E">
        <w:rPr>
          <w:rFonts w:ascii="Times New Roman" w:eastAsia="Calibri" w:hAnsi="Times New Roman" w:cs="Times New Roman"/>
          <w:color w:val="000000" w:themeColor="text1"/>
          <w:sz w:val="28"/>
          <w:szCs w:val="28"/>
          <w:lang w:val="es-ES"/>
        </w:rPr>
        <w:t>m</w:t>
      </w:r>
      <w:r w:rsidRPr="002A793E">
        <w:rPr>
          <w:rFonts w:ascii="Times New Roman" w:eastAsia="Calibri" w:hAnsi="Times New Roman" w:cs="Times New Roman"/>
          <w:color w:val="000000" w:themeColor="text1"/>
          <w:sz w:val="28"/>
          <w:szCs w:val="28"/>
          <w:lang w:val="es-ES"/>
        </w:rPr>
        <w:t>inisterio señal</w:t>
      </w:r>
      <w:r w:rsidRPr="002A793E">
        <w:rPr>
          <w:rFonts w:ascii="Times New Roman" w:eastAsia="Calibri" w:hAnsi="Times New Roman" w:cs="Times New Roman"/>
          <w:color w:val="000000" w:themeColor="text1"/>
          <w:sz w:val="28"/>
          <w:szCs w:val="28"/>
          <w:lang w:val="es-ES"/>
        </w:rPr>
        <w:t>ó</w:t>
      </w:r>
      <w:r w:rsidRPr="002A793E">
        <w:rPr>
          <w:rFonts w:ascii="Times New Roman" w:eastAsia="Calibri" w:hAnsi="Times New Roman" w:cs="Times New Roman"/>
          <w:color w:val="000000" w:themeColor="text1"/>
          <w:sz w:val="28"/>
          <w:szCs w:val="28"/>
          <w:lang w:val="es-ES"/>
        </w:rPr>
        <w:t xml:space="preserve"> que la simplificación del PUO para el des</w:t>
      </w:r>
      <w:r w:rsidRPr="002A793E">
        <w:rPr>
          <w:rFonts w:ascii="Times New Roman" w:eastAsia="Calibri" w:hAnsi="Times New Roman" w:cs="Times New Roman"/>
          <w:color w:val="000000" w:themeColor="text1"/>
          <w:sz w:val="28"/>
          <w:szCs w:val="28"/>
          <w:lang w:val="es-ES"/>
        </w:rPr>
        <w:t xml:space="preserve">arrollo de algunos procesos permite la recuperación de baldíos y, de esta forma, </w:t>
      </w:r>
      <w:r w:rsidRPr="002A793E">
        <w:rPr>
          <w:rFonts w:ascii="Times New Roman" w:eastAsia="Calibri" w:hAnsi="Times New Roman" w:cs="Times New Roman"/>
          <w:color w:val="000000" w:themeColor="text1"/>
          <w:sz w:val="28"/>
          <w:szCs w:val="28"/>
          <w:lang w:val="es-ES"/>
        </w:rPr>
        <w:t>contribuye con el incremento de l</w:t>
      </w:r>
      <w:r w:rsidRPr="002A793E">
        <w:rPr>
          <w:rFonts w:ascii="Times New Roman" w:eastAsia="Calibri" w:hAnsi="Times New Roman" w:cs="Times New Roman"/>
          <w:color w:val="000000" w:themeColor="text1"/>
          <w:sz w:val="28"/>
          <w:szCs w:val="28"/>
          <w:lang w:val="es-ES"/>
        </w:rPr>
        <w:t>o</w:t>
      </w:r>
      <w:r w:rsidRPr="002A793E">
        <w:rPr>
          <w:rFonts w:ascii="Times New Roman" w:eastAsia="Calibri" w:hAnsi="Times New Roman" w:cs="Times New Roman"/>
          <w:color w:val="000000" w:themeColor="text1"/>
          <w:sz w:val="28"/>
          <w:szCs w:val="28"/>
          <w:lang w:val="es-ES"/>
        </w:rPr>
        <w:t xml:space="preserve">s bienes disponibles en el </w:t>
      </w:r>
      <w:r w:rsidRPr="002A793E">
        <w:rPr>
          <w:rFonts w:ascii="Times New Roman" w:eastAsia="Calibri" w:hAnsi="Times New Roman" w:cs="Times New Roman"/>
          <w:color w:val="000000" w:themeColor="text1"/>
          <w:sz w:val="28"/>
          <w:szCs w:val="28"/>
          <w:lang w:val="es-ES"/>
        </w:rPr>
        <w:t>F</w:t>
      </w:r>
      <w:r w:rsidRPr="002A793E">
        <w:rPr>
          <w:rFonts w:ascii="Times New Roman" w:eastAsia="Calibri" w:hAnsi="Times New Roman" w:cs="Times New Roman"/>
          <w:color w:val="000000" w:themeColor="text1"/>
          <w:sz w:val="28"/>
          <w:szCs w:val="28"/>
          <w:lang w:val="es-ES"/>
        </w:rPr>
        <w:t xml:space="preserve">ondo de </w:t>
      </w:r>
      <w:r w:rsidRPr="002A793E">
        <w:rPr>
          <w:rFonts w:ascii="Times New Roman" w:eastAsia="Calibri" w:hAnsi="Times New Roman" w:cs="Times New Roman"/>
          <w:color w:val="000000" w:themeColor="text1"/>
          <w:sz w:val="28"/>
          <w:szCs w:val="28"/>
          <w:lang w:val="es-ES"/>
        </w:rPr>
        <w:t>T</w:t>
      </w:r>
      <w:r w:rsidRPr="002A793E">
        <w:rPr>
          <w:rFonts w:ascii="Times New Roman" w:eastAsia="Calibri" w:hAnsi="Times New Roman" w:cs="Times New Roman"/>
          <w:color w:val="000000" w:themeColor="text1"/>
          <w:sz w:val="28"/>
          <w:szCs w:val="28"/>
          <w:lang w:val="es-ES"/>
        </w:rPr>
        <w:t xml:space="preserve">ierras, </w:t>
      </w:r>
      <w:r w:rsidRPr="002A793E">
        <w:rPr>
          <w:rFonts w:ascii="Times New Roman" w:eastAsia="Calibri" w:hAnsi="Times New Roman" w:cs="Times New Roman"/>
          <w:color w:val="000000" w:themeColor="text1"/>
          <w:sz w:val="28"/>
          <w:szCs w:val="28"/>
          <w:lang w:val="es-ES"/>
        </w:rPr>
        <w:t>los cuales</w:t>
      </w:r>
      <w:r w:rsidRPr="002A793E">
        <w:rPr>
          <w:rFonts w:ascii="Times New Roman" w:eastAsia="Calibri" w:hAnsi="Times New Roman" w:cs="Times New Roman"/>
          <w:color w:val="000000" w:themeColor="text1"/>
          <w:sz w:val="28"/>
          <w:szCs w:val="28"/>
          <w:lang w:val="es-ES"/>
        </w:rPr>
        <w:t xml:space="preserve"> serán objeto de adjudicación para el cumplimiento de los compromisos de la Reforma Rural Integral.</w:t>
      </w:r>
      <w:r w:rsidRPr="002A793E">
        <w:rPr>
          <w:rFonts w:ascii="Times New Roman" w:eastAsia="Calibri" w:hAnsi="Times New Roman" w:cs="Times New Roman"/>
          <w:color w:val="000000" w:themeColor="text1"/>
          <w:sz w:val="28"/>
          <w:szCs w:val="28"/>
          <w:lang w:val="es-ES"/>
        </w:rPr>
        <w:t xml:space="preserve"> Esta medida instrumental guarda relación directa con los objetivos generales del PND, relacionad</w:t>
      </w:r>
      <w:r w:rsidRPr="002A793E">
        <w:rPr>
          <w:rFonts w:ascii="Times New Roman" w:eastAsia="Calibri" w:hAnsi="Times New Roman" w:cs="Times New Roman"/>
          <w:color w:val="000000" w:themeColor="text1"/>
          <w:sz w:val="28"/>
          <w:szCs w:val="28"/>
          <w:lang w:val="es-ES"/>
        </w:rPr>
        <w:t>o</w:t>
      </w:r>
      <w:r w:rsidRPr="002A793E">
        <w:rPr>
          <w:rFonts w:ascii="Times New Roman" w:eastAsia="Calibri" w:hAnsi="Times New Roman" w:cs="Times New Roman"/>
          <w:color w:val="000000" w:themeColor="text1"/>
          <w:sz w:val="28"/>
          <w:szCs w:val="28"/>
          <w:lang w:val="es-ES"/>
        </w:rPr>
        <w:t>s con la disminución de los conflictos sociales asociados a</w:t>
      </w:r>
      <w:r w:rsidRPr="002A793E">
        <w:rPr>
          <w:rFonts w:ascii="Times New Roman" w:eastAsia="Calibri" w:hAnsi="Times New Roman" w:cs="Times New Roman"/>
          <w:color w:val="000000" w:themeColor="text1"/>
          <w:sz w:val="28"/>
          <w:szCs w:val="28"/>
          <w:lang w:val="es-ES"/>
        </w:rPr>
        <w:t xml:space="preserve"> la tierra, el ordenamiento del territorio, la redistribución de la tierra y el cumplimiento de la Reforma Rural Integral</w:t>
      </w:r>
      <w:r w:rsidRPr="002A793E">
        <w:rPr>
          <w:rFonts w:ascii="Times New Roman" w:eastAsia="Calibri" w:hAnsi="Times New Roman" w:cs="Times New Roman"/>
          <w:color w:val="000000" w:themeColor="text1"/>
          <w:sz w:val="28"/>
          <w:szCs w:val="28"/>
          <w:lang w:val="es-ES"/>
        </w:rPr>
        <w:t>.</w:t>
      </w:r>
    </w:p>
    <w:p w:rsidR="00BB6742" w:rsidRPr="002A793E" w:rsidRDefault="002A793E" w:rsidP="00BB6742">
      <w:pPr>
        <w:pStyle w:val="Prrafodelista"/>
        <w:ind w:left="0"/>
        <w:rPr>
          <w:rFonts w:ascii="Times New Roman" w:eastAsia="Calibri" w:hAnsi="Times New Roman" w:cs="Times New Roman"/>
          <w:color w:val="000000" w:themeColor="text1"/>
          <w:sz w:val="28"/>
          <w:szCs w:val="28"/>
          <w:lang w:val="es-ES"/>
        </w:rPr>
      </w:pPr>
    </w:p>
    <w:p w:rsidR="006C77DF" w:rsidRPr="002A793E" w:rsidRDefault="002A793E" w:rsidP="00BB6742">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Con respecto al </w:t>
      </w:r>
      <w:r w:rsidRPr="002A793E">
        <w:rPr>
          <w:rFonts w:ascii="Times New Roman" w:eastAsia="Calibri" w:hAnsi="Times New Roman" w:cs="Times New Roman"/>
          <w:b/>
          <w:color w:val="000000" w:themeColor="text1"/>
          <w:sz w:val="28"/>
          <w:szCs w:val="28"/>
          <w:lang w:val="es-ES"/>
        </w:rPr>
        <w:t>cargo tercero y cuarto</w:t>
      </w:r>
      <w:r w:rsidRPr="002A793E">
        <w:rPr>
          <w:rFonts w:ascii="Times New Roman" w:eastAsia="Calibri" w:hAnsi="Times New Roman" w:cs="Times New Roman"/>
          <w:color w:val="000000" w:themeColor="text1"/>
          <w:sz w:val="28"/>
          <w:szCs w:val="28"/>
          <w:lang w:val="es-ES"/>
        </w:rPr>
        <w:t xml:space="preserve">, la entidad indicó que la eliminación de la fase judicial se enmarca en el amplio margen de </w:t>
      </w:r>
      <w:r w:rsidRPr="002A793E">
        <w:rPr>
          <w:rFonts w:ascii="Times New Roman" w:eastAsia="Calibri" w:hAnsi="Times New Roman" w:cs="Times New Roman"/>
          <w:color w:val="000000" w:themeColor="text1"/>
          <w:sz w:val="28"/>
          <w:szCs w:val="28"/>
          <w:lang w:val="es-ES"/>
        </w:rPr>
        <w:t>configuración reconocido al Congreso de la República en el diseño de los procedimientos y no transgrede los límites constitucionales sobre esa competencia. En concreto, la disposición: (i) no desconoce un recurso o trámite judicial definido directamente po</w:t>
      </w:r>
      <w:r w:rsidRPr="002A793E">
        <w:rPr>
          <w:rFonts w:ascii="Times New Roman" w:eastAsia="Calibri" w:hAnsi="Times New Roman" w:cs="Times New Roman"/>
          <w:color w:val="000000" w:themeColor="text1"/>
          <w:sz w:val="28"/>
          <w:szCs w:val="28"/>
          <w:lang w:val="es-ES"/>
        </w:rPr>
        <w:t>r la Constitución; (ii) asegura los fines esenciales del Estado, particularmente de la administración de justicia; (iii) es una medida proporcional, que no afecta el debido proceso</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pues en la fase administrativa se asegura </w:t>
      </w:r>
      <w:r w:rsidRPr="002A793E">
        <w:rPr>
          <w:rFonts w:ascii="Times New Roman" w:eastAsia="Calibri" w:hAnsi="Times New Roman" w:cs="Times New Roman"/>
          <w:color w:val="000000" w:themeColor="text1"/>
          <w:sz w:val="28"/>
          <w:szCs w:val="28"/>
          <w:lang w:val="es-ES"/>
        </w:rPr>
        <w:t>el derecho</w:t>
      </w:r>
      <w:r w:rsidRPr="002A793E">
        <w:rPr>
          <w:rFonts w:ascii="Times New Roman" w:eastAsia="Calibri" w:hAnsi="Times New Roman" w:cs="Times New Roman"/>
          <w:color w:val="000000" w:themeColor="text1"/>
          <w:sz w:val="28"/>
          <w:szCs w:val="28"/>
          <w:lang w:val="es-ES"/>
        </w:rPr>
        <w:t xml:space="preserve"> de contradicción y de</w:t>
      </w:r>
      <w:r w:rsidRPr="002A793E">
        <w:rPr>
          <w:rFonts w:ascii="Times New Roman" w:eastAsia="Calibri" w:hAnsi="Times New Roman" w:cs="Times New Roman"/>
          <w:color w:val="000000" w:themeColor="text1"/>
          <w:sz w:val="28"/>
          <w:szCs w:val="28"/>
          <w:lang w:val="es-ES"/>
        </w:rPr>
        <w:t xml:space="preserve">fensa, y </w:t>
      </w:r>
      <w:r w:rsidRPr="002A793E">
        <w:rPr>
          <w:rFonts w:ascii="Times New Roman" w:eastAsia="Calibri" w:hAnsi="Times New Roman" w:cs="Times New Roman"/>
          <w:color w:val="000000" w:themeColor="text1"/>
          <w:sz w:val="28"/>
          <w:szCs w:val="28"/>
          <w:lang w:val="es-ES"/>
        </w:rPr>
        <w:t xml:space="preserve">las </w:t>
      </w:r>
      <w:r w:rsidRPr="002A793E">
        <w:rPr>
          <w:rFonts w:ascii="Times New Roman" w:eastAsia="Calibri" w:hAnsi="Times New Roman" w:cs="Times New Roman"/>
          <w:color w:val="000000" w:themeColor="text1"/>
          <w:sz w:val="28"/>
          <w:szCs w:val="28"/>
          <w:lang w:val="es-ES"/>
        </w:rPr>
        <w:t xml:space="preserve">demás garantías derivadas del debido proceso y se permite el control judicial de la actuación de la </w:t>
      </w:r>
      <w:r w:rsidRPr="002A793E">
        <w:rPr>
          <w:rFonts w:ascii="Times New Roman" w:eastAsia="Calibri" w:hAnsi="Times New Roman" w:cs="Times New Roman"/>
          <w:color w:val="000000" w:themeColor="text1"/>
          <w:sz w:val="28"/>
          <w:szCs w:val="28"/>
          <w:lang w:val="es-ES"/>
        </w:rPr>
        <w:t>administración a través de la acción de nulidad agraria. Adicionalmente, destacó que de acuerdo con lo señalado en la sentencia C-073 de 2018 e</w:t>
      </w:r>
      <w:r w:rsidRPr="002A793E">
        <w:rPr>
          <w:rFonts w:ascii="Times New Roman" w:eastAsia="Calibri" w:hAnsi="Times New Roman" w:cs="Times New Roman"/>
          <w:color w:val="000000" w:themeColor="text1"/>
          <w:sz w:val="28"/>
          <w:szCs w:val="28"/>
          <w:lang w:val="es-ES"/>
        </w:rPr>
        <w:t xml:space="preserve">l control de las actuaciones a través de la acción de nulidad agraria es una medida de protección </w:t>
      </w:r>
      <w:r w:rsidRPr="002A793E">
        <w:rPr>
          <w:rFonts w:ascii="Times New Roman" w:eastAsia="Calibri" w:hAnsi="Times New Roman" w:cs="Times New Roman"/>
          <w:color w:val="000000" w:themeColor="text1"/>
          <w:sz w:val="28"/>
          <w:szCs w:val="28"/>
          <w:lang w:val="es-ES"/>
        </w:rPr>
        <w:t xml:space="preserve">suficiente </w:t>
      </w:r>
      <w:r w:rsidRPr="002A793E">
        <w:rPr>
          <w:rFonts w:ascii="Times New Roman" w:eastAsia="Calibri" w:hAnsi="Times New Roman" w:cs="Times New Roman"/>
          <w:color w:val="000000" w:themeColor="text1"/>
          <w:sz w:val="28"/>
          <w:szCs w:val="28"/>
          <w:lang w:val="es-ES"/>
        </w:rPr>
        <w:t>frente a la arbitrariedad de la administración.</w:t>
      </w:r>
      <w:r w:rsidRPr="002A793E">
        <w:rPr>
          <w:rFonts w:ascii="Times New Roman" w:hAnsi="Times New Roman" w:cs="Times New Roman"/>
          <w:sz w:val="28"/>
          <w:szCs w:val="28"/>
          <w:lang w:val="es-ES"/>
        </w:rPr>
        <w:t xml:space="preserve"> Finalmente, el ministerio destacó </w:t>
      </w:r>
      <w:r w:rsidRPr="002A793E">
        <w:rPr>
          <w:rFonts w:ascii="Times New Roman" w:hAnsi="Times New Roman" w:cs="Times New Roman"/>
          <w:sz w:val="28"/>
          <w:szCs w:val="28"/>
          <w:lang w:val="es-ES"/>
        </w:rPr>
        <w:t xml:space="preserve">que </w:t>
      </w:r>
      <w:r w:rsidRPr="002A793E">
        <w:rPr>
          <w:rFonts w:ascii="Times New Roman" w:hAnsi="Times New Roman" w:cs="Times New Roman"/>
          <w:sz w:val="28"/>
          <w:szCs w:val="28"/>
          <w:lang w:val="es-ES"/>
        </w:rPr>
        <w:t xml:space="preserve">la simplificación de los procedimientos </w:t>
      </w:r>
      <w:r w:rsidRPr="002A793E">
        <w:rPr>
          <w:rFonts w:ascii="Times New Roman" w:hAnsi="Times New Roman" w:cs="Times New Roman"/>
          <w:sz w:val="28"/>
          <w:szCs w:val="28"/>
          <w:lang w:val="es-ES"/>
        </w:rPr>
        <w:t>que permiten el</w:t>
      </w:r>
      <w:r w:rsidRPr="002A793E">
        <w:rPr>
          <w:rFonts w:ascii="Times New Roman" w:hAnsi="Times New Roman" w:cs="Times New Roman"/>
          <w:sz w:val="28"/>
          <w:szCs w:val="28"/>
          <w:lang w:val="es-ES"/>
        </w:rPr>
        <w:t xml:space="preserve"> acces</w:t>
      </w:r>
      <w:r w:rsidRPr="002A793E">
        <w:rPr>
          <w:rFonts w:ascii="Times New Roman" w:hAnsi="Times New Roman" w:cs="Times New Roman"/>
          <w:sz w:val="28"/>
          <w:szCs w:val="28"/>
          <w:lang w:val="es-ES"/>
        </w:rPr>
        <w:t>o a la tierra es un acto de justicia social histórico que requiere que el derecho sustancial prime sobre las formalidades.</w:t>
      </w:r>
    </w:p>
    <w:p w:rsidR="00EC4B39" w:rsidRPr="002A793E" w:rsidRDefault="002A793E" w:rsidP="00EC4B39">
      <w:pPr>
        <w:pStyle w:val="Prrafodelista"/>
        <w:ind w:left="0"/>
        <w:rPr>
          <w:rFonts w:ascii="Times New Roman" w:eastAsia="Calibri" w:hAnsi="Times New Roman" w:cs="Times New Roman"/>
          <w:color w:val="000000" w:themeColor="text1"/>
          <w:sz w:val="28"/>
          <w:szCs w:val="28"/>
          <w:lang w:val="es-ES"/>
        </w:rPr>
      </w:pPr>
    </w:p>
    <w:p w:rsidR="00EC4B39" w:rsidRPr="002A793E" w:rsidRDefault="002A793E" w:rsidP="00EE7A55">
      <w:pPr>
        <w:pStyle w:val="Prrafodelista"/>
        <w:numPr>
          <w:ilvl w:val="1"/>
          <w:numId w:val="4"/>
        </w:numPr>
        <w:spacing w:line="360" w:lineRule="atLeast"/>
        <w:rPr>
          <w:rFonts w:ascii="Times New Roman" w:eastAsia="Calibri" w:hAnsi="Times New Roman" w:cs="Times New Roman"/>
          <w:b/>
          <w:color w:val="000000" w:themeColor="text1"/>
          <w:sz w:val="28"/>
          <w:szCs w:val="28"/>
          <w:lang w:val="es-ES"/>
        </w:rPr>
      </w:pPr>
      <w:r w:rsidRPr="002A793E">
        <w:rPr>
          <w:rFonts w:ascii="Times New Roman" w:eastAsia="Calibri" w:hAnsi="Times New Roman" w:cs="Times New Roman"/>
          <w:b/>
          <w:color w:val="000000" w:themeColor="text1"/>
          <w:sz w:val="28"/>
          <w:szCs w:val="28"/>
          <w:lang w:val="es-ES"/>
        </w:rPr>
        <w:t xml:space="preserve">Leidy </w:t>
      </w:r>
      <w:r w:rsidRPr="002A793E">
        <w:rPr>
          <w:rFonts w:ascii="Times New Roman" w:hAnsi="Times New Roman" w:cs="Times New Roman"/>
          <w:b/>
          <w:sz w:val="28"/>
          <w:szCs w:val="28"/>
          <w:lang w:val="es-ES"/>
        </w:rPr>
        <w:t>Ang</w:t>
      </w:r>
      <w:r w:rsidRPr="002A793E">
        <w:rPr>
          <w:rFonts w:ascii="Times New Roman" w:hAnsi="Times New Roman" w:cs="Times New Roman"/>
          <w:b/>
          <w:sz w:val="28"/>
          <w:szCs w:val="28"/>
          <w:lang w:val="es-ES"/>
        </w:rPr>
        <w:t>é</w:t>
      </w:r>
      <w:r w:rsidRPr="002A793E">
        <w:rPr>
          <w:rFonts w:ascii="Times New Roman" w:hAnsi="Times New Roman" w:cs="Times New Roman"/>
          <w:b/>
          <w:sz w:val="28"/>
          <w:szCs w:val="28"/>
          <w:lang w:val="es-ES"/>
        </w:rPr>
        <w:t>lica</w:t>
      </w:r>
      <w:r w:rsidRPr="002A793E">
        <w:rPr>
          <w:rFonts w:ascii="Times New Roman" w:eastAsia="Calibri" w:hAnsi="Times New Roman" w:cs="Times New Roman"/>
          <w:b/>
          <w:color w:val="000000" w:themeColor="text1"/>
          <w:sz w:val="28"/>
          <w:szCs w:val="28"/>
          <w:lang w:val="es-ES"/>
        </w:rPr>
        <w:t xml:space="preserve"> Ramírez Primiciero</w:t>
      </w:r>
    </w:p>
    <w:p w:rsidR="00C15671" w:rsidRPr="002A793E" w:rsidRDefault="002A793E" w:rsidP="00C15671">
      <w:pPr>
        <w:pStyle w:val="Prrafodelista"/>
        <w:rPr>
          <w:rFonts w:ascii="Times New Roman" w:eastAsia="Calibri" w:hAnsi="Times New Roman" w:cs="Times New Roman"/>
          <w:color w:val="000000" w:themeColor="text1"/>
          <w:sz w:val="28"/>
          <w:szCs w:val="28"/>
          <w:lang w:val="es-ES"/>
        </w:rPr>
      </w:pPr>
    </w:p>
    <w:p w:rsidR="00B21A2A" w:rsidRPr="002A793E" w:rsidRDefault="002A793E" w:rsidP="007632E8">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La ciudadana presentó intervención en la que indicó que </w:t>
      </w:r>
      <w:r w:rsidRPr="002A793E">
        <w:rPr>
          <w:rFonts w:ascii="Times New Roman" w:eastAsia="Calibri" w:hAnsi="Times New Roman" w:cs="Times New Roman"/>
          <w:color w:val="000000" w:themeColor="text1"/>
          <w:sz w:val="28"/>
          <w:szCs w:val="28"/>
          <w:lang w:val="es-ES"/>
        </w:rPr>
        <w:t xml:space="preserve">comparte los planteamientos de los cargos de la demanda y, por lo tanto, solicitó que se declare la inexequibilidad de la disposición acusada. Adicionalmente, remitió </w:t>
      </w:r>
      <w:r w:rsidRPr="002A793E">
        <w:rPr>
          <w:rFonts w:ascii="Times New Roman" w:eastAsia="Calibri" w:hAnsi="Times New Roman" w:cs="Times New Roman"/>
          <w:color w:val="000000" w:themeColor="text1"/>
          <w:sz w:val="28"/>
          <w:szCs w:val="28"/>
          <w:lang w:val="es-ES"/>
        </w:rPr>
        <w:t xml:space="preserve">las </w:t>
      </w:r>
      <w:r w:rsidRPr="002A793E">
        <w:rPr>
          <w:rFonts w:ascii="Times New Roman" w:eastAsia="Calibri" w:hAnsi="Times New Roman" w:cs="Times New Roman"/>
          <w:color w:val="000000" w:themeColor="text1"/>
          <w:sz w:val="28"/>
          <w:szCs w:val="28"/>
          <w:lang w:val="es-ES"/>
        </w:rPr>
        <w:t xml:space="preserve">respuestas a </w:t>
      </w:r>
      <w:r w:rsidRPr="002A793E">
        <w:rPr>
          <w:rFonts w:ascii="Times New Roman" w:eastAsia="Calibri" w:hAnsi="Times New Roman" w:cs="Times New Roman"/>
          <w:color w:val="000000" w:themeColor="text1"/>
          <w:sz w:val="28"/>
          <w:szCs w:val="28"/>
          <w:lang w:val="es-ES"/>
        </w:rPr>
        <w:t>algunas peticiones que elevó ante</w:t>
      </w:r>
      <w:r w:rsidRPr="002A793E">
        <w:rPr>
          <w:rFonts w:ascii="Times New Roman" w:eastAsia="Calibri" w:hAnsi="Times New Roman" w:cs="Times New Roman"/>
          <w:color w:val="000000" w:themeColor="text1"/>
          <w:sz w:val="28"/>
          <w:szCs w:val="28"/>
          <w:lang w:val="es-ES"/>
        </w:rPr>
        <w:t xml:space="preserve"> la Agencia Nacional de Tierras</w:t>
      </w:r>
      <w:r w:rsidRPr="002A793E">
        <w:rPr>
          <w:rFonts w:ascii="Times New Roman" w:eastAsia="Calibri" w:hAnsi="Times New Roman" w:cs="Times New Roman"/>
          <w:color w:val="000000" w:themeColor="text1"/>
          <w:sz w:val="28"/>
          <w:szCs w:val="28"/>
          <w:lang w:val="es-ES"/>
        </w:rPr>
        <w:t xml:space="preserve"> a partir de las cuales la interviniente </w:t>
      </w:r>
      <w:r w:rsidRPr="002A793E">
        <w:rPr>
          <w:rFonts w:ascii="Times New Roman" w:eastAsia="Calibri" w:hAnsi="Times New Roman" w:cs="Times New Roman"/>
          <w:color w:val="000000" w:themeColor="text1"/>
          <w:sz w:val="28"/>
          <w:szCs w:val="28"/>
          <w:lang w:val="es-ES"/>
        </w:rPr>
        <w:t>i</w:t>
      </w:r>
      <w:r w:rsidRPr="002A793E">
        <w:rPr>
          <w:rFonts w:ascii="Times New Roman" w:eastAsia="Calibri" w:hAnsi="Times New Roman" w:cs="Times New Roman"/>
          <w:color w:val="000000" w:themeColor="text1"/>
          <w:sz w:val="28"/>
          <w:szCs w:val="28"/>
          <w:lang w:val="es-ES"/>
        </w:rPr>
        <w:t xml:space="preserve">ndicó que </w:t>
      </w:r>
      <w:r w:rsidRPr="002A793E">
        <w:rPr>
          <w:rFonts w:ascii="Times New Roman" w:hAnsi="Times New Roman" w:cs="Times New Roman"/>
          <w:sz w:val="28"/>
          <w:szCs w:val="28"/>
          <w:lang w:val="es-ES"/>
        </w:rPr>
        <w:t>desde la fecha en que entró en vigencia e</w:t>
      </w:r>
      <w:r w:rsidRPr="002A793E">
        <w:rPr>
          <w:rFonts w:ascii="Times New Roman" w:hAnsi="Times New Roman" w:cs="Times New Roman"/>
          <w:sz w:val="28"/>
          <w:szCs w:val="28"/>
          <w:lang w:val="es-ES"/>
        </w:rPr>
        <w:t>l</w:t>
      </w:r>
      <w:r w:rsidRPr="002A793E">
        <w:rPr>
          <w:rFonts w:ascii="Times New Roman" w:hAnsi="Times New Roman" w:cs="Times New Roman"/>
          <w:sz w:val="28"/>
          <w:szCs w:val="28"/>
          <w:lang w:val="es-ES"/>
        </w:rPr>
        <w:t xml:space="preserve"> Decreto Ley 902 de 2017 no se han presentado demandas ante </w:t>
      </w:r>
      <w:r w:rsidRPr="002A793E">
        <w:rPr>
          <w:rFonts w:ascii="Times New Roman" w:hAnsi="Times New Roman" w:cs="Times New Roman"/>
          <w:sz w:val="28"/>
          <w:szCs w:val="28"/>
          <w:lang w:val="es-ES"/>
        </w:rPr>
        <w:t xml:space="preserve">las autoridades judiciales </w:t>
      </w:r>
      <w:r w:rsidRPr="002A793E">
        <w:rPr>
          <w:rFonts w:ascii="Times New Roman" w:hAnsi="Times New Roman" w:cs="Times New Roman"/>
          <w:sz w:val="28"/>
          <w:szCs w:val="28"/>
          <w:lang w:val="es-ES"/>
        </w:rPr>
        <w:t xml:space="preserve">sobre los procesos agrarios en el marco del PUO, </w:t>
      </w:r>
      <w:r w:rsidRPr="002A793E">
        <w:rPr>
          <w:rFonts w:ascii="Times New Roman" w:hAnsi="Times New Roman" w:cs="Times New Roman"/>
          <w:sz w:val="28"/>
          <w:szCs w:val="28"/>
          <w:lang w:val="es-ES"/>
        </w:rPr>
        <w:t>razón por la que, a su jui</w:t>
      </w:r>
      <w:r w:rsidRPr="002A793E">
        <w:rPr>
          <w:rFonts w:ascii="Times New Roman" w:hAnsi="Times New Roman" w:cs="Times New Roman"/>
          <w:sz w:val="28"/>
          <w:szCs w:val="28"/>
          <w:lang w:val="es-ES"/>
        </w:rPr>
        <w:t xml:space="preserve">cio, </w:t>
      </w:r>
      <w:r w:rsidRPr="002A793E">
        <w:rPr>
          <w:rFonts w:ascii="Times New Roman" w:hAnsi="Times New Roman" w:cs="Times New Roman"/>
          <w:sz w:val="28"/>
          <w:szCs w:val="28"/>
          <w:lang w:val="es-ES"/>
        </w:rPr>
        <w:t>la ANT no tiene fundamentos que permitan sostener que la intervención judicial en estos procesos impacta de forma negativa en el cumplimiento de las metas de la Reforma Rural Integral y las medidas de recuperación</w:t>
      </w:r>
      <w:r w:rsidRPr="002A793E">
        <w:rPr>
          <w:rFonts w:ascii="Times New Roman" w:hAnsi="Times New Roman" w:cs="Times New Roman"/>
          <w:sz w:val="28"/>
          <w:szCs w:val="28"/>
          <w:lang w:val="es-ES"/>
        </w:rPr>
        <w:t>, clarificación, formalización y redis</w:t>
      </w:r>
      <w:r w:rsidRPr="002A793E">
        <w:rPr>
          <w:rFonts w:ascii="Times New Roman" w:hAnsi="Times New Roman" w:cs="Times New Roman"/>
          <w:sz w:val="28"/>
          <w:szCs w:val="28"/>
          <w:lang w:val="es-ES"/>
        </w:rPr>
        <w:t>tribución de la tierra.</w:t>
      </w:r>
    </w:p>
    <w:p w:rsidR="006F3184" w:rsidRPr="002A793E" w:rsidRDefault="002A793E" w:rsidP="006F3184">
      <w:pPr>
        <w:pStyle w:val="Prrafodelista"/>
        <w:rPr>
          <w:rFonts w:ascii="Times New Roman" w:eastAsia="Calibri" w:hAnsi="Times New Roman" w:cs="Times New Roman"/>
          <w:color w:val="000000" w:themeColor="text1"/>
          <w:sz w:val="28"/>
          <w:szCs w:val="28"/>
          <w:lang w:val="es-ES"/>
        </w:rPr>
      </w:pPr>
    </w:p>
    <w:p w:rsidR="006F3184" w:rsidRPr="002A793E" w:rsidRDefault="002A793E" w:rsidP="00EE7A55">
      <w:pPr>
        <w:pStyle w:val="Prrafodelista"/>
        <w:numPr>
          <w:ilvl w:val="1"/>
          <w:numId w:val="4"/>
        </w:numPr>
        <w:spacing w:line="360" w:lineRule="atLeast"/>
        <w:rPr>
          <w:rFonts w:ascii="Times New Roman" w:eastAsia="Calibri" w:hAnsi="Times New Roman" w:cs="Times New Roman"/>
          <w:b/>
          <w:bCs/>
          <w:color w:val="000000" w:themeColor="text1"/>
          <w:sz w:val="28"/>
          <w:szCs w:val="28"/>
          <w:lang w:val="es-ES"/>
        </w:rPr>
      </w:pPr>
      <w:r w:rsidRPr="002A793E">
        <w:rPr>
          <w:rFonts w:ascii="Times New Roman" w:eastAsia="Calibri" w:hAnsi="Times New Roman" w:cs="Times New Roman"/>
          <w:b/>
          <w:bCs/>
          <w:color w:val="000000" w:themeColor="text1"/>
          <w:sz w:val="28"/>
          <w:szCs w:val="28"/>
          <w:lang w:val="es-ES"/>
        </w:rPr>
        <w:t xml:space="preserve">Clínica de Acciones y Litigio de Interés Público (CALIP) de la Universidad </w:t>
      </w:r>
      <w:r w:rsidRPr="002A793E">
        <w:rPr>
          <w:rFonts w:ascii="Times New Roman" w:hAnsi="Times New Roman" w:cs="Times New Roman"/>
          <w:b/>
          <w:sz w:val="28"/>
          <w:szCs w:val="28"/>
          <w:lang w:val="es-ES"/>
        </w:rPr>
        <w:t>Javeriana</w:t>
      </w:r>
    </w:p>
    <w:p w:rsidR="00B21A2A" w:rsidRPr="002A793E" w:rsidRDefault="002A793E" w:rsidP="006F3184">
      <w:pPr>
        <w:rPr>
          <w:rFonts w:ascii="Times New Roman" w:hAnsi="Times New Roman" w:cs="Times New Roman"/>
          <w:sz w:val="28"/>
          <w:szCs w:val="28"/>
          <w:lang w:val="es-ES"/>
        </w:rPr>
      </w:pPr>
    </w:p>
    <w:p w:rsidR="009A423C" w:rsidRPr="002A793E" w:rsidRDefault="002A793E" w:rsidP="00893F62">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Esa clínica jurídica</w:t>
      </w:r>
      <w:r w:rsidRPr="002A793E">
        <w:rPr>
          <w:rFonts w:ascii="Times New Roman" w:hAnsi="Times New Roman" w:cs="Times New Roman"/>
          <w:sz w:val="28"/>
          <w:szCs w:val="28"/>
          <w:lang w:val="es-ES"/>
        </w:rPr>
        <w:t>, que</w:t>
      </w:r>
      <w:r w:rsidRPr="002A793E">
        <w:rPr>
          <w:rFonts w:ascii="Times New Roman" w:hAnsi="Times New Roman" w:cs="Times New Roman"/>
          <w:sz w:val="28"/>
          <w:szCs w:val="28"/>
          <w:lang w:val="es-ES"/>
        </w:rPr>
        <w:t xml:space="preserve"> restringió </w:t>
      </w:r>
      <w:r w:rsidRPr="002A793E">
        <w:rPr>
          <w:rFonts w:ascii="Times New Roman" w:hAnsi="Times New Roman" w:cs="Times New Roman"/>
          <w:sz w:val="28"/>
          <w:szCs w:val="28"/>
          <w:lang w:val="es-ES"/>
        </w:rPr>
        <w:t>su</w:t>
      </w:r>
      <w:r w:rsidRPr="002A793E">
        <w:rPr>
          <w:rFonts w:ascii="Times New Roman" w:hAnsi="Times New Roman" w:cs="Times New Roman"/>
          <w:sz w:val="28"/>
          <w:szCs w:val="28"/>
          <w:lang w:val="es-ES"/>
        </w:rPr>
        <w:t xml:space="preserve"> intervención al </w:t>
      </w:r>
      <w:r w:rsidRPr="002A793E">
        <w:rPr>
          <w:rFonts w:ascii="Times New Roman" w:hAnsi="Times New Roman" w:cs="Times New Roman"/>
          <w:b/>
          <w:bCs/>
          <w:sz w:val="28"/>
          <w:szCs w:val="28"/>
          <w:lang w:val="es-ES"/>
        </w:rPr>
        <w:t>tercer</w:t>
      </w:r>
      <w:r w:rsidRPr="002A793E">
        <w:rPr>
          <w:rFonts w:ascii="Times New Roman" w:hAnsi="Times New Roman" w:cs="Times New Roman"/>
          <w:b/>
          <w:bCs/>
          <w:sz w:val="28"/>
          <w:szCs w:val="28"/>
          <w:lang w:val="es-ES"/>
        </w:rPr>
        <w:t xml:space="preserve"> cargo</w:t>
      </w:r>
      <w:r w:rsidRPr="002A793E">
        <w:rPr>
          <w:rFonts w:ascii="Times New Roman" w:hAnsi="Times New Roman" w:cs="Times New Roman"/>
          <w:b/>
          <w:bCs/>
          <w:sz w:val="28"/>
          <w:szCs w:val="28"/>
          <w:lang w:val="es-ES"/>
        </w:rPr>
        <w:t xml:space="preserve"> </w:t>
      </w:r>
      <w:r w:rsidRPr="002A793E">
        <w:rPr>
          <w:rFonts w:ascii="Times New Roman" w:hAnsi="Times New Roman" w:cs="Times New Roman"/>
          <w:sz w:val="28"/>
          <w:szCs w:val="28"/>
          <w:lang w:val="es-ES"/>
        </w:rPr>
        <w:t xml:space="preserve">de la demanda, señaló que la Corte </w:t>
      </w:r>
      <w:r w:rsidRPr="002A793E">
        <w:rPr>
          <w:rFonts w:ascii="Times New Roman" w:hAnsi="Times New Roman" w:cs="Times New Roman"/>
          <w:sz w:val="28"/>
          <w:szCs w:val="28"/>
          <w:lang w:val="es-ES"/>
        </w:rPr>
        <w:t xml:space="preserve">debe </w:t>
      </w:r>
      <w:r w:rsidRPr="002A793E">
        <w:rPr>
          <w:rFonts w:ascii="Times New Roman" w:hAnsi="Times New Roman" w:cs="Times New Roman"/>
          <w:sz w:val="28"/>
          <w:szCs w:val="28"/>
          <w:lang w:val="es-ES"/>
        </w:rPr>
        <w:t>declar</w:t>
      </w:r>
      <w:r w:rsidRPr="002A793E">
        <w:rPr>
          <w:rFonts w:ascii="Times New Roman" w:hAnsi="Times New Roman" w:cs="Times New Roman"/>
          <w:sz w:val="28"/>
          <w:szCs w:val="28"/>
          <w:lang w:val="es-ES"/>
        </w:rPr>
        <w:t>ar</w:t>
      </w:r>
      <w:r w:rsidRPr="002A793E">
        <w:rPr>
          <w:rFonts w:ascii="Times New Roman" w:hAnsi="Times New Roman" w:cs="Times New Roman"/>
          <w:sz w:val="28"/>
          <w:szCs w:val="28"/>
          <w:lang w:val="es-ES"/>
        </w:rPr>
        <w:t xml:space="preserve"> la inexequibilidad de las normas acusadas</w:t>
      </w:r>
      <w:r w:rsidRPr="002A793E">
        <w:rPr>
          <w:rFonts w:ascii="Times New Roman" w:hAnsi="Times New Roman" w:cs="Times New Roman"/>
          <w:sz w:val="28"/>
          <w:szCs w:val="28"/>
          <w:lang w:val="es-ES"/>
        </w:rPr>
        <w:t xml:space="preserve"> por vulnerar los </w:t>
      </w:r>
      <w:r w:rsidRPr="002A793E">
        <w:rPr>
          <w:rFonts w:ascii="Times New Roman" w:hAnsi="Times New Roman" w:cs="Times New Roman"/>
          <w:sz w:val="28"/>
          <w:szCs w:val="28"/>
          <w:lang w:val="es-ES"/>
        </w:rPr>
        <w:t>derechos de acceso a la administración de justicia y a la tutela judicial efectiva en el marco del conflicto armado</w:t>
      </w:r>
      <w:r w:rsidRPr="002A793E">
        <w:rPr>
          <w:rFonts w:ascii="Times New Roman" w:hAnsi="Times New Roman" w:cs="Times New Roman"/>
          <w:sz w:val="28"/>
          <w:szCs w:val="28"/>
          <w:lang w:val="es-ES"/>
        </w:rPr>
        <w:t>, los cuales constituyen un límite a la amplia libertad de configuración del legi</w:t>
      </w:r>
      <w:r w:rsidRPr="002A793E">
        <w:rPr>
          <w:rFonts w:ascii="Times New Roman" w:hAnsi="Times New Roman" w:cs="Times New Roman"/>
          <w:sz w:val="28"/>
          <w:szCs w:val="28"/>
          <w:lang w:val="es-ES"/>
        </w:rPr>
        <w:t xml:space="preserve">slador. </w:t>
      </w:r>
      <w:r w:rsidRPr="002A793E">
        <w:rPr>
          <w:rFonts w:ascii="Times New Roman" w:hAnsi="Times New Roman" w:cs="Times New Roman"/>
          <w:sz w:val="28"/>
          <w:szCs w:val="28"/>
          <w:lang w:val="es-ES"/>
        </w:rPr>
        <w:t>Para sustentar esa petición, la intervención desarrolló los siguientes argumentos:</w:t>
      </w:r>
    </w:p>
    <w:p w:rsidR="00E046FF" w:rsidRPr="002A793E" w:rsidRDefault="002A793E" w:rsidP="00E046FF">
      <w:pPr>
        <w:pStyle w:val="Prrafodelista"/>
        <w:rPr>
          <w:rFonts w:ascii="Times New Roman" w:eastAsia="Calibri" w:hAnsi="Times New Roman" w:cs="Times New Roman"/>
          <w:color w:val="000000" w:themeColor="text1"/>
          <w:sz w:val="28"/>
          <w:szCs w:val="28"/>
          <w:lang w:val="es-ES"/>
        </w:rPr>
      </w:pPr>
    </w:p>
    <w:p w:rsidR="00E046FF" w:rsidRPr="002A793E" w:rsidRDefault="002A793E" w:rsidP="009A423C">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Primero</w:t>
      </w:r>
      <w:r w:rsidRPr="002A793E">
        <w:rPr>
          <w:rFonts w:ascii="Times New Roman" w:eastAsia="Calibri" w:hAnsi="Times New Roman" w:cs="Times New Roman"/>
          <w:color w:val="000000" w:themeColor="text1"/>
          <w:sz w:val="28"/>
          <w:szCs w:val="28"/>
          <w:lang w:val="es-ES"/>
        </w:rPr>
        <w:t>, como consecuencia de lo establecido en el artículo 61 de la Ley 2294 de 2023 y de las derogatorias</w:t>
      </w:r>
      <w:r w:rsidRPr="002A793E">
        <w:rPr>
          <w:rFonts w:ascii="Times New Roman" w:eastAsia="Calibri" w:hAnsi="Times New Roman" w:cs="Times New Roman"/>
          <w:color w:val="000000" w:themeColor="text1"/>
          <w:sz w:val="28"/>
          <w:szCs w:val="28"/>
          <w:lang w:val="es-ES"/>
        </w:rPr>
        <w:t xml:space="preserve"> previstas</w:t>
      </w:r>
      <w:r w:rsidRPr="002A793E">
        <w:rPr>
          <w:rFonts w:ascii="Times New Roman" w:eastAsia="Calibri" w:hAnsi="Times New Roman" w:cs="Times New Roman"/>
          <w:color w:val="000000" w:themeColor="text1"/>
          <w:sz w:val="28"/>
          <w:szCs w:val="28"/>
          <w:lang w:val="es-ES"/>
        </w:rPr>
        <w:t xml:space="preserve"> en el parágrafo 3 de dicha disposición, los sujetos que no intervienen en el PUO no pueden ejercer la acción de nulidad agraria</w:t>
      </w:r>
      <w:r w:rsidRPr="002A793E">
        <w:rPr>
          <w:rFonts w:ascii="Times New Roman" w:eastAsia="Calibri" w:hAnsi="Times New Roman" w:cs="Times New Roman"/>
          <w:color w:val="000000" w:themeColor="text1"/>
          <w:sz w:val="28"/>
          <w:szCs w:val="28"/>
          <w:lang w:val="es-ES"/>
        </w:rPr>
        <w:t xml:space="preserve"> dentro de los tres años siguientes a la fecha de inscripción del acto administrativo en el folio de matrícula inmobiliaria</w:t>
      </w:r>
      <w:r w:rsidRPr="002A793E">
        <w:rPr>
          <w:rFonts w:ascii="Times New Roman" w:eastAsia="Calibri" w:hAnsi="Times New Roman" w:cs="Times New Roman"/>
          <w:color w:val="000000" w:themeColor="text1"/>
          <w:sz w:val="28"/>
          <w:szCs w:val="28"/>
          <w:lang w:val="es-ES"/>
        </w:rPr>
        <w:t>, aun</w:t>
      </w:r>
      <w:r w:rsidRPr="002A793E">
        <w:rPr>
          <w:rFonts w:ascii="Times New Roman" w:eastAsia="Calibri" w:hAnsi="Times New Roman" w:cs="Times New Roman"/>
          <w:color w:val="000000" w:themeColor="text1"/>
          <w:sz w:val="28"/>
          <w:szCs w:val="28"/>
          <w:lang w:val="es-ES"/>
        </w:rPr>
        <w:t>que sí tienen la posibilidad de interponer una acción de nulidad y restablecimiento del derecho contra el acto administrativo proferido por la ANT</w:t>
      </w:r>
      <w:r w:rsidRPr="002A793E">
        <w:rPr>
          <w:rFonts w:ascii="Times New Roman" w:eastAsia="Calibri" w:hAnsi="Times New Roman" w:cs="Times New Roman"/>
          <w:color w:val="000000" w:themeColor="text1"/>
          <w:sz w:val="28"/>
          <w:szCs w:val="28"/>
          <w:lang w:val="es-ES"/>
        </w:rPr>
        <w:t>, la cual está sujeta al término de cuatro meses</w:t>
      </w:r>
      <w:r w:rsidRPr="002A793E">
        <w:rPr>
          <w:rFonts w:ascii="Times New Roman" w:eastAsia="Calibri" w:hAnsi="Times New Roman" w:cs="Times New Roman"/>
          <w:color w:val="000000" w:themeColor="text1"/>
          <w:sz w:val="28"/>
          <w:szCs w:val="28"/>
          <w:lang w:val="es-ES"/>
        </w:rPr>
        <w:t xml:space="preserve">. En ese contexto, los derechos de acceso a la administración </w:t>
      </w:r>
      <w:r w:rsidRPr="002A793E">
        <w:rPr>
          <w:rFonts w:ascii="Times New Roman" w:eastAsia="Calibri" w:hAnsi="Times New Roman" w:cs="Times New Roman"/>
          <w:color w:val="000000" w:themeColor="text1"/>
          <w:sz w:val="28"/>
          <w:szCs w:val="28"/>
          <w:lang w:val="es-ES"/>
        </w:rPr>
        <w:t>de justicia y a la tutela judicial efectiva de esos sujetos sufrió un deterioro</w:t>
      </w:r>
      <w:r w:rsidRPr="002A793E">
        <w:rPr>
          <w:rFonts w:ascii="Times New Roman" w:eastAsia="Calibri" w:hAnsi="Times New Roman" w:cs="Times New Roman"/>
          <w:color w:val="000000" w:themeColor="text1"/>
          <w:sz w:val="28"/>
          <w:szCs w:val="28"/>
          <w:lang w:val="es-ES"/>
        </w:rPr>
        <w:t>.</w:t>
      </w:r>
    </w:p>
    <w:p w:rsidR="00963BA6" w:rsidRPr="002A793E" w:rsidRDefault="002A793E" w:rsidP="00963BA6">
      <w:pPr>
        <w:pStyle w:val="Prrafodelista"/>
        <w:rPr>
          <w:rFonts w:ascii="Times New Roman" w:eastAsia="Calibri" w:hAnsi="Times New Roman" w:cs="Times New Roman"/>
          <w:color w:val="000000" w:themeColor="text1"/>
          <w:sz w:val="28"/>
          <w:szCs w:val="28"/>
          <w:lang w:val="es-ES"/>
        </w:rPr>
      </w:pPr>
    </w:p>
    <w:p w:rsidR="00964022" w:rsidRPr="002A793E" w:rsidRDefault="002A793E" w:rsidP="007632E8">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Segundo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el artículo 61 (parcial) de la Ley 2294 de 2023 </w:t>
      </w:r>
      <w:r w:rsidRPr="002A793E">
        <w:rPr>
          <w:rFonts w:ascii="Times New Roman" w:eastAsia="Calibri" w:hAnsi="Times New Roman" w:cs="Times New Roman"/>
          <w:color w:val="000000" w:themeColor="text1"/>
          <w:sz w:val="28"/>
          <w:szCs w:val="28"/>
          <w:lang w:val="es-ES"/>
        </w:rPr>
        <w:t>tiene un especial impacto sobre los segundos ocupantes</w:t>
      </w:r>
      <w:r w:rsidRPr="002A793E">
        <w:rPr>
          <w:rFonts w:ascii="Times New Roman" w:eastAsia="Calibri" w:hAnsi="Times New Roman" w:cs="Times New Roman"/>
          <w:color w:val="000000" w:themeColor="text1"/>
          <w:sz w:val="28"/>
          <w:szCs w:val="28"/>
          <w:lang w:val="es-ES"/>
        </w:rPr>
        <w:t>, quienes pueden ser sujetos de especial protección constitucio</w:t>
      </w:r>
      <w:r w:rsidRPr="002A793E">
        <w:rPr>
          <w:rFonts w:ascii="Times New Roman" w:eastAsia="Calibri" w:hAnsi="Times New Roman" w:cs="Times New Roman"/>
          <w:color w:val="000000" w:themeColor="text1"/>
          <w:sz w:val="28"/>
          <w:szCs w:val="28"/>
          <w:lang w:val="es-ES"/>
        </w:rPr>
        <w:t>nal, tal y como lo reconoció la sentencia T-315 de 2016</w:t>
      </w:r>
      <w:r w:rsidRPr="002A793E">
        <w:rPr>
          <w:rFonts w:ascii="Times New Roman" w:eastAsia="Calibri" w:hAnsi="Times New Roman" w:cs="Times New Roman"/>
          <w:color w:val="000000" w:themeColor="text1"/>
          <w:sz w:val="28"/>
          <w:szCs w:val="28"/>
          <w:lang w:val="es-ES"/>
        </w:rPr>
        <w:t>. Así, en</w:t>
      </w:r>
      <w:r w:rsidRPr="002A793E">
        <w:rPr>
          <w:rFonts w:ascii="Times New Roman" w:eastAsia="Calibri" w:hAnsi="Times New Roman" w:cs="Times New Roman"/>
          <w:color w:val="000000" w:themeColor="text1"/>
          <w:sz w:val="28"/>
          <w:szCs w:val="28"/>
          <w:lang w:val="es-ES"/>
        </w:rPr>
        <w:t xml:space="preserve"> función</w:t>
      </w:r>
      <w:r w:rsidRPr="002A793E">
        <w:rPr>
          <w:rFonts w:ascii="Times New Roman" w:eastAsia="Calibri" w:hAnsi="Times New Roman" w:cs="Times New Roman"/>
          <w:color w:val="000000" w:themeColor="text1"/>
          <w:sz w:val="28"/>
          <w:szCs w:val="28"/>
          <w:lang w:val="es-ES"/>
        </w:rPr>
        <w:t xml:space="preserve"> de lo dispuesto en dicha disposición</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los segundos ocupantes</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están</w:t>
      </w:r>
      <w:r w:rsidRPr="002A793E">
        <w:rPr>
          <w:rFonts w:ascii="Times New Roman" w:eastAsia="Calibri" w:hAnsi="Times New Roman" w:cs="Times New Roman"/>
          <w:color w:val="000000" w:themeColor="text1"/>
          <w:sz w:val="28"/>
          <w:szCs w:val="28"/>
          <w:lang w:val="es-ES"/>
        </w:rPr>
        <w:t xml:space="preserve"> sometidos </w:t>
      </w:r>
      <w:r w:rsidRPr="002A793E">
        <w:rPr>
          <w:rFonts w:ascii="Times New Roman" w:eastAsia="Calibri" w:hAnsi="Times New Roman" w:cs="Times New Roman"/>
          <w:color w:val="000000" w:themeColor="text1"/>
          <w:sz w:val="28"/>
          <w:szCs w:val="28"/>
          <w:lang w:val="es-ES"/>
        </w:rPr>
        <w:t>únicamente a</w:t>
      </w:r>
      <w:r w:rsidRPr="002A793E">
        <w:rPr>
          <w:rFonts w:ascii="Times New Roman" w:eastAsia="Calibri" w:hAnsi="Times New Roman" w:cs="Times New Roman"/>
          <w:color w:val="000000" w:themeColor="text1"/>
          <w:sz w:val="28"/>
          <w:szCs w:val="28"/>
          <w:lang w:val="es-ES"/>
        </w:rPr>
        <w:t xml:space="preserve"> una fase administrativa</w:t>
      </w:r>
      <w:r w:rsidRPr="002A793E">
        <w:rPr>
          <w:rFonts w:ascii="Times New Roman" w:eastAsia="Calibri" w:hAnsi="Times New Roman" w:cs="Times New Roman"/>
          <w:color w:val="000000" w:themeColor="text1"/>
          <w:sz w:val="28"/>
          <w:szCs w:val="28"/>
          <w:lang w:val="es-ES"/>
        </w:rPr>
        <w:t xml:space="preserve"> en el marco de los procesos de deslinde, clarificación de propiedad, recuperación de baldíos y extinción de dominio</w:t>
      </w:r>
      <w:r w:rsidRPr="002A793E">
        <w:rPr>
          <w:rFonts w:ascii="Times New Roman" w:eastAsia="Calibri" w:hAnsi="Times New Roman" w:cs="Times New Roman"/>
          <w:color w:val="000000" w:themeColor="text1"/>
          <w:sz w:val="28"/>
          <w:szCs w:val="28"/>
          <w:lang w:val="es-ES"/>
        </w:rPr>
        <w:t xml:space="preserve">. Por lo tanto, </w:t>
      </w:r>
      <w:r w:rsidRPr="002A793E">
        <w:rPr>
          <w:rFonts w:ascii="Times New Roman" w:eastAsia="Calibri" w:hAnsi="Times New Roman" w:cs="Times New Roman"/>
          <w:color w:val="000000" w:themeColor="text1"/>
          <w:sz w:val="28"/>
          <w:szCs w:val="28"/>
          <w:lang w:val="es-ES"/>
        </w:rPr>
        <w:t xml:space="preserve">en dichos asuntos </w:t>
      </w:r>
      <w:r w:rsidRPr="002A793E">
        <w:rPr>
          <w:rFonts w:ascii="Times New Roman" w:eastAsia="Calibri" w:hAnsi="Times New Roman" w:cs="Times New Roman"/>
          <w:color w:val="000000" w:themeColor="text1"/>
          <w:sz w:val="28"/>
          <w:szCs w:val="28"/>
          <w:lang w:val="es-ES"/>
        </w:rPr>
        <w:t xml:space="preserve">esas personas </w:t>
      </w:r>
      <w:r w:rsidRPr="002A793E">
        <w:rPr>
          <w:rFonts w:ascii="Times New Roman" w:eastAsia="Calibri" w:hAnsi="Times New Roman" w:cs="Times New Roman"/>
          <w:color w:val="000000" w:themeColor="text1"/>
          <w:sz w:val="28"/>
          <w:szCs w:val="28"/>
          <w:lang w:val="es-ES"/>
        </w:rPr>
        <w:t>ya no cuenta</w:t>
      </w:r>
      <w:r w:rsidRPr="002A793E">
        <w:rPr>
          <w:rFonts w:ascii="Times New Roman" w:eastAsia="Calibri" w:hAnsi="Times New Roman" w:cs="Times New Roman"/>
          <w:color w:val="000000" w:themeColor="text1"/>
          <w:sz w:val="28"/>
          <w:szCs w:val="28"/>
          <w:lang w:val="es-ES"/>
        </w:rPr>
        <w:t>n</w:t>
      </w:r>
      <w:r w:rsidRPr="002A793E">
        <w:rPr>
          <w:rFonts w:ascii="Times New Roman" w:eastAsia="Calibri" w:hAnsi="Times New Roman" w:cs="Times New Roman"/>
          <w:color w:val="000000" w:themeColor="text1"/>
          <w:sz w:val="28"/>
          <w:szCs w:val="28"/>
          <w:lang w:val="es-ES"/>
        </w:rPr>
        <w:t xml:space="preserve"> con un acceso automático a la administración de justicia</w:t>
      </w:r>
      <w:r w:rsidRPr="002A793E">
        <w:rPr>
          <w:rFonts w:ascii="Times New Roman" w:eastAsia="Calibri" w:hAnsi="Times New Roman" w:cs="Times New Roman"/>
          <w:color w:val="000000" w:themeColor="text1"/>
          <w:sz w:val="28"/>
          <w:szCs w:val="28"/>
          <w:lang w:val="es-ES"/>
        </w:rPr>
        <w:t xml:space="preserve">. </w:t>
      </w:r>
    </w:p>
    <w:p w:rsidR="00C413DE" w:rsidRPr="002A793E" w:rsidRDefault="002A793E" w:rsidP="00C413DE">
      <w:pPr>
        <w:pStyle w:val="Prrafodelista"/>
        <w:ind w:left="0"/>
        <w:rPr>
          <w:rFonts w:ascii="Times New Roman" w:eastAsia="Calibri" w:hAnsi="Times New Roman" w:cs="Times New Roman"/>
          <w:color w:val="000000" w:themeColor="text1"/>
          <w:sz w:val="28"/>
          <w:szCs w:val="28"/>
          <w:lang w:val="es-ES"/>
        </w:rPr>
      </w:pPr>
    </w:p>
    <w:p w:rsidR="00882FC8" w:rsidRPr="002A793E" w:rsidRDefault="002A793E" w:rsidP="00882FC8">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Tercero, la sentencia C-073 de 2018 recalcó la importancia del </w:t>
      </w:r>
      <w:r w:rsidRPr="002A793E">
        <w:rPr>
          <w:rFonts w:ascii="Times New Roman" w:eastAsia="Calibri" w:hAnsi="Times New Roman" w:cs="Times New Roman"/>
          <w:color w:val="000000" w:themeColor="text1"/>
          <w:sz w:val="28"/>
          <w:szCs w:val="28"/>
          <w:lang w:val="es-ES"/>
        </w:rPr>
        <w:t>PUO visto de forma global, esto es, desde sus fases administrativa y judicial, sin perjuicio de que, más adelante, los sujetos involucrados pudieran acudir a las acciones de resolución de contr</w:t>
      </w:r>
      <w:r w:rsidRPr="002A793E">
        <w:rPr>
          <w:rFonts w:ascii="Times New Roman" w:eastAsia="Calibri" w:hAnsi="Times New Roman" w:cs="Times New Roman"/>
          <w:color w:val="000000" w:themeColor="text1"/>
          <w:sz w:val="28"/>
          <w:szCs w:val="28"/>
          <w:lang w:val="es-ES"/>
        </w:rPr>
        <w:t xml:space="preserve">oversias sobre la adjudicación y de nulidad agraria. </w:t>
      </w:r>
    </w:p>
    <w:p w:rsidR="00882FC8" w:rsidRPr="002A793E" w:rsidRDefault="002A793E" w:rsidP="00882FC8">
      <w:pPr>
        <w:pStyle w:val="Prrafodelista"/>
        <w:ind w:left="0"/>
        <w:rPr>
          <w:rFonts w:ascii="Times New Roman" w:eastAsia="Calibri" w:hAnsi="Times New Roman" w:cs="Times New Roman"/>
          <w:color w:val="000000" w:themeColor="text1"/>
          <w:sz w:val="28"/>
          <w:szCs w:val="28"/>
          <w:lang w:val="es-ES"/>
        </w:rPr>
      </w:pPr>
    </w:p>
    <w:p w:rsidR="00882FC8" w:rsidRPr="002A793E" w:rsidRDefault="002A793E">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Por las razones antes expuestas, la intervención señaló que</w:t>
      </w:r>
      <w:r w:rsidRPr="002A793E">
        <w:rPr>
          <w:rFonts w:ascii="Times New Roman" w:eastAsia="Calibri" w:hAnsi="Times New Roman" w:cs="Times New Roman"/>
          <w:color w:val="000000" w:themeColor="text1"/>
          <w:sz w:val="28"/>
          <w:szCs w:val="28"/>
          <w:lang w:val="es-ES"/>
        </w:rPr>
        <w:t xml:space="preserve"> la norma acusada supone un menoscabo de los derechos de acceso a la administración de justicia y a la tutela judicial efectiva de todos los s</w:t>
      </w:r>
      <w:r w:rsidRPr="002A793E">
        <w:rPr>
          <w:rFonts w:ascii="Times New Roman" w:eastAsia="Calibri" w:hAnsi="Times New Roman" w:cs="Times New Roman"/>
          <w:color w:val="000000" w:themeColor="text1"/>
          <w:sz w:val="28"/>
          <w:szCs w:val="28"/>
          <w:lang w:val="es-ES"/>
        </w:rPr>
        <w:t xml:space="preserve">ujetos de acceso a tierras y formalización que es especialmente intensa frente a los sujetos que no pueden intervenir en el PUO y a los segundos ocupantes. </w:t>
      </w:r>
      <w:r w:rsidRPr="002A793E">
        <w:rPr>
          <w:rFonts w:ascii="Times New Roman" w:eastAsia="Calibri" w:hAnsi="Times New Roman" w:cs="Times New Roman"/>
          <w:color w:val="000000" w:themeColor="text1"/>
          <w:sz w:val="28"/>
          <w:szCs w:val="28"/>
          <w:lang w:val="es-ES"/>
        </w:rPr>
        <w:t xml:space="preserve"> </w:t>
      </w:r>
    </w:p>
    <w:p w:rsidR="002E4E56" w:rsidRPr="002A793E" w:rsidRDefault="002A793E" w:rsidP="002E4E56">
      <w:pPr>
        <w:pStyle w:val="Prrafodelista"/>
        <w:rPr>
          <w:rFonts w:ascii="Times New Roman" w:eastAsia="Calibri" w:hAnsi="Times New Roman" w:cs="Times New Roman"/>
          <w:color w:val="000000" w:themeColor="text1"/>
          <w:sz w:val="28"/>
          <w:szCs w:val="28"/>
          <w:lang w:val="es-ES"/>
        </w:rPr>
      </w:pPr>
    </w:p>
    <w:p w:rsidR="002E4E56" w:rsidRPr="002A793E" w:rsidRDefault="002A793E" w:rsidP="00EE7A55">
      <w:pPr>
        <w:pStyle w:val="Prrafodelista"/>
        <w:numPr>
          <w:ilvl w:val="1"/>
          <w:numId w:val="4"/>
        </w:numPr>
        <w:spacing w:line="360" w:lineRule="atLeast"/>
        <w:rPr>
          <w:rFonts w:ascii="Times New Roman" w:eastAsia="Calibri" w:hAnsi="Times New Roman" w:cs="Times New Roman"/>
          <w:b/>
          <w:bCs/>
          <w:color w:val="000000" w:themeColor="text1"/>
          <w:sz w:val="28"/>
          <w:szCs w:val="28"/>
          <w:lang w:val="es-ES"/>
        </w:rPr>
      </w:pPr>
      <w:r w:rsidRPr="002A793E">
        <w:rPr>
          <w:rFonts w:ascii="Times New Roman" w:eastAsia="Calibri" w:hAnsi="Times New Roman" w:cs="Times New Roman"/>
          <w:b/>
          <w:bCs/>
          <w:color w:val="000000" w:themeColor="text1"/>
          <w:sz w:val="28"/>
          <w:szCs w:val="28"/>
          <w:lang w:val="es-ES"/>
        </w:rPr>
        <w:t xml:space="preserve">Clínica Jurídica de la </w:t>
      </w:r>
      <w:r w:rsidRPr="002A793E">
        <w:rPr>
          <w:rFonts w:ascii="Times New Roman" w:hAnsi="Times New Roman" w:cs="Times New Roman"/>
          <w:b/>
          <w:sz w:val="28"/>
          <w:szCs w:val="28"/>
          <w:lang w:val="es-ES"/>
        </w:rPr>
        <w:t>Escuela</w:t>
      </w:r>
      <w:r w:rsidRPr="002A793E">
        <w:rPr>
          <w:rFonts w:ascii="Times New Roman" w:eastAsia="Calibri" w:hAnsi="Times New Roman" w:cs="Times New Roman"/>
          <w:b/>
          <w:bCs/>
          <w:color w:val="000000" w:themeColor="text1"/>
          <w:sz w:val="28"/>
          <w:szCs w:val="28"/>
          <w:lang w:val="es-ES"/>
        </w:rPr>
        <w:t xml:space="preserve"> de Derecho y Ciencias Políticas de la Universidad Pontificia Boliv</w:t>
      </w:r>
      <w:r w:rsidRPr="002A793E">
        <w:rPr>
          <w:rFonts w:ascii="Times New Roman" w:eastAsia="Calibri" w:hAnsi="Times New Roman" w:cs="Times New Roman"/>
          <w:b/>
          <w:bCs/>
          <w:color w:val="000000" w:themeColor="text1"/>
          <w:sz w:val="28"/>
          <w:szCs w:val="28"/>
          <w:lang w:val="es-ES"/>
        </w:rPr>
        <w:t>ariana de Medellín</w:t>
      </w:r>
    </w:p>
    <w:p w:rsidR="002E4E56" w:rsidRPr="002A793E" w:rsidRDefault="002A793E" w:rsidP="002E4E56">
      <w:pPr>
        <w:pStyle w:val="Prrafodelista"/>
        <w:rPr>
          <w:rFonts w:ascii="Times New Roman" w:eastAsia="Calibri" w:hAnsi="Times New Roman" w:cs="Times New Roman"/>
          <w:color w:val="000000" w:themeColor="text1"/>
          <w:sz w:val="28"/>
          <w:szCs w:val="28"/>
          <w:lang w:val="es-ES"/>
        </w:rPr>
      </w:pPr>
    </w:p>
    <w:p w:rsidR="002E4E56" w:rsidRPr="002A793E" w:rsidRDefault="002A793E">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La intervención solicitó a la Sala Plena declarar la inexequibilidad de</w:t>
      </w:r>
      <w:r w:rsidRPr="002A793E">
        <w:rPr>
          <w:rFonts w:ascii="Times New Roman" w:eastAsia="Calibri" w:hAnsi="Times New Roman" w:cs="Times New Roman"/>
          <w:color w:val="000000" w:themeColor="text1"/>
          <w:sz w:val="28"/>
          <w:szCs w:val="28"/>
          <w:lang w:val="es-ES"/>
        </w:rPr>
        <w:t xml:space="preserve">l artículo 61 (parcial) de la Ley 2294 de 2023 </w:t>
      </w:r>
      <w:r w:rsidRPr="002A793E">
        <w:rPr>
          <w:rFonts w:ascii="Times New Roman" w:eastAsia="Calibri" w:hAnsi="Times New Roman" w:cs="Times New Roman"/>
          <w:color w:val="000000" w:themeColor="text1"/>
          <w:sz w:val="28"/>
          <w:szCs w:val="28"/>
          <w:lang w:val="es-ES"/>
        </w:rPr>
        <w:t>por cuanto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es</w:t>
      </w:r>
      <w:r w:rsidRPr="002A793E">
        <w:rPr>
          <w:rFonts w:ascii="Times New Roman" w:eastAsia="Calibri" w:hAnsi="Times New Roman" w:cs="Times New Roman"/>
          <w:color w:val="000000" w:themeColor="text1"/>
          <w:sz w:val="28"/>
          <w:szCs w:val="28"/>
          <w:lang w:val="es-ES"/>
        </w:rPr>
        <w:t xml:space="preserve"> contraria a los principios de publicidad y </w:t>
      </w:r>
      <w:r w:rsidRPr="002A793E">
        <w:rPr>
          <w:rFonts w:ascii="Times New Roman" w:eastAsia="Calibri" w:hAnsi="Times New Roman" w:cs="Times New Roman"/>
          <w:color w:val="000000" w:themeColor="text1"/>
          <w:sz w:val="28"/>
          <w:szCs w:val="28"/>
          <w:lang w:val="es-ES"/>
        </w:rPr>
        <w:t xml:space="preserve">de </w:t>
      </w:r>
      <w:r w:rsidRPr="002A793E">
        <w:rPr>
          <w:rFonts w:ascii="Times New Roman" w:eastAsia="Calibri" w:hAnsi="Times New Roman" w:cs="Times New Roman"/>
          <w:color w:val="000000" w:themeColor="text1"/>
          <w:sz w:val="28"/>
          <w:szCs w:val="28"/>
          <w:lang w:val="es-ES"/>
        </w:rPr>
        <w:t>unidad de materia</w:t>
      </w:r>
      <w:r w:rsidRPr="002A793E">
        <w:rPr>
          <w:rFonts w:ascii="Times New Roman" w:eastAsia="Calibri" w:hAnsi="Times New Roman" w:cs="Times New Roman"/>
          <w:color w:val="000000" w:themeColor="text1"/>
          <w:sz w:val="28"/>
          <w:szCs w:val="28"/>
          <w:lang w:val="es-ES"/>
        </w:rPr>
        <w:t xml:space="preserve">. Para sustentar esa solicitud, la </w:t>
      </w:r>
      <w:r w:rsidRPr="002A793E">
        <w:rPr>
          <w:rFonts w:ascii="Times New Roman" w:eastAsia="Calibri" w:hAnsi="Times New Roman" w:cs="Times New Roman"/>
          <w:color w:val="000000" w:themeColor="text1"/>
          <w:sz w:val="28"/>
          <w:szCs w:val="28"/>
          <w:lang w:val="es-ES"/>
        </w:rPr>
        <w:t>clínica de la Universidad Pontificia Bolivariana de Medellín adujo lo siguiente.</w:t>
      </w:r>
    </w:p>
    <w:p w:rsidR="002A07A3" w:rsidRPr="002A793E" w:rsidRDefault="002A793E" w:rsidP="002A07A3">
      <w:pPr>
        <w:pStyle w:val="Prrafodelista"/>
        <w:ind w:left="0"/>
        <w:rPr>
          <w:rFonts w:ascii="Times New Roman" w:eastAsia="Calibri" w:hAnsi="Times New Roman" w:cs="Times New Roman"/>
          <w:color w:val="000000" w:themeColor="text1"/>
          <w:sz w:val="28"/>
          <w:szCs w:val="28"/>
          <w:lang w:val="es-ES"/>
        </w:rPr>
      </w:pPr>
    </w:p>
    <w:p w:rsidR="002A07A3" w:rsidRPr="002A793E" w:rsidRDefault="002A793E">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En relación con el </w:t>
      </w:r>
      <w:r w:rsidRPr="002A793E">
        <w:rPr>
          <w:rFonts w:ascii="Times New Roman" w:eastAsia="Calibri" w:hAnsi="Times New Roman" w:cs="Times New Roman"/>
          <w:b/>
          <w:bCs/>
          <w:color w:val="000000" w:themeColor="text1"/>
          <w:sz w:val="28"/>
          <w:szCs w:val="28"/>
          <w:lang w:val="es-ES"/>
        </w:rPr>
        <w:t>primer cargo</w:t>
      </w:r>
      <w:r w:rsidRPr="002A793E">
        <w:rPr>
          <w:rFonts w:ascii="Times New Roman" w:eastAsia="Calibri" w:hAnsi="Times New Roman" w:cs="Times New Roman"/>
          <w:color w:val="000000" w:themeColor="text1"/>
          <w:sz w:val="28"/>
          <w:szCs w:val="28"/>
          <w:lang w:val="es-ES"/>
        </w:rPr>
        <w:t>, sostuvo que</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la proposición modificatoria que adicionó el numeral 6 y el parágrafo </w:t>
      </w:r>
      <w:r w:rsidRPr="002A793E">
        <w:rPr>
          <w:rFonts w:ascii="Times New Roman" w:eastAsia="Calibri" w:hAnsi="Times New Roman" w:cs="Times New Roman"/>
          <w:color w:val="000000" w:themeColor="text1"/>
          <w:sz w:val="28"/>
          <w:szCs w:val="28"/>
          <w:lang w:val="es-ES"/>
        </w:rPr>
        <w:t>3</w:t>
      </w:r>
      <w:r w:rsidRPr="002A793E">
        <w:rPr>
          <w:rFonts w:ascii="Times New Roman" w:eastAsia="Calibri" w:hAnsi="Times New Roman" w:cs="Times New Roman"/>
          <w:color w:val="000000" w:themeColor="text1"/>
          <w:sz w:val="28"/>
          <w:szCs w:val="28"/>
          <w:lang w:val="es-ES"/>
        </w:rPr>
        <w:t xml:space="preserve"> del artículo 61 de la Ley 2294 de 20</w:t>
      </w:r>
      <w:r w:rsidRPr="002A793E">
        <w:rPr>
          <w:rFonts w:ascii="Times New Roman" w:eastAsia="Calibri" w:hAnsi="Times New Roman" w:cs="Times New Roman"/>
          <w:color w:val="000000" w:themeColor="text1"/>
          <w:sz w:val="28"/>
          <w:szCs w:val="28"/>
          <w:lang w:val="es-ES"/>
        </w:rPr>
        <w:t>2</w:t>
      </w:r>
      <w:r w:rsidRPr="002A793E">
        <w:rPr>
          <w:rFonts w:ascii="Times New Roman" w:eastAsia="Calibri" w:hAnsi="Times New Roman" w:cs="Times New Roman"/>
          <w:color w:val="000000" w:themeColor="text1"/>
          <w:sz w:val="28"/>
          <w:szCs w:val="28"/>
          <w:lang w:val="es-ES"/>
        </w:rPr>
        <w:t>3 no fue debidamente</w:t>
      </w:r>
      <w:r w:rsidRPr="002A793E">
        <w:rPr>
          <w:rFonts w:ascii="Times New Roman" w:eastAsia="Calibri" w:hAnsi="Times New Roman" w:cs="Times New Roman"/>
          <w:color w:val="000000" w:themeColor="text1"/>
          <w:sz w:val="28"/>
          <w:szCs w:val="28"/>
          <w:lang w:val="es-ES"/>
        </w:rPr>
        <w:t xml:space="preserve"> publicitada ni deliberada en la plenaria del Senado de la República. En efecto, dicha proposición: (i) no fue leída antes de someterse a votación, pese a que así lo exigió</w:t>
      </w:r>
      <w:r w:rsidRPr="002A793E">
        <w:rPr>
          <w:rFonts w:ascii="Times New Roman" w:eastAsia="Calibri" w:hAnsi="Times New Roman" w:cs="Times New Roman"/>
          <w:color w:val="000000" w:themeColor="text1"/>
          <w:sz w:val="28"/>
          <w:szCs w:val="28"/>
          <w:lang w:val="es-ES"/>
        </w:rPr>
        <w:t xml:space="preserve"> uno de los senadores</w:t>
      </w:r>
      <w:r w:rsidRPr="002A793E">
        <w:rPr>
          <w:rFonts w:ascii="Times New Roman" w:eastAsia="Calibri" w:hAnsi="Times New Roman" w:cs="Times New Roman"/>
          <w:color w:val="000000" w:themeColor="text1"/>
          <w:sz w:val="28"/>
          <w:szCs w:val="28"/>
          <w:lang w:val="es-ES"/>
        </w:rPr>
        <w:t>; (ii) no fue previamente deliberada y (iii) se votó en bloque,</w:t>
      </w:r>
      <w:r w:rsidRPr="002A793E">
        <w:rPr>
          <w:rFonts w:ascii="Times New Roman" w:eastAsia="Calibri" w:hAnsi="Times New Roman" w:cs="Times New Roman"/>
          <w:color w:val="000000" w:themeColor="text1"/>
          <w:sz w:val="28"/>
          <w:szCs w:val="28"/>
          <w:lang w:val="es-ES"/>
        </w:rPr>
        <w:t xml:space="preserve"> junto con dieciocho proposiciones adicionales de diversos contenidos. </w:t>
      </w:r>
    </w:p>
    <w:p w:rsidR="002A07A3" w:rsidRPr="002A793E" w:rsidRDefault="002A793E" w:rsidP="002A07A3">
      <w:pPr>
        <w:pStyle w:val="Prrafodelista"/>
        <w:rPr>
          <w:rFonts w:ascii="Times New Roman" w:eastAsia="Calibri" w:hAnsi="Times New Roman" w:cs="Times New Roman"/>
          <w:color w:val="000000" w:themeColor="text1"/>
          <w:sz w:val="28"/>
          <w:szCs w:val="28"/>
          <w:lang w:val="es-ES"/>
        </w:rPr>
      </w:pPr>
    </w:p>
    <w:p w:rsidR="00704F7A" w:rsidRPr="002A793E" w:rsidRDefault="002A793E" w:rsidP="00C413DE">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En relación con el </w:t>
      </w:r>
      <w:r w:rsidRPr="002A793E">
        <w:rPr>
          <w:rFonts w:ascii="Times New Roman" w:eastAsia="Calibri" w:hAnsi="Times New Roman" w:cs="Times New Roman"/>
          <w:b/>
          <w:bCs/>
          <w:color w:val="000000" w:themeColor="text1"/>
          <w:sz w:val="28"/>
          <w:szCs w:val="28"/>
          <w:lang w:val="es-ES"/>
        </w:rPr>
        <w:t>segundo cargo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la clínica jurídica</w:t>
      </w:r>
      <w:r w:rsidRPr="002A793E">
        <w:rPr>
          <w:rFonts w:ascii="Times New Roman" w:eastAsia="Calibri" w:hAnsi="Times New Roman" w:cs="Times New Roman"/>
          <w:color w:val="000000" w:themeColor="text1"/>
          <w:sz w:val="28"/>
          <w:szCs w:val="28"/>
          <w:lang w:val="es-ES"/>
        </w:rPr>
        <w:t xml:space="preserve"> argumentó que, a partir de la metodología aplicada por la Corte en la sentencia C-063 de 2021, la norma acusada transgrede el principio de unidad de materia por cuanto</w:t>
      </w:r>
      <w:r w:rsidRPr="002A793E">
        <w:rPr>
          <w:rFonts w:ascii="Times New Roman" w:eastAsia="Calibri" w:hAnsi="Times New Roman" w:cs="Times New Roman"/>
          <w:color w:val="000000" w:themeColor="text1"/>
          <w:sz w:val="28"/>
          <w:szCs w:val="28"/>
          <w:lang w:val="es-ES"/>
        </w:rPr>
        <w:t>, en primer lugar,</w:t>
      </w:r>
      <w:r w:rsidRPr="002A793E">
        <w:rPr>
          <w:rFonts w:ascii="Times New Roman" w:eastAsia="Calibri" w:hAnsi="Times New Roman" w:cs="Times New Roman"/>
          <w:color w:val="000000" w:themeColor="text1"/>
          <w:sz w:val="28"/>
          <w:szCs w:val="28"/>
          <w:lang w:val="es-ES"/>
        </w:rPr>
        <w:t xml:space="preserve"> no tiene una relación directa e inmediata ni una relación teleológica</w:t>
      </w:r>
      <w:r w:rsidRPr="002A793E">
        <w:rPr>
          <w:rFonts w:ascii="Times New Roman" w:eastAsia="Calibri" w:hAnsi="Times New Roman" w:cs="Times New Roman"/>
          <w:color w:val="000000" w:themeColor="text1"/>
          <w:sz w:val="28"/>
          <w:szCs w:val="28"/>
          <w:lang w:val="es-ES"/>
        </w:rPr>
        <w:t xml:space="preserve"> de carácter instrumental con los objetivos, las metas, las estrategias o los planes contenidos en</w:t>
      </w:r>
      <w:r w:rsidRPr="002A793E">
        <w:rPr>
          <w:rFonts w:ascii="Times New Roman" w:eastAsia="Calibri" w:hAnsi="Times New Roman" w:cs="Times New Roman"/>
          <w:color w:val="000000" w:themeColor="text1"/>
          <w:sz w:val="28"/>
          <w:szCs w:val="28"/>
          <w:lang w:val="es-ES"/>
        </w:rPr>
        <w:t xml:space="preserve"> las </w:t>
      </w:r>
      <w:r w:rsidRPr="002A793E">
        <w:rPr>
          <w:rFonts w:ascii="Times New Roman" w:eastAsia="Calibri" w:hAnsi="Times New Roman" w:cs="Times New Roman"/>
          <w:color w:val="000000" w:themeColor="text1"/>
          <w:sz w:val="28"/>
          <w:szCs w:val="28"/>
          <w:lang w:val="es-ES"/>
        </w:rPr>
        <w:t>B</w:t>
      </w:r>
      <w:r w:rsidRPr="002A793E">
        <w:rPr>
          <w:rFonts w:ascii="Times New Roman" w:eastAsia="Calibri" w:hAnsi="Times New Roman" w:cs="Times New Roman"/>
          <w:color w:val="000000" w:themeColor="text1"/>
          <w:sz w:val="28"/>
          <w:szCs w:val="28"/>
          <w:lang w:val="es-ES"/>
        </w:rPr>
        <w:t>ases del</w:t>
      </w:r>
      <w:r w:rsidRPr="002A793E">
        <w:rPr>
          <w:rFonts w:ascii="Times New Roman" w:eastAsia="Calibri" w:hAnsi="Times New Roman" w:cs="Times New Roman"/>
          <w:color w:val="000000" w:themeColor="text1"/>
          <w:sz w:val="28"/>
          <w:szCs w:val="28"/>
          <w:lang w:val="es-ES"/>
        </w:rPr>
        <w:t xml:space="preserve"> PND</w:t>
      </w:r>
      <w:r w:rsidRPr="002A793E">
        <w:rPr>
          <w:rFonts w:ascii="Times New Roman" w:eastAsia="Calibri" w:hAnsi="Times New Roman" w:cs="Times New Roman"/>
          <w:color w:val="000000" w:themeColor="text1"/>
          <w:sz w:val="28"/>
          <w:szCs w:val="28"/>
          <w:lang w:val="es-ES"/>
        </w:rPr>
        <w:t>, alguna de sus 28 líneas o alguno de los 180 proyectos que lo componen</w:t>
      </w:r>
      <w:r w:rsidRPr="002A793E">
        <w:rPr>
          <w:rFonts w:ascii="Times New Roman" w:eastAsia="Calibri" w:hAnsi="Times New Roman" w:cs="Times New Roman"/>
          <w:color w:val="000000" w:themeColor="text1"/>
          <w:sz w:val="28"/>
          <w:szCs w:val="28"/>
          <w:lang w:val="es-ES"/>
        </w:rPr>
        <w:t xml:space="preserve">. </w:t>
      </w:r>
    </w:p>
    <w:p w:rsidR="00C413DE" w:rsidRPr="002A793E" w:rsidRDefault="002A793E" w:rsidP="00C413DE">
      <w:pPr>
        <w:pStyle w:val="Prrafodelista"/>
        <w:ind w:left="0"/>
        <w:rPr>
          <w:rFonts w:ascii="Times New Roman" w:eastAsia="Calibri" w:hAnsi="Times New Roman" w:cs="Times New Roman"/>
          <w:color w:val="000000" w:themeColor="text1"/>
          <w:sz w:val="28"/>
          <w:szCs w:val="28"/>
          <w:lang w:val="es-ES"/>
        </w:rPr>
      </w:pPr>
    </w:p>
    <w:p w:rsidR="001130BC" w:rsidRPr="002A793E" w:rsidRDefault="002A793E" w:rsidP="001130BC">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En segundo lugar, </w:t>
      </w:r>
      <w:r w:rsidRPr="002A793E">
        <w:rPr>
          <w:rFonts w:ascii="Times New Roman" w:eastAsia="Calibri" w:hAnsi="Times New Roman" w:cs="Times New Roman"/>
          <w:color w:val="000000" w:themeColor="text1"/>
          <w:sz w:val="28"/>
          <w:szCs w:val="28"/>
          <w:lang w:val="es-ES"/>
        </w:rPr>
        <w:t xml:space="preserve">el artículo 61 (parcial) de la Ley 2294 de 2023 no constituye un mecanismo para ejecutar el Plan Nacional de Inversiones. En tercer lugar, </w:t>
      </w:r>
      <w:r w:rsidRPr="002A793E">
        <w:rPr>
          <w:rFonts w:ascii="Times New Roman" w:eastAsia="Calibri" w:hAnsi="Times New Roman" w:cs="Times New Roman"/>
          <w:color w:val="000000" w:themeColor="text1"/>
          <w:sz w:val="28"/>
          <w:szCs w:val="28"/>
          <w:lang w:val="es-ES"/>
        </w:rPr>
        <w:t xml:space="preserve">esa disposición viola </w:t>
      </w:r>
      <w:r w:rsidRPr="002A793E">
        <w:rPr>
          <w:rFonts w:ascii="Times New Roman" w:eastAsia="Calibri" w:hAnsi="Times New Roman" w:cs="Times New Roman"/>
          <w:color w:val="000000" w:themeColor="text1"/>
          <w:sz w:val="28"/>
          <w:szCs w:val="28"/>
          <w:lang w:val="es-ES"/>
        </w:rPr>
        <w:t>el principio de unidad de materia porque modific</w:t>
      </w:r>
      <w:r w:rsidRPr="002A793E">
        <w:rPr>
          <w:rFonts w:ascii="Times New Roman" w:eastAsia="Calibri" w:hAnsi="Times New Roman" w:cs="Times New Roman"/>
          <w:color w:val="000000" w:themeColor="text1"/>
          <w:sz w:val="28"/>
          <w:szCs w:val="28"/>
          <w:lang w:val="es-ES"/>
        </w:rPr>
        <w:t>ó</w:t>
      </w:r>
      <w:r w:rsidRPr="002A793E">
        <w:rPr>
          <w:rFonts w:ascii="Times New Roman" w:eastAsia="Calibri" w:hAnsi="Times New Roman" w:cs="Times New Roman"/>
          <w:color w:val="000000" w:themeColor="text1"/>
          <w:sz w:val="28"/>
          <w:szCs w:val="28"/>
          <w:lang w:val="es-ES"/>
        </w:rPr>
        <w:t xml:space="preserve"> la legislación permanente en materia de proce</w:t>
      </w:r>
      <w:r w:rsidRPr="002A793E">
        <w:rPr>
          <w:rFonts w:ascii="Times New Roman" w:eastAsia="Calibri" w:hAnsi="Times New Roman" w:cs="Times New Roman"/>
          <w:color w:val="000000" w:themeColor="text1"/>
          <w:sz w:val="28"/>
          <w:szCs w:val="28"/>
          <w:lang w:val="es-ES"/>
        </w:rPr>
        <w:t>dimientos especiales agrarios y cre</w:t>
      </w:r>
      <w:r w:rsidRPr="002A793E">
        <w:rPr>
          <w:rFonts w:ascii="Times New Roman" w:eastAsia="Calibri" w:hAnsi="Times New Roman" w:cs="Times New Roman"/>
          <w:color w:val="000000" w:themeColor="text1"/>
          <w:sz w:val="28"/>
          <w:szCs w:val="28"/>
          <w:lang w:val="es-ES"/>
        </w:rPr>
        <w:t>ó</w:t>
      </w:r>
      <w:r w:rsidRPr="002A793E">
        <w:rPr>
          <w:rFonts w:ascii="Times New Roman" w:eastAsia="Calibri" w:hAnsi="Times New Roman" w:cs="Times New Roman"/>
          <w:color w:val="000000" w:themeColor="text1"/>
          <w:sz w:val="28"/>
          <w:szCs w:val="28"/>
          <w:lang w:val="es-ES"/>
        </w:rPr>
        <w:t xml:space="preserve"> un procedimiento administrativo con vocación de permanencia. </w:t>
      </w:r>
      <w:r w:rsidRPr="002A793E">
        <w:rPr>
          <w:rFonts w:ascii="Times New Roman" w:eastAsia="Calibri" w:hAnsi="Times New Roman" w:cs="Times New Roman"/>
          <w:color w:val="000000" w:themeColor="text1"/>
          <w:sz w:val="28"/>
          <w:szCs w:val="28"/>
          <w:lang w:val="es-ES"/>
        </w:rPr>
        <w:t>Además, el contenido de los apartados normativos acusados del artículo 61 (parcial) de la Ley 2294 de 2023 no guardan relación con las temáticas centrales dis</w:t>
      </w:r>
      <w:r w:rsidRPr="002A793E">
        <w:rPr>
          <w:rFonts w:ascii="Times New Roman" w:eastAsia="Calibri" w:hAnsi="Times New Roman" w:cs="Times New Roman"/>
          <w:color w:val="000000" w:themeColor="text1"/>
          <w:sz w:val="28"/>
          <w:szCs w:val="28"/>
          <w:lang w:val="es-ES"/>
        </w:rPr>
        <w:t xml:space="preserve">cutidas en las etapas previas del trámite legislativo del proyecto de ley, en las cuales sólo se discutió sobre los procesos de compra de tierras por oferta voluntaria. </w:t>
      </w:r>
    </w:p>
    <w:p w:rsidR="001130BC" w:rsidRPr="002A793E" w:rsidRDefault="002A793E" w:rsidP="001130BC">
      <w:pPr>
        <w:pStyle w:val="Prrafodelista"/>
        <w:rPr>
          <w:rFonts w:ascii="Times New Roman" w:eastAsia="Calibri" w:hAnsi="Times New Roman" w:cs="Times New Roman"/>
          <w:color w:val="000000" w:themeColor="text1"/>
          <w:sz w:val="28"/>
          <w:szCs w:val="28"/>
          <w:lang w:val="es-ES"/>
        </w:rPr>
      </w:pPr>
    </w:p>
    <w:p w:rsidR="001130BC" w:rsidRPr="002A793E" w:rsidRDefault="002A793E" w:rsidP="001130BC">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Frente al </w:t>
      </w:r>
      <w:r w:rsidRPr="002A793E">
        <w:rPr>
          <w:rFonts w:ascii="Times New Roman" w:eastAsia="Calibri" w:hAnsi="Times New Roman" w:cs="Times New Roman"/>
          <w:b/>
          <w:bCs/>
          <w:color w:val="000000" w:themeColor="text1"/>
          <w:sz w:val="28"/>
          <w:szCs w:val="28"/>
          <w:lang w:val="es-ES"/>
        </w:rPr>
        <w:t xml:space="preserve">cargo tercero </w:t>
      </w:r>
      <w:r w:rsidRPr="002A793E">
        <w:rPr>
          <w:rFonts w:ascii="Times New Roman" w:eastAsia="Calibri" w:hAnsi="Times New Roman" w:cs="Times New Roman"/>
          <w:color w:val="000000" w:themeColor="text1"/>
          <w:sz w:val="28"/>
          <w:szCs w:val="28"/>
          <w:lang w:val="es-ES"/>
        </w:rPr>
        <w:t xml:space="preserve">de la demanda, la clínica </w:t>
      </w:r>
      <w:r w:rsidRPr="002A793E">
        <w:rPr>
          <w:rFonts w:ascii="Times New Roman" w:eastAsia="Calibri" w:hAnsi="Times New Roman" w:cs="Times New Roman"/>
          <w:color w:val="000000" w:themeColor="text1"/>
          <w:sz w:val="28"/>
          <w:szCs w:val="28"/>
          <w:lang w:val="es-ES"/>
        </w:rPr>
        <w:t xml:space="preserve">jurídica </w:t>
      </w:r>
      <w:r w:rsidRPr="002A793E">
        <w:rPr>
          <w:rFonts w:ascii="Times New Roman" w:eastAsia="Calibri" w:hAnsi="Times New Roman" w:cs="Times New Roman"/>
          <w:color w:val="000000" w:themeColor="text1"/>
          <w:sz w:val="28"/>
          <w:szCs w:val="28"/>
          <w:lang w:val="es-ES"/>
        </w:rPr>
        <w:t xml:space="preserve">interviniente señaló que </w:t>
      </w:r>
      <w:r w:rsidRPr="002A793E">
        <w:rPr>
          <w:rFonts w:ascii="Times New Roman" w:eastAsia="Calibri" w:hAnsi="Times New Roman" w:cs="Times New Roman"/>
          <w:color w:val="000000" w:themeColor="text1"/>
          <w:sz w:val="28"/>
          <w:szCs w:val="28"/>
          <w:lang w:val="es-ES"/>
        </w:rPr>
        <w:t>el</w:t>
      </w:r>
      <w:r w:rsidRPr="002A793E">
        <w:rPr>
          <w:rFonts w:ascii="Times New Roman" w:eastAsia="Calibri" w:hAnsi="Times New Roman" w:cs="Times New Roman"/>
          <w:color w:val="000000" w:themeColor="text1"/>
          <w:sz w:val="28"/>
          <w:szCs w:val="28"/>
          <w:lang w:val="es-ES"/>
        </w:rPr>
        <w:t xml:space="preserve"> numeral 6 y el</w:t>
      </w:r>
      <w:r w:rsidRPr="002A793E">
        <w:rPr>
          <w:rFonts w:ascii="Times New Roman" w:eastAsia="Calibri" w:hAnsi="Times New Roman" w:cs="Times New Roman"/>
          <w:color w:val="000000" w:themeColor="text1"/>
          <w:sz w:val="28"/>
          <w:szCs w:val="28"/>
          <w:lang w:val="es-ES"/>
        </w:rPr>
        <w:t xml:space="preserve"> parágrafo </w:t>
      </w:r>
      <w:r w:rsidRPr="002A793E">
        <w:rPr>
          <w:rFonts w:ascii="Times New Roman" w:eastAsia="Calibri" w:hAnsi="Times New Roman" w:cs="Times New Roman"/>
          <w:color w:val="000000" w:themeColor="text1"/>
          <w:sz w:val="28"/>
          <w:szCs w:val="28"/>
          <w:lang w:val="es-ES"/>
        </w:rPr>
        <w:t xml:space="preserve">3 del artículo 61 de la Ley 2294 de 2023 </w:t>
      </w:r>
      <w:r w:rsidRPr="002A793E">
        <w:rPr>
          <w:rFonts w:ascii="Times New Roman" w:eastAsia="Calibri" w:hAnsi="Times New Roman" w:cs="Times New Roman"/>
          <w:color w:val="000000" w:themeColor="text1"/>
          <w:sz w:val="28"/>
          <w:szCs w:val="28"/>
          <w:lang w:val="es-ES"/>
        </w:rPr>
        <w:t>respeta</w:t>
      </w:r>
      <w:r w:rsidRPr="002A793E">
        <w:rPr>
          <w:rFonts w:ascii="Times New Roman" w:eastAsia="Calibri" w:hAnsi="Times New Roman" w:cs="Times New Roman"/>
          <w:color w:val="000000" w:themeColor="text1"/>
          <w:sz w:val="28"/>
          <w:szCs w:val="28"/>
          <w:lang w:val="es-ES"/>
        </w:rPr>
        <w:t>n</w:t>
      </w:r>
      <w:r w:rsidRPr="002A793E">
        <w:rPr>
          <w:rFonts w:ascii="Times New Roman" w:eastAsia="Calibri" w:hAnsi="Times New Roman" w:cs="Times New Roman"/>
          <w:color w:val="000000" w:themeColor="text1"/>
          <w:sz w:val="28"/>
          <w:szCs w:val="28"/>
          <w:lang w:val="es-ES"/>
        </w:rPr>
        <w:t xml:space="preserve"> los derechos a la propiedad privada, al acceso a la administración de justicia y a la tutela judicial efectiva, con base en los siguientes argumentos. Primero, del artículo 58 de</w:t>
      </w:r>
      <w:r w:rsidRPr="002A793E">
        <w:rPr>
          <w:rFonts w:ascii="Times New Roman" w:eastAsia="Calibri" w:hAnsi="Times New Roman" w:cs="Times New Roman"/>
          <w:color w:val="000000" w:themeColor="text1"/>
          <w:sz w:val="28"/>
          <w:szCs w:val="28"/>
          <w:lang w:val="es-ES"/>
        </w:rPr>
        <w:t xml:space="preserve"> la Constitución y de la sentencia C-260 de 2021 se extrae que el derecho a la propiedad privada admite limitaciones sustentadas en </w:t>
      </w:r>
      <w:r w:rsidRPr="002A793E">
        <w:rPr>
          <w:rFonts w:ascii="Times New Roman" w:eastAsia="Calibri" w:hAnsi="Times New Roman" w:cs="Times New Roman"/>
          <w:color w:val="000000" w:themeColor="text1"/>
          <w:sz w:val="28"/>
          <w:szCs w:val="28"/>
          <w:lang w:val="es-ES"/>
        </w:rPr>
        <w:t>su</w:t>
      </w:r>
      <w:r w:rsidRPr="002A793E">
        <w:rPr>
          <w:rFonts w:ascii="Times New Roman" w:eastAsia="Calibri" w:hAnsi="Times New Roman" w:cs="Times New Roman"/>
          <w:color w:val="000000" w:themeColor="text1"/>
          <w:sz w:val="28"/>
          <w:szCs w:val="28"/>
          <w:lang w:val="es-ES"/>
        </w:rPr>
        <w:t xml:space="preserve"> función social y ecológica. Segundo, el principio de reserva judicial no se aplica a los procesos especiales agrarios, in</w:t>
      </w:r>
      <w:r w:rsidRPr="002A793E">
        <w:rPr>
          <w:rFonts w:ascii="Times New Roman" w:eastAsia="Calibri" w:hAnsi="Times New Roman" w:cs="Times New Roman"/>
          <w:color w:val="000000" w:themeColor="text1"/>
          <w:sz w:val="28"/>
          <w:szCs w:val="28"/>
          <w:lang w:val="es-ES"/>
        </w:rPr>
        <w:t>cluido el de extinción de dominio de predios incultos. Tercero, las personas que no hayan comparecido al PUO pueden re</w:t>
      </w:r>
      <w:r w:rsidRPr="002A793E">
        <w:rPr>
          <w:rFonts w:ascii="Times New Roman" w:eastAsia="Calibri" w:hAnsi="Times New Roman" w:cs="Times New Roman"/>
          <w:color w:val="000000" w:themeColor="text1"/>
          <w:sz w:val="28"/>
          <w:szCs w:val="28"/>
          <w:lang w:val="es-ES"/>
        </w:rPr>
        <w:t>currir a la jurisdicción de lo contencioso administrativo para controvertir los actos proferidos por la ANT. Cuarto, los procesos especial</w:t>
      </w:r>
      <w:r w:rsidRPr="002A793E">
        <w:rPr>
          <w:rFonts w:ascii="Times New Roman" w:eastAsia="Calibri" w:hAnsi="Times New Roman" w:cs="Times New Roman"/>
          <w:color w:val="000000" w:themeColor="text1"/>
          <w:sz w:val="28"/>
          <w:szCs w:val="28"/>
          <w:lang w:val="es-ES"/>
        </w:rPr>
        <w:t xml:space="preserve">es agrarios que se surten en una instancia administrativa están sometidos a las garantías del debido proceso. </w:t>
      </w:r>
    </w:p>
    <w:p w:rsidR="001130BC" w:rsidRPr="002A793E" w:rsidRDefault="002A793E" w:rsidP="001130BC">
      <w:pPr>
        <w:pStyle w:val="Prrafodelista"/>
        <w:rPr>
          <w:rFonts w:ascii="Times New Roman" w:eastAsia="Calibri" w:hAnsi="Times New Roman" w:cs="Times New Roman"/>
          <w:color w:val="000000" w:themeColor="text1"/>
          <w:sz w:val="28"/>
          <w:szCs w:val="28"/>
          <w:lang w:val="es-ES"/>
        </w:rPr>
      </w:pPr>
    </w:p>
    <w:p w:rsidR="00C12420" w:rsidRPr="002A793E" w:rsidRDefault="002A793E" w:rsidP="00E537E1">
      <w:pPr>
        <w:pStyle w:val="Prrafodelista"/>
        <w:numPr>
          <w:ilvl w:val="0"/>
          <w:numId w:val="2"/>
        </w:numPr>
        <w:ind w:left="0" w:firstLine="0"/>
        <w:rPr>
          <w:rFonts w:ascii="Times New Roman" w:hAnsi="Times New Roman" w:cs="Times New Roman"/>
          <w:bCs/>
          <w:sz w:val="28"/>
          <w:szCs w:val="28"/>
          <w:lang w:val="es-ES"/>
        </w:rPr>
      </w:pPr>
      <w:r w:rsidRPr="002A793E">
        <w:rPr>
          <w:rFonts w:ascii="Times New Roman" w:eastAsia="Calibri" w:hAnsi="Times New Roman" w:cs="Times New Roman"/>
          <w:color w:val="000000" w:themeColor="text1"/>
          <w:sz w:val="28"/>
          <w:szCs w:val="28"/>
          <w:lang w:val="es-ES"/>
        </w:rPr>
        <w:t xml:space="preserve">Finalmente, frente al </w:t>
      </w:r>
      <w:r w:rsidRPr="002A793E">
        <w:rPr>
          <w:rFonts w:ascii="Times New Roman" w:eastAsia="Calibri" w:hAnsi="Times New Roman" w:cs="Times New Roman"/>
          <w:b/>
          <w:bCs/>
          <w:color w:val="000000" w:themeColor="text1"/>
          <w:sz w:val="28"/>
          <w:szCs w:val="28"/>
          <w:lang w:val="es-ES"/>
        </w:rPr>
        <w:t>cargo cuarto</w:t>
      </w:r>
      <w:r w:rsidRPr="002A793E">
        <w:rPr>
          <w:rFonts w:ascii="Times New Roman" w:eastAsia="Calibri" w:hAnsi="Times New Roman" w:cs="Times New Roman"/>
          <w:color w:val="000000" w:themeColor="text1"/>
          <w:sz w:val="28"/>
          <w:szCs w:val="28"/>
          <w:lang w:val="es-ES"/>
        </w:rPr>
        <w:t xml:space="preserve"> de la demanda, la clínica interviniente </w:t>
      </w:r>
      <w:r w:rsidRPr="002A793E">
        <w:rPr>
          <w:rFonts w:ascii="Times New Roman" w:eastAsia="Calibri" w:hAnsi="Times New Roman" w:cs="Times New Roman"/>
          <w:color w:val="000000" w:themeColor="text1"/>
          <w:sz w:val="28"/>
          <w:szCs w:val="28"/>
          <w:lang w:val="es-ES"/>
        </w:rPr>
        <w:t>argumentó que l</w:t>
      </w:r>
      <w:r w:rsidRPr="002A793E">
        <w:rPr>
          <w:rFonts w:ascii="Times New Roman" w:eastAsia="Calibri" w:hAnsi="Times New Roman" w:cs="Times New Roman"/>
          <w:color w:val="000000" w:themeColor="text1"/>
          <w:sz w:val="28"/>
          <w:szCs w:val="28"/>
          <w:lang w:val="es-ES"/>
        </w:rPr>
        <w:t>os apartados</w:t>
      </w:r>
      <w:r w:rsidRPr="002A793E">
        <w:rPr>
          <w:rFonts w:ascii="Times New Roman" w:eastAsia="Calibri" w:hAnsi="Times New Roman" w:cs="Times New Roman"/>
          <w:color w:val="000000" w:themeColor="text1"/>
          <w:sz w:val="28"/>
          <w:szCs w:val="28"/>
          <w:lang w:val="es-ES"/>
        </w:rPr>
        <w:t xml:space="preserve"> acusad</w:t>
      </w:r>
      <w:r w:rsidRPr="002A793E">
        <w:rPr>
          <w:rFonts w:ascii="Times New Roman" w:eastAsia="Calibri" w:hAnsi="Times New Roman" w:cs="Times New Roman"/>
          <w:color w:val="000000" w:themeColor="text1"/>
          <w:sz w:val="28"/>
          <w:szCs w:val="28"/>
          <w:lang w:val="es-ES"/>
        </w:rPr>
        <w:t>o</w:t>
      </w:r>
      <w:r w:rsidRPr="002A793E">
        <w:rPr>
          <w:rFonts w:ascii="Times New Roman" w:eastAsia="Calibri" w:hAnsi="Times New Roman" w:cs="Times New Roman"/>
          <w:color w:val="000000" w:themeColor="text1"/>
          <w:sz w:val="28"/>
          <w:szCs w:val="28"/>
          <w:lang w:val="es-ES"/>
        </w:rPr>
        <w:t xml:space="preserve">s son conformes al principio de no regresividad de los derechos fundamentales. </w:t>
      </w:r>
      <w:r w:rsidRPr="002A793E">
        <w:rPr>
          <w:rFonts w:ascii="Times New Roman" w:eastAsia="Calibri" w:hAnsi="Times New Roman" w:cs="Times New Roman"/>
          <w:color w:val="000000" w:themeColor="text1"/>
          <w:sz w:val="28"/>
          <w:szCs w:val="28"/>
          <w:lang w:val="es-ES"/>
        </w:rPr>
        <w:t xml:space="preserve">En </w:t>
      </w:r>
      <w:r w:rsidRPr="002A793E">
        <w:rPr>
          <w:rFonts w:ascii="Times New Roman" w:eastAsia="Calibri" w:hAnsi="Times New Roman" w:cs="Times New Roman"/>
          <w:color w:val="000000" w:themeColor="text1"/>
          <w:sz w:val="28"/>
          <w:szCs w:val="28"/>
          <w:lang w:val="es-ES"/>
        </w:rPr>
        <w:t>efecto</w:t>
      </w:r>
      <w:r w:rsidRPr="002A793E">
        <w:rPr>
          <w:rFonts w:ascii="Times New Roman" w:eastAsia="Calibri" w:hAnsi="Times New Roman" w:cs="Times New Roman"/>
          <w:color w:val="000000" w:themeColor="text1"/>
          <w:sz w:val="28"/>
          <w:szCs w:val="28"/>
          <w:lang w:val="es-ES"/>
        </w:rPr>
        <w:t xml:space="preserve">, no existe ningún fundamento jurisprudencial que permita extender </w:t>
      </w:r>
      <w:r w:rsidRPr="002A793E">
        <w:rPr>
          <w:rFonts w:ascii="Times New Roman" w:eastAsia="Calibri" w:hAnsi="Times New Roman" w:cs="Times New Roman"/>
          <w:color w:val="000000" w:themeColor="text1"/>
          <w:sz w:val="28"/>
          <w:szCs w:val="28"/>
          <w:lang w:val="es-ES"/>
        </w:rPr>
        <w:t>la</w:t>
      </w:r>
      <w:r w:rsidRPr="002A793E">
        <w:rPr>
          <w:rFonts w:ascii="Times New Roman" w:eastAsia="Calibri" w:hAnsi="Times New Roman" w:cs="Times New Roman"/>
          <w:color w:val="000000" w:themeColor="text1"/>
          <w:sz w:val="28"/>
          <w:szCs w:val="28"/>
          <w:lang w:val="es-ES"/>
        </w:rPr>
        <w:t xml:space="preserve"> aplicación</w:t>
      </w:r>
      <w:r w:rsidRPr="002A793E">
        <w:rPr>
          <w:rFonts w:ascii="Times New Roman" w:eastAsia="Calibri" w:hAnsi="Times New Roman" w:cs="Times New Roman"/>
          <w:color w:val="000000" w:themeColor="text1"/>
          <w:sz w:val="28"/>
          <w:szCs w:val="28"/>
          <w:lang w:val="es-ES"/>
        </w:rPr>
        <w:t xml:space="preserve"> del principio de no regresividad</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a otro tipo de</w:t>
      </w:r>
      <w:r w:rsidRPr="002A793E">
        <w:rPr>
          <w:rFonts w:ascii="Times New Roman" w:eastAsia="Calibri" w:hAnsi="Times New Roman" w:cs="Times New Roman"/>
          <w:color w:val="000000" w:themeColor="text1"/>
          <w:sz w:val="28"/>
          <w:szCs w:val="28"/>
          <w:lang w:val="es-ES"/>
        </w:rPr>
        <w:t xml:space="preserve"> derechos, tales como el acceso a la administración de justicia, la propiedad privada o la tutela judicial </w:t>
      </w:r>
      <w:r w:rsidRPr="002A793E">
        <w:rPr>
          <w:rFonts w:ascii="Times New Roman" w:eastAsia="Calibri" w:hAnsi="Times New Roman" w:cs="Times New Roman"/>
          <w:color w:val="000000" w:themeColor="text1"/>
          <w:sz w:val="28"/>
          <w:szCs w:val="28"/>
          <w:lang w:val="es-ES"/>
        </w:rPr>
        <w:t>efectiva</w:t>
      </w:r>
      <w:r w:rsidRPr="002A793E">
        <w:rPr>
          <w:rStyle w:val="Refdenotaalpie"/>
          <w:rFonts w:ascii="Times New Roman" w:eastAsia="Calibri" w:hAnsi="Times New Roman" w:cs="Times New Roman"/>
          <w:color w:val="000000" w:themeColor="text1"/>
          <w:sz w:val="28"/>
          <w:szCs w:val="28"/>
          <w:lang w:val="es-ES"/>
        </w:rPr>
        <w:footnoteReference w:id="27"/>
      </w:r>
      <w:r w:rsidRPr="002A793E">
        <w:rPr>
          <w:rFonts w:ascii="Times New Roman" w:eastAsia="Calibri" w:hAnsi="Times New Roman" w:cs="Times New Roman"/>
          <w:color w:val="000000" w:themeColor="text1"/>
          <w:sz w:val="28"/>
          <w:szCs w:val="28"/>
          <w:lang w:val="es-ES"/>
        </w:rPr>
        <w:t xml:space="preserve">. </w:t>
      </w:r>
    </w:p>
    <w:p w:rsidR="00915F58" w:rsidRPr="002A793E" w:rsidRDefault="002A793E" w:rsidP="00915F58">
      <w:pPr>
        <w:pStyle w:val="Prrafodelista"/>
        <w:rPr>
          <w:rFonts w:ascii="Times New Roman" w:hAnsi="Times New Roman" w:cs="Times New Roman"/>
          <w:bCs/>
          <w:sz w:val="28"/>
          <w:szCs w:val="28"/>
          <w:lang w:val="es-ES"/>
        </w:rPr>
      </w:pPr>
    </w:p>
    <w:p w:rsidR="00915F58" w:rsidRPr="002A793E" w:rsidRDefault="002A793E" w:rsidP="00EE7A55">
      <w:pPr>
        <w:pStyle w:val="Prrafodelista"/>
        <w:numPr>
          <w:ilvl w:val="1"/>
          <w:numId w:val="4"/>
        </w:numPr>
        <w:spacing w:line="360" w:lineRule="atLeast"/>
        <w:rPr>
          <w:rFonts w:ascii="Times New Roman" w:hAnsi="Times New Roman" w:cs="Times New Roman"/>
          <w:b/>
          <w:sz w:val="28"/>
          <w:szCs w:val="28"/>
          <w:lang w:val="es-ES"/>
        </w:rPr>
      </w:pPr>
      <w:r w:rsidRPr="002A793E">
        <w:rPr>
          <w:rFonts w:ascii="Times New Roman" w:hAnsi="Times New Roman" w:cs="Times New Roman"/>
          <w:b/>
          <w:sz w:val="28"/>
          <w:szCs w:val="28"/>
          <w:lang w:val="es-ES"/>
        </w:rPr>
        <w:t>Observatorio de Intervención Ciudadana Constitucional de la Universidad Libre de Bogotá</w:t>
      </w:r>
    </w:p>
    <w:p w:rsidR="00660C7E" w:rsidRPr="002A793E" w:rsidRDefault="002A793E" w:rsidP="00660C7E">
      <w:pPr>
        <w:rPr>
          <w:rFonts w:ascii="Times New Roman" w:eastAsia="Calibri" w:hAnsi="Times New Roman" w:cs="Times New Roman"/>
          <w:color w:val="000000" w:themeColor="text1"/>
          <w:sz w:val="28"/>
          <w:szCs w:val="28"/>
          <w:lang w:val="es-ES"/>
        </w:rPr>
      </w:pPr>
    </w:p>
    <w:p w:rsidR="00F676AF" w:rsidRPr="002A793E" w:rsidRDefault="002A793E" w:rsidP="00F676AF">
      <w:pPr>
        <w:pStyle w:val="Prrafodelista"/>
        <w:numPr>
          <w:ilvl w:val="0"/>
          <w:numId w:val="2"/>
        </w:numPr>
        <w:ind w:left="0" w:firstLine="0"/>
        <w:rPr>
          <w:rFonts w:ascii="Times New Roman" w:hAnsi="Times New Roman" w:cs="Times New Roman"/>
          <w:b/>
          <w:sz w:val="28"/>
          <w:szCs w:val="28"/>
          <w:lang w:val="es-ES"/>
        </w:rPr>
      </w:pPr>
      <w:r w:rsidRPr="002A793E">
        <w:rPr>
          <w:rFonts w:ascii="Times New Roman" w:eastAsia="Calibri" w:hAnsi="Times New Roman" w:cs="Times New Roman"/>
          <w:color w:val="000000" w:themeColor="text1"/>
          <w:sz w:val="28"/>
          <w:szCs w:val="28"/>
          <w:lang w:val="es-ES"/>
        </w:rPr>
        <w:t>El interviniente</w:t>
      </w:r>
      <w:r w:rsidRPr="002A793E">
        <w:rPr>
          <w:rFonts w:ascii="Times New Roman" w:eastAsia="Calibri" w:hAnsi="Times New Roman" w:cs="Times New Roman"/>
          <w:color w:val="000000" w:themeColor="text1"/>
          <w:sz w:val="28"/>
          <w:szCs w:val="28"/>
          <w:lang w:val="es-ES"/>
        </w:rPr>
        <w:t xml:space="preserve">, que sólo se pronunció frente a los cargos sustanciales formulados en la demanda, solicitó a la Corte declarar la exequibilidad del </w:t>
      </w:r>
      <w:r w:rsidRPr="002A793E">
        <w:rPr>
          <w:rFonts w:ascii="Times New Roman" w:eastAsia="Calibri" w:hAnsi="Times New Roman" w:cs="Times New Roman"/>
          <w:color w:val="000000" w:themeColor="text1"/>
          <w:sz w:val="28"/>
          <w:szCs w:val="28"/>
          <w:lang w:val="es-ES"/>
        </w:rPr>
        <w:t>parágrafo 3 y del numeral 6 del artículo 61 de la Ley 2294 de 2023</w:t>
      </w:r>
      <w:r w:rsidRPr="002A793E">
        <w:rPr>
          <w:rFonts w:ascii="Times New Roman" w:eastAsia="Calibri" w:hAnsi="Times New Roman" w:cs="Times New Roman"/>
          <w:color w:val="000000" w:themeColor="text1"/>
          <w:sz w:val="28"/>
          <w:szCs w:val="28"/>
          <w:lang w:val="es-ES"/>
        </w:rPr>
        <w:t xml:space="preserve"> por las siguientes razones.</w:t>
      </w:r>
    </w:p>
    <w:p w:rsidR="00F676AF" w:rsidRPr="002A793E" w:rsidRDefault="002A793E" w:rsidP="00F676AF">
      <w:pPr>
        <w:pStyle w:val="Prrafodelista"/>
        <w:ind w:left="0"/>
        <w:rPr>
          <w:rFonts w:ascii="Times New Roman" w:hAnsi="Times New Roman" w:cs="Times New Roman"/>
          <w:b/>
          <w:sz w:val="28"/>
          <w:szCs w:val="28"/>
          <w:lang w:val="es-ES"/>
        </w:rPr>
      </w:pPr>
    </w:p>
    <w:p w:rsidR="00113C4B" w:rsidRPr="002A793E" w:rsidRDefault="002A793E" w:rsidP="00F375FB">
      <w:pPr>
        <w:pStyle w:val="Prrafodelista"/>
        <w:numPr>
          <w:ilvl w:val="0"/>
          <w:numId w:val="2"/>
        </w:numPr>
        <w:ind w:left="0" w:firstLine="0"/>
        <w:rPr>
          <w:rFonts w:ascii="Times New Roman" w:hAnsi="Times New Roman" w:cs="Times New Roman"/>
          <w:b/>
          <w:sz w:val="28"/>
          <w:szCs w:val="28"/>
          <w:lang w:val="es-ES"/>
        </w:rPr>
      </w:pPr>
      <w:r w:rsidRPr="002A793E">
        <w:rPr>
          <w:rFonts w:ascii="Times New Roman" w:hAnsi="Times New Roman" w:cs="Times New Roman"/>
          <w:bCs/>
          <w:sz w:val="28"/>
          <w:szCs w:val="28"/>
          <w:lang w:val="es-ES"/>
        </w:rPr>
        <w:t>F</w:t>
      </w:r>
      <w:r w:rsidRPr="002A793E">
        <w:rPr>
          <w:rFonts w:ascii="Times New Roman" w:hAnsi="Times New Roman" w:cs="Times New Roman"/>
          <w:bCs/>
          <w:sz w:val="28"/>
          <w:szCs w:val="28"/>
          <w:lang w:val="es-ES"/>
        </w:rPr>
        <w:t xml:space="preserve">rente al </w:t>
      </w:r>
      <w:r w:rsidRPr="002A793E">
        <w:rPr>
          <w:rFonts w:ascii="Times New Roman" w:hAnsi="Times New Roman" w:cs="Times New Roman"/>
          <w:b/>
          <w:sz w:val="28"/>
          <w:szCs w:val="28"/>
          <w:lang w:val="es-ES"/>
        </w:rPr>
        <w:t>cargo</w:t>
      </w:r>
      <w:r w:rsidRPr="002A793E">
        <w:rPr>
          <w:rFonts w:ascii="Times New Roman" w:hAnsi="Times New Roman" w:cs="Times New Roman"/>
          <w:b/>
          <w:sz w:val="28"/>
          <w:szCs w:val="28"/>
          <w:lang w:val="es-ES"/>
        </w:rPr>
        <w:t xml:space="preserve"> tercero</w:t>
      </w:r>
      <w:r w:rsidRPr="002A793E">
        <w:rPr>
          <w:rFonts w:ascii="Times New Roman" w:hAnsi="Times New Roman" w:cs="Times New Roman"/>
          <w:bCs/>
          <w:sz w:val="28"/>
          <w:szCs w:val="28"/>
          <w:lang w:val="es-ES"/>
        </w:rPr>
        <w:t xml:space="preserve"> de la demanda</w:t>
      </w:r>
      <w:r w:rsidRPr="002A793E">
        <w:rPr>
          <w:rFonts w:ascii="Times New Roman" w:hAnsi="Times New Roman" w:cs="Times New Roman"/>
          <w:bCs/>
          <w:sz w:val="28"/>
          <w:szCs w:val="28"/>
          <w:lang w:val="es-ES"/>
        </w:rPr>
        <w:t xml:space="preserve">, la intervención manifestó que las normas acusadas respetan </w:t>
      </w:r>
      <w:r w:rsidRPr="002A793E">
        <w:rPr>
          <w:rFonts w:ascii="Times New Roman" w:hAnsi="Times New Roman" w:cs="Times New Roman"/>
          <w:bCs/>
          <w:sz w:val="28"/>
          <w:szCs w:val="28"/>
          <w:lang w:val="es-ES"/>
        </w:rPr>
        <w:t xml:space="preserve">el derecho a la propiedad privada porque </w:t>
      </w:r>
      <w:r w:rsidRPr="002A793E">
        <w:rPr>
          <w:rFonts w:ascii="Times New Roman" w:hAnsi="Times New Roman" w:cs="Times New Roman"/>
          <w:bCs/>
          <w:sz w:val="28"/>
          <w:szCs w:val="28"/>
          <w:lang w:val="es-ES"/>
        </w:rPr>
        <w:t xml:space="preserve">los titulares de derechos reales </w:t>
      </w:r>
      <w:r w:rsidRPr="002A793E">
        <w:rPr>
          <w:rFonts w:ascii="Times New Roman" w:hAnsi="Times New Roman" w:cs="Times New Roman"/>
          <w:bCs/>
          <w:sz w:val="28"/>
          <w:szCs w:val="28"/>
          <w:lang w:val="es-ES"/>
        </w:rPr>
        <w:t xml:space="preserve">cuentan con suficientes y adecuadas garantías procesales y sustanciales </w:t>
      </w:r>
      <w:r w:rsidRPr="002A793E">
        <w:rPr>
          <w:rFonts w:ascii="Times New Roman" w:hAnsi="Times New Roman" w:cs="Times New Roman"/>
          <w:bCs/>
          <w:sz w:val="28"/>
          <w:szCs w:val="28"/>
          <w:lang w:val="es-ES"/>
        </w:rPr>
        <w:t>para defender</w:t>
      </w:r>
      <w:r w:rsidRPr="002A793E">
        <w:rPr>
          <w:rFonts w:ascii="Times New Roman" w:hAnsi="Times New Roman" w:cs="Times New Roman"/>
          <w:bCs/>
          <w:sz w:val="28"/>
          <w:szCs w:val="28"/>
          <w:lang w:val="es-ES"/>
        </w:rPr>
        <w:t xml:space="preserve"> dicho derecho</w:t>
      </w:r>
      <w:r w:rsidRPr="002A793E">
        <w:rPr>
          <w:rFonts w:ascii="Times New Roman" w:hAnsi="Times New Roman" w:cs="Times New Roman"/>
          <w:bCs/>
          <w:sz w:val="28"/>
          <w:szCs w:val="28"/>
          <w:lang w:val="es-ES"/>
        </w:rPr>
        <w:t xml:space="preserve"> en sede</w:t>
      </w:r>
      <w:r w:rsidRPr="002A793E">
        <w:rPr>
          <w:rFonts w:ascii="Times New Roman" w:hAnsi="Times New Roman" w:cs="Times New Roman"/>
          <w:bCs/>
          <w:sz w:val="28"/>
          <w:szCs w:val="28"/>
          <w:lang w:val="es-ES"/>
        </w:rPr>
        <w:t xml:space="preserve"> administrativa y judicial. </w:t>
      </w:r>
      <w:r w:rsidRPr="002A793E">
        <w:rPr>
          <w:rFonts w:ascii="Times New Roman" w:hAnsi="Times New Roman" w:cs="Times New Roman"/>
          <w:bCs/>
          <w:sz w:val="28"/>
          <w:szCs w:val="28"/>
          <w:lang w:val="es-ES"/>
        </w:rPr>
        <w:t>En efecto</w:t>
      </w:r>
      <w:r w:rsidRPr="002A793E">
        <w:rPr>
          <w:rFonts w:ascii="Times New Roman" w:hAnsi="Times New Roman" w:cs="Times New Roman"/>
          <w:bCs/>
          <w:sz w:val="28"/>
          <w:szCs w:val="28"/>
          <w:lang w:val="es-ES"/>
        </w:rPr>
        <w:t>, según una interpretación sistemática de</w:t>
      </w:r>
      <w:r w:rsidRPr="002A793E">
        <w:rPr>
          <w:rFonts w:ascii="Times New Roman" w:hAnsi="Times New Roman" w:cs="Times New Roman"/>
          <w:bCs/>
          <w:sz w:val="28"/>
          <w:szCs w:val="28"/>
          <w:lang w:val="es-ES"/>
        </w:rPr>
        <w:t>l artículo 61-6 de la Ley 2294 de 2023</w:t>
      </w:r>
      <w:r w:rsidRPr="002A793E">
        <w:rPr>
          <w:rFonts w:ascii="Times New Roman" w:hAnsi="Times New Roman" w:cs="Times New Roman"/>
          <w:bCs/>
          <w:sz w:val="28"/>
          <w:szCs w:val="28"/>
          <w:lang w:val="es-ES"/>
        </w:rPr>
        <w:t xml:space="preserve"> junto con los artículos 49 y 70 del Decreto Ley 902 de 2017</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los titulares de los derechos reales</w:t>
      </w:r>
      <w:r w:rsidRPr="002A793E">
        <w:rPr>
          <w:rFonts w:ascii="Times New Roman" w:hAnsi="Times New Roman" w:cs="Times New Roman"/>
          <w:bCs/>
          <w:sz w:val="28"/>
          <w:szCs w:val="28"/>
          <w:lang w:val="es-ES"/>
        </w:rPr>
        <w:t xml:space="preserve"> cuentan con suficientes mecanismos para </w:t>
      </w:r>
      <w:r w:rsidRPr="002A793E">
        <w:rPr>
          <w:rFonts w:ascii="Times New Roman" w:hAnsi="Times New Roman" w:cs="Times New Roman"/>
          <w:bCs/>
          <w:sz w:val="28"/>
          <w:szCs w:val="28"/>
          <w:lang w:val="es-ES"/>
        </w:rPr>
        <w:t>defender su derecho de propiedad</w:t>
      </w:r>
      <w:r w:rsidRPr="002A793E">
        <w:rPr>
          <w:rFonts w:ascii="Times New Roman" w:hAnsi="Times New Roman" w:cs="Times New Roman"/>
          <w:bCs/>
          <w:sz w:val="28"/>
          <w:szCs w:val="28"/>
          <w:lang w:val="es-ES"/>
        </w:rPr>
        <w:t>, pues</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tienen derecho a que las autoridades les notifiquen </w:t>
      </w:r>
      <w:r w:rsidRPr="002A793E">
        <w:rPr>
          <w:rFonts w:ascii="Times New Roman" w:hAnsi="Times New Roman" w:cs="Times New Roman"/>
          <w:bCs/>
          <w:sz w:val="28"/>
          <w:szCs w:val="28"/>
          <w:lang w:val="es-ES"/>
        </w:rPr>
        <w:t>las</w:t>
      </w:r>
      <w:r w:rsidRPr="002A793E">
        <w:rPr>
          <w:rFonts w:ascii="Times New Roman" w:hAnsi="Times New Roman" w:cs="Times New Roman"/>
          <w:bCs/>
          <w:sz w:val="28"/>
          <w:szCs w:val="28"/>
          <w:lang w:val="es-ES"/>
        </w:rPr>
        <w:t xml:space="preserve"> decisiones</w:t>
      </w:r>
      <w:r w:rsidRPr="002A793E">
        <w:rPr>
          <w:rFonts w:ascii="Times New Roman" w:hAnsi="Times New Roman" w:cs="Times New Roman"/>
          <w:bCs/>
          <w:sz w:val="28"/>
          <w:szCs w:val="28"/>
          <w:lang w:val="es-ES"/>
        </w:rPr>
        <w:t xml:space="preserve"> que tomen en el marco del PUO</w:t>
      </w:r>
      <w:r w:rsidRPr="002A793E">
        <w:rPr>
          <w:rFonts w:ascii="Times New Roman" w:hAnsi="Times New Roman" w:cs="Times New Roman"/>
          <w:bCs/>
          <w:sz w:val="28"/>
          <w:szCs w:val="28"/>
          <w:lang w:val="es-ES"/>
        </w:rPr>
        <w:t>,</w:t>
      </w:r>
      <w:r w:rsidRPr="002A793E">
        <w:rPr>
          <w:rFonts w:ascii="Times New Roman" w:hAnsi="Times New Roman" w:cs="Times New Roman"/>
          <w:bCs/>
          <w:sz w:val="28"/>
          <w:szCs w:val="28"/>
          <w:lang w:val="es-ES"/>
        </w:rPr>
        <w:t xml:space="preserve"> pueden hacerse parte</w:t>
      </w:r>
      <w:r w:rsidRPr="002A793E">
        <w:rPr>
          <w:rFonts w:ascii="Times New Roman" w:hAnsi="Times New Roman" w:cs="Times New Roman"/>
          <w:bCs/>
          <w:sz w:val="28"/>
          <w:szCs w:val="28"/>
          <w:lang w:val="es-ES"/>
        </w:rPr>
        <w:t xml:space="preserve"> de dicho procedimiento</w:t>
      </w:r>
      <w:r w:rsidRPr="002A793E">
        <w:rPr>
          <w:rFonts w:ascii="Times New Roman" w:hAnsi="Times New Roman" w:cs="Times New Roman"/>
          <w:bCs/>
          <w:sz w:val="28"/>
          <w:szCs w:val="28"/>
          <w:lang w:val="es-ES"/>
        </w:rPr>
        <w:t xml:space="preserve"> y pueden ejercer la acción de nulidad agraria. </w:t>
      </w:r>
    </w:p>
    <w:p w:rsidR="006D74A6" w:rsidRPr="002A793E" w:rsidRDefault="002A793E" w:rsidP="006D74A6">
      <w:pPr>
        <w:pStyle w:val="Prrafodelista"/>
        <w:rPr>
          <w:rFonts w:ascii="Times New Roman" w:hAnsi="Times New Roman" w:cs="Times New Roman"/>
          <w:b/>
          <w:sz w:val="28"/>
          <w:szCs w:val="28"/>
          <w:lang w:val="es-ES"/>
        </w:rPr>
      </w:pPr>
    </w:p>
    <w:p w:rsidR="006625D2" w:rsidRPr="002A793E" w:rsidRDefault="002A793E" w:rsidP="00F375FB">
      <w:pPr>
        <w:pStyle w:val="Prrafodelista"/>
        <w:numPr>
          <w:ilvl w:val="0"/>
          <w:numId w:val="2"/>
        </w:numPr>
        <w:ind w:left="0" w:firstLine="0"/>
        <w:rPr>
          <w:rFonts w:ascii="Times New Roman" w:hAnsi="Times New Roman" w:cs="Times New Roman"/>
          <w:bCs/>
          <w:sz w:val="28"/>
          <w:szCs w:val="28"/>
          <w:lang w:val="es-ES"/>
        </w:rPr>
      </w:pPr>
      <w:r w:rsidRPr="002A793E">
        <w:rPr>
          <w:rFonts w:ascii="Times New Roman" w:hAnsi="Times New Roman" w:cs="Times New Roman"/>
          <w:bCs/>
          <w:sz w:val="28"/>
          <w:szCs w:val="28"/>
          <w:lang w:val="es-ES"/>
        </w:rPr>
        <w:t xml:space="preserve">Además, según el Observatorio de Intervención Ciudadana Constitucional, </w:t>
      </w:r>
      <w:r w:rsidRPr="002A793E">
        <w:rPr>
          <w:rFonts w:ascii="Times New Roman" w:hAnsi="Times New Roman" w:cs="Times New Roman"/>
          <w:bCs/>
          <w:sz w:val="28"/>
          <w:szCs w:val="28"/>
          <w:lang w:val="es-ES"/>
        </w:rPr>
        <w:t xml:space="preserve">las disposiciones acusadas, contenidas en el artículo 61 de la Ley 2294 de 2023, respetan los derechos de acceso a la administración de justicia y a la tutela judicial eficaz </w:t>
      </w:r>
      <w:r w:rsidRPr="002A793E">
        <w:rPr>
          <w:rFonts w:ascii="Times New Roman" w:hAnsi="Times New Roman" w:cs="Times New Roman"/>
          <w:bCs/>
          <w:sz w:val="28"/>
          <w:szCs w:val="28"/>
          <w:lang w:val="es-ES"/>
        </w:rPr>
        <w:t xml:space="preserve">frente a </w:t>
      </w:r>
      <w:r w:rsidRPr="002A793E">
        <w:rPr>
          <w:rFonts w:ascii="Times New Roman" w:hAnsi="Times New Roman" w:cs="Times New Roman"/>
          <w:bCs/>
          <w:sz w:val="28"/>
          <w:szCs w:val="28"/>
          <w:lang w:val="es-ES"/>
        </w:rPr>
        <w:t>los terceros que no fueron parte del PUO.</w:t>
      </w:r>
      <w:r w:rsidRPr="002A793E">
        <w:rPr>
          <w:rFonts w:ascii="Times New Roman" w:hAnsi="Times New Roman" w:cs="Times New Roman"/>
          <w:bCs/>
          <w:sz w:val="28"/>
          <w:szCs w:val="28"/>
          <w:lang w:val="es-ES"/>
        </w:rPr>
        <w:t xml:space="preserve"> A su juicio</w:t>
      </w:r>
      <w:r w:rsidRPr="002A793E">
        <w:rPr>
          <w:rFonts w:ascii="Times New Roman" w:hAnsi="Times New Roman" w:cs="Times New Roman"/>
          <w:bCs/>
          <w:sz w:val="28"/>
          <w:szCs w:val="28"/>
          <w:lang w:val="es-ES"/>
        </w:rPr>
        <w:t>,</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como se derogó el inciso 2 del </w:t>
      </w:r>
      <w:r w:rsidRPr="002A793E">
        <w:rPr>
          <w:rFonts w:ascii="Times New Roman" w:hAnsi="Times New Roman" w:cs="Times New Roman"/>
          <w:bCs/>
          <w:sz w:val="28"/>
          <w:szCs w:val="28"/>
          <w:lang w:val="es-ES"/>
        </w:rPr>
        <w:t>artículo 39 del Decreto Ley 902 de 2017, los interesados tienen el deber de</w:t>
      </w:r>
      <w:r w:rsidRPr="002A793E">
        <w:rPr>
          <w:rFonts w:ascii="Times New Roman" w:hAnsi="Times New Roman" w:cs="Times New Roman"/>
          <w:bCs/>
          <w:sz w:val="28"/>
          <w:szCs w:val="28"/>
          <w:lang w:val="es-ES"/>
        </w:rPr>
        <w:t xml:space="preserve"> hacerse parte del procedimiento administrativo</w:t>
      </w:r>
      <w:r w:rsidRPr="002A793E">
        <w:rPr>
          <w:rFonts w:ascii="Times New Roman" w:hAnsi="Times New Roman" w:cs="Times New Roman"/>
          <w:bCs/>
          <w:sz w:val="28"/>
          <w:szCs w:val="28"/>
          <w:lang w:val="es-ES"/>
        </w:rPr>
        <w:t>, como requisito</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para ejercer la acción de nulid</w:t>
      </w:r>
      <w:r w:rsidRPr="002A793E">
        <w:rPr>
          <w:rFonts w:ascii="Times New Roman" w:hAnsi="Times New Roman" w:cs="Times New Roman"/>
          <w:bCs/>
          <w:sz w:val="28"/>
          <w:szCs w:val="28"/>
          <w:lang w:val="es-ES"/>
        </w:rPr>
        <w:t>ad agraria</w:t>
      </w:r>
      <w:r w:rsidRPr="002A793E">
        <w:rPr>
          <w:rFonts w:ascii="Times New Roman" w:hAnsi="Times New Roman" w:cs="Times New Roman"/>
          <w:bCs/>
          <w:sz w:val="28"/>
          <w:szCs w:val="28"/>
          <w:lang w:val="es-ES"/>
        </w:rPr>
        <w:t>,</w:t>
      </w:r>
      <w:r w:rsidRPr="002A793E">
        <w:rPr>
          <w:rFonts w:ascii="Times New Roman" w:hAnsi="Times New Roman" w:cs="Times New Roman"/>
          <w:bCs/>
          <w:sz w:val="28"/>
          <w:szCs w:val="28"/>
          <w:lang w:val="es-ES"/>
        </w:rPr>
        <w:t xml:space="preserve"> obligación</w:t>
      </w:r>
      <w:r w:rsidRPr="002A793E">
        <w:rPr>
          <w:rFonts w:ascii="Times New Roman" w:hAnsi="Times New Roman" w:cs="Times New Roman"/>
          <w:bCs/>
          <w:sz w:val="28"/>
          <w:szCs w:val="28"/>
          <w:lang w:val="es-ES"/>
        </w:rPr>
        <w:t xml:space="preserve"> que</w:t>
      </w:r>
      <w:r w:rsidRPr="002A793E">
        <w:rPr>
          <w:rFonts w:ascii="Times New Roman" w:hAnsi="Times New Roman" w:cs="Times New Roman"/>
          <w:bCs/>
          <w:sz w:val="28"/>
          <w:szCs w:val="28"/>
          <w:lang w:val="es-ES"/>
        </w:rPr>
        <w:t xml:space="preserve"> resulta </w:t>
      </w:r>
      <w:r w:rsidRPr="002A793E">
        <w:rPr>
          <w:rFonts w:ascii="Times New Roman" w:hAnsi="Times New Roman" w:cs="Times New Roman"/>
          <w:bCs/>
          <w:sz w:val="28"/>
          <w:szCs w:val="28"/>
          <w:lang w:val="es-ES"/>
        </w:rPr>
        <w:t xml:space="preserve">proporcional </w:t>
      </w:r>
      <w:r w:rsidRPr="002A793E">
        <w:rPr>
          <w:rFonts w:ascii="Times New Roman" w:hAnsi="Times New Roman" w:cs="Times New Roman"/>
          <w:bCs/>
          <w:sz w:val="28"/>
          <w:szCs w:val="28"/>
          <w:lang w:val="es-ES"/>
        </w:rPr>
        <w:t>y razonable</w:t>
      </w:r>
      <w:r w:rsidRPr="002A793E">
        <w:rPr>
          <w:rFonts w:ascii="Times New Roman" w:hAnsi="Times New Roman" w:cs="Times New Roman"/>
          <w:bCs/>
          <w:sz w:val="28"/>
          <w:szCs w:val="28"/>
          <w:lang w:val="es-ES"/>
        </w:rPr>
        <w:t xml:space="preserve">. </w:t>
      </w:r>
    </w:p>
    <w:p w:rsidR="00604A79" w:rsidRPr="002A793E" w:rsidRDefault="002A793E" w:rsidP="00C77B5F">
      <w:pPr>
        <w:pStyle w:val="Prrafodelista"/>
        <w:ind w:left="0"/>
        <w:rPr>
          <w:rFonts w:ascii="Times New Roman" w:hAnsi="Times New Roman" w:cs="Times New Roman"/>
          <w:bCs/>
          <w:sz w:val="28"/>
          <w:szCs w:val="28"/>
          <w:lang w:val="es-ES"/>
        </w:rPr>
      </w:pPr>
    </w:p>
    <w:p w:rsidR="000067C8" w:rsidRPr="002A793E" w:rsidRDefault="002A793E" w:rsidP="00C413DE">
      <w:pPr>
        <w:pStyle w:val="Prrafodelista"/>
        <w:numPr>
          <w:ilvl w:val="0"/>
          <w:numId w:val="2"/>
        </w:numPr>
        <w:ind w:left="0" w:firstLine="0"/>
        <w:rPr>
          <w:rFonts w:ascii="Times New Roman" w:hAnsi="Times New Roman" w:cs="Times New Roman"/>
          <w:bCs/>
          <w:sz w:val="28"/>
          <w:szCs w:val="28"/>
          <w:lang w:val="es-ES"/>
        </w:rPr>
      </w:pPr>
      <w:r w:rsidRPr="002A793E">
        <w:rPr>
          <w:rFonts w:ascii="Times New Roman" w:hAnsi="Times New Roman" w:cs="Times New Roman"/>
          <w:bCs/>
          <w:sz w:val="28"/>
          <w:szCs w:val="28"/>
          <w:lang w:val="es-ES"/>
        </w:rPr>
        <w:t xml:space="preserve">Frente al </w:t>
      </w:r>
      <w:r w:rsidRPr="002A793E">
        <w:rPr>
          <w:rFonts w:ascii="Times New Roman" w:hAnsi="Times New Roman" w:cs="Times New Roman"/>
          <w:b/>
          <w:sz w:val="28"/>
          <w:szCs w:val="28"/>
          <w:lang w:val="es-ES"/>
        </w:rPr>
        <w:t>cargo cuarto</w:t>
      </w:r>
      <w:r w:rsidRPr="002A793E">
        <w:rPr>
          <w:rFonts w:ascii="Times New Roman" w:hAnsi="Times New Roman" w:cs="Times New Roman"/>
          <w:b/>
          <w:sz w:val="28"/>
          <w:szCs w:val="28"/>
          <w:lang w:val="es-ES"/>
        </w:rPr>
        <w:t xml:space="preserve"> </w:t>
      </w:r>
      <w:r w:rsidRPr="002A793E">
        <w:rPr>
          <w:rFonts w:ascii="Times New Roman" w:hAnsi="Times New Roman" w:cs="Times New Roman"/>
          <w:bCs/>
          <w:sz w:val="28"/>
          <w:szCs w:val="28"/>
          <w:lang w:val="es-ES"/>
        </w:rPr>
        <w:t>de la demanda</w:t>
      </w:r>
      <w:r w:rsidRPr="002A793E">
        <w:rPr>
          <w:rFonts w:ascii="Times New Roman" w:hAnsi="Times New Roman" w:cs="Times New Roman"/>
          <w:bCs/>
          <w:sz w:val="28"/>
          <w:szCs w:val="28"/>
          <w:lang w:val="es-ES"/>
        </w:rPr>
        <w:t xml:space="preserve">, el interviniente </w:t>
      </w:r>
      <w:r w:rsidRPr="002A793E">
        <w:rPr>
          <w:rFonts w:ascii="Times New Roman" w:hAnsi="Times New Roman" w:cs="Times New Roman"/>
          <w:bCs/>
          <w:sz w:val="28"/>
          <w:szCs w:val="28"/>
          <w:lang w:val="es-ES"/>
        </w:rPr>
        <w:t>adujo que los apartados acusados del artículo 61 de la Ley 2294 de 2023 son conformes a los principios de progresividad y no regresividad.</w:t>
      </w:r>
      <w:r w:rsidRPr="002A793E">
        <w:rPr>
          <w:rFonts w:ascii="Times New Roman" w:hAnsi="Times New Roman" w:cs="Times New Roman"/>
          <w:bCs/>
          <w:sz w:val="28"/>
          <w:szCs w:val="28"/>
          <w:lang w:val="es-ES"/>
        </w:rPr>
        <w:t xml:space="preserve"> Para demostrarlo,</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en </w:t>
      </w:r>
      <w:r w:rsidRPr="002A793E">
        <w:rPr>
          <w:rFonts w:ascii="Times New Roman" w:hAnsi="Times New Roman" w:cs="Times New Roman"/>
          <w:bCs/>
          <w:sz w:val="28"/>
          <w:szCs w:val="28"/>
          <w:lang w:val="es-ES"/>
        </w:rPr>
        <w:t>primer</w:t>
      </w:r>
      <w:r w:rsidRPr="002A793E">
        <w:rPr>
          <w:rFonts w:ascii="Times New Roman" w:hAnsi="Times New Roman" w:cs="Times New Roman"/>
          <w:bCs/>
          <w:sz w:val="28"/>
          <w:szCs w:val="28"/>
          <w:lang w:val="es-ES"/>
        </w:rPr>
        <w:t xml:space="preserve"> lugar</w:t>
      </w:r>
      <w:r w:rsidRPr="002A793E">
        <w:rPr>
          <w:rFonts w:ascii="Times New Roman" w:hAnsi="Times New Roman" w:cs="Times New Roman"/>
          <w:bCs/>
          <w:sz w:val="28"/>
          <w:szCs w:val="28"/>
          <w:lang w:val="es-ES"/>
        </w:rPr>
        <w:t>,</w:t>
      </w:r>
      <w:r w:rsidRPr="002A793E">
        <w:rPr>
          <w:rFonts w:ascii="Times New Roman" w:hAnsi="Times New Roman" w:cs="Times New Roman"/>
          <w:bCs/>
          <w:sz w:val="28"/>
          <w:szCs w:val="28"/>
          <w:lang w:val="es-ES"/>
        </w:rPr>
        <w:t xml:space="preserve"> la intervención explicó que</w:t>
      </w:r>
      <w:r w:rsidRPr="002A793E">
        <w:rPr>
          <w:rFonts w:ascii="Times New Roman" w:hAnsi="Times New Roman" w:cs="Times New Roman"/>
          <w:bCs/>
          <w:sz w:val="28"/>
          <w:szCs w:val="28"/>
          <w:lang w:val="es-ES"/>
        </w:rPr>
        <w:t>, en función de lo establecido en la sentencia C-</w:t>
      </w:r>
      <w:r w:rsidRPr="002A793E">
        <w:rPr>
          <w:rFonts w:ascii="Times New Roman" w:hAnsi="Times New Roman" w:cs="Times New Roman"/>
          <w:bCs/>
          <w:sz w:val="28"/>
          <w:szCs w:val="28"/>
          <w:lang w:val="es-ES"/>
        </w:rPr>
        <w:t xml:space="preserve">537 de 2016, </w:t>
      </w:r>
      <w:r w:rsidRPr="002A793E">
        <w:rPr>
          <w:rFonts w:ascii="Times New Roman" w:hAnsi="Times New Roman" w:cs="Times New Roman"/>
          <w:bCs/>
          <w:sz w:val="28"/>
          <w:szCs w:val="28"/>
          <w:lang w:val="es-ES"/>
        </w:rPr>
        <w:t>es posible predicar dichos principios de la faceta prestacional</w:t>
      </w:r>
      <w:r w:rsidRPr="002A793E">
        <w:rPr>
          <w:rFonts w:ascii="Times New Roman" w:hAnsi="Times New Roman" w:cs="Times New Roman"/>
          <w:bCs/>
          <w:sz w:val="28"/>
          <w:szCs w:val="28"/>
          <w:lang w:val="es-ES"/>
        </w:rPr>
        <w:t xml:space="preserve"> del derecho al debido proceso. </w:t>
      </w:r>
      <w:r w:rsidRPr="002A793E">
        <w:rPr>
          <w:rFonts w:ascii="Times New Roman" w:hAnsi="Times New Roman" w:cs="Times New Roman"/>
          <w:bCs/>
          <w:sz w:val="28"/>
          <w:szCs w:val="28"/>
          <w:lang w:val="es-ES"/>
        </w:rPr>
        <w:t>En segundo lugar, el interviniente</w:t>
      </w:r>
      <w:r w:rsidRPr="002A793E">
        <w:rPr>
          <w:rFonts w:ascii="Times New Roman" w:hAnsi="Times New Roman" w:cs="Times New Roman"/>
          <w:bCs/>
          <w:sz w:val="28"/>
          <w:szCs w:val="28"/>
          <w:lang w:val="es-ES"/>
        </w:rPr>
        <w:t xml:space="preserve"> argumentó que la medida analizada supera el test de no regresividad diseñado por la Corte Constitucional y aplicado en sentencias como la </w:t>
      </w:r>
      <w:r w:rsidRPr="002A793E">
        <w:rPr>
          <w:rFonts w:ascii="Times New Roman" w:hAnsi="Times New Roman" w:cs="Times New Roman"/>
          <w:bCs/>
          <w:sz w:val="28"/>
          <w:szCs w:val="28"/>
          <w:lang w:val="es-ES"/>
        </w:rPr>
        <w:t xml:space="preserve">C-271 de 2021. En particular, la intervención explicó </w:t>
      </w:r>
      <w:r w:rsidRPr="002A793E">
        <w:rPr>
          <w:rFonts w:ascii="Times New Roman" w:hAnsi="Times New Roman" w:cs="Times New Roman"/>
          <w:bCs/>
          <w:sz w:val="28"/>
          <w:szCs w:val="28"/>
          <w:lang w:val="es-ES"/>
        </w:rPr>
        <w:t xml:space="preserve">que </w:t>
      </w:r>
      <w:r w:rsidRPr="002A793E">
        <w:rPr>
          <w:rFonts w:ascii="Times New Roman" w:hAnsi="Times New Roman" w:cs="Times New Roman"/>
          <w:bCs/>
          <w:sz w:val="28"/>
          <w:szCs w:val="28"/>
          <w:lang w:val="es-ES"/>
        </w:rPr>
        <w:t>la norma acusada no afecta el contenido mínimo de</w:t>
      </w:r>
      <w:r w:rsidRPr="002A793E">
        <w:rPr>
          <w:rFonts w:ascii="Times New Roman" w:hAnsi="Times New Roman" w:cs="Times New Roman"/>
          <w:bCs/>
          <w:sz w:val="28"/>
          <w:szCs w:val="28"/>
          <w:lang w:val="es-ES"/>
        </w:rPr>
        <w:t xml:space="preserve">l debido proceso </w:t>
      </w:r>
      <w:r w:rsidRPr="002A793E">
        <w:rPr>
          <w:rFonts w:ascii="Times New Roman" w:hAnsi="Times New Roman" w:cs="Times New Roman"/>
          <w:bCs/>
          <w:sz w:val="28"/>
          <w:szCs w:val="28"/>
          <w:lang w:val="es-ES"/>
        </w:rPr>
        <w:t>en su faceta prestacional porque</w:t>
      </w:r>
      <w:r w:rsidRPr="002A793E">
        <w:rPr>
          <w:rFonts w:ascii="Times New Roman" w:hAnsi="Times New Roman" w:cs="Times New Roman"/>
          <w:bCs/>
          <w:sz w:val="28"/>
          <w:szCs w:val="28"/>
          <w:lang w:val="es-ES"/>
        </w:rPr>
        <w:t xml:space="preserve">: (i) </w:t>
      </w:r>
      <w:r w:rsidRPr="002A793E">
        <w:rPr>
          <w:rFonts w:ascii="Times New Roman" w:hAnsi="Times New Roman" w:cs="Times New Roman"/>
          <w:bCs/>
          <w:sz w:val="28"/>
          <w:szCs w:val="28"/>
          <w:lang w:val="es-ES"/>
        </w:rPr>
        <w:t>e</w:t>
      </w:r>
      <w:r w:rsidRPr="002A793E">
        <w:rPr>
          <w:rFonts w:ascii="Times New Roman" w:hAnsi="Times New Roman" w:cs="Times New Roman"/>
          <w:bCs/>
          <w:sz w:val="28"/>
          <w:szCs w:val="28"/>
          <w:lang w:val="es-ES"/>
        </w:rPr>
        <w:t xml:space="preserve">se derecho </w:t>
      </w:r>
      <w:r w:rsidRPr="002A793E">
        <w:rPr>
          <w:rFonts w:ascii="Times New Roman" w:hAnsi="Times New Roman" w:cs="Times New Roman"/>
          <w:bCs/>
          <w:sz w:val="28"/>
          <w:szCs w:val="28"/>
          <w:lang w:val="es-ES"/>
        </w:rPr>
        <w:t xml:space="preserve">puede ejercerse de forma efectiva en otras </w:t>
      </w:r>
      <w:r w:rsidRPr="002A793E">
        <w:rPr>
          <w:rFonts w:ascii="Times New Roman" w:hAnsi="Times New Roman" w:cs="Times New Roman"/>
          <w:bCs/>
          <w:sz w:val="28"/>
          <w:szCs w:val="28"/>
          <w:lang w:val="es-ES"/>
        </w:rPr>
        <w:t>“</w:t>
      </w:r>
      <w:r w:rsidRPr="002A793E">
        <w:rPr>
          <w:rFonts w:ascii="Times New Roman" w:hAnsi="Times New Roman" w:cs="Times New Roman"/>
          <w:bCs/>
          <w:sz w:val="28"/>
          <w:szCs w:val="28"/>
          <w:lang w:val="es-ES"/>
        </w:rPr>
        <w:t>estructuras jurisdiccionales</w:t>
      </w:r>
      <w:r w:rsidRPr="002A793E">
        <w:rPr>
          <w:rFonts w:ascii="Times New Roman" w:hAnsi="Times New Roman" w:cs="Times New Roman"/>
          <w:bCs/>
          <w:sz w:val="28"/>
          <w:szCs w:val="28"/>
          <w:lang w:val="es-ES"/>
        </w:rPr>
        <w:t>”</w:t>
      </w:r>
      <w:r w:rsidRPr="002A793E">
        <w:rPr>
          <w:rFonts w:ascii="Times New Roman" w:hAnsi="Times New Roman" w:cs="Times New Roman"/>
          <w:bCs/>
          <w:sz w:val="28"/>
          <w:szCs w:val="28"/>
          <w:lang w:val="es-ES"/>
        </w:rPr>
        <w:t xml:space="preserve"> y</w:t>
      </w:r>
      <w:r w:rsidRPr="002A793E">
        <w:rPr>
          <w:rFonts w:ascii="Times New Roman" w:hAnsi="Times New Roman" w:cs="Times New Roman"/>
          <w:bCs/>
          <w:sz w:val="28"/>
          <w:szCs w:val="28"/>
          <w:lang w:val="es-ES"/>
        </w:rPr>
        <w:t xml:space="preserve"> (ii) como en cualquier otra</w:t>
      </w:r>
      <w:r w:rsidRPr="002A793E">
        <w:rPr>
          <w:rFonts w:ascii="Times New Roman" w:hAnsi="Times New Roman" w:cs="Times New Roman"/>
          <w:bCs/>
          <w:sz w:val="28"/>
          <w:szCs w:val="28"/>
          <w:lang w:val="es-ES"/>
        </w:rPr>
        <w:t xml:space="preserve"> actuación administrativa, en el PUO también se aplica el debido proceso</w:t>
      </w:r>
      <w:r w:rsidRPr="002A793E">
        <w:rPr>
          <w:rFonts w:ascii="Times New Roman" w:hAnsi="Times New Roman" w:cs="Times New Roman"/>
          <w:bCs/>
          <w:sz w:val="28"/>
          <w:szCs w:val="28"/>
          <w:lang w:val="es-ES"/>
        </w:rPr>
        <w:t xml:space="preserve">. </w:t>
      </w:r>
    </w:p>
    <w:p w:rsidR="00557305" w:rsidRPr="002A793E" w:rsidRDefault="002A793E" w:rsidP="00557305">
      <w:pPr>
        <w:pStyle w:val="Prrafodelista"/>
        <w:rPr>
          <w:rFonts w:ascii="Times New Roman" w:hAnsi="Times New Roman" w:cs="Times New Roman"/>
          <w:bCs/>
          <w:sz w:val="28"/>
          <w:szCs w:val="28"/>
          <w:lang w:val="es-ES"/>
        </w:rPr>
      </w:pPr>
    </w:p>
    <w:p w:rsidR="00557305" w:rsidRPr="002A793E" w:rsidRDefault="002A793E" w:rsidP="00EE7A55">
      <w:pPr>
        <w:pStyle w:val="Prrafodelista"/>
        <w:numPr>
          <w:ilvl w:val="1"/>
          <w:numId w:val="4"/>
        </w:numPr>
        <w:spacing w:line="360" w:lineRule="atLeast"/>
        <w:rPr>
          <w:rFonts w:ascii="Times New Roman" w:hAnsi="Times New Roman" w:cs="Times New Roman"/>
          <w:b/>
          <w:sz w:val="28"/>
          <w:szCs w:val="28"/>
          <w:lang w:val="es-ES"/>
        </w:rPr>
      </w:pPr>
      <w:r w:rsidRPr="002A793E">
        <w:rPr>
          <w:rFonts w:ascii="Times New Roman" w:hAnsi="Times New Roman" w:cs="Times New Roman"/>
          <w:b/>
          <w:sz w:val="28"/>
          <w:szCs w:val="28"/>
          <w:lang w:val="es-ES"/>
        </w:rPr>
        <w:t>Presidenci</w:t>
      </w:r>
      <w:r w:rsidRPr="002A793E">
        <w:rPr>
          <w:rFonts w:ascii="Times New Roman" w:hAnsi="Times New Roman" w:cs="Times New Roman"/>
          <w:b/>
          <w:sz w:val="28"/>
          <w:szCs w:val="28"/>
          <w:lang w:val="es-ES"/>
        </w:rPr>
        <w:t>a de la República</w:t>
      </w:r>
    </w:p>
    <w:p w:rsidR="001E552A" w:rsidRPr="002A793E" w:rsidRDefault="002A793E" w:rsidP="00557305">
      <w:pPr>
        <w:pStyle w:val="Prrafodelista"/>
        <w:ind w:left="0"/>
        <w:rPr>
          <w:rFonts w:ascii="Times New Roman" w:hAnsi="Times New Roman" w:cs="Times New Roman"/>
          <w:bCs/>
          <w:sz w:val="28"/>
          <w:szCs w:val="28"/>
          <w:lang w:val="es-ES"/>
        </w:rPr>
      </w:pPr>
    </w:p>
    <w:p w:rsidR="009A471C" w:rsidRPr="002A793E" w:rsidRDefault="002A793E" w:rsidP="009E2FA9">
      <w:pPr>
        <w:pStyle w:val="Prrafodelista"/>
        <w:numPr>
          <w:ilvl w:val="0"/>
          <w:numId w:val="2"/>
        </w:numPr>
        <w:ind w:left="0" w:firstLine="0"/>
        <w:rPr>
          <w:rFonts w:ascii="Times New Roman" w:hAnsi="Times New Roman" w:cs="Times New Roman"/>
          <w:bCs/>
          <w:sz w:val="28"/>
          <w:szCs w:val="28"/>
          <w:lang w:val="es-ES"/>
        </w:rPr>
      </w:pPr>
      <w:r w:rsidRPr="002A793E">
        <w:rPr>
          <w:rFonts w:ascii="Times New Roman" w:hAnsi="Times New Roman" w:cs="Times New Roman"/>
          <w:bCs/>
          <w:sz w:val="28"/>
          <w:szCs w:val="28"/>
          <w:lang w:val="es-ES"/>
        </w:rPr>
        <w:t xml:space="preserve">La Presidencia de la República </w:t>
      </w:r>
      <w:r w:rsidRPr="002A793E">
        <w:rPr>
          <w:rFonts w:ascii="Times New Roman" w:hAnsi="Times New Roman" w:cs="Times New Roman"/>
          <w:bCs/>
          <w:sz w:val="28"/>
          <w:szCs w:val="28"/>
          <w:lang w:val="es-ES"/>
        </w:rPr>
        <w:t>solicitó a la Corte Constitucional declarar</w:t>
      </w:r>
      <w:r w:rsidRPr="002A793E">
        <w:rPr>
          <w:rFonts w:ascii="Times New Roman" w:hAnsi="Times New Roman" w:cs="Times New Roman"/>
          <w:bCs/>
          <w:sz w:val="28"/>
          <w:szCs w:val="28"/>
          <w:lang w:val="es-ES"/>
        </w:rPr>
        <w:t xml:space="preserve">se inhibida </w:t>
      </w:r>
      <w:r w:rsidRPr="002A793E">
        <w:rPr>
          <w:rFonts w:ascii="Times New Roman" w:hAnsi="Times New Roman" w:cs="Times New Roman"/>
          <w:bCs/>
          <w:sz w:val="28"/>
          <w:szCs w:val="28"/>
          <w:lang w:val="es-ES"/>
        </w:rPr>
        <w:t>para emitir un pronunciamiento de fondo o,</w:t>
      </w:r>
      <w:r w:rsidRPr="002A793E">
        <w:rPr>
          <w:rFonts w:ascii="Times New Roman" w:hAnsi="Times New Roman" w:cs="Times New Roman"/>
          <w:bCs/>
          <w:sz w:val="28"/>
          <w:szCs w:val="28"/>
          <w:lang w:val="es-ES"/>
        </w:rPr>
        <w:t xml:space="preserve"> en su </w:t>
      </w:r>
      <w:r w:rsidRPr="002A793E">
        <w:rPr>
          <w:rFonts w:ascii="Times New Roman" w:hAnsi="Times New Roman" w:cs="Times New Roman"/>
          <w:bCs/>
          <w:sz w:val="28"/>
          <w:szCs w:val="28"/>
          <w:lang w:val="es-ES"/>
        </w:rPr>
        <w:t>defecto,</w:t>
      </w:r>
      <w:r w:rsidRPr="002A793E">
        <w:rPr>
          <w:rFonts w:ascii="Times New Roman" w:hAnsi="Times New Roman" w:cs="Times New Roman"/>
          <w:bCs/>
          <w:sz w:val="28"/>
          <w:szCs w:val="28"/>
          <w:lang w:val="es-ES"/>
        </w:rPr>
        <w:t xml:space="preserve"> declarar</w:t>
      </w:r>
      <w:r w:rsidRPr="002A793E">
        <w:rPr>
          <w:rFonts w:ascii="Times New Roman" w:hAnsi="Times New Roman" w:cs="Times New Roman"/>
          <w:bCs/>
          <w:sz w:val="28"/>
          <w:szCs w:val="28"/>
          <w:lang w:val="es-ES"/>
        </w:rPr>
        <w:t xml:space="preserve"> la exequibilidad de las disposiciones acusadas</w:t>
      </w:r>
      <w:r w:rsidRPr="002A793E">
        <w:rPr>
          <w:rFonts w:ascii="Times New Roman" w:hAnsi="Times New Roman" w:cs="Times New Roman"/>
          <w:bCs/>
          <w:sz w:val="28"/>
          <w:szCs w:val="28"/>
          <w:lang w:val="es-ES"/>
        </w:rPr>
        <w:t xml:space="preserve">, contenidas en el artículo 61 de la </w:t>
      </w:r>
      <w:r w:rsidRPr="002A793E">
        <w:rPr>
          <w:rFonts w:ascii="Times New Roman" w:hAnsi="Times New Roman" w:cs="Times New Roman"/>
          <w:bCs/>
          <w:sz w:val="28"/>
          <w:szCs w:val="28"/>
          <w:lang w:val="es-ES"/>
        </w:rPr>
        <w:t>Ley 2294 de 2023</w:t>
      </w:r>
      <w:r w:rsidRPr="002A793E">
        <w:rPr>
          <w:rFonts w:ascii="Times New Roman" w:hAnsi="Times New Roman" w:cs="Times New Roman"/>
          <w:bCs/>
          <w:sz w:val="28"/>
          <w:szCs w:val="28"/>
          <w:lang w:val="es-ES"/>
        </w:rPr>
        <w:t xml:space="preserve">. </w:t>
      </w:r>
    </w:p>
    <w:p w:rsidR="009A471C" w:rsidRPr="002A793E" w:rsidRDefault="002A793E" w:rsidP="009A471C">
      <w:pPr>
        <w:pStyle w:val="Prrafodelista"/>
        <w:ind w:left="0"/>
        <w:rPr>
          <w:rFonts w:ascii="Times New Roman" w:hAnsi="Times New Roman" w:cs="Times New Roman"/>
          <w:bCs/>
          <w:sz w:val="28"/>
          <w:szCs w:val="28"/>
          <w:lang w:val="es-ES"/>
        </w:rPr>
      </w:pPr>
    </w:p>
    <w:p w:rsidR="00C60439" w:rsidRPr="002A793E" w:rsidRDefault="002A793E" w:rsidP="007632E8">
      <w:pPr>
        <w:pStyle w:val="Prrafodelista"/>
        <w:numPr>
          <w:ilvl w:val="0"/>
          <w:numId w:val="2"/>
        </w:numPr>
        <w:ind w:left="0" w:firstLine="0"/>
        <w:rPr>
          <w:rFonts w:ascii="Times New Roman" w:hAnsi="Times New Roman" w:cs="Times New Roman"/>
          <w:bCs/>
          <w:sz w:val="28"/>
          <w:szCs w:val="28"/>
          <w:lang w:val="es-ES"/>
        </w:rPr>
      </w:pPr>
      <w:r w:rsidRPr="002A793E">
        <w:rPr>
          <w:rFonts w:ascii="Times New Roman" w:hAnsi="Times New Roman" w:cs="Times New Roman"/>
          <w:bCs/>
          <w:sz w:val="28"/>
          <w:szCs w:val="28"/>
          <w:lang w:val="es-ES"/>
        </w:rPr>
        <w:t xml:space="preserve">En relación con la primera pretensión, la intervención adujo </w:t>
      </w:r>
      <w:r w:rsidRPr="002A793E">
        <w:rPr>
          <w:rFonts w:ascii="Times New Roman" w:hAnsi="Times New Roman" w:cs="Times New Roman"/>
          <w:bCs/>
          <w:sz w:val="28"/>
          <w:szCs w:val="28"/>
          <w:lang w:val="es-ES"/>
        </w:rPr>
        <w:t>que</w:t>
      </w:r>
      <w:r w:rsidRPr="002A793E">
        <w:rPr>
          <w:rFonts w:ascii="Times New Roman" w:hAnsi="Times New Roman" w:cs="Times New Roman"/>
          <w:bCs/>
          <w:sz w:val="28"/>
          <w:szCs w:val="28"/>
          <w:lang w:val="es-ES"/>
        </w:rPr>
        <w:t xml:space="preserve"> el </w:t>
      </w:r>
      <w:r w:rsidRPr="002A793E">
        <w:rPr>
          <w:rFonts w:ascii="Times New Roman" w:hAnsi="Times New Roman" w:cs="Times New Roman"/>
          <w:b/>
          <w:sz w:val="28"/>
          <w:szCs w:val="28"/>
          <w:lang w:val="es-ES"/>
        </w:rPr>
        <w:t>cargo</w:t>
      </w:r>
      <w:r w:rsidRPr="002A793E">
        <w:rPr>
          <w:rFonts w:ascii="Times New Roman" w:hAnsi="Times New Roman" w:cs="Times New Roman"/>
          <w:b/>
          <w:sz w:val="28"/>
          <w:szCs w:val="28"/>
          <w:lang w:val="es-ES"/>
        </w:rPr>
        <w:t xml:space="preserve"> segundo</w:t>
      </w:r>
      <w:r w:rsidRPr="002A793E">
        <w:rPr>
          <w:rFonts w:ascii="Times New Roman" w:hAnsi="Times New Roman" w:cs="Times New Roman"/>
          <w:bCs/>
          <w:sz w:val="28"/>
          <w:szCs w:val="28"/>
          <w:lang w:val="es-ES"/>
        </w:rPr>
        <w:t xml:space="preserve"> incumplió el requisito de especificidad</w:t>
      </w:r>
      <w:r w:rsidRPr="002A793E">
        <w:rPr>
          <w:rFonts w:ascii="Times New Roman" w:hAnsi="Times New Roman" w:cs="Times New Roman"/>
          <w:bCs/>
          <w:sz w:val="28"/>
          <w:szCs w:val="28"/>
          <w:lang w:val="es-ES"/>
        </w:rPr>
        <w:t xml:space="preserve"> porque</w:t>
      </w:r>
      <w:r w:rsidRPr="002A793E">
        <w:rPr>
          <w:rFonts w:ascii="Times New Roman" w:hAnsi="Times New Roman" w:cs="Times New Roman"/>
          <w:bCs/>
          <w:sz w:val="28"/>
          <w:szCs w:val="28"/>
          <w:lang w:val="es-ES"/>
        </w:rPr>
        <w:t xml:space="preserve"> el accionante no corrigió la demanda</w:t>
      </w:r>
      <w:r w:rsidRPr="002A793E">
        <w:rPr>
          <w:rFonts w:ascii="Times New Roman" w:hAnsi="Times New Roman" w:cs="Times New Roman"/>
          <w:bCs/>
          <w:sz w:val="28"/>
          <w:szCs w:val="28"/>
          <w:lang w:val="es-ES"/>
        </w:rPr>
        <w:t xml:space="preserve"> de conformidad con l</w:t>
      </w:r>
      <w:r w:rsidRPr="002A793E">
        <w:rPr>
          <w:rFonts w:ascii="Times New Roman" w:hAnsi="Times New Roman" w:cs="Times New Roman"/>
          <w:bCs/>
          <w:sz w:val="28"/>
          <w:szCs w:val="28"/>
          <w:lang w:val="es-ES"/>
        </w:rPr>
        <w:t xml:space="preserve">o </w:t>
      </w:r>
      <w:r w:rsidRPr="002A793E">
        <w:rPr>
          <w:rFonts w:ascii="Times New Roman" w:hAnsi="Times New Roman" w:cs="Times New Roman"/>
          <w:bCs/>
          <w:sz w:val="28"/>
          <w:szCs w:val="28"/>
          <w:lang w:val="es-ES"/>
        </w:rPr>
        <w:t>dispuesto</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en el auto </w:t>
      </w:r>
      <w:r w:rsidRPr="002A793E">
        <w:rPr>
          <w:rFonts w:ascii="Times New Roman" w:hAnsi="Times New Roman" w:cs="Times New Roman"/>
          <w:bCs/>
          <w:sz w:val="28"/>
          <w:szCs w:val="28"/>
          <w:lang w:val="es-ES"/>
        </w:rPr>
        <w:t>de inadmisión proferido por</w:t>
      </w:r>
      <w:r w:rsidRPr="002A793E">
        <w:rPr>
          <w:rFonts w:ascii="Times New Roman" w:hAnsi="Times New Roman" w:cs="Times New Roman"/>
          <w:bCs/>
          <w:sz w:val="28"/>
          <w:szCs w:val="28"/>
          <w:lang w:val="es-ES"/>
        </w:rPr>
        <w:t xml:space="preserve"> la magistrada sustanciadora</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y, además, incluyó un nuevo argumento</w:t>
      </w:r>
      <w:r w:rsidRPr="002A793E">
        <w:rPr>
          <w:rStyle w:val="Refdenotaalpie"/>
          <w:rFonts w:ascii="Times New Roman" w:hAnsi="Times New Roman" w:cs="Times New Roman"/>
          <w:bCs/>
          <w:sz w:val="28"/>
          <w:szCs w:val="28"/>
          <w:lang w:val="es-ES"/>
        </w:rPr>
        <w:footnoteReference w:id="28"/>
      </w:r>
      <w:r w:rsidRPr="002A793E">
        <w:rPr>
          <w:rFonts w:ascii="Times New Roman" w:hAnsi="Times New Roman" w:cs="Times New Roman"/>
          <w:bCs/>
          <w:sz w:val="28"/>
          <w:szCs w:val="28"/>
          <w:lang w:val="es-ES"/>
        </w:rPr>
        <w:t>.</w:t>
      </w:r>
      <w:r w:rsidRPr="002A793E">
        <w:rPr>
          <w:rFonts w:ascii="Times New Roman" w:hAnsi="Times New Roman" w:cs="Times New Roman"/>
          <w:bCs/>
          <w:sz w:val="28"/>
          <w:szCs w:val="28"/>
          <w:lang w:val="es-ES"/>
        </w:rPr>
        <w:t xml:space="preserve"> </w:t>
      </w:r>
    </w:p>
    <w:p w:rsidR="00C413DE" w:rsidRPr="002A793E" w:rsidRDefault="002A793E" w:rsidP="00C413DE">
      <w:pPr>
        <w:pStyle w:val="Prrafodelista"/>
        <w:ind w:left="0"/>
        <w:rPr>
          <w:rFonts w:ascii="Times New Roman" w:hAnsi="Times New Roman" w:cs="Times New Roman"/>
          <w:bCs/>
          <w:sz w:val="28"/>
          <w:szCs w:val="28"/>
          <w:lang w:val="es-ES"/>
        </w:rPr>
      </w:pPr>
    </w:p>
    <w:p w:rsidR="0026159C" w:rsidRPr="002A793E" w:rsidRDefault="002A793E" w:rsidP="007632E8">
      <w:pPr>
        <w:pStyle w:val="Prrafodelista"/>
        <w:numPr>
          <w:ilvl w:val="0"/>
          <w:numId w:val="2"/>
        </w:numPr>
        <w:ind w:left="0" w:firstLine="0"/>
        <w:rPr>
          <w:rFonts w:ascii="Times New Roman" w:hAnsi="Times New Roman" w:cs="Times New Roman"/>
          <w:bCs/>
          <w:sz w:val="28"/>
          <w:szCs w:val="28"/>
          <w:lang w:val="es-ES"/>
        </w:rPr>
      </w:pPr>
      <w:r w:rsidRPr="002A793E">
        <w:rPr>
          <w:rFonts w:ascii="Times New Roman" w:hAnsi="Times New Roman" w:cs="Times New Roman"/>
          <w:bCs/>
          <w:sz w:val="28"/>
          <w:szCs w:val="28"/>
          <w:lang w:val="es-ES"/>
        </w:rPr>
        <w:t>En relación</w:t>
      </w:r>
      <w:r w:rsidRPr="002A793E">
        <w:rPr>
          <w:rFonts w:ascii="Times New Roman" w:hAnsi="Times New Roman" w:cs="Times New Roman"/>
          <w:bCs/>
          <w:sz w:val="28"/>
          <w:szCs w:val="28"/>
          <w:lang w:val="es-ES"/>
        </w:rPr>
        <w:t xml:space="preserve"> con</w:t>
      </w:r>
      <w:r w:rsidRPr="002A793E">
        <w:rPr>
          <w:rFonts w:ascii="Times New Roman" w:hAnsi="Times New Roman" w:cs="Times New Roman"/>
          <w:bCs/>
          <w:sz w:val="28"/>
          <w:szCs w:val="28"/>
          <w:lang w:val="es-ES"/>
        </w:rPr>
        <w:t xml:space="preserve"> la segunda pretensión, la intervención dividió el análisis en función de cada uno de los c</w:t>
      </w:r>
      <w:r w:rsidRPr="002A793E">
        <w:rPr>
          <w:rFonts w:ascii="Times New Roman" w:hAnsi="Times New Roman" w:cs="Times New Roman"/>
          <w:bCs/>
          <w:sz w:val="28"/>
          <w:szCs w:val="28"/>
          <w:lang w:val="es-ES"/>
        </w:rPr>
        <w:t>uestionamientos</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admitidos de la demanda. Frente al </w:t>
      </w:r>
      <w:r w:rsidRPr="002A793E">
        <w:rPr>
          <w:rFonts w:ascii="Times New Roman" w:hAnsi="Times New Roman" w:cs="Times New Roman"/>
          <w:b/>
          <w:sz w:val="28"/>
          <w:szCs w:val="28"/>
          <w:lang w:val="es-ES"/>
        </w:rPr>
        <w:t>primer cargo</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luego de </w:t>
      </w:r>
      <w:r w:rsidRPr="002A793E">
        <w:rPr>
          <w:rFonts w:ascii="Times New Roman" w:hAnsi="Times New Roman" w:cs="Times New Roman"/>
          <w:bCs/>
          <w:sz w:val="28"/>
          <w:szCs w:val="28"/>
          <w:lang w:val="es-ES"/>
        </w:rPr>
        <w:t>referirse a la jurisprudencia constitucional sobre la materia</w:t>
      </w:r>
      <w:r w:rsidRPr="002A793E">
        <w:rPr>
          <w:rStyle w:val="Refdenotaalpie"/>
          <w:rFonts w:ascii="Times New Roman" w:hAnsi="Times New Roman" w:cs="Times New Roman"/>
          <w:bCs/>
          <w:sz w:val="28"/>
          <w:szCs w:val="28"/>
          <w:lang w:val="es-ES"/>
        </w:rPr>
        <w:footnoteReference w:id="29"/>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la Presidencia </w:t>
      </w:r>
      <w:r w:rsidRPr="002A793E">
        <w:rPr>
          <w:rFonts w:ascii="Times New Roman" w:hAnsi="Times New Roman" w:cs="Times New Roman"/>
          <w:bCs/>
          <w:sz w:val="28"/>
          <w:szCs w:val="28"/>
          <w:lang w:val="es-ES"/>
        </w:rPr>
        <w:t>manifestó</w:t>
      </w:r>
      <w:r w:rsidRPr="002A793E">
        <w:rPr>
          <w:rFonts w:ascii="Times New Roman" w:hAnsi="Times New Roman" w:cs="Times New Roman"/>
          <w:bCs/>
          <w:sz w:val="28"/>
          <w:szCs w:val="28"/>
          <w:lang w:val="es-ES"/>
        </w:rPr>
        <w:t xml:space="preserve"> que no hubo una vulneración del principio de publicidad</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porque: </w:t>
      </w:r>
      <w:r w:rsidRPr="002A793E">
        <w:rPr>
          <w:rFonts w:ascii="Times New Roman" w:hAnsi="Times New Roman" w:cs="Times New Roman"/>
          <w:bCs/>
          <w:sz w:val="28"/>
          <w:szCs w:val="28"/>
          <w:lang w:val="es-ES"/>
        </w:rPr>
        <w:t xml:space="preserve">(ii) </w:t>
      </w:r>
      <w:r w:rsidRPr="002A793E">
        <w:rPr>
          <w:rFonts w:ascii="Times New Roman" w:hAnsi="Times New Roman" w:cs="Times New Roman"/>
          <w:bCs/>
          <w:sz w:val="28"/>
          <w:szCs w:val="28"/>
          <w:lang w:val="es-ES"/>
        </w:rPr>
        <w:t>en este caso</w:t>
      </w:r>
      <w:r w:rsidRPr="002A793E">
        <w:rPr>
          <w:rFonts w:ascii="Times New Roman" w:hAnsi="Times New Roman" w:cs="Times New Roman"/>
          <w:bCs/>
          <w:sz w:val="28"/>
          <w:szCs w:val="28"/>
          <w:lang w:val="es-ES"/>
        </w:rPr>
        <w:t>,</w:t>
      </w:r>
      <w:r w:rsidRPr="002A793E">
        <w:rPr>
          <w:rFonts w:ascii="Times New Roman" w:hAnsi="Times New Roman" w:cs="Times New Roman"/>
          <w:bCs/>
          <w:sz w:val="28"/>
          <w:szCs w:val="28"/>
          <w:lang w:val="es-ES"/>
        </w:rPr>
        <w:t xml:space="preserve"> las proposiciones que dieron origen a las normas acusadas</w:t>
      </w:r>
      <w:r w:rsidRPr="002A793E">
        <w:rPr>
          <w:rFonts w:ascii="Times New Roman" w:hAnsi="Times New Roman" w:cs="Times New Roman"/>
          <w:bCs/>
          <w:sz w:val="28"/>
          <w:szCs w:val="28"/>
          <w:lang w:val="es-ES"/>
        </w:rPr>
        <w:t>, contenidas en el artículo</w:t>
      </w:r>
      <w:r w:rsidRPr="002A793E">
        <w:rPr>
          <w:rFonts w:ascii="Times New Roman" w:hAnsi="Times New Roman" w:cs="Times New Roman"/>
          <w:bCs/>
          <w:sz w:val="28"/>
          <w:szCs w:val="28"/>
          <w:lang w:val="es-ES"/>
        </w:rPr>
        <w:t xml:space="preserve"> 61 de la Ley 2294 de 2023,</w:t>
      </w:r>
      <w:r w:rsidRPr="002A793E">
        <w:rPr>
          <w:rFonts w:ascii="Times New Roman" w:hAnsi="Times New Roman" w:cs="Times New Roman"/>
          <w:bCs/>
          <w:sz w:val="28"/>
          <w:szCs w:val="28"/>
          <w:lang w:val="es-ES"/>
        </w:rPr>
        <w:t xml:space="preserve"> fueron publicadas en la página del Congreso de la República;</w:t>
      </w:r>
      <w:r w:rsidRPr="002A793E">
        <w:rPr>
          <w:rFonts w:ascii="Times New Roman" w:hAnsi="Times New Roman" w:cs="Times New Roman"/>
          <w:bCs/>
          <w:sz w:val="28"/>
          <w:szCs w:val="28"/>
          <w:lang w:val="es-ES"/>
        </w:rPr>
        <w:t xml:space="preserve"> (i</w:t>
      </w:r>
      <w:r w:rsidRPr="002A793E">
        <w:rPr>
          <w:rFonts w:ascii="Times New Roman" w:hAnsi="Times New Roman" w:cs="Times New Roman"/>
          <w:bCs/>
          <w:sz w:val="28"/>
          <w:szCs w:val="28"/>
          <w:lang w:val="es-ES"/>
        </w:rPr>
        <w:t>i</w:t>
      </w:r>
      <w:r w:rsidRPr="002A793E">
        <w:rPr>
          <w:rFonts w:ascii="Times New Roman" w:hAnsi="Times New Roman" w:cs="Times New Roman"/>
          <w:bCs/>
          <w:sz w:val="28"/>
          <w:szCs w:val="28"/>
          <w:lang w:val="es-ES"/>
        </w:rPr>
        <w:t>i</w:t>
      </w:r>
      <w:r w:rsidRPr="002A793E">
        <w:rPr>
          <w:rFonts w:ascii="Times New Roman" w:hAnsi="Times New Roman" w:cs="Times New Roman"/>
          <w:bCs/>
          <w:sz w:val="28"/>
          <w:szCs w:val="28"/>
          <w:lang w:val="es-ES"/>
        </w:rPr>
        <w:t>) en la sesión plenaria del 3 de mayo de 2023, la ministra de Agricultura y Desarrollo Rural hizo una exposición sobre la etapa judicial de los procedimientos admi</w:t>
      </w:r>
      <w:r w:rsidRPr="002A793E">
        <w:rPr>
          <w:rFonts w:ascii="Times New Roman" w:hAnsi="Times New Roman" w:cs="Times New Roman"/>
          <w:bCs/>
          <w:sz w:val="28"/>
          <w:szCs w:val="28"/>
          <w:lang w:val="es-ES"/>
        </w:rPr>
        <w:t>nistrativos agra</w:t>
      </w:r>
      <w:r w:rsidRPr="002A793E">
        <w:rPr>
          <w:rFonts w:ascii="Times New Roman" w:hAnsi="Times New Roman" w:cs="Times New Roman"/>
          <w:bCs/>
          <w:sz w:val="28"/>
          <w:szCs w:val="28"/>
          <w:lang w:val="es-ES"/>
        </w:rPr>
        <w:t>rios</w:t>
      </w:r>
      <w:r w:rsidRPr="002A793E">
        <w:rPr>
          <w:rFonts w:ascii="Times New Roman" w:hAnsi="Times New Roman" w:cs="Times New Roman"/>
          <w:bCs/>
          <w:sz w:val="28"/>
          <w:szCs w:val="28"/>
          <w:lang w:val="es-ES"/>
        </w:rPr>
        <w:t xml:space="preserve"> y</w:t>
      </w:r>
      <w:r w:rsidRPr="002A793E">
        <w:rPr>
          <w:rFonts w:ascii="Times New Roman" w:hAnsi="Times New Roman" w:cs="Times New Roman"/>
          <w:bCs/>
          <w:sz w:val="28"/>
          <w:szCs w:val="28"/>
          <w:lang w:val="es-ES"/>
        </w:rPr>
        <w:t xml:space="preserve"> (i</w:t>
      </w:r>
      <w:r w:rsidRPr="002A793E">
        <w:rPr>
          <w:rFonts w:ascii="Times New Roman" w:hAnsi="Times New Roman" w:cs="Times New Roman"/>
          <w:bCs/>
          <w:sz w:val="28"/>
          <w:szCs w:val="28"/>
          <w:lang w:val="es-ES"/>
        </w:rPr>
        <w:t>v</w:t>
      </w:r>
      <w:r w:rsidRPr="002A793E">
        <w:rPr>
          <w:rFonts w:ascii="Times New Roman" w:hAnsi="Times New Roman" w:cs="Times New Roman"/>
          <w:bCs/>
          <w:sz w:val="28"/>
          <w:szCs w:val="28"/>
          <w:lang w:val="es-ES"/>
        </w:rPr>
        <w:t>) luego de esa intervención</w:t>
      </w:r>
      <w:r w:rsidRPr="002A793E">
        <w:rPr>
          <w:rFonts w:ascii="Times New Roman" w:hAnsi="Times New Roman" w:cs="Times New Roman"/>
          <w:bCs/>
          <w:sz w:val="28"/>
          <w:szCs w:val="28"/>
          <w:lang w:val="es-ES"/>
        </w:rPr>
        <w:t xml:space="preserve">, los congresistas </w:t>
      </w:r>
      <w:r w:rsidRPr="002A793E">
        <w:rPr>
          <w:rFonts w:ascii="Times New Roman" w:hAnsi="Times New Roman" w:cs="Times New Roman"/>
          <w:bCs/>
          <w:sz w:val="28"/>
          <w:szCs w:val="28"/>
          <w:lang w:val="es-ES"/>
        </w:rPr>
        <w:t>de los distintos partidos</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expusieron </w:t>
      </w:r>
      <w:r w:rsidRPr="002A793E">
        <w:rPr>
          <w:rFonts w:ascii="Times New Roman" w:hAnsi="Times New Roman" w:cs="Times New Roman"/>
          <w:bCs/>
          <w:sz w:val="28"/>
          <w:szCs w:val="28"/>
          <w:lang w:val="es-ES"/>
        </w:rPr>
        <w:t>sus puntos de vi</w:t>
      </w:r>
      <w:r w:rsidRPr="002A793E">
        <w:rPr>
          <w:rFonts w:ascii="Times New Roman" w:hAnsi="Times New Roman" w:cs="Times New Roman"/>
          <w:bCs/>
          <w:sz w:val="28"/>
          <w:szCs w:val="28"/>
          <w:lang w:val="es-ES"/>
        </w:rPr>
        <w:t>st</w:t>
      </w:r>
      <w:r w:rsidRPr="002A793E">
        <w:rPr>
          <w:rFonts w:ascii="Times New Roman" w:hAnsi="Times New Roman" w:cs="Times New Roman"/>
          <w:bCs/>
          <w:sz w:val="28"/>
          <w:szCs w:val="28"/>
          <w:lang w:val="es-ES"/>
        </w:rPr>
        <w:t xml:space="preserve">a </w:t>
      </w:r>
      <w:r w:rsidRPr="002A793E">
        <w:rPr>
          <w:rFonts w:ascii="Times New Roman" w:hAnsi="Times New Roman" w:cs="Times New Roman"/>
          <w:bCs/>
          <w:sz w:val="28"/>
          <w:szCs w:val="28"/>
          <w:lang w:val="es-ES"/>
        </w:rPr>
        <w:t>y discuti</w:t>
      </w:r>
      <w:r w:rsidRPr="002A793E">
        <w:rPr>
          <w:rFonts w:ascii="Times New Roman" w:hAnsi="Times New Roman" w:cs="Times New Roman"/>
          <w:bCs/>
          <w:sz w:val="28"/>
          <w:szCs w:val="28"/>
          <w:lang w:val="es-ES"/>
        </w:rPr>
        <w:t>eron</w:t>
      </w:r>
      <w:r w:rsidRPr="002A793E">
        <w:rPr>
          <w:rFonts w:ascii="Times New Roman" w:hAnsi="Times New Roman" w:cs="Times New Roman"/>
          <w:bCs/>
          <w:sz w:val="28"/>
          <w:szCs w:val="28"/>
          <w:lang w:val="es-ES"/>
        </w:rPr>
        <w:t xml:space="preserve"> ampliamente </w:t>
      </w:r>
      <w:r w:rsidRPr="002A793E">
        <w:rPr>
          <w:rFonts w:ascii="Times New Roman" w:hAnsi="Times New Roman" w:cs="Times New Roman"/>
          <w:bCs/>
          <w:sz w:val="28"/>
          <w:szCs w:val="28"/>
          <w:lang w:val="es-ES"/>
        </w:rPr>
        <w:t>sobre ese tema</w:t>
      </w:r>
      <w:r w:rsidRPr="002A793E">
        <w:rPr>
          <w:rFonts w:ascii="Times New Roman" w:hAnsi="Times New Roman" w:cs="Times New Roman"/>
          <w:bCs/>
          <w:sz w:val="28"/>
          <w:szCs w:val="28"/>
          <w:lang w:val="es-ES"/>
        </w:rPr>
        <w:t>, situación que prueba que tenían conocimiento previo del contenido de las proposicione</w:t>
      </w:r>
      <w:r w:rsidRPr="002A793E">
        <w:rPr>
          <w:rFonts w:ascii="Times New Roman" w:hAnsi="Times New Roman" w:cs="Times New Roman"/>
          <w:bCs/>
          <w:sz w:val="28"/>
          <w:szCs w:val="28"/>
          <w:lang w:val="es-ES"/>
        </w:rPr>
        <w:t>s</w:t>
      </w:r>
      <w:r w:rsidRPr="002A793E">
        <w:rPr>
          <w:rFonts w:ascii="Times New Roman" w:hAnsi="Times New Roman" w:cs="Times New Roman"/>
          <w:bCs/>
          <w:sz w:val="28"/>
          <w:szCs w:val="28"/>
          <w:lang w:val="es-ES"/>
        </w:rPr>
        <w:t xml:space="preserve"> que dieron origen al artículo 61 parcialmente acusado</w:t>
      </w:r>
      <w:r w:rsidRPr="002A793E">
        <w:rPr>
          <w:rFonts w:ascii="Times New Roman" w:hAnsi="Times New Roman" w:cs="Times New Roman"/>
          <w:bCs/>
          <w:sz w:val="28"/>
          <w:szCs w:val="28"/>
          <w:lang w:val="es-ES"/>
        </w:rPr>
        <w:t xml:space="preserve">. </w:t>
      </w:r>
    </w:p>
    <w:p w:rsidR="00C413DE" w:rsidRPr="002A793E" w:rsidRDefault="002A793E" w:rsidP="00C413DE">
      <w:pPr>
        <w:pStyle w:val="Prrafodelista"/>
        <w:ind w:left="0"/>
        <w:rPr>
          <w:rFonts w:ascii="Times New Roman" w:hAnsi="Times New Roman" w:cs="Times New Roman"/>
          <w:bCs/>
          <w:sz w:val="28"/>
          <w:szCs w:val="28"/>
          <w:lang w:val="es-ES"/>
        </w:rPr>
      </w:pPr>
    </w:p>
    <w:p w:rsidR="00015487" w:rsidRPr="002A793E" w:rsidRDefault="002A793E" w:rsidP="00015487">
      <w:pPr>
        <w:pStyle w:val="Prrafodelista"/>
        <w:numPr>
          <w:ilvl w:val="0"/>
          <w:numId w:val="2"/>
        </w:numPr>
        <w:ind w:left="0" w:firstLine="0"/>
        <w:rPr>
          <w:rFonts w:ascii="Times New Roman" w:hAnsi="Times New Roman" w:cs="Times New Roman"/>
          <w:bCs/>
          <w:sz w:val="28"/>
          <w:szCs w:val="28"/>
          <w:lang w:val="es-ES"/>
        </w:rPr>
      </w:pPr>
      <w:r w:rsidRPr="002A793E">
        <w:rPr>
          <w:rFonts w:ascii="Times New Roman" w:hAnsi="Times New Roman" w:cs="Times New Roman"/>
          <w:bCs/>
          <w:sz w:val="28"/>
          <w:szCs w:val="28"/>
          <w:lang w:val="es-ES"/>
        </w:rPr>
        <w:t xml:space="preserve">Frente al </w:t>
      </w:r>
      <w:r w:rsidRPr="002A793E">
        <w:rPr>
          <w:rFonts w:ascii="Times New Roman" w:hAnsi="Times New Roman" w:cs="Times New Roman"/>
          <w:b/>
          <w:sz w:val="28"/>
          <w:szCs w:val="28"/>
          <w:lang w:val="es-ES"/>
        </w:rPr>
        <w:t>segundo cargo</w:t>
      </w:r>
      <w:r w:rsidRPr="002A793E">
        <w:rPr>
          <w:rFonts w:ascii="Times New Roman" w:hAnsi="Times New Roman" w:cs="Times New Roman"/>
          <w:bCs/>
          <w:sz w:val="28"/>
          <w:szCs w:val="28"/>
          <w:lang w:val="es-ES"/>
        </w:rPr>
        <w:t xml:space="preserve">, la intervención </w:t>
      </w:r>
      <w:r w:rsidRPr="002A793E">
        <w:rPr>
          <w:rFonts w:ascii="Times New Roman" w:hAnsi="Times New Roman" w:cs="Times New Roman"/>
          <w:bCs/>
          <w:sz w:val="28"/>
          <w:szCs w:val="28"/>
          <w:lang w:val="es-ES"/>
        </w:rPr>
        <w:t>argumentó</w:t>
      </w:r>
      <w:r w:rsidRPr="002A793E">
        <w:rPr>
          <w:rFonts w:ascii="Times New Roman" w:hAnsi="Times New Roman" w:cs="Times New Roman"/>
          <w:bCs/>
          <w:sz w:val="28"/>
          <w:szCs w:val="28"/>
          <w:lang w:val="es-ES"/>
        </w:rPr>
        <w:t xml:space="preserve"> que</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de conformidad con las </w:t>
      </w:r>
      <w:r w:rsidRPr="002A793E">
        <w:rPr>
          <w:rFonts w:ascii="Times New Roman" w:hAnsi="Times New Roman" w:cs="Times New Roman"/>
          <w:bCs/>
          <w:sz w:val="28"/>
          <w:szCs w:val="28"/>
          <w:lang w:val="es-ES"/>
        </w:rPr>
        <w:t>reglas unificadas en la sentencia C-415 de 2020,</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 xml:space="preserve">el numeral 6 y el parágrafo 3 del artículo 61 de la Ley 2294 de 2023 </w:t>
      </w:r>
      <w:r w:rsidRPr="002A793E">
        <w:rPr>
          <w:rFonts w:ascii="Times New Roman" w:hAnsi="Times New Roman" w:cs="Times New Roman"/>
          <w:bCs/>
          <w:sz w:val="28"/>
          <w:szCs w:val="28"/>
          <w:lang w:val="es-ES"/>
        </w:rPr>
        <w:t xml:space="preserve">respetan el principio de </w:t>
      </w:r>
      <w:r w:rsidRPr="002A793E">
        <w:rPr>
          <w:rFonts w:ascii="Times New Roman" w:hAnsi="Times New Roman" w:cs="Times New Roman"/>
          <w:bCs/>
          <w:sz w:val="28"/>
          <w:szCs w:val="28"/>
          <w:lang w:val="es-ES"/>
        </w:rPr>
        <w:t>unidad</w:t>
      </w:r>
      <w:r w:rsidRPr="002A793E">
        <w:rPr>
          <w:rFonts w:ascii="Times New Roman" w:hAnsi="Times New Roman" w:cs="Times New Roman"/>
          <w:bCs/>
          <w:sz w:val="28"/>
          <w:szCs w:val="28"/>
          <w:lang w:val="es-ES"/>
        </w:rPr>
        <w:t xml:space="preserve"> de materia</w:t>
      </w:r>
      <w:r w:rsidRPr="002A793E">
        <w:rPr>
          <w:rFonts w:ascii="Times New Roman" w:hAnsi="Times New Roman" w:cs="Times New Roman"/>
          <w:bCs/>
          <w:sz w:val="28"/>
          <w:szCs w:val="28"/>
          <w:lang w:val="es-ES"/>
        </w:rPr>
        <w:t xml:space="preserve"> </w:t>
      </w:r>
      <w:r w:rsidRPr="002A793E">
        <w:rPr>
          <w:rFonts w:ascii="Times New Roman" w:hAnsi="Times New Roman" w:cs="Times New Roman"/>
          <w:bCs/>
          <w:sz w:val="28"/>
          <w:szCs w:val="28"/>
          <w:lang w:val="es-ES"/>
        </w:rPr>
        <w:t>por cuan</w:t>
      </w:r>
      <w:r w:rsidRPr="002A793E">
        <w:rPr>
          <w:rFonts w:ascii="Times New Roman" w:hAnsi="Times New Roman" w:cs="Times New Roman"/>
          <w:bCs/>
          <w:sz w:val="28"/>
          <w:szCs w:val="28"/>
          <w:lang w:val="es-ES"/>
        </w:rPr>
        <w:t>to</w:t>
      </w:r>
      <w:r w:rsidRPr="002A793E">
        <w:rPr>
          <w:rFonts w:ascii="Times New Roman" w:hAnsi="Times New Roman" w:cs="Times New Roman"/>
          <w:bCs/>
          <w:sz w:val="28"/>
          <w:szCs w:val="28"/>
          <w:lang w:val="es-ES"/>
        </w:rPr>
        <w:t xml:space="preserve"> son instrumentales y guardan una conexid</w:t>
      </w:r>
      <w:r w:rsidRPr="002A793E">
        <w:rPr>
          <w:rFonts w:ascii="Times New Roman" w:hAnsi="Times New Roman" w:cs="Times New Roman"/>
          <w:bCs/>
          <w:sz w:val="28"/>
          <w:szCs w:val="28"/>
          <w:lang w:val="es-ES"/>
        </w:rPr>
        <w:t xml:space="preserve">ad directa e inmediata con </w:t>
      </w:r>
      <w:r w:rsidRPr="002A793E">
        <w:rPr>
          <w:rFonts w:ascii="Times New Roman" w:hAnsi="Times New Roman" w:cs="Times New Roman"/>
          <w:bCs/>
          <w:sz w:val="28"/>
          <w:szCs w:val="28"/>
          <w:lang w:val="es-ES"/>
        </w:rPr>
        <w:t xml:space="preserve">varios </w:t>
      </w:r>
      <w:r w:rsidRPr="002A793E">
        <w:rPr>
          <w:rFonts w:ascii="Times New Roman" w:hAnsi="Times New Roman" w:cs="Times New Roman"/>
          <w:bCs/>
          <w:sz w:val="28"/>
          <w:szCs w:val="28"/>
          <w:lang w:val="es-ES"/>
        </w:rPr>
        <w:t xml:space="preserve">aspectos del </w:t>
      </w:r>
      <w:r w:rsidRPr="002A793E">
        <w:rPr>
          <w:rFonts w:ascii="Times New Roman" w:hAnsi="Times New Roman" w:cs="Times New Roman"/>
          <w:bCs/>
          <w:sz w:val="28"/>
          <w:szCs w:val="28"/>
          <w:lang w:val="es-ES"/>
        </w:rPr>
        <w:t xml:space="preserve">PND </w:t>
      </w:r>
      <w:r w:rsidRPr="002A793E">
        <w:rPr>
          <w:rFonts w:ascii="Times New Roman" w:hAnsi="Times New Roman" w:cs="Times New Roman"/>
          <w:bCs/>
          <w:sz w:val="28"/>
          <w:szCs w:val="28"/>
          <w:lang w:val="es-ES"/>
        </w:rPr>
        <w:t>2022-2026</w:t>
      </w:r>
      <w:r w:rsidRPr="002A793E">
        <w:rPr>
          <w:rFonts w:ascii="Times New Roman" w:hAnsi="Times New Roman" w:cs="Times New Roman"/>
          <w:bCs/>
          <w:sz w:val="28"/>
          <w:szCs w:val="28"/>
          <w:lang w:val="es-ES"/>
        </w:rPr>
        <w:t xml:space="preserve">. A ese respecto, la Presidencia </w:t>
      </w:r>
      <w:r w:rsidRPr="002A793E">
        <w:rPr>
          <w:rFonts w:ascii="Times New Roman" w:hAnsi="Times New Roman" w:cs="Times New Roman"/>
          <w:bCs/>
          <w:sz w:val="28"/>
          <w:szCs w:val="28"/>
          <w:lang w:val="es-ES"/>
        </w:rPr>
        <w:t xml:space="preserve">explicó que </w:t>
      </w:r>
      <w:r w:rsidRPr="002A793E">
        <w:rPr>
          <w:rFonts w:ascii="Times New Roman" w:eastAsia="Calibri" w:hAnsi="Times New Roman" w:cs="Times New Roman"/>
          <w:color w:val="000000" w:themeColor="text1"/>
          <w:sz w:val="28"/>
          <w:szCs w:val="28"/>
          <w:lang w:val="es-ES"/>
        </w:rPr>
        <w:t>las normas acusadas están directamente relacionadas con e</w:t>
      </w:r>
      <w:r w:rsidRPr="002A793E">
        <w:rPr>
          <w:rFonts w:ascii="Times New Roman" w:eastAsia="Calibri" w:hAnsi="Times New Roman" w:cs="Times New Roman"/>
          <w:color w:val="000000" w:themeColor="text1"/>
          <w:sz w:val="28"/>
          <w:szCs w:val="28"/>
          <w:lang w:val="es-ES"/>
        </w:rPr>
        <w:t>l objetivo</w:t>
      </w:r>
      <w:r w:rsidRPr="002A793E">
        <w:rPr>
          <w:rFonts w:ascii="Times New Roman" w:hAnsi="Times New Roman" w:cs="Times New Roman"/>
          <w:sz w:val="28"/>
          <w:lang w:val="es-ES"/>
        </w:rPr>
        <w:t xml:space="preserve"> </w:t>
      </w:r>
      <w:r w:rsidRPr="002A793E">
        <w:rPr>
          <w:rFonts w:ascii="Times New Roman" w:eastAsia="Calibri" w:hAnsi="Times New Roman" w:cs="Times New Roman"/>
          <w:color w:val="000000" w:themeColor="text1"/>
          <w:sz w:val="28"/>
          <w:szCs w:val="28"/>
          <w:lang w:val="es-ES"/>
        </w:rPr>
        <w:t>general del PND</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consistente </w:t>
      </w:r>
      <w:r w:rsidRPr="002A793E">
        <w:rPr>
          <w:rFonts w:ascii="Times New Roman" w:eastAsia="Calibri" w:hAnsi="Times New Roman" w:cs="Times New Roman"/>
          <w:color w:val="000000" w:themeColor="text1"/>
          <w:sz w:val="28"/>
          <w:szCs w:val="28"/>
          <w:lang w:val="es-ES"/>
        </w:rPr>
        <w:t>en</w:t>
      </w:r>
      <w:r w:rsidRPr="002A793E">
        <w:rPr>
          <w:rFonts w:ascii="Times New Roman" w:eastAsia="Calibri" w:hAnsi="Times New Roman" w:cs="Times New Roman"/>
          <w:color w:val="000000" w:themeColor="text1"/>
          <w:sz w:val="28"/>
          <w:szCs w:val="28"/>
          <w:lang w:val="es-ES"/>
        </w:rPr>
        <w:t xml:space="preserve"> crear mecanismos para que </w:t>
      </w:r>
      <w:r w:rsidRPr="002A793E">
        <w:rPr>
          <w:rFonts w:ascii="Times New Roman" w:eastAsia="Calibri" w:hAnsi="Times New Roman" w:cs="Times New Roman"/>
          <w:color w:val="000000" w:themeColor="text1"/>
          <w:sz w:val="28"/>
          <w:szCs w:val="28"/>
          <w:lang w:val="es-ES"/>
        </w:rPr>
        <w:t xml:space="preserve">Colombia supere las injusticias y </w:t>
      </w:r>
      <w:r w:rsidRPr="002A793E">
        <w:rPr>
          <w:rFonts w:ascii="Times New Roman" w:eastAsia="Calibri" w:hAnsi="Times New Roman" w:cs="Times New Roman"/>
          <w:color w:val="000000" w:themeColor="text1"/>
          <w:sz w:val="28"/>
          <w:szCs w:val="28"/>
          <w:lang w:val="es-ES"/>
        </w:rPr>
        <w:t xml:space="preserve">las </w:t>
      </w:r>
      <w:r w:rsidRPr="002A793E">
        <w:rPr>
          <w:rFonts w:ascii="Times New Roman" w:eastAsia="Calibri" w:hAnsi="Times New Roman" w:cs="Times New Roman"/>
          <w:color w:val="000000" w:themeColor="text1"/>
          <w:sz w:val="28"/>
          <w:szCs w:val="28"/>
          <w:lang w:val="es-ES"/>
        </w:rPr>
        <w:t>exclusiones históricas</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en</w:t>
      </w:r>
      <w:r w:rsidRPr="002A793E">
        <w:rPr>
          <w:rFonts w:ascii="Times New Roman" w:eastAsia="Calibri" w:hAnsi="Times New Roman" w:cs="Times New Roman"/>
          <w:color w:val="000000" w:themeColor="text1"/>
          <w:sz w:val="28"/>
          <w:szCs w:val="28"/>
          <w:lang w:val="es-ES"/>
        </w:rPr>
        <w:t xml:space="preserve"> el</w:t>
      </w:r>
      <w:r w:rsidRPr="002A793E">
        <w:rPr>
          <w:rFonts w:ascii="Times New Roman" w:eastAsia="Calibri" w:hAnsi="Times New Roman" w:cs="Times New Roman"/>
          <w:color w:val="000000" w:themeColor="text1"/>
          <w:sz w:val="28"/>
          <w:szCs w:val="28"/>
          <w:lang w:val="es-ES"/>
        </w:rPr>
        <w:t xml:space="preserve"> que no se repita el conflicto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y</w:t>
      </w:r>
      <w:r w:rsidRPr="002A793E">
        <w:rPr>
          <w:rFonts w:ascii="Times New Roman" w:eastAsia="Calibri" w:hAnsi="Times New Roman" w:cs="Times New Roman"/>
          <w:color w:val="000000" w:themeColor="text1"/>
          <w:sz w:val="28"/>
          <w:szCs w:val="28"/>
          <w:lang w:val="es-ES"/>
        </w:rPr>
        <w:t xml:space="preserve"> en el que</w:t>
      </w:r>
      <w:r w:rsidRPr="002A793E">
        <w:rPr>
          <w:rFonts w:ascii="Times New Roman" w:eastAsia="Calibri" w:hAnsi="Times New Roman" w:cs="Times New Roman"/>
          <w:color w:val="000000" w:themeColor="text1"/>
          <w:sz w:val="28"/>
          <w:szCs w:val="28"/>
          <w:lang w:val="es-ES"/>
        </w:rPr>
        <w:t xml:space="preserve"> se garantice</w:t>
      </w:r>
      <w:r w:rsidRPr="002A793E">
        <w:rPr>
          <w:rFonts w:ascii="Times New Roman" w:eastAsia="Calibri" w:hAnsi="Times New Roman" w:cs="Times New Roman"/>
          <w:color w:val="000000" w:themeColor="text1"/>
          <w:sz w:val="28"/>
          <w:szCs w:val="28"/>
          <w:lang w:val="es-ES"/>
        </w:rPr>
        <w:t>n</w:t>
      </w:r>
      <w:r w:rsidRPr="002A793E">
        <w:rPr>
          <w:rFonts w:ascii="Times New Roman" w:eastAsia="Calibri" w:hAnsi="Times New Roman" w:cs="Times New Roman"/>
          <w:color w:val="000000" w:themeColor="text1"/>
          <w:sz w:val="28"/>
          <w:szCs w:val="28"/>
          <w:lang w:val="es-ES"/>
        </w:rPr>
        <w:t xml:space="preserve"> tanto </w:t>
      </w:r>
      <w:r w:rsidRPr="002A793E">
        <w:rPr>
          <w:rFonts w:ascii="Times New Roman" w:eastAsia="Calibri" w:hAnsi="Times New Roman" w:cs="Times New Roman"/>
          <w:color w:val="000000" w:themeColor="text1"/>
          <w:sz w:val="28"/>
          <w:szCs w:val="28"/>
          <w:lang w:val="es-ES"/>
        </w:rPr>
        <w:t>la transformación productiva sostenible</w:t>
      </w:r>
      <w:r w:rsidRPr="002A793E">
        <w:rPr>
          <w:rFonts w:ascii="Times New Roman" w:eastAsia="Calibri" w:hAnsi="Times New Roman" w:cs="Times New Roman"/>
          <w:color w:val="000000" w:themeColor="text1"/>
          <w:sz w:val="28"/>
          <w:szCs w:val="28"/>
          <w:lang w:val="es-ES"/>
        </w:rPr>
        <w:t>,</w:t>
      </w:r>
      <w:r w:rsidRPr="002A793E">
        <w:rPr>
          <w:rFonts w:ascii="Times New Roman" w:eastAsia="Calibri" w:hAnsi="Times New Roman" w:cs="Times New Roman"/>
          <w:color w:val="000000" w:themeColor="text1"/>
          <w:sz w:val="28"/>
          <w:szCs w:val="28"/>
          <w:lang w:val="es-ES"/>
        </w:rPr>
        <w:t xml:space="preserve"> como </w:t>
      </w:r>
      <w:r w:rsidRPr="002A793E">
        <w:rPr>
          <w:rFonts w:ascii="Times New Roman" w:eastAsia="Calibri" w:hAnsi="Times New Roman" w:cs="Times New Roman"/>
          <w:color w:val="000000" w:themeColor="text1"/>
          <w:sz w:val="28"/>
          <w:szCs w:val="28"/>
          <w:lang w:val="es-ES"/>
        </w:rPr>
        <w:t xml:space="preserve">la vida </w:t>
      </w:r>
      <w:r w:rsidRPr="002A793E">
        <w:rPr>
          <w:rFonts w:ascii="Times New Roman" w:eastAsia="Calibri" w:hAnsi="Times New Roman" w:cs="Times New Roman"/>
          <w:color w:val="000000" w:themeColor="text1"/>
          <w:sz w:val="28"/>
          <w:szCs w:val="28"/>
          <w:lang w:val="es-ES"/>
        </w:rPr>
        <w:t>digna en condiciones justas</w:t>
      </w:r>
      <w:r w:rsidRPr="002A793E">
        <w:rPr>
          <w:rFonts w:ascii="Times New Roman" w:eastAsia="Calibri" w:hAnsi="Times New Roman" w:cs="Times New Roman"/>
          <w:color w:val="000000" w:themeColor="text1"/>
          <w:sz w:val="28"/>
          <w:szCs w:val="28"/>
          <w:lang w:val="es-ES"/>
        </w:rPr>
        <w:t xml:space="preserve">. </w:t>
      </w:r>
    </w:p>
    <w:p w:rsidR="00015487" w:rsidRPr="002A793E" w:rsidRDefault="002A793E" w:rsidP="00015487">
      <w:pPr>
        <w:pStyle w:val="Prrafodelista"/>
        <w:rPr>
          <w:rFonts w:ascii="Times New Roman" w:eastAsia="Calibri" w:hAnsi="Times New Roman" w:cs="Times New Roman"/>
          <w:color w:val="000000" w:themeColor="text1"/>
          <w:sz w:val="28"/>
          <w:szCs w:val="28"/>
          <w:lang w:val="es-ES"/>
        </w:rPr>
      </w:pPr>
    </w:p>
    <w:p w:rsidR="001A4B93" w:rsidRPr="002A793E" w:rsidRDefault="002A793E" w:rsidP="001A4B93">
      <w:pPr>
        <w:pStyle w:val="Prrafodelista"/>
        <w:numPr>
          <w:ilvl w:val="0"/>
          <w:numId w:val="2"/>
        </w:numPr>
        <w:ind w:left="0" w:firstLine="0"/>
        <w:rPr>
          <w:rFonts w:ascii="Times New Roman" w:hAnsi="Times New Roman" w:cs="Times New Roman"/>
          <w:bCs/>
          <w:sz w:val="28"/>
          <w:szCs w:val="28"/>
          <w:lang w:val="es-ES"/>
        </w:rPr>
      </w:pPr>
      <w:r w:rsidRPr="002A793E">
        <w:rPr>
          <w:rFonts w:ascii="Times New Roman" w:eastAsia="Calibri" w:hAnsi="Times New Roman" w:cs="Times New Roman"/>
          <w:color w:val="000000" w:themeColor="text1"/>
          <w:sz w:val="28"/>
          <w:szCs w:val="28"/>
          <w:lang w:val="es-ES"/>
        </w:rPr>
        <w:t>Asimismo, esa entidad manifestó que las normas acusadas están directamente vinculadas con</w:t>
      </w:r>
      <w:r w:rsidRPr="002A793E">
        <w:rPr>
          <w:rFonts w:ascii="Times New Roman" w:eastAsia="Calibri" w:hAnsi="Times New Roman" w:cs="Times New Roman"/>
          <w:color w:val="000000" w:themeColor="text1"/>
          <w:sz w:val="28"/>
          <w:szCs w:val="28"/>
          <w:lang w:val="es-ES"/>
        </w:rPr>
        <w:t xml:space="preserve"> otros contenidos de las Bases del PND</w:t>
      </w:r>
      <w:r w:rsidRPr="002A793E">
        <w:rPr>
          <w:rFonts w:ascii="Times New Roman" w:eastAsia="Calibri" w:hAnsi="Times New Roman" w:cs="Times New Roman"/>
          <w:color w:val="000000" w:themeColor="text1"/>
          <w:sz w:val="28"/>
          <w:szCs w:val="28"/>
          <w:lang w:val="es-ES"/>
        </w:rPr>
        <w:t xml:space="preserve">, a los cuales se </w:t>
      </w:r>
      <w:r w:rsidRPr="002A793E">
        <w:rPr>
          <w:rFonts w:ascii="Times New Roman" w:eastAsia="Calibri" w:hAnsi="Times New Roman" w:cs="Times New Roman"/>
          <w:color w:val="000000" w:themeColor="text1"/>
          <w:sz w:val="28"/>
          <w:szCs w:val="28"/>
          <w:lang w:val="es-ES"/>
        </w:rPr>
        <w:t xml:space="preserve">refirió ampliamente y que, en términos generales, </w:t>
      </w:r>
      <w:r w:rsidRPr="002A793E">
        <w:rPr>
          <w:rFonts w:ascii="Times New Roman" w:eastAsia="Calibri" w:hAnsi="Times New Roman" w:cs="Times New Roman"/>
          <w:color w:val="000000" w:themeColor="text1"/>
          <w:sz w:val="28"/>
          <w:szCs w:val="28"/>
          <w:lang w:val="es-ES"/>
        </w:rPr>
        <w:t>tratan sobre</w:t>
      </w:r>
      <w:r w:rsidRPr="002A793E">
        <w:rPr>
          <w:rFonts w:ascii="Times New Roman" w:eastAsia="Calibri" w:hAnsi="Times New Roman" w:cs="Times New Roman"/>
          <w:color w:val="000000" w:themeColor="text1"/>
          <w:sz w:val="28"/>
          <w:szCs w:val="28"/>
          <w:lang w:val="es-ES"/>
        </w:rPr>
        <w:t xml:space="preserve"> la necesidad de tomar medidas para simplificar los procesos y enfrentar distintos problemas relacionados con la tenencia y la disponibilidad de la tierra, tales como los bajos niveles de formalización, regularización y titulación. </w:t>
      </w:r>
    </w:p>
    <w:p w:rsidR="00015487" w:rsidRPr="002A793E" w:rsidRDefault="002A793E" w:rsidP="00015487">
      <w:pPr>
        <w:pStyle w:val="Prrafodelista"/>
        <w:rPr>
          <w:rFonts w:ascii="Times New Roman" w:eastAsia="Calibri" w:hAnsi="Times New Roman" w:cs="Times New Roman"/>
          <w:color w:val="000000" w:themeColor="text1"/>
          <w:sz w:val="28"/>
          <w:szCs w:val="28"/>
          <w:lang w:val="es-ES"/>
        </w:rPr>
      </w:pPr>
    </w:p>
    <w:p w:rsidR="007B7BD1" w:rsidRPr="002A793E" w:rsidRDefault="002A793E" w:rsidP="00F8351E">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Además,</w:t>
      </w:r>
      <w:r w:rsidRPr="002A793E">
        <w:rPr>
          <w:rFonts w:ascii="Times New Roman" w:eastAsia="Calibri" w:hAnsi="Times New Roman" w:cs="Times New Roman"/>
          <w:color w:val="000000" w:themeColor="text1"/>
          <w:sz w:val="28"/>
          <w:szCs w:val="28"/>
          <w:lang w:val="es-ES"/>
        </w:rPr>
        <w:t xml:space="preserve"> la Presidencia</w:t>
      </w:r>
      <w:r w:rsidRPr="002A793E">
        <w:rPr>
          <w:rFonts w:ascii="Times New Roman" w:eastAsia="Calibri" w:hAnsi="Times New Roman" w:cs="Times New Roman"/>
          <w:color w:val="000000" w:themeColor="text1"/>
          <w:sz w:val="28"/>
          <w:szCs w:val="28"/>
          <w:lang w:val="es-ES"/>
        </w:rPr>
        <w:t xml:space="preserve"> señaló que</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las normas acusadas</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versan sobre </w:t>
      </w:r>
      <w:r w:rsidRPr="002A793E">
        <w:rPr>
          <w:rFonts w:ascii="Times New Roman" w:eastAsia="Calibri" w:hAnsi="Times New Roman" w:cs="Times New Roman"/>
          <w:color w:val="000000" w:themeColor="text1"/>
          <w:sz w:val="28"/>
          <w:szCs w:val="28"/>
          <w:lang w:val="es-ES"/>
        </w:rPr>
        <w:t>los instrumentos dirigidos a implementar la Reforma Rural Integral</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en cuanto son medidas instrumentales para implementar </w:t>
      </w:r>
      <w:r w:rsidRPr="002A793E">
        <w:rPr>
          <w:rFonts w:ascii="Times New Roman" w:eastAsia="Calibri" w:hAnsi="Times New Roman" w:cs="Times New Roman"/>
          <w:color w:val="000000" w:themeColor="text1"/>
          <w:sz w:val="28"/>
          <w:szCs w:val="28"/>
          <w:lang w:val="es-ES"/>
        </w:rPr>
        <w:t>el</w:t>
      </w:r>
      <w:r w:rsidRPr="002A793E">
        <w:rPr>
          <w:rFonts w:ascii="Times New Roman" w:eastAsia="Calibri" w:hAnsi="Times New Roman" w:cs="Times New Roman"/>
          <w:color w:val="000000" w:themeColor="text1"/>
          <w:sz w:val="28"/>
          <w:szCs w:val="28"/>
          <w:lang w:val="es-ES"/>
        </w:rPr>
        <w:t xml:space="preserve"> punto 1 del</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Acuerdo de Paz</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meta que es </w:t>
      </w:r>
      <w:r w:rsidRPr="002A793E">
        <w:rPr>
          <w:rFonts w:ascii="Times New Roman" w:eastAsia="Calibri" w:hAnsi="Times New Roman" w:cs="Times New Roman"/>
          <w:color w:val="000000" w:themeColor="text1"/>
          <w:sz w:val="28"/>
          <w:szCs w:val="28"/>
          <w:lang w:val="es-ES"/>
        </w:rPr>
        <w:t>un pilar transversal del PND</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De manera </w:t>
      </w:r>
      <w:r w:rsidRPr="002A793E">
        <w:rPr>
          <w:rFonts w:ascii="Times New Roman" w:eastAsia="Calibri" w:hAnsi="Times New Roman" w:cs="Times New Roman"/>
          <w:color w:val="000000" w:themeColor="text1"/>
          <w:sz w:val="28"/>
          <w:szCs w:val="28"/>
          <w:lang w:val="es-ES"/>
        </w:rPr>
        <w:t>similar</w:t>
      </w:r>
      <w:r w:rsidRPr="002A793E">
        <w:rPr>
          <w:rFonts w:ascii="Times New Roman" w:eastAsia="Calibri" w:hAnsi="Times New Roman" w:cs="Times New Roman"/>
          <w:color w:val="000000" w:themeColor="text1"/>
          <w:sz w:val="28"/>
          <w:szCs w:val="28"/>
          <w:lang w:val="es-ES"/>
        </w:rPr>
        <w:t xml:space="preserve">, la entidad afirmó </w:t>
      </w:r>
      <w:r w:rsidRPr="002A793E">
        <w:rPr>
          <w:rFonts w:ascii="Times New Roman" w:eastAsia="Calibri" w:hAnsi="Times New Roman" w:cs="Times New Roman"/>
          <w:color w:val="000000" w:themeColor="text1"/>
          <w:sz w:val="28"/>
          <w:szCs w:val="28"/>
          <w:lang w:val="es-ES"/>
        </w:rPr>
        <w:t>que</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el carácter instrumental d</w:t>
      </w:r>
      <w:r w:rsidRPr="002A793E">
        <w:rPr>
          <w:rFonts w:ascii="Times New Roman" w:eastAsia="Calibri" w:hAnsi="Times New Roman" w:cs="Times New Roman"/>
          <w:color w:val="000000" w:themeColor="text1"/>
          <w:sz w:val="28"/>
          <w:szCs w:val="28"/>
          <w:lang w:val="es-ES"/>
        </w:rPr>
        <w:t>el artículo 61 de la Ley 2294 de 2023</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se ve reflejad</w:t>
      </w:r>
      <w:r w:rsidRPr="002A793E">
        <w:rPr>
          <w:rFonts w:ascii="Times New Roman" w:eastAsia="Calibri" w:hAnsi="Times New Roman" w:cs="Times New Roman"/>
          <w:color w:val="000000" w:themeColor="text1"/>
          <w:sz w:val="28"/>
          <w:szCs w:val="28"/>
          <w:lang w:val="es-ES"/>
        </w:rPr>
        <w:t>o</w:t>
      </w:r>
      <w:r w:rsidRPr="002A793E">
        <w:rPr>
          <w:rFonts w:ascii="Times New Roman" w:eastAsia="Calibri" w:hAnsi="Times New Roman" w:cs="Times New Roman"/>
          <w:color w:val="000000" w:themeColor="text1"/>
          <w:sz w:val="28"/>
          <w:szCs w:val="28"/>
          <w:lang w:val="es-ES"/>
        </w:rPr>
        <w:t xml:space="preserve"> en </w:t>
      </w:r>
      <w:r w:rsidRPr="002A793E">
        <w:rPr>
          <w:rFonts w:ascii="Times New Roman" w:eastAsia="Calibri" w:hAnsi="Times New Roman" w:cs="Times New Roman"/>
          <w:color w:val="000000" w:themeColor="text1"/>
          <w:sz w:val="28"/>
          <w:szCs w:val="28"/>
          <w:lang w:val="es-ES"/>
        </w:rPr>
        <w:t>varias</w:t>
      </w:r>
      <w:r w:rsidRPr="002A793E">
        <w:rPr>
          <w:rFonts w:ascii="Times New Roman" w:eastAsia="Calibri" w:hAnsi="Times New Roman" w:cs="Times New Roman"/>
          <w:color w:val="000000" w:themeColor="text1"/>
          <w:sz w:val="28"/>
          <w:szCs w:val="28"/>
          <w:lang w:val="es-ES"/>
        </w:rPr>
        <w:t xml:space="preserve"> metas trazadoras del Plan Marco de Implementación</w:t>
      </w:r>
      <w:r w:rsidRPr="002A793E">
        <w:rPr>
          <w:rFonts w:ascii="Times New Roman" w:eastAsia="Calibri" w:hAnsi="Times New Roman" w:cs="Times New Roman"/>
          <w:color w:val="000000" w:themeColor="text1"/>
          <w:sz w:val="28"/>
          <w:szCs w:val="28"/>
          <w:lang w:val="es-ES"/>
        </w:rPr>
        <w:t xml:space="preserve"> del Acuerdo Final</w:t>
      </w:r>
      <w:r w:rsidRPr="002A793E">
        <w:rPr>
          <w:rFonts w:ascii="Times New Roman" w:eastAsia="Calibri" w:hAnsi="Times New Roman" w:cs="Times New Roman"/>
          <w:color w:val="000000" w:themeColor="text1"/>
          <w:sz w:val="28"/>
          <w:szCs w:val="28"/>
          <w:lang w:val="es-ES"/>
        </w:rPr>
        <w:t xml:space="preserve"> y transformaciones esperadas</w:t>
      </w:r>
      <w:r w:rsidRPr="002A793E">
        <w:rPr>
          <w:rFonts w:ascii="Times New Roman" w:eastAsia="Calibri" w:hAnsi="Times New Roman" w:cs="Times New Roman"/>
          <w:color w:val="000000" w:themeColor="text1"/>
          <w:sz w:val="28"/>
          <w:szCs w:val="28"/>
          <w:lang w:val="es-ES"/>
        </w:rPr>
        <w:t xml:space="preserve"> contenidas en el</w:t>
      </w:r>
      <w:r w:rsidRPr="002A793E">
        <w:rPr>
          <w:rFonts w:ascii="Times New Roman" w:eastAsia="Calibri" w:hAnsi="Times New Roman" w:cs="Times New Roman"/>
          <w:color w:val="000000" w:themeColor="text1"/>
          <w:sz w:val="28"/>
          <w:szCs w:val="28"/>
          <w:lang w:val="es-ES"/>
        </w:rPr>
        <w:t xml:space="preserve"> PND</w:t>
      </w:r>
      <w:r w:rsidRPr="002A793E">
        <w:rPr>
          <w:rFonts w:ascii="Times New Roman" w:eastAsia="Calibri" w:hAnsi="Times New Roman" w:cs="Times New Roman"/>
          <w:color w:val="000000" w:themeColor="text1"/>
          <w:sz w:val="28"/>
          <w:szCs w:val="28"/>
          <w:lang w:val="es-ES"/>
        </w:rPr>
        <w:t xml:space="preserve">; al igual que en el Plan Plurianual de Inversiones, en lo relacionado con las inversiones </w:t>
      </w:r>
      <w:r w:rsidRPr="002A793E">
        <w:rPr>
          <w:rFonts w:ascii="Times New Roman" w:eastAsia="Calibri" w:hAnsi="Times New Roman" w:cs="Times New Roman"/>
          <w:color w:val="000000" w:themeColor="text1"/>
          <w:sz w:val="28"/>
          <w:szCs w:val="28"/>
          <w:lang w:val="es-ES"/>
        </w:rPr>
        <w:t>destinadas a implementar el Acuerdo Final</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 </w:t>
      </w:r>
    </w:p>
    <w:p w:rsidR="007B060E" w:rsidRPr="002A793E" w:rsidRDefault="002A793E" w:rsidP="007B060E">
      <w:pPr>
        <w:pStyle w:val="Prrafodelista"/>
        <w:ind w:left="0"/>
        <w:rPr>
          <w:rFonts w:ascii="Times New Roman" w:eastAsia="Calibri" w:hAnsi="Times New Roman" w:cs="Times New Roman"/>
          <w:color w:val="000000" w:themeColor="text1"/>
          <w:sz w:val="28"/>
          <w:szCs w:val="28"/>
          <w:lang w:val="es-ES"/>
        </w:rPr>
      </w:pPr>
    </w:p>
    <w:p w:rsidR="00FE0875" w:rsidRPr="002A793E" w:rsidRDefault="002A793E" w:rsidP="003D778F">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Frente </w:t>
      </w:r>
      <w:r w:rsidRPr="002A793E">
        <w:rPr>
          <w:rFonts w:ascii="Times New Roman" w:eastAsia="Calibri" w:hAnsi="Times New Roman" w:cs="Times New Roman"/>
          <w:color w:val="000000" w:themeColor="text1"/>
          <w:sz w:val="28"/>
          <w:szCs w:val="28"/>
          <w:lang w:val="es-ES"/>
        </w:rPr>
        <w:t xml:space="preserve">al </w:t>
      </w:r>
      <w:r w:rsidRPr="002A793E">
        <w:rPr>
          <w:rFonts w:ascii="Times New Roman" w:eastAsia="Calibri" w:hAnsi="Times New Roman" w:cs="Times New Roman"/>
          <w:b/>
          <w:bCs/>
          <w:color w:val="000000" w:themeColor="text1"/>
          <w:sz w:val="28"/>
          <w:szCs w:val="28"/>
          <w:lang w:val="es-ES"/>
        </w:rPr>
        <w:t>cargo tercero</w:t>
      </w:r>
      <w:r w:rsidRPr="002A793E">
        <w:rPr>
          <w:rFonts w:ascii="Times New Roman" w:eastAsia="Calibri" w:hAnsi="Times New Roman" w:cs="Times New Roman"/>
          <w:b/>
          <w:bCs/>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de la demanda, </w:t>
      </w:r>
      <w:r w:rsidRPr="002A793E">
        <w:rPr>
          <w:rFonts w:ascii="Times New Roman" w:eastAsia="Calibri" w:hAnsi="Times New Roman" w:cs="Times New Roman"/>
          <w:color w:val="000000" w:themeColor="text1"/>
          <w:sz w:val="28"/>
          <w:szCs w:val="28"/>
          <w:lang w:val="es-ES"/>
        </w:rPr>
        <w:t>la Presidencia indicó que las normas acusadas no vulneran el derecho de acceso a</w:t>
      </w:r>
      <w:r w:rsidRPr="002A793E">
        <w:rPr>
          <w:rFonts w:ascii="Times New Roman" w:eastAsia="Calibri" w:hAnsi="Times New Roman" w:cs="Times New Roman"/>
          <w:color w:val="000000" w:themeColor="text1"/>
          <w:sz w:val="28"/>
          <w:szCs w:val="28"/>
          <w:lang w:val="es-ES"/>
        </w:rPr>
        <w:t xml:space="preserve"> la administración de justicia, a la tutela judicial eficaz y a la propiedad privada</w:t>
      </w:r>
      <w:r w:rsidRPr="002A793E">
        <w:rPr>
          <w:rFonts w:ascii="Times New Roman" w:eastAsia="Calibri" w:hAnsi="Times New Roman" w:cs="Times New Roman"/>
          <w:color w:val="000000" w:themeColor="text1"/>
          <w:sz w:val="28"/>
          <w:szCs w:val="28"/>
          <w:lang w:val="es-ES"/>
        </w:rPr>
        <w:t xml:space="preserve"> de los terceros que no hicieron parte del PUO</w:t>
      </w:r>
      <w:r w:rsidRPr="002A793E">
        <w:rPr>
          <w:rFonts w:ascii="Times New Roman" w:eastAsia="Calibri" w:hAnsi="Times New Roman" w:cs="Times New Roman"/>
          <w:color w:val="000000" w:themeColor="text1"/>
          <w:sz w:val="28"/>
          <w:szCs w:val="28"/>
          <w:lang w:val="es-ES"/>
        </w:rPr>
        <w:t xml:space="preserve">. A juicio de esa entidad, </w:t>
      </w:r>
      <w:r w:rsidRPr="002A793E">
        <w:rPr>
          <w:rFonts w:ascii="Times New Roman" w:eastAsia="Calibri" w:hAnsi="Times New Roman" w:cs="Times New Roman"/>
          <w:color w:val="000000" w:themeColor="text1"/>
          <w:sz w:val="28"/>
          <w:szCs w:val="28"/>
          <w:lang w:val="es-ES"/>
        </w:rPr>
        <w:t xml:space="preserve">la supresión de la fase judicial se enmarca </w:t>
      </w:r>
      <w:r w:rsidRPr="002A793E">
        <w:rPr>
          <w:rFonts w:ascii="Times New Roman" w:eastAsia="Calibri" w:hAnsi="Times New Roman" w:cs="Times New Roman"/>
          <w:color w:val="000000" w:themeColor="text1"/>
          <w:sz w:val="28"/>
          <w:szCs w:val="28"/>
          <w:lang w:val="es-ES"/>
        </w:rPr>
        <w:t xml:space="preserve">en la </w:t>
      </w:r>
      <w:r w:rsidRPr="002A793E">
        <w:rPr>
          <w:rFonts w:ascii="Times New Roman" w:eastAsia="Calibri" w:hAnsi="Times New Roman" w:cs="Times New Roman"/>
          <w:color w:val="000000" w:themeColor="text1"/>
          <w:sz w:val="28"/>
          <w:szCs w:val="28"/>
          <w:lang w:val="es-ES"/>
        </w:rPr>
        <w:t>libre configuración del legislador, la cual abarc</w:t>
      </w:r>
      <w:r w:rsidRPr="002A793E">
        <w:rPr>
          <w:rFonts w:ascii="Times New Roman" w:eastAsia="Calibri" w:hAnsi="Times New Roman" w:cs="Times New Roman"/>
          <w:color w:val="000000" w:themeColor="text1"/>
          <w:sz w:val="28"/>
          <w:szCs w:val="28"/>
          <w:lang w:val="es-ES"/>
        </w:rPr>
        <w:t>a la posibilidad de prescindir de ciertas etapas en el marco de un determinado procedimiento</w:t>
      </w:r>
      <w:r w:rsidRPr="002A793E">
        <w:rPr>
          <w:rFonts w:ascii="Times New Roman" w:eastAsia="Calibri" w:hAnsi="Times New Roman" w:cs="Times New Roman"/>
          <w:color w:val="000000" w:themeColor="text1"/>
          <w:sz w:val="28"/>
          <w:szCs w:val="28"/>
          <w:lang w:val="es-ES"/>
        </w:rPr>
        <w:t xml:space="preserve">, y </w:t>
      </w:r>
      <w:r w:rsidRPr="002A793E">
        <w:rPr>
          <w:rFonts w:ascii="Times New Roman" w:eastAsia="Calibri" w:hAnsi="Times New Roman" w:cs="Times New Roman"/>
          <w:color w:val="000000" w:themeColor="text1"/>
          <w:sz w:val="28"/>
          <w:szCs w:val="28"/>
          <w:lang w:val="es-ES"/>
        </w:rPr>
        <w:t xml:space="preserve">respeta los límites constitucionales de dicha competencia. </w:t>
      </w:r>
    </w:p>
    <w:p w:rsidR="0008626C" w:rsidRPr="002A793E" w:rsidRDefault="002A793E" w:rsidP="0008626C">
      <w:pPr>
        <w:pStyle w:val="Prrafodelista"/>
        <w:ind w:left="0"/>
        <w:rPr>
          <w:rFonts w:ascii="Times New Roman" w:eastAsia="Calibri" w:hAnsi="Times New Roman" w:cs="Times New Roman"/>
          <w:color w:val="000000" w:themeColor="text1"/>
          <w:sz w:val="28"/>
          <w:szCs w:val="28"/>
          <w:lang w:val="es-ES"/>
        </w:rPr>
      </w:pPr>
    </w:p>
    <w:p w:rsidR="00660C7E" w:rsidRPr="002A793E" w:rsidRDefault="002A793E" w:rsidP="007632E8">
      <w:pPr>
        <w:pStyle w:val="Prrafodelista"/>
        <w:numPr>
          <w:ilvl w:val="0"/>
          <w:numId w:val="2"/>
        </w:numPr>
        <w:ind w:left="0" w:firstLine="0"/>
        <w:rPr>
          <w:rFonts w:ascii="Times New Roman" w:hAnsi="Times New Roman" w:cs="Times New Roman"/>
          <w:b/>
          <w:sz w:val="28"/>
          <w:szCs w:val="28"/>
          <w:lang w:val="es-ES"/>
        </w:rPr>
      </w:pPr>
      <w:r w:rsidRPr="002A793E">
        <w:rPr>
          <w:rFonts w:ascii="Times New Roman" w:eastAsia="Calibri" w:hAnsi="Times New Roman" w:cs="Times New Roman"/>
          <w:color w:val="000000" w:themeColor="text1"/>
          <w:sz w:val="28"/>
          <w:szCs w:val="28"/>
          <w:lang w:val="es-ES"/>
        </w:rPr>
        <w:t xml:space="preserve">Finalmente, frente al </w:t>
      </w:r>
      <w:r w:rsidRPr="002A793E">
        <w:rPr>
          <w:rFonts w:ascii="Times New Roman" w:eastAsia="Calibri" w:hAnsi="Times New Roman" w:cs="Times New Roman"/>
          <w:b/>
          <w:bCs/>
          <w:color w:val="000000" w:themeColor="text1"/>
          <w:sz w:val="28"/>
          <w:szCs w:val="28"/>
          <w:lang w:val="es-ES"/>
        </w:rPr>
        <w:t>cargo cuarto</w:t>
      </w:r>
      <w:r w:rsidRPr="002A793E">
        <w:rPr>
          <w:rFonts w:ascii="Times New Roman" w:eastAsia="Calibri" w:hAnsi="Times New Roman" w:cs="Times New Roman"/>
          <w:color w:val="000000" w:themeColor="text1"/>
          <w:sz w:val="28"/>
          <w:szCs w:val="28"/>
          <w:lang w:val="es-ES"/>
        </w:rPr>
        <w:t xml:space="preserve"> de la demanda, la intervención de la Presidencia </w:t>
      </w:r>
      <w:r w:rsidRPr="002A793E">
        <w:rPr>
          <w:rFonts w:ascii="Times New Roman" w:eastAsia="Calibri" w:hAnsi="Times New Roman" w:cs="Times New Roman"/>
          <w:color w:val="000000" w:themeColor="text1"/>
          <w:sz w:val="28"/>
          <w:szCs w:val="28"/>
          <w:lang w:val="es-ES"/>
        </w:rPr>
        <w:t xml:space="preserve">argumentó que los apartados demandados del artículo 61 de la Ley 2294 de 2023 no son una medida regresiva </w:t>
      </w:r>
      <w:r w:rsidRPr="002A793E">
        <w:rPr>
          <w:rFonts w:ascii="Times New Roman" w:eastAsia="Calibri" w:hAnsi="Times New Roman" w:cs="Times New Roman"/>
          <w:color w:val="000000" w:themeColor="text1"/>
          <w:sz w:val="28"/>
          <w:szCs w:val="28"/>
          <w:lang w:val="es-ES"/>
        </w:rPr>
        <w:t xml:space="preserve">frente a los derechos a la propiedad privada y al acceso a la tierra de los campesinos. Para sustentar esa tesis, la entidad </w:t>
      </w:r>
      <w:r w:rsidRPr="002A793E">
        <w:rPr>
          <w:rFonts w:ascii="Times New Roman" w:eastAsia="Calibri" w:hAnsi="Times New Roman" w:cs="Times New Roman"/>
          <w:color w:val="000000" w:themeColor="text1"/>
          <w:sz w:val="28"/>
          <w:szCs w:val="28"/>
          <w:lang w:val="es-ES"/>
        </w:rPr>
        <w:t xml:space="preserve">repitió que </w:t>
      </w:r>
      <w:r w:rsidRPr="002A793E">
        <w:rPr>
          <w:rFonts w:ascii="Times New Roman" w:eastAsia="Calibri" w:hAnsi="Times New Roman" w:cs="Times New Roman"/>
          <w:color w:val="000000" w:themeColor="text1"/>
          <w:sz w:val="28"/>
          <w:szCs w:val="28"/>
          <w:lang w:val="es-ES"/>
        </w:rPr>
        <w:t xml:space="preserve">la </w:t>
      </w:r>
      <w:r w:rsidRPr="002A793E">
        <w:rPr>
          <w:rFonts w:ascii="Times New Roman" w:eastAsia="Calibri" w:hAnsi="Times New Roman" w:cs="Times New Roman"/>
          <w:color w:val="000000" w:themeColor="text1"/>
          <w:sz w:val="28"/>
          <w:szCs w:val="28"/>
          <w:lang w:val="es-ES"/>
        </w:rPr>
        <w:t>simplificación del PUO constituye una medida para cumplir lo dispuesto en el punto 1 del Acuerdo de Paz</w:t>
      </w:r>
      <w:r w:rsidRPr="002A793E">
        <w:rPr>
          <w:rFonts w:ascii="Times New Roman" w:eastAsia="Calibri" w:hAnsi="Times New Roman" w:cs="Times New Roman"/>
          <w:color w:val="000000" w:themeColor="text1"/>
          <w:sz w:val="28"/>
          <w:szCs w:val="28"/>
          <w:lang w:val="es-ES"/>
        </w:rPr>
        <w:t>. También</w:t>
      </w:r>
      <w:r w:rsidRPr="002A793E">
        <w:rPr>
          <w:rFonts w:ascii="Times New Roman" w:eastAsia="Calibri" w:hAnsi="Times New Roman" w:cs="Times New Roman"/>
          <w:color w:val="000000" w:themeColor="text1"/>
          <w:sz w:val="28"/>
          <w:szCs w:val="28"/>
          <w:lang w:val="es-ES"/>
        </w:rPr>
        <w:t xml:space="preserve"> trajo a colación estadísticas de la Unidad de Planificación Rural Agropecuaria y del Tercer Censo Nacional Agropecuario</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que muestran que </w:t>
      </w:r>
      <w:r w:rsidRPr="002A793E">
        <w:rPr>
          <w:rFonts w:ascii="Times New Roman" w:eastAsia="Calibri" w:hAnsi="Times New Roman" w:cs="Times New Roman"/>
          <w:color w:val="000000" w:themeColor="text1"/>
          <w:sz w:val="28"/>
          <w:szCs w:val="28"/>
          <w:lang w:val="es-ES"/>
        </w:rPr>
        <w:t>existe</w:t>
      </w:r>
      <w:r w:rsidRPr="002A793E">
        <w:rPr>
          <w:rFonts w:ascii="Times New Roman" w:eastAsia="Calibri" w:hAnsi="Times New Roman" w:cs="Times New Roman"/>
          <w:color w:val="000000" w:themeColor="text1"/>
          <w:sz w:val="28"/>
          <w:szCs w:val="28"/>
          <w:lang w:val="es-ES"/>
        </w:rPr>
        <w:t xml:space="preserve">n rezagos en el cumplimiento </w:t>
      </w:r>
      <w:r w:rsidRPr="002A793E">
        <w:rPr>
          <w:rFonts w:ascii="Times New Roman" w:eastAsia="Calibri" w:hAnsi="Times New Roman" w:cs="Times New Roman"/>
          <w:color w:val="000000" w:themeColor="text1"/>
          <w:sz w:val="28"/>
          <w:szCs w:val="28"/>
          <w:lang w:val="es-ES"/>
        </w:rPr>
        <w:t>de lo dispuesto en dicho acuerdo frente a</w:t>
      </w:r>
      <w:r w:rsidRPr="002A793E">
        <w:rPr>
          <w:rFonts w:ascii="Times New Roman" w:eastAsia="Calibri" w:hAnsi="Times New Roman" w:cs="Times New Roman"/>
          <w:color w:val="000000" w:themeColor="text1"/>
          <w:sz w:val="28"/>
          <w:szCs w:val="28"/>
          <w:lang w:val="es-ES"/>
        </w:rPr>
        <w:t>l acceso y</w:t>
      </w:r>
      <w:r w:rsidRPr="002A793E">
        <w:rPr>
          <w:rFonts w:ascii="Times New Roman" w:eastAsia="Calibri" w:hAnsi="Times New Roman" w:cs="Times New Roman"/>
          <w:color w:val="000000" w:themeColor="text1"/>
          <w:sz w:val="28"/>
          <w:szCs w:val="28"/>
          <w:lang w:val="es-ES"/>
        </w:rPr>
        <w:t xml:space="preserve"> a</w:t>
      </w:r>
      <w:r w:rsidRPr="002A793E">
        <w:rPr>
          <w:rFonts w:ascii="Times New Roman" w:eastAsia="Calibri" w:hAnsi="Times New Roman" w:cs="Times New Roman"/>
          <w:color w:val="000000" w:themeColor="text1"/>
          <w:sz w:val="28"/>
          <w:szCs w:val="28"/>
          <w:lang w:val="es-ES"/>
        </w:rPr>
        <w:t xml:space="preserve"> la formalización de la tierra</w:t>
      </w:r>
      <w:r w:rsidRPr="002A793E">
        <w:rPr>
          <w:rFonts w:ascii="Times New Roman" w:eastAsia="Calibri" w:hAnsi="Times New Roman" w:cs="Times New Roman"/>
          <w:color w:val="000000" w:themeColor="text1"/>
          <w:sz w:val="28"/>
          <w:szCs w:val="28"/>
          <w:lang w:val="es-ES"/>
        </w:rPr>
        <w:t xml:space="preserve">. </w:t>
      </w:r>
    </w:p>
    <w:p w:rsidR="007B060E" w:rsidRPr="002A793E" w:rsidRDefault="002A793E" w:rsidP="007B060E">
      <w:pPr>
        <w:pStyle w:val="Prrafodelista"/>
        <w:ind w:left="0"/>
        <w:rPr>
          <w:rFonts w:ascii="Times New Roman" w:hAnsi="Times New Roman" w:cs="Times New Roman"/>
          <w:b/>
          <w:sz w:val="28"/>
          <w:szCs w:val="28"/>
          <w:lang w:val="es-ES"/>
        </w:rPr>
      </w:pPr>
    </w:p>
    <w:p w:rsidR="00C12420" w:rsidRPr="002A793E" w:rsidRDefault="002A793E" w:rsidP="00B05DAD">
      <w:pPr>
        <w:pStyle w:val="Prrafodelista"/>
        <w:numPr>
          <w:ilvl w:val="0"/>
          <w:numId w:val="1"/>
        </w:numPr>
        <w:rPr>
          <w:rFonts w:ascii="Times New Roman" w:hAnsi="Times New Roman" w:cs="Times New Roman"/>
          <w:b/>
          <w:sz w:val="28"/>
          <w:szCs w:val="28"/>
          <w:lang w:val="es-ES"/>
        </w:rPr>
      </w:pPr>
      <w:r w:rsidRPr="002A793E">
        <w:rPr>
          <w:rFonts w:ascii="Times New Roman" w:hAnsi="Times New Roman" w:cs="Times New Roman"/>
          <w:b/>
          <w:bCs/>
          <w:color w:val="000000" w:themeColor="text1"/>
          <w:sz w:val="28"/>
          <w:szCs w:val="28"/>
          <w:lang w:val="es-ES"/>
        </w:rPr>
        <w:t>CONCEPTO</w:t>
      </w:r>
      <w:r w:rsidRPr="002A793E">
        <w:rPr>
          <w:rFonts w:ascii="Times New Roman" w:hAnsi="Times New Roman" w:cs="Times New Roman"/>
          <w:b/>
          <w:sz w:val="28"/>
          <w:szCs w:val="28"/>
          <w:lang w:val="es-ES"/>
        </w:rPr>
        <w:t xml:space="preserve"> DE LA </w:t>
      </w:r>
      <w:r w:rsidRPr="002A793E">
        <w:rPr>
          <w:rFonts w:ascii="Times New Roman" w:hAnsi="Times New Roman" w:cs="Times New Roman"/>
          <w:b/>
          <w:bCs/>
          <w:color w:val="000000" w:themeColor="text1"/>
          <w:sz w:val="28"/>
          <w:szCs w:val="28"/>
          <w:lang w:val="es-ES"/>
        </w:rPr>
        <w:t>PROCURADORA</w:t>
      </w:r>
      <w:r w:rsidRPr="002A793E">
        <w:rPr>
          <w:rFonts w:ascii="Times New Roman" w:hAnsi="Times New Roman" w:cs="Times New Roman"/>
          <w:b/>
          <w:sz w:val="28"/>
          <w:szCs w:val="28"/>
          <w:lang w:val="es-ES"/>
        </w:rPr>
        <w:t xml:space="preserve"> GENERAL DE LA NACIÓN</w:t>
      </w:r>
    </w:p>
    <w:p w:rsidR="00C12420" w:rsidRPr="002A793E" w:rsidRDefault="002A793E" w:rsidP="00C12420">
      <w:pPr>
        <w:pStyle w:val="Prrafodelista"/>
        <w:rPr>
          <w:rFonts w:ascii="Times New Roman" w:hAnsi="Times New Roman" w:cs="Times New Roman"/>
          <w:bCs/>
          <w:sz w:val="28"/>
          <w:szCs w:val="28"/>
          <w:lang w:val="es-ES"/>
        </w:rPr>
      </w:pPr>
    </w:p>
    <w:p w:rsidR="00C12420" w:rsidRPr="002A793E" w:rsidRDefault="002A793E" w:rsidP="00E537E1">
      <w:pPr>
        <w:pStyle w:val="Prrafodelista"/>
        <w:numPr>
          <w:ilvl w:val="0"/>
          <w:numId w:val="2"/>
        </w:numPr>
        <w:ind w:left="0" w:firstLine="0"/>
        <w:rPr>
          <w:rFonts w:ascii="Times New Roman" w:eastAsia="Calibri" w:hAnsi="Times New Roman" w:cs="Times New Roman"/>
          <w:b/>
          <w:bCs/>
          <w:color w:val="000000" w:themeColor="text1"/>
          <w:sz w:val="28"/>
          <w:szCs w:val="28"/>
          <w:lang w:val="es-ES"/>
        </w:rPr>
      </w:pPr>
      <w:r w:rsidRPr="002A793E">
        <w:rPr>
          <w:rFonts w:ascii="Times New Roman" w:hAnsi="Times New Roman" w:cs="Times New Roman"/>
          <w:bCs/>
          <w:sz w:val="28"/>
          <w:szCs w:val="28"/>
          <w:lang w:val="es-ES"/>
        </w:rPr>
        <w:t xml:space="preserve">La </w:t>
      </w:r>
      <w:r w:rsidRPr="002A793E">
        <w:rPr>
          <w:rFonts w:ascii="Times New Roman" w:hAnsi="Times New Roman" w:cs="Times New Roman"/>
          <w:bCs/>
          <w:sz w:val="28"/>
          <w:szCs w:val="28"/>
          <w:lang w:val="es-ES"/>
        </w:rPr>
        <w:t>p</w:t>
      </w:r>
      <w:r w:rsidRPr="002A793E">
        <w:rPr>
          <w:rFonts w:ascii="Times New Roman" w:hAnsi="Times New Roman" w:cs="Times New Roman"/>
          <w:bCs/>
          <w:sz w:val="28"/>
          <w:szCs w:val="28"/>
          <w:lang w:val="es-ES"/>
        </w:rPr>
        <w:t xml:space="preserve">rocuradora </w:t>
      </w:r>
      <w:r w:rsidRPr="002A793E">
        <w:rPr>
          <w:rFonts w:ascii="Times New Roman" w:hAnsi="Times New Roman" w:cs="Times New Roman"/>
          <w:bCs/>
          <w:sz w:val="28"/>
          <w:szCs w:val="28"/>
          <w:lang w:val="es-ES"/>
        </w:rPr>
        <w:t>g</w:t>
      </w:r>
      <w:r w:rsidRPr="002A793E">
        <w:rPr>
          <w:rFonts w:ascii="Times New Roman" w:hAnsi="Times New Roman" w:cs="Times New Roman"/>
          <w:bCs/>
          <w:sz w:val="28"/>
          <w:szCs w:val="28"/>
          <w:lang w:val="es-ES"/>
        </w:rPr>
        <w:t xml:space="preserve">eneral de la Nación rindió concepto y solicitó que se declare la </w:t>
      </w:r>
      <w:r w:rsidRPr="002A793E">
        <w:rPr>
          <w:rFonts w:ascii="Times New Roman" w:hAnsi="Times New Roman" w:cs="Times New Roman"/>
          <w:bCs/>
          <w:sz w:val="28"/>
          <w:szCs w:val="28"/>
          <w:lang w:val="es-ES"/>
        </w:rPr>
        <w:t>in</w:t>
      </w:r>
      <w:r w:rsidRPr="002A793E">
        <w:rPr>
          <w:rFonts w:ascii="Times New Roman" w:hAnsi="Times New Roman" w:cs="Times New Roman"/>
          <w:bCs/>
          <w:sz w:val="28"/>
          <w:szCs w:val="28"/>
          <w:lang w:val="es-ES"/>
        </w:rPr>
        <w:t>exequibilidad del</w:t>
      </w:r>
      <w:r w:rsidRPr="002A793E">
        <w:rPr>
          <w:rFonts w:ascii="Times New Roman" w:hAnsi="Times New Roman" w:cs="Times New Roman"/>
          <w:bCs/>
          <w:sz w:val="28"/>
          <w:szCs w:val="28"/>
          <w:lang w:val="es-ES"/>
        </w:rPr>
        <w:t xml:space="preserve"> numeral sexto y </w:t>
      </w:r>
      <w:r w:rsidRPr="002A793E">
        <w:rPr>
          <w:rFonts w:ascii="Times New Roman" w:hAnsi="Times New Roman" w:cs="Times New Roman"/>
          <w:bCs/>
          <w:sz w:val="28"/>
          <w:szCs w:val="28"/>
          <w:lang w:val="es-ES"/>
        </w:rPr>
        <w:t>d</w:t>
      </w:r>
      <w:r w:rsidRPr="002A793E">
        <w:rPr>
          <w:rFonts w:ascii="Times New Roman" w:hAnsi="Times New Roman" w:cs="Times New Roman"/>
          <w:bCs/>
          <w:sz w:val="28"/>
          <w:szCs w:val="28"/>
          <w:lang w:val="es-ES"/>
        </w:rPr>
        <w:t xml:space="preserve">el parágrafo tercero del artículo 61 de la Ley 2294 de 2023, sin perjuicio de estarse a lo resuelto en las sentencias que profiera en los procesos D-15345, D-15380, D-15438 y D-15461, en los </w:t>
      </w:r>
      <w:r w:rsidRPr="002A793E">
        <w:rPr>
          <w:rFonts w:ascii="Times New Roman" w:hAnsi="Times New Roman" w:cs="Times New Roman"/>
          <w:bCs/>
          <w:sz w:val="28"/>
          <w:szCs w:val="28"/>
          <w:lang w:val="es-ES"/>
        </w:rPr>
        <w:t>cuales</w:t>
      </w:r>
      <w:r w:rsidRPr="002A793E">
        <w:rPr>
          <w:rFonts w:ascii="Times New Roman" w:hAnsi="Times New Roman" w:cs="Times New Roman"/>
          <w:bCs/>
          <w:sz w:val="28"/>
          <w:szCs w:val="28"/>
          <w:lang w:val="es-ES"/>
        </w:rPr>
        <w:t xml:space="preserve"> también presentó concepto. </w:t>
      </w:r>
    </w:p>
    <w:p w:rsidR="00E537E1" w:rsidRPr="002A793E" w:rsidRDefault="002A793E" w:rsidP="00E537E1">
      <w:pPr>
        <w:pStyle w:val="Prrafodelista"/>
        <w:ind w:left="0"/>
        <w:rPr>
          <w:rFonts w:ascii="Times New Roman" w:eastAsia="Calibri" w:hAnsi="Times New Roman" w:cs="Times New Roman"/>
          <w:b/>
          <w:bCs/>
          <w:color w:val="000000" w:themeColor="text1"/>
          <w:sz w:val="28"/>
          <w:szCs w:val="28"/>
          <w:lang w:val="es-ES"/>
        </w:rPr>
      </w:pPr>
    </w:p>
    <w:p w:rsidR="00E537E1" w:rsidRPr="002A793E" w:rsidRDefault="002A793E" w:rsidP="00E537E1">
      <w:pPr>
        <w:pStyle w:val="Prrafodelista"/>
        <w:numPr>
          <w:ilvl w:val="0"/>
          <w:numId w:val="2"/>
        </w:numPr>
        <w:ind w:left="0" w:firstLine="0"/>
        <w:rPr>
          <w:rFonts w:ascii="Times New Roman" w:eastAsia="Calibri" w:hAnsi="Times New Roman" w:cs="Times New Roman"/>
          <w:b/>
          <w:bCs/>
          <w:color w:val="000000" w:themeColor="text1"/>
          <w:sz w:val="28"/>
          <w:szCs w:val="28"/>
          <w:lang w:val="es-ES"/>
        </w:rPr>
      </w:pPr>
      <w:r w:rsidRPr="002A793E">
        <w:rPr>
          <w:rFonts w:ascii="Times New Roman" w:eastAsia="Calibri" w:hAnsi="Times New Roman" w:cs="Times New Roman"/>
          <w:color w:val="000000" w:themeColor="text1"/>
          <w:sz w:val="28"/>
          <w:szCs w:val="28"/>
          <w:lang w:val="es-ES"/>
        </w:rPr>
        <w:t>Frente al</w:t>
      </w:r>
      <w:r w:rsidRPr="002A793E">
        <w:rPr>
          <w:rFonts w:ascii="Times New Roman" w:eastAsia="Calibri" w:hAnsi="Times New Roman" w:cs="Times New Roman"/>
          <w:b/>
          <w:bCs/>
          <w:color w:val="000000" w:themeColor="text1"/>
          <w:sz w:val="28"/>
          <w:szCs w:val="28"/>
          <w:lang w:val="es-ES"/>
        </w:rPr>
        <w:t xml:space="preserve"> cargo primero </w:t>
      </w:r>
      <w:r w:rsidRPr="002A793E">
        <w:rPr>
          <w:rFonts w:ascii="Times New Roman" w:eastAsia="Calibri" w:hAnsi="Times New Roman" w:cs="Times New Roman"/>
          <w:color w:val="000000" w:themeColor="text1"/>
          <w:sz w:val="28"/>
          <w:szCs w:val="28"/>
          <w:lang w:val="es-ES"/>
        </w:rPr>
        <w:t>de la demanda, la</w:t>
      </w:r>
      <w:r w:rsidRPr="002A793E">
        <w:rPr>
          <w:rFonts w:ascii="Times New Roman" w:eastAsia="Calibri" w:hAnsi="Times New Roman" w:cs="Times New Roman"/>
          <w:b/>
          <w:bCs/>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 xml:space="preserve">procuradora general de la Nación </w:t>
      </w:r>
      <w:r w:rsidRPr="002A793E">
        <w:rPr>
          <w:rFonts w:ascii="Times New Roman" w:eastAsia="Calibri" w:hAnsi="Times New Roman" w:cs="Times New Roman"/>
          <w:color w:val="000000" w:themeColor="text1"/>
          <w:sz w:val="28"/>
          <w:szCs w:val="28"/>
          <w:lang w:val="es-ES"/>
        </w:rPr>
        <w:t>reiteró que las normas acusadas</w:t>
      </w:r>
      <w:r w:rsidRPr="002A793E">
        <w:rPr>
          <w:rFonts w:ascii="Times New Roman" w:eastAsia="Calibri" w:hAnsi="Times New Roman" w:cs="Times New Roman"/>
          <w:color w:val="000000" w:themeColor="text1"/>
          <w:sz w:val="28"/>
          <w:szCs w:val="28"/>
          <w:lang w:val="es-ES"/>
        </w:rPr>
        <w:t>, contenidas en el artículo 61 de la Ley 2294 de 2023,</w:t>
      </w:r>
      <w:r w:rsidRPr="002A793E">
        <w:rPr>
          <w:rFonts w:ascii="Times New Roman" w:eastAsia="Calibri" w:hAnsi="Times New Roman" w:cs="Times New Roman"/>
          <w:color w:val="000000" w:themeColor="text1"/>
          <w:sz w:val="28"/>
          <w:szCs w:val="28"/>
          <w:lang w:val="es-ES"/>
        </w:rPr>
        <w:t xml:space="preserve"> desconocieron el principio de publicidad. Así, esas disposiciones</w:t>
      </w:r>
      <w:r w:rsidRPr="002A793E">
        <w:rPr>
          <w:rFonts w:ascii="Times New Roman" w:eastAsia="Calibri" w:hAnsi="Times New Roman" w:cs="Times New Roman"/>
          <w:color w:val="000000" w:themeColor="text1"/>
          <w:sz w:val="28"/>
          <w:szCs w:val="28"/>
          <w:lang w:val="es-ES"/>
        </w:rPr>
        <w:t xml:space="preserve"> tuvieron como origen proposiciones radicadas con posterioridad a la publicación del informe de ponencia para segundo debate en la Plenaria del Senado y la mesa directiva de dicha asamblea omitió leerl</w:t>
      </w:r>
      <w:r w:rsidRPr="002A793E">
        <w:rPr>
          <w:rFonts w:ascii="Times New Roman" w:eastAsia="Calibri" w:hAnsi="Times New Roman" w:cs="Times New Roman"/>
          <w:color w:val="000000" w:themeColor="text1"/>
          <w:sz w:val="28"/>
          <w:szCs w:val="28"/>
          <w:lang w:val="es-ES"/>
        </w:rPr>
        <w:t>a</w:t>
      </w:r>
      <w:r w:rsidRPr="002A793E">
        <w:rPr>
          <w:rFonts w:ascii="Times New Roman" w:eastAsia="Calibri" w:hAnsi="Times New Roman" w:cs="Times New Roman"/>
          <w:color w:val="000000" w:themeColor="text1"/>
          <w:sz w:val="28"/>
          <w:szCs w:val="28"/>
          <w:lang w:val="es-ES"/>
        </w:rPr>
        <w:t xml:space="preserve">s. </w:t>
      </w:r>
    </w:p>
    <w:p w:rsidR="000848D1" w:rsidRPr="002A793E" w:rsidRDefault="002A793E" w:rsidP="000848D1">
      <w:pPr>
        <w:pStyle w:val="Prrafodelista"/>
        <w:rPr>
          <w:rFonts w:ascii="Times New Roman" w:eastAsia="Calibri" w:hAnsi="Times New Roman" w:cs="Times New Roman"/>
          <w:b/>
          <w:bCs/>
          <w:color w:val="000000" w:themeColor="text1"/>
          <w:sz w:val="28"/>
          <w:szCs w:val="28"/>
          <w:lang w:val="es-ES"/>
        </w:rPr>
      </w:pPr>
    </w:p>
    <w:p w:rsidR="000848D1" w:rsidRPr="002A793E" w:rsidRDefault="002A793E" w:rsidP="00E537E1">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Frente </w:t>
      </w:r>
      <w:r w:rsidRPr="002A793E">
        <w:rPr>
          <w:rFonts w:ascii="Times New Roman" w:eastAsia="Calibri" w:hAnsi="Times New Roman" w:cs="Times New Roman"/>
          <w:b/>
          <w:bCs/>
          <w:color w:val="000000" w:themeColor="text1"/>
          <w:sz w:val="28"/>
          <w:szCs w:val="28"/>
          <w:lang w:val="es-ES"/>
        </w:rPr>
        <w:t>al carg</w:t>
      </w:r>
      <w:r w:rsidRPr="002A793E">
        <w:rPr>
          <w:rFonts w:ascii="Times New Roman" w:eastAsia="Calibri" w:hAnsi="Times New Roman" w:cs="Times New Roman"/>
          <w:b/>
          <w:bCs/>
          <w:color w:val="000000" w:themeColor="text1"/>
          <w:sz w:val="28"/>
          <w:szCs w:val="28"/>
          <w:lang w:val="es-ES"/>
        </w:rPr>
        <w:t>o se</w:t>
      </w:r>
      <w:r w:rsidRPr="002A793E">
        <w:rPr>
          <w:rFonts w:ascii="Times New Roman" w:eastAsia="Calibri" w:hAnsi="Times New Roman" w:cs="Times New Roman"/>
          <w:b/>
          <w:bCs/>
          <w:color w:val="000000" w:themeColor="text1"/>
          <w:sz w:val="28"/>
          <w:szCs w:val="28"/>
          <w:lang w:val="es-ES"/>
        </w:rPr>
        <w:t>g</w:t>
      </w:r>
      <w:r w:rsidRPr="002A793E">
        <w:rPr>
          <w:rFonts w:ascii="Times New Roman" w:eastAsia="Calibri" w:hAnsi="Times New Roman" w:cs="Times New Roman"/>
          <w:b/>
          <w:bCs/>
          <w:color w:val="000000" w:themeColor="text1"/>
          <w:sz w:val="28"/>
          <w:szCs w:val="28"/>
          <w:lang w:val="es-ES"/>
        </w:rPr>
        <w:t>und</w:t>
      </w:r>
      <w:r w:rsidRPr="002A793E">
        <w:rPr>
          <w:rFonts w:ascii="Times New Roman" w:eastAsia="Calibri" w:hAnsi="Times New Roman" w:cs="Times New Roman"/>
          <w:b/>
          <w:bCs/>
          <w:color w:val="000000" w:themeColor="text1"/>
          <w:sz w:val="28"/>
          <w:szCs w:val="28"/>
          <w:lang w:val="es-ES"/>
        </w:rPr>
        <w:t>o</w:t>
      </w:r>
      <w:r w:rsidRPr="002A793E">
        <w:rPr>
          <w:rFonts w:ascii="Times New Roman" w:eastAsia="Calibri" w:hAnsi="Times New Roman" w:cs="Times New Roman"/>
          <w:color w:val="000000" w:themeColor="text1"/>
          <w:sz w:val="28"/>
          <w:szCs w:val="28"/>
          <w:lang w:val="es-ES"/>
        </w:rPr>
        <w:t xml:space="preserve"> de la demanda, el concepto adujo que el artículo 61 (parcial) de la Ley 2294 de 2023 infringió el principio de unidad de materia. En efecto, no existe una conexión directa e inmediata entre los apartes normativos acusados y las metas del </w:t>
      </w:r>
      <w:r w:rsidRPr="002A793E">
        <w:rPr>
          <w:rFonts w:ascii="Times New Roman" w:eastAsia="Calibri" w:hAnsi="Times New Roman" w:cs="Times New Roman"/>
          <w:color w:val="000000" w:themeColor="text1"/>
          <w:sz w:val="28"/>
          <w:szCs w:val="28"/>
          <w:lang w:val="es-ES"/>
        </w:rPr>
        <w:t xml:space="preserve">PND </w:t>
      </w:r>
      <w:r w:rsidRPr="002A793E">
        <w:rPr>
          <w:rFonts w:ascii="Times New Roman" w:eastAsia="Calibri" w:hAnsi="Times New Roman" w:cs="Times New Roman"/>
          <w:color w:val="000000" w:themeColor="text1"/>
          <w:sz w:val="28"/>
          <w:szCs w:val="28"/>
          <w:lang w:val="es-ES"/>
        </w:rPr>
        <w:t>2022-2026</w:t>
      </w:r>
      <w:r w:rsidRPr="002A793E">
        <w:rPr>
          <w:rFonts w:ascii="Times New Roman" w:eastAsia="Calibri" w:hAnsi="Times New Roman" w:cs="Times New Roman"/>
          <w:color w:val="000000" w:themeColor="text1"/>
          <w:sz w:val="28"/>
          <w:szCs w:val="28"/>
          <w:lang w:val="es-ES"/>
        </w:rPr>
        <w:t>. En</w:t>
      </w:r>
      <w:r w:rsidRPr="002A793E">
        <w:rPr>
          <w:rFonts w:ascii="Times New Roman" w:eastAsia="Calibri" w:hAnsi="Times New Roman" w:cs="Times New Roman"/>
          <w:color w:val="000000" w:themeColor="text1"/>
          <w:sz w:val="28"/>
          <w:szCs w:val="28"/>
          <w:lang w:val="es-ES"/>
        </w:rPr>
        <w:t xml:space="preserve"> particular, la desjudicialización de algunas etapas de los procesos especiales agrarios sólo guarda una relación genérica e hipotética con el fin de optimizar el acceso de los campesinos a la tierra, pues en el trámite, el articulado y los anexos de la le</w:t>
      </w:r>
      <w:r w:rsidRPr="002A793E">
        <w:rPr>
          <w:rFonts w:ascii="Times New Roman" w:eastAsia="Calibri" w:hAnsi="Times New Roman" w:cs="Times New Roman"/>
          <w:color w:val="000000" w:themeColor="text1"/>
          <w:sz w:val="28"/>
          <w:szCs w:val="28"/>
          <w:lang w:val="es-ES"/>
        </w:rPr>
        <w:t>y 2294 de 2023 no se explicó la justificación técnica de dicha conexidad. Además, a juicio de la procuradora general de la Nación, las disposiciones demandadas no se ajustan a la naturaleza temporal de las leyes de PND, pues modifica</w:t>
      </w:r>
      <w:r w:rsidRPr="002A793E">
        <w:rPr>
          <w:rFonts w:ascii="Times New Roman" w:eastAsia="Calibri" w:hAnsi="Times New Roman" w:cs="Times New Roman"/>
          <w:color w:val="000000" w:themeColor="text1"/>
          <w:sz w:val="28"/>
          <w:szCs w:val="28"/>
          <w:lang w:val="es-ES"/>
        </w:rPr>
        <w:t>ron</w:t>
      </w:r>
      <w:r w:rsidRPr="002A793E">
        <w:rPr>
          <w:rFonts w:ascii="Times New Roman" w:eastAsia="Calibri" w:hAnsi="Times New Roman" w:cs="Times New Roman"/>
          <w:color w:val="000000" w:themeColor="text1"/>
          <w:sz w:val="28"/>
          <w:szCs w:val="28"/>
          <w:lang w:val="es-ES"/>
        </w:rPr>
        <w:t xml:space="preserve"> los procesos agrari</w:t>
      </w:r>
      <w:r w:rsidRPr="002A793E">
        <w:rPr>
          <w:rFonts w:ascii="Times New Roman" w:eastAsia="Calibri" w:hAnsi="Times New Roman" w:cs="Times New Roman"/>
          <w:color w:val="000000" w:themeColor="text1"/>
          <w:sz w:val="28"/>
          <w:szCs w:val="28"/>
          <w:lang w:val="es-ES"/>
        </w:rPr>
        <w:t>os con vocación de permanencia. Por lo tanto, todo indica que los apartados acusados del artículo 61 de la Ley 2294 de 2023 tienen por finalidad superar deficiencias origina</w:t>
      </w:r>
      <w:r w:rsidRPr="002A793E">
        <w:rPr>
          <w:rFonts w:ascii="Times New Roman" w:eastAsia="Calibri" w:hAnsi="Times New Roman" w:cs="Times New Roman"/>
          <w:color w:val="000000" w:themeColor="text1"/>
          <w:sz w:val="28"/>
          <w:szCs w:val="28"/>
          <w:lang w:val="es-ES"/>
        </w:rPr>
        <w:t>da</w:t>
      </w:r>
      <w:r w:rsidRPr="002A793E">
        <w:rPr>
          <w:rFonts w:ascii="Times New Roman" w:eastAsia="Calibri" w:hAnsi="Times New Roman" w:cs="Times New Roman"/>
          <w:color w:val="000000" w:themeColor="text1"/>
          <w:sz w:val="28"/>
          <w:szCs w:val="28"/>
          <w:lang w:val="es-ES"/>
        </w:rPr>
        <w:t xml:space="preserve">s en la legislación ordinaria vigente y no materializar los programas </w:t>
      </w:r>
      <w:r w:rsidRPr="002A793E">
        <w:rPr>
          <w:rFonts w:ascii="Times New Roman" w:eastAsia="Calibri" w:hAnsi="Times New Roman" w:cs="Times New Roman"/>
          <w:color w:val="000000" w:themeColor="text1"/>
          <w:sz w:val="28"/>
          <w:szCs w:val="28"/>
          <w:lang w:val="es-ES"/>
        </w:rPr>
        <w:t>cuatrienale</w:t>
      </w:r>
      <w:r w:rsidRPr="002A793E">
        <w:rPr>
          <w:rFonts w:ascii="Times New Roman" w:eastAsia="Calibri" w:hAnsi="Times New Roman" w:cs="Times New Roman"/>
          <w:color w:val="000000" w:themeColor="text1"/>
          <w:sz w:val="28"/>
          <w:szCs w:val="28"/>
          <w:lang w:val="es-ES"/>
        </w:rPr>
        <w:t xml:space="preserve">s </w:t>
      </w:r>
      <w:r w:rsidRPr="002A793E">
        <w:rPr>
          <w:rFonts w:ascii="Times New Roman" w:eastAsia="Calibri" w:hAnsi="Times New Roman" w:cs="Times New Roman"/>
          <w:color w:val="000000" w:themeColor="text1"/>
          <w:sz w:val="28"/>
          <w:szCs w:val="28"/>
          <w:lang w:val="es-ES"/>
        </w:rPr>
        <w:t>del Gobierno nacional.</w:t>
      </w:r>
    </w:p>
    <w:p w:rsidR="00EA02B7" w:rsidRPr="002A793E" w:rsidRDefault="002A793E" w:rsidP="00EA02B7">
      <w:pPr>
        <w:rPr>
          <w:rFonts w:ascii="Times New Roman" w:eastAsia="Calibri" w:hAnsi="Times New Roman" w:cs="Times New Roman"/>
          <w:color w:val="000000" w:themeColor="text1"/>
          <w:sz w:val="28"/>
          <w:szCs w:val="28"/>
          <w:lang w:val="es-ES"/>
        </w:rPr>
      </w:pPr>
    </w:p>
    <w:p w:rsidR="000C0D74" w:rsidRPr="002A793E" w:rsidRDefault="002A793E" w:rsidP="008A432D">
      <w:pPr>
        <w:pStyle w:val="Prrafodelista"/>
        <w:numPr>
          <w:ilvl w:val="0"/>
          <w:numId w:val="2"/>
        </w:numPr>
        <w:ind w:left="0" w:firstLine="0"/>
        <w:rPr>
          <w:rFonts w:ascii="Times New Roman" w:eastAsia="Calibri" w:hAnsi="Times New Roman" w:cs="Times New Roman"/>
          <w:color w:val="000000" w:themeColor="text1"/>
          <w:sz w:val="28"/>
          <w:szCs w:val="28"/>
          <w:lang w:val="es-ES"/>
        </w:rPr>
      </w:pPr>
      <w:r w:rsidRPr="002A793E">
        <w:rPr>
          <w:rFonts w:ascii="Times New Roman" w:eastAsia="Calibri" w:hAnsi="Times New Roman" w:cs="Times New Roman"/>
          <w:color w:val="000000" w:themeColor="text1"/>
          <w:sz w:val="28"/>
          <w:szCs w:val="28"/>
          <w:lang w:val="es-ES"/>
        </w:rPr>
        <w:t xml:space="preserve">Frente al </w:t>
      </w:r>
      <w:r w:rsidRPr="002A793E">
        <w:rPr>
          <w:rFonts w:ascii="Times New Roman" w:eastAsia="Calibri" w:hAnsi="Times New Roman" w:cs="Times New Roman"/>
          <w:b/>
          <w:bCs/>
          <w:color w:val="000000" w:themeColor="text1"/>
          <w:sz w:val="28"/>
          <w:szCs w:val="28"/>
          <w:lang w:val="es-ES"/>
        </w:rPr>
        <w:t>carg</w:t>
      </w:r>
      <w:r w:rsidRPr="002A793E">
        <w:rPr>
          <w:rFonts w:ascii="Times New Roman" w:eastAsia="Calibri" w:hAnsi="Times New Roman" w:cs="Times New Roman"/>
          <w:b/>
          <w:bCs/>
          <w:color w:val="000000" w:themeColor="text1"/>
          <w:sz w:val="28"/>
          <w:szCs w:val="28"/>
          <w:lang w:val="es-ES"/>
        </w:rPr>
        <w:t>o tercer</w:t>
      </w:r>
      <w:r w:rsidRPr="002A793E">
        <w:rPr>
          <w:rFonts w:ascii="Times New Roman" w:eastAsia="Calibri" w:hAnsi="Times New Roman" w:cs="Times New Roman"/>
          <w:b/>
          <w:bCs/>
          <w:color w:val="000000" w:themeColor="text1"/>
          <w:sz w:val="28"/>
          <w:szCs w:val="28"/>
          <w:lang w:val="es-ES"/>
        </w:rPr>
        <w:t>o</w:t>
      </w:r>
      <w:r w:rsidRPr="002A793E">
        <w:rPr>
          <w:rFonts w:ascii="Times New Roman" w:eastAsia="Calibri" w:hAnsi="Times New Roman" w:cs="Times New Roman"/>
          <w:color w:val="000000" w:themeColor="text1"/>
          <w:sz w:val="28"/>
          <w:szCs w:val="28"/>
          <w:lang w:val="es-ES"/>
        </w:rPr>
        <w:t xml:space="preserve"> de la demanda, </w:t>
      </w:r>
      <w:r w:rsidRPr="002A793E">
        <w:rPr>
          <w:rFonts w:ascii="Times New Roman" w:eastAsia="Calibri" w:hAnsi="Times New Roman" w:cs="Times New Roman"/>
          <w:color w:val="000000" w:themeColor="text1"/>
          <w:sz w:val="28"/>
          <w:szCs w:val="28"/>
          <w:lang w:val="es-ES"/>
        </w:rPr>
        <w:t>el concepto adujo que</w:t>
      </w:r>
      <w:r w:rsidRPr="002A793E">
        <w:rPr>
          <w:rFonts w:ascii="Times New Roman" w:eastAsia="Calibri" w:hAnsi="Times New Roman" w:cs="Times New Roman"/>
          <w:color w:val="000000" w:themeColor="text1"/>
          <w:sz w:val="28"/>
          <w:szCs w:val="28"/>
          <w:lang w:val="es-ES"/>
        </w:rPr>
        <w:t xml:space="preserve"> </w:t>
      </w:r>
      <w:r w:rsidRPr="002A793E">
        <w:rPr>
          <w:rFonts w:ascii="Times New Roman" w:eastAsia="Calibri" w:hAnsi="Times New Roman" w:cs="Times New Roman"/>
          <w:color w:val="000000" w:themeColor="text1"/>
          <w:sz w:val="28"/>
          <w:szCs w:val="28"/>
          <w:lang w:val="es-ES"/>
        </w:rPr>
        <w:t>las normas acusadas son contrarias a los derechos fundamentales de acceso a la administración de jus</w:t>
      </w:r>
      <w:r w:rsidRPr="002A793E">
        <w:rPr>
          <w:rFonts w:ascii="Times New Roman" w:eastAsia="Calibri" w:hAnsi="Times New Roman" w:cs="Times New Roman"/>
          <w:color w:val="000000" w:themeColor="text1"/>
          <w:sz w:val="28"/>
          <w:szCs w:val="28"/>
          <w:lang w:val="es-ES"/>
        </w:rPr>
        <w:t>ticia, a la tutela judicial efectiva y a la propiedad privada.</w:t>
      </w:r>
      <w:r w:rsidRPr="002A793E">
        <w:rPr>
          <w:rFonts w:ascii="Times New Roman" w:eastAsia="Calibri" w:hAnsi="Times New Roman" w:cs="Times New Roman"/>
          <w:color w:val="000000" w:themeColor="text1"/>
          <w:sz w:val="28"/>
          <w:szCs w:val="28"/>
          <w:lang w:val="es-ES"/>
        </w:rPr>
        <w:t xml:space="preserve"> Lo anterior por cuanto la desjudicialización no parece idónea para mejorar la eficiencia y la celeridad de los procedimientos especiales agrarios</w:t>
      </w:r>
      <w:r w:rsidRPr="002A793E">
        <w:rPr>
          <w:rFonts w:ascii="Times New Roman" w:eastAsia="Calibri" w:hAnsi="Times New Roman" w:cs="Times New Roman"/>
          <w:color w:val="000000" w:themeColor="text1"/>
          <w:sz w:val="28"/>
          <w:szCs w:val="28"/>
          <w:lang w:val="es-ES"/>
        </w:rPr>
        <w:t xml:space="preserve">. Tampoco es una medida que sea conforme a las políticas gubernamentales dirigidas a implementar y fortalecer </w:t>
      </w:r>
      <w:r w:rsidRPr="002A793E">
        <w:rPr>
          <w:rFonts w:ascii="Times New Roman" w:eastAsia="Calibri" w:hAnsi="Times New Roman" w:cs="Times New Roman"/>
          <w:color w:val="000000" w:themeColor="text1"/>
          <w:sz w:val="28"/>
          <w:szCs w:val="28"/>
          <w:lang w:val="es-ES"/>
        </w:rPr>
        <w:t xml:space="preserve">la jurisdicción ordinaria agraria en el marco de la implementación del Acuerdo Final para la Terminación del Conflicto y la Construcción de una Paz Estable y Duradera. </w:t>
      </w:r>
    </w:p>
    <w:p w:rsidR="002F69AA" w:rsidRPr="002A793E" w:rsidRDefault="002A793E" w:rsidP="008A432D">
      <w:pPr>
        <w:pStyle w:val="Prrafodelista"/>
        <w:spacing w:line="360" w:lineRule="atLeast"/>
        <w:ind w:left="0"/>
        <w:rPr>
          <w:rFonts w:ascii="Times New Roman" w:hAnsi="Times New Roman" w:cs="Times New Roman"/>
          <w:sz w:val="28"/>
          <w:lang w:val="es-ES"/>
        </w:rPr>
      </w:pPr>
    </w:p>
    <w:p w:rsidR="008A432D" w:rsidRPr="002A793E" w:rsidRDefault="002A793E" w:rsidP="008A432D">
      <w:pPr>
        <w:pStyle w:val="Prrafodelista"/>
        <w:numPr>
          <w:ilvl w:val="0"/>
          <w:numId w:val="1"/>
        </w:numPr>
        <w:rPr>
          <w:rFonts w:ascii="Times New Roman" w:hAnsi="Times New Roman" w:cs="Times New Roman"/>
          <w:b/>
          <w:bCs/>
          <w:color w:val="000000" w:themeColor="text1"/>
          <w:sz w:val="28"/>
          <w:szCs w:val="28"/>
          <w:lang w:val="es-ES"/>
        </w:rPr>
      </w:pPr>
      <w:r w:rsidRPr="002A793E">
        <w:rPr>
          <w:rFonts w:ascii="Times New Roman" w:hAnsi="Times New Roman" w:cs="Times New Roman"/>
          <w:b/>
          <w:bCs/>
          <w:color w:val="000000" w:themeColor="text1"/>
          <w:sz w:val="28"/>
          <w:szCs w:val="28"/>
          <w:lang w:val="es-ES"/>
        </w:rPr>
        <w:t>CONSIDERACIONES</w:t>
      </w:r>
    </w:p>
    <w:p w:rsidR="008A432D" w:rsidRPr="002A793E" w:rsidRDefault="002A793E" w:rsidP="008A432D">
      <w:pPr>
        <w:spacing w:line="360" w:lineRule="atLeast"/>
        <w:rPr>
          <w:rFonts w:ascii="Times New Roman" w:hAnsi="Times New Roman" w:cs="Times New Roman"/>
          <w:b/>
          <w:sz w:val="28"/>
          <w:szCs w:val="28"/>
          <w:lang w:val="es-ES"/>
        </w:rPr>
      </w:pPr>
    </w:p>
    <w:p w:rsidR="008A432D" w:rsidRPr="002A793E" w:rsidRDefault="002A793E" w:rsidP="00EE7A55">
      <w:pPr>
        <w:pStyle w:val="Prrafodelista"/>
        <w:numPr>
          <w:ilvl w:val="1"/>
          <w:numId w:val="5"/>
        </w:numPr>
        <w:spacing w:line="360" w:lineRule="atLeast"/>
        <w:rPr>
          <w:rFonts w:ascii="Times New Roman" w:hAnsi="Times New Roman" w:cs="Times New Roman"/>
          <w:b/>
          <w:sz w:val="28"/>
          <w:szCs w:val="28"/>
          <w:lang w:val="es-ES"/>
        </w:rPr>
      </w:pPr>
      <w:r w:rsidRPr="002A793E">
        <w:rPr>
          <w:rFonts w:ascii="Times New Roman" w:hAnsi="Times New Roman" w:cs="Times New Roman"/>
          <w:b/>
          <w:sz w:val="28"/>
          <w:szCs w:val="28"/>
          <w:lang w:val="es-ES"/>
        </w:rPr>
        <w:t>Competencia</w:t>
      </w:r>
    </w:p>
    <w:p w:rsidR="008A432D" w:rsidRPr="002A793E" w:rsidRDefault="002A793E" w:rsidP="008A432D">
      <w:pPr>
        <w:spacing w:line="360" w:lineRule="atLeast"/>
        <w:rPr>
          <w:rFonts w:ascii="Times New Roman" w:hAnsi="Times New Roman" w:cs="Times New Roman"/>
          <w:sz w:val="28"/>
          <w:szCs w:val="28"/>
          <w:lang w:val="es-ES"/>
        </w:rPr>
      </w:pPr>
    </w:p>
    <w:p w:rsidR="00280750" w:rsidRPr="002A793E" w:rsidRDefault="002A793E" w:rsidP="00280750">
      <w:pPr>
        <w:pStyle w:val="Prrafodelista"/>
        <w:numPr>
          <w:ilvl w:val="0"/>
          <w:numId w:val="2"/>
        </w:numPr>
        <w:ind w:left="0" w:firstLine="0"/>
        <w:rPr>
          <w:rFonts w:ascii="Times New Roman" w:hAnsi="Times New Roman" w:cs="Times New Roman"/>
          <w:sz w:val="28"/>
          <w:szCs w:val="28"/>
          <w:lang w:val="es-ES"/>
        </w:rPr>
      </w:pPr>
      <w:r w:rsidRPr="002A793E">
        <w:rPr>
          <w:rFonts w:ascii="Times New Roman" w:hAnsi="Times New Roman" w:cs="Times New Roman"/>
          <w:sz w:val="28"/>
          <w:szCs w:val="28"/>
          <w:lang w:val="es-ES"/>
        </w:rPr>
        <w:t xml:space="preserve">De conformidad con lo dispuesto en el artículo 241.4 de </w:t>
      </w:r>
      <w:r w:rsidRPr="002A793E">
        <w:rPr>
          <w:rFonts w:ascii="Times New Roman" w:hAnsi="Times New Roman" w:cs="Times New Roman"/>
          <w:sz w:val="28"/>
          <w:szCs w:val="28"/>
          <w:lang w:val="es-ES"/>
        </w:rPr>
        <w:t>la Constitución Política, la Corte es competente para conocer y decidir definitivamente sobre las demandas de inconstitucionalidad presentadas dentro de las actuaciones de la referencia, dado que en ellas se cuestionan normas contenidas en una ley de la Re</w:t>
      </w:r>
      <w:r w:rsidRPr="002A793E">
        <w:rPr>
          <w:rFonts w:ascii="Times New Roman" w:hAnsi="Times New Roman" w:cs="Times New Roman"/>
          <w:sz w:val="28"/>
          <w:szCs w:val="28"/>
          <w:lang w:val="es-ES"/>
        </w:rPr>
        <w:t>pública</w:t>
      </w:r>
      <w:r w:rsidRPr="002A793E">
        <w:rPr>
          <w:rFonts w:ascii="Times New Roman" w:hAnsi="Times New Roman" w:cs="Times New Roman"/>
          <w:bCs/>
          <w:sz w:val="28"/>
          <w:szCs w:val="28"/>
          <w:lang w:val="es-ES"/>
        </w:rPr>
        <w:t>.</w:t>
      </w:r>
    </w:p>
    <w:p w:rsidR="00162990" w:rsidRPr="002A793E" w:rsidRDefault="002A793E" w:rsidP="00280750">
      <w:pPr>
        <w:pStyle w:val="Prrafodelista"/>
        <w:ind w:left="0"/>
        <w:rPr>
          <w:rFonts w:ascii="Times New Roman" w:eastAsia="Times New Roman" w:hAnsi="Times New Roman" w:cs="Times New Roman"/>
          <w:bCs/>
          <w:spacing w:val="4"/>
          <w:sz w:val="28"/>
          <w:szCs w:val="28"/>
          <w:lang w:val="es-ES" w:eastAsia="es-ES"/>
        </w:rPr>
      </w:pPr>
    </w:p>
    <w:p w:rsidR="00C12420" w:rsidRPr="002A793E" w:rsidRDefault="002A793E" w:rsidP="00EE7A55">
      <w:pPr>
        <w:pStyle w:val="Prrafodelista"/>
        <w:numPr>
          <w:ilvl w:val="1"/>
          <w:numId w:val="5"/>
        </w:numPr>
        <w:spacing w:line="360" w:lineRule="atLeast"/>
        <w:rPr>
          <w:rFonts w:ascii="Times New Roman" w:hAnsi="Times New Roman" w:cs="Times New Roman"/>
          <w:b/>
          <w:sz w:val="28"/>
          <w:szCs w:val="28"/>
          <w:lang w:val="es-ES"/>
        </w:rPr>
      </w:pPr>
      <w:r w:rsidRPr="002A793E">
        <w:rPr>
          <w:rFonts w:ascii="Times New Roman" w:hAnsi="Times New Roman" w:cs="Times New Roman"/>
          <w:b/>
          <w:sz w:val="28"/>
          <w:szCs w:val="28"/>
          <w:lang w:val="es-ES"/>
        </w:rPr>
        <w:t xml:space="preserve"> </w:t>
      </w:r>
      <w:r w:rsidRPr="002A793E">
        <w:rPr>
          <w:rFonts w:ascii="Times New Roman" w:hAnsi="Times New Roman" w:cs="Times New Roman"/>
          <w:b/>
          <w:sz w:val="28"/>
          <w:szCs w:val="28"/>
          <w:lang w:val="es-ES"/>
        </w:rPr>
        <w:t xml:space="preserve">Cuestión </w:t>
      </w:r>
      <w:r w:rsidRPr="002A793E">
        <w:rPr>
          <w:rFonts w:ascii="Times New Roman" w:hAnsi="Times New Roman" w:cs="Times New Roman"/>
          <w:b/>
          <w:sz w:val="28"/>
          <w:szCs w:val="28"/>
          <w:lang w:val="es-ES"/>
        </w:rPr>
        <w:t xml:space="preserve">previa: análisis de la cosa juzgada </w:t>
      </w:r>
    </w:p>
    <w:p w:rsidR="007968CA" w:rsidRPr="002A793E" w:rsidRDefault="002A793E" w:rsidP="00C12420">
      <w:pPr>
        <w:pStyle w:val="Sinespaciado"/>
        <w:rPr>
          <w:rFonts w:ascii="Times New Roman" w:hAnsi="Times New Roman"/>
          <w:sz w:val="28"/>
          <w:szCs w:val="28"/>
          <w:lang w:val="es-ES"/>
        </w:rPr>
      </w:pPr>
    </w:p>
    <w:p w:rsidR="009F1C57" w:rsidRPr="002A793E" w:rsidRDefault="002A793E" w:rsidP="00AD6E8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La Sala Plena encuentra que es necesario pronunciarse sobre la eventual configuración de la cosa juzgada respecto de la</w:t>
      </w:r>
      <w:r w:rsidRPr="002A793E">
        <w:rPr>
          <w:rFonts w:ascii="Times New Roman" w:hAnsi="Times New Roman" w:cs="Times New Roman"/>
          <w:color w:val="000000" w:themeColor="text1"/>
          <w:sz w:val="28"/>
          <w:szCs w:val="28"/>
          <w:lang w:val="es-ES"/>
        </w:rPr>
        <w:t>s</w:t>
      </w:r>
      <w:r w:rsidRPr="002A793E">
        <w:rPr>
          <w:rFonts w:ascii="Times New Roman" w:hAnsi="Times New Roman" w:cs="Times New Roman"/>
          <w:color w:val="000000" w:themeColor="text1"/>
          <w:sz w:val="28"/>
          <w:szCs w:val="28"/>
          <w:lang w:val="es-ES"/>
        </w:rPr>
        <w:t xml:space="preserve"> disposici</w:t>
      </w:r>
      <w:r w:rsidRPr="002A793E">
        <w:rPr>
          <w:rFonts w:ascii="Times New Roman" w:hAnsi="Times New Roman" w:cs="Times New Roman"/>
          <w:color w:val="000000" w:themeColor="text1"/>
          <w:sz w:val="28"/>
          <w:szCs w:val="28"/>
          <w:lang w:val="es-ES"/>
        </w:rPr>
        <w:t>ones</w:t>
      </w:r>
      <w:r w:rsidRPr="002A793E">
        <w:rPr>
          <w:rFonts w:ascii="Times New Roman" w:hAnsi="Times New Roman" w:cs="Times New Roman"/>
          <w:color w:val="000000" w:themeColor="text1"/>
          <w:sz w:val="28"/>
          <w:szCs w:val="28"/>
          <w:lang w:val="es-ES"/>
        </w:rPr>
        <w:t xml:space="preserve"> que acusó el ciudadano Humberto Sierra Porto. En efecto, </w:t>
      </w:r>
      <w:r w:rsidRPr="002A793E">
        <w:rPr>
          <w:rFonts w:ascii="Times New Roman" w:hAnsi="Times New Roman" w:cs="Times New Roman"/>
          <w:color w:val="000000" w:themeColor="text1"/>
          <w:sz w:val="28"/>
          <w:szCs w:val="28"/>
          <w:lang w:val="es-ES"/>
        </w:rPr>
        <w:t>durante el trámite del presente proceso de constitucionalidad, este Tribunal profirió la sentencia C-294 del 18 de julio de 2024 dentro de los expedientes D-15438 y D-15461 AC, mediante la cual resolvió otras demandas formuladas contra el numeral 6 y el pa</w:t>
      </w:r>
      <w:r w:rsidRPr="002A793E">
        <w:rPr>
          <w:rFonts w:ascii="Times New Roman" w:hAnsi="Times New Roman" w:cs="Times New Roman"/>
          <w:color w:val="000000" w:themeColor="text1"/>
          <w:sz w:val="28"/>
          <w:szCs w:val="28"/>
          <w:lang w:val="es-ES"/>
        </w:rPr>
        <w:t>rágrafo 3 del artículo 61 de la Ley 2294 de 2023, “[p]</w:t>
      </w:r>
      <w:r w:rsidRPr="002A793E">
        <w:rPr>
          <w:rFonts w:ascii="Times New Roman" w:hAnsi="Times New Roman" w:cs="Times New Roman"/>
          <w:color w:val="000000" w:themeColor="text1"/>
          <w:sz w:val="28"/>
          <w:szCs w:val="28"/>
          <w:lang w:val="es-ES"/>
        </w:rPr>
        <w:t xml:space="preserve">or </w:t>
      </w:r>
      <w:r w:rsidRPr="002A793E">
        <w:rPr>
          <w:rFonts w:ascii="Times New Roman" w:hAnsi="Times New Roman" w:cs="Times New Roman"/>
          <w:color w:val="000000" w:themeColor="text1"/>
          <w:sz w:val="28"/>
          <w:szCs w:val="28"/>
          <w:lang w:val="es-ES"/>
        </w:rPr>
        <w:t>el cual se expide el Plan Nacional de Desarrollo 2022-2026 Colombia Potencia Mundial de la Vida”</w:t>
      </w:r>
      <w:r w:rsidRPr="002A793E">
        <w:rPr>
          <w:rFonts w:ascii="Times New Roman" w:hAnsi="Times New Roman" w:cs="Times New Roman"/>
          <w:i/>
          <w:iCs/>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 En esa providencia se declaró la inexequibilidad de </w:t>
      </w:r>
      <w:r w:rsidRPr="002A793E">
        <w:rPr>
          <w:rFonts w:ascii="Times New Roman" w:hAnsi="Times New Roman" w:cs="Times New Roman"/>
          <w:color w:val="000000" w:themeColor="text1"/>
          <w:sz w:val="28"/>
          <w:szCs w:val="28"/>
          <w:lang w:val="es-ES"/>
        </w:rPr>
        <w:t>las disposiciones acusadas</w:t>
      </w:r>
      <w:r w:rsidRPr="002A793E">
        <w:rPr>
          <w:rFonts w:ascii="Times New Roman" w:hAnsi="Times New Roman" w:cs="Times New Roman"/>
          <w:color w:val="000000" w:themeColor="text1"/>
          <w:sz w:val="28"/>
          <w:szCs w:val="28"/>
          <w:lang w:val="es-ES"/>
        </w:rPr>
        <w:t xml:space="preserve"> por los cargos allí estudiados.</w:t>
      </w:r>
    </w:p>
    <w:p w:rsidR="00AD6E8E" w:rsidRPr="002A793E" w:rsidRDefault="002A793E" w:rsidP="00AD6E8E">
      <w:pPr>
        <w:pStyle w:val="Prrafodelista"/>
        <w:ind w:left="0"/>
        <w:rPr>
          <w:rFonts w:ascii="Times New Roman" w:hAnsi="Times New Roman" w:cs="Times New Roman"/>
          <w:color w:val="000000" w:themeColor="text1"/>
          <w:sz w:val="28"/>
          <w:szCs w:val="28"/>
          <w:lang w:val="es-ES"/>
        </w:rPr>
      </w:pPr>
    </w:p>
    <w:p w:rsidR="009F1C57" w:rsidRPr="002A793E" w:rsidRDefault="002A793E" w:rsidP="00AD6E8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Para analizar si en este caso se configura </w:t>
      </w:r>
      <w:r w:rsidRPr="002A793E">
        <w:rPr>
          <w:rFonts w:ascii="Times New Roman" w:hAnsi="Times New Roman" w:cs="Times New Roman"/>
          <w:color w:val="000000" w:themeColor="text1"/>
          <w:sz w:val="28"/>
          <w:szCs w:val="28"/>
          <w:lang w:val="es-ES"/>
        </w:rPr>
        <w:t>la</w:t>
      </w:r>
      <w:r w:rsidRPr="002A793E">
        <w:rPr>
          <w:rFonts w:ascii="Times New Roman" w:hAnsi="Times New Roman" w:cs="Times New Roman"/>
          <w:color w:val="000000" w:themeColor="text1"/>
          <w:sz w:val="28"/>
          <w:szCs w:val="28"/>
          <w:lang w:val="es-ES"/>
        </w:rPr>
        <w:t xml:space="preserve"> cosa juzgada, en una primera parte, la Sala hará </w:t>
      </w:r>
      <w:r w:rsidRPr="002A793E">
        <w:rPr>
          <w:rFonts w:ascii="Times New Roman" w:hAnsi="Times New Roman" w:cs="Times New Roman"/>
          <w:color w:val="000000" w:themeColor="text1"/>
          <w:sz w:val="28"/>
          <w:szCs w:val="28"/>
          <w:lang w:val="es-ES"/>
        </w:rPr>
        <w:t xml:space="preserve">una breve alusión a ese fenómeno y </w:t>
      </w:r>
      <w:r w:rsidRPr="002A793E">
        <w:rPr>
          <w:rFonts w:ascii="Times New Roman" w:hAnsi="Times New Roman" w:cs="Times New Roman"/>
          <w:color w:val="000000" w:themeColor="text1"/>
          <w:sz w:val="28"/>
          <w:szCs w:val="28"/>
          <w:lang w:val="es-ES"/>
        </w:rPr>
        <w:t xml:space="preserve">a </w:t>
      </w:r>
      <w:r w:rsidRPr="002A793E">
        <w:rPr>
          <w:rFonts w:ascii="Times New Roman" w:hAnsi="Times New Roman" w:cs="Times New Roman"/>
          <w:color w:val="000000" w:themeColor="text1"/>
          <w:sz w:val="28"/>
          <w:szCs w:val="28"/>
          <w:lang w:val="es-ES"/>
        </w:rPr>
        <w:t>sus tipologías</w:t>
      </w:r>
      <w:r w:rsidRPr="002A793E">
        <w:rPr>
          <w:rFonts w:ascii="Times New Roman" w:hAnsi="Times New Roman" w:cs="Times New Roman"/>
          <w:color w:val="000000" w:themeColor="text1"/>
          <w:sz w:val="28"/>
          <w:szCs w:val="28"/>
          <w:lang w:val="es-ES"/>
        </w:rPr>
        <w:t>. En una segunda parte, la Corte se referirá</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al contenido de </w:t>
      </w:r>
      <w:r w:rsidRPr="002A793E">
        <w:rPr>
          <w:rFonts w:ascii="Times New Roman" w:hAnsi="Times New Roman" w:cs="Times New Roman"/>
          <w:color w:val="000000" w:themeColor="text1"/>
          <w:sz w:val="28"/>
          <w:szCs w:val="28"/>
          <w:lang w:val="es-ES"/>
        </w:rPr>
        <w:t>la sentencia C-</w:t>
      </w:r>
      <w:r w:rsidRPr="002A793E">
        <w:rPr>
          <w:rFonts w:ascii="Times New Roman" w:hAnsi="Times New Roman" w:cs="Times New Roman"/>
          <w:color w:val="000000" w:themeColor="text1"/>
          <w:sz w:val="28"/>
          <w:szCs w:val="28"/>
          <w:lang w:val="es-ES"/>
        </w:rPr>
        <w:t>294</w:t>
      </w:r>
      <w:r w:rsidRPr="002A793E">
        <w:rPr>
          <w:rFonts w:ascii="Times New Roman" w:hAnsi="Times New Roman" w:cs="Times New Roman"/>
          <w:color w:val="000000" w:themeColor="text1"/>
          <w:sz w:val="28"/>
          <w:szCs w:val="28"/>
          <w:lang w:val="es-ES"/>
        </w:rPr>
        <w:t xml:space="preserve"> de 202</w:t>
      </w:r>
      <w:r w:rsidRPr="002A793E">
        <w:rPr>
          <w:rFonts w:ascii="Times New Roman" w:hAnsi="Times New Roman" w:cs="Times New Roman"/>
          <w:color w:val="000000" w:themeColor="text1"/>
          <w:sz w:val="28"/>
          <w:szCs w:val="28"/>
          <w:lang w:val="es-ES"/>
        </w:rPr>
        <w:t>4</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Finalmente, en una tercera parte, este Tribunal </w:t>
      </w:r>
      <w:r w:rsidRPr="002A793E">
        <w:rPr>
          <w:rFonts w:ascii="Times New Roman" w:hAnsi="Times New Roman" w:cs="Times New Roman"/>
          <w:color w:val="000000" w:themeColor="text1"/>
          <w:sz w:val="28"/>
          <w:szCs w:val="28"/>
          <w:lang w:val="es-ES"/>
        </w:rPr>
        <w:t>definirá si</w:t>
      </w:r>
      <w:r w:rsidRPr="002A793E">
        <w:rPr>
          <w:rFonts w:ascii="Times New Roman" w:hAnsi="Times New Roman" w:cs="Times New Roman"/>
          <w:color w:val="000000" w:themeColor="text1"/>
          <w:sz w:val="28"/>
          <w:szCs w:val="28"/>
          <w:lang w:val="es-ES"/>
        </w:rPr>
        <w:t xml:space="preserve">, en este caso, frente al numeral 6 y el parágrafo 3 del artículo 61 de la Ley 2294 de 2023 </w:t>
      </w:r>
      <w:r w:rsidRPr="002A793E">
        <w:rPr>
          <w:rFonts w:ascii="Times New Roman" w:hAnsi="Times New Roman" w:cs="Times New Roman"/>
          <w:color w:val="000000" w:themeColor="text1"/>
          <w:sz w:val="28"/>
          <w:szCs w:val="28"/>
          <w:lang w:val="es-ES"/>
        </w:rPr>
        <w:t>operó o no el fenómeno de la cosa juzgada.</w:t>
      </w:r>
    </w:p>
    <w:p w:rsidR="007968CA" w:rsidRPr="002A793E" w:rsidRDefault="002A793E" w:rsidP="00C12420">
      <w:pPr>
        <w:pStyle w:val="Sinespaciado"/>
        <w:rPr>
          <w:rFonts w:ascii="Times New Roman" w:hAnsi="Times New Roman"/>
          <w:sz w:val="28"/>
          <w:lang w:val="es-ES"/>
        </w:rPr>
      </w:pPr>
    </w:p>
    <w:p w:rsidR="007968CA" w:rsidRPr="002A793E" w:rsidRDefault="002A793E" w:rsidP="00EE7A55">
      <w:pPr>
        <w:pStyle w:val="Prrafodelista"/>
        <w:numPr>
          <w:ilvl w:val="2"/>
          <w:numId w:val="5"/>
        </w:numPr>
        <w:spacing w:line="360" w:lineRule="atLeast"/>
        <w:rPr>
          <w:rFonts w:ascii="Times New Roman" w:hAnsi="Times New Roman" w:cs="Times New Roman"/>
          <w:b/>
          <w:bCs/>
          <w:sz w:val="28"/>
          <w:szCs w:val="28"/>
          <w:lang w:val="es-ES"/>
        </w:rPr>
      </w:pPr>
      <w:r w:rsidRPr="002A793E">
        <w:rPr>
          <w:rFonts w:ascii="Times New Roman" w:hAnsi="Times New Roman" w:cs="Times New Roman"/>
          <w:b/>
          <w:bCs/>
          <w:sz w:val="28"/>
          <w:szCs w:val="28"/>
          <w:lang w:val="es-ES"/>
        </w:rPr>
        <w:t>La institución de la cosa juzgada constitucional</w:t>
      </w:r>
      <w:r w:rsidRPr="002A793E">
        <w:rPr>
          <w:rFonts w:ascii="Times New Roman" w:hAnsi="Times New Roman" w:cs="Times New Roman"/>
          <w:b/>
          <w:bCs/>
          <w:sz w:val="28"/>
          <w:szCs w:val="28"/>
          <w:lang w:val="es-ES"/>
        </w:rPr>
        <w:t>. Reiteración de jurisprudencia</w:t>
      </w:r>
      <w:r w:rsidRPr="002A793E">
        <w:rPr>
          <w:rStyle w:val="Refdenotaalpie"/>
          <w:rFonts w:ascii="Times New Roman" w:hAnsi="Times New Roman" w:cs="Times New Roman"/>
          <w:b/>
          <w:bCs/>
          <w:sz w:val="28"/>
          <w:szCs w:val="28"/>
          <w:lang w:val="es-ES"/>
        </w:rPr>
        <w:footnoteReference w:id="30"/>
      </w:r>
    </w:p>
    <w:p w:rsidR="007968CA" w:rsidRPr="002A793E" w:rsidRDefault="002A793E" w:rsidP="007968CA">
      <w:pPr>
        <w:pStyle w:val="Prrafodelista"/>
        <w:ind w:left="0" w:right="-232"/>
        <w:rPr>
          <w:rFonts w:ascii="Times New Roman" w:hAnsi="Times New Roman" w:cs="Times New Roman"/>
          <w:b/>
          <w:bCs/>
          <w:sz w:val="28"/>
          <w:szCs w:val="28"/>
          <w:lang w:val="es-ES"/>
        </w:rPr>
      </w:pPr>
    </w:p>
    <w:p w:rsidR="007968CA" w:rsidRPr="002A793E" w:rsidRDefault="002A793E" w:rsidP="00713C03">
      <w:pPr>
        <w:pStyle w:val="Prrafodelista"/>
        <w:numPr>
          <w:ilvl w:val="0"/>
          <w:numId w:val="2"/>
        </w:numPr>
        <w:ind w:left="0" w:firstLine="0"/>
        <w:rPr>
          <w:rFonts w:ascii="Times New Roman" w:hAnsi="Times New Roman" w:cs="Times New Roman"/>
          <w:b/>
          <w:bCs/>
          <w:color w:val="000000" w:themeColor="text1"/>
          <w:sz w:val="28"/>
          <w:szCs w:val="28"/>
          <w:lang w:val="es-ES"/>
        </w:rPr>
      </w:pPr>
      <w:r w:rsidRPr="002A793E">
        <w:rPr>
          <w:rFonts w:ascii="Times New Roman" w:hAnsi="Times New Roman" w:cs="Times New Roman"/>
          <w:color w:val="000000" w:themeColor="text1"/>
          <w:sz w:val="28"/>
          <w:szCs w:val="28"/>
          <w:lang w:val="es-ES"/>
        </w:rPr>
        <w:t xml:space="preserve">La cosa juzgada constitucional encuentra sustento en el artículo 243 de la Constitución que dispone que las sentencias que la Corte dicta “en ejercicio del control jurisdiccional hacen tránsito a cosa juzgada </w:t>
      </w:r>
      <w:r w:rsidRPr="002A793E">
        <w:rPr>
          <w:rFonts w:ascii="Times New Roman" w:hAnsi="Times New Roman" w:cs="Times New Roman"/>
          <w:color w:val="000000" w:themeColor="text1"/>
          <w:sz w:val="28"/>
          <w:szCs w:val="28"/>
          <w:lang w:val="es-ES"/>
        </w:rPr>
        <w:t>constitucional”, razón por la cual “[n]inguna autoridad podrá reproducir el contenido material del acto jurídico declarado inexequible por razones de fondo, mientras subsistan en la Carta las disposiciones que sirvieron para hacer la confrontación entre la</w:t>
      </w:r>
      <w:r w:rsidRPr="002A793E">
        <w:rPr>
          <w:rFonts w:ascii="Times New Roman" w:hAnsi="Times New Roman" w:cs="Times New Roman"/>
          <w:color w:val="000000" w:themeColor="text1"/>
          <w:sz w:val="28"/>
          <w:szCs w:val="28"/>
          <w:lang w:val="es-ES"/>
        </w:rPr>
        <w:t xml:space="preserve"> norma ordinaria y la Constitución”</w:t>
      </w:r>
      <w:r w:rsidRPr="002A793E">
        <w:rPr>
          <w:rStyle w:val="Refdenotaalpie"/>
          <w:rFonts w:ascii="Times New Roman" w:hAnsi="Times New Roman" w:cs="Times New Roman"/>
          <w:color w:val="000000" w:themeColor="text1"/>
          <w:sz w:val="28"/>
          <w:szCs w:val="28"/>
          <w:lang w:val="es-ES"/>
        </w:rPr>
        <w:footnoteReference w:id="31"/>
      </w:r>
      <w:r w:rsidRPr="002A793E">
        <w:rPr>
          <w:rFonts w:ascii="Times New Roman" w:hAnsi="Times New Roman" w:cs="Times New Roman"/>
          <w:color w:val="000000" w:themeColor="text1"/>
          <w:sz w:val="28"/>
          <w:szCs w:val="28"/>
          <w:lang w:val="es-ES"/>
        </w:rPr>
        <w:t>. Por su parte, los artículos 48 de la Ley Estatutaria 270 de 1996 y 2</w:t>
      </w:r>
      <w:r w:rsidRPr="002A793E">
        <w:rPr>
          <w:rFonts w:ascii="Times New Roman" w:hAnsi="Times New Roman" w:cs="Times New Roman"/>
          <w:color w:val="000000" w:themeColor="text1"/>
          <w:sz w:val="28"/>
          <w:szCs w:val="28"/>
          <w:lang w:val="es-ES"/>
        </w:rPr>
        <w:t>1</w:t>
      </w:r>
      <w:r w:rsidRPr="002A793E">
        <w:rPr>
          <w:rFonts w:ascii="Times New Roman" w:hAnsi="Times New Roman" w:cs="Times New Roman"/>
          <w:color w:val="000000" w:themeColor="text1"/>
          <w:sz w:val="28"/>
          <w:szCs w:val="28"/>
          <w:lang w:val="es-ES"/>
        </w:rPr>
        <w:t xml:space="preserve"> del Decreto Ley 2067 de 1991 señalan que todas las sentencias que profiera la Corte en ejercicio de sus competencias de control abstracto “son defin</w:t>
      </w:r>
      <w:r w:rsidRPr="002A793E">
        <w:rPr>
          <w:rFonts w:ascii="Times New Roman" w:hAnsi="Times New Roman" w:cs="Times New Roman"/>
          <w:color w:val="000000" w:themeColor="text1"/>
          <w:sz w:val="28"/>
          <w:szCs w:val="28"/>
          <w:lang w:val="es-ES"/>
        </w:rPr>
        <w:t>itivas, de obligatorio cumplimiento y tienen efectos [generales]”</w:t>
      </w:r>
      <w:r w:rsidRPr="002A793E">
        <w:rPr>
          <w:rStyle w:val="Refdenotaalpie"/>
          <w:rFonts w:ascii="Times New Roman" w:hAnsi="Times New Roman" w:cs="Times New Roman"/>
          <w:color w:val="000000" w:themeColor="text1"/>
          <w:sz w:val="28"/>
          <w:szCs w:val="28"/>
          <w:lang w:val="es-ES"/>
        </w:rPr>
        <w:footnoteReference w:id="32"/>
      </w:r>
      <w:r w:rsidRPr="002A793E">
        <w:rPr>
          <w:rFonts w:ascii="Times New Roman" w:hAnsi="Times New Roman" w:cs="Times New Roman"/>
          <w:color w:val="000000" w:themeColor="text1"/>
          <w:sz w:val="28"/>
          <w:szCs w:val="28"/>
          <w:lang w:val="es-ES"/>
        </w:rPr>
        <w:t>. Por esas razones, en principio, la Sala Plena no puede pronunciarse sobre un asunto debatido y fallado con anterioridad.</w:t>
      </w:r>
    </w:p>
    <w:p w:rsidR="007968CA" w:rsidRPr="002A793E" w:rsidRDefault="002A793E" w:rsidP="007968CA">
      <w:pPr>
        <w:pStyle w:val="Prrafodelista"/>
        <w:ind w:left="0" w:hanging="11"/>
        <w:rPr>
          <w:rFonts w:ascii="Times New Roman" w:hAnsi="Times New Roman" w:cs="Times New Roman"/>
          <w:color w:val="000000" w:themeColor="text1"/>
          <w:sz w:val="28"/>
          <w:szCs w:val="28"/>
          <w:lang w:val="es-ES"/>
        </w:rPr>
      </w:pPr>
    </w:p>
    <w:p w:rsidR="007968CA" w:rsidRPr="002A793E" w:rsidRDefault="002A793E" w:rsidP="00713C03">
      <w:pPr>
        <w:pStyle w:val="Prrafodelista"/>
        <w:numPr>
          <w:ilvl w:val="0"/>
          <w:numId w:val="2"/>
        </w:numPr>
        <w:ind w:left="0" w:firstLine="0"/>
        <w:rPr>
          <w:rFonts w:ascii="Times New Roman" w:hAnsi="Times New Roman" w:cs="Times New Roman"/>
          <w:b/>
          <w:bCs/>
          <w:color w:val="000000" w:themeColor="text1"/>
          <w:sz w:val="28"/>
          <w:szCs w:val="28"/>
          <w:lang w:val="es-ES"/>
        </w:rPr>
      </w:pPr>
      <w:r w:rsidRPr="002A793E">
        <w:rPr>
          <w:rFonts w:ascii="Times New Roman" w:hAnsi="Times New Roman" w:cs="Times New Roman"/>
          <w:color w:val="000000" w:themeColor="text1"/>
          <w:sz w:val="28"/>
          <w:szCs w:val="28"/>
          <w:lang w:val="es-ES"/>
        </w:rPr>
        <w:t>En las sentencias C-101 de 2022 y C-227 de 2023, la Sala reiteró q</w:t>
      </w:r>
      <w:r w:rsidRPr="002A793E">
        <w:rPr>
          <w:rFonts w:ascii="Times New Roman" w:hAnsi="Times New Roman" w:cs="Times New Roman"/>
          <w:color w:val="000000" w:themeColor="text1"/>
          <w:sz w:val="28"/>
          <w:szCs w:val="28"/>
          <w:lang w:val="es-ES"/>
        </w:rPr>
        <w:t>ue, para determinar si se configura la cosa juzgada, existen tres parámetros que deben concurrir en cada caso concreto. Primero, que la demanda proponga estudiar el mismo contenido normativo de una proposición jurídica ya estudiada en una sentencia anterio</w:t>
      </w:r>
      <w:r w:rsidRPr="002A793E">
        <w:rPr>
          <w:rFonts w:ascii="Times New Roman" w:hAnsi="Times New Roman" w:cs="Times New Roman"/>
          <w:color w:val="000000" w:themeColor="text1"/>
          <w:sz w:val="28"/>
          <w:szCs w:val="28"/>
          <w:lang w:val="es-ES"/>
        </w:rPr>
        <w:t xml:space="preserve">r. Segundo, que se presenten los mismos argumentos o cuestionamientos en el fallo antecedente. </w:t>
      </w:r>
      <w:r w:rsidRPr="002A793E">
        <w:rPr>
          <w:rFonts w:ascii="Times New Roman" w:hAnsi="Times New Roman" w:cs="Times New Roman"/>
          <w:sz w:val="28"/>
          <w:szCs w:val="28"/>
          <w:shd w:val="clear" w:color="auto" w:fill="FFFFFF"/>
          <w:lang w:val="es-ES"/>
        </w:rPr>
        <w:t>Sin embargo, en este criterio se debe precisar que en el caso del control automático e integral no se tienen en cuenta los argumentos planteados, dado que, en ge</w:t>
      </w:r>
      <w:r w:rsidRPr="002A793E">
        <w:rPr>
          <w:rFonts w:ascii="Times New Roman" w:hAnsi="Times New Roman" w:cs="Times New Roman"/>
          <w:sz w:val="28"/>
          <w:szCs w:val="28"/>
          <w:shd w:val="clear" w:color="auto" w:fill="FFFFFF"/>
          <w:lang w:val="es-ES"/>
        </w:rPr>
        <w:t xml:space="preserve">neral, la decisión que allí se toma hace tránsito a cosa juzgada absoluta. </w:t>
      </w:r>
      <w:r w:rsidRPr="002A793E">
        <w:rPr>
          <w:rFonts w:ascii="Times New Roman" w:hAnsi="Times New Roman" w:cs="Times New Roman"/>
          <w:color w:val="000000" w:themeColor="text1"/>
          <w:sz w:val="28"/>
          <w:szCs w:val="28"/>
          <w:lang w:val="es-ES"/>
        </w:rPr>
        <w:t>Tercero, que no haya variado el parámetro normativo de control</w:t>
      </w:r>
      <w:r w:rsidRPr="002A793E">
        <w:rPr>
          <w:rStyle w:val="Refdenotaalpie"/>
          <w:rFonts w:ascii="Times New Roman" w:hAnsi="Times New Roman" w:cs="Times New Roman"/>
          <w:color w:val="000000" w:themeColor="text1"/>
          <w:sz w:val="28"/>
          <w:szCs w:val="28"/>
          <w:lang w:val="es-ES"/>
        </w:rPr>
        <w:footnoteReference w:id="33"/>
      </w:r>
      <w:r w:rsidRPr="002A793E">
        <w:rPr>
          <w:rFonts w:ascii="Times New Roman" w:hAnsi="Times New Roman" w:cs="Times New Roman"/>
          <w:color w:val="000000" w:themeColor="text1"/>
          <w:sz w:val="28"/>
          <w:szCs w:val="28"/>
          <w:lang w:val="es-ES"/>
        </w:rPr>
        <w:t xml:space="preserve">. </w:t>
      </w:r>
    </w:p>
    <w:p w:rsidR="007968CA" w:rsidRPr="002A793E" w:rsidRDefault="002A793E" w:rsidP="007968CA">
      <w:pPr>
        <w:pStyle w:val="Prrafodelista"/>
        <w:ind w:left="0" w:hanging="11"/>
        <w:rPr>
          <w:rFonts w:ascii="Times New Roman" w:hAnsi="Times New Roman" w:cs="Times New Roman"/>
          <w:color w:val="000000" w:themeColor="text1"/>
          <w:sz w:val="28"/>
          <w:szCs w:val="28"/>
          <w:lang w:val="es-ES"/>
        </w:rPr>
      </w:pPr>
    </w:p>
    <w:p w:rsidR="007968CA" w:rsidRPr="002A793E" w:rsidRDefault="002A793E" w:rsidP="00713C03">
      <w:pPr>
        <w:pStyle w:val="Prrafodelista"/>
        <w:numPr>
          <w:ilvl w:val="0"/>
          <w:numId w:val="2"/>
        </w:numPr>
        <w:ind w:left="0" w:firstLine="0"/>
        <w:rPr>
          <w:rFonts w:ascii="Times New Roman" w:hAnsi="Times New Roman" w:cs="Times New Roman"/>
          <w:b/>
          <w:bCs/>
          <w:color w:val="000000" w:themeColor="text1"/>
          <w:sz w:val="28"/>
          <w:szCs w:val="28"/>
          <w:lang w:val="es-ES"/>
        </w:rPr>
      </w:pPr>
      <w:r w:rsidRPr="002A793E">
        <w:rPr>
          <w:rFonts w:ascii="Times New Roman" w:hAnsi="Times New Roman" w:cs="Times New Roman"/>
          <w:color w:val="000000" w:themeColor="text1"/>
          <w:sz w:val="28"/>
          <w:szCs w:val="28"/>
          <w:lang w:val="es-ES"/>
        </w:rPr>
        <w:t xml:space="preserve">La jurisprudencia de esta Corporación desarrolló una tipología de esta figura con el fin de identificar su </w:t>
      </w:r>
      <w:r w:rsidRPr="002A793E">
        <w:rPr>
          <w:rFonts w:ascii="Times New Roman" w:hAnsi="Times New Roman" w:cs="Times New Roman"/>
          <w:color w:val="000000" w:themeColor="text1"/>
          <w:sz w:val="28"/>
          <w:szCs w:val="28"/>
          <w:lang w:val="es-ES"/>
        </w:rPr>
        <w:t>configuración en casos concretos, así como su alcance</w:t>
      </w:r>
      <w:r w:rsidRPr="002A793E">
        <w:rPr>
          <w:rStyle w:val="Refdenotaalpie"/>
          <w:rFonts w:ascii="Times New Roman" w:hAnsi="Times New Roman" w:cs="Times New Roman"/>
          <w:color w:val="000000" w:themeColor="text1"/>
          <w:sz w:val="28"/>
          <w:szCs w:val="28"/>
          <w:lang w:val="es-ES"/>
        </w:rPr>
        <w:footnoteReference w:id="34"/>
      </w:r>
      <w:r w:rsidRPr="002A793E">
        <w:rPr>
          <w:rFonts w:ascii="Times New Roman" w:hAnsi="Times New Roman" w:cs="Times New Roman"/>
          <w:color w:val="000000" w:themeColor="text1"/>
          <w:sz w:val="28"/>
          <w:szCs w:val="28"/>
          <w:lang w:val="es-ES"/>
        </w:rPr>
        <w:t>. En la sentencia C-039 de 2021, la Corte hizo un recuento de los diferentes tipos de cosa juzgada constitucional</w:t>
      </w:r>
      <w:r w:rsidRPr="002A793E">
        <w:rPr>
          <w:rStyle w:val="Refdenotaalpie"/>
          <w:rFonts w:ascii="Times New Roman" w:hAnsi="Times New Roman" w:cs="Times New Roman"/>
          <w:color w:val="000000" w:themeColor="text1"/>
          <w:sz w:val="28"/>
          <w:szCs w:val="28"/>
          <w:lang w:val="es-ES"/>
        </w:rPr>
        <w:footnoteReference w:id="35"/>
      </w:r>
      <w:r w:rsidRPr="002A793E">
        <w:rPr>
          <w:rFonts w:ascii="Times New Roman" w:hAnsi="Times New Roman" w:cs="Times New Roman"/>
          <w:color w:val="000000" w:themeColor="text1"/>
          <w:sz w:val="28"/>
          <w:szCs w:val="28"/>
          <w:lang w:val="es-ES"/>
        </w:rPr>
        <w:t>. En primer lugar, existe la cosa juzgada formal que opera cuando la Sala Plena ya se pr</w:t>
      </w:r>
      <w:r w:rsidRPr="002A793E">
        <w:rPr>
          <w:rFonts w:ascii="Times New Roman" w:hAnsi="Times New Roman" w:cs="Times New Roman"/>
          <w:color w:val="000000" w:themeColor="text1"/>
          <w:sz w:val="28"/>
          <w:szCs w:val="28"/>
          <w:lang w:val="es-ES"/>
        </w:rPr>
        <w:t>onunció sobre la disposición demandada y que trae como consecuencia que la Corte Constitucional deba estarse a lo resuelto en la sentencia previa. En segundo lugar, existe la cosa juzgada material que se presenta cuando se acusa una disposición que es form</w:t>
      </w:r>
      <w:r w:rsidRPr="002A793E">
        <w:rPr>
          <w:rFonts w:ascii="Times New Roman" w:hAnsi="Times New Roman" w:cs="Times New Roman"/>
          <w:color w:val="000000" w:themeColor="text1"/>
          <w:sz w:val="28"/>
          <w:szCs w:val="28"/>
          <w:lang w:val="es-ES"/>
        </w:rPr>
        <w:t>almente distinta, pero que tiene un contenido normativo idéntico al de otra que ya fue controlada por esta Corporación en sede de control de constitucionalidad</w:t>
      </w:r>
      <w:r w:rsidRPr="002A793E">
        <w:rPr>
          <w:rStyle w:val="Refdenotaalpie"/>
          <w:rFonts w:ascii="Times New Roman" w:hAnsi="Times New Roman" w:cs="Times New Roman"/>
          <w:color w:val="000000" w:themeColor="text1"/>
          <w:sz w:val="28"/>
          <w:szCs w:val="28"/>
          <w:lang w:val="es-ES"/>
        </w:rPr>
        <w:footnoteReference w:id="36"/>
      </w:r>
      <w:r w:rsidRPr="002A793E">
        <w:rPr>
          <w:rFonts w:ascii="Times New Roman" w:hAnsi="Times New Roman" w:cs="Times New Roman"/>
          <w:color w:val="000000" w:themeColor="text1"/>
          <w:sz w:val="28"/>
          <w:szCs w:val="28"/>
          <w:lang w:val="es-ES"/>
        </w:rPr>
        <w:t>. Desde esa perspectiva, para definir si en un caso concreto se genera la cosa juzgada material,</w:t>
      </w:r>
      <w:r w:rsidRPr="002A793E">
        <w:rPr>
          <w:rFonts w:ascii="Times New Roman" w:hAnsi="Times New Roman" w:cs="Times New Roman"/>
          <w:color w:val="000000" w:themeColor="text1"/>
          <w:sz w:val="28"/>
          <w:szCs w:val="28"/>
          <w:lang w:val="es-ES"/>
        </w:rPr>
        <w:t xml:space="preserve"> hay que evaluar si existe una decisión de constitucionalidad anterior sobre una regla de derecho idéntica, pero contenida en distintas disposiciones jurídicas y, luego, determinar cuál es el nivel de “similitud entre los cargos del pasado y del presente y</w:t>
      </w:r>
      <w:r w:rsidRPr="002A793E">
        <w:rPr>
          <w:rFonts w:ascii="Times New Roman" w:hAnsi="Times New Roman" w:cs="Times New Roman"/>
          <w:color w:val="000000" w:themeColor="text1"/>
          <w:sz w:val="28"/>
          <w:szCs w:val="28"/>
          <w:lang w:val="es-ES"/>
        </w:rPr>
        <w:t xml:space="preserve"> el análisis constitucional de fondo sobre la proposición jurídica”</w:t>
      </w:r>
      <w:r w:rsidRPr="002A793E">
        <w:rPr>
          <w:rStyle w:val="Refdenotaalpie"/>
          <w:rFonts w:ascii="Times New Roman" w:hAnsi="Times New Roman" w:cs="Times New Roman"/>
          <w:color w:val="000000" w:themeColor="text1"/>
          <w:sz w:val="28"/>
          <w:szCs w:val="28"/>
          <w:lang w:val="es-ES"/>
        </w:rPr>
        <w:footnoteReference w:id="37"/>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 xml:space="preserve">En efecto, para que se configure ese fenómeno, es necesario que exista </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 xml:space="preserve">identidad </w:t>
      </w:r>
      <w:r w:rsidRPr="002A793E">
        <w:rPr>
          <w:rFonts w:ascii="Times New Roman" w:hAnsi="Times New Roman" w:cs="Times New Roman"/>
          <w:color w:val="000000" w:themeColor="text1"/>
          <w:sz w:val="28"/>
          <w:szCs w:val="28"/>
          <w:lang w:val="es-ES"/>
        </w:rPr>
        <w:t xml:space="preserve">de </w:t>
      </w:r>
      <w:r w:rsidRPr="002A793E">
        <w:rPr>
          <w:rFonts w:ascii="Times New Roman" w:hAnsi="Times New Roman" w:cs="Times New Roman"/>
          <w:i/>
          <w:iCs/>
          <w:color w:val="000000" w:themeColor="text1"/>
          <w:sz w:val="28"/>
          <w:szCs w:val="28"/>
          <w:lang w:val="es-ES"/>
        </w:rPr>
        <w:t>causa petendi</w:t>
      </w:r>
      <w:r w:rsidRPr="002A793E">
        <w:rPr>
          <w:rFonts w:ascii="Times New Roman" w:hAnsi="Times New Roman" w:cs="Times New Roman"/>
          <w:color w:val="000000" w:themeColor="text1"/>
          <w:sz w:val="28"/>
          <w:szCs w:val="28"/>
          <w:lang w:val="es-ES"/>
        </w:rPr>
        <w:t>”</w:t>
      </w:r>
      <w:r w:rsidRPr="002A793E">
        <w:rPr>
          <w:rStyle w:val="Refdenotaalpie"/>
          <w:rFonts w:ascii="Times New Roman" w:hAnsi="Times New Roman" w:cs="Times New Roman"/>
          <w:color w:val="000000" w:themeColor="text1"/>
          <w:sz w:val="28"/>
          <w:szCs w:val="28"/>
          <w:lang w:val="es-ES"/>
        </w:rPr>
        <w:footnoteReference w:id="38"/>
      </w:r>
      <w:r w:rsidRPr="002A793E">
        <w:rPr>
          <w:rFonts w:ascii="Times New Roman" w:hAnsi="Times New Roman" w:cs="Times New Roman"/>
          <w:color w:val="000000" w:themeColor="text1"/>
          <w:sz w:val="28"/>
          <w:szCs w:val="28"/>
          <w:lang w:val="es-ES"/>
        </w:rPr>
        <w:t xml:space="preserve">. </w:t>
      </w:r>
    </w:p>
    <w:p w:rsidR="007968CA" w:rsidRPr="002A793E" w:rsidRDefault="002A793E" w:rsidP="007968CA">
      <w:pPr>
        <w:pStyle w:val="Prrafodelista"/>
        <w:ind w:left="0" w:hanging="11"/>
        <w:rPr>
          <w:rFonts w:ascii="Times New Roman" w:hAnsi="Times New Roman" w:cs="Times New Roman"/>
          <w:color w:val="000000" w:themeColor="text1"/>
          <w:sz w:val="28"/>
          <w:szCs w:val="28"/>
          <w:lang w:val="es-ES"/>
        </w:rPr>
      </w:pPr>
    </w:p>
    <w:p w:rsidR="007968CA" w:rsidRPr="002A793E" w:rsidRDefault="002A793E" w:rsidP="00713C03">
      <w:pPr>
        <w:pStyle w:val="Prrafodelista"/>
        <w:numPr>
          <w:ilvl w:val="0"/>
          <w:numId w:val="2"/>
        </w:numPr>
        <w:ind w:left="0" w:firstLine="0"/>
        <w:rPr>
          <w:rFonts w:ascii="Times New Roman" w:hAnsi="Times New Roman" w:cs="Times New Roman"/>
          <w:b/>
          <w:bCs/>
          <w:color w:val="000000" w:themeColor="text1"/>
          <w:sz w:val="28"/>
          <w:szCs w:val="28"/>
          <w:lang w:val="es-ES"/>
        </w:rPr>
      </w:pPr>
      <w:r w:rsidRPr="002A793E">
        <w:rPr>
          <w:rFonts w:ascii="Times New Roman" w:hAnsi="Times New Roman" w:cs="Times New Roman"/>
          <w:color w:val="000000" w:themeColor="text1"/>
          <w:sz w:val="28"/>
          <w:szCs w:val="28"/>
          <w:lang w:val="es-ES"/>
        </w:rPr>
        <w:t>En tercer lugar, la Sala distingue la cosa juzgada absoluta de la relativa y de la</w:t>
      </w:r>
      <w:r w:rsidRPr="002A793E">
        <w:rPr>
          <w:rFonts w:ascii="Times New Roman" w:hAnsi="Times New Roman" w:cs="Times New Roman"/>
          <w:color w:val="000000" w:themeColor="text1"/>
          <w:sz w:val="28"/>
          <w:szCs w:val="28"/>
          <w:lang w:val="es-ES"/>
        </w:rPr>
        <w:t xml:space="preserve"> aparente. La absoluta se presenta cuando, en la sentencia previa, la Sala Plena no limitó el pronunciamiento de constitucionalidad sobre el enunciado normativo analizado a unos cargos determinados, de manera que esa disposición no puede ser examinada nuev</w:t>
      </w:r>
      <w:r w:rsidRPr="002A793E">
        <w:rPr>
          <w:rFonts w:ascii="Times New Roman" w:hAnsi="Times New Roman" w:cs="Times New Roman"/>
          <w:color w:val="000000" w:themeColor="text1"/>
          <w:sz w:val="28"/>
          <w:szCs w:val="28"/>
          <w:lang w:val="es-ES"/>
        </w:rPr>
        <w:t>amente, pues se entiende que el control de constitucionalidad se ejerció respecto a la integralidad de la Constitución. La cosa juzgada absoluta también se presenta cuando la Corte declara la inexequibilidad de una norma jurídica</w:t>
      </w:r>
      <w:r w:rsidRPr="002A793E">
        <w:rPr>
          <w:rStyle w:val="Refdenotaalpie"/>
          <w:rFonts w:ascii="Times New Roman" w:hAnsi="Times New Roman" w:cs="Times New Roman"/>
          <w:color w:val="000000" w:themeColor="text1"/>
          <w:sz w:val="28"/>
          <w:szCs w:val="28"/>
          <w:lang w:val="es-ES"/>
        </w:rPr>
        <w:footnoteReference w:id="39"/>
      </w:r>
      <w:r w:rsidRPr="002A793E">
        <w:rPr>
          <w:rFonts w:ascii="Times New Roman" w:hAnsi="Times New Roman" w:cs="Times New Roman"/>
          <w:color w:val="000000" w:themeColor="text1"/>
          <w:sz w:val="28"/>
          <w:szCs w:val="28"/>
          <w:lang w:val="es-ES"/>
        </w:rPr>
        <w:t>. Por el contrario, la cos</w:t>
      </w:r>
      <w:r w:rsidRPr="002A793E">
        <w:rPr>
          <w:rFonts w:ascii="Times New Roman" w:hAnsi="Times New Roman" w:cs="Times New Roman"/>
          <w:color w:val="000000" w:themeColor="text1"/>
          <w:sz w:val="28"/>
          <w:szCs w:val="28"/>
          <w:lang w:val="es-ES"/>
        </w:rPr>
        <w:t>a juzgada relativa opera cuando, de forma explícita o implícita, la Sala Plena restringió los efectos de su decisión a los cargos analizados, razón por la cual es posible un nuevo pronunciamiento sobre la disposición en caso de que la misma sea acusada por</w:t>
      </w:r>
      <w:r w:rsidRPr="002A793E">
        <w:rPr>
          <w:rFonts w:ascii="Times New Roman" w:hAnsi="Times New Roman" w:cs="Times New Roman"/>
          <w:color w:val="000000" w:themeColor="text1"/>
          <w:sz w:val="28"/>
          <w:szCs w:val="28"/>
          <w:lang w:val="es-ES"/>
        </w:rPr>
        <w:t xml:space="preserve"> cargos nuevos, distintos a los ya examinados. Por su lado, la cosa juzgada aparente se configura cuando, a pesar de haberse proferido “una decisión en la parte resolutiva declarando la exequibilidad, en realidad no se efectuó análisis alguno de constituci</w:t>
      </w:r>
      <w:r w:rsidRPr="002A793E">
        <w:rPr>
          <w:rFonts w:ascii="Times New Roman" w:hAnsi="Times New Roman" w:cs="Times New Roman"/>
          <w:color w:val="000000" w:themeColor="text1"/>
          <w:sz w:val="28"/>
          <w:szCs w:val="28"/>
          <w:lang w:val="es-ES"/>
        </w:rPr>
        <w:t>onalidad”</w:t>
      </w:r>
      <w:r w:rsidRPr="002A793E">
        <w:rPr>
          <w:rStyle w:val="Refdenotaalpie"/>
          <w:rFonts w:ascii="Times New Roman" w:hAnsi="Times New Roman" w:cs="Times New Roman"/>
          <w:color w:val="000000" w:themeColor="text1"/>
          <w:sz w:val="28"/>
          <w:szCs w:val="28"/>
          <w:lang w:val="es-ES"/>
        </w:rPr>
        <w:footnoteReference w:id="40"/>
      </w:r>
      <w:r w:rsidRPr="002A793E">
        <w:rPr>
          <w:rFonts w:ascii="Times New Roman" w:hAnsi="Times New Roman" w:cs="Times New Roman"/>
          <w:color w:val="000000" w:themeColor="text1"/>
          <w:sz w:val="28"/>
          <w:szCs w:val="28"/>
          <w:lang w:val="es-ES"/>
        </w:rPr>
        <w:t xml:space="preserve"> de forma que la Corte puede pronunciarse de fondo sobre la disposición respectiva</w:t>
      </w:r>
      <w:r w:rsidRPr="002A793E">
        <w:rPr>
          <w:rStyle w:val="Refdenotaalpie"/>
          <w:rFonts w:ascii="Times New Roman" w:hAnsi="Times New Roman" w:cs="Times New Roman"/>
          <w:color w:val="000000" w:themeColor="text1"/>
          <w:sz w:val="28"/>
          <w:szCs w:val="28"/>
          <w:lang w:val="es-ES"/>
        </w:rPr>
        <w:footnoteReference w:id="41"/>
      </w:r>
      <w:r w:rsidRPr="002A793E">
        <w:rPr>
          <w:rFonts w:ascii="Times New Roman" w:hAnsi="Times New Roman" w:cs="Times New Roman"/>
          <w:color w:val="000000" w:themeColor="text1"/>
          <w:sz w:val="28"/>
          <w:szCs w:val="28"/>
          <w:lang w:val="es-ES"/>
        </w:rPr>
        <w:t xml:space="preserve">.  </w:t>
      </w:r>
    </w:p>
    <w:p w:rsidR="007968CA" w:rsidRPr="002A793E" w:rsidRDefault="002A793E" w:rsidP="007968CA">
      <w:pPr>
        <w:pStyle w:val="Prrafodelista"/>
        <w:ind w:left="0" w:right="-232"/>
        <w:rPr>
          <w:rFonts w:ascii="Times New Roman" w:hAnsi="Times New Roman" w:cs="Times New Roman"/>
          <w:b/>
          <w:bCs/>
          <w:color w:val="000000" w:themeColor="text1"/>
          <w:sz w:val="28"/>
          <w:szCs w:val="28"/>
          <w:lang w:val="es-ES"/>
        </w:rPr>
      </w:pPr>
    </w:p>
    <w:p w:rsidR="000F57AF" w:rsidRPr="002A793E" w:rsidRDefault="002A793E" w:rsidP="000F57AF">
      <w:pPr>
        <w:pStyle w:val="Prrafodelista"/>
        <w:numPr>
          <w:ilvl w:val="0"/>
          <w:numId w:val="2"/>
        </w:numPr>
        <w:ind w:left="0" w:firstLine="0"/>
        <w:rPr>
          <w:rFonts w:ascii="Times New Roman" w:hAnsi="Times New Roman" w:cs="Times New Roman"/>
          <w:b/>
          <w:bCs/>
          <w:color w:val="000000" w:themeColor="text1"/>
          <w:sz w:val="28"/>
          <w:szCs w:val="28"/>
          <w:lang w:val="es-ES"/>
        </w:rPr>
      </w:pPr>
      <w:r w:rsidRPr="002A793E">
        <w:rPr>
          <w:rFonts w:ascii="Times New Roman" w:hAnsi="Times New Roman" w:cs="Times New Roman"/>
          <w:sz w:val="28"/>
          <w:szCs w:val="28"/>
          <w:lang w:val="es-ES"/>
        </w:rPr>
        <w:t>De otra parte, la Corte diferencia los efectos de la cosa juzgada constitucional</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material</w:t>
      </w:r>
      <w:r w:rsidRPr="002A793E">
        <w:rPr>
          <w:rFonts w:ascii="Times New Roman" w:hAnsi="Times New Roman" w:cs="Times New Roman"/>
          <w:sz w:val="28"/>
          <w:szCs w:val="28"/>
          <w:lang w:val="es-ES"/>
        </w:rPr>
        <w:t xml:space="preserve"> y de la cosa juzgada formal</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 xml:space="preserve">dependiendo de si su decisión es de </w:t>
      </w:r>
      <w:r w:rsidRPr="002A793E">
        <w:rPr>
          <w:rFonts w:ascii="Times New Roman" w:hAnsi="Times New Roman" w:cs="Times New Roman"/>
          <w:sz w:val="28"/>
          <w:szCs w:val="28"/>
          <w:lang w:val="es-ES"/>
        </w:rPr>
        <w:t>exequibilidad o inexequibilidad</w:t>
      </w:r>
      <w:r w:rsidRPr="002A793E">
        <w:rPr>
          <w:rStyle w:val="Refdenotaalpie"/>
          <w:rFonts w:ascii="Times New Roman" w:hAnsi="Times New Roman" w:cs="Times New Roman"/>
          <w:sz w:val="28"/>
          <w:szCs w:val="28"/>
          <w:lang w:val="es-ES"/>
        </w:rPr>
        <w:footnoteReference w:id="42"/>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E</w:t>
      </w:r>
      <w:r w:rsidRPr="002A793E">
        <w:rPr>
          <w:rFonts w:ascii="Times New Roman" w:hAnsi="Times New Roman" w:cs="Times New Roman"/>
          <w:sz w:val="28"/>
          <w:szCs w:val="28"/>
          <w:lang w:val="es-ES"/>
        </w:rPr>
        <w:t>n el caso de que la norma</w:t>
      </w:r>
      <w:r w:rsidRPr="002A793E">
        <w:rPr>
          <w:rFonts w:ascii="Times New Roman" w:hAnsi="Times New Roman" w:cs="Times New Roman"/>
          <w:sz w:val="28"/>
          <w:szCs w:val="28"/>
          <w:lang w:val="es-ES"/>
        </w:rPr>
        <w:t xml:space="preserve"> sea</w:t>
      </w:r>
      <w:r w:rsidRPr="002A793E">
        <w:rPr>
          <w:rFonts w:ascii="Times New Roman" w:hAnsi="Times New Roman" w:cs="Times New Roman"/>
          <w:sz w:val="28"/>
          <w:szCs w:val="28"/>
          <w:lang w:val="es-ES"/>
        </w:rPr>
        <w:t xml:space="preserve"> declarad</w:t>
      </w:r>
      <w:r w:rsidRPr="002A793E">
        <w:rPr>
          <w:rFonts w:ascii="Times New Roman" w:hAnsi="Times New Roman" w:cs="Times New Roman"/>
          <w:sz w:val="28"/>
          <w:szCs w:val="28"/>
          <w:lang w:val="es-ES"/>
        </w:rPr>
        <w:t>a</w:t>
      </w:r>
      <w:r w:rsidRPr="002A793E">
        <w:rPr>
          <w:rFonts w:ascii="Times New Roman" w:hAnsi="Times New Roman" w:cs="Times New Roman"/>
          <w:sz w:val="28"/>
          <w:szCs w:val="28"/>
          <w:lang w:val="es-ES"/>
        </w:rPr>
        <w:t xml:space="preserve"> conforme a la Constitución, se presentan varias situaciones</w:t>
      </w:r>
      <w:r w:rsidRPr="002A793E">
        <w:rPr>
          <w:rStyle w:val="Refdenotaalpie"/>
          <w:rFonts w:ascii="Times New Roman" w:hAnsi="Times New Roman" w:cs="Times New Roman"/>
          <w:sz w:val="28"/>
          <w:szCs w:val="28"/>
          <w:lang w:val="es-ES"/>
        </w:rPr>
        <w:footnoteReference w:id="43"/>
      </w:r>
      <w:r w:rsidRPr="002A793E">
        <w:rPr>
          <w:rFonts w:ascii="Times New Roman" w:hAnsi="Times New Roman" w:cs="Times New Roman"/>
          <w:sz w:val="28"/>
          <w:szCs w:val="28"/>
          <w:lang w:val="es-ES"/>
        </w:rPr>
        <w:t xml:space="preserve">: (i) la intangibilidad del fallo puede limitarse de manera expresa o implícita por la Corte, como se indicó mediante la </w:t>
      </w:r>
      <w:r w:rsidRPr="002A793E">
        <w:rPr>
          <w:rFonts w:ascii="Times New Roman" w:hAnsi="Times New Roman" w:cs="Times New Roman"/>
          <w:sz w:val="28"/>
          <w:szCs w:val="28"/>
          <w:lang w:val="es-ES"/>
        </w:rPr>
        <w:t>cosa juzgada relativa; (ii) su declaratoria brinda seguridad jurídica a los operadores jurídicos para que continúen aplicando la disposición; y (iii) la competencia de la Corte para estudiar una nueva demanda contra ese mismo precepto</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o uno nuevo que repro</w:t>
      </w:r>
      <w:r w:rsidRPr="002A793E">
        <w:rPr>
          <w:rFonts w:ascii="Times New Roman" w:hAnsi="Times New Roman" w:cs="Times New Roman"/>
          <w:sz w:val="28"/>
          <w:szCs w:val="28"/>
          <w:lang w:val="es-ES"/>
        </w:rPr>
        <w:t xml:space="preserve">duzca el mismo contenido normativo </w:t>
      </w:r>
      <w:r w:rsidRPr="002A793E">
        <w:rPr>
          <w:rFonts w:ascii="Times New Roman" w:hAnsi="Times New Roman" w:cs="Times New Roman"/>
          <w:sz w:val="28"/>
          <w:szCs w:val="28"/>
          <w:lang w:val="es-ES"/>
        </w:rPr>
        <w:t>por razones similares podría llevarse a cabo únicamente ante el debilitamiento de la cosa juzgada</w:t>
      </w:r>
      <w:r w:rsidRPr="002A793E">
        <w:rPr>
          <w:rStyle w:val="Refdenotaalpie"/>
          <w:rFonts w:ascii="Times New Roman" w:hAnsi="Times New Roman" w:cs="Times New Roman"/>
          <w:sz w:val="28"/>
          <w:szCs w:val="28"/>
          <w:lang w:val="es-ES"/>
        </w:rPr>
        <w:footnoteReference w:id="44"/>
      </w:r>
      <w:r w:rsidRPr="002A793E">
        <w:rPr>
          <w:rFonts w:ascii="Times New Roman" w:hAnsi="Times New Roman" w:cs="Times New Roman"/>
          <w:sz w:val="28"/>
          <w:szCs w:val="28"/>
          <w:lang w:val="es-ES"/>
        </w:rPr>
        <w:t>, lo que ocurre con la modificación de la norma constitucional en la que se apoyaba, el cambio en la significación material</w:t>
      </w:r>
      <w:r w:rsidRPr="002A793E">
        <w:rPr>
          <w:rFonts w:ascii="Times New Roman" w:hAnsi="Times New Roman" w:cs="Times New Roman"/>
          <w:sz w:val="28"/>
          <w:szCs w:val="28"/>
          <w:lang w:val="es-ES"/>
        </w:rPr>
        <w:t xml:space="preserve"> de la Constitución y la variación del contexto jurídico, social o económico en el que fue objeto del control de constitucionalidad</w:t>
      </w:r>
      <w:r w:rsidRPr="002A793E">
        <w:rPr>
          <w:rStyle w:val="Refdenotaalpie"/>
          <w:rFonts w:ascii="Times New Roman" w:hAnsi="Times New Roman" w:cs="Times New Roman"/>
          <w:sz w:val="28"/>
          <w:szCs w:val="28"/>
          <w:lang w:val="es-ES"/>
        </w:rPr>
        <w:footnoteReference w:id="45"/>
      </w:r>
      <w:r w:rsidRPr="002A793E">
        <w:rPr>
          <w:rFonts w:ascii="Times New Roman" w:hAnsi="Times New Roman" w:cs="Times New Roman"/>
          <w:sz w:val="28"/>
          <w:szCs w:val="28"/>
          <w:lang w:val="es-ES"/>
        </w:rPr>
        <w:t xml:space="preserve">. </w:t>
      </w:r>
    </w:p>
    <w:p w:rsidR="000F57AF" w:rsidRPr="002A793E" w:rsidRDefault="002A793E" w:rsidP="000F57AF">
      <w:pPr>
        <w:pStyle w:val="Prrafodelista"/>
        <w:rPr>
          <w:rFonts w:ascii="Times New Roman" w:hAnsi="Times New Roman" w:cs="Times New Roman"/>
          <w:sz w:val="28"/>
          <w:szCs w:val="28"/>
          <w:lang w:val="es-ES"/>
        </w:rPr>
      </w:pPr>
    </w:p>
    <w:p w:rsidR="00AB2658" w:rsidRPr="002A793E" w:rsidRDefault="002A793E" w:rsidP="007451C1">
      <w:pPr>
        <w:pStyle w:val="Prrafodelista"/>
        <w:numPr>
          <w:ilvl w:val="0"/>
          <w:numId w:val="2"/>
        </w:numPr>
        <w:ind w:left="0" w:firstLine="0"/>
        <w:rPr>
          <w:rFonts w:ascii="Times New Roman" w:hAnsi="Times New Roman" w:cs="Times New Roman"/>
          <w:sz w:val="28"/>
          <w:szCs w:val="28"/>
          <w:lang w:val="es-ES"/>
        </w:rPr>
      </w:pPr>
      <w:r w:rsidRPr="002A793E">
        <w:rPr>
          <w:rFonts w:ascii="Times New Roman" w:hAnsi="Times New Roman" w:cs="Times New Roman"/>
          <w:sz w:val="28"/>
          <w:szCs w:val="28"/>
          <w:lang w:val="es-ES"/>
        </w:rPr>
        <w:t>Por ello,</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cuando la decisión previa es de exequibilidad</w:t>
      </w:r>
      <w:r w:rsidRPr="002A793E">
        <w:rPr>
          <w:rFonts w:ascii="Times New Roman" w:hAnsi="Times New Roman" w:cs="Times New Roman"/>
          <w:sz w:val="28"/>
          <w:szCs w:val="28"/>
          <w:lang w:val="es-ES"/>
        </w:rPr>
        <w:t xml:space="preserve"> -simple o condicionada-</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 xml:space="preserve">se </w:t>
      </w:r>
      <w:r w:rsidRPr="002A793E">
        <w:rPr>
          <w:rFonts w:ascii="Times New Roman" w:hAnsi="Times New Roman" w:cs="Times New Roman"/>
          <w:sz w:val="28"/>
          <w:szCs w:val="28"/>
          <w:lang w:val="es-ES"/>
        </w:rPr>
        <w:t>aplica</w:t>
      </w:r>
      <w:r w:rsidRPr="002A793E">
        <w:rPr>
          <w:rFonts w:ascii="Times New Roman" w:hAnsi="Times New Roman" w:cs="Times New Roman"/>
          <w:sz w:val="28"/>
          <w:szCs w:val="28"/>
          <w:lang w:val="es-ES"/>
        </w:rPr>
        <w:t>n</w:t>
      </w:r>
      <w:r w:rsidRPr="002A793E">
        <w:rPr>
          <w:rFonts w:ascii="Times New Roman" w:hAnsi="Times New Roman" w:cs="Times New Roman"/>
          <w:sz w:val="28"/>
          <w:szCs w:val="28"/>
          <w:lang w:val="es-ES"/>
        </w:rPr>
        <w:t xml:space="preserve"> las siguientes reglas</w:t>
      </w:r>
      <w:r w:rsidRPr="002A793E">
        <w:rPr>
          <w:rFonts w:ascii="Times New Roman" w:hAnsi="Times New Roman" w:cs="Times New Roman"/>
          <w:sz w:val="28"/>
          <w:szCs w:val="28"/>
          <w:lang w:val="es-ES"/>
        </w:rPr>
        <w:t xml:space="preserve">. Primero, </w:t>
      </w:r>
      <w:r w:rsidRPr="002A793E">
        <w:rPr>
          <w:rFonts w:ascii="Times New Roman" w:hAnsi="Times New Roman" w:cs="Times New Roman"/>
          <w:sz w:val="28"/>
          <w:szCs w:val="28"/>
          <w:lang w:val="es-ES"/>
        </w:rPr>
        <w:t xml:space="preserve">si </w:t>
      </w:r>
      <w:r w:rsidRPr="002A793E">
        <w:rPr>
          <w:rFonts w:ascii="Times New Roman" w:hAnsi="Times New Roman" w:cs="Times New Roman"/>
          <w:sz w:val="28"/>
          <w:szCs w:val="28"/>
          <w:lang w:val="es-ES"/>
        </w:rPr>
        <w:t xml:space="preserve">se configura </w:t>
      </w:r>
      <w:r w:rsidRPr="002A793E">
        <w:rPr>
          <w:rFonts w:ascii="Times New Roman" w:hAnsi="Times New Roman" w:cs="Times New Roman"/>
          <w:sz w:val="28"/>
          <w:szCs w:val="28"/>
          <w:lang w:val="es-ES"/>
        </w:rPr>
        <w:t xml:space="preserve">una </w:t>
      </w:r>
      <w:r w:rsidRPr="002A793E">
        <w:rPr>
          <w:rFonts w:ascii="Times New Roman" w:hAnsi="Times New Roman" w:cs="Times New Roman"/>
          <w:sz w:val="28"/>
          <w:szCs w:val="28"/>
          <w:lang w:val="es-ES"/>
        </w:rPr>
        <w:t>cosa juzgada formal</w:t>
      </w:r>
      <w:r w:rsidRPr="002A793E">
        <w:rPr>
          <w:rFonts w:ascii="Times New Roman" w:hAnsi="Times New Roman" w:cs="Times New Roman"/>
          <w:sz w:val="28"/>
          <w:szCs w:val="28"/>
          <w:lang w:val="es-ES"/>
        </w:rPr>
        <w:t xml:space="preserve"> y no existen razones que la debiliten</w:t>
      </w:r>
      <w:r w:rsidRPr="002A793E">
        <w:rPr>
          <w:rFonts w:ascii="Times New Roman" w:hAnsi="Times New Roman" w:cs="Times New Roman"/>
          <w:sz w:val="28"/>
          <w:szCs w:val="28"/>
          <w:lang w:val="es-ES"/>
        </w:rPr>
        <w:t>, la Corte debe estarse a lo resuelto en la sentencia anterior que declaró exequible la misma disposición</w:t>
      </w:r>
      <w:r w:rsidRPr="002A793E">
        <w:rPr>
          <w:rFonts w:ascii="Times New Roman" w:hAnsi="Times New Roman" w:cs="Times New Roman"/>
          <w:sz w:val="28"/>
          <w:szCs w:val="28"/>
          <w:lang w:val="es-ES"/>
        </w:rPr>
        <w:t>. Segundo,</w:t>
      </w:r>
      <w:r w:rsidRPr="002A793E">
        <w:rPr>
          <w:rFonts w:ascii="Times New Roman" w:hAnsi="Times New Roman" w:cs="Times New Roman"/>
          <w:sz w:val="28"/>
          <w:szCs w:val="28"/>
          <w:lang w:val="es-ES"/>
        </w:rPr>
        <w:t xml:space="preserve"> c</w:t>
      </w:r>
      <w:r w:rsidRPr="002A793E">
        <w:rPr>
          <w:rFonts w:ascii="Times New Roman" w:hAnsi="Times New Roman" w:cs="Times New Roman"/>
          <w:sz w:val="28"/>
          <w:szCs w:val="28"/>
          <w:lang w:val="es-ES"/>
        </w:rPr>
        <w:t>uando se configura una cosa juzgada materia</w:t>
      </w:r>
      <w:r w:rsidRPr="002A793E">
        <w:rPr>
          <w:rFonts w:ascii="Times New Roman" w:hAnsi="Times New Roman" w:cs="Times New Roman"/>
          <w:sz w:val="28"/>
          <w:szCs w:val="28"/>
          <w:lang w:val="es-ES"/>
        </w:rPr>
        <w:t>l</w:t>
      </w:r>
      <w:r w:rsidRPr="002A793E">
        <w:rPr>
          <w:rFonts w:ascii="Times New Roman" w:hAnsi="Times New Roman" w:cs="Times New Roman"/>
          <w:sz w:val="28"/>
          <w:szCs w:val="28"/>
          <w:lang w:val="es-ES"/>
        </w:rPr>
        <w:t>: (</w:t>
      </w:r>
      <w:r w:rsidRPr="002A793E">
        <w:rPr>
          <w:rFonts w:ascii="Times New Roman" w:hAnsi="Times New Roman" w:cs="Times New Roman"/>
          <w:sz w:val="28"/>
          <w:szCs w:val="28"/>
          <w:lang w:val="es-ES"/>
        </w:rPr>
        <w:t>a</w:t>
      </w:r>
      <w:r w:rsidRPr="002A793E">
        <w:rPr>
          <w:rFonts w:ascii="Times New Roman" w:hAnsi="Times New Roman" w:cs="Times New Roman"/>
          <w:sz w:val="28"/>
          <w:szCs w:val="28"/>
          <w:lang w:val="es-ES"/>
        </w:rPr>
        <w:t>) e</w:t>
      </w:r>
      <w:r w:rsidRPr="002A793E">
        <w:rPr>
          <w:rFonts w:ascii="Times New Roman" w:hAnsi="Times New Roman" w:cs="Times New Roman"/>
          <w:sz w:val="28"/>
          <w:szCs w:val="28"/>
          <w:lang w:val="es-ES"/>
        </w:rPr>
        <w:t>l magistrado sustanciador no puede decretarla en la fase de admisibilidad</w:t>
      </w:r>
      <w:r w:rsidRPr="002A793E">
        <w:rPr>
          <w:rStyle w:val="Refdenotaalpie"/>
          <w:rFonts w:ascii="Times New Roman" w:hAnsi="Times New Roman" w:cs="Times New Roman"/>
          <w:sz w:val="28"/>
          <w:szCs w:val="28"/>
          <w:lang w:val="es-ES"/>
        </w:rPr>
        <w:footnoteReference w:id="46"/>
      </w:r>
      <w:r w:rsidRPr="002A793E">
        <w:rPr>
          <w:rFonts w:ascii="Times New Roman" w:hAnsi="Times New Roman" w:cs="Times New Roman"/>
          <w:sz w:val="28"/>
          <w:szCs w:val="28"/>
          <w:lang w:val="es-ES"/>
        </w:rPr>
        <w:t xml:space="preserve"> y (</w:t>
      </w:r>
      <w:r w:rsidRPr="002A793E">
        <w:rPr>
          <w:rFonts w:ascii="Times New Roman" w:hAnsi="Times New Roman" w:cs="Times New Roman"/>
          <w:sz w:val="28"/>
          <w:szCs w:val="28"/>
          <w:lang w:val="es-ES"/>
        </w:rPr>
        <w:t>b</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salvo que</w:t>
      </w:r>
      <w:r w:rsidRPr="002A793E">
        <w:rPr>
          <w:rFonts w:ascii="Times New Roman" w:hAnsi="Times New Roman" w:cs="Times New Roman"/>
          <w:sz w:val="28"/>
          <w:szCs w:val="28"/>
          <w:lang w:val="es-ES"/>
        </w:rPr>
        <w:t xml:space="preserve"> exist</w:t>
      </w:r>
      <w:r w:rsidRPr="002A793E">
        <w:rPr>
          <w:rFonts w:ascii="Times New Roman" w:hAnsi="Times New Roman" w:cs="Times New Roman"/>
          <w:sz w:val="28"/>
          <w:szCs w:val="28"/>
          <w:lang w:val="es-ES"/>
        </w:rPr>
        <w:t>a</w:t>
      </w:r>
      <w:r w:rsidRPr="002A793E">
        <w:rPr>
          <w:rFonts w:ascii="Times New Roman" w:hAnsi="Times New Roman" w:cs="Times New Roman"/>
          <w:sz w:val="28"/>
          <w:szCs w:val="28"/>
          <w:lang w:val="es-ES"/>
        </w:rPr>
        <w:t xml:space="preserve">n motivos que la </w:t>
      </w:r>
      <w:r w:rsidRPr="002A793E">
        <w:rPr>
          <w:rFonts w:ascii="Times New Roman" w:hAnsi="Times New Roman" w:cs="Times New Roman"/>
          <w:sz w:val="28"/>
          <w:szCs w:val="28"/>
          <w:lang w:val="es-ES"/>
        </w:rPr>
        <w:t xml:space="preserve">enerven, </w:t>
      </w:r>
      <w:r w:rsidRPr="002A793E">
        <w:rPr>
          <w:rFonts w:ascii="Times New Roman" w:hAnsi="Times New Roman" w:cs="Times New Roman"/>
          <w:sz w:val="28"/>
          <w:szCs w:val="28"/>
          <w:lang w:val="es-ES"/>
        </w:rPr>
        <w:t xml:space="preserve">la Sala Plena </w:t>
      </w:r>
      <w:r w:rsidRPr="002A793E">
        <w:rPr>
          <w:rFonts w:ascii="Times New Roman" w:hAnsi="Times New Roman" w:cs="Times New Roman"/>
          <w:sz w:val="28"/>
          <w:szCs w:val="28"/>
          <w:lang w:val="es-ES"/>
        </w:rPr>
        <w:t xml:space="preserve">no sólo debe estarse a lo resuelto en el fallo anterior, sino que también debe declarar exequible la disposición ahora </w:t>
      </w:r>
      <w:r w:rsidRPr="002A793E">
        <w:rPr>
          <w:rFonts w:ascii="Times New Roman" w:hAnsi="Times New Roman" w:cs="Times New Roman"/>
          <w:sz w:val="28"/>
          <w:szCs w:val="28"/>
          <w:lang w:val="es-ES"/>
        </w:rPr>
        <w:t>controlada</w:t>
      </w:r>
      <w:r w:rsidRPr="002A793E">
        <w:rPr>
          <w:rFonts w:ascii="Times New Roman" w:hAnsi="Times New Roman" w:cs="Times New Roman"/>
          <w:sz w:val="28"/>
          <w:szCs w:val="28"/>
          <w:lang w:val="es-ES"/>
        </w:rPr>
        <w:t xml:space="preserve"> conforme a lo </w:t>
      </w:r>
      <w:r w:rsidRPr="002A793E">
        <w:rPr>
          <w:rFonts w:ascii="Times New Roman" w:hAnsi="Times New Roman" w:cs="Times New Roman"/>
          <w:sz w:val="28"/>
          <w:szCs w:val="28"/>
          <w:lang w:val="es-ES"/>
        </w:rPr>
        <w:t>dispuesto en la sentencia anterior</w:t>
      </w:r>
      <w:r w:rsidRPr="002A793E">
        <w:rPr>
          <w:rStyle w:val="Refdenotaalpie"/>
          <w:rFonts w:ascii="Times New Roman" w:hAnsi="Times New Roman" w:cs="Times New Roman"/>
          <w:sz w:val="28"/>
          <w:szCs w:val="28"/>
          <w:lang w:val="es-ES"/>
        </w:rPr>
        <w:footnoteReference w:id="47"/>
      </w:r>
      <w:r w:rsidRPr="002A793E">
        <w:rPr>
          <w:rFonts w:ascii="Times New Roman" w:hAnsi="Times New Roman" w:cs="Times New Roman"/>
          <w:sz w:val="28"/>
          <w:szCs w:val="28"/>
          <w:lang w:val="es-ES"/>
        </w:rPr>
        <w:t xml:space="preserve">. </w:t>
      </w:r>
    </w:p>
    <w:p w:rsidR="007968CA" w:rsidRPr="002A793E" w:rsidRDefault="002A793E" w:rsidP="007A2D50">
      <w:pPr>
        <w:rPr>
          <w:rFonts w:ascii="Times New Roman" w:hAnsi="Times New Roman" w:cs="Times New Roman"/>
          <w:sz w:val="28"/>
          <w:szCs w:val="28"/>
          <w:lang w:val="es-ES"/>
        </w:rPr>
      </w:pPr>
    </w:p>
    <w:p w:rsidR="00B06BCA" w:rsidRPr="002A793E" w:rsidRDefault="002A793E" w:rsidP="00B06BCA">
      <w:pPr>
        <w:pStyle w:val="Prrafodelista"/>
        <w:numPr>
          <w:ilvl w:val="0"/>
          <w:numId w:val="2"/>
        </w:numPr>
        <w:ind w:left="0" w:firstLine="0"/>
        <w:rPr>
          <w:rFonts w:ascii="Times New Roman" w:hAnsi="Times New Roman" w:cs="Times New Roman"/>
          <w:sz w:val="28"/>
          <w:szCs w:val="28"/>
          <w:lang w:val="es-ES"/>
        </w:rPr>
      </w:pPr>
      <w:r w:rsidRPr="002A793E">
        <w:rPr>
          <w:rFonts w:ascii="Times New Roman" w:hAnsi="Times New Roman" w:cs="Times New Roman"/>
          <w:sz w:val="28"/>
          <w:szCs w:val="28"/>
          <w:lang w:val="es-ES"/>
        </w:rPr>
        <w:t xml:space="preserve">Por el contrario, </w:t>
      </w:r>
      <w:r w:rsidRPr="002A793E">
        <w:rPr>
          <w:rFonts w:ascii="Times New Roman" w:hAnsi="Times New Roman" w:cs="Times New Roman"/>
          <w:sz w:val="28"/>
          <w:szCs w:val="28"/>
          <w:lang w:val="es-ES"/>
        </w:rPr>
        <w:t>cuando la decisión previa es de inexequibilidad</w:t>
      </w:r>
      <w:r w:rsidRPr="002A793E">
        <w:rPr>
          <w:rFonts w:ascii="Times New Roman" w:hAnsi="Times New Roman" w:cs="Times New Roman"/>
          <w:sz w:val="28"/>
          <w:szCs w:val="28"/>
          <w:lang w:val="es-ES"/>
        </w:rPr>
        <w:t xml:space="preserve"> y se configura una cosa juzgada material,</w:t>
      </w:r>
      <w:r w:rsidRPr="002A793E">
        <w:rPr>
          <w:rFonts w:ascii="Times New Roman" w:hAnsi="Times New Roman" w:cs="Times New Roman"/>
          <w:sz w:val="28"/>
          <w:szCs w:val="28"/>
          <w:lang w:val="es-ES"/>
        </w:rPr>
        <w:t xml:space="preserve"> se aplican las siguientes reglas</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E</w:t>
      </w:r>
      <w:r w:rsidRPr="002A793E">
        <w:rPr>
          <w:rFonts w:ascii="Times New Roman" w:hAnsi="Times New Roman" w:cs="Times New Roman"/>
          <w:sz w:val="28"/>
          <w:szCs w:val="28"/>
          <w:lang w:val="es-ES"/>
        </w:rPr>
        <w:t xml:space="preserve">n la etapa de admisibilidad, la demanda no puede </w:t>
      </w:r>
      <w:r w:rsidRPr="002A793E">
        <w:rPr>
          <w:rFonts w:ascii="Times New Roman" w:hAnsi="Times New Roman" w:cs="Times New Roman"/>
          <w:sz w:val="28"/>
          <w:szCs w:val="28"/>
          <w:lang w:val="es-ES"/>
        </w:rPr>
        <w:t>ser rechazada de plano, pues la norma acusada hace parte del ordenamiento jurídico</w:t>
      </w:r>
      <w:r w:rsidRPr="002A793E">
        <w:rPr>
          <w:rStyle w:val="Refdenotaalpie"/>
          <w:rFonts w:ascii="Times New Roman" w:hAnsi="Times New Roman" w:cs="Times New Roman"/>
          <w:sz w:val="28"/>
          <w:szCs w:val="28"/>
          <w:lang w:val="es-ES"/>
        </w:rPr>
        <w:footnoteReference w:id="48"/>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Además,</w:t>
      </w:r>
      <w:r w:rsidRPr="002A793E">
        <w:rPr>
          <w:rFonts w:ascii="Times New Roman" w:hAnsi="Times New Roman" w:cs="Times New Roman"/>
          <w:sz w:val="28"/>
          <w:szCs w:val="28"/>
          <w:lang w:val="es-ES"/>
        </w:rPr>
        <w:t xml:space="preserve"> una vez admitida la acción pública, es relevante identificar el fundamento de la inexequibilidad de la decisión previa, ya sea por razones de fondo o de procedimie</w:t>
      </w:r>
      <w:r w:rsidRPr="002A793E">
        <w:rPr>
          <w:rFonts w:ascii="Times New Roman" w:hAnsi="Times New Roman" w:cs="Times New Roman"/>
          <w:sz w:val="28"/>
          <w:szCs w:val="28"/>
          <w:lang w:val="es-ES"/>
        </w:rPr>
        <w:t>nto</w:t>
      </w:r>
      <w:r w:rsidRPr="002A793E">
        <w:rPr>
          <w:rStyle w:val="Refdenotaalpie"/>
          <w:rFonts w:ascii="Times New Roman" w:hAnsi="Times New Roman" w:cs="Times New Roman"/>
          <w:sz w:val="28"/>
          <w:szCs w:val="28"/>
          <w:lang w:val="es-ES"/>
        </w:rPr>
        <w:footnoteReference w:id="49"/>
      </w:r>
      <w:r w:rsidRPr="002A793E">
        <w:rPr>
          <w:rFonts w:ascii="Times New Roman" w:hAnsi="Times New Roman" w:cs="Times New Roman"/>
          <w:sz w:val="28"/>
          <w:szCs w:val="28"/>
          <w:lang w:val="es-ES"/>
        </w:rPr>
        <w:t>. En el evento en el que la declaratoria de inexequibilidad obedezca a un defecto de forma en la expedición de la norma, el legislador está facultado para reproducir su contenido en una disposición posterior</w:t>
      </w:r>
      <w:r w:rsidRPr="002A793E">
        <w:rPr>
          <w:rStyle w:val="Refdenotaalpie"/>
          <w:rFonts w:ascii="Times New Roman" w:hAnsi="Times New Roman" w:cs="Times New Roman"/>
          <w:sz w:val="28"/>
          <w:szCs w:val="28"/>
          <w:lang w:val="es-ES"/>
        </w:rPr>
        <w:footnoteReference w:id="50"/>
      </w:r>
      <w:r w:rsidRPr="002A793E">
        <w:rPr>
          <w:rFonts w:ascii="Times New Roman" w:hAnsi="Times New Roman" w:cs="Times New Roman"/>
          <w:sz w:val="28"/>
          <w:szCs w:val="28"/>
          <w:lang w:val="es-ES"/>
        </w:rPr>
        <w:t>. En cambio, si el Congreso replica un conte</w:t>
      </w:r>
      <w:r w:rsidRPr="002A793E">
        <w:rPr>
          <w:rFonts w:ascii="Times New Roman" w:hAnsi="Times New Roman" w:cs="Times New Roman"/>
          <w:sz w:val="28"/>
          <w:szCs w:val="28"/>
          <w:lang w:val="es-ES"/>
        </w:rPr>
        <w:t>nido normativo previamente declarado inexequible por vicios de fondo y subsisten en la Constitución las disposiciones que sirvieron para realizar el control de constitucionalidad, la cosa juzgada material exige estarse a lo resuelto en el pronunciamiento a</w:t>
      </w:r>
      <w:r w:rsidRPr="002A793E">
        <w:rPr>
          <w:rFonts w:ascii="Times New Roman" w:hAnsi="Times New Roman" w:cs="Times New Roman"/>
          <w:sz w:val="28"/>
          <w:szCs w:val="28"/>
          <w:lang w:val="es-ES"/>
        </w:rPr>
        <w:t>nterior y, en consecuencia, declarar la inexequibilidad del nuevo precepto, en virtud de lo señalado en el artículo 243 de la Constitución</w:t>
      </w:r>
      <w:r w:rsidRPr="002A793E">
        <w:rPr>
          <w:rStyle w:val="Refdenotaalpie"/>
          <w:rFonts w:ascii="Times New Roman" w:hAnsi="Times New Roman" w:cs="Times New Roman"/>
          <w:sz w:val="28"/>
          <w:szCs w:val="28"/>
          <w:lang w:val="es-ES"/>
        </w:rPr>
        <w:footnoteReference w:id="51"/>
      </w:r>
      <w:r w:rsidRPr="002A793E">
        <w:rPr>
          <w:rFonts w:ascii="Times New Roman" w:hAnsi="Times New Roman" w:cs="Times New Roman"/>
          <w:sz w:val="28"/>
          <w:szCs w:val="28"/>
          <w:lang w:val="es-ES"/>
        </w:rPr>
        <w:t xml:space="preserve">. </w:t>
      </w:r>
    </w:p>
    <w:p w:rsidR="00B06BCA" w:rsidRPr="002A793E" w:rsidRDefault="002A793E" w:rsidP="00B06BCA">
      <w:pPr>
        <w:pStyle w:val="Prrafodelista"/>
        <w:ind w:left="0"/>
        <w:rPr>
          <w:rFonts w:ascii="Times New Roman" w:hAnsi="Times New Roman" w:cs="Times New Roman"/>
          <w:sz w:val="28"/>
          <w:szCs w:val="28"/>
          <w:lang w:val="es-ES"/>
        </w:rPr>
      </w:pPr>
    </w:p>
    <w:p w:rsidR="007968CA" w:rsidRPr="002A793E" w:rsidRDefault="002A793E" w:rsidP="00B06BCA">
      <w:pPr>
        <w:pStyle w:val="Prrafodelista"/>
        <w:numPr>
          <w:ilvl w:val="0"/>
          <w:numId w:val="2"/>
        </w:numPr>
        <w:ind w:left="0" w:firstLine="0"/>
        <w:rPr>
          <w:rFonts w:ascii="Times New Roman" w:hAnsi="Times New Roman" w:cs="Times New Roman"/>
          <w:sz w:val="28"/>
          <w:szCs w:val="28"/>
          <w:lang w:val="es-ES"/>
        </w:rPr>
      </w:pPr>
      <w:r w:rsidRPr="002A793E">
        <w:rPr>
          <w:rFonts w:ascii="Times New Roman" w:hAnsi="Times New Roman" w:cs="Times New Roman"/>
          <w:sz w:val="28"/>
          <w:szCs w:val="28"/>
          <w:lang w:val="es-ES"/>
        </w:rPr>
        <w:t xml:space="preserve">Por otro lado, </w:t>
      </w:r>
      <w:r w:rsidRPr="002A793E">
        <w:rPr>
          <w:rFonts w:ascii="Times New Roman" w:hAnsi="Times New Roman" w:cs="Times New Roman"/>
          <w:sz w:val="28"/>
          <w:szCs w:val="28"/>
          <w:lang w:val="es-ES"/>
        </w:rPr>
        <w:t>en situaciones en las que el enunciado legal queda suprimido del ordenamiento jurídico</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 xml:space="preserve">es decir, </w:t>
      </w:r>
      <w:r w:rsidRPr="002A793E">
        <w:rPr>
          <w:rFonts w:ascii="Times New Roman" w:hAnsi="Times New Roman" w:cs="Times New Roman"/>
          <w:sz w:val="28"/>
          <w:szCs w:val="28"/>
          <w:lang w:val="es-ES"/>
        </w:rPr>
        <w:t xml:space="preserve">cuando la decisión previa es de inexequibilidad, </w:t>
      </w:r>
      <w:r w:rsidRPr="002A793E">
        <w:rPr>
          <w:rFonts w:ascii="Times New Roman" w:hAnsi="Times New Roman" w:cs="Times New Roman"/>
          <w:sz w:val="28"/>
          <w:szCs w:val="28"/>
          <w:lang w:val="es-ES"/>
        </w:rPr>
        <w:t>la cosa juzgada</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siempre será absoluta</w:t>
      </w:r>
      <w:r w:rsidRPr="002A793E">
        <w:rPr>
          <w:rStyle w:val="Refdenotaalpie"/>
          <w:rFonts w:ascii="Times New Roman" w:hAnsi="Times New Roman" w:cs="Times New Roman"/>
          <w:sz w:val="28"/>
          <w:szCs w:val="28"/>
          <w:lang w:val="es-ES"/>
        </w:rPr>
        <w:footnoteReference w:id="52"/>
      </w:r>
      <w:r w:rsidRPr="002A793E">
        <w:rPr>
          <w:rFonts w:ascii="Times New Roman" w:hAnsi="Times New Roman" w:cs="Times New Roman"/>
          <w:sz w:val="28"/>
          <w:szCs w:val="28"/>
          <w:lang w:val="es-ES"/>
        </w:rPr>
        <w:t>. Estos efectos ocurren con independencia del parámetro de constitucionalidad que desconoció la norma invalidada, pues ya no forma parte del sistema jurídico</w:t>
      </w:r>
      <w:r w:rsidRPr="002A793E">
        <w:rPr>
          <w:rStyle w:val="Refdenotaalpie"/>
          <w:rFonts w:ascii="Times New Roman" w:hAnsi="Times New Roman" w:cs="Times New Roman"/>
          <w:sz w:val="28"/>
          <w:szCs w:val="28"/>
          <w:lang w:val="es-ES"/>
        </w:rPr>
        <w:footnoteReference w:id="53"/>
      </w:r>
      <w:r w:rsidRPr="002A793E">
        <w:rPr>
          <w:rFonts w:ascii="Times New Roman" w:hAnsi="Times New Roman" w:cs="Times New Roman"/>
          <w:sz w:val="28"/>
          <w:szCs w:val="28"/>
          <w:lang w:val="es-ES"/>
        </w:rPr>
        <w:t xml:space="preserve">. En otras </w:t>
      </w:r>
      <w:r w:rsidRPr="002A793E">
        <w:rPr>
          <w:rFonts w:ascii="Times New Roman" w:hAnsi="Times New Roman" w:cs="Times New Roman"/>
          <w:sz w:val="28"/>
          <w:szCs w:val="28"/>
          <w:lang w:val="es-ES"/>
        </w:rPr>
        <w:t>palabras “no existe objeto para un nuevo pronunciamiento de esta Corporación”</w:t>
      </w:r>
      <w:r w:rsidRPr="002A793E">
        <w:rPr>
          <w:rStyle w:val="Refdenotaalpie"/>
          <w:rFonts w:ascii="Times New Roman" w:hAnsi="Times New Roman" w:cs="Times New Roman"/>
          <w:sz w:val="28"/>
          <w:szCs w:val="28"/>
          <w:lang w:val="es-ES"/>
        </w:rPr>
        <w:footnoteReference w:id="54"/>
      </w:r>
      <w:r w:rsidRPr="002A793E">
        <w:rPr>
          <w:rFonts w:ascii="Times New Roman" w:hAnsi="Times New Roman" w:cs="Times New Roman"/>
          <w:sz w:val="28"/>
          <w:szCs w:val="28"/>
          <w:lang w:val="es-ES"/>
        </w:rPr>
        <w:t xml:space="preserve">, y las autoridades tienen prohibido reproducir esa proposición jurídica. </w:t>
      </w:r>
      <w:r w:rsidRPr="002A793E">
        <w:rPr>
          <w:rFonts w:ascii="Times New Roman" w:hAnsi="Times New Roman" w:cs="Times New Roman"/>
          <w:sz w:val="28"/>
          <w:szCs w:val="28"/>
          <w:lang w:val="es-ES"/>
        </w:rPr>
        <w:t>Como la sentencia C-294 de 2024 declaró inexequibles el numeral 6 y el parágrafo 3 del artículo 61 de la</w:t>
      </w:r>
      <w:r w:rsidRPr="002A793E">
        <w:rPr>
          <w:rFonts w:ascii="Times New Roman" w:hAnsi="Times New Roman" w:cs="Times New Roman"/>
          <w:sz w:val="28"/>
          <w:szCs w:val="28"/>
          <w:lang w:val="es-ES"/>
        </w:rPr>
        <w:t xml:space="preserve"> Ley 2294 de 2023, disposiciones que fueron demandadas en esta ocasión, la Sala Plena</w:t>
      </w:r>
      <w:r w:rsidRPr="002A793E">
        <w:rPr>
          <w:rFonts w:ascii="Times New Roman" w:hAnsi="Times New Roman" w:cs="Times New Roman"/>
          <w:sz w:val="28"/>
          <w:szCs w:val="28"/>
          <w:lang w:val="es-ES"/>
        </w:rPr>
        <w:t xml:space="preserve"> se referirá a </w:t>
      </w:r>
      <w:r w:rsidRPr="002A793E">
        <w:rPr>
          <w:rFonts w:ascii="Times New Roman" w:hAnsi="Times New Roman" w:cs="Times New Roman"/>
          <w:sz w:val="28"/>
          <w:szCs w:val="28"/>
          <w:lang w:val="es-ES"/>
        </w:rPr>
        <w:t>las reglas jurisprudenciales en este tipo de efectos.</w:t>
      </w:r>
    </w:p>
    <w:p w:rsidR="007968CA" w:rsidRPr="002A793E" w:rsidRDefault="002A793E" w:rsidP="00483E42">
      <w:pPr>
        <w:rPr>
          <w:rFonts w:ascii="Times New Roman" w:hAnsi="Times New Roman" w:cs="Times New Roman"/>
          <w:sz w:val="28"/>
          <w:szCs w:val="28"/>
          <w:lang w:val="es-ES"/>
        </w:rPr>
      </w:pPr>
    </w:p>
    <w:p w:rsidR="00F050A9" w:rsidRPr="002A793E" w:rsidRDefault="002A793E" w:rsidP="00B06BCA">
      <w:pPr>
        <w:pStyle w:val="Prrafodelista"/>
        <w:numPr>
          <w:ilvl w:val="0"/>
          <w:numId w:val="2"/>
        </w:numPr>
        <w:ind w:left="0" w:firstLine="0"/>
        <w:rPr>
          <w:rFonts w:ascii="Times New Roman" w:hAnsi="Times New Roman" w:cs="Times New Roman"/>
          <w:sz w:val="28"/>
          <w:szCs w:val="28"/>
          <w:lang w:val="es-ES"/>
        </w:rPr>
      </w:pPr>
      <w:r w:rsidRPr="002A793E">
        <w:rPr>
          <w:rFonts w:ascii="Times New Roman" w:hAnsi="Times New Roman" w:cs="Times New Roman"/>
          <w:sz w:val="28"/>
          <w:szCs w:val="28"/>
          <w:lang w:val="es-ES"/>
        </w:rPr>
        <w:t xml:space="preserve">En las </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entencias C-383 de 2022</w:t>
      </w:r>
      <w:r w:rsidRPr="002A793E">
        <w:rPr>
          <w:rFonts w:ascii="Times New Roman" w:hAnsi="Times New Roman" w:cs="Times New Roman"/>
          <w:sz w:val="28"/>
          <w:szCs w:val="28"/>
          <w:lang w:val="es-ES"/>
        </w:rPr>
        <w:t xml:space="preserve"> y</w:t>
      </w:r>
      <w:r w:rsidRPr="002A793E">
        <w:rPr>
          <w:rFonts w:ascii="Times New Roman" w:hAnsi="Times New Roman" w:cs="Times New Roman"/>
          <w:sz w:val="28"/>
          <w:szCs w:val="28"/>
          <w:lang w:val="es-ES"/>
        </w:rPr>
        <w:t xml:space="preserve"> C-200 de 2019</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se reiteraron y sintetizaron las reglas aplicables e</w:t>
      </w:r>
      <w:r w:rsidRPr="002A793E">
        <w:rPr>
          <w:rFonts w:ascii="Times New Roman" w:hAnsi="Times New Roman" w:cs="Times New Roman"/>
          <w:sz w:val="28"/>
          <w:szCs w:val="28"/>
          <w:lang w:val="es-ES"/>
        </w:rPr>
        <w:t>n casos que involucran el conocimiento de demandas que cuestionan normas</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previamente declarad</w:t>
      </w:r>
      <w:r w:rsidRPr="002A793E">
        <w:rPr>
          <w:rFonts w:ascii="Times New Roman" w:hAnsi="Times New Roman" w:cs="Times New Roman"/>
          <w:sz w:val="28"/>
          <w:szCs w:val="28"/>
          <w:lang w:val="es-ES"/>
        </w:rPr>
        <w:t>a</w:t>
      </w:r>
      <w:r w:rsidRPr="002A793E">
        <w:rPr>
          <w:rFonts w:ascii="Times New Roman" w:hAnsi="Times New Roman" w:cs="Times New Roman"/>
          <w:sz w:val="28"/>
          <w:szCs w:val="28"/>
          <w:lang w:val="es-ES"/>
        </w:rPr>
        <w:t>s inexequibles</w:t>
      </w:r>
      <w:r w:rsidRPr="002A793E">
        <w:rPr>
          <w:rFonts w:ascii="Times New Roman" w:hAnsi="Times New Roman" w:cs="Times New Roman"/>
          <w:sz w:val="28"/>
          <w:szCs w:val="28"/>
          <w:lang w:val="es-ES"/>
        </w:rPr>
        <w:t xml:space="preserve">. Si se detecta esta situación </w:t>
      </w:r>
      <w:r w:rsidRPr="002A793E">
        <w:rPr>
          <w:rFonts w:ascii="Times New Roman" w:hAnsi="Times New Roman" w:cs="Times New Roman"/>
          <w:sz w:val="28"/>
          <w:szCs w:val="28"/>
          <w:lang w:val="es-ES"/>
        </w:rPr>
        <w:t>en la etapa de admisibilidad</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el magistrado sustanciador debe rechazar la demanda.</w:t>
      </w:r>
      <w:r w:rsidRPr="002A793E">
        <w:rPr>
          <w:rFonts w:ascii="Times New Roman" w:hAnsi="Times New Roman" w:cs="Times New Roman"/>
          <w:sz w:val="28"/>
          <w:szCs w:val="28"/>
          <w:lang w:val="es-ES"/>
        </w:rPr>
        <w:t xml:space="preserve"> Si pese a ello la </w:t>
      </w:r>
      <w:r w:rsidRPr="002A793E">
        <w:rPr>
          <w:rFonts w:ascii="Times New Roman" w:hAnsi="Times New Roman" w:cs="Times New Roman"/>
          <w:sz w:val="28"/>
          <w:szCs w:val="28"/>
          <w:lang w:val="es-ES"/>
        </w:rPr>
        <w:t xml:space="preserve">acción pública </w:t>
      </w:r>
      <w:r w:rsidRPr="002A793E">
        <w:rPr>
          <w:rFonts w:ascii="Times New Roman" w:hAnsi="Times New Roman" w:cs="Times New Roman"/>
          <w:sz w:val="28"/>
          <w:szCs w:val="28"/>
          <w:lang w:val="es-ES"/>
        </w:rPr>
        <w:t>de inconstitucionalidad</w:t>
      </w:r>
      <w:r w:rsidRPr="002A793E">
        <w:rPr>
          <w:rFonts w:ascii="Times New Roman" w:hAnsi="Times New Roman" w:cs="Times New Roman"/>
          <w:sz w:val="28"/>
          <w:szCs w:val="28"/>
          <w:lang w:val="es-ES"/>
        </w:rPr>
        <w:t xml:space="preserve"> se admite o </w:t>
      </w:r>
      <w:r w:rsidRPr="002A793E">
        <w:rPr>
          <w:rFonts w:ascii="Times New Roman" w:hAnsi="Times New Roman" w:cs="Times New Roman"/>
          <w:sz w:val="28"/>
          <w:szCs w:val="28"/>
          <w:lang w:val="es-ES"/>
        </w:rPr>
        <w:t xml:space="preserve">se configura </w:t>
      </w:r>
      <w:r w:rsidRPr="002A793E">
        <w:rPr>
          <w:rFonts w:ascii="Times New Roman" w:hAnsi="Times New Roman" w:cs="Times New Roman"/>
          <w:sz w:val="28"/>
          <w:szCs w:val="28"/>
          <w:lang w:val="es-ES"/>
        </w:rPr>
        <w:t>una</w:t>
      </w:r>
      <w:r w:rsidRPr="002A793E">
        <w:rPr>
          <w:rFonts w:ascii="Times New Roman" w:hAnsi="Times New Roman" w:cs="Times New Roman"/>
          <w:sz w:val="28"/>
          <w:szCs w:val="28"/>
          <w:lang w:val="es-ES"/>
        </w:rPr>
        <w:t xml:space="preserve"> cosa juzgada</w:t>
      </w:r>
      <w:r w:rsidRPr="002A793E">
        <w:rPr>
          <w:rFonts w:ascii="Times New Roman" w:hAnsi="Times New Roman" w:cs="Times New Roman"/>
          <w:sz w:val="28"/>
          <w:szCs w:val="28"/>
          <w:lang w:val="es-ES"/>
        </w:rPr>
        <w:t xml:space="preserve"> formal</w:t>
      </w:r>
      <w:r w:rsidRPr="002A793E">
        <w:rPr>
          <w:rFonts w:ascii="Times New Roman" w:hAnsi="Times New Roman" w:cs="Times New Roman"/>
          <w:sz w:val="28"/>
          <w:szCs w:val="28"/>
          <w:lang w:val="es-ES"/>
        </w:rPr>
        <w:t xml:space="preserve"> sobreviniente porque</w:t>
      </w:r>
      <w:r w:rsidRPr="002A793E">
        <w:rPr>
          <w:rFonts w:ascii="Times New Roman" w:hAnsi="Times New Roman" w:cs="Times New Roman"/>
          <w:sz w:val="28"/>
          <w:szCs w:val="28"/>
          <w:lang w:val="es-ES"/>
        </w:rPr>
        <w:t xml:space="preserve"> durante</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el</w:t>
      </w:r>
      <w:r w:rsidRPr="002A793E">
        <w:rPr>
          <w:rFonts w:ascii="Times New Roman" w:hAnsi="Times New Roman" w:cs="Times New Roman"/>
          <w:sz w:val="28"/>
          <w:szCs w:val="28"/>
          <w:lang w:val="es-ES"/>
        </w:rPr>
        <w:t xml:space="preserve"> curso del proceso </w:t>
      </w:r>
      <w:r w:rsidRPr="002A793E">
        <w:rPr>
          <w:rFonts w:ascii="Times New Roman" w:hAnsi="Times New Roman" w:cs="Times New Roman"/>
          <w:sz w:val="28"/>
          <w:szCs w:val="28"/>
          <w:lang w:val="es-ES"/>
        </w:rPr>
        <w:t>la Corte</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profir</w:t>
      </w:r>
      <w:r w:rsidRPr="002A793E">
        <w:rPr>
          <w:rFonts w:ascii="Times New Roman" w:hAnsi="Times New Roman" w:cs="Times New Roman"/>
          <w:sz w:val="28"/>
          <w:szCs w:val="28"/>
          <w:lang w:val="es-ES"/>
        </w:rPr>
        <w:t>ió</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una</w:t>
      </w:r>
      <w:r w:rsidRPr="002A793E">
        <w:rPr>
          <w:rFonts w:ascii="Times New Roman" w:hAnsi="Times New Roman" w:cs="Times New Roman"/>
          <w:sz w:val="28"/>
          <w:szCs w:val="28"/>
          <w:lang w:val="es-ES"/>
        </w:rPr>
        <w:t xml:space="preserve"> sentencia que declar</w:t>
      </w:r>
      <w:r w:rsidRPr="002A793E">
        <w:rPr>
          <w:rFonts w:ascii="Times New Roman" w:hAnsi="Times New Roman" w:cs="Times New Roman"/>
          <w:sz w:val="28"/>
          <w:szCs w:val="28"/>
          <w:lang w:val="es-ES"/>
        </w:rPr>
        <w:t>ó</w:t>
      </w:r>
      <w:r w:rsidRPr="002A793E">
        <w:rPr>
          <w:rFonts w:ascii="Times New Roman" w:hAnsi="Times New Roman" w:cs="Times New Roman"/>
          <w:sz w:val="28"/>
          <w:szCs w:val="28"/>
          <w:lang w:val="es-ES"/>
        </w:rPr>
        <w:t xml:space="preserve"> inexequible la norma acusada, este Tribunal </w:t>
      </w:r>
      <w:r w:rsidRPr="002A793E">
        <w:rPr>
          <w:rFonts w:ascii="Times New Roman" w:hAnsi="Times New Roman" w:cs="Times New Roman"/>
          <w:sz w:val="28"/>
          <w:szCs w:val="28"/>
          <w:lang w:val="es-ES"/>
        </w:rPr>
        <w:t xml:space="preserve">deberá </w:t>
      </w:r>
      <w:r w:rsidRPr="002A793E">
        <w:rPr>
          <w:rFonts w:ascii="Times New Roman" w:hAnsi="Times New Roman" w:cs="Times New Roman"/>
          <w:sz w:val="28"/>
          <w:szCs w:val="28"/>
          <w:lang w:val="es-ES"/>
        </w:rPr>
        <w:t>adoptar</w:t>
      </w:r>
      <w:r w:rsidRPr="002A793E">
        <w:rPr>
          <w:rFonts w:ascii="Times New Roman" w:hAnsi="Times New Roman" w:cs="Times New Roman"/>
          <w:sz w:val="28"/>
          <w:szCs w:val="28"/>
          <w:lang w:val="es-ES"/>
        </w:rPr>
        <w:t xml:space="preserve"> un</w:t>
      </w:r>
      <w:r w:rsidRPr="002A793E">
        <w:rPr>
          <w:rFonts w:ascii="Times New Roman" w:hAnsi="Times New Roman" w:cs="Times New Roman"/>
          <w:sz w:val="28"/>
          <w:szCs w:val="28"/>
          <w:lang w:val="es-ES"/>
        </w:rPr>
        <w:t xml:space="preserve"> fallo</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 xml:space="preserve">en el que disponga estarse a lo resuelto en la </w:t>
      </w:r>
      <w:r w:rsidRPr="002A793E">
        <w:rPr>
          <w:rFonts w:ascii="Times New Roman" w:hAnsi="Times New Roman" w:cs="Times New Roman"/>
          <w:sz w:val="28"/>
          <w:szCs w:val="28"/>
          <w:lang w:val="es-ES"/>
        </w:rPr>
        <w:t xml:space="preserve">decisión </w:t>
      </w:r>
      <w:r w:rsidRPr="002A793E">
        <w:rPr>
          <w:rFonts w:ascii="Times New Roman" w:hAnsi="Times New Roman" w:cs="Times New Roman"/>
          <w:sz w:val="28"/>
          <w:szCs w:val="28"/>
          <w:lang w:val="es-ES"/>
        </w:rPr>
        <w:t>anterior de inexequibilidad</w:t>
      </w:r>
      <w:r w:rsidRPr="002A793E">
        <w:rPr>
          <w:rFonts w:ascii="Times New Roman" w:hAnsi="Times New Roman" w:cs="Times New Roman"/>
          <w:sz w:val="28"/>
          <w:szCs w:val="28"/>
          <w:vertAlign w:val="superscript"/>
          <w:lang w:val="es-ES"/>
        </w:rPr>
        <w:footnoteReference w:id="55"/>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w:t>
      </w:r>
    </w:p>
    <w:p w:rsidR="0051046C" w:rsidRPr="002A793E" w:rsidRDefault="002A793E" w:rsidP="0057231D">
      <w:pPr>
        <w:rPr>
          <w:rFonts w:ascii="Times New Roman" w:hAnsi="Times New Roman" w:cs="Times New Roman"/>
          <w:sz w:val="28"/>
          <w:szCs w:val="28"/>
          <w:lang w:val="es-ES"/>
        </w:rPr>
      </w:pPr>
    </w:p>
    <w:p w:rsidR="007968CA" w:rsidRPr="002A793E" w:rsidRDefault="002A793E" w:rsidP="00713C03">
      <w:pPr>
        <w:pStyle w:val="Prrafodelista"/>
        <w:numPr>
          <w:ilvl w:val="0"/>
          <w:numId w:val="2"/>
        </w:numPr>
        <w:ind w:left="0" w:firstLine="0"/>
        <w:rPr>
          <w:rFonts w:ascii="Times New Roman" w:hAnsi="Times New Roman" w:cs="Times New Roman"/>
          <w:b/>
          <w:bCs/>
          <w:color w:val="000000" w:themeColor="text1"/>
          <w:sz w:val="28"/>
          <w:szCs w:val="28"/>
          <w:lang w:val="es-ES"/>
        </w:rPr>
      </w:pPr>
      <w:r w:rsidRPr="002A793E">
        <w:rPr>
          <w:rFonts w:ascii="Times New Roman" w:hAnsi="Times New Roman" w:cs="Times New Roman"/>
          <w:sz w:val="28"/>
          <w:szCs w:val="28"/>
          <w:lang w:val="es-ES"/>
        </w:rPr>
        <w:t>En l</w:t>
      </w:r>
      <w:r w:rsidRPr="002A793E">
        <w:rPr>
          <w:rFonts w:ascii="Times New Roman" w:hAnsi="Times New Roman" w:cs="Times New Roman"/>
          <w:sz w:val="28"/>
          <w:szCs w:val="28"/>
          <w:lang w:val="es-ES"/>
        </w:rPr>
        <w:t xml:space="preserve">a </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entencia C-383 de 2022</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también </w:t>
      </w:r>
      <w:r w:rsidRPr="002A793E">
        <w:rPr>
          <w:rFonts w:ascii="Times New Roman" w:hAnsi="Times New Roman" w:cs="Times New Roman"/>
          <w:sz w:val="28"/>
          <w:szCs w:val="28"/>
          <w:lang w:val="es-ES"/>
        </w:rPr>
        <w:t xml:space="preserve">se </w:t>
      </w:r>
      <w:r w:rsidRPr="002A793E">
        <w:rPr>
          <w:rFonts w:ascii="Times New Roman" w:hAnsi="Times New Roman" w:cs="Times New Roman"/>
          <w:sz w:val="28"/>
          <w:szCs w:val="28"/>
          <w:lang w:val="es-ES"/>
        </w:rPr>
        <w:t xml:space="preserve">refrendó la regla de que la declaración de inexequibilidad de una disposición legal genera cosa juzgada absoluta formal con </w:t>
      </w:r>
      <w:r w:rsidRPr="002A793E">
        <w:rPr>
          <w:rFonts w:ascii="Times New Roman" w:hAnsi="Times New Roman" w:cs="Times New Roman"/>
          <w:sz w:val="28"/>
          <w:szCs w:val="28"/>
          <w:lang w:val="es-ES"/>
        </w:rPr>
        <w:t>respecto al mismo texto normativo en caso de que sea demandado o estudiado posteriormente. Por lo tanto, la sentencia de esta Corporación que suprime del ordenamiento jurídico un precepto constituye cosa juzgada frente a posteriores demandas contra esa mis</w:t>
      </w:r>
      <w:r w:rsidRPr="002A793E">
        <w:rPr>
          <w:rFonts w:ascii="Times New Roman" w:hAnsi="Times New Roman" w:cs="Times New Roman"/>
          <w:sz w:val="28"/>
          <w:szCs w:val="28"/>
          <w:lang w:val="es-ES"/>
        </w:rPr>
        <w:t>ma norma y a este Tribunal solo le corresponde estarse a lo resuelto en la decisión anterior</w:t>
      </w:r>
      <w:r w:rsidRPr="002A793E">
        <w:rPr>
          <w:rFonts w:ascii="Times New Roman" w:hAnsi="Times New Roman" w:cs="Times New Roman"/>
          <w:sz w:val="28"/>
          <w:szCs w:val="28"/>
          <w:vertAlign w:val="superscript"/>
          <w:lang w:val="es-ES"/>
        </w:rPr>
        <w:footnoteReference w:id="56"/>
      </w:r>
      <w:r w:rsidRPr="002A793E">
        <w:rPr>
          <w:rFonts w:ascii="Times New Roman" w:hAnsi="Times New Roman" w:cs="Times New Roman"/>
          <w:sz w:val="28"/>
          <w:szCs w:val="28"/>
          <w:lang w:val="es-ES"/>
        </w:rPr>
        <w:t>. Est</w:t>
      </w:r>
      <w:r w:rsidRPr="002A793E">
        <w:rPr>
          <w:rFonts w:ascii="Times New Roman" w:hAnsi="Times New Roman" w:cs="Times New Roman"/>
          <w:sz w:val="28"/>
          <w:szCs w:val="28"/>
          <w:lang w:val="es-ES"/>
        </w:rPr>
        <w:t>a situación</w:t>
      </w:r>
      <w:r w:rsidRPr="002A793E">
        <w:rPr>
          <w:rFonts w:ascii="Times New Roman" w:hAnsi="Times New Roman" w:cs="Times New Roman"/>
          <w:sz w:val="28"/>
          <w:szCs w:val="28"/>
          <w:lang w:val="es-ES"/>
        </w:rPr>
        <w:t xml:space="preserve"> se debe a que la norma ya no pertenece al ordenamiento jurídico, por lo que es imposible efectuar control alguno sobre ella. Así las cosas, “n</w:t>
      </w:r>
      <w:r w:rsidRPr="002A793E">
        <w:rPr>
          <w:rFonts w:ascii="Times New Roman" w:hAnsi="Times New Roman" w:cs="Times New Roman"/>
          <w:sz w:val="28"/>
          <w:szCs w:val="28"/>
          <w:shd w:val="clear" w:color="auto" w:fill="FFFFFF"/>
          <w:lang w:val="es-ES"/>
        </w:rPr>
        <w:t>o te</w:t>
      </w:r>
      <w:r w:rsidRPr="002A793E">
        <w:rPr>
          <w:rFonts w:ascii="Times New Roman" w:hAnsi="Times New Roman" w:cs="Times New Roman"/>
          <w:sz w:val="28"/>
          <w:szCs w:val="28"/>
          <w:shd w:val="clear" w:color="auto" w:fill="FFFFFF"/>
          <w:lang w:val="es-ES"/>
        </w:rPr>
        <w:t>ndría ningún sentido declarar nuevamente su disconformidad, sino también si se tiene presente que no es posible volver sobre una norma que ya no existe</w:t>
      </w:r>
      <w:r w:rsidRPr="002A793E">
        <w:rPr>
          <w:rFonts w:ascii="Times New Roman" w:hAnsi="Times New Roman" w:cs="Times New Roman"/>
          <w:sz w:val="28"/>
          <w:szCs w:val="28"/>
          <w:lang w:val="es-ES"/>
        </w:rPr>
        <w:t>”</w:t>
      </w:r>
      <w:r w:rsidRPr="002A793E">
        <w:rPr>
          <w:rStyle w:val="Refdenotaalpie"/>
          <w:rFonts w:ascii="Times New Roman" w:hAnsi="Times New Roman" w:cs="Times New Roman"/>
          <w:sz w:val="28"/>
          <w:szCs w:val="28"/>
          <w:lang w:val="es-ES"/>
        </w:rPr>
        <w:footnoteReference w:id="57"/>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w:t>
      </w:r>
    </w:p>
    <w:p w:rsidR="00915711" w:rsidRPr="002A793E" w:rsidRDefault="002A793E" w:rsidP="00915711">
      <w:pPr>
        <w:pStyle w:val="Prrafodelista"/>
        <w:ind w:left="0"/>
        <w:rPr>
          <w:rFonts w:ascii="Times New Roman" w:hAnsi="Times New Roman" w:cs="Times New Roman"/>
          <w:sz w:val="28"/>
          <w:szCs w:val="28"/>
          <w:lang w:val="es-ES"/>
        </w:rPr>
      </w:pPr>
    </w:p>
    <w:p w:rsidR="007968CA" w:rsidRPr="002A793E" w:rsidRDefault="002A793E" w:rsidP="00713C03">
      <w:pPr>
        <w:pStyle w:val="Prrafodelista"/>
        <w:numPr>
          <w:ilvl w:val="0"/>
          <w:numId w:val="2"/>
        </w:numPr>
        <w:ind w:left="0" w:firstLine="0"/>
        <w:rPr>
          <w:rFonts w:ascii="Times New Roman" w:hAnsi="Times New Roman" w:cs="Times New Roman"/>
          <w:b/>
          <w:bCs/>
          <w:color w:val="000000" w:themeColor="text1"/>
          <w:sz w:val="28"/>
          <w:szCs w:val="28"/>
          <w:lang w:val="es-ES"/>
        </w:rPr>
      </w:pPr>
      <w:r w:rsidRPr="002A793E">
        <w:rPr>
          <w:rFonts w:ascii="Times New Roman" w:hAnsi="Times New Roman" w:cs="Times New Roman"/>
          <w:sz w:val="28"/>
          <w:szCs w:val="28"/>
          <w:lang w:val="es-ES"/>
        </w:rPr>
        <w:t xml:space="preserve">En este contexto, se </w:t>
      </w:r>
      <w:r w:rsidRPr="002A793E">
        <w:rPr>
          <w:rFonts w:ascii="Times New Roman" w:hAnsi="Times New Roman" w:cs="Times New Roman"/>
          <w:sz w:val="28"/>
          <w:szCs w:val="28"/>
          <w:lang w:val="es-ES"/>
        </w:rPr>
        <w:t>mencionar</w:t>
      </w:r>
      <w:r w:rsidRPr="002A793E">
        <w:rPr>
          <w:rFonts w:ascii="Times New Roman" w:hAnsi="Times New Roman" w:cs="Times New Roman"/>
          <w:sz w:val="28"/>
          <w:szCs w:val="28"/>
          <w:lang w:val="es-ES"/>
        </w:rPr>
        <w:t>á</w:t>
      </w:r>
      <w:r w:rsidRPr="002A793E">
        <w:rPr>
          <w:rFonts w:ascii="Times New Roman" w:hAnsi="Times New Roman" w:cs="Times New Roman"/>
          <w:sz w:val="28"/>
          <w:szCs w:val="28"/>
          <w:lang w:val="es-ES"/>
        </w:rPr>
        <w:t xml:space="preserve">n </w:t>
      </w:r>
      <w:r w:rsidRPr="002A793E">
        <w:rPr>
          <w:rFonts w:ascii="Times New Roman" w:hAnsi="Times New Roman" w:cs="Times New Roman"/>
          <w:sz w:val="28"/>
          <w:szCs w:val="28"/>
          <w:lang w:val="es-ES"/>
        </w:rPr>
        <w:t xml:space="preserve">algunos ejemplos en los que se estudiaron demandas contra normas que fueron declaradas inexequibles. En la </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 xml:space="preserve">entencia C-383 de 2022, la Sala declaró estarse a lo resuelto en la </w:t>
      </w:r>
      <w:r w:rsidRPr="002A793E">
        <w:rPr>
          <w:rFonts w:ascii="Times New Roman" w:hAnsi="Times New Roman" w:cs="Times New Roman"/>
          <w:sz w:val="28"/>
          <w:szCs w:val="28"/>
          <w:lang w:val="es-ES"/>
        </w:rPr>
        <w:t>providencia</w:t>
      </w:r>
      <w:r w:rsidRPr="002A793E">
        <w:rPr>
          <w:rFonts w:ascii="Times New Roman" w:hAnsi="Times New Roman" w:cs="Times New Roman"/>
          <w:sz w:val="28"/>
          <w:szCs w:val="28"/>
          <w:lang w:val="es-ES"/>
        </w:rPr>
        <w:t xml:space="preserve"> C-155 de 2022 en relación con la demanda formulada contra las dispos</w:t>
      </w:r>
      <w:r w:rsidRPr="002A793E">
        <w:rPr>
          <w:rFonts w:ascii="Times New Roman" w:hAnsi="Times New Roman" w:cs="Times New Roman"/>
          <w:sz w:val="28"/>
          <w:szCs w:val="28"/>
          <w:lang w:val="es-ES"/>
        </w:rPr>
        <w:t xml:space="preserve">iciones de la Ley 2098 de 2021. Esta decisión se fundamentó en que las normas cuestionadas en el proceso que concluyó con la </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entencia C-383 de 2022 fueron declaradas inexequibles en la Sentencia C-155 de 2022 con efecto retroactivo</w:t>
      </w:r>
      <w:r w:rsidRPr="002A793E">
        <w:rPr>
          <w:rStyle w:val="Refdenotaalpie"/>
          <w:rFonts w:ascii="Times New Roman" w:hAnsi="Times New Roman" w:cs="Times New Roman"/>
          <w:sz w:val="28"/>
          <w:szCs w:val="28"/>
          <w:lang w:val="es-ES"/>
        </w:rPr>
        <w:footnoteReference w:id="58"/>
      </w:r>
      <w:r w:rsidRPr="002A793E">
        <w:rPr>
          <w:rFonts w:ascii="Times New Roman" w:hAnsi="Times New Roman" w:cs="Times New Roman"/>
          <w:sz w:val="28"/>
          <w:szCs w:val="28"/>
          <w:lang w:val="es-ES"/>
        </w:rPr>
        <w:t>. Para la Corte, los en</w:t>
      </w:r>
      <w:r w:rsidRPr="002A793E">
        <w:rPr>
          <w:rFonts w:ascii="Times New Roman" w:hAnsi="Times New Roman" w:cs="Times New Roman"/>
          <w:sz w:val="28"/>
          <w:szCs w:val="28"/>
          <w:lang w:val="es-ES"/>
        </w:rPr>
        <w:t>unciados legales fueron expulsados del ordenamiento jurídico y no procedía una decisión de fondo.</w:t>
      </w:r>
    </w:p>
    <w:p w:rsidR="007968CA" w:rsidRPr="002A793E" w:rsidRDefault="002A793E" w:rsidP="007968CA">
      <w:pPr>
        <w:pStyle w:val="Prrafodelista"/>
        <w:rPr>
          <w:rFonts w:ascii="Times New Roman" w:hAnsi="Times New Roman" w:cs="Times New Roman"/>
          <w:sz w:val="28"/>
          <w:szCs w:val="28"/>
          <w:lang w:val="es-ES"/>
        </w:rPr>
      </w:pPr>
    </w:p>
    <w:p w:rsidR="007968CA" w:rsidRPr="002A793E" w:rsidRDefault="002A793E" w:rsidP="00713C03">
      <w:pPr>
        <w:pStyle w:val="Prrafodelista"/>
        <w:numPr>
          <w:ilvl w:val="0"/>
          <w:numId w:val="2"/>
        </w:numPr>
        <w:ind w:left="0" w:firstLine="0"/>
        <w:rPr>
          <w:rFonts w:ascii="Times New Roman" w:hAnsi="Times New Roman" w:cs="Times New Roman"/>
          <w:b/>
          <w:bCs/>
          <w:color w:val="000000" w:themeColor="text1"/>
          <w:sz w:val="28"/>
          <w:szCs w:val="28"/>
          <w:lang w:val="es-ES"/>
        </w:rPr>
      </w:pPr>
      <w:r w:rsidRPr="002A793E">
        <w:rPr>
          <w:rFonts w:ascii="Times New Roman" w:hAnsi="Times New Roman" w:cs="Times New Roman"/>
          <w:sz w:val="28"/>
          <w:szCs w:val="28"/>
          <w:lang w:val="es-ES"/>
        </w:rPr>
        <w:t xml:space="preserve">Asimismo, en la </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entencia C-306 de 2022 se declaró estarse a lo resuelto en la decisión de inexequibilidad que se adoptó sobre el artículo 124 de la Ley 2159</w:t>
      </w:r>
      <w:r w:rsidRPr="002A793E">
        <w:rPr>
          <w:rFonts w:ascii="Times New Roman" w:hAnsi="Times New Roman" w:cs="Times New Roman"/>
          <w:sz w:val="28"/>
          <w:szCs w:val="28"/>
          <w:lang w:val="es-ES"/>
        </w:rPr>
        <w:t xml:space="preserve"> de 2021 en la </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entencia C-153 de 2022, la cual implicó la supresión de esa disposición del ordenamiento jurídico. En efecto, la Sala Plena se abstuvo de estudiar los cargos presentados contra dicha disposición, al configurarse una cosa juzgada absoluta so</w:t>
      </w:r>
      <w:r w:rsidRPr="002A793E">
        <w:rPr>
          <w:rFonts w:ascii="Times New Roman" w:hAnsi="Times New Roman" w:cs="Times New Roman"/>
          <w:sz w:val="28"/>
          <w:szCs w:val="28"/>
          <w:lang w:val="es-ES"/>
        </w:rPr>
        <w:t>bre esta</w:t>
      </w:r>
      <w:r w:rsidRPr="002A793E">
        <w:rPr>
          <w:rStyle w:val="Refdenotaalpie"/>
          <w:rFonts w:ascii="Times New Roman" w:hAnsi="Times New Roman" w:cs="Times New Roman"/>
          <w:sz w:val="28"/>
          <w:szCs w:val="28"/>
          <w:lang w:val="es-ES"/>
        </w:rPr>
        <w:footnoteReference w:id="59"/>
      </w:r>
      <w:r w:rsidRPr="002A793E">
        <w:rPr>
          <w:rFonts w:ascii="Times New Roman" w:hAnsi="Times New Roman" w:cs="Times New Roman"/>
          <w:sz w:val="28"/>
          <w:szCs w:val="28"/>
          <w:lang w:val="es-ES"/>
        </w:rPr>
        <w:t xml:space="preserve">. Otro ejemplo de aplicación de estos efectos de la cosa juzgada se encuentra en la </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 xml:space="preserve">entencia C-489 de 2009. En esta decisión, la Sala se estuvo a lo resuelto en la </w:t>
      </w:r>
      <w:r w:rsidRPr="002A793E">
        <w:rPr>
          <w:rFonts w:ascii="Times New Roman" w:hAnsi="Times New Roman" w:cs="Times New Roman"/>
          <w:sz w:val="28"/>
          <w:szCs w:val="28"/>
          <w:lang w:val="es-ES"/>
        </w:rPr>
        <w:t>s</w:t>
      </w:r>
      <w:r w:rsidRPr="002A793E">
        <w:rPr>
          <w:rFonts w:ascii="Times New Roman" w:hAnsi="Times New Roman" w:cs="Times New Roman"/>
          <w:sz w:val="28"/>
          <w:szCs w:val="28"/>
          <w:lang w:val="es-ES"/>
        </w:rPr>
        <w:t>entencia C-1198 de 2008, que determinó la inexequibilidad de algunos fragmentos d</w:t>
      </w:r>
      <w:r w:rsidRPr="002A793E">
        <w:rPr>
          <w:rFonts w:ascii="Times New Roman" w:hAnsi="Times New Roman" w:cs="Times New Roman"/>
          <w:sz w:val="28"/>
          <w:szCs w:val="28"/>
          <w:lang w:val="es-ES"/>
        </w:rPr>
        <w:t>el inciso segundo del numeral 3º del artículo 2 de la Ley 1142 de 2007. Esto se fundamentó en que la norma ya no pertenecía al ordenamiento jurídico y no había lugar a estudiar la constitucionalidad de dicho precepto, independientemente de que los cargos p</w:t>
      </w:r>
      <w:r w:rsidRPr="002A793E">
        <w:rPr>
          <w:rFonts w:ascii="Times New Roman" w:hAnsi="Times New Roman" w:cs="Times New Roman"/>
          <w:sz w:val="28"/>
          <w:szCs w:val="28"/>
          <w:lang w:val="es-ES"/>
        </w:rPr>
        <w:t xml:space="preserve">lanteados en la nueva demanda fueran distintos a aquellos que motivaron la declaratoria de inexequibilidad en el pronunciamiento anterior. </w:t>
      </w:r>
    </w:p>
    <w:p w:rsidR="007968CA" w:rsidRPr="002A793E" w:rsidRDefault="002A793E" w:rsidP="007968CA">
      <w:pPr>
        <w:pStyle w:val="Prrafodelista"/>
        <w:rPr>
          <w:rFonts w:ascii="Times New Roman" w:hAnsi="Times New Roman" w:cs="Times New Roman"/>
          <w:sz w:val="28"/>
          <w:szCs w:val="28"/>
          <w:lang w:val="es-ES"/>
        </w:rPr>
      </w:pPr>
    </w:p>
    <w:p w:rsidR="007968CA" w:rsidRPr="002A793E" w:rsidRDefault="002A793E" w:rsidP="00713C03">
      <w:pPr>
        <w:pStyle w:val="Prrafodelista"/>
        <w:numPr>
          <w:ilvl w:val="0"/>
          <w:numId w:val="2"/>
        </w:numPr>
        <w:ind w:left="0" w:firstLine="0"/>
        <w:rPr>
          <w:rFonts w:ascii="Times New Roman" w:hAnsi="Times New Roman" w:cs="Times New Roman"/>
          <w:b/>
          <w:bCs/>
          <w:color w:val="000000" w:themeColor="text1"/>
          <w:sz w:val="28"/>
          <w:szCs w:val="28"/>
          <w:lang w:val="es-ES"/>
        </w:rPr>
      </w:pPr>
      <w:r w:rsidRPr="002A793E">
        <w:rPr>
          <w:rFonts w:ascii="Times New Roman" w:hAnsi="Times New Roman" w:cs="Times New Roman"/>
          <w:sz w:val="28"/>
          <w:szCs w:val="28"/>
          <w:lang w:val="es-ES"/>
        </w:rPr>
        <w:t>En consecuencia, la Corte sintetizó que la cosa juzgada constitucional es una institución que otorga el carácter in</w:t>
      </w:r>
      <w:r w:rsidRPr="002A793E">
        <w:rPr>
          <w:rFonts w:ascii="Times New Roman" w:hAnsi="Times New Roman" w:cs="Times New Roman"/>
          <w:sz w:val="28"/>
          <w:szCs w:val="28"/>
          <w:lang w:val="es-ES"/>
        </w:rPr>
        <w:t>mutable a una decisión e impide volver a estudiar la norma o reproducirla de nuevo. En el caso de los fallos de inexequibilidad, la cosa juzgada es absoluta debido a que elimina la norma del ordenamiento jurídico. Por lo tanto, no procede el estudio de fon</w:t>
      </w:r>
      <w:r w:rsidRPr="002A793E">
        <w:rPr>
          <w:rFonts w:ascii="Times New Roman" w:hAnsi="Times New Roman" w:cs="Times New Roman"/>
          <w:sz w:val="28"/>
          <w:szCs w:val="28"/>
          <w:lang w:val="es-ES"/>
        </w:rPr>
        <w:t>do de las demandas que se encuentran en curso o de otras nuevas, y la decisión que debe dictar esta Corporación corresponde a estarse a lo resuelto en la anterior sentencia que declaró la inexequibilidad de la norma.</w:t>
      </w:r>
    </w:p>
    <w:p w:rsidR="007968CA" w:rsidRPr="002A793E" w:rsidRDefault="002A793E" w:rsidP="007968CA">
      <w:pPr>
        <w:pStyle w:val="Prrafodelista"/>
        <w:rPr>
          <w:rFonts w:ascii="Times New Roman" w:hAnsi="Times New Roman" w:cs="Times New Roman"/>
          <w:b/>
          <w:bCs/>
          <w:color w:val="000000" w:themeColor="text1"/>
          <w:sz w:val="28"/>
          <w:szCs w:val="28"/>
          <w:lang w:val="es-ES"/>
        </w:rPr>
      </w:pPr>
    </w:p>
    <w:p w:rsidR="007968CA" w:rsidRPr="002A793E" w:rsidRDefault="002A793E" w:rsidP="00AD5F00">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En </w:t>
      </w:r>
      <w:r w:rsidRPr="002A793E">
        <w:rPr>
          <w:rFonts w:ascii="Times New Roman" w:hAnsi="Times New Roman" w:cs="Times New Roman"/>
          <w:sz w:val="28"/>
          <w:szCs w:val="28"/>
          <w:lang w:val="es-ES"/>
        </w:rPr>
        <w:t>suma</w:t>
      </w:r>
      <w:r w:rsidRPr="002A793E">
        <w:rPr>
          <w:rFonts w:ascii="Times New Roman" w:hAnsi="Times New Roman" w:cs="Times New Roman"/>
          <w:color w:val="000000" w:themeColor="text1"/>
          <w:sz w:val="28"/>
          <w:szCs w:val="28"/>
          <w:lang w:val="es-ES"/>
        </w:rPr>
        <w:t>, a continuación, se resumen</w:t>
      </w:r>
      <w:r w:rsidRPr="002A793E">
        <w:rPr>
          <w:rFonts w:ascii="Times New Roman" w:hAnsi="Times New Roman" w:cs="Times New Roman"/>
          <w:color w:val="000000" w:themeColor="text1"/>
          <w:sz w:val="28"/>
          <w:szCs w:val="28"/>
          <w:lang w:val="es-ES"/>
        </w:rPr>
        <w:t xml:space="preserve"> </w:t>
      </w:r>
      <w:r w:rsidRPr="002A793E">
        <w:rPr>
          <w:rFonts w:ascii="Times New Roman" w:hAnsi="Times New Roman" w:cs="Times New Roman"/>
          <w:color w:val="000000" w:themeColor="text1"/>
          <w:sz w:val="28"/>
          <w:szCs w:val="28"/>
          <w:lang w:val="es-ES"/>
        </w:rPr>
        <w:t>las clases de cosa juzgada constitucional identificadas por la Corte, los supuestos en los que se configuran, y sus consecuencias:</w:t>
      </w:r>
    </w:p>
    <w:p w:rsidR="007968CA" w:rsidRPr="002A793E" w:rsidRDefault="002A793E" w:rsidP="007968CA">
      <w:pPr>
        <w:pStyle w:val="Prrafodelista"/>
        <w:rPr>
          <w:rFonts w:ascii="Times New Roman" w:hAnsi="Times New Roman" w:cs="Times New Roman"/>
          <w:b/>
          <w:bCs/>
          <w:color w:val="000000" w:themeColor="text1"/>
          <w:sz w:val="28"/>
          <w:szCs w:val="28"/>
          <w:lang w:val="es-ES"/>
        </w:rPr>
      </w:pPr>
    </w:p>
    <w:p w:rsidR="002D5751" w:rsidRPr="002A793E" w:rsidRDefault="002A793E" w:rsidP="00E26650">
      <w:pPr>
        <w:jc w:val="cente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Tabla </w:t>
      </w:r>
      <w:r w:rsidRPr="002A793E">
        <w:rPr>
          <w:rFonts w:ascii="Times New Roman" w:hAnsi="Times New Roman" w:cs="Times New Roman"/>
          <w:b/>
          <w:bCs/>
          <w:color w:val="000000" w:themeColor="text1"/>
          <w:sz w:val="28"/>
          <w:szCs w:val="24"/>
          <w:lang w:val="es-ES"/>
        </w:rPr>
        <w:t>3</w:t>
      </w:r>
      <w:r w:rsidRPr="002A793E">
        <w:rPr>
          <w:rFonts w:ascii="Times New Roman" w:hAnsi="Times New Roman" w:cs="Times New Roman"/>
          <w:b/>
          <w:bCs/>
          <w:color w:val="000000" w:themeColor="text1"/>
          <w:sz w:val="28"/>
          <w:szCs w:val="24"/>
          <w:lang w:val="es-ES"/>
        </w:rPr>
        <w:t xml:space="preserve"> – Tipologías de la cosa juzgada constitucional</w:t>
      </w:r>
    </w:p>
    <w:p w:rsidR="00E26650" w:rsidRPr="002A793E" w:rsidRDefault="002A793E" w:rsidP="00E26650">
      <w:pPr>
        <w:jc w:val="center"/>
        <w:rPr>
          <w:rFonts w:ascii="Times New Roman" w:hAnsi="Times New Roman" w:cs="Times New Roman"/>
          <w:b/>
          <w:bCs/>
          <w:color w:val="000000" w:themeColor="text1"/>
          <w:sz w:val="28"/>
          <w:szCs w:val="24"/>
          <w:lang w:val="es-ES"/>
        </w:rPr>
      </w:pPr>
    </w:p>
    <w:tbl>
      <w:tblPr>
        <w:tblStyle w:val="Tablaconcuadrcula"/>
        <w:tblW w:w="0" w:type="auto"/>
        <w:tblLook w:val="04A0" w:firstRow="1" w:lastRow="0" w:firstColumn="1" w:lastColumn="0" w:noHBand="0" w:noVBand="1"/>
      </w:tblPr>
      <w:tblGrid>
        <w:gridCol w:w="1271"/>
        <w:gridCol w:w="3686"/>
        <w:gridCol w:w="3871"/>
      </w:tblGrid>
      <w:tr w:rsidR="007A2D50" w:rsidRPr="002A793E" w:rsidTr="00483E42">
        <w:tc>
          <w:tcPr>
            <w:tcW w:w="1271" w:type="dxa"/>
            <w:shd w:val="clear" w:color="auto" w:fill="DEEAF6" w:themeFill="accent1" w:themeFillTint="33"/>
          </w:tcPr>
          <w:p w:rsidR="007A2D50" w:rsidRPr="002A793E" w:rsidRDefault="002A793E" w:rsidP="002468C5">
            <w:pPr>
              <w:jc w:val="cente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Tipología </w:t>
            </w:r>
          </w:p>
        </w:tc>
        <w:tc>
          <w:tcPr>
            <w:tcW w:w="3686" w:type="dxa"/>
            <w:shd w:val="clear" w:color="auto" w:fill="DEEAF6" w:themeFill="accent1" w:themeFillTint="33"/>
          </w:tcPr>
          <w:p w:rsidR="007A2D50" w:rsidRPr="002A793E" w:rsidRDefault="002A793E" w:rsidP="002468C5">
            <w:pPr>
              <w:jc w:val="cente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Concepto</w:t>
            </w:r>
            <w:r w:rsidRPr="002A793E">
              <w:rPr>
                <w:rFonts w:ascii="Times New Roman" w:hAnsi="Times New Roman" w:cs="Times New Roman"/>
                <w:b/>
                <w:bCs/>
                <w:color w:val="000000" w:themeColor="text1"/>
                <w:sz w:val="28"/>
                <w:szCs w:val="24"/>
                <w:lang w:val="es-ES"/>
              </w:rPr>
              <w:t xml:space="preserve"> </w:t>
            </w:r>
          </w:p>
        </w:tc>
        <w:tc>
          <w:tcPr>
            <w:tcW w:w="3871" w:type="dxa"/>
            <w:shd w:val="clear" w:color="auto" w:fill="DEEAF6" w:themeFill="accent1" w:themeFillTint="33"/>
          </w:tcPr>
          <w:p w:rsidR="007A2D50" w:rsidRPr="002A793E" w:rsidRDefault="002A793E" w:rsidP="002468C5">
            <w:pPr>
              <w:jc w:val="cente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Consecuencias</w:t>
            </w:r>
            <w:r w:rsidRPr="002A793E">
              <w:rPr>
                <w:rFonts w:ascii="Times New Roman" w:hAnsi="Times New Roman" w:cs="Times New Roman"/>
                <w:b/>
                <w:bCs/>
                <w:color w:val="000000" w:themeColor="text1"/>
                <w:sz w:val="28"/>
                <w:szCs w:val="24"/>
                <w:lang w:val="es-ES"/>
              </w:rPr>
              <w:t xml:space="preserve"> en los procesos que se encuentren en curso</w:t>
            </w:r>
          </w:p>
        </w:tc>
      </w:tr>
      <w:tr w:rsidR="00000926" w:rsidRPr="002A793E" w:rsidTr="00483E42">
        <w:tc>
          <w:tcPr>
            <w:tcW w:w="1271" w:type="dxa"/>
            <w:vMerge w:val="restart"/>
          </w:tcPr>
          <w:p w:rsidR="00000926" w:rsidRPr="002A793E" w:rsidRDefault="002A793E" w:rsidP="002468C5">
            <w:pP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Cosa juzgada formal</w:t>
            </w:r>
          </w:p>
        </w:tc>
        <w:tc>
          <w:tcPr>
            <w:tcW w:w="3686" w:type="dxa"/>
            <w:vMerge w:val="restart"/>
          </w:tcPr>
          <w:p w:rsidR="00000926"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color w:val="000000" w:themeColor="text1"/>
                <w:sz w:val="28"/>
                <w:szCs w:val="24"/>
                <w:lang w:val="es-ES"/>
              </w:rPr>
              <w:t>Se presenta cuando la Sala Plena de la Corte Constitucional ya se pronunció sobre la disposición demandada. Esta tipología recae sobre los textos normativos sometidos a control</w:t>
            </w:r>
            <w:r w:rsidRPr="002A793E">
              <w:rPr>
                <w:rStyle w:val="Refdenotaalpie"/>
                <w:rFonts w:ascii="Times New Roman" w:hAnsi="Times New Roman" w:cs="Times New Roman"/>
                <w:color w:val="000000" w:themeColor="text1"/>
                <w:sz w:val="28"/>
                <w:szCs w:val="24"/>
                <w:lang w:val="es-ES"/>
              </w:rPr>
              <w:footnoteReference w:id="60"/>
            </w:r>
            <w:r w:rsidRPr="002A793E">
              <w:rPr>
                <w:rFonts w:ascii="Times New Roman" w:hAnsi="Times New Roman" w:cs="Times New Roman"/>
                <w:color w:val="000000" w:themeColor="text1"/>
                <w:sz w:val="28"/>
                <w:szCs w:val="24"/>
                <w:lang w:val="es-ES"/>
              </w:rPr>
              <w:t>.</w:t>
            </w:r>
          </w:p>
        </w:tc>
        <w:tc>
          <w:tcPr>
            <w:tcW w:w="3871" w:type="dxa"/>
          </w:tcPr>
          <w:p w:rsidR="00000926"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Decisión </w:t>
            </w:r>
            <w:r w:rsidRPr="002A793E">
              <w:rPr>
                <w:rFonts w:ascii="Times New Roman" w:hAnsi="Times New Roman" w:cs="Times New Roman"/>
                <w:b/>
                <w:bCs/>
                <w:color w:val="000000" w:themeColor="text1"/>
                <w:sz w:val="28"/>
                <w:szCs w:val="24"/>
                <w:lang w:val="es-ES"/>
              </w:rPr>
              <w:t>previa de exequibilidad.</w:t>
            </w:r>
            <w:r w:rsidRPr="002A793E">
              <w:rPr>
                <w:rFonts w:ascii="Times New Roman" w:hAnsi="Times New Roman" w:cs="Times New Roman"/>
                <w:color w:val="000000" w:themeColor="text1"/>
                <w:sz w:val="28"/>
                <w:szCs w:val="24"/>
                <w:lang w:val="es-ES"/>
              </w:rPr>
              <w:t xml:space="preserve"> </w:t>
            </w:r>
            <w:r w:rsidRPr="002A793E">
              <w:rPr>
                <w:rFonts w:ascii="Times New Roman" w:hAnsi="Times New Roman" w:cs="Times New Roman"/>
                <w:color w:val="000000" w:themeColor="text1"/>
                <w:sz w:val="28"/>
                <w:szCs w:val="24"/>
                <w:lang w:val="es-ES"/>
              </w:rPr>
              <w:t>L</w:t>
            </w:r>
            <w:r w:rsidRPr="002A793E">
              <w:rPr>
                <w:rFonts w:ascii="Times New Roman" w:hAnsi="Times New Roman" w:cs="Times New Roman"/>
                <w:color w:val="000000" w:themeColor="text1"/>
                <w:sz w:val="28"/>
                <w:szCs w:val="24"/>
                <w:lang w:val="es-ES"/>
              </w:rPr>
              <w:t>a Corte deb</w:t>
            </w:r>
            <w:r w:rsidRPr="002A793E">
              <w:rPr>
                <w:rFonts w:ascii="Times New Roman" w:hAnsi="Times New Roman" w:cs="Times New Roman"/>
                <w:color w:val="000000" w:themeColor="text1"/>
                <w:sz w:val="28"/>
                <w:szCs w:val="24"/>
                <w:lang w:val="es-ES"/>
              </w:rPr>
              <w:t>e</w:t>
            </w:r>
            <w:r w:rsidRPr="002A793E">
              <w:rPr>
                <w:rFonts w:ascii="Times New Roman" w:hAnsi="Times New Roman" w:cs="Times New Roman"/>
                <w:color w:val="000000" w:themeColor="text1"/>
                <w:sz w:val="28"/>
                <w:szCs w:val="24"/>
                <w:lang w:val="es-ES"/>
              </w:rPr>
              <w:t xml:space="preserve"> estarse a lo resuelto en la sentencia previa</w:t>
            </w:r>
            <w:r w:rsidRPr="002A793E">
              <w:rPr>
                <w:rFonts w:ascii="Times New Roman" w:hAnsi="Times New Roman" w:cs="Times New Roman"/>
                <w:color w:val="000000" w:themeColor="text1"/>
                <w:sz w:val="28"/>
                <w:szCs w:val="24"/>
                <w:lang w:val="es-ES"/>
              </w:rPr>
              <w:t xml:space="preserve"> que declaró la exequibilidad de la misma disposición</w:t>
            </w:r>
            <w:r w:rsidRPr="002A793E">
              <w:rPr>
                <w:rFonts w:ascii="Times New Roman" w:hAnsi="Times New Roman" w:cs="Times New Roman"/>
                <w:color w:val="000000" w:themeColor="text1"/>
                <w:sz w:val="28"/>
                <w:szCs w:val="24"/>
                <w:lang w:val="es-ES"/>
              </w:rPr>
              <w:t>, salvo que existan razone</w:t>
            </w:r>
            <w:r w:rsidRPr="002A793E">
              <w:rPr>
                <w:rFonts w:ascii="Times New Roman" w:hAnsi="Times New Roman" w:cs="Times New Roman"/>
                <w:color w:val="000000" w:themeColor="text1"/>
                <w:sz w:val="28"/>
                <w:szCs w:val="24"/>
                <w:lang w:val="es-ES"/>
              </w:rPr>
              <w:t>s</w:t>
            </w:r>
            <w:r w:rsidRPr="002A793E">
              <w:rPr>
                <w:rFonts w:ascii="Times New Roman" w:hAnsi="Times New Roman" w:cs="Times New Roman"/>
                <w:color w:val="000000" w:themeColor="text1"/>
                <w:sz w:val="28"/>
                <w:szCs w:val="24"/>
                <w:lang w:val="es-ES"/>
              </w:rPr>
              <w:t xml:space="preserve"> que debiliten la cosa juzgada.</w:t>
            </w:r>
          </w:p>
        </w:tc>
      </w:tr>
      <w:tr w:rsidR="00000926" w:rsidRPr="002A793E" w:rsidTr="00483E42">
        <w:tc>
          <w:tcPr>
            <w:tcW w:w="1271" w:type="dxa"/>
            <w:vMerge/>
          </w:tcPr>
          <w:p w:rsidR="00000926" w:rsidRPr="002A793E" w:rsidRDefault="002A793E" w:rsidP="002468C5">
            <w:pPr>
              <w:rPr>
                <w:rFonts w:ascii="Times New Roman" w:hAnsi="Times New Roman" w:cs="Times New Roman"/>
                <w:b/>
                <w:bCs/>
                <w:color w:val="000000" w:themeColor="text1"/>
                <w:sz w:val="28"/>
                <w:szCs w:val="24"/>
                <w:lang w:val="es-ES"/>
              </w:rPr>
            </w:pPr>
          </w:p>
        </w:tc>
        <w:tc>
          <w:tcPr>
            <w:tcW w:w="3686" w:type="dxa"/>
            <w:vMerge/>
          </w:tcPr>
          <w:p w:rsidR="00000926" w:rsidRPr="002A793E" w:rsidRDefault="002A793E" w:rsidP="002468C5">
            <w:pPr>
              <w:rPr>
                <w:rFonts w:ascii="Times New Roman" w:hAnsi="Times New Roman" w:cs="Times New Roman"/>
                <w:color w:val="000000" w:themeColor="text1"/>
                <w:sz w:val="28"/>
                <w:szCs w:val="24"/>
                <w:lang w:val="es-ES"/>
              </w:rPr>
            </w:pPr>
          </w:p>
        </w:tc>
        <w:tc>
          <w:tcPr>
            <w:tcW w:w="3871" w:type="dxa"/>
          </w:tcPr>
          <w:p w:rsidR="00000926"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Decisión previa de inexequibilidad. </w:t>
            </w:r>
            <w:r w:rsidRPr="002A793E">
              <w:rPr>
                <w:rFonts w:ascii="Times New Roman" w:hAnsi="Times New Roman" w:cs="Times New Roman"/>
                <w:color w:val="000000" w:themeColor="text1"/>
                <w:sz w:val="28"/>
                <w:szCs w:val="24"/>
                <w:lang w:val="es-ES"/>
              </w:rPr>
              <w:t>L</w:t>
            </w:r>
            <w:r w:rsidRPr="002A793E">
              <w:rPr>
                <w:rFonts w:ascii="Times New Roman" w:hAnsi="Times New Roman" w:cs="Times New Roman"/>
                <w:color w:val="000000" w:themeColor="text1"/>
                <w:sz w:val="28"/>
                <w:szCs w:val="24"/>
                <w:lang w:val="es-ES"/>
              </w:rPr>
              <w:t>a Corte deb</w:t>
            </w:r>
            <w:r w:rsidRPr="002A793E">
              <w:rPr>
                <w:rFonts w:ascii="Times New Roman" w:hAnsi="Times New Roman" w:cs="Times New Roman"/>
                <w:color w:val="000000" w:themeColor="text1"/>
                <w:sz w:val="28"/>
                <w:szCs w:val="24"/>
                <w:lang w:val="es-ES"/>
              </w:rPr>
              <w:t>e</w:t>
            </w:r>
            <w:r w:rsidRPr="002A793E">
              <w:rPr>
                <w:rFonts w:ascii="Times New Roman" w:hAnsi="Times New Roman" w:cs="Times New Roman"/>
                <w:color w:val="000000" w:themeColor="text1"/>
                <w:sz w:val="28"/>
                <w:szCs w:val="24"/>
                <w:lang w:val="es-ES"/>
              </w:rPr>
              <w:t xml:space="preserve"> estarse a lo resuelto en la sentencia previa</w:t>
            </w:r>
            <w:r w:rsidRPr="002A793E">
              <w:rPr>
                <w:rFonts w:ascii="Times New Roman" w:hAnsi="Times New Roman" w:cs="Times New Roman"/>
                <w:color w:val="000000" w:themeColor="text1"/>
                <w:sz w:val="28"/>
                <w:szCs w:val="24"/>
                <w:lang w:val="es-ES"/>
              </w:rPr>
              <w:t xml:space="preserve"> que declaró la inexequibilidad de la misma disposición.</w:t>
            </w:r>
          </w:p>
        </w:tc>
      </w:tr>
      <w:tr w:rsidR="00A80B46" w:rsidRPr="002A793E" w:rsidTr="00483E42">
        <w:tc>
          <w:tcPr>
            <w:tcW w:w="1271" w:type="dxa"/>
            <w:vMerge w:val="restart"/>
          </w:tcPr>
          <w:p w:rsidR="00A80B46" w:rsidRPr="002A793E" w:rsidRDefault="002A793E" w:rsidP="002468C5">
            <w:pP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Cosa juzgada material </w:t>
            </w:r>
          </w:p>
        </w:tc>
        <w:tc>
          <w:tcPr>
            <w:tcW w:w="3686" w:type="dxa"/>
            <w:vMerge w:val="restart"/>
          </w:tcPr>
          <w:p w:rsidR="00A80B46"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color w:val="000000" w:themeColor="text1"/>
                <w:sz w:val="28"/>
                <w:szCs w:val="24"/>
                <w:lang w:val="es-ES"/>
              </w:rPr>
              <w:t xml:space="preserve">Se presenta cuando se acusa una disposición que es formalmente distinta, pero que tiene un contenido normativo idéntico al de otra que ya fue controlada por esta Corporación en sede de control de constitucionalidad. El juez debe evaluar: (i) si existe una </w:t>
            </w:r>
            <w:r w:rsidRPr="002A793E">
              <w:rPr>
                <w:rFonts w:ascii="Times New Roman" w:hAnsi="Times New Roman" w:cs="Times New Roman"/>
                <w:color w:val="000000" w:themeColor="text1"/>
                <w:sz w:val="28"/>
                <w:szCs w:val="24"/>
                <w:lang w:val="es-ES"/>
              </w:rPr>
              <w:t xml:space="preserve">decisión de constitucionalidad anterior sobre una regla de derecho idéntica, pero contenida en distintas disposiciones jurídicas; y luego (ii) determinar </w:t>
            </w:r>
            <w:r w:rsidRPr="002A793E">
              <w:rPr>
                <w:rFonts w:ascii="Times New Roman" w:hAnsi="Times New Roman" w:cs="Times New Roman"/>
                <w:color w:val="000000" w:themeColor="text1"/>
                <w:sz w:val="28"/>
                <w:szCs w:val="24"/>
                <w:lang w:val="es-ES"/>
              </w:rPr>
              <w:t xml:space="preserve">si hay identidad </w:t>
            </w:r>
            <w:r w:rsidRPr="002A793E">
              <w:rPr>
                <w:rFonts w:ascii="Times New Roman" w:hAnsi="Times New Roman" w:cs="Times New Roman"/>
                <w:color w:val="000000" w:themeColor="text1"/>
                <w:sz w:val="28"/>
                <w:szCs w:val="24"/>
                <w:lang w:val="es-ES"/>
              </w:rPr>
              <w:t>entre los cargos del pasado y del presente y el análisis constitucional de fondo sobr</w:t>
            </w:r>
            <w:r w:rsidRPr="002A793E">
              <w:rPr>
                <w:rFonts w:ascii="Times New Roman" w:hAnsi="Times New Roman" w:cs="Times New Roman"/>
                <w:color w:val="000000" w:themeColor="text1"/>
                <w:sz w:val="28"/>
                <w:szCs w:val="24"/>
                <w:lang w:val="es-ES"/>
              </w:rPr>
              <w:t>e la proposición jurídica. Este estudio no recae sobre la disposición, sino sobre los contenidos normativos</w:t>
            </w:r>
            <w:r w:rsidRPr="002A793E">
              <w:rPr>
                <w:rStyle w:val="Refdenotaalpie"/>
                <w:rFonts w:ascii="Times New Roman" w:hAnsi="Times New Roman" w:cs="Times New Roman"/>
                <w:color w:val="000000" w:themeColor="text1"/>
                <w:sz w:val="28"/>
                <w:szCs w:val="24"/>
                <w:lang w:val="es-ES"/>
              </w:rPr>
              <w:footnoteReference w:id="61"/>
            </w:r>
            <w:r w:rsidRPr="002A793E">
              <w:rPr>
                <w:rFonts w:ascii="Times New Roman" w:hAnsi="Times New Roman" w:cs="Times New Roman"/>
                <w:color w:val="000000" w:themeColor="text1"/>
                <w:sz w:val="28"/>
                <w:szCs w:val="24"/>
                <w:lang w:val="es-ES"/>
              </w:rPr>
              <w:t>.</w:t>
            </w:r>
          </w:p>
        </w:tc>
        <w:tc>
          <w:tcPr>
            <w:tcW w:w="3871" w:type="dxa"/>
          </w:tcPr>
          <w:p w:rsidR="00A80B46" w:rsidRPr="002A793E" w:rsidRDefault="002A793E" w:rsidP="002468C5">
            <w:pP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Decisión previa de exequibilidad. </w:t>
            </w:r>
            <w:r w:rsidRPr="002A793E">
              <w:rPr>
                <w:rFonts w:ascii="Times New Roman" w:hAnsi="Times New Roman" w:cs="Times New Roman"/>
                <w:color w:val="000000" w:themeColor="text1"/>
                <w:sz w:val="28"/>
                <w:szCs w:val="24"/>
                <w:lang w:val="es-ES"/>
              </w:rPr>
              <w:t>La Corte debe estarse a lo resuelto en la decisión previa que declaró la exequibilidad del mismo contenido norma</w:t>
            </w:r>
            <w:r w:rsidRPr="002A793E">
              <w:rPr>
                <w:rFonts w:ascii="Times New Roman" w:hAnsi="Times New Roman" w:cs="Times New Roman"/>
                <w:color w:val="000000" w:themeColor="text1"/>
                <w:sz w:val="28"/>
                <w:szCs w:val="24"/>
                <w:lang w:val="es-ES"/>
              </w:rPr>
              <w:t xml:space="preserve">tivo y, por consiguiente, declarar exequible la disposición ahora controlada, salvo que existan razones que debiliten la cosa juzgada. </w:t>
            </w:r>
          </w:p>
          <w:p w:rsidR="00A80B46" w:rsidRPr="002A793E" w:rsidRDefault="002A793E" w:rsidP="002468C5">
            <w:pPr>
              <w:rPr>
                <w:rFonts w:ascii="Times New Roman" w:hAnsi="Times New Roman" w:cs="Times New Roman"/>
                <w:color w:val="000000" w:themeColor="text1"/>
                <w:sz w:val="28"/>
                <w:szCs w:val="24"/>
                <w:lang w:val="es-ES"/>
              </w:rPr>
            </w:pPr>
          </w:p>
        </w:tc>
      </w:tr>
      <w:tr w:rsidR="00A80B46" w:rsidRPr="002A793E" w:rsidTr="000116B3">
        <w:trPr>
          <w:trHeight w:val="1932"/>
        </w:trPr>
        <w:tc>
          <w:tcPr>
            <w:tcW w:w="1271" w:type="dxa"/>
            <w:vMerge/>
            <w:tcBorders>
              <w:bottom w:val="single" w:sz="4" w:space="0" w:color="auto"/>
            </w:tcBorders>
          </w:tcPr>
          <w:p w:rsidR="00A80B46" w:rsidRPr="002A793E" w:rsidRDefault="002A793E" w:rsidP="002468C5">
            <w:pPr>
              <w:rPr>
                <w:rFonts w:ascii="Times New Roman" w:hAnsi="Times New Roman" w:cs="Times New Roman"/>
                <w:b/>
                <w:bCs/>
                <w:color w:val="000000" w:themeColor="text1"/>
                <w:sz w:val="28"/>
                <w:szCs w:val="24"/>
                <w:lang w:val="es-ES"/>
              </w:rPr>
            </w:pPr>
          </w:p>
        </w:tc>
        <w:tc>
          <w:tcPr>
            <w:tcW w:w="3686" w:type="dxa"/>
            <w:vMerge/>
            <w:tcBorders>
              <w:bottom w:val="single" w:sz="4" w:space="0" w:color="auto"/>
            </w:tcBorders>
          </w:tcPr>
          <w:p w:rsidR="00A80B46" w:rsidRPr="002A793E" w:rsidRDefault="002A793E" w:rsidP="002468C5">
            <w:pPr>
              <w:rPr>
                <w:rFonts w:ascii="Times New Roman" w:hAnsi="Times New Roman" w:cs="Times New Roman"/>
                <w:color w:val="000000" w:themeColor="text1"/>
                <w:sz w:val="28"/>
                <w:szCs w:val="24"/>
                <w:lang w:val="es-ES"/>
              </w:rPr>
            </w:pPr>
          </w:p>
        </w:tc>
        <w:tc>
          <w:tcPr>
            <w:tcW w:w="3871" w:type="dxa"/>
            <w:tcBorders>
              <w:bottom w:val="single" w:sz="4" w:space="0" w:color="auto"/>
            </w:tcBorders>
          </w:tcPr>
          <w:p w:rsidR="00A80B46" w:rsidRPr="002A793E" w:rsidRDefault="002A793E" w:rsidP="002468C5">
            <w:pP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Decisión previa de inexequibilidad. </w:t>
            </w:r>
            <w:r w:rsidRPr="002A793E">
              <w:rPr>
                <w:rFonts w:ascii="Times New Roman" w:hAnsi="Times New Roman" w:cs="Times New Roman"/>
                <w:color w:val="000000" w:themeColor="text1"/>
                <w:sz w:val="28"/>
                <w:szCs w:val="24"/>
                <w:lang w:val="es-ES"/>
              </w:rPr>
              <w:t>La Corte debe estarse a lo resuelto en la sentencia previa que declaró la inexeq</w:t>
            </w:r>
            <w:r w:rsidRPr="002A793E">
              <w:rPr>
                <w:rFonts w:ascii="Times New Roman" w:hAnsi="Times New Roman" w:cs="Times New Roman"/>
                <w:color w:val="000000" w:themeColor="text1"/>
                <w:sz w:val="28"/>
                <w:szCs w:val="24"/>
                <w:lang w:val="es-ES"/>
              </w:rPr>
              <w:t>uibilidad del mismo contenido normativo y, por lo tanto, declarar inexequible la disposición ahora controlada</w:t>
            </w:r>
            <w:r w:rsidRPr="002A793E">
              <w:rPr>
                <w:rFonts w:ascii="Times New Roman" w:hAnsi="Times New Roman" w:cs="Times New Roman"/>
                <w:color w:val="000000" w:themeColor="text1"/>
                <w:sz w:val="28"/>
                <w:szCs w:val="24"/>
                <w:lang w:val="es-ES"/>
              </w:rPr>
              <w:t>, en virtud de lo dispuesto en el artículo 243 de la Constitución.</w:t>
            </w:r>
          </w:p>
        </w:tc>
      </w:tr>
      <w:tr w:rsidR="007A2D50" w:rsidRPr="002A793E" w:rsidTr="00483E42">
        <w:tc>
          <w:tcPr>
            <w:tcW w:w="1271" w:type="dxa"/>
          </w:tcPr>
          <w:p w:rsidR="007A2D50" w:rsidRPr="002A793E" w:rsidRDefault="002A793E" w:rsidP="002468C5">
            <w:pP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Cosa juzgada absoluta </w:t>
            </w:r>
          </w:p>
        </w:tc>
        <w:tc>
          <w:tcPr>
            <w:tcW w:w="3686" w:type="dxa"/>
          </w:tcPr>
          <w:p w:rsidR="007A2D50"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color w:val="000000" w:themeColor="text1"/>
                <w:sz w:val="28"/>
                <w:szCs w:val="24"/>
                <w:lang w:val="es-ES"/>
              </w:rPr>
              <w:t xml:space="preserve">Se presenta en dos casos: primero, cuando la Corte declara la inexequibilidad de una norma y, por lo tanto, la expulsa del ordenamiento. Segundo, cuando el control de constitucionalidad se ejerció respecto a la integralidad de la Carta. </w:t>
            </w:r>
          </w:p>
        </w:tc>
        <w:tc>
          <w:tcPr>
            <w:tcW w:w="3871" w:type="dxa"/>
          </w:tcPr>
          <w:p w:rsidR="007A2D50"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color w:val="000000" w:themeColor="text1"/>
                <w:sz w:val="28"/>
                <w:szCs w:val="24"/>
                <w:lang w:val="es-ES"/>
              </w:rPr>
              <w:t xml:space="preserve">La </w:t>
            </w:r>
            <w:r w:rsidRPr="002A793E">
              <w:rPr>
                <w:rFonts w:ascii="Times New Roman" w:hAnsi="Times New Roman" w:cs="Times New Roman"/>
                <w:color w:val="000000" w:themeColor="text1"/>
                <w:sz w:val="28"/>
                <w:szCs w:val="24"/>
                <w:lang w:val="es-ES"/>
              </w:rPr>
              <w:t>Corte deb</w:t>
            </w:r>
            <w:r w:rsidRPr="002A793E">
              <w:rPr>
                <w:rFonts w:ascii="Times New Roman" w:hAnsi="Times New Roman" w:cs="Times New Roman"/>
                <w:color w:val="000000" w:themeColor="text1"/>
                <w:sz w:val="28"/>
                <w:szCs w:val="24"/>
                <w:lang w:val="es-ES"/>
              </w:rPr>
              <w:t>e</w:t>
            </w:r>
            <w:r w:rsidRPr="002A793E">
              <w:rPr>
                <w:rFonts w:ascii="Times New Roman" w:hAnsi="Times New Roman" w:cs="Times New Roman"/>
                <w:color w:val="000000" w:themeColor="text1"/>
                <w:sz w:val="28"/>
                <w:szCs w:val="24"/>
                <w:lang w:val="es-ES"/>
              </w:rPr>
              <w:t xml:space="preserve"> esta</w:t>
            </w:r>
            <w:r w:rsidRPr="002A793E">
              <w:rPr>
                <w:rFonts w:ascii="Times New Roman" w:hAnsi="Times New Roman" w:cs="Times New Roman"/>
                <w:color w:val="000000" w:themeColor="text1"/>
                <w:sz w:val="28"/>
                <w:szCs w:val="24"/>
                <w:lang w:val="es-ES"/>
              </w:rPr>
              <w:t>rse a lo resuelto en la sentencia previa.</w:t>
            </w:r>
          </w:p>
        </w:tc>
      </w:tr>
      <w:tr w:rsidR="007A2D50" w:rsidRPr="002A793E" w:rsidTr="00483E42">
        <w:tc>
          <w:tcPr>
            <w:tcW w:w="1271" w:type="dxa"/>
          </w:tcPr>
          <w:p w:rsidR="007A2D50" w:rsidRPr="002A793E" w:rsidRDefault="002A793E" w:rsidP="002468C5">
            <w:pP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Cosa juzgada relativa </w:t>
            </w:r>
          </w:p>
        </w:tc>
        <w:tc>
          <w:tcPr>
            <w:tcW w:w="3686" w:type="dxa"/>
          </w:tcPr>
          <w:p w:rsidR="007A2D50"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color w:val="000000" w:themeColor="text1"/>
                <w:sz w:val="28"/>
                <w:szCs w:val="24"/>
                <w:lang w:val="es-ES"/>
              </w:rPr>
              <w:t xml:space="preserve">Se presenta cuando la Corte Constitucional restringió los efectos de su decisión a los cargos analizados. </w:t>
            </w:r>
          </w:p>
        </w:tc>
        <w:tc>
          <w:tcPr>
            <w:tcW w:w="3871" w:type="dxa"/>
          </w:tcPr>
          <w:p w:rsidR="007A2D50"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color w:val="000000" w:themeColor="text1"/>
                <w:sz w:val="28"/>
                <w:szCs w:val="24"/>
                <w:lang w:val="es-ES"/>
              </w:rPr>
              <w:t>Es posible un nuevo pronunciamiento sobre la disposición únicamente por cargos nuev</w:t>
            </w:r>
            <w:r w:rsidRPr="002A793E">
              <w:rPr>
                <w:rFonts w:ascii="Times New Roman" w:hAnsi="Times New Roman" w:cs="Times New Roman"/>
                <w:color w:val="000000" w:themeColor="text1"/>
                <w:sz w:val="28"/>
                <w:szCs w:val="24"/>
                <w:lang w:val="es-ES"/>
              </w:rPr>
              <w:t>os.</w:t>
            </w:r>
            <w:r w:rsidRPr="002A793E">
              <w:rPr>
                <w:rFonts w:ascii="Times New Roman" w:hAnsi="Times New Roman" w:cs="Times New Roman"/>
                <w:color w:val="000000" w:themeColor="text1"/>
                <w:sz w:val="28"/>
                <w:szCs w:val="24"/>
                <w:lang w:val="es-ES"/>
              </w:rPr>
              <w:t xml:space="preserve">  </w:t>
            </w:r>
          </w:p>
        </w:tc>
      </w:tr>
      <w:tr w:rsidR="007A2D50" w:rsidRPr="002A793E" w:rsidTr="00483E42">
        <w:tc>
          <w:tcPr>
            <w:tcW w:w="1271" w:type="dxa"/>
          </w:tcPr>
          <w:p w:rsidR="007A2D50" w:rsidRPr="002A793E" w:rsidRDefault="002A793E" w:rsidP="002468C5">
            <w:pPr>
              <w:rPr>
                <w:rFonts w:ascii="Times New Roman" w:hAnsi="Times New Roman" w:cs="Times New Roman"/>
                <w:b/>
                <w:bCs/>
                <w:color w:val="000000" w:themeColor="text1"/>
                <w:sz w:val="28"/>
                <w:szCs w:val="24"/>
                <w:lang w:val="es-ES"/>
              </w:rPr>
            </w:pPr>
            <w:r w:rsidRPr="002A793E">
              <w:rPr>
                <w:rFonts w:ascii="Times New Roman" w:hAnsi="Times New Roman" w:cs="Times New Roman"/>
                <w:b/>
                <w:bCs/>
                <w:color w:val="000000" w:themeColor="text1"/>
                <w:sz w:val="28"/>
                <w:szCs w:val="24"/>
                <w:lang w:val="es-ES"/>
              </w:rPr>
              <w:t xml:space="preserve">Cosa juzgada aparente </w:t>
            </w:r>
          </w:p>
        </w:tc>
        <w:tc>
          <w:tcPr>
            <w:tcW w:w="3686" w:type="dxa"/>
          </w:tcPr>
          <w:p w:rsidR="007A2D50"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color w:val="000000" w:themeColor="text1"/>
                <w:sz w:val="28"/>
                <w:szCs w:val="24"/>
                <w:lang w:val="es-ES"/>
              </w:rPr>
              <w:t xml:space="preserve">Se presenta cuando la Corte Constitucional formalmente declara la exequibilidad de una disposición, pero en realidad no hay un estudio de constitucionalidad en la decisión. </w:t>
            </w:r>
          </w:p>
        </w:tc>
        <w:tc>
          <w:tcPr>
            <w:tcW w:w="3871" w:type="dxa"/>
          </w:tcPr>
          <w:p w:rsidR="007A2D50" w:rsidRPr="002A793E" w:rsidRDefault="002A793E" w:rsidP="002468C5">
            <w:pPr>
              <w:rPr>
                <w:rFonts w:ascii="Times New Roman" w:hAnsi="Times New Roman" w:cs="Times New Roman"/>
                <w:color w:val="000000" w:themeColor="text1"/>
                <w:sz w:val="28"/>
                <w:szCs w:val="24"/>
                <w:lang w:val="es-ES"/>
              </w:rPr>
            </w:pPr>
            <w:r w:rsidRPr="002A793E">
              <w:rPr>
                <w:rFonts w:ascii="Times New Roman" w:hAnsi="Times New Roman" w:cs="Times New Roman"/>
                <w:color w:val="000000" w:themeColor="text1"/>
                <w:sz w:val="28"/>
                <w:szCs w:val="24"/>
                <w:lang w:val="es-ES"/>
              </w:rPr>
              <w:t>E</w:t>
            </w:r>
            <w:r w:rsidRPr="002A793E">
              <w:rPr>
                <w:rFonts w:ascii="Times New Roman" w:hAnsi="Times New Roman" w:cs="Times New Roman"/>
                <w:color w:val="000000" w:themeColor="text1"/>
                <w:sz w:val="28"/>
                <w:szCs w:val="24"/>
                <w:lang w:val="es-ES"/>
              </w:rPr>
              <w:t xml:space="preserve">s posible un nuevo pronunciamiento sobre la </w:t>
            </w:r>
            <w:r w:rsidRPr="002A793E">
              <w:rPr>
                <w:rFonts w:ascii="Times New Roman" w:hAnsi="Times New Roman" w:cs="Times New Roman"/>
                <w:color w:val="000000" w:themeColor="text1"/>
                <w:sz w:val="28"/>
                <w:szCs w:val="24"/>
                <w:lang w:val="es-ES"/>
              </w:rPr>
              <w:t>disposición.</w:t>
            </w:r>
          </w:p>
        </w:tc>
      </w:tr>
    </w:tbl>
    <w:p w:rsidR="0057231D" w:rsidRPr="002A793E" w:rsidRDefault="002A793E" w:rsidP="0057231D">
      <w:pPr>
        <w:pStyle w:val="Prrafodelista"/>
        <w:ind w:left="0"/>
        <w:rPr>
          <w:rFonts w:ascii="Times New Roman" w:hAnsi="Times New Roman" w:cs="Times New Roman"/>
          <w:b/>
          <w:bCs/>
          <w:color w:val="000000" w:themeColor="text1"/>
          <w:sz w:val="28"/>
          <w:szCs w:val="28"/>
          <w:lang w:val="es-ES"/>
        </w:rPr>
      </w:pPr>
    </w:p>
    <w:p w:rsidR="007968CA" w:rsidRPr="002A793E" w:rsidRDefault="002A793E" w:rsidP="00EE7A55">
      <w:pPr>
        <w:pStyle w:val="Prrafodelista"/>
        <w:numPr>
          <w:ilvl w:val="2"/>
          <w:numId w:val="5"/>
        </w:numPr>
        <w:spacing w:line="360" w:lineRule="atLeast"/>
        <w:rPr>
          <w:rFonts w:ascii="Times New Roman" w:hAnsi="Times New Roman" w:cs="Times New Roman"/>
          <w:b/>
          <w:bCs/>
          <w:color w:val="000000" w:themeColor="text1"/>
          <w:sz w:val="28"/>
          <w:szCs w:val="28"/>
          <w:lang w:val="es-ES"/>
        </w:rPr>
      </w:pPr>
      <w:r w:rsidRPr="002A793E">
        <w:rPr>
          <w:rFonts w:ascii="Times New Roman" w:hAnsi="Times New Roman" w:cs="Times New Roman"/>
          <w:b/>
          <w:bCs/>
          <w:color w:val="000000" w:themeColor="text1"/>
          <w:sz w:val="28"/>
          <w:szCs w:val="28"/>
          <w:lang w:val="es-ES"/>
        </w:rPr>
        <w:t xml:space="preserve">La </w:t>
      </w:r>
      <w:r w:rsidRPr="002A793E">
        <w:rPr>
          <w:rFonts w:ascii="Times New Roman" w:hAnsi="Times New Roman" w:cs="Times New Roman"/>
          <w:b/>
          <w:bCs/>
          <w:sz w:val="28"/>
          <w:szCs w:val="28"/>
          <w:lang w:val="es-ES"/>
        </w:rPr>
        <w:t>sentencia</w:t>
      </w:r>
      <w:r w:rsidRPr="002A793E">
        <w:rPr>
          <w:rFonts w:ascii="Times New Roman" w:hAnsi="Times New Roman" w:cs="Times New Roman"/>
          <w:b/>
          <w:bCs/>
          <w:color w:val="000000" w:themeColor="text1"/>
          <w:sz w:val="28"/>
          <w:szCs w:val="28"/>
          <w:lang w:val="es-ES"/>
        </w:rPr>
        <w:t xml:space="preserve"> C-</w:t>
      </w:r>
      <w:r w:rsidRPr="002A793E">
        <w:rPr>
          <w:rFonts w:ascii="Times New Roman" w:hAnsi="Times New Roman" w:cs="Times New Roman"/>
          <w:b/>
          <w:bCs/>
          <w:sz w:val="28"/>
          <w:szCs w:val="28"/>
          <w:lang w:val="es-ES"/>
        </w:rPr>
        <w:t>294</w:t>
      </w:r>
      <w:r w:rsidRPr="002A793E">
        <w:rPr>
          <w:rFonts w:ascii="Times New Roman" w:hAnsi="Times New Roman" w:cs="Times New Roman"/>
          <w:b/>
          <w:bCs/>
          <w:color w:val="000000" w:themeColor="text1"/>
          <w:sz w:val="28"/>
          <w:szCs w:val="28"/>
          <w:lang w:val="es-ES"/>
        </w:rPr>
        <w:t xml:space="preserve"> de</w:t>
      </w:r>
      <w:r w:rsidRPr="002A793E">
        <w:rPr>
          <w:rFonts w:ascii="Times New Roman" w:hAnsi="Times New Roman" w:cs="Times New Roman"/>
          <w:b/>
          <w:bCs/>
          <w:color w:val="000000" w:themeColor="text1"/>
          <w:sz w:val="28"/>
          <w:szCs w:val="28"/>
          <w:lang w:val="es-ES"/>
        </w:rPr>
        <w:t xml:space="preserve"> 202</w:t>
      </w:r>
      <w:r w:rsidRPr="002A793E">
        <w:rPr>
          <w:rFonts w:ascii="Times New Roman" w:hAnsi="Times New Roman" w:cs="Times New Roman"/>
          <w:b/>
          <w:bCs/>
          <w:color w:val="000000" w:themeColor="text1"/>
          <w:sz w:val="28"/>
          <w:szCs w:val="28"/>
          <w:lang w:val="es-ES"/>
        </w:rPr>
        <w:t>4</w:t>
      </w:r>
    </w:p>
    <w:p w:rsidR="00713C03" w:rsidRPr="002A793E" w:rsidRDefault="002A793E" w:rsidP="00C12420">
      <w:pPr>
        <w:pStyle w:val="Sinespaciado"/>
        <w:rPr>
          <w:rFonts w:ascii="Times New Roman" w:hAnsi="Times New Roman"/>
          <w:sz w:val="28"/>
          <w:szCs w:val="28"/>
          <w:lang w:val="es-ES"/>
        </w:rPr>
      </w:pPr>
    </w:p>
    <w:p w:rsidR="00713C03" w:rsidRPr="002A793E" w:rsidRDefault="002A793E" w:rsidP="00713C03">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En la </w:t>
      </w:r>
      <w:r w:rsidRPr="002A793E">
        <w:rPr>
          <w:rFonts w:ascii="Times New Roman" w:hAnsi="Times New Roman" w:cs="Times New Roman"/>
          <w:sz w:val="28"/>
          <w:szCs w:val="28"/>
          <w:lang w:val="es-ES"/>
        </w:rPr>
        <w:t>Sentencia</w:t>
      </w:r>
      <w:r w:rsidRPr="002A793E">
        <w:rPr>
          <w:rFonts w:ascii="Times New Roman" w:hAnsi="Times New Roman" w:cs="Times New Roman"/>
          <w:color w:val="000000" w:themeColor="text1"/>
          <w:sz w:val="28"/>
          <w:szCs w:val="28"/>
          <w:lang w:val="es-ES"/>
        </w:rPr>
        <w:t xml:space="preserve"> C-294 de 2024, la Sala Plena analizó dos demandas de inconstitucionalidad formuladas contra el numeral 6 y el parágrafo 3 del artículo 61 de la Ley 2294 de 2023, que modificaban el trámite de algunos procesos agrarios. En concreto, las normas acusadas eli</w:t>
      </w:r>
      <w:r w:rsidRPr="002A793E">
        <w:rPr>
          <w:rFonts w:ascii="Times New Roman" w:hAnsi="Times New Roman" w:cs="Times New Roman"/>
          <w:color w:val="000000" w:themeColor="text1"/>
          <w:sz w:val="28"/>
          <w:szCs w:val="28"/>
          <w:lang w:val="es-ES"/>
        </w:rPr>
        <w:t>minaban la fase judicial que prevé el Decreto Ley 902 de 2017 para el desarrollo de los siguientes procesos: clarificación de la propiedad, deslinde y recuperación de baldíos, extinción judicial del dominio sobre tierras incultas, caducidad administrativa,</w:t>
      </w:r>
      <w:r w:rsidRPr="002A793E">
        <w:rPr>
          <w:rFonts w:ascii="Times New Roman" w:hAnsi="Times New Roman" w:cs="Times New Roman"/>
          <w:color w:val="000000" w:themeColor="text1"/>
          <w:sz w:val="28"/>
          <w:szCs w:val="28"/>
          <w:lang w:val="es-ES"/>
        </w:rPr>
        <w:t xml:space="preserve"> condición resolutoria del subsidio, reversión y revocatoria de titulación de baldíos. </w:t>
      </w:r>
    </w:p>
    <w:p w:rsidR="00713C03" w:rsidRPr="002A793E" w:rsidRDefault="002A793E" w:rsidP="00713C03">
      <w:pPr>
        <w:pStyle w:val="Prrafodelista"/>
        <w:ind w:left="0"/>
        <w:rPr>
          <w:rFonts w:ascii="Times New Roman" w:hAnsi="Times New Roman" w:cs="Times New Roman"/>
          <w:color w:val="000000" w:themeColor="text1"/>
          <w:sz w:val="28"/>
          <w:szCs w:val="28"/>
          <w:lang w:val="es-ES"/>
        </w:rPr>
      </w:pPr>
    </w:p>
    <w:p w:rsidR="00FE6A2E" w:rsidRPr="002A793E" w:rsidRDefault="002A793E" w:rsidP="00FE6A2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En esa ocasión, los demandantes propusieron cuatro cargos de inconstitucionalidad: dos por vicios en el proceso de formación de la ley </w:t>
      </w:r>
      <w:r w:rsidRPr="002A793E">
        <w:rPr>
          <w:rFonts w:ascii="Times New Roman" w:hAnsi="Times New Roman" w:cs="Times New Roman"/>
          <w:color w:val="000000" w:themeColor="text1"/>
          <w:sz w:val="28"/>
          <w:szCs w:val="28"/>
          <w:lang w:val="es-ES"/>
        </w:rPr>
        <w:t>y dos cuestionamientos de fondo</w:t>
      </w:r>
      <w:r w:rsidRPr="002A793E">
        <w:rPr>
          <w:rStyle w:val="Refdenotaalpie"/>
          <w:rFonts w:ascii="Times New Roman" w:hAnsi="Times New Roman" w:cs="Times New Roman"/>
          <w:color w:val="000000" w:themeColor="text1"/>
          <w:sz w:val="28"/>
          <w:szCs w:val="28"/>
          <w:lang w:val="es-ES"/>
        </w:rPr>
        <w:footnoteReference w:id="62"/>
      </w:r>
      <w:r w:rsidRPr="002A793E">
        <w:rPr>
          <w:rFonts w:ascii="Times New Roman" w:hAnsi="Times New Roman" w:cs="Times New Roman"/>
          <w:color w:val="000000" w:themeColor="text1"/>
          <w:sz w:val="28"/>
          <w:szCs w:val="28"/>
          <w:lang w:val="es-ES"/>
        </w:rPr>
        <w:t>. La Sala Plena solo examinó los dos primeros cargos relacionados con la vulneración de</w:t>
      </w:r>
      <w:r w:rsidRPr="002A793E">
        <w:rPr>
          <w:rFonts w:ascii="Times New Roman" w:hAnsi="Times New Roman" w:cs="Times New Roman"/>
          <w:color w:val="000000" w:themeColor="text1"/>
          <w:sz w:val="28"/>
          <w:szCs w:val="28"/>
          <w:lang w:val="es-ES"/>
        </w:rPr>
        <w:t xml:space="preserve"> los principios de publicidad, de consecutividad y de identidad flexible</w:t>
      </w:r>
      <w:r w:rsidRPr="002A793E">
        <w:rPr>
          <w:rFonts w:ascii="Times New Roman" w:hAnsi="Times New Roman" w:cs="Times New Roman"/>
          <w:color w:val="000000" w:themeColor="text1"/>
          <w:sz w:val="28"/>
          <w:szCs w:val="28"/>
          <w:lang w:val="es-ES"/>
        </w:rPr>
        <w:t>, pues constató que, al adoptar el numeral 6 y el parágrafo 3 del artículo 61 de la Ley 2294 de 2</w:t>
      </w:r>
      <w:r w:rsidRPr="002A793E">
        <w:rPr>
          <w:rFonts w:ascii="Times New Roman" w:hAnsi="Times New Roman" w:cs="Times New Roman"/>
          <w:color w:val="000000" w:themeColor="text1"/>
          <w:sz w:val="28"/>
          <w:szCs w:val="28"/>
          <w:lang w:val="es-ES"/>
        </w:rPr>
        <w:t xml:space="preserve">023, el legislador incurrió en vicios de trámite insubsanables. </w:t>
      </w:r>
    </w:p>
    <w:p w:rsidR="00FE6A2E" w:rsidRPr="002A793E" w:rsidRDefault="002A793E" w:rsidP="00FE6A2E">
      <w:pPr>
        <w:pStyle w:val="Prrafodelista"/>
        <w:rPr>
          <w:rFonts w:ascii="Times New Roman" w:hAnsi="Times New Roman" w:cs="Times New Roman"/>
          <w:color w:val="000000" w:themeColor="text1"/>
          <w:sz w:val="28"/>
          <w:szCs w:val="28"/>
          <w:lang w:val="es-ES"/>
        </w:rPr>
      </w:pPr>
    </w:p>
    <w:p w:rsidR="00F80442" w:rsidRPr="002A793E" w:rsidRDefault="002A793E" w:rsidP="00F80442">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Al respecto, </w:t>
      </w:r>
      <w:r w:rsidRPr="002A793E">
        <w:rPr>
          <w:rFonts w:ascii="Times New Roman" w:hAnsi="Times New Roman" w:cs="Times New Roman"/>
          <w:color w:val="000000" w:themeColor="text1"/>
          <w:sz w:val="28"/>
          <w:szCs w:val="28"/>
          <w:lang w:val="es-ES"/>
        </w:rPr>
        <w:t xml:space="preserve">este Tribunal </w:t>
      </w:r>
      <w:r w:rsidRPr="002A793E">
        <w:rPr>
          <w:rFonts w:ascii="Times New Roman" w:hAnsi="Times New Roman" w:cs="Times New Roman"/>
          <w:color w:val="000000" w:themeColor="text1"/>
          <w:sz w:val="28"/>
          <w:szCs w:val="28"/>
          <w:lang w:val="es-ES"/>
        </w:rPr>
        <w:t xml:space="preserve">encontró que las normas acusadas se incluyeron mediante una proposición frente al entonces artículo 55 del proyecto de ley, la cual fue radicada el 26 de abril de 2023 en la plenaria del Senado y aprobada mediante votación en bloque el 2 de mayo del mismo </w:t>
      </w:r>
      <w:r w:rsidRPr="002A793E">
        <w:rPr>
          <w:rFonts w:ascii="Times New Roman" w:hAnsi="Times New Roman" w:cs="Times New Roman"/>
          <w:color w:val="000000" w:themeColor="text1"/>
          <w:sz w:val="28"/>
          <w:szCs w:val="28"/>
          <w:lang w:val="es-ES"/>
        </w:rPr>
        <w:t>año. En relación con la publicidad de esa proposición, se constató que no se cumplió con el mecanismo de publicidad definido en la Ley 5 de 1992, esto es, la lectura de la proposición previo a su debate y aprobación. Adicionalmente, tampoco se garantizó la</w:t>
      </w:r>
      <w:r w:rsidRPr="002A793E">
        <w:rPr>
          <w:rFonts w:ascii="Times New Roman" w:hAnsi="Times New Roman" w:cs="Times New Roman"/>
          <w:color w:val="000000" w:themeColor="text1"/>
          <w:sz w:val="28"/>
          <w:szCs w:val="28"/>
          <w:lang w:val="es-ES"/>
        </w:rPr>
        <w:t xml:space="preserve"> publicidad </w:t>
      </w:r>
      <w:r w:rsidRPr="002A793E">
        <w:rPr>
          <w:rFonts w:ascii="Times New Roman" w:hAnsi="Times New Roman" w:cs="Times New Roman"/>
          <w:color w:val="000000" w:themeColor="text1"/>
          <w:sz w:val="28"/>
          <w:szCs w:val="28"/>
          <w:lang w:val="es-ES"/>
        </w:rPr>
        <w:t xml:space="preserve">de la proposición </w:t>
      </w:r>
      <w:r w:rsidRPr="002A793E">
        <w:rPr>
          <w:rFonts w:ascii="Times New Roman" w:hAnsi="Times New Roman" w:cs="Times New Roman"/>
          <w:color w:val="000000" w:themeColor="text1"/>
          <w:sz w:val="28"/>
          <w:szCs w:val="28"/>
          <w:lang w:val="es-ES"/>
        </w:rPr>
        <w:t xml:space="preserve">por otros mecanismos que hubieran permitido a los congresistas conocer </w:t>
      </w:r>
      <w:r w:rsidRPr="002A793E">
        <w:rPr>
          <w:rFonts w:ascii="Times New Roman" w:hAnsi="Times New Roman" w:cs="Times New Roman"/>
          <w:color w:val="000000" w:themeColor="text1"/>
          <w:sz w:val="28"/>
          <w:szCs w:val="28"/>
          <w:lang w:val="es-ES"/>
        </w:rPr>
        <w:t>su</w:t>
      </w:r>
      <w:r w:rsidRPr="002A793E">
        <w:rPr>
          <w:rFonts w:ascii="Times New Roman" w:hAnsi="Times New Roman" w:cs="Times New Roman"/>
          <w:color w:val="000000" w:themeColor="text1"/>
          <w:sz w:val="28"/>
          <w:szCs w:val="28"/>
          <w:lang w:val="es-ES"/>
        </w:rPr>
        <w:t xml:space="preserve"> contenido</w:t>
      </w:r>
      <w:r w:rsidRPr="002A793E">
        <w:rPr>
          <w:rFonts w:ascii="Times New Roman" w:hAnsi="Times New Roman" w:cs="Times New Roman"/>
          <w:color w:val="000000" w:themeColor="text1"/>
          <w:sz w:val="28"/>
          <w:szCs w:val="28"/>
          <w:lang w:val="es-ES"/>
        </w:rPr>
        <w:t xml:space="preserve">. </w:t>
      </w:r>
    </w:p>
    <w:p w:rsidR="00F80442" w:rsidRPr="002A793E" w:rsidRDefault="002A793E" w:rsidP="00F80442">
      <w:pPr>
        <w:pStyle w:val="Prrafodelista"/>
        <w:ind w:left="0"/>
        <w:rPr>
          <w:rFonts w:ascii="Times New Roman" w:hAnsi="Times New Roman" w:cs="Times New Roman"/>
          <w:color w:val="000000" w:themeColor="text1"/>
          <w:sz w:val="28"/>
          <w:szCs w:val="28"/>
          <w:lang w:val="es-ES"/>
        </w:rPr>
      </w:pPr>
    </w:p>
    <w:p w:rsidR="00FE6A2E" w:rsidRPr="002A793E" w:rsidRDefault="002A793E" w:rsidP="00FE6A2E">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Frente a ese último punto, la Sala Plena</w:t>
      </w:r>
      <w:r w:rsidRPr="002A793E">
        <w:rPr>
          <w:rFonts w:ascii="Times New Roman" w:hAnsi="Times New Roman" w:cs="Times New Roman"/>
          <w:color w:val="000000" w:themeColor="text1"/>
          <w:sz w:val="28"/>
          <w:szCs w:val="28"/>
          <w:lang w:val="es-ES"/>
        </w:rPr>
        <w:t xml:space="preserve"> identificó lo siguiente</w:t>
      </w:r>
      <w:r w:rsidRPr="002A793E">
        <w:rPr>
          <w:rFonts w:ascii="Times New Roman" w:hAnsi="Times New Roman" w:cs="Times New Roman"/>
          <w:color w:val="000000" w:themeColor="text1"/>
          <w:sz w:val="28"/>
          <w:szCs w:val="28"/>
          <w:lang w:val="es-ES"/>
        </w:rPr>
        <w:t>:</w:t>
      </w:r>
    </w:p>
    <w:p w:rsidR="00FE6A2E" w:rsidRPr="002A793E" w:rsidRDefault="002A793E" w:rsidP="00811837">
      <w:pPr>
        <w:rPr>
          <w:rFonts w:ascii="Times New Roman" w:hAnsi="Times New Roman" w:cs="Times New Roman"/>
          <w:color w:val="000000" w:themeColor="text1"/>
          <w:sz w:val="28"/>
          <w:szCs w:val="28"/>
          <w:lang w:val="es-ES"/>
        </w:rPr>
      </w:pPr>
    </w:p>
    <w:p w:rsidR="00FE6A2E" w:rsidRPr="002A793E" w:rsidRDefault="002A793E" w:rsidP="00FE6A2E">
      <w:pPr>
        <w:pStyle w:val="Prrafodelista"/>
        <w:numPr>
          <w:ilvl w:val="0"/>
          <w:numId w:val="6"/>
        </w:numPr>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La </w:t>
      </w:r>
      <w:r w:rsidRPr="002A793E">
        <w:rPr>
          <w:rFonts w:ascii="Times New Roman" w:hAnsi="Times New Roman" w:cs="Times New Roman"/>
          <w:sz w:val="28"/>
          <w:szCs w:val="28"/>
          <w:lang w:val="es-ES"/>
        </w:rPr>
        <w:t>explicación realizada por el presidente del Senado sobre la proposici</w:t>
      </w:r>
      <w:r w:rsidRPr="002A793E">
        <w:rPr>
          <w:rFonts w:ascii="Times New Roman" w:hAnsi="Times New Roman" w:cs="Times New Roman"/>
          <w:sz w:val="28"/>
          <w:szCs w:val="28"/>
          <w:lang w:val="es-ES"/>
        </w:rPr>
        <w:t>ón</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lang w:val="es-ES"/>
        </w:rPr>
        <w:t xml:space="preserve">no fue clara ni detallada, de manera que con ella no se garantizó que los senadores pudieran conocer su alcance antes de ser aprobada. </w:t>
      </w:r>
    </w:p>
    <w:p w:rsidR="00203B78" w:rsidRPr="002A793E" w:rsidRDefault="002A793E" w:rsidP="00203B78">
      <w:pPr>
        <w:pStyle w:val="Prrafodelista"/>
        <w:ind w:left="1080"/>
        <w:rPr>
          <w:rFonts w:ascii="Times New Roman" w:hAnsi="Times New Roman" w:cs="Times New Roman"/>
          <w:color w:val="000000" w:themeColor="text1"/>
          <w:sz w:val="28"/>
          <w:szCs w:val="28"/>
          <w:lang w:val="es-ES"/>
        </w:rPr>
      </w:pPr>
    </w:p>
    <w:p w:rsidR="00FE6A2E" w:rsidRPr="002A793E" w:rsidRDefault="002A793E" w:rsidP="00FE6A2E">
      <w:pPr>
        <w:pStyle w:val="Prrafodelista"/>
        <w:numPr>
          <w:ilvl w:val="0"/>
          <w:numId w:val="6"/>
        </w:numPr>
        <w:rPr>
          <w:rFonts w:ascii="Times New Roman" w:hAnsi="Times New Roman" w:cs="Times New Roman"/>
          <w:color w:val="000000" w:themeColor="text1"/>
          <w:sz w:val="28"/>
          <w:szCs w:val="28"/>
          <w:lang w:val="es-ES"/>
        </w:rPr>
      </w:pPr>
      <w:r w:rsidRPr="002A793E">
        <w:rPr>
          <w:rFonts w:ascii="Times New Roman" w:hAnsi="Times New Roman" w:cs="Times New Roman"/>
          <w:sz w:val="28"/>
          <w:szCs w:val="28"/>
          <w:lang w:val="es-ES"/>
        </w:rPr>
        <w:t xml:space="preserve">No se demostró que la publicación de la proposición en la página web del Senado de la República fuera anterior a la </w:t>
      </w:r>
      <w:r w:rsidRPr="002A793E">
        <w:rPr>
          <w:rFonts w:ascii="Times New Roman" w:hAnsi="Times New Roman" w:cs="Times New Roman"/>
          <w:sz w:val="28"/>
          <w:szCs w:val="28"/>
          <w:lang w:val="es-ES"/>
        </w:rPr>
        <w:t xml:space="preserve">decisión y, en cualquier caso, en el trámite ante la plenaria no se anunció ni se les indicó a los senadores que ese mecanismo sería la forma de publicidad en esa instancia. </w:t>
      </w:r>
    </w:p>
    <w:p w:rsidR="00203B78" w:rsidRPr="002A793E" w:rsidRDefault="002A793E" w:rsidP="00203B78">
      <w:pPr>
        <w:pStyle w:val="Prrafodelista"/>
        <w:ind w:left="1080"/>
        <w:rPr>
          <w:rFonts w:ascii="Times New Roman" w:hAnsi="Times New Roman" w:cs="Times New Roman"/>
          <w:color w:val="000000" w:themeColor="text1"/>
          <w:sz w:val="28"/>
          <w:szCs w:val="28"/>
          <w:lang w:val="es-ES"/>
        </w:rPr>
      </w:pPr>
    </w:p>
    <w:p w:rsidR="00FE6A2E" w:rsidRPr="002A793E" w:rsidRDefault="002A793E" w:rsidP="00FE6A2E">
      <w:pPr>
        <w:pStyle w:val="Prrafodelista"/>
        <w:numPr>
          <w:ilvl w:val="0"/>
          <w:numId w:val="6"/>
        </w:numPr>
        <w:rPr>
          <w:rFonts w:ascii="Times New Roman" w:hAnsi="Times New Roman" w:cs="Times New Roman"/>
          <w:color w:val="000000" w:themeColor="text1"/>
          <w:sz w:val="28"/>
          <w:szCs w:val="28"/>
          <w:lang w:val="es-ES"/>
        </w:rPr>
      </w:pPr>
      <w:r w:rsidRPr="002A793E">
        <w:rPr>
          <w:rFonts w:ascii="Times New Roman" w:hAnsi="Times New Roman" w:cs="Times New Roman"/>
          <w:sz w:val="28"/>
          <w:szCs w:val="28"/>
          <w:lang w:val="es-ES"/>
        </w:rPr>
        <w:t>La intervención de la ministra de Agricultura</w:t>
      </w:r>
      <w:r w:rsidRPr="002A793E">
        <w:rPr>
          <w:rFonts w:ascii="Times New Roman" w:hAnsi="Times New Roman" w:cs="Times New Roman"/>
          <w:sz w:val="28"/>
          <w:szCs w:val="28"/>
          <w:lang w:val="es-ES"/>
        </w:rPr>
        <w:t xml:space="preserve">, a la que aludieron varios de los </w:t>
      </w:r>
      <w:r w:rsidRPr="002A793E">
        <w:rPr>
          <w:rFonts w:ascii="Times New Roman" w:hAnsi="Times New Roman" w:cs="Times New Roman"/>
          <w:sz w:val="28"/>
          <w:szCs w:val="28"/>
          <w:lang w:val="es-ES"/>
        </w:rPr>
        <w:t>intervinientes del proceso para indicar que en el caso analizado sí se había cumplido el requisito de publicidad,</w:t>
      </w:r>
      <w:r w:rsidRPr="002A793E">
        <w:rPr>
          <w:rFonts w:ascii="Times New Roman" w:hAnsi="Times New Roman" w:cs="Times New Roman"/>
          <w:sz w:val="28"/>
          <w:szCs w:val="28"/>
          <w:lang w:val="es-ES"/>
        </w:rPr>
        <w:t xml:space="preserve"> se realizó en la plenaria del Senado en la sesión del 3 de mayo de 2023, es decir</w:t>
      </w:r>
      <w:r w:rsidRPr="002A793E">
        <w:rPr>
          <w:rFonts w:ascii="Times New Roman" w:hAnsi="Times New Roman" w:cs="Times New Roman"/>
          <w:sz w:val="28"/>
          <w:szCs w:val="28"/>
          <w:lang w:val="es-ES"/>
        </w:rPr>
        <w:t>,</w:t>
      </w:r>
      <w:r w:rsidRPr="002A793E">
        <w:rPr>
          <w:rFonts w:ascii="Times New Roman" w:hAnsi="Times New Roman" w:cs="Times New Roman"/>
          <w:sz w:val="28"/>
          <w:szCs w:val="28"/>
          <w:lang w:val="es-ES"/>
        </w:rPr>
        <w:t xml:space="preserve"> un día después de </w:t>
      </w:r>
      <w:r w:rsidRPr="002A793E">
        <w:rPr>
          <w:rFonts w:ascii="Times New Roman" w:hAnsi="Times New Roman" w:cs="Times New Roman"/>
          <w:sz w:val="28"/>
          <w:szCs w:val="28"/>
          <w:lang w:val="es-ES"/>
        </w:rPr>
        <w:t>la</w:t>
      </w:r>
      <w:r w:rsidRPr="002A793E">
        <w:rPr>
          <w:rFonts w:ascii="Times New Roman" w:hAnsi="Times New Roman" w:cs="Times New Roman"/>
          <w:sz w:val="28"/>
          <w:szCs w:val="28"/>
          <w:lang w:val="es-ES"/>
        </w:rPr>
        <w:t xml:space="preserve"> aprobación</w:t>
      </w:r>
      <w:r w:rsidRPr="002A793E">
        <w:rPr>
          <w:rFonts w:ascii="Times New Roman" w:hAnsi="Times New Roman" w:cs="Times New Roman"/>
          <w:sz w:val="28"/>
          <w:szCs w:val="28"/>
          <w:lang w:val="es-ES"/>
        </w:rPr>
        <w:t xml:space="preserve"> de la proposición</w:t>
      </w:r>
      <w:r w:rsidRPr="002A793E">
        <w:rPr>
          <w:rFonts w:ascii="Times New Roman" w:hAnsi="Times New Roman" w:cs="Times New Roman"/>
          <w:sz w:val="28"/>
          <w:szCs w:val="28"/>
          <w:lang w:val="es-ES"/>
        </w:rPr>
        <w:t xml:space="preserve">. Además, </w:t>
      </w:r>
      <w:r w:rsidRPr="002A793E">
        <w:rPr>
          <w:rFonts w:ascii="Times New Roman" w:hAnsi="Times New Roman" w:cs="Times New Roman"/>
          <w:sz w:val="28"/>
          <w:szCs w:val="28"/>
          <w:lang w:val="es-ES"/>
        </w:rPr>
        <w:t xml:space="preserve">esa intervención se refirió a otro artículo del proyecto de ley, relacionado con la derogatoria del Decreto Ley 902 de 2017. Asimismo, lo dicho por la ministra de Agricultura suscitó un debate en la plenaria del Senado de cuyo contenido </w:t>
      </w:r>
      <w:r w:rsidRPr="002A793E">
        <w:rPr>
          <w:rFonts w:ascii="Times New Roman" w:hAnsi="Times New Roman" w:cs="Times New Roman"/>
          <w:sz w:val="28"/>
          <w:szCs w:val="28"/>
          <w:lang w:val="es-ES"/>
        </w:rPr>
        <w:t>no se podía inferir</w:t>
      </w:r>
      <w:r w:rsidRPr="002A793E">
        <w:rPr>
          <w:rFonts w:ascii="Times New Roman" w:hAnsi="Times New Roman" w:cs="Times New Roman"/>
          <w:sz w:val="28"/>
          <w:szCs w:val="28"/>
          <w:lang w:val="es-ES"/>
        </w:rPr>
        <w:t xml:space="preserve"> que los senadores tuvieran conocimiento de la proposición </w:t>
      </w:r>
      <w:r w:rsidRPr="002A793E">
        <w:rPr>
          <w:rFonts w:ascii="Times New Roman" w:hAnsi="Times New Roman" w:cs="Times New Roman"/>
          <w:sz w:val="28"/>
          <w:szCs w:val="28"/>
          <w:lang w:val="es-ES"/>
        </w:rPr>
        <w:t xml:space="preserve">que habían </w:t>
      </w:r>
      <w:r w:rsidRPr="002A793E">
        <w:rPr>
          <w:rFonts w:ascii="Times New Roman" w:hAnsi="Times New Roman" w:cs="Times New Roman"/>
          <w:sz w:val="28"/>
          <w:szCs w:val="28"/>
          <w:lang w:val="es-ES"/>
        </w:rPr>
        <w:t>aprobad</w:t>
      </w:r>
      <w:r w:rsidRPr="002A793E">
        <w:rPr>
          <w:rFonts w:ascii="Times New Roman" w:hAnsi="Times New Roman" w:cs="Times New Roman"/>
          <w:sz w:val="28"/>
          <w:szCs w:val="28"/>
          <w:lang w:val="es-ES"/>
        </w:rPr>
        <w:t>o</w:t>
      </w:r>
      <w:r w:rsidRPr="002A793E">
        <w:rPr>
          <w:rFonts w:ascii="Times New Roman" w:hAnsi="Times New Roman" w:cs="Times New Roman"/>
          <w:sz w:val="28"/>
          <w:szCs w:val="28"/>
          <w:lang w:val="es-ES"/>
        </w:rPr>
        <w:t xml:space="preserve"> el día anterior. </w:t>
      </w:r>
      <w:r w:rsidRPr="002A793E">
        <w:rPr>
          <w:rFonts w:ascii="Times New Roman" w:hAnsi="Times New Roman" w:cs="Times New Roman"/>
          <w:sz w:val="28"/>
          <w:szCs w:val="28"/>
          <w:lang w:val="es-ES"/>
        </w:rPr>
        <w:t xml:space="preserve"> </w:t>
      </w:r>
    </w:p>
    <w:p w:rsidR="00203B78" w:rsidRPr="002A793E" w:rsidRDefault="002A793E" w:rsidP="00203B78">
      <w:pPr>
        <w:pStyle w:val="Prrafodelista"/>
        <w:rPr>
          <w:rFonts w:ascii="Times New Roman" w:hAnsi="Times New Roman" w:cs="Times New Roman"/>
          <w:color w:val="000000" w:themeColor="text1"/>
          <w:sz w:val="28"/>
          <w:szCs w:val="28"/>
          <w:lang w:val="es-ES"/>
        </w:rPr>
      </w:pPr>
    </w:p>
    <w:p w:rsidR="00203B78" w:rsidRPr="002A793E" w:rsidRDefault="002A793E" w:rsidP="00FE6A2E">
      <w:pPr>
        <w:pStyle w:val="Prrafodelista"/>
        <w:numPr>
          <w:ilvl w:val="0"/>
          <w:numId w:val="6"/>
        </w:numPr>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La radicación de la proposición en la secretaría general del Senado de la República tampoco sirvió como un mecanismo para garantizar el principio de publicidad. En efecto, por oposición a lo </w:t>
      </w:r>
      <w:r w:rsidRPr="002A793E">
        <w:rPr>
          <w:rFonts w:ascii="Times New Roman" w:hAnsi="Times New Roman" w:cs="Times New Roman"/>
          <w:color w:val="000000" w:themeColor="text1"/>
          <w:sz w:val="28"/>
          <w:szCs w:val="28"/>
          <w:lang w:val="es-ES"/>
        </w:rPr>
        <w:t>sucedido en el marco del trámite legislativo examinado en la sent</w:t>
      </w:r>
      <w:r w:rsidRPr="002A793E">
        <w:rPr>
          <w:rFonts w:ascii="Times New Roman" w:hAnsi="Times New Roman" w:cs="Times New Roman"/>
          <w:color w:val="000000" w:themeColor="text1"/>
          <w:sz w:val="28"/>
          <w:szCs w:val="28"/>
          <w:lang w:val="es-ES"/>
        </w:rPr>
        <w:t xml:space="preserve">encia C-134 de 2023, en este caso no se les anunció a los congresistas que la proposición había sido radicada y que estaba disponible para su consulta. </w:t>
      </w:r>
      <w:r w:rsidRPr="002A793E">
        <w:rPr>
          <w:rFonts w:ascii="Times New Roman" w:hAnsi="Times New Roman" w:cs="Times New Roman"/>
          <w:color w:val="000000" w:themeColor="text1"/>
          <w:sz w:val="28"/>
          <w:szCs w:val="28"/>
          <w:lang w:val="es-ES"/>
        </w:rPr>
        <w:t xml:space="preserve"> </w:t>
      </w:r>
    </w:p>
    <w:p w:rsidR="00FE6A2E" w:rsidRPr="002A793E" w:rsidRDefault="002A793E" w:rsidP="00FE6A2E">
      <w:pPr>
        <w:rPr>
          <w:rFonts w:ascii="Times New Roman" w:hAnsi="Times New Roman" w:cs="Times New Roman"/>
          <w:color w:val="000000" w:themeColor="text1"/>
          <w:sz w:val="28"/>
          <w:szCs w:val="28"/>
          <w:lang w:val="es-ES"/>
        </w:rPr>
      </w:pPr>
    </w:p>
    <w:p w:rsidR="00C517D9" w:rsidRPr="002A793E" w:rsidRDefault="002A793E" w:rsidP="00C517D9">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Por las cinco razones antes expuestas, la Sala Plena concluyó que, en relación con el numeral 6 y el </w:t>
      </w:r>
      <w:r w:rsidRPr="002A793E">
        <w:rPr>
          <w:rFonts w:ascii="Times New Roman" w:hAnsi="Times New Roman" w:cs="Times New Roman"/>
          <w:color w:val="000000" w:themeColor="text1"/>
          <w:sz w:val="28"/>
          <w:szCs w:val="28"/>
          <w:lang w:val="es-ES"/>
        </w:rPr>
        <w:t>parágrafo 3 del artículo 61 de la Ley 2294 de 2023, no se acudió a un mecanismo de publicidad que garantizara el conocimiento de los congresistas. Dicha situación generó una vulneración del principio de publicidad, el cual constituye un presupuesto para el</w:t>
      </w:r>
      <w:r w:rsidRPr="002A793E">
        <w:rPr>
          <w:rFonts w:ascii="Times New Roman" w:hAnsi="Times New Roman" w:cs="Times New Roman"/>
          <w:color w:val="000000" w:themeColor="text1"/>
          <w:sz w:val="28"/>
          <w:szCs w:val="28"/>
          <w:lang w:val="es-ES"/>
        </w:rPr>
        <w:t xml:space="preserve"> debate y la adopción de una decisión democrática. </w:t>
      </w:r>
    </w:p>
    <w:p w:rsidR="00C517D9" w:rsidRPr="002A793E" w:rsidRDefault="002A793E" w:rsidP="00C517D9">
      <w:pPr>
        <w:pStyle w:val="Prrafodelista"/>
        <w:ind w:left="0"/>
        <w:rPr>
          <w:rFonts w:ascii="Times New Roman" w:hAnsi="Times New Roman" w:cs="Times New Roman"/>
          <w:color w:val="000000" w:themeColor="text1"/>
          <w:sz w:val="28"/>
          <w:szCs w:val="28"/>
          <w:lang w:val="es-ES"/>
        </w:rPr>
      </w:pPr>
    </w:p>
    <w:p w:rsidR="00C517D9" w:rsidRPr="002A793E" w:rsidRDefault="002A793E" w:rsidP="00C517D9">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Además, la Sala Plena determinó que durante el trámite legislativo de las disposiciones analizadas también se incurrió en una violación de los principios de consecutividad e identidad flexible. A juicio </w:t>
      </w:r>
      <w:r w:rsidRPr="002A793E">
        <w:rPr>
          <w:rFonts w:ascii="Times New Roman" w:hAnsi="Times New Roman" w:cs="Times New Roman"/>
          <w:color w:val="000000" w:themeColor="text1"/>
          <w:sz w:val="28"/>
          <w:szCs w:val="28"/>
          <w:lang w:val="es-ES"/>
        </w:rPr>
        <w:t>de este Tribunal, aunque las medidas contenidas en el numeral 6 y el parágrafo 3 del artículo 61 de la Ley 2294 de 2023 guardaban una relación con algunos de los temas del</w:t>
      </w:r>
      <w:r w:rsidRPr="002A793E">
        <w:rPr>
          <w:rFonts w:ascii="Times New Roman" w:hAnsi="Times New Roman" w:cs="Times New Roman"/>
          <w:color w:val="000000" w:themeColor="text1"/>
          <w:sz w:val="28"/>
          <w:szCs w:val="28"/>
          <w:lang w:val="es-ES"/>
        </w:rPr>
        <w:t xml:space="preserve"> PND</w:t>
      </w:r>
      <w:r w:rsidRPr="002A793E">
        <w:rPr>
          <w:rFonts w:ascii="Times New Roman" w:hAnsi="Times New Roman" w:cs="Times New Roman"/>
          <w:color w:val="000000" w:themeColor="text1"/>
          <w:sz w:val="28"/>
          <w:szCs w:val="28"/>
          <w:lang w:val="es-ES"/>
        </w:rPr>
        <w:t>, no fueron discutidas durante el primer debate ante las comisiones económicas co</w:t>
      </w:r>
      <w:r w:rsidRPr="002A793E">
        <w:rPr>
          <w:rFonts w:ascii="Times New Roman" w:hAnsi="Times New Roman" w:cs="Times New Roman"/>
          <w:color w:val="000000" w:themeColor="text1"/>
          <w:sz w:val="28"/>
          <w:szCs w:val="28"/>
          <w:lang w:val="es-ES"/>
        </w:rPr>
        <w:t xml:space="preserve">njuntas. </w:t>
      </w:r>
    </w:p>
    <w:p w:rsidR="00811837" w:rsidRPr="002A793E" w:rsidRDefault="002A793E" w:rsidP="00811837">
      <w:pPr>
        <w:pStyle w:val="Prrafodelista"/>
        <w:rPr>
          <w:rFonts w:ascii="Times New Roman" w:hAnsi="Times New Roman" w:cs="Times New Roman"/>
          <w:color w:val="000000" w:themeColor="text1"/>
          <w:sz w:val="28"/>
          <w:szCs w:val="28"/>
          <w:lang w:val="es-ES"/>
        </w:rPr>
      </w:pPr>
    </w:p>
    <w:p w:rsidR="00B71F35" w:rsidRPr="002A793E" w:rsidRDefault="002A793E" w:rsidP="00C517D9">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Finalmente, la Corte estimó que los vicios cometidos durante el trámite de las normas acusadas eran insubsanables puesto que, por un lado, implicaron una el</w:t>
      </w:r>
      <w:r w:rsidRPr="002A793E">
        <w:rPr>
          <w:rFonts w:ascii="Times New Roman" w:hAnsi="Times New Roman" w:cs="Times New Roman"/>
          <w:color w:val="000000" w:themeColor="text1"/>
          <w:sz w:val="28"/>
          <w:szCs w:val="28"/>
          <w:lang w:val="es-ES"/>
        </w:rPr>
        <w:t>u</w:t>
      </w:r>
      <w:r w:rsidRPr="002A793E">
        <w:rPr>
          <w:rFonts w:ascii="Times New Roman" w:hAnsi="Times New Roman" w:cs="Times New Roman"/>
          <w:color w:val="000000" w:themeColor="text1"/>
          <w:sz w:val="28"/>
          <w:szCs w:val="28"/>
          <w:lang w:val="es-ES"/>
        </w:rPr>
        <w:t>sión del debate democrático respecto de la modificación del procedimiento único regulado</w:t>
      </w:r>
      <w:r w:rsidRPr="002A793E">
        <w:rPr>
          <w:rFonts w:ascii="Times New Roman" w:hAnsi="Times New Roman" w:cs="Times New Roman"/>
          <w:color w:val="000000" w:themeColor="text1"/>
          <w:sz w:val="28"/>
          <w:szCs w:val="28"/>
          <w:lang w:val="es-ES"/>
        </w:rPr>
        <w:t xml:space="preserve"> por el Decreto Ley 902 de 2017 par</w:t>
      </w:r>
      <w:r w:rsidRPr="002A793E">
        <w:rPr>
          <w:rFonts w:ascii="Times New Roman" w:hAnsi="Times New Roman" w:cs="Times New Roman"/>
          <w:color w:val="000000" w:themeColor="text1"/>
          <w:sz w:val="28"/>
          <w:szCs w:val="28"/>
          <w:lang w:val="es-ES"/>
        </w:rPr>
        <w:t>a ciertos trámites agrarios, tanto en primer debate ante las comisiones económicas conjuntas, como en segundo debate ante la plenaria del Senado</w:t>
      </w:r>
      <w:r w:rsidRPr="002A793E">
        <w:rPr>
          <w:rFonts w:ascii="Times New Roman" w:hAnsi="Times New Roman" w:cs="Times New Roman"/>
          <w:color w:val="000000" w:themeColor="text1"/>
          <w:sz w:val="28"/>
          <w:szCs w:val="28"/>
          <w:lang w:val="es-ES"/>
        </w:rPr>
        <w:t>. Además</w:t>
      </w:r>
      <w:r w:rsidRPr="002A793E">
        <w:rPr>
          <w:rFonts w:ascii="Times New Roman" w:hAnsi="Times New Roman" w:cs="Times New Roman"/>
          <w:color w:val="000000" w:themeColor="text1"/>
          <w:sz w:val="28"/>
          <w:szCs w:val="28"/>
          <w:lang w:val="es-ES"/>
        </w:rPr>
        <w:t>, devolver la ley para que el Congreso de la República corrigiera los</w:t>
      </w:r>
      <w:r w:rsidRPr="002A793E">
        <w:rPr>
          <w:rFonts w:ascii="Times New Roman" w:hAnsi="Times New Roman" w:cs="Times New Roman"/>
          <w:color w:val="000000" w:themeColor="text1"/>
          <w:sz w:val="28"/>
          <w:szCs w:val="28"/>
          <w:lang w:val="es-ES"/>
        </w:rPr>
        <w:t xml:space="preserve"> yerros identificados habría implicado, en la práctica, retrotraer el proceso legislativo hasta el primer debate con el fin de que allí se deliberar sobre la medida acusada. </w:t>
      </w:r>
    </w:p>
    <w:p w:rsidR="00B71F35" w:rsidRPr="002A793E" w:rsidRDefault="002A793E" w:rsidP="00B71F35">
      <w:pPr>
        <w:pStyle w:val="Prrafodelista"/>
        <w:rPr>
          <w:rFonts w:ascii="Times New Roman" w:hAnsi="Times New Roman" w:cs="Times New Roman"/>
          <w:color w:val="000000" w:themeColor="text1"/>
          <w:sz w:val="28"/>
          <w:szCs w:val="28"/>
          <w:lang w:val="es-ES"/>
        </w:rPr>
      </w:pPr>
    </w:p>
    <w:p w:rsidR="00C517D9" w:rsidRPr="002A793E" w:rsidRDefault="002A793E" w:rsidP="002468C5">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Por esos motivos, en la sentencia C-294 de 2024, la Sala Plena declaró la inexeq</w:t>
      </w:r>
      <w:r w:rsidRPr="002A793E">
        <w:rPr>
          <w:rFonts w:ascii="Times New Roman" w:hAnsi="Times New Roman" w:cs="Times New Roman"/>
          <w:color w:val="000000" w:themeColor="text1"/>
          <w:sz w:val="28"/>
          <w:szCs w:val="28"/>
          <w:lang w:val="es-ES"/>
        </w:rPr>
        <w:t xml:space="preserve">uibilidad del numeral 6 y del parágrafo 3 del artículo 61 de la Ley 2294 de 2023. </w:t>
      </w:r>
    </w:p>
    <w:p w:rsidR="00B71F35" w:rsidRPr="002A793E" w:rsidRDefault="002A793E" w:rsidP="00B71F35">
      <w:pPr>
        <w:pStyle w:val="Prrafodelista"/>
        <w:rPr>
          <w:rFonts w:ascii="Times New Roman" w:hAnsi="Times New Roman" w:cs="Times New Roman"/>
          <w:color w:val="000000" w:themeColor="text1"/>
          <w:sz w:val="28"/>
          <w:szCs w:val="28"/>
          <w:lang w:val="es-ES"/>
        </w:rPr>
      </w:pPr>
    </w:p>
    <w:p w:rsidR="00713C03" w:rsidRPr="002A793E" w:rsidRDefault="002A793E" w:rsidP="00EE7A55">
      <w:pPr>
        <w:pStyle w:val="Prrafodelista"/>
        <w:numPr>
          <w:ilvl w:val="2"/>
          <w:numId w:val="5"/>
        </w:numPr>
        <w:spacing w:line="360" w:lineRule="atLeast"/>
        <w:rPr>
          <w:rFonts w:ascii="Times New Roman" w:hAnsi="Times New Roman" w:cs="Times New Roman"/>
          <w:b/>
          <w:bCs/>
          <w:color w:val="000000" w:themeColor="text1"/>
          <w:sz w:val="28"/>
          <w:szCs w:val="28"/>
          <w:lang w:val="es-ES"/>
        </w:rPr>
      </w:pPr>
      <w:r w:rsidRPr="002A793E">
        <w:rPr>
          <w:rFonts w:ascii="Times New Roman" w:hAnsi="Times New Roman" w:cs="Times New Roman"/>
          <w:b/>
          <w:bCs/>
          <w:color w:val="000000" w:themeColor="text1"/>
          <w:sz w:val="28"/>
          <w:szCs w:val="28"/>
          <w:lang w:val="es-ES"/>
        </w:rPr>
        <w:t xml:space="preserve">La verificación de la </w:t>
      </w:r>
      <w:r w:rsidRPr="002A793E">
        <w:rPr>
          <w:rFonts w:ascii="Times New Roman" w:hAnsi="Times New Roman" w:cs="Times New Roman"/>
          <w:b/>
          <w:bCs/>
          <w:sz w:val="28"/>
          <w:szCs w:val="28"/>
          <w:lang w:val="es-ES"/>
        </w:rPr>
        <w:t>cosa</w:t>
      </w:r>
      <w:r w:rsidRPr="002A793E">
        <w:rPr>
          <w:rFonts w:ascii="Times New Roman" w:hAnsi="Times New Roman" w:cs="Times New Roman"/>
          <w:b/>
          <w:bCs/>
          <w:color w:val="000000" w:themeColor="text1"/>
          <w:sz w:val="28"/>
          <w:szCs w:val="28"/>
          <w:lang w:val="es-ES"/>
        </w:rPr>
        <w:t xml:space="preserve"> juzgada </w:t>
      </w:r>
      <w:r w:rsidRPr="002A793E">
        <w:rPr>
          <w:rFonts w:ascii="Times New Roman" w:hAnsi="Times New Roman" w:cs="Times New Roman"/>
          <w:b/>
          <w:bCs/>
          <w:color w:val="000000" w:themeColor="text1"/>
          <w:sz w:val="28"/>
          <w:szCs w:val="28"/>
          <w:lang w:val="es-ES"/>
        </w:rPr>
        <w:t xml:space="preserve">formal y absoluta </w:t>
      </w:r>
      <w:r w:rsidRPr="002A793E">
        <w:rPr>
          <w:rFonts w:ascii="Times New Roman" w:hAnsi="Times New Roman" w:cs="Times New Roman"/>
          <w:b/>
          <w:bCs/>
          <w:color w:val="000000" w:themeColor="text1"/>
          <w:sz w:val="28"/>
          <w:szCs w:val="28"/>
          <w:lang w:val="es-ES"/>
        </w:rPr>
        <w:t xml:space="preserve">en el caso concreto </w:t>
      </w:r>
    </w:p>
    <w:p w:rsidR="00B71F35" w:rsidRPr="002A793E" w:rsidRDefault="002A793E" w:rsidP="00B71F35">
      <w:pPr>
        <w:rPr>
          <w:rFonts w:ascii="Times New Roman" w:hAnsi="Times New Roman" w:cs="Times New Roman"/>
          <w:color w:val="000000" w:themeColor="text1"/>
          <w:sz w:val="28"/>
          <w:szCs w:val="28"/>
          <w:lang w:val="es-ES"/>
        </w:rPr>
      </w:pPr>
    </w:p>
    <w:p w:rsidR="00B71F35" w:rsidRPr="002A793E" w:rsidRDefault="002A793E" w:rsidP="00B71F35">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sz w:val="28"/>
          <w:szCs w:val="28"/>
          <w:shd w:val="clear" w:color="auto" w:fill="FFFFFF"/>
          <w:lang w:val="es-ES"/>
        </w:rPr>
        <w:t>En este caso, el accionante demandó la constitucionalidad del numeral 6</w:t>
      </w:r>
      <w:r w:rsidRPr="002A793E">
        <w:rPr>
          <w:rFonts w:ascii="Times New Roman" w:hAnsi="Times New Roman" w:cs="Times New Roman"/>
          <w:sz w:val="28"/>
          <w:szCs w:val="28"/>
          <w:shd w:val="clear" w:color="auto" w:fill="FFFFFF"/>
          <w:lang w:val="es-ES"/>
        </w:rPr>
        <w:t xml:space="preserve"> (parcial)</w:t>
      </w:r>
      <w:r w:rsidRPr="002A793E">
        <w:rPr>
          <w:rFonts w:ascii="Times New Roman" w:hAnsi="Times New Roman" w:cs="Times New Roman"/>
          <w:sz w:val="28"/>
          <w:szCs w:val="28"/>
          <w:shd w:val="clear" w:color="auto" w:fill="FFFFFF"/>
          <w:lang w:val="es-ES"/>
        </w:rPr>
        <w:t xml:space="preserve"> y del parágrafo 3 del artículo 61 de la Ley 2294 de 2023, por la vulneración: (i) del principio de publicidad, que se deriva de los artículos 157 y 160 de la Constitución y de la Ley </w:t>
      </w:r>
      <w:r w:rsidRPr="002A793E">
        <w:rPr>
          <w:rFonts w:ascii="Times New Roman" w:hAnsi="Times New Roman" w:cs="Times New Roman"/>
          <w:sz w:val="28"/>
          <w:szCs w:val="28"/>
          <w:lang w:val="es-ES"/>
        </w:rPr>
        <w:t>5ª de 1992; (ii) del principio de unidad de materia, consagrado en el ar</w:t>
      </w:r>
      <w:r w:rsidRPr="002A793E">
        <w:rPr>
          <w:rFonts w:ascii="Times New Roman" w:hAnsi="Times New Roman" w:cs="Times New Roman"/>
          <w:sz w:val="28"/>
          <w:szCs w:val="28"/>
          <w:lang w:val="es-ES"/>
        </w:rPr>
        <w:t xml:space="preserve">tículo 158 superior; (iii) de los derechos de acceso a la administración de justicia, a la tutela judicial efectiva y a la propiedad privada, contenidos en los artículos 58 y 229 de la Constitución, 8, 21 y 25 de la CADH </w:t>
      </w:r>
      <w:r w:rsidRPr="002A793E">
        <w:rPr>
          <w:rFonts w:ascii="Times New Roman" w:hAnsi="Times New Roman" w:cs="Times New Roman"/>
          <w:color w:val="000000" w:themeColor="text1"/>
          <w:sz w:val="28"/>
          <w:szCs w:val="28"/>
          <w:lang w:val="es-ES"/>
        </w:rPr>
        <w:t>y; (iv) del principio de progresivi</w:t>
      </w:r>
      <w:r w:rsidRPr="002A793E">
        <w:rPr>
          <w:rFonts w:ascii="Times New Roman" w:hAnsi="Times New Roman" w:cs="Times New Roman"/>
          <w:color w:val="000000" w:themeColor="text1"/>
          <w:sz w:val="28"/>
          <w:szCs w:val="28"/>
          <w:lang w:val="es-ES"/>
        </w:rPr>
        <w:t xml:space="preserve">dad y de la prohibición de regresividad, derivados de los </w:t>
      </w:r>
      <w:r w:rsidRPr="002A793E">
        <w:rPr>
          <w:rFonts w:ascii="Times New Roman" w:hAnsi="Times New Roman" w:cs="Times New Roman"/>
          <w:sz w:val="28"/>
          <w:szCs w:val="28"/>
          <w:lang w:val="es-ES"/>
        </w:rPr>
        <w:t>artículos 2.1 del PIDESC, 1 del Protocolo de San Salvador y 26 de la CADH. Como se explicó previamente, la Corte Constitucional declaró la inexequibilidad de los artículos acusados por vicios insubs</w:t>
      </w:r>
      <w:r w:rsidRPr="002A793E">
        <w:rPr>
          <w:rFonts w:ascii="Times New Roman" w:hAnsi="Times New Roman" w:cs="Times New Roman"/>
          <w:sz w:val="28"/>
          <w:szCs w:val="28"/>
          <w:lang w:val="es-ES"/>
        </w:rPr>
        <w:t xml:space="preserve">anables en su proceso de formación mediante la sentencia C-294 de 2024. </w:t>
      </w:r>
    </w:p>
    <w:p w:rsidR="00B71F35" w:rsidRPr="002A793E" w:rsidRDefault="002A793E" w:rsidP="00B71F35">
      <w:pPr>
        <w:pStyle w:val="Prrafodelista"/>
        <w:ind w:left="0"/>
        <w:rPr>
          <w:rFonts w:ascii="Times New Roman" w:hAnsi="Times New Roman" w:cs="Times New Roman"/>
          <w:color w:val="000000" w:themeColor="text1"/>
          <w:sz w:val="28"/>
          <w:szCs w:val="28"/>
          <w:lang w:val="es-ES"/>
        </w:rPr>
      </w:pPr>
    </w:p>
    <w:p w:rsidR="00B71F35" w:rsidRPr="002A793E" w:rsidRDefault="002A793E" w:rsidP="001C5E22">
      <w:pPr>
        <w:pStyle w:val="Prrafodelista"/>
        <w:numPr>
          <w:ilvl w:val="0"/>
          <w:numId w:val="2"/>
        </w:numPr>
        <w:ind w:left="0" w:firstLine="0"/>
        <w:rPr>
          <w:rFonts w:ascii="Times New Roman" w:hAnsi="Times New Roman" w:cs="Times New Roman"/>
          <w:color w:val="000000" w:themeColor="text1"/>
          <w:sz w:val="28"/>
          <w:szCs w:val="28"/>
          <w:lang w:val="es-ES"/>
        </w:rPr>
      </w:pPr>
      <w:r w:rsidRPr="002A793E">
        <w:rPr>
          <w:rFonts w:ascii="Times New Roman" w:hAnsi="Times New Roman" w:cs="Times New Roman"/>
          <w:color w:val="000000" w:themeColor="text1"/>
          <w:sz w:val="28"/>
          <w:szCs w:val="28"/>
          <w:lang w:val="es-ES"/>
        </w:rPr>
        <w:t xml:space="preserve">Por lo tanto, dicha providencia </w:t>
      </w:r>
      <w:r w:rsidRPr="002A793E">
        <w:rPr>
          <w:rFonts w:ascii="Times New Roman" w:hAnsi="Times New Roman" w:cs="Times New Roman"/>
          <w:sz w:val="28"/>
          <w:szCs w:val="28"/>
          <w:lang w:val="es-ES"/>
        </w:rPr>
        <w:t xml:space="preserve">constituye cosa juzgada formal y absoluta frente a la demanda que ahora se examina. Así, existe identidad entre las normas acusadas en esta ocasión y </w:t>
      </w:r>
      <w:r w:rsidRPr="002A793E">
        <w:rPr>
          <w:rFonts w:ascii="Times New Roman" w:hAnsi="Times New Roman" w:cs="Times New Roman"/>
          <w:sz w:val="28"/>
          <w:szCs w:val="28"/>
          <w:lang w:val="es-ES"/>
        </w:rPr>
        <w:t>las declaradas inexequibles en la sentencia C-294 de 2024</w:t>
      </w:r>
      <w:r w:rsidRPr="002A793E">
        <w:rPr>
          <w:rFonts w:ascii="Times New Roman" w:hAnsi="Times New Roman" w:cs="Times New Roman"/>
          <w:sz w:val="28"/>
          <w:szCs w:val="28"/>
          <w:lang w:val="es-ES"/>
        </w:rPr>
        <w:t>, de forma tal que</w:t>
      </w:r>
      <w:r w:rsidRPr="002A793E">
        <w:rPr>
          <w:rFonts w:ascii="Times New Roman" w:hAnsi="Times New Roman" w:cs="Times New Roman"/>
          <w:sz w:val="28"/>
          <w:szCs w:val="28"/>
          <w:lang w:val="es-ES"/>
        </w:rPr>
        <w:t xml:space="preserve"> el</w:t>
      </w:r>
      <w:r w:rsidRPr="002A793E">
        <w:rPr>
          <w:rFonts w:ascii="Times New Roman" w:hAnsi="Times New Roman" w:cs="Times New Roman"/>
          <w:sz w:val="28"/>
          <w:szCs w:val="28"/>
          <w:lang w:val="es-ES"/>
        </w:rPr>
        <w:t xml:space="preserve"> </w:t>
      </w:r>
      <w:r w:rsidRPr="002A793E">
        <w:rPr>
          <w:rFonts w:ascii="Times New Roman" w:hAnsi="Times New Roman" w:cs="Times New Roman"/>
          <w:sz w:val="28"/>
          <w:szCs w:val="28"/>
          <w:shd w:val="clear" w:color="auto" w:fill="FFFFFF"/>
          <w:lang w:val="es-ES"/>
        </w:rPr>
        <w:t xml:space="preserve">numeral 6 </w:t>
      </w:r>
      <w:r w:rsidRPr="002A793E">
        <w:rPr>
          <w:rFonts w:ascii="Times New Roman" w:hAnsi="Times New Roman" w:cs="Times New Roman"/>
          <w:sz w:val="28"/>
          <w:szCs w:val="28"/>
          <w:shd w:val="clear" w:color="auto" w:fill="FFFFFF"/>
          <w:lang w:val="es-ES"/>
        </w:rPr>
        <w:t xml:space="preserve">(parcial) </w:t>
      </w:r>
      <w:r w:rsidRPr="002A793E">
        <w:rPr>
          <w:rFonts w:ascii="Times New Roman" w:hAnsi="Times New Roman" w:cs="Times New Roman"/>
          <w:sz w:val="28"/>
          <w:szCs w:val="28"/>
          <w:shd w:val="clear" w:color="auto" w:fill="FFFFFF"/>
          <w:lang w:val="es-ES"/>
        </w:rPr>
        <w:t>y el parágrafo 3 del artículo 61 de la Ley 2294 de 2023</w:t>
      </w:r>
      <w:r w:rsidRPr="002A793E">
        <w:rPr>
          <w:rFonts w:ascii="Times New Roman" w:hAnsi="Times New Roman" w:cs="Times New Roman"/>
          <w:sz w:val="28"/>
          <w:szCs w:val="28"/>
          <w:shd w:val="clear" w:color="auto" w:fill="FFFFFF"/>
          <w:lang w:val="es-ES"/>
        </w:rPr>
        <w:t xml:space="preserve"> </w:t>
      </w:r>
      <w:r w:rsidRPr="002A793E">
        <w:rPr>
          <w:rFonts w:ascii="Times New Roman" w:hAnsi="Times New Roman" w:cs="Times New Roman"/>
          <w:sz w:val="28"/>
          <w:szCs w:val="28"/>
          <w:shd w:val="clear" w:color="auto" w:fill="FFFFFF"/>
          <w:lang w:val="es-ES"/>
        </w:rPr>
        <w:t xml:space="preserve">ya no hacen parte </w:t>
      </w:r>
      <w:r w:rsidRPr="002A793E">
        <w:rPr>
          <w:rFonts w:ascii="Times New Roman" w:hAnsi="Times New Roman" w:cs="Times New Roman"/>
          <w:sz w:val="28"/>
          <w:szCs w:val="28"/>
          <w:shd w:val="clear" w:color="auto" w:fill="FFFFFF"/>
          <w:lang w:val="es-ES"/>
        </w:rPr>
        <w:t>del ordenamiento jurídico</w:t>
      </w:r>
      <w:r w:rsidRPr="002A793E">
        <w:rPr>
          <w:rFonts w:ascii="Times New Roman" w:hAnsi="Times New Roman" w:cs="Times New Roman"/>
          <w:sz w:val="28"/>
          <w:szCs w:val="28"/>
          <w:lang w:val="es-ES"/>
        </w:rPr>
        <w:t xml:space="preserve">. En consecuencia, la única opción válida es estarse a lo </w:t>
      </w:r>
      <w:r w:rsidRPr="002A793E">
        <w:rPr>
          <w:rFonts w:ascii="Times New Roman" w:hAnsi="Times New Roman" w:cs="Times New Roman"/>
          <w:sz w:val="28"/>
          <w:szCs w:val="28"/>
          <w:lang w:val="es-ES"/>
        </w:rPr>
        <w:t>resuelto en</w:t>
      </w:r>
      <w:r w:rsidRPr="002A793E">
        <w:rPr>
          <w:rFonts w:ascii="Times New Roman" w:hAnsi="Times New Roman" w:cs="Times New Roman"/>
          <w:sz w:val="28"/>
          <w:szCs w:val="28"/>
          <w:lang w:val="es-ES"/>
        </w:rPr>
        <w:t xml:space="preserve"> la sentencia C-294 de 2024</w:t>
      </w:r>
      <w:r w:rsidRPr="002A793E">
        <w:rPr>
          <w:rFonts w:ascii="Times New Roman" w:hAnsi="Times New Roman" w:cs="Times New Roman"/>
          <w:sz w:val="28"/>
          <w:szCs w:val="28"/>
          <w:lang w:val="es-ES"/>
        </w:rPr>
        <w:t xml:space="preserve">, pues la Corte no puede emitir un pronunciamiento distinto al </w:t>
      </w:r>
      <w:r w:rsidRPr="002A793E">
        <w:rPr>
          <w:rFonts w:ascii="Times New Roman" w:hAnsi="Times New Roman" w:cs="Times New Roman"/>
          <w:sz w:val="28"/>
          <w:szCs w:val="28"/>
          <w:lang w:val="es-ES"/>
        </w:rPr>
        <w:t>que previamente</w:t>
      </w:r>
      <w:r w:rsidRPr="002A793E">
        <w:rPr>
          <w:rFonts w:ascii="Times New Roman" w:hAnsi="Times New Roman" w:cs="Times New Roman"/>
          <w:sz w:val="28"/>
          <w:szCs w:val="28"/>
          <w:lang w:val="es-ES"/>
        </w:rPr>
        <w:t xml:space="preserve"> prof</w:t>
      </w:r>
      <w:r w:rsidRPr="002A793E">
        <w:rPr>
          <w:rFonts w:ascii="Times New Roman" w:hAnsi="Times New Roman" w:cs="Times New Roman"/>
          <w:sz w:val="28"/>
          <w:szCs w:val="28"/>
          <w:lang w:val="es-ES"/>
        </w:rPr>
        <w:t xml:space="preserve">irió. </w:t>
      </w:r>
    </w:p>
    <w:p w:rsidR="001C5E22" w:rsidRPr="002A793E" w:rsidRDefault="002A793E" w:rsidP="001C5E22">
      <w:pPr>
        <w:pStyle w:val="Prrafodelista"/>
        <w:rPr>
          <w:rFonts w:ascii="Times New Roman" w:hAnsi="Times New Roman" w:cs="Times New Roman"/>
          <w:color w:val="000000" w:themeColor="text1"/>
          <w:sz w:val="28"/>
          <w:szCs w:val="28"/>
          <w:lang w:val="es-ES"/>
        </w:rPr>
      </w:pPr>
    </w:p>
    <w:p w:rsidR="001C5E22" w:rsidRPr="002A793E" w:rsidRDefault="002A793E" w:rsidP="001C5E22">
      <w:pPr>
        <w:pStyle w:val="Prrafodelista"/>
        <w:numPr>
          <w:ilvl w:val="0"/>
          <w:numId w:val="1"/>
        </w:numPr>
        <w:rPr>
          <w:rFonts w:ascii="Times New Roman" w:hAnsi="Times New Roman" w:cs="Times New Roman"/>
          <w:b/>
          <w:bCs/>
          <w:color w:val="000000" w:themeColor="text1"/>
          <w:sz w:val="28"/>
          <w:szCs w:val="28"/>
          <w:lang w:val="es-ES"/>
        </w:rPr>
      </w:pPr>
      <w:r w:rsidRPr="002A793E">
        <w:rPr>
          <w:rFonts w:ascii="Times New Roman" w:hAnsi="Times New Roman" w:cs="Times New Roman"/>
          <w:b/>
          <w:bCs/>
          <w:color w:val="000000" w:themeColor="text1"/>
          <w:sz w:val="28"/>
          <w:szCs w:val="28"/>
          <w:lang w:val="es-ES"/>
        </w:rPr>
        <w:t>DECISIÓN</w:t>
      </w:r>
    </w:p>
    <w:p w:rsidR="001C5E22" w:rsidRPr="002A793E" w:rsidRDefault="002A793E" w:rsidP="001C5E22">
      <w:pPr>
        <w:autoSpaceDE w:val="0"/>
        <w:autoSpaceDN w:val="0"/>
        <w:adjustRightInd w:val="0"/>
        <w:spacing w:line="300" w:lineRule="atLeast"/>
        <w:rPr>
          <w:rFonts w:ascii="Times New Roman" w:hAnsi="Times New Roman" w:cs="Times New Roman"/>
          <w:sz w:val="28"/>
          <w:szCs w:val="28"/>
          <w:u w:color="0000FF"/>
          <w:lang w:val="es-ES" w:eastAsia="es-ES"/>
        </w:rPr>
      </w:pPr>
    </w:p>
    <w:p w:rsidR="001C5E22" w:rsidRPr="002A793E" w:rsidRDefault="002A793E" w:rsidP="001C5E22">
      <w:pPr>
        <w:autoSpaceDE w:val="0"/>
        <w:autoSpaceDN w:val="0"/>
        <w:adjustRightInd w:val="0"/>
        <w:spacing w:line="300" w:lineRule="atLeast"/>
        <w:rPr>
          <w:rFonts w:ascii="Times New Roman" w:hAnsi="Times New Roman" w:cs="Times New Roman"/>
          <w:sz w:val="28"/>
          <w:szCs w:val="28"/>
          <w:lang w:val="es-ES" w:eastAsia="es-ES"/>
        </w:rPr>
      </w:pPr>
      <w:r w:rsidRPr="002A793E">
        <w:rPr>
          <w:rFonts w:ascii="Times New Roman" w:hAnsi="Times New Roman" w:cs="Times New Roman"/>
          <w:sz w:val="28"/>
          <w:szCs w:val="28"/>
          <w:lang w:val="es-ES" w:eastAsia="es-ES"/>
        </w:rPr>
        <w:t xml:space="preserve">En mérito de lo expuesto, la Corte Constitucional de la República de Colombia, administrando justicia en nombre del </w:t>
      </w:r>
      <w:r w:rsidRPr="002A793E">
        <w:rPr>
          <w:rFonts w:ascii="Times New Roman" w:hAnsi="Times New Roman" w:cs="Times New Roman"/>
          <w:sz w:val="28"/>
          <w:szCs w:val="28"/>
          <w:lang w:val="es-ES" w:eastAsia="es-ES"/>
        </w:rPr>
        <w:t>pueblo y por mandato de la Constitución,</w:t>
      </w:r>
    </w:p>
    <w:p w:rsidR="001C5E22" w:rsidRPr="002A793E" w:rsidRDefault="002A793E" w:rsidP="001C5E22">
      <w:pPr>
        <w:autoSpaceDE w:val="0"/>
        <w:autoSpaceDN w:val="0"/>
        <w:adjustRightInd w:val="0"/>
        <w:spacing w:line="300" w:lineRule="atLeast"/>
        <w:rPr>
          <w:rFonts w:ascii="Times New Roman" w:hAnsi="Times New Roman" w:cs="Times New Roman"/>
          <w:sz w:val="28"/>
          <w:szCs w:val="28"/>
          <w:lang w:val="es-ES" w:eastAsia="es-ES"/>
        </w:rPr>
      </w:pPr>
    </w:p>
    <w:p w:rsidR="001C5E22" w:rsidRPr="002A793E" w:rsidRDefault="002A793E" w:rsidP="001C5E22">
      <w:pPr>
        <w:autoSpaceDE w:val="0"/>
        <w:autoSpaceDN w:val="0"/>
        <w:adjustRightInd w:val="0"/>
        <w:spacing w:line="300" w:lineRule="atLeast"/>
        <w:jc w:val="center"/>
        <w:rPr>
          <w:rFonts w:ascii="Times New Roman" w:hAnsi="Times New Roman" w:cs="Times New Roman"/>
          <w:sz w:val="28"/>
          <w:szCs w:val="28"/>
          <w:u w:color="0000FF"/>
          <w:lang w:val="es-ES" w:eastAsia="es-ES"/>
        </w:rPr>
      </w:pPr>
      <w:r w:rsidRPr="002A793E">
        <w:rPr>
          <w:rFonts w:ascii="Times New Roman" w:hAnsi="Times New Roman" w:cs="Times New Roman"/>
          <w:b/>
          <w:sz w:val="28"/>
          <w:szCs w:val="28"/>
          <w:lang w:val="es-ES" w:eastAsia="es-ES"/>
        </w:rPr>
        <w:t>RESUELVE:</w:t>
      </w:r>
    </w:p>
    <w:p w:rsidR="001C5E22" w:rsidRPr="002A793E" w:rsidRDefault="002A793E" w:rsidP="001C5E22">
      <w:pPr>
        <w:autoSpaceDE w:val="0"/>
        <w:autoSpaceDN w:val="0"/>
        <w:adjustRightInd w:val="0"/>
        <w:spacing w:line="300" w:lineRule="atLeast"/>
        <w:jc w:val="center"/>
        <w:rPr>
          <w:rFonts w:ascii="Times New Roman" w:hAnsi="Times New Roman" w:cs="Times New Roman"/>
          <w:sz w:val="28"/>
          <w:szCs w:val="28"/>
          <w:u w:color="0000FF"/>
          <w:lang w:val="es-ES" w:eastAsia="es-ES"/>
        </w:rPr>
      </w:pPr>
    </w:p>
    <w:p w:rsidR="00E26650" w:rsidRPr="002A793E" w:rsidRDefault="002A793E" w:rsidP="00E26650">
      <w:pPr>
        <w:spacing w:line="300" w:lineRule="atLeast"/>
        <w:rPr>
          <w:rFonts w:ascii="Times New Roman" w:hAnsi="Times New Roman" w:cs="Times New Roman"/>
          <w:color w:val="000000"/>
          <w:sz w:val="28"/>
          <w:szCs w:val="28"/>
          <w:shd w:val="clear" w:color="auto" w:fill="FFFFFF"/>
          <w:lang w:val="es-ES"/>
        </w:rPr>
      </w:pPr>
      <w:bookmarkStart w:id="9" w:name="_Hlk97730239"/>
      <w:r w:rsidRPr="002A793E">
        <w:rPr>
          <w:rFonts w:ascii="Times New Roman" w:hAnsi="Times New Roman" w:cs="Times New Roman"/>
          <w:b/>
          <w:sz w:val="28"/>
          <w:szCs w:val="28"/>
          <w:lang w:val="es-ES" w:eastAsia="es-ES"/>
        </w:rPr>
        <w:t>Único.</w:t>
      </w:r>
      <w:r w:rsidRPr="002A793E">
        <w:rPr>
          <w:rFonts w:ascii="Times New Roman" w:hAnsi="Times New Roman" w:cs="Times New Roman"/>
          <w:b/>
          <w:bCs/>
          <w:sz w:val="28"/>
          <w:szCs w:val="28"/>
          <w:lang w:val="es-ES"/>
        </w:rPr>
        <w:t xml:space="preserve"> </w:t>
      </w:r>
      <w:r w:rsidRPr="002A793E">
        <w:rPr>
          <w:rFonts w:ascii="Times New Roman" w:hAnsi="Times New Roman" w:cs="Times New Roman"/>
          <w:b/>
          <w:bCs/>
          <w:color w:val="000000"/>
          <w:sz w:val="28"/>
          <w:szCs w:val="28"/>
          <w:shd w:val="clear" w:color="auto" w:fill="FFFFFF"/>
          <w:lang w:val="es-ES"/>
        </w:rPr>
        <w:t>ESTARSE A LO RESUELTO</w:t>
      </w:r>
      <w:r w:rsidRPr="002A793E">
        <w:rPr>
          <w:rFonts w:ascii="Times New Roman" w:hAnsi="Times New Roman" w:cs="Times New Roman"/>
          <w:color w:val="000000"/>
          <w:sz w:val="28"/>
          <w:szCs w:val="28"/>
          <w:shd w:val="clear" w:color="auto" w:fill="FFFFFF"/>
          <w:lang w:val="es-ES"/>
        </w:rPr>
        <w:t xml:space="preserve"> en la Sentencia C-294 de 2024, que declaró la inexequibilidad del </w:t>
      </w:r>
      <w:r w:rsidRPr="002A793E">
        <w:rPr>
          <w:rFonts w:ascii="Times New Roman" w:hAnsi="Times New Roman" w:cs="Times New Roman"/>
          <w:sz w:val="28"/>
          <w:szCs w:val="28"/>
          <w:shd w:val="clear" w:color="auto" w:fill="FFFFFF"/>
          <w:lang w:val="es-ES"/>
        </w:rPr>
        <w:t>numeral 6 y del parágrafo 3 del artículo 61 de la Ley 2294 de 2023</w:t>
      </w:r>
      <w:r w:rsidRPr="002A793E">
        <w:rPr>
          <w:rFonts w:ascii="Times New Roman" w:hAnsi="Times New Roman" w:cs="Times New Roman"/>
          <w:color w:val="000000" w:themeColor="text1"/>
          <w:sz w:val="28"/>
          <w:szCs w:val="28"/>
          <w:lang w:val="es-ES"/>
        </w:rPr>
        <w:t xml:space="preserve"> “[p]or el cual se expide el Plan Nacional de Desarrollo 2022 – 2026 </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Colombia Potencia Mundial de la Vida</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themeColor="text1"/>
          <w:sz w:val="28"/>
          <w:szCs w:val="28"/>
          <w:lang w:val="es-ES"/>
        </w:rPr>
        <w:t>”</w:t>
      </w:r>
      <w:r w:rsidRPr="002A793E">
        <w:rPr>
          <w:rFonts w:ascii="Times New Roman" w:hAnsi="Times New Roman" w:cs="Times New Roman"/>
          <w:color w:val="000000"/>
          <w:sz w:val="28"/>
          <w:szCs w:val="28"/>
          <w:shd w:val="clear" w:color="auto" w:fill="FFFFFF"/>
          <w:lang w:val="es-ES"/>
        </w:rPr>
        <w:t>.</w:t>
      </w:r>
      <w:bookmarkEnd w:id="9"/>
    </w:p>
    <w:p w:rsidR="000E5B3A" w:rsidRPr="002A793E" w:rsidRDefault="002A793E" w:rsidP="00E26650">
      <w:pPr>
        <w:spacing w:line="300" w:lineRule="atLeast"/>
        <w:rPr>
          <w:rFonts w:ascii="Times New Roman" w:hAnsi="Times New Roman" w:cs="Times New Roman"/>
          <w:color w:val="000000"/>
          <w:sz w:val="28"/>
          <w:szCs w:val="28"/>
          <w:shd w:val="clear" w:color="auto" w:fill="FFFFFF"/>
          <w:lang w:val="es-ES"/>
        </w:rPr>
      </w:pPr>
    </w:p>
    <w:p w:rsidR="001C5E22" w:rsidRPr="002A793E" w:rsidRDefault="002A793E" w:rsidP="00E26650">
      <w:pPr>
        <w:spacing w:line="300" w:lineRule="atLeast"/>
        <w:rPr>
          <w:rFonts w:ascii="Times New Roman" w:hAnsi="Times New Roman" w:cs="Times New Roman"/>
          <w:sz w:val="28"/>
          <w:szCs w:val="28"/>
          <w:lang w:val="es-ES" w:eastAsia="es-ES"/>
        </w:rPr>
      </w:pPr>
      <w:r w:rsidRPr="002A793E">
        <w:rPr>
          <w:rFonts w:ascii="Times New Roman" w:hAnsi="Times New Roman" w:cs="Times New Roman"/>
          <w:sz w:val="28"/>
          <w:szCs w:val="28"/>
          <w:lang w:val="es-ES" w:eastAsia="es-ES"/>
        </w:rPr>
        <w:t>Notifíquese, comuníquese y cúmplase.</w:t>
      </w:r>
      <w:r w:rsidRPr="002A793E">
        <w:rPr>
          <w:rFonts w:ascii="Times New Roman" w:hAnsi="Times New Roman" w:cs="Times New Roman"/>
          <w:sz w:val="28"/>
          <w:szCs w:val="28"/>
          <w:lang w:val="es-ES" w:eastAsia="es-ES"/>
        </w:rPr>
        <w:t xml:space="preserve"> </w:t>
      </w:r>
    </w:p>
    <w:p w:rsidR="00327CF4" w:rsidRPr="002A793E" w:rsidRDefault="002A793E" w:rsidP="00E26650">
      <w:pPr>
        <w:spacing w:line="300" w:lineRule="atLeast"/>
        <w:rPr>
          <w:rFonts w:ascii="Times New Roman" w:hAnsi="Times New Roman" w:cs="Times New Roman"/>
          <w:color w:val="000000"/>
          <w:sz w:val="28"/>
          <w:szCs w:val="28"/>
          <w:shd w:val="clear" w:color="auto" w:fill="FFFFFF"/>
          <w:lang w:val="es-ES"/>
        </w:rPr>
      </w:pPr>
    </w:p>
    <w:p w:rsidR="00327CF4" w:rsidRPr="002A793E" w:rsidRDefault="002A793E" w:rsidP="00E26650">
      <w:pPr>
        <w:spacing w:line="300" w:lineRule="atLeast"/>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JOSE FERNANDO REYES CUARTAS</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Presidente</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NATALIA ÁNGEL CABO</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Magistrada</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JUAN CARLOS CORTÉS GONZÁLEZ</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Magistrado</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DIANA FAJARDO RIVERA</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Magistrada</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VLADIMIR FERNÁNDEZ ANDRADE</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Magistrado</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Con impedimento aceptado</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 xml:space="preserve">JORGE ENRIQUE IBÁÑEZ NAJAR </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Magistrado</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ANTONIO JOSÉ LIZARAZO OCAMPO</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Magistrado</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PAOLA ANDREA MENESES MOSQUERA</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Magistrada</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 xml:space="preserve">CRISTINA </w:t>
      </w:r>
      <w:r w:rsidRPr="002A793E">
        <w:rPr>
          <w:rFonts w:ascii="Times New Roman" w:hAnsi="Times New Roman" w:cs="Times New Roman"/>
          <w:color w:val="000000"/>
          <w:sz w:val="28"/>
          <w:szCs w:val="28"/>
          <w:shd w:val="clear" w:color="auto" w:fill="FFFFFF"/>
          <w:lang w:val="es-ES"/>
        </w:rPr>
        <w:t>PARDO SCHLESINGER</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Magistrada</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ANDREA LILIANA ROMERO LOPEZ</w:t>
      </w:r>
    </w:p>
    <w:p w:rsidR="00327CF4" w:rsidRPr="002A793E" w:rsidRDefault="002A793E" w:rsidP="00327CF4">
      <w:pPr>
        <w:spacing w:line="300" w:lineRule="atLeast"/>
        <w:jc w:val="center"/>
        <w:rPr>
          <w:rFonts w:ascii="Times New Roman" w:hAnsi="Times New Roman" w:cs="Times New Roman"/>
          <w:color w:val="000000"/>
          <w:sz w:val="28"/>
          <w:szCs w:val="28"/>
          <w:shd w:val="clear" w:color="auto" w:fill="FFFFFF"/>
          <w:lang w:val="es-ES"/>
        </w:rPr>
      </w:pPr>
      <w:r w:rsidRPr="002A793E">
        <w:rPr>
          <w:rFonts w:ascii="Times New Roman" w:hAnsi="Times New Roman" w:cs="Times New Roman"/>
          <w:color w:val="000000"/>
          <w:sz w:val="28"/>
          <w:szCs w:val="28"/>
          <w:shd w:val="clear" w:color="auto" w:fill="FFFFFF"/>
          <w:lang w:val="es-ES"/>
        </w:rPr>
        <w:t>Secretaria General</w:t>
      </w:r>
    </w:p>
    <w:sectPr w:rsidR="00327CF4" w:rsidRPr="002A793E">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A793E">
      <w:pPr>
        <w:spacing w:after="0" w:line="240" w:lineRule="auto"/>
      </w:pPr>
      <w:r>
        <w:separator/>
      </w:r>
    </w:p>
  </w:endnote>
  <w:endnote w:type="continuationSeparator" w:id="0">
    <w:p w:rsidR="00000000" w:rsidRDefault="002A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A793E">
      <w:pPr>
        <w:spacing w:after="0" w:line="240" w:lineRule="auto"/>
      </w:pPr>
      <w:r>
        <w:separator/>
      </w:r>
    </w:p>
  </w:footnote>
  <w:footnote w:type="continuationSeparator" w:id="0">
    <w:p w:rsidR="00000000" w:rsidRDefault="002A793E">
      <w:pPr>
        <w:spacing w:after="0" w:line="240" w:lineRule="auto"/>
      </w:pPr>
      <w:r>
        <w:continuationSeparator/>
      </w:r>
    </w:p>
  </w:footnote>
  <w:footnote w:id="1">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 xml:space="preserve">En la demanda y en el trámite de admisión los cargos se organizaron así: (a) la violación del derecho a la consulta previa de las comunidades indígenas, las comunidades negras, y las comunidades ROM y palenqueras; (b)  la violación del derecho de acceso a </w:t>
      </w:r>
      <w:r w:rsidRPr="0091500F">
        <w:rPr>
          <w:rFonts w:ascii="Times New Roman" w:hAnsi="Times New Roman" w:cs="Times New Roman"/>
          <w:lang w:val="es-ES"/>
        </w:rPr>
        <w:t>la administración de justicia, a la tutela judicial efectiva y a la propiedad privada; (c) la violación de la prohibición de regresividad de los derechos económicos, sociales y culturales; (d) la violación del principio de unidad de materia; y (e), la viol</w:t>
      </w:r>
      <w:r w:rsidRPr="0091500F">
        <w:rPr>
          <w:rFonts w:ascii="Times New Roman" w:hAnsi="Times New Roman" w:cs="Times New Roman"/>
          <w:lang w:val="es-ES"/>
        </w:rPr>
        <w:t>ación del principio de publicidad del trámite legislativo. Sin embargo, para mayor claridad en el examen de esta sentencia los cargos se reorganizarán en el siguiente orden: (i) cargo primero: la violación del principio de publicidad del trámite legislativ</w:t>
      </w:r>
      <w:r w:rsidRPr="0091500F">
        <w:rPr>
          <w:rFonts w:ascii="Times New Roman" w:hAnsi="Times New Roman" w:cs="Times New Roman"/>
          <w:lang w:val="es-ES"/>
        </w:rPr>
        <w:t xml:space="preserve">o; (ii) cargo segundo, </w:t>
      </w:r>
      <w:r w:rsidRPr="0091500F">
        <w:rPr>
          <w:rFonts w:ascii="Times New Roman" w:hAnsi="Times New Roman" w:cs="Times New Roman"/>
        </w:rPr>
        <w:t xml:space="preserve">la violación del principio de unidad de materia; (iii) cargo tercero, la violación del derecho de acceso a la administración de justicia, a la tutela judicial efectiva y a la propiedad privada; (iv) cargo cuarto,  la violación de la </w:t>
      </w:r>
      <w:r w:rsidRPr="0091500F">
        <w:rPr>
          <w:rFonts w:ascii="Times New Roman" w:hAnsi="Times New Roman" w:cs="Times New Roman"/>
        </w:rPr>
        <w:t>prohibición de regresividad de los derechos económicos, sociales y culturales; y (v) cargo quinto, la violación del derecho a la consulta previa de las comunidades indígenas, las comunidades negras, y las comunidades ROM y palenqueras.</w:t>
      </w:r>
    </w:p>
  </w:footnote>
  <w:footnote w:id="2">
    <w:p w:rsidR="002468C5" w:rsidRPr="0091500F" w:rsidRDefault="002A793E" w:rsidP="006B64AF">
      <w:pPr>
        <w:pStyle w:val="Textonotapie"/>
        <w:ind w:right="49"/>
        <w:rPr>
          <w:rFonts w:ascii="Times New Roman" w:hAnsi="Times New Roman" w:cs="Times New Roman"/>
        </w:rPr>
      </w:pPr>
      <w:r w:rsidRPr="0091500F">
        <w:rPr>
          <w:rStyle w:val="Refdenotaalpie"/>
          <w:rFonts w:ascii="Times New Roman" w:hAnsi="Times New Roman" w:cs="Times New Roman"/>
        </w:rPr>
        <w:footnoteRef/>
      </w:r>
      <w:r w:rsidRPr="0091500F">
        <w:rPr>
          <w:rFonts w:ascii="Times New Roman" w:hAnsi="Times New Roman" w:cs="Times New Roman"/>
        </w:rPr>
        <w:t xml:space="preserve"> Artículo 157 y 160</w:t>
      </w:r>
      <w:r w:rsidRPr="0091500F">
        <w:rPr>
          <w:rFonts w:ascii="Times New Roman" w:hAnsi="Times New Roman" w:cs="Times New Roman"/>
        </w:rPr>
        <w:t xml:space="preserve"> de la Constitución Política y Ley 5ª de 1992.</w:t>
      </w:r>
    </w:p>
  </w:footnote>
  <w:footnote w:id="3">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 xml:space="preserve">Artículo 158 de la Constitución Política. </w:t>
      </w:r>
    </w:p>
  </w:footnote>
  <w:footnote w:id="4">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Artículo 58 de la Constitución Política y artículos 8, 21 y 25 de la CADH.</w:t>
      </w:r>
    </w:p>
  </w:footnote>
  <w:footnote w:id="5">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Artículos 2.1 del Pacto Internacional de Derechos Económicos Sociales y Culturales (PI</w:t>
      </w:r>
      <w:r w:rsidRPr="0091500F">
        <w:rPr>
          <w:rFonts w:ascii="Times New Roman" w:hAnsi="Times New Roman" w:cs="Times New Roman"/>
        </w:rPr>
        <w:t>DESC), 1 del Protocolo Adicional a la Convención Americana sobre Derechos Económicos, Sociales y Culturales -Protocolo de San Salvador- y el artículo 26 de la CADH.</w:t>
      </w:r>
    </w:p>
  </w:footnote>
  <w:footnote w:id="6">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Artículos 58, 63 y 329 de la Constitución Política, el artículo 55 transitorio constitucio</w:t>
      </w:r>
      <w:r w:rsidRPr="0091500F">
        <w:rPr>
          <w:rFonts w:ascii="Times New Roman" w:hAnsi="Times New Roman" w:cs="Times New Roman"/>
        </w:rPr>
        <w:t>nal y el Convenio 169 de la OIT.</w:t>
      </w:r>
    </w:p>
  </w:footnote>
  <w:footnote w:id="7">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Artículo 339 de la Constitución Política.</w:t>
      </w:r>
    </w:p>
  </w:footnote>
  <w:footnote w:id="8">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Artículo 150.3 de la Constitución Política.</w:t>
      </w:r>
    </w:p>
  </w:footnote>
  <w:footnote w:id="9">
    <w:p w:rsidR="00531068" w:rsidRPr="0091500F" w:rsidRDefault="002A793E" w:rsidP="006B64AF">
      <w:pPr>
        <w:pStyle w:val="Textonotapie"/>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 xml:space="preserve">Folio </w:t>
      </w:r>
      <w:r w:rsidRPr="0091500F">
        <w:rPr>
          <w:rFonts w:ascii="Times New Roman" w:hAnsi="Times New Roman" w:cs="Times New Roman"/>
          <w:lang w:val="es-ES"/>
        </w:rPr>
        <w:t>33, auto de 2 de octubre de 2023. Expediente D-15481.</w:t>
      </w:r>
    </w:p>
  </w:footnote>
  <w:footnote w:id="10">
    <w:p w:rsidR="00D41BF5" w:rsidRPr="0091500F" w:rsidRDefault="002A793E" w:rsidP="006B64AF">
      <w:pPr>
        <w:pStyle w:val="Textonotapie"/>
        <w:rPr>
          <w:rFonts w:ascii="Times New Roman" w:hAnsi="Times New Roman" w:cs="Times New Roman"/>
          <w:lang w:val="es-ES_tradnl"/>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_tradnl"/>
        </w:rPr>
        <w:t>P</w:t>
      </w:r>
      <w:r w:rsidRPr="0091500F">
        <w:rPr>
          <w:rFonts w:ascii="Times New Roman" w:hAnsi="Times New Roman" w:cs="Times New Roman"/>
          <w:lang w:val="es-ES_tradnl"/>
        </w:rPr>
        <w:t>or lo tanto</w:t>
      </w:r>
      <w:r w:rsidRPr="0091500F">
        <w:rPr>
          <w:rFonts w:ascii="Times New Roman" w:hAnsi="Times New Roman" w:cs="Times New Roman"/>
          <w:lang w:val="es-ES_tradnl"/>
        </w:rPr>
        <w:t xml:space="preserve">, aunque la </w:t>
      </w:r>
      <w:r w:rsidRPr="0091500F">
        <w:rPr>
          <w:rFonts w:ascii="Times New Roman" w:hAnsi="Times New Roman" w:cs="Times New Roman"/>
          <w:lang w:val="es-ES_tradnl"/>
        </w:rPr>
        <w:t>magistrada sustanciadora</w:t>
      </w:r>
      <w:r w:rsidRPr="0091500F">
        <w:rPr>
          <w:rFonts w:ascii="Times New Roman" w:hAnsi="Times New Roman" w:cs="Times New Roman"/>
          <w:lang w:val="es-ES_tradnl"/>
        </w:rPr>
        <w:t xml:space="preserve"> admitió el cargo por la vulneración de los derechos de acceso a la administración de justicia, a la tutela judicial efectiva y a la propiedad privada frente a los terceros que no </w:t>
      </w:r>
      <w:r w:rsidRPr="0091500F">
        <w:rPr>
          <w:rFonts w:ascii="Times New Roman" w:hAnsi="Times New Roman" w:cs="Times New Roman"/>
          <w:lang w:val="es-ES_tradnl"/>
        </w:rPr>
        <w:t xml:space="preserve">hicieron </w:t>
      </w:r>
      <w:r w:rsidRPr="0091500F">
        <w:rPr>
          <w:rFonts w:ascii="Times New Roman" w:hAnsi="Times New Roman" w:cs="Times New Roman"/>
          <w:lang w:val="es-ES_tradnl"/>
        </w:rPr>
        <w:t xml:space="preserve">parte del procedimiento único, rechazó </w:t>
      </w:r>
      <w:r w:rsidRPr="0091500F">
        <w:rPr>
          <w:rFonts w:ascii="Times New Roman" w:hAnsi="Times New Roman" w:cs="Times New Roman"/>
          <w:lang w:val="es-ES_tradnl"/>
        </w:rPr>
        <w:t>el cuestionamiento en relaci</w:t>
      </w:r>
      <w:r w:rsidRPr="0091500F">
        <w:rPr>
          <w:rFonts w:ascii="Times New Roman" w:hAnsi="Times New Roman" w:cs="Times New Roman"/>
          <w:lang w:val="es-ES_tradnl"/>
        </w:rPr>
        <w:t>ón con</w:t>
      </w:r>
      <w:r w:rsidRPr="0091500F">
        <w:rPr>
          <w:rFonts w:ascii="Times New Roman" w:hAnsi="Times New Roman" w:cs="Times New Roman"/>
          <w:lang w:val="es-ES_tradnl"/>
        </w:rPr>
        <w:t xml:space="preserve"> las personas que s</w:t>
      </w:r>
      <w:r w:rsidRPr="0091500F">
        <w:rPr>
          <w:rFonts w:ascii="Times New Roman" w:hAnsi="Times New Roman" w:cs="Times New Roman"/>
          <w:lang w:val="es-ES_tradnl"/>
        </w:rPr>
        <w:t>í</w:t>
      </w:r>
      <w:r w:rsidRPr="0091500F">
        <w:rPr>
          <w:rFonts w:ascii="Times New Roman" w:hAnsi="Times New Roman" w:cs="Times New Roman"/>
          <w:lang w:val="es-ES_tradnl"/>
        </w:rPr>
        <w:t xml:space="preserve"> participa</w:t>
      </w:r>
      <w:r w:rsidRPr="0091500F">
        <w:rPr>
          <w:rFonts w:ascii="Times New Roman" w:hAnsi="Times New Roman" w:cs="Times New Roman"/>
          <w:lang w:val="es-ES_tradnl"/>
        </w:rPr>
        <w:t>ron</w:t>
      </w:r>
      <w:r w:rsidRPr="0091500F">
        <w:rPr>
          <w:rFonts w:ascii="Times New Roman" w:hAnsi="Times New Roman" w:cs="Times New Roman"/>
          <w:lang w:val="es-ES_tradnl"/>
        </w:rPr>
        <w:t xml:space="preserve"> en </w:t>
      </w:r>
      <w:r w:rsidRPr="0091500F">
        <w:rPr>
          <w:rFonts w:ascii="Times New Roman" w:hAnsi="Times New Roman" w:cs="Times New Roman"/>
          <w:lang w:val="es-ES_tradnl"/>
        </w:rPr>
        <w:t>él</w:t>
      </w:r>
      <w:r w:rsidRPr="0091500F">
        <w:rPr>
          <w:rFonts w:ascii="Times New Roman" w:hAnsi="Times New Roman" w:cs="Times New Roman"/>
          <w:lang w:val="es-ES_tradnl"/>
        </w:rPr>
        <w:t xml:space="preserve">. En efecto, a su juicio, de la interpretación sistemática de los incisos 2 y 3 del numeral 6 del artículo 61 de la Ley 2294 de 2023 y de la remisión </w:t>
      </w:r>
      <w:r w:rsidRPr="0091500F">
        <w:rPr>
          <w:rFonts w:ascii="Times New Roman" w:hAnsi="Times New Roman" w:cs="Times New Roman"/>
          <w:lang w:val="es-ES_tradnl"/>
        </w:rPr>
        <w:t>contenida en</w:t>
      </w:r>
      <w:r w:rsidRPr="0091500F">
        <w:rPr>
          <w:rFonts w:ascii="Times New Roman" w:hAnsi="Times New Roman" w:cs="Times New Roman"/>
          <w:lang w:val="es-ES_tradnl"/>
        </w:rPr>
        <w:t xml:space="preserve"> dicho numeral al artículo 39 del Decreto Ley 902</w:t>
      </w:r>
      <w:r w:rsidRPr="0091500F">
        <w:rPr>
          <w:rFonts w:ascii="Times New Roman" w:hAnsi="Times New Roman" w:cs="Times New Roman"/>
          <w:lang w:val="es-ES_tradnl"/>
        </w:rPr>
        <w:t xml:space="preserve"> de 2017, quienes sí </w:t>
      </w:r>
      <w:r w:rsidRPr="0091500F">
        <w:rPr>
          <w:rFonts w:ascii="Times New Roman" w:hAnsi="Times New Roman" w:cs="Times New Roman"/>
          <w:lang w:val="es-ES_tradnl"/>
        </w:rPr>
        <w:t>fueron</w:t>
      </w:r>
      <w:r w:rsidRPr="0091500F">
        <w:rPr>
          <w:rFonts w:ascii="Times New Roman" w:hAnsi="Times New Roman" w:cs="Times New Roman"/>
          <w:lang w:val="es-ES_tradnl"/>
        </w:rPr>
        <w:t xml:space="preserve"> parte del procedimiento único c</w:t>
      </w:r>
      <w:r w:rsidRPr="0091500F">
        <w:rPr>
          <w:rFonts w:ascii="Times New Roman" w:hAnsi="Times New Roman" w:cs="Times New Roman"/>
          <w:lang w:val="es-ES_tradnl"/>
        </w:rPr>
        <w:t>uentan</w:t>
      </w:r>
      <w:r w:rsidRPr="0091500F">
        <w:rPr>
          <w:rFonts w:ascii="Times New Roman" w:hAnsi="Times New Roman" w:cs="Times New Roman"/>
          <w:lang w:val="es-ES_tradnl"/>
        </w:rPr>
        <w:t xml:space="preserve"> </w:t>
      </w:r>
      <w:r w:rsidRPr="0091500F">
        <w:rPr>
          <w:rFonts w:ascii="Times New Roman" w:hAnsi="Times New Roman" w:cs="Times New Roman"/>
        </w:rPr>
        <w:t>con la acción de nulidad agraria, por lo que</w:t>
      </w:r>
      <w:r w:rsidRPr="0091500F">
        <w:rPr>
          <w:rFonts w:ascii="Times New Roman" w:hAnsi="Times New Roman" w:cs="Times New Roman"/>
        </w:rPr>
        <w:t xml:space="preserve"> </w:t>
      </w:r>
      <w:r w:rsidRPr="0091500F">
        <w:rPr>
          <w:rFonts w:ascii="Times New Roman" w:hAnsi="Times New Roman" w:cs="Times New Roman"/>
        </w:rPr>
        <w:t>no resultaba clara la vulneración de los derechos fundamentales</w:t>
      </w:r>
      <w:r w:rsidRPr="0091500F">
        <w:rPr>
          <w:rFonts w:ascii="Times New Roman" w:hAnsi="Times New Roman" w:cs="Times New Roman"/>
        </w:rPr>
        <w:t xml:space="preserve"> alegada por el accionante</w:t>
      </w:r>
      <w:r w:rsidRPr="0091500F">
        <w:rPr>
          <w:rFonts w:ascii="Times New Roman" w:hAnsi="Times New Roman" w:cs="Times New Roman"/>
        </w:rPr>
        <w:t xml:space="preserve">. </w:t>
      </w:r>
    </w:p>
  </w:footnote>
  <w:footnote w:id="11">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Igualmente, en auto del 02 de octubre del 2023, la </w:t>
      </w:r>
      <w:r w:rsidRPr="0091500F">
        <w:rPr>
          <w:rFonts w:ascii="Times New Roman" w:hAnsi="Times New Roman" w:cs="Times New Roman"/>
        </w:rPr>
        <w:t>magistrada sustanciadora decidió negar la solicitud de suspensión provisional del artículo 61 (parcial) de la Ley 2294 de 2023, formulada en el proceso D-15481.</w:t>
      </w:r>
    </w:p>
  </w:footnote>
  <w:footnote w:id="12">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En informe secretarial del 5 de diciembre de 2023, se precisó que el auto 2756 de 2023 se not</w:t>
      </w:r>
      <w:r w:rsidRPr="0091500F">
        <w:rPr>
          <w:rFonts w:ascii="Times New Roman" w:hAnsi="Times New Roman" w:cs="Times New Roman"/>
          <w:lang w:val="es-ES"/>
        </w:rPr>
        <w:t>ificó por estado el 29 de noviembre de 2023 y el término de ejecutoria transcurrió los días 30 de noviembre, y 1 y 4 de diciembre de 2023.</w:t>
      </w:r>
    </w:p>
  </w:footnote>
  <w:footnote w:id="13">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Diario Oficial No. 52.400 de 19 de mayo de 2023.</w:t>
      </w:r>
    </w:p>
  </w:footnote>
  <w:footnote w:id="14">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Para demostrar el examen más estricto hizo referencia a l</w:t>
      </w:r>
      <w:r w:rsidRPr="0091500F">
        <w:rPr>
          <w:rFonts w:ascii="Times New Roman" w:eastAsia="Times New Roman" w:hAnsi="Times New Roman" w:cs="Times New Roman"/>
          <w:bCs/>
          <w:lang w:eastAsia="es-ES"/>
        </w:rPr>
        <w:t xml:space="preserve">a </w:t>
      </w:r>
      <w:r w:rsidRPr="0091500F">
        <w:rPr>
          <w:rFonts w:ascii="Times New Roman" w:eastAsia="Times New Roman" w:hAnsi="Times New Roman" w:cs="Times New Roman"/>
          <w:bCs/>
          <w:lang w:eastAsia="es-ES"/>
        </w:rPr>
        <w:t>sentencia C-325 de 2022.</w:t>
      </w:r>
    </w:p>
  </w:footnote>
  <w:footnote w:id="15">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 xml:space="preserve">En este punto, el demandante </w:t>
      </w:r>
      <w:bookmarkStart w:id="8" w:name="_Hlk163497532"/>
      <w:r w:rsidRPr="0091500F">
        <w:rPr>
          <w:rFonts w:ascii="Times New Roman" w:hAnsi="Times New Roman" w:cs="Times New Roman"/>
          <w:lang w:val="es-ES"/>
        </w:rPr>
        <w:t>agregó que solo ante circunstancias excepcionales como sucedió con la pandemia Covid-19 se matizó el deber de información sobre la publicación de las proposiciones en la página web y estas circunstanc</w:t>
      </w:r>
      <w:r w:rsidRPr="0091500F">
        <w:rPr>
          <w:rFonts w:ascii="Times New Roman" w:hAnsi="Times New Roman" w:cs="Times New Roman"/>
          <w:lang w:val="es-ES"/>
        </w:rPr>
        <w:t>ias excepcionales no concurren en el presente asunto. Sentencia C-109 de 2023.</w:t>
      </w:r>
    </w:p>
    <w:bookmarkEnd w:id="8"/>
  </w:footnote>
  <w:footnote w:id="16">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Artículo 1 de la Ley 2294 de 2023.</w:t>
      </w:r>
    </w:p>
  </w:footnote>
  <w:footnote w:id="17">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Artículo 2 de la Ley 2294 de 2023.</w:t>
      </w:r>
    </w:p>
  </w:footnote>
  <w:footnote w:id="18">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Artículo 4 de la Ley 2294 de 2023.</w:t>
      </w:r>
    </w:p>
  </w:footnote>
  <w:footnote w:id="19">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Página 39 del documento Bases del PND 2022-2026.</w:t>
      </w:r>
    </w:p>
  </w:footnote>
  <w:footnote w:id="20">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Página 43 del</w:t>
      </w:r>
      <w:r w:rsidRPr="0091500F">
        <w:rPr>
          <w:rFonts w:ascii="Times New Roman" w:hAnsi="Times New Roman" w:cs="Times New Roman"/>
          <w:lang w:val="es-ES"/>
        </w:rPr>
        <w:t xml:space="preserve"> documento Bases del PND 2022-2026.</w:t>
      </w:r>
    </w:p>
  </w:footnote>
  <w:footnote w:id="21">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1. (artículo 75 del Decreto Ley 902 de 2017).</w:t>
      </w:r>
    </w:p>
  </w:footnote>
  <w:footnote w:id="22">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Para el efecto citó la metodología definida en la sentencia C-028 de 2018.</w:t>
      </w:r>
    </w:p>
  </w:footnote>
  <w:footnote w:id="23">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 xml:space="preserve">Sentencias C-415 de 2022 y C-030 de 2020. </w:t>
      </w:r>
    </w:p>
  </w:footnote>
  <w:footnote w:id="24">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
        </w:rPr>
        <w:t>Intervención presentada por Guillermo Herrera Ca</w:t>
      </w:r>
      <w:r w:rsidRPr="0091500F">
        <w:rPr>
          <w:rFonts w:ascii="Times New Roman" w:hAnsi="Times New Roman" w:cs="Times New Roman"/>
          <w:lang w:val="es-ES"/>
        </w:rPr>
        <w:t>staño en su calidad de presidente ejecutivo de Camacol.</w:t>
      </w:r>
    </w:p>
  </w:footnote>
  <w:footnote w:id="25">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En esta sentencia se estudió un trámite de revocatoria directa de 62 resoluciones de adjudicación de baldíos que se había extendido por más de 14 años, sin que a esa fecha se hubiesen resuelto de fo</w:t>
      </w:r>
      <w:r w:rsidRPr="0091500F">
        <w:rPr>
          <w:rFonts w:ascii="Times New Roman" w:hAnsi="Times New Roman" w:cs="Times New Roman"/>
        </w:rPr>
        <w:t>ndo las situaciones jurídicas correspondientes.</w:t>
      </w:r>
    </w:p>
  </w:footnote>
  <w:footnote w:id="26">
    <w:p w:rsidR="002468C5" w:rsidRPr="0091500F" w:rsidRDefault="002A793E" w:rsidP="006B64AF">
      <w:pPr>
        <w:pStyle w:val="Textonotapie"/>
        <w:ind w:right="49"/>
        <w:rPr>
          <w:rFonts w:ascii="Times New Roman" w:hAnsi="Times New Roman" w:cs="Times New Roman"/>
          <w:lang w:val="es-ES"/>
        </w:rPr>
      </w:pPr>
      <w:r w:rsidRPr="0091500F">
        <w:rPr>
          <w:rStyle w:val="Refdenotaalpie"/>
          <w:rFonts w:ascii="Times New Roman" w:hAnsi="Times New Roman" w:cs="Times New Roman"/>
        </w:rPr>
        <w:footnoteRef/>
      </w:r>
      <w:r w:rsidRPr="0091500F">
        <w:rPr>
          <w:rFonts w:ascii="Times New Roman" w:hAnsi="Times New Roman" w:cs="Times New Roman"/>
        </w:rPr>
        <w:t xml:space="preserve"> Folio 17, intervención Ministerio de Agricultura y Desarrollo Rural.</w:t>
      </w:r>
    </w:p>
  </w:footnote>
  <w:footnote w:id="27">
    <w:p w:rsidR="002468C5" w:rsidRPr="0091500F" w:rsidRDefault="002A793E" w:rsidP="006B64AF">
      <w:pPr>
        <w:pStyle w:val="Textonotapie"/>
        <w:ind w:right="49"/>
        <w:rPr>
          <w:rFonts w:ascii="Times New Roman" w:hAnsi="Times New Roman" w:cs="Times New Roman"/>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_tradnl"/>
        </w:rPr>
        <w:t xml:space="preserve">Sin perjuicio de ello, la intervención señaló que una parte de la doctrina sí considera que dicho principio es predicable de todos los </w:t>
      </w:r>
      <w:r w:rsidRPr="0091500F">
        <w:rPr>
          <w:rFonts w:ascii="Times New Roman" w:hAnsi="Times New Roman" w:cs="Times New Roman"/>
          <w:lang w:val="es-ES_tradnl"/>
        </w:rPr>
        <w:t xml:space="preserve">derechos fundamentales y, para demostrarlo, citó las siguientes fuentes: </w:t>
      </w:r>
      <w:r w:rsidRPr="0091500F">
        <w:rPr>
          <w:rFonts w:ascii="Times New Roman" w:hAnsi="Times New Roman" w:cs="Times New Roman"/>
        </w:rPr>
        <w:t>Nikken, P. (2010). La protección de los Derechos Humanos: haciendo efectiva la progresividad de los derechos económicos, sociales y culturales; Christian Courtis (2006) Ni un paso atr</w:t>
      </w:r>
      <w:r w:rsidRPr="0091500F">
        <w:rPr>
          <w:rFonts w:ascii="Times New Roman" w:hAnsi="Times New Roman" w:cs="Times New Roman"/>
        </w:rPr>
        <w:t>ás: La prohibición de regresividad en materia de derechos sociales, Alexy (2009) Derechos sociales y ponderación y Juan Stinco (2019) El principio de progresividad en materia de derechos fundamentales.</w:t>
      </w:r>
    </w:p>
  </w:footnote>
  <w:footnote w:id="28">
    <w:p w:rsidR="00C413DE" w:rsidRPr="0091500F" w:rsidRDefault="002A793E" w:rsidP="006B64AF">
      <w:pPr>
        <w:pStyle w:val="Prrafodelista"/>
        <w:ind w:left="0"/>
        <w:rPr>
          <w:rFonts w:ascii="Times New Roman" w:hAnsi="Times New Roman" w:cs="Times New Roman"/>
          <w:bCs/>
          <w:sz w:val="20"/>
          <w:szCs w:val="20"/>
        </w:rPr>
      </w:pPr>
      <w:r w:rsidRPr="0091500F">
        <w:rPr>
          <w:rStyle w:val="Refdenotaalpie"/>
          <w:rFonts w:ascii="Times New Roman" w:hAnsi="Times New Roman" w:cs="Times New Roman"/>
          <w:sz w:val="20"/>
          <w:szCs w:val="20"/>
        </w:rPr>
        <w:footnoteRef/>
      </w:r>
      <w:r w:rsidRPr="0091500F">
        <w:rPr>
          <w:rFonts w:ascii="Times New Roman" w:hAnsi="Times New Roman" w:cs="Times New Roman"/>
          <w:sz w:val="20"/>
          <w:szCs w:val="20"/>
        </w:rPr>
        <w:t xml:space="preserve"> </w:t>
      </w:r>
      <w:r w:rsidRPr="0091500F">
        <w:rPr>
          <w:rFonts w:ascii="Times New Roman" w:hAnsi="Times New Roman" w:cs="Times New Roman"/>
          <w:sz w:val="20"/>
          <w:szCs w:val="20"/>
          <w:lang w:val="es-ES_tradnl"/>
        </w:rPr>
        <w:t xml:space="preserve">Por un lado, en el escrito de corrección, el </w:t>
      </w:r>
      <w:r w:rsidRPr="0091500F">
        <w:rPr>
          <w:rFonts w:ascii="Times New Roman" w:hAnsi="Times New Roman" w:cs="Times New Roman"/>
          <w:sz w:val="20"/>
          <w:szCs w:val="20"/>
          <w:lang w:val="es-ES_tradnl"/>
        </w:rPr>
        <w:t>accionante omitió explicar por qué el parágrafo 3 del artículo 61 acusado no tiene una relación directa con los objetivos, las metas, los planes y las estrategias del PND. Por otro lado, manifestó que la violación del principio de unidad de materia se fund</w:t>
      </w:r>
      <w:r w:rsidRPr="0091500F">
        <w:rPr>
          <w:rFonts w:ascii="Times New Roman" w:hAnsi="Times New Roman" w:cs="Times New Roman"/>
          <w:sz w:val="20"/>
          <w:szCs w:val="20"/>
          <w:lang w:val="es-ES_tradnl"/>
        </w:rPr>
        <w:t>amenta en la falta de conexidad entre las derogatorias establecidas en el artículo 61-6 demandado y los objetivos generales y las metas de la Ley 2294 de 2023.</w:t>
      </w:r>
      <w:r w:rsidRPr="0091500F">
        <w:rPr>
          <w:rFonts w:ascii="Times New Roman" w:hAnsi="Times New Roman" w:cs="Times New Roman"/>
          <w:bCs/>
          <w:sz w:val="20"/>
          <w:szCs w:val="20"/>
        </w:rPr>
        <w:t xml:space="preserve"> </w:t>
      </w:r>
    </w:p>
  </w:footnote>
  <w:footnote w:id="29">
    <w:p w:rsidR="00C413DE" w:rsidRPr="0091500F" w:rsidRDefault="002A793E" w:rsidP="006B64AF">
      <w:pPr>
        <w:pStyle w:val="Textonotapie"/>
        <w:ind w:right="49"/>
        <w:rPr>
          <w:rFonts w:ascii="Times New Roman" w:hAnsi="Times New Roman" w:cs="Times New Roman"/>
          <w:lang w:val="es-ES_tradnl"/>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_tradnl"/>
        </w:rPr>
        <w:t>La Presidencia citó varias sentencias sobre el contenido y el alcance del principio de public</w:t>
      </w:r>
      <w:r w:rsidRPr="0091500F">
        <w:rPr>
          <w:rFonts w:ascii="Times New Roman" w:hAnsi="Times New Roman" w:cs="Times New Roman"/>
          <w:lang w:val="es-ES_tradnl"/>
        </w:rPr>
        <w:t>idad (C-087 de 2016, C-168 de 2012 y C-013 de 1993); sobre la armonización de dicho principio con el de instrumentalidad de las formas (C-760 de 2001 y C-055 de 1995); sobre la importancia del principio de instrumentalidad de las formas (C-357 de 2012 y C-</w:t>
      </w:r>
      <w:r w:rsidRPr="0091500F">
        <w:rPr>
          <w:rFonts w:ascii="Times New Roman" w:hAnsi="Times New Roman" w:cs="Times New Roman"/>
          <w:lang w:val="es-ES_tradnl"/>
        </w:rPr>
        <w:t xml:space="preserve">481 de 2019) y sobre los medios válidos de publicación (C-084 de 2018). </w:t>
      </w:r>
    </w:p>
  </w:footnote>
  <w:footnote w:id="30">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En este acápite, la Sala Plena retomará las consideraciones generales establecidas en la sentencia C-147 de 2024 (M.P.: Natalia Ángel Cabo).</w:t>
      </w:r>
    </w:p>
  </w:footnote>
  <w:footnote w:id="31">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Constitución Política, art. 243. </w:t>
      </w:r>
    </w:p>
  </w:footnote>
  <w:footnote w:id="32">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Style w:val="Refdenotaalpie"/>
          <w:rFonts w:ascii="Times New Roman" w:hAnsi="Times New Roman" w:cs="Times New Roman"/>
          <w:color w:val="000000" w:themeColor="text1"/>
        </w:rPr>
        <w:t xml:space="preserve"> </w:t>
      </w:r>
      <w:r w:rsidRPr="0091500F">
        <w:rPr>
          <w:rFonts w:ascii="Times New Roman" w:hAnsi="Times New Roman" w:cs="Times New Roman"/>
          <w:color w:val="000000" w:themeColor="text1"/>
        </w:rPr>
        <w:t>Se</w:t>
      </w:r>
      <w:r w:rsidRPr="0091500F">
        <w:rPr>
          <w:rFonts w:ascii="Times New Roman" w:hAnsi="Times New Roman" w:cs="Times New Roman"/>
          <w:color w:val="000000" w:themeColor="text1"/>
        </w:rPr>
        <w:t>ntencia C-101 de 2022</w:t>
      </w:r>
      <w:r w:rsidRPr="0091500F">
        <w:rPr>
          <w:rFonts w:ascii="Times New Roman" w:hAnsi="Times New Roman" w:cs="Times New Roman"/>
          <w:color w:val="000000" w:themeColor="text1"/>
        </w:rPr>
        <w:t xml:space="preserve">. </w:t>
      </w:r>
    </w:p>
  </w:footnote>
  <w:footnote w:id="33">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En esa ocasión, esta Corporación estimó que, respecto a los cargos que admitió, había ausencia de cosa juzgada, a </w:t>
      </w:r>
      <w:r w:rsidRPr="0091500F">
        <w:rPr>
          <w:rFonts w:ascii="Times New Roman" w:hAnsi="Times New Roman" w:cs="Times New Roman"/>
          <w:color w:val="000000" w:themeColor="text1"/>
          <w:shd w:val="clear" w:color="auto" w:fill="FFFFFF"/>
        </w:rPr>
        <w:t>pesar</w:t>
      </w:r>
      <w:r w:rsidRPr="0091500F">
        <w:rPr>
          <w:rFonts w:ascii="Times New Roman" w:hAnsi="Times New Roman" w:cs="Times New Roman"/>
          <w:color w:val="000000" w:themeColor="text1"/>
        </w:rPr>
        <w:t xml:space="preserve"> de que en las sentencias C-891 de 2012 y C-045 de 2018, la Sala Plena estudió la conformidad de varios apartes del artículo 8 de la Ley 1421 de 2010 por medio de la cual se prorrogó la Ley 418 de 1997, relacionada con los instrumentos para la búsqueda de </w:t>
      </w:r>
      <w:r w:rsidRPr="0091500F">
        <w:rPr>
          <w:rFonts w:ascii="Times New Roman" w:hAnsi="Times New Roman" w:cs="Times New Roman"/>
          <w:color w:val="000000" w:themeColor="text1"/>
        </w:rPr>
        <w:t xml:space="preserve">la convivencia y la eficacia de la justicia. En efecto, las censuras que fueron objeto de admisión, relacionadas con la supuesta violación de los límites a la libertad de </w:t>
      </w:r>
      <w:r w:rsidRPr="0091500F">
        <w:rPr>
          <w:rFonts w:ascii="Times New Roman" w:hAnsi="Times New Roman" w:cs="Times New Roman"/>
          <w:color w:val="000000" w:themeColor="text1"/>
          <w:shd w:val="clear" w:color="auto" w:fill="FFFFFF"/>
        </w:rPr>
        <w:t>configuración</w:t>
      </w:r>
      <w:r w:rsidRPr="0091500F">
        <w:rPr>
          <w:rFonts w:ascii="Times New Roman" w:hAnsi="Times New Roman" w:cs="Times New Roman"/>
          <w:color w:val="000000" w:themeColor="text1"/>
        </w:rPr>
        <w:t xml:space="preserve"> legislativa en materia tributaria, no habían sido objeto de un pronunci</w:t>
      </w:r>
      <w:r w:rsidRPr="0091500F">
        <w:rPr>
          <w:rFonts w:ascii="Times New Roman" w:hAnsi="Times New Roman" w:cs="Times New Roman"/>
          <w:color w:val="000000" w:themeColor="text1"/>
        </w:rPr>
        <w:t>amiento de la Corte, pues (i) no guardaron identidad de objeto con la sentencia C-891 de 2012 y (ii) a pesar de que podían asimilarse a un argumento planteado por el demandante en la sentencia C-045 de 2018, en esa decisión la Corte se inhibió para proferi</w:t>
      </w:r>
      <w:r w:rsidRPr="0091500F">
        <w:rPr>
          <w:rFonts w:ascii="Times New Roman" w:hAnsi="Times New Roman" w:cs="Times New Roman"/>
          <w:color w:val="000000" w:themeColor="text1"/>
        </w:rPr>
        <w:t xml:space="preserve">r un fallo de fondo. </w:t>
      </w:r>
    </w:p>
  </w:footnote>
  <w:footnote w:id="34">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Por ejemplo, ver sentencias C-227 de 2023, C-233 de 2021, C-089 de 2020, C-519 de 2019, C-352 de 2017.</w:t>
      </w:r>
    </w:p>
  </w:footnote>
  <w:footnote w:id="35">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Por medio de esa sentencia, la Sala Plena declaró estarse a lo resuelto en la sentencia C-521 de 2019 y, en consecuencia, decla</w:t>
      </w:r>
      <w:r w:rsidRPr="0091500F">
        <w:rPr>
          <w:rFonts w:ascii="Times New Roman" w:hAnsi="Times New Roman" w:cs="Times New Roman"/>
          <w:color w:val="000000" w:themeColor="text1"/>
        </w:rPr>
        <w:t xml:space="preserve">rar exequible una expresión contenida en el inciso 1º del artículo 46 de la Ley 2010 de 2019, relacionada con </w:t>
      </w:r>
      <w:r w:rsidRPr="0091500F">
        <w:rPr>
          <w:rFonts w:ascii="Times New Roman" w:hAnsi="Times New Roman" w:cs="Times New Roman"/>
          <w:color w:val="000000" w:themeColor="text1"/>
          <w:shd w:val="clear" w:color="auto" w:fill="FFFFFF"/>
        </w:rPr>
        <w:t>medidas</w:t>
      </w:r>
      <w:r w:rsidRPr="0091500F">
        <w:rPr>
          <w:rFonts w:ascii="Times New Roman" w:hAnsi="Times New Roman" w:cs="Times New Roman"/>
          <w:color w:val="000000" w:themeColor="text1"/>
        </w:rPr>
        <w:t xml:space="preserve"> económicas. Así, esta Corporación concluyó que el demandante no cumplió las exigencias necesarias para reabrir el debate constitucional pl</w:t>
      </w:r>
      <w:r w:rsidRPr="0091500F">
        <w:rPr>
          <w:rFonts w:ascii="Times New Roman" w:hAnsi="Times New Roman" w:cs="Times New Roman"/>
          <w:color w:val="000000" w:themeColor="text1"/>
        </w:rPr>
        <w:t xml:space="preserve">anteado en la C-521 de 2019, de manera que operó el fenómeno de la cosa juzgada material en sentido amplio. </w:t>
      </w:r>
    </w:p>
  </w:footnote>
  <w:footnote w:id="36">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 </w:t>
      </w:r>
      <w:r w:rsidRPr="0091500F">
        <w:rPr>
          <w:rFonts w:ascii="Times New Roman" w:hAnsi="Times New Roman" w:cs="Times New Roman"/>
          <w:color w:val="000000" w:themeColor="text1"/>
          <w:shd w:val="clear" w:color="auto" w:fill="FFFFFF"/>
        </w:rPr>
        <w:t xml:space="preserve">C-153 de 2002, reiterada en la </w:t>
      </w:r>
      <w:r w:rsidRPr="0091500F">
        <w:rPr>
          <w:rFonts w:ascii="Times New Roman" w:hAnsi="Times New Roman" w:cs="Times New Roman"/>
          <w:color w:val="000000" w:themeColor="text1"/>
        </w:rPr>
        <w:t xml:space="preserve">C-039 de 2021, entre muchas otras. En esa ocasión, la Corte se estuvo a lo resuelto en la C-474 de 1994 </w:t>
      </w:r>
      <w:r w:rsidRPr="0091500F">
        <w:rPr>
          <w:rFonts w:ascii="Times New Roman" w:hAnsi="Times New Roman" w:cs="Times New Roman"/>
          <w:color w:val="000000" w:themeColor="text1"/>
        </w:rPr>
        <w:t xml:space="preserve">y declaró la exequibilidad del artículo 35 de la Ley 1 de 1991, luego de concluir que operó la cosa juzgada constitucional absoluta. </w:t>
      </w:r>
    </w:p>
  </w:footnote>
  <w:footnote w:id="37">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Style w:val="Refdenotaalpie"/>
          <w:rFonts w:ascii="Times New Roman" w:hAnsi="Times New Roman" w:cs="Times New Roman"/>
          <w:color w:val="000000" w:themeColor="text1"/>
        </w:rPr>
        <w:t xml:space="preserve"> </w:t>
      </w:r>
      <w:r w:rsidRPr="0091500F">
        <w:rPr>
          <w:rFonts w:ascii="Times New Roman" w:hAnsi="Times New Roman" w:cs="Times New Roman"/>
          <w:color w:val="000000" w:themeColor="text1"/>
        </w:rPr>
        <w:t xml:space="preserve">Ibidem. </w:t>
      </w:r>
    </w:p>
  </w:footnote>
  <w:footnote w:id="38">
    <w:p w:rsidR="0055442A" w:rsidRPr="0091500F" w:rsidRDefault="002A793E">
      <w:pPr>
        <w:pStyle w:val="Textonotapie"/>
        <w:rPr>
          <w:rFonts w:ascii="Times New Roman" w:hAnsi="Times New Roman" w:cs="Times New Roman"/>
          <w:lang w:val="es-ES_tradnl"/>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_tradnl"/>
        </w:rPr>
        <w:t xml:space="preserve">Sentencia C-518 de 2023, entre muchas otras. </w:t>
      </w:r>
    </w:p>
  </w:footnote>
  <w:footnote w:id="39">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Sentencias C-237A de 2022 y C-039 de 2021.</w:t>
      </w:r>
    </w:p>
  </w:footnote>
  <w:footnote w:id="40">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Style w:val="Refdenotaalpie"/>
          <w:rFonts w:ascii="Times New Roman" w:hAnsi="Times New Roman" w:cs="Times New Roman"/>
          <w:color w:val="000000" w:themeColor="text1"/>
        </w:rPr>
        <w:t xml:space="preserve"> </w:t>
      </w:r>
      <w:r w:rsidRPr="0091500F">
        <w:rPr>
          <w:rFonts w:ascii="Times New Roman" w:hAnsi="Times New Roman" w:cs="Times New Roman"/>
          <w:color w:val="000000" w:themeColor="text1"/>
        </w:rPr>
        <w:t xml:space="preserve">Sentencia </w:t>
      </w:r>
      <w:r w:rsidRPr="0091500F">
        <w:rPr>
          <w:rFonts w:ascii="Times New Roman" w:hAnsi="Times New Roman" w:cs="Times New Roman"/>
          <w:color w:val="000000" w:themeColor="text1"/>
          <w:shd w:val="clear" w:color="auto" w:fill="FFFFFF"/>
        </w:rPr>
        <w:t xml:space="preserve">C-774 </w:t>
      </w:r>
      <w:r w:rsidRPr="0091500F">
        <w:rPr>
          <w:rFonts w:ascii="Times New Roman" w:hAnsi="Times New Roman" w:cs="Times New Roman"/>
          <w:color w:val="000000" w:themeColor="text1"/>
          <w:shd w:val="clear" w:color="auto" w:fill="FFFFFF"/>
        </w:rPr>
        <w:t xml:space="preserve">de 2001 (reiterada en la C-039 de 2021, entre muchas otras). En esa oportunidad, la Corte Constitucional se estuvo a lo resuelto en las sentencias C-150 de 1993, C-106 de 1994, C-327 de 1997, C-716 de 1998 y C-392 de 2000, en relación con varios artículos </w:t>
      </w:r>
      <w:r w:rsidRPr="0091500F">
        <w:rPr>
          <w:rFonts w:ascii="Times New Roman" w:hAnsi="Times New Roman" w:cs="Times New Roman"/>
          <w:color w:val="000000" w:themeColor="text1"/>
          <w:shd w:val="clear" w:color="auto" w:fill="FFFFFF"/>
        </w:rPr>
        <w:t xml:space="preserve">del Código de Procedimiento Penal. </w:t>
      </w:r>
    </w:p>
  </w:footnote>
  <w:footnote w:id="41">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Style w:val="Refdenotaalpie"/>
          <w:rFonts w:ascii="Times New Roman" w:hAnsi="Times New Roman" w:cs="Times New Roman"/>
          <w:color w:val="000000" w:themeColor="text1"/>
        </w:rPr>
        <w:t xml:space="preserve"> </w:t>
      </w:r>
      <w:r w:rsidRPr="0091500F">
        <w:rPr>
          <w:rFonts w:ascii="Times New Roman" w:hAnsi="Times New Roman" w:cs="Times New Roman"/>
          <w:color w:val="000000" w:themeColor="text1"/>
        </w:rPr>
        <w:t xml:space="preserve">Sentencia C-039 de 2021, antes mencionada.  </w:t>
      </w:r>
    </w:p>
  </w:footnote>
  <w:footnote w:id="42">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En la sentencia C-489 de 2009, la Sala plena recordó que los efectos de la cosa juzgada de las decisiones de inexequibilidad y exequibilidad no son iguales. En las sentenc</w:t>
      </w:r>
      <w:r w:rsidRPr="0091500F">
        <w:rPr>
          <w:rFonts w:ascii="Times New Roman" w:hAnsi="Times New Roman" w:cs="Times New Roman"/>
          <w:color w:val="000000" w:themeColor="text1"/>
        </w:rPr>
        <w:t>ias C-259 de 2008 y C-211 de 2003, la Corte al recordar la sentencia C-310 de 2002, precisó que el efecto de la cosa juzgada material depende de si la norma es declarada inexequible o exequible. Las sentencias C-200 de 2019 y C-007 de 2016 reiteraron la re</w:t>
      </w:r>
      <w:r w:rsidRPr="0091500F">
        <w:rPr>
          <w:rFonts w:ascii="Times New Roman" w:hAnsi="Times New Roman" w:cs="Times New Roman"/>
          <w:color w:val="000000" w:themeColor="text1"/>
        </w:rPr>
        <w:t>gla de que estos efectos diferenciados recaen sobre la cosa juzgada material.</w:t>
      </w:r>
      <w:r w:rsidRPr="0091500F">
        <w:rPr>
          <w:rFonts w:ascii="Times New Roman" w:hAnsi="Times New Roman" w:cs="Times New Roman"/>
          <w:color w:val="000000" w:themeColor="text1"/>
        </w:rPr>
        <w:t xml:space="preserve"> </w:t>
      </w:r>
    </w:p>
  </w:footnote>
  <w:footnote w:id="43">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 C-489 de 2009.</w:t>
      </w:r>
    </w:p>
  </w:footnote>
  <w:footnote w:id="44">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Sentencias C-083 de 2022, C-200 de 2019 y C-007 de 2016.</w:t>
      </w:r>
    </w:p>
  </w:footnote>
  <w:footnote w:id="45">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Ibid.</w:t>
      </w:r>
      <w:r w:rsidRPr="0091500F">
        <w:rPr>
          <w:rFonts w:ascii="Times New Roman" w:hAnsi="Times New Roman" w:cs="Times New Roman"/>
          <w:color w:val="000000" w:themeColor="text1"/>
        </w:rPr>
        <w:t xml:space="preserve"> </w:t>
      </w:r>
      <w:r w:rsidRPr="0091500F">
        <w:rPr>
          <w:rFonts w:ascii="Times New Roman" w:hAnsi="Times New Roman" w:cs="Times New Roman"/>
          <w:color w:val="000000" w:themeColor="text1"/>
        </w:rPr>
        <w:t>Al respecto, en las sentencias C-200 de 2019 y C-007 de 2016, la Corte señaló que los supuestos que debilitan la cosa juzgada constitucional material también se aplican frente a la cosa juzgada formal, en virtud de la cláusula de Estado de Derecho y los pr</w:t>
      </w:r>
      <w:r w:rsidRPr="0091500F">
        <w:rPr>
          <w:rFonts w:ascii="Times New Roman" w:hAnsi="Times New Roman" w:cs="Times New Roman"/>
          <w:color w:val="000000" w:themeColor="text1"/>
        </w:rPr>
        <w:t xml:space="preserve">incipios de supremacía constitucional y democrático (artículos 1, 6, 4 y 3 de la Constitución). </w:t>
      </w:r>
    </w:p>
  </w:footnote>
  <w:footnote w:id="46">
    <w:p w:rsidR="003432E6" w:rsidRPr="0091500F" w:rsidRDefault="002A793E">
      <w:pPr>
        <w:pStyle w:val="Textonotapie"/>
        <w:rPr>
          <w:rFonts w:ascii="Times New Roman" w:hAnsi="Times New Roman" w:cs="Times New Roman"/>
          <w:lang w:val="es-ES_tradnl"/>
        </w:rPr>
      </w:pPr>
      <w:r w:rsidRPr="0091500F">
        <w:rPr>
          <w:rStyle w:val="Refdenotaalpie"/>
          <w:rFonts w:ascii="Times New Roman" w:hAnsi="Times New Roman" w:cs="Times New Roman"/>
        </w:rPr>
        <w:footnoteRef/>
      </w:r>
      <w:r w:rsidRPr="0091500F">
        <w:rPr>
          <w:rFonts w:ascii="Times New Roman" w:hAnsi="Times New Roman" w:cs="Times New Roman"/>
          <w:lang w:val="es-ES_tradnl"/>
        </w:rPr>
        <w:t xml:space="preserve"> En efecto, según la sentencia C-073 de 2014, reiterada en la sentencia C-039 de 2021, “la cosa juzgada material no puede ser decretada por un solo magistrado</w:t>
      </w:r>
      <w:r w:rsidRPr="0091500F">
        <w:rPr>
          <w:rFonts w:ascii="Times New Roman" w:hAnsi="Times New Roman" w:cs="Times New Roman"/>
          <w:lang w:val="es-ES_tradnl"/>
        </w:rPr>
        <w:t xml:space="preserve"> al momento de adelantar el control de admisibilidad de la demanda, ya que su conocimiento corresponde a la Sala plena por medio de sentencia”. </w:t>
      </w:r>
    </w:p>
  </w:footnote>
  <w:footnote w:id="47">
    <w:p w:rsidR="00AB2658" w:rsidRPr="0091500F" w:rsidRDefault="002A793E" w:rsidP="006B64AF">
      <w:pPr>
        <w:pStyle w:val="Textonotapie"/>
        <w:rPr>
          <w:rFonts w:ascii="Times New Roman" w:hAnsi="Times New Roman" w:cs="Times New Roman"/>
          <w:lang w:val="es-ES_tradnl"/>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_tradnl"/>
        </w:rPr>
        <w:t xml:space="preserve">Por el contrario, </w:t>
      </w:r>
      <w:r w:rsidRPr="0091500F">
        <w:rPr>
          <w:rFonts w:ascii="Times New Roman" w:hAnsi="Times New Roman" w:cs="Times New Roman"/>
          <w:lang w:val="es-ES_tradnl"/>
        </w:rPr>
        <w:t>si se configura una cosa juzgada material respecto de una sentencia previa de exequibilidad</w:t>
      </w:r>
      <w:r w:rsidRPr="0091500F">
        <w:rPr>
          <w:rFonts w:ascii="Times New Roman" w:hAnsi="Times New Roman" w:cs="Times New Roman"/>
          <w:lang w:val="es-ES_tradnl"/>
        </w:rPr>
        <w:t xml:space="preserve"> y se presenta alguna de las circunstancias que debilitan los efectos de la cosa juzgada, “las consideraciones de [dicho fallo] se erigen en un precedente relevante que la Corte puede seguir, disponiendo y declarando exequible la norma, o del que puede apa</w:t>
      </w:r>
      <w:r w:rsidRPr="0091500F">
        <w:rPr>
          <w:rFonts w:ascii="Times New Roman" w:hAnsi="Times New Roman" w:cs="Times New Roman"/>
          <w:lang w:val="es-ES_tradnl"/>
        </w:rPr>
        <w:t>rtarse con el deber de exponer razones suficientes que puedan justificar una decisión de inexequibilidad”</w:t>
      </w:r>
      <w:r w:rsidRPr="0091500F">
        <w:rPr>
          <w:rFonts w:ascii="Times New Roman" w:hAnsi="Times New Roman" w:cs="Times New Roman"/>
          <w:lang w:val="es-ES_tradnl"/>
        </w:rPr>
        <w:t xml:space="preserve"> (sentencia C-007 de 2016). </w:t>
      </w:r>
    </w:p>
    <w:p w:rsidR="003432E6" w:rsidRPr="0091500F" w:rsidRDefault="002A793E" w:rsidP="006B64AF">
      <w:pPr>
        <w:pStyle w:val="Textonotapie"/>
        <w:rPr>
          <w:rFonts w:ascii="Times New Roman" w:hAnsi="Times New Roman" w:cs="Times New Roman"/>
          <w:lang w:val="es-ES_tradnl"/>
        </w:rPr>
      </w:pPr>
      <w:r w:rsidRPr="0091500F">
        <w:rPr>
          <w:rFonts w:ascii="Times New Roman" w:hAnsi="Times New Roman" w:cs="Times New Roman"/>
          <w:lang w:val="es-ES_tradnl"/>
        </w:rPr>
        <w:t xml:space="preserve">Además, según la jurisprudencia constitucional, la “cosa juzgada material no puede ser decretada por un solo magistrado al momento de adelantar el control de admisibilidad de la demanda” (sentencia C-073 de 2014). </w:t>
      </w:r>
    </w:p>
  </w:footnote>
  <w:footnote w:id="48">
    <w:p w:rsidR="00B06BCA" w:rsidRPr="0091500F" w:rsidRDefault="002A793E" w:rsidP="00B06BCA">
      <w:pPr>
        <w:pStyle w:val="Textonotapie"/>
        <w:rPr>
          <w:rFonts w:ascii="Times New Roman" w:hAnsi="Times New Roman" w:cs="Times New Roman"/>
          <w:lang w:val="es-ES_tradnl"/>
        </w:rPr>
      </w:pPr>
      <w:r w:rsidRPr="0091500F">
        <w:rPr>
          <w:rStyle w:val="Refdenotaalpie"/>
          <w:rFonts w:ascii="Times New Roman" w:hAnsi="Times New Roman" w:cs="Times New Roman"/>
        </w:rPr>
        <w:footnoteRef/>
      </w:r>
      <w:r w:rsidRPr="0091500F">
        <w:rPr>
          <w:rFonts w:ascii="Times New Roman" w:hAnsi="Times New Roman" w:cs="Times New Roman"/>
        </w:rPr>
        <w:t xml:space="preserve"> </w:t>
      </w:r>
      <w:r w:rsidRPr="0091500F">
        <w:rPr>
          <w:rFonts w:ascii="Times New Roman" w:hAnsi="Times New Roman" w:cs="Times New Roman"/>
          <w:lang w:val="es-ES_tradnl"/>
        </w:rPr>
        <w:t>Al respecto, se pueden analizar las sen</w:t>
      </w:r>
      <w:r w:rsidRPr="0091500F">
        <w:rPr>
          <w:rFonts w:ascii="Times New Roman" w:hAnsi="Times New Roman" w:cs="Times New Roman"/>
          <w:lang w:val="es-ES_tradnl"/>
        </w:rPr>
        <w:t xml:space="preserve">tencias C-073 de 2014 y C-039 de 2021, entre otras. </w:t>
      </w:r>
    </w:p>
  </w:footnote>
  <w:footnote w:id="49">
    <w:p w:rsidR="00B06BCA" w:rsidRPr="0091500F" w:rsidRDefault="002A793E" w:rsidP="00B06BCA">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 C-489 de 2009.</w:t>
      </w:r>
    </w:p>
  </w:footnote>
  <w:footnote w:id="50">
    <w:p w:rsidR="00B06BCA" w:rsidRPr="0091500F" w:rsidRDefault="002A793E" w:rsidP="00B06BCA">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 C-290 de 2009.</w:t>
      </w:r>
    </w:p>
  </w:footnote>
  <w:footnote w:id="51">
    <w:p w:rsidR="00B06BCA" w:rsidRPr="0091500F" w:rsidRDefault="002A793E" w:rsidP="00B06BCA">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 C-311 de 2002.</w:t>
      </w:r>
    </w:p>
  </w:footnote>
  <w:footnote w:id="52">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 C-489 de 2009.</w:t>
      </w:r>
    </w:p>
  </w:footnote>
  <w:footnote w:id="53">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Serrano José Luis, Validez y Vigencia, la aportación garantista a la teoría de la norma juríd</w:t>
      </w:r>
      <w:r w:rsidRPr="0091500F">
        <w:rPr>
          <w:rFonts w:ascii="Times New Roman" w:hAnsi="Times New Roman" w:cs="Times New Roman"/>
          <w:color w:val="000000" w:themeColor="text1"/>
        </w:rPr>
        <w:t>ica, Editorial Trotta, Madrid, 1999, pp. 23 y 74. En igual sentido, sentencias C-383 de 2019, C-499 de 2023, entre otras.</w:t>
      </w:r>
    </w:p>
  </w:footnote>
  <w:footnote w:id="54">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 C-383 de 2022</w:t>
      </w:r>
      <w:r w:rsidRPr="0091500F">
        <w:rPr>
          <w:rFonts w:ascii="Times New Roman" w:hAnsi="Times New Roman" w:cs="Times New Roman"/>
          <w:color w:val="000000" w:themeColor="text1"/>
        </w:rPr>
        <w:t>.</w:t>
      </w:r>
    </w:p>
  </w:footnote>
  <w:footnote w:id="55">
    <w:p w:rsidR="00BA0A5C" w:rsidRPr="0091500F" w:rsidRDefault="002A793E" w:rsidP="006B64AF">
      <w:pPr>
        <w:pStyle w:val="Textonotapie"/>
        <w:ind w:right="49"/>
        <w:rPr>
          <w:rFonts w:ascii="Times New Roman" w:hAnsi="Times New Roman" w:cs="Times New Roman"/>
          <w:color w:val="000000" w:themeColor="text1"/>
        </w:rPr>
      </w:pPr>
      <w:r w:rsidRPr="0091500F">
        <w:rPr>
          <w:rFonts w:ascii="Times New Roman" w:hAnsi="Times New Roman" w:cs="Times New Roman"/>
          <w:color w:val="000000" w:themeColor="text1"/>
          <w:vertAlign w:val="superscript"/>
        </w:rPr>
        <w:footnoteRef/>
      </w:r>
      <w:r w:rsidRPr="0091500F">
        <w:rPr>
          <w:rFonts w:ascii="Times New Roman" w:hAnsi="Times New Roman" w:cs="Times New Roman"/>
          <w:color w:val="000000" w:themeColor="text1"/>
        </w:rPr>
        <w:t xml:space="preserve"> </w:t>
      </w:r>
      <w:r w:rsidRPr="0091500F">
        <w:rPr>
          <w:rFonts w:ascii="Times New Roman" w:hAnsi="Times New Roman" w:cs="Times New Roman"/>
          <w:color w:val="000000" w:themeColor="text1"/>
        </w:rPr>
        <w:t xml:space="preserve">Ibid. </w:t>
      </w:r>
    </w:p>
  </w:footnote>
  <w:footnote w:id="56">
    <w:p w:rsidR="002468C5" w:rsidRPr="0091500F" w:rsidRDefault="002A793E" w:rsidP="006B64AF">
      <w:pPr>
        <w:pStyle w:val="Textonotapie"/>
        <w:ind w:right="49"/>
        <w:rPr>
          <w:rFonts w:ascii="Times New Roman" w:hAnsi="Times New Roman" w:cs="Times New Roman"/>
          <w:color w:val="000000" w:themeColor="text1"/>
        </w:rPr>
      </w:pPr>
      <w:r w:rsidRPr="0091500F">
        <w:rPr>
          <w:rFonts w:ascii="Times New Roman" w:hAnsi="Times New Roman" w:cs="Times New Roman"/>
          <w:color w:val="000000" w:themeColor="text1"/>
          <w:vertAlign w:val="superscript"/>
        </w:rPr>
        <w:footnoteRef/>
      </w:r>
      <w:r w:rsidRPr="0091500F">
        <w:rPr>
          <w:rFonts w:ascii="Times New Roman" w:hAnsi="Times New Roman" w:cs="Times New Roman"/>
          <w:color w:val="000000" w:themeColor="text1"/>
        </w:rPr>
        <w:t xml:space="preserve"> Sentencia C-489 de 2009.</w:t>
      </w:r>
    </w:p>
  </w:footnote>
  <w:footnote w:id="57">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Sentencia C-113 de 2022.</w:t>
      </w:r>
    </w:p>
  </w:footnote>
  <w:footnote w:id="58">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En concreto, se trataba de los artículos 1°, 2°, 3°, 4°, 5°, 6°, 7°, 9°, 10, 11, 12 ,13, 14, 15, 16, 17, 18, 19, 20, 21, 22, 23, 24, 25 y 26 de la Ley 2098 de 2021.</w:t>
      </w:r>
    </w:p>
  </w:footnote>
  <w:footnote w:id="59">
    <w:p w:rsidR="002468C5"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En la, sentencia C-153 de 2022 se declaró inexequible el artículo 124 de la Ley 2159 de </w:t>
      </w:r>
      <w:r w:rsidRPr="0091500F">
        <w:rPr>
          <w:rFonts w:ascii="Times New Roman" w:hAnsi="Times New Roman" w:cs="Times New Roman"/>
          <w:color w:val="000000" w:themeColor="text1"/>
        </w:rPr>
        <w:t xml:space="preserve">2021 debido a la vulneración de los principios de reserva de ley y de unidad de materia. En la sentencia C-306 de 2022, se demandó esa misma norma por trasgredir los principios de consecutividad e identidad flexible y unidad materia. </w:t>
      </w:r>
    </w:p>
  </w:footnote>
  <w:footnote w:id="60">
    <w:p w:rsidR="00000926"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Ver la sentencia C-</w:t>
      </w:r>
      <w:r w:rsidRPr="0091500F">
        <w:rPr>
          <w:rFonts w:ascii="Times New Roman" w:hAnsi="Times New Roman" w:cs="Times New Roman"/>
          <w:color w:val="000000" w:themeColor="text1"/>
        </w:rPr>
        <w:t>147 de 2022 en la cual se indicó lo siguiente sobre el alcance de esta categoría: “[u]na disposición o enunciado jurídico corresponde al texto en que una norma es formulada, tales como artículos, numerales o incisos, aunque estas formulaciones pueden encon</w:t>
      </w:r>
      <w:r w:rsidRPr="0091500F">
        <w:rPr>
          <w:rFonts w:ascii="Times New Roman" w:hAnsi="Times New Roman" w:cs="Times New Roman"/>
          <w:color w:val="000000" w:themeColor="text1"/>
        </w:rPr>
        <w:t>trarse también en fragmentos más pequeños de un texto normativo, como oraciones o palabras individuales, siempre que incidan en el sentido que se puede atribuir razonablemente a cada disposición”.</w:t>
      </w:r>
    </w:p>
  </w:footnote>
  <w:footnote w:id="61">
    <w:p w:rsidR="00A80B46" w:rsidRPr="0091500F" w:rsidRDefault="002A793E" w:rsidP="006B64AF">
      <w:pPr>
        <w:pStyle w:val="Textonotapie"/>
        <w:ind w:right="49"/>
        <w:rPr>
          <w:rFonts w:ascii="Times New Roman" w:hAnsi="Times New Roman" w:cs="Times New Roman"/>
          <w:color w:val="000000" w:themeColor="text1"/>
        </w:rPr>
      </w:pPr>
      <w:r w:rsidRPr="0091500F">
        <w:rPr>
          <w:rStyle w:val="Refdenotaalpie"/>
          <w:rFonts w:ascii="Times New Roman" w:hAnsi="Times New Roman" w:cs="Times New Roman"/>
          <w:color w:val="000000" w:themeColor="text1"/>
        </w:rPr>
        <w:footnoteRef/>
      </w:r>
      <w:r w:rsidRPr="0091500F">
        <w:rPr>
          <w:rFonts w:ascii="Times New Roman" w:hAnsi="Times New Roman" w:cs="Times New Roman"/>
          <w:color w:val="000000" w:themeColor="text1"/>
        </w:rPr>
        <w:t xml:space="preserve"> Ver la sentencia C-147 de 2022 en la cual se indicó que en la providencia </w:t>
      </w:r>
      <w:r w:rsidRPr="0091500F">
        <w:rPr>
          <w:rFonts w:ascii="Times New Roman" w:hAnsi="Times New Roman" w:cs="Times New Roman"/>
          <w:color w:val="000000" w:themeColor="text1"/>
          <w:lang w:val="es-ES_tradnl"/>
        </w:rPr>
        <w:t>C-312 de 2017, la Corte propuso la siguiente definición de las </w:t>
      </w:r>
      <w:r w:rsidRPr="0091500F">
        <w:rPr>
          <w:rFonts w:ascii="Times New Roman" w:hAnsi="Times New Roman" w:cs="Times New Roman"/>
          <w:i/>
          <w:iCs/>
          <w:color w:val="000000" w:themeColor="text1"/>
          <w:lang w:val="es-ES_tradnl"/>
        </w:rPr>
        <w:t>normas jurídicas</w:t>
      </w:r>
      <w:r w:rsidRPr="0091500F">
        <w:rPr>
          <w:rFonts w:ascii="Times New Roman" w:hAnsi="Times New Roman" w:cs="Times New Roman"/>
          <w:color w:val="000000" w:themeColor="text1"/>
          <w:lang w:val="es-ES_tradnl"/>
        </w:rPr>
        <w:t>: “Las normas, siguiendo con esta construcción, no son los textos legales sino su significado. Ese sig</w:t>
      </w:r>
      <w:r w:rsidRPr="0091500F">
        <w:rPr>
          <w:rFonts w:ascii="Times New Roman" w:hAnsi="Times New Roman" w:cs="Times New Roman"/>
          <w:color w:val="000000" w:themeColor="text1"/>
          <w:lang w:val="es-ES_tradnl"/>
        </w:rPr>
        <w:t>nificado, a su vez, solo puede hallarse por vía interpretativa y, en consecuencia, a un solo texto legal pueden atribuírsele (potencialmente) diversos contenidos normativos, según la forma en que cada intérprete les atribuye significado”.</w:t>
      </w:r>
    </w:p>
  </w:footnote>
  <w:footnote w:id="62">
    <w:p w:rsidR="002468C5" w:rsidRPr="006B64AF" w:rsidRDefault="002A793E" w:rsidP="006B64AF">
      <w:pPr>
        <w:pStyle w:val="Textonotapie"/>
        <w:ind w:right="49"/>
        <w:rPr>
          <w:rFonts w:ascii="Times New Roman" w:hAnsi="Times New Roman" w:cs="Times New Roman"/>
          <w:lang w:val="es-ES_tradnl"/>
        </w:rPr>
      </w:pPr>
      <w:r w:rsidRPr="0091500F">
        <w:rPr>
          <w:rStyle w:val="Refdenotaalpie"/>
          <w:rFonts w:ascii="Times New Roman" w:hAnsi="Times New Roman" w:cs="Times New Roman"/>
        </w:rPr>
        <w:footnoteRef/>
      </w:r>
      <w:r w:rsidRPr="0091500F">
        <w:rPr>
          <w:rFonts w:ascii="Times New Roman" w:hAnsi="Times New Roman" w:cs="Times New Roman"/>
        </w:rPr>
        <w:t xml:space="preserve"> Los cargos de f</w:t>
      </w:r>
      <w:r w:rsidRPr="0091500F">
        <w:rPr>
          <w:rFonts w:ascii="Times New Roman" w:hAnsi="Times New Roman" w:cs="Times New Roman"/>
        </w:rPr>
        <w:t>ondo fueron la presunta vulneración: (i) del principio de progresividad y no regresividad respecto del derecho fundamental al debido proceso, que se deriva del artículo 93 de la Constitución, del artículo 26 de la Convención Americana sobre Derechos Humano</w:t>
      </w:r>
      <w:r w:rsidRPr="0091500F">
        <w:rPr>
          <w:rFonts w:ascii="Times New Roman" w:hAnsi="Times New Roman" w:cs="Times New Roman"/>
        </w:rPr>
        <w:t>s ( en adelante CADH) y del artículo 1 del Protocolo adicional de la CADH y (ii) de la potestad judicial para suspender actos administrativos, conforme a lo estipulado en el artículo 238 de la Constitución.</w:t>
      </w:r>
      <w:r w:rsidRPr="006B64AF">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85925"/>
    <w:multiLevelType w:val="hybridMultilevel"/>
    <w:tmpl w:val="F35E2246"/>
    <w:lvl w:ilvl="0" w:tplc="EC9EFE8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6C93763"/>
    <w:multiLevelType w:val="multilevel"/>
    <w:tmpl w:val="B7F84B00"/>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26922F1"/>
    <w:multiLevelType w:val="hybridMultilevel"/>
    <w:tmpl w:val="E400538A"/>
    <w:lvl w:ilvl="0" w:tplc="E7A66CB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915C60"/>
    <w:multiLevelType w:val="multilevel"/>
    <w:tmpl w:val="B7F84B00"/>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2B067B9"/>
    <w:multiLevelType w:val="hybridMultilevel"/>
    <w:tmpl w:val="6BEE064A"/>
    <w:lvl w:ilvl="0" w:tplc="7C427D00">
      <w:start w:val="1"/>
      <w:numFmt w:val="upperRoman"/>
      <w:lvlText w:val="%1)"/>
      <w:lvlJc w:val="left"/>
      <w:pPr>
        <w:ind w:left="0" w:firstLine="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71587E07"/>
    <w:multiLevelType w:val="hybridMultilevel"/>
    <w:tmpl w:val="9DDC7310"/>
    <w:lvl w:ilvl="0" w:tplc="5A526B72">
      <w:start w:val="1"/>
      <w:numFmt w:val="decimal"/>
      <w:suff w:val="space"/>
      <w:lvlText w:val="%1."/>
      <w:lvlJc w:val="left"/>
      <w:pPr>
        <w:ind w:left="5038" w:hanging="360"/>
      </w:pPr>
      <w:rPr>
        <w:rFonts w:ascii="Times New Roman" w:hAnsi="Times New Roman" w:cs="Times New Roman" w:hint="default"/>
        <w:b w:val="0"/>
        <w:sz w:val="28"/>
        <w:szCs w:val="28"/>
        <w:vertAlign w:val="baseli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3B68"/>
    <w:rsid w:val="000F6B4C"/>
    <w:rsid w:val="002A793E"/>
    <w:rsid w:val="00D53B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3BAE627A-B7CE-4DA7-936C-37CF205F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F63475"/>
    <w:pPr>
      <w:spacing w:before="100" w:beforeAutospacing="1" w:after="100" w:afterAutospacing="1"/>
      <w:outlineLvl w:val="0"/>
    </w:pPr>
    <w:rPr>
      <w:rFonts w:ascii="Times New Roman" w:eastAsia="Times New Roman" w:hAnsi="Times New Roman" w:cs="Times New Roman"/>
      <w:b/>
      <w:bCs/>
      <w:kern w:val="36"/>
      <w:sz w:val="48"/>
      <w:szCs w:val="48"/>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2E35"/>
    <w:pPr>
      <w:tabs>
        <w:tab w:val="center" w:pos="4419"/>
        <w:tab w:val="right" w:pos="8838"/>
      </w:tabs>
    </w:pPr>
  </w:style>
  <w:style w:type="character" w:customStyle="1" w:styleId="EncabezadoCar">
    <w:name w:val="Encabezado Car"/>
    <w:basedOn w:val="Fuentedeprrafopredeter"/>
    <w:link w:val="Encabezado"/>
    <w:uiPriority w:val="99"/>
    <w:rsid w:val="00852E35"/>
    <w:rPr>
      <w:kern w:val="0"/>
    </w:rPr>
  </w:style>
  <w:style w:type="paragraph" w:styleId="Prrafodelista">
    <w:name w:val="List Paragraph"/>
    <w:aliases w:val="Colorful List - Accent 11,Ha,List Paragraph1,lp1,Lista vistosa - Énfasis 11,List Paragraph2,List1,titulo 3,Bullets,Párrafo de lista2,Cuadrícula clara - Énfasis 31,Dot pt,F5 List Paragraph,No Spacing1,Ordenes numeradas,Párrafo de lista1"/>
    <w:basedOn w:val="Normal"/>
    <w:link w:val="PrrafodelistaCar"/>
    <w:uiPriority w:val="34"/>
    <w:qFormat/>
    <w:rsid w:val="00852E35"/>
    <w:pPr>
      <w:ind w:left="720"/>
      <w:contextualSpacing/>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ootnote Te,FC,Ref"/>
    <w:basedOn w:val="Normal"/>
    <w:link w:val="TextonotapieCar"/>
    <w:uiPriority w:val="99"/>
    <w:unhideWhenUsed/>
    <w:qFormat/>
    <w:rsid w:val="00852E35"/>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FC Car"/>
    <w:basedOn w:val="Fuentedeprrafopredeter"/>
    <w:link w:val="Textonotapie"/>
    <w:uiPriority w:val="99"/>
    <w:qFormat/>
    <w:rsid w:val="00852E35"/>
    <w:rPr>
      <w:kern w:val="0"/>
      <w:sz w:val="20"/>
      <w:szCs w:val="20"/>
    </w:rPr>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iPriority w:val="99"/>
    <w:unhideWhenUsed/>
    <w:qFormat/>
    <w:rsid w:val="00852E3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52E35"/>
    <w:rPr>
      <w:kern w:val="2"/>
      <w:vertAlign w:val="superscript"/>
    </w:rPr>
  </w:style>
  <w:style w:type="paragraph" w:styleId="Sinespaciado">
    <w:name w:val="No Spacing"/>
    <w:link w:val="SinespaciadoCar"/>
    <w:uiPriority w:val="1"/>
    <w:qFormat/>
    <w:rsid w:val="00852E35"/>
    <w:pPr>
      <w:pBdr>
        <w:top w:val="nil"/>
        <w:left w:val="nil"/>
        <w:bottom w:val="nil"/>
        <w:right w:val="nil"/>
        <w:between w:val="nil"/>
        <w:bar w:val="nil"/>
      </w:pBdr>
      <w:spacing w:after="0" w:line="240" w:lineRule="auto"/>
      <w:jc w:val="both"/>
    </w:pPr>
    <w:rPr>
      <w:rFonts w:ascii="Calibri" w:eastAsia="Calibri" w:hAnsi="Calibri" w:cs="Times New Roman"/>
      <w:color w:val="000000"/>
      <w:u w:color="000000"/>
      <w:lang w:val="es-ES_tradnl"/>
    </w:rPr>
  </w:style>
  <w:style w:type="character" w:customStyle="1" w:styleId="SinespaciadoCar">
    <w:name w:val="Sin espaciado Car"/>
    <w:link w:val="Sinespaciado"/>
    <w:uiPriority w:val="1"/>
    <w:rsid w:val="00852E35"/>
    <w:rPr>
      <w:rFonts w:ascii="Calibri" w:eastAsia="Calibri" w:hAnsi="Calibri" w:cs="Times New Roman"/>
      <w:color w:val="000000"/>
      <w:kern w:val="0"/>
      <w:u w:color="000000"/>
      <w:lang w:val="es-ES_tradnl" w:eastAsia="es-CO"/>
    </w:rPr>
  </w:style>
  <w:style w:type="paragraph" w:styleId="NormalWeb">
    <w:name w:val="Normal (Web)"/>
    <w:basedOn w:val="Normal"/>
    <w:uiPriority w:val="99"/>
    <w:unhideWhenUsed/>
    <w:rsid w:val="00852E35"/>
    <w:pPr>
      <w:spacing w:before="100" w:beforeAutospacing="1" w:after="100" w:afterAutospacing="1"/>
    </w:pPr>
    <w:rPr>
      <w:rFonts w:ascii="Times New Roman" w:eastAsia="Times New Roman" w:hAnsi="Times New Roman" w:cs="Times New Roman"/>
      <w:sz w:val="24"/>
      <w:szCs w:val="24"/>
      <w:lang w:bidi="bo-CN"/>
    </w:rPr>
  </w:style>
  <w:style w:type="character" w:customStyle="1" w:styleId="PrrafodelistaCar">
    <w:name w:val="Párrafo de lista Car"/>
    <w:aliases w:val="Colorful List - Accent 11 Car,Ha Car,List Paragraph1 Car,lp1 Car,Lista vistosa - Énfasis 11 Car,List Paragraph2 Car,List1 Car,titulo 3 Car,Bullets Car,Párrafo de lista2 Car,Cuadrícula clara - Énfasis 31 Car,Dot pt Car"/>
    <w:link w:val="Prrafodelista"/>
    <w:uiPriority w:val="34"/>
    <w:qFormat/>
    <w:locked/>
    <w:rsid w:val="00852E35"/>
    <w:rPr>
      <w:kern w:val="0"/>
    </w:rPr>
  </w:style>
  <w:style w:type="character" w:customStyle="1" w:styleId="baj">
    <w:name w:val="b_aj"/>
    <w:basedOn w:val="Fuentedeprrafopredeter"/>
    <w:rsid w:val="00852E35"/>
  </w:style>
  <w:style w:type="paragraph" w:customStyle="1" w:styleId="centrado">
    <w:name w:val="centrado"/>
    <w:basedOn w:val="Normal"/>
    <w:rsid w:val="00852E35"/>
    <w:pPr>
      <w:spacing w:before="100" w:beforeAutospacing="1" w:after="100" w:afterAutospacing="1"/>
    </w:pPr>
    <w:rPr>
      <w:rFonts w:ascii="Times New Roman" w:eastAsia="Times New Roman" w:hAnsi="Times New Roman" w:cs="Times New Roman"/>
      <w:sz w:val="24"/>
      <w:szCs w:val="24"/>
    </w:rPr>
  </w:style>
  <w:style w:type="table" w:styleId="Tablaconcuadrcula">
    <w:name w:val="Table Grid"/>
    <w:basedOn w:val="Tablanormal"/>
    <w:uiPriority w:val="39"/>
    <w:rsid w:val="005B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A15B93"/>
    <w:pPr>
      <w:tabs>
        <w:tab w:val="center" w:pos="4419"/>
        <w:tab w:val="right" w:pos="8838"/>
      </w:tabs>
    </w:pPr>
  </w:style>
  <w:style w:type="character" w:customStyle="1" w:styleId="PiedepginaCar">
    <w:name w:val="Pie de página Car"/>
    <w:basedOn w:val="Fuentedeprrafopredeter"/>
    <w:link w:val="Piedepgina"/>
    <w:uiPriority w:val="99"/>
    <w:rsid w:val="00A15B93"/>
    <w:rPr>
      <w:kern w:val="0"/>
    </w:rPr>
  </w:style>
  <w:style w:type="character" w:styleId="Hipervnculo">
    <w:name w:val="Hyperlink"/>
    <w:basedOn w:val="Fuentedeprrafopredeter"/>
    <w:uiPriority w:val="99"/>
    <w:unhideWhenUsed/>
    <w:rsid w:val="00765CEF"/>
    <w:rPr>
      <w:color w:val="0563C1" w:themeColor="hyperlink"/>
      <w:u w:val="single"/>
    </w:rPr>
  </w:style>
  <w:style w:type="character" w:customStyle="1" w:styleId="Mencinsinresolver1">
    <w:name w:val="Mención sin resolver1"/>
    <w:basedOn w:val="Fuentedeprrafopredeter"/>
    <w:uiPriority w:val="99"/>
    <w:semiHidden/>
    <w:unhideWhenUsed/>
    <w:rsid w:val="00765CEF"/>
    <w:rPr>
      <w:color w:val="605E5C"/>
      <w:shd w:val="clear" w:color="auto" w:fill="E1DFDD"/>
    </w:rPr>
  </w:style>
  <w:style w:type="character" w:styleId="Refdecomentario">
    <w:name w:val="annotation reference"/>
    <w:basedOn w:val="Fuentedeprrafopredeter"/>
    <w:uiPriority w:val="99"/>
    <w:semiHidden/>
    <w:unhideWhenUsed/>
    <w:rsid w:val="007E58BB"/>
    <w:rPr>
      <w:sz w:val="16"/>
      <w:szCs w:val="16"/>
    </w:rPr>
  </w:style>
  <w:style w:type="paragraph" w:styleId="Textocomentario">
    <w:name w:val="annotation text"/>
    <w:basedOn w:val="Normal"/>
    <w:link w:val="TextocomentarioCar"/>
    <w:uiPriority w:val="99"/>
    <w:unhideWhenUsed/>
    <w:rsid w:val="007E58BB"/>
    <w:rPr>
      <w:sz w:val="20"/>
      <w:szCs w:val="20"/>
    </w:rPr>
  </w:style>
  <w:style w:type="character" w:customStyle="1" w:styleId="TextocomentarioCar">
    <w:name w:val="Texto comentario Car"/>
    <w:basedOn w:val="Fuentedeprrafopredeter"/>
    <w:link w:val="Textocomentario"/>
    <w:uiPriority w:val="99"/>
    <w:rsid w:val="007E58BB"/>
    <w:rPr>
      <w:kern w:val="0"/>
      <w:sz w:val="20"/>
      <w:szCs w:val="20"/>
    </w:rPr>
  </w:style>
  <w:style w:type="paragraph" w:styleId="Asuntodelcomentario">
    <w:name w:val="annotation subject"/>
    <w:basedOn w:val="Textocomentario"/>
    <w:next w:val="Textocomentario"/>
    <w:link w:val="AsuntodelcomentarioCar"/>
    <w:uiPriority w:val="99"/>
    <w:semiHidden/>
    <w:unhideWhenUsed/>
    <w:rsid w:val="007E58BB"/>
    <w:rPr>
      <w:b/>
      <w:bCs/>
    </w:rPr>
  </w:style>
  <w:style w:type="character" w:customStyle="1" w:styleId="AsuntodelcomentarioCar">
    <w:name w:val="Asunto del comentario Car"/>
    <w:basedOn w:val="TextocomentarioCar"/>
    <w:link w:val="Asuntodelcomentario"/>
    <w:uiPriority w:val="99"/>
    <w:semiHidden/>
    <w:rsid w:val="007E58BB"/>
    <w:rPr>
      <w:b/>
      <w:bCs/>
      <w:kern w:val="0"/>
      <w:sz w:val="20"/>
      <w:szCs w:val="20"/>
    </w:rPr>
  </w:style>
  <w:style w:type="paragraph" w:styleId="Revisin">
    <w:name w:val="Revision"/>
    <w:hidden/>
    <w:uiPriority w:val="99"/>
    <w:semiHidden/>
    <w:rsid w:val="00823AFC"/>
    <w:pPr>
      <w:spacing w:after="0" w:line="240" w:lineRule="auto"/>
    </w:pPr>
  </w:style>
  <w:style w:type="paragraph" w:styleId="Textodeglobo">
    <w:name w:val="Balloon Text"/>
    <w:basedOn w:val="Normal"/>
    <w:link w:val="TextodegloboCar"/>
    <w:uiPriority w:val="99"/>
    <w:semiHidden/>
    <w:unhideWhenUsed/>
    <w:rsid w:val="0051112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112E"/>
    <w:rPr>
      <w:rFonts w:ascii="Segoe UI" w:hAnsi="Segoe UI" w:cs="Segoe UI"/>
      <w:kern w:val="0"/>
      <w:sz w:val="18"/>
      <w:szCs w:val="18"/>
    </w:rPr>
  </w:style>
  <w:style w:type="paragraph" w:customStyle="1" w:styleId="Piedepagina">
    <w:name w:val="Pie de pagina"/>
    <w:basedOn w:val="Normal"/>
    <w:uiPriority w:val="99"/>
    <w:rsid w:val="008A432D"/>
    <w:pPr>
      <w:spacing w:line="240" w:lineRule="exact"/>
    </w:pPr>
    <w:rPr>
      <w:vertAlign w:val="superscript"/>
    </w:rPr>
  </w:style>
  <w:style w:type="character" w:styleId="Hipervnculovisitado">
    <w:name w:val="FollowedHyperlink"/>
    <w:basedOn w:val="Fuentedeprrafopredeter"/>
    <w:uiPriority w:val="99"/>
    <w:semiHidden/>
    <w:unhideWhenUsed/>
    <w:rsid w:val="00C5474E"/>
    <w:rPr>
      <w:color w:val="954F72" w:themeColor="followedHyperlink"/>
      <w:u w:val="single"/>
    </w:rPr>
  </w:style>
  <w:style w:type="character" w:customStyle="1" w:styleId="Ttulo1Car">
    <w:name w:val="Título 1 Car"/>
    <w:basedOn w:val="Fuentedeprrafopredeter"/>
    <w:link w:val="Ttulo1"/>
    <w:uiPriority w:val="9"/>
    <w:rsid w:val="00F63475"/>
    <w:rPr>
      <w:rFonts w:ascii="Times New Roman" w:eastAsia="Times New Roman" w:hAnsi="Times New Roman" w:cs="Times New Roman"/>
      <w:b/>
      <w:bCs/>
      <w:kern w:val="36"/>
      <w:sz w:val="48"/>
      <w:szCs w:val="48"/>
      <w:lang w:eastAsia="es-MX"/>
    </w:rPr>
  </w:style>
  <w:style w:type="paragraph" w:customStyle="1" w:styleId="Sombreadovistoso-nfasis31">
    <w:name w:val="Sombreado vistoso - Énfasis 31"/>
    <w:basedOn w:val="Normal"/>
    <w:uiPriority w:val="34"/>
    <w:qFormat/>
    <w:rsid w:val="007968CA"/>
    <w:pPr>
      <w:widowControl w:val="0"/>
      <w:ind w:left="720"/>
      <w:contextualSpacing/>
    </w:pPr>
    <w:rPr>
      <w:rFonts w:ascii="Times New Roman" w:eastAsia="Times New Roman" w:hAnsi="Times New Roman" w:cs="Times New Roman"/>
      <w:color w:val="000000"/>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decreto_0902_2017_pr001.html" TargetMode="External"/><Relationship Id="rId13" Type="http://schemas.openxmlformats.org/officeDocument/2006/relationships/hyperlink" Target="http://www.secretariasenado.gov.co/senado/basedoc/decreto_0902_2017_pr001.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hyperlink" Target="http://www.secretariasenado.gov.co/senado/basedoc/decreto_0902_2017_pr001.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ecretariasenado.gov.co/senado/basedoc/decreto_0902_2017_pr00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decreto_0902_2017_pr001.html" TargetMode="External"/><Relationship Id="rId5" Type="http://schemas.openxmlformats.org/officeDocument/2006/relationships/footnotes" Target="footnotes.xml"/><Relationship Id="rId15" Type="http://schemas.openxmlformats.org/officeDocument/2006/relationships/hyperlink" Target="http://www.secretariasenado.gov.co/senado/basedoc/decreto_0902_2017_pr001.html" TargetMode="External"/><Relationship Id="rId10" Type="http://schemas.openxmlformats.org/officeDocument/2006/relationships/hyperlink" Target="http://www.secretariasenado.gov.co/senado/basedoc/decreto_0902_2017.html" TargetMode="External"/><Relationship Id="rId4" Type="http://schemas.openxmlformats.org/officeDocument/2006/relationships/webSettings" Target="webSettings.xml"/><Relationship Id="rId9" Type="http://schemas.openxmlformats.org/officeDocument/2006/relationships/hyperlink" Target="http://www.secretariasenado.gov.co/senado/basedoc/decreto_0902_2017.html" TargetMode="External"/><Relationship Id="rId14" Type="http://schemas.openxmlformats.org/officeDocument/2006/relationships/hyperlink" Target="http://www.secretariasenado.gov.co/senado/basedoc/decreto_0902_2017_pr001.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13789</Words>
  <Characters>75841</Characters>
  <Application>Microsoft Office Word</Application>
  <DocSecurity>0</DocSecurity>
  <Lines>632</Lines>
  <Paragraphs>178</Paragraphs>
  <ScaleCrop>false</ScaleCrop>
  <Company/>
  <LinksUpToDate>false</LinksUpToDate>
  <CharactersWithSpaces>89452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2024-10-25T16:38:00Z</dcterms:created>
  <dcterms:modified xsi:type="dcterms:W3CDTF">2024-10-25T16:38:00Z</dcterms:modified>
</cp:coreProperties>
</file>