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204B" w:rsidRPr="00D073E6" w:rsidRDefault="00680D93">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073E6">
        <w:rPr>
          <w:rFonts w:ascii="Times New Roman" w:hAnsi="Times New Roman" w:cs="Times New Roman"/>
          <w:sz w:val="28"/>
          <w:szCs w:val="24"/>
        </w:rPr>
        <w:t xml:space="preserve"> </w:t>
      </w:r>
    </w:p>
    <w:p w:rsidR="0040204B" w:rsidRPr="00D073E6" w:rsidRDefault="0040204B">
      <w:pPr>
        <w:widowControl w:val="0"/>
        <w:autoSpaceDE w:val="0"/>
        <w:autoSpaceDN w:val="0"/>
        <w:adjustRightInd w:val="0"/>
        <w:spacing w:after="0" w:line="240" w:lineRule="auto"/>
        <w:rPr>
          <w:rFonts w:ascii="Times New Roman" w:hAnsi="Times New Roman" w:cs="Times New Roman"/>
          <w:sz w:val="28"/>
          <w:szCs w:val="28"/>
        </w:rPr>
      </w:pPr>
    </w:p>
    <w:p w:rsidR="0040204B" w:rsidRPr="00D073E6" w:rsidRDefault="00680D93">
      <w:pPr>
        <w:widowControl w:val="0"/>
        <w:autoSpaceDE w:val="0"/>
        <w:autoSpaceDN w:val="0"/>
        <w:adjustRightInd w:val="0"/>
        <w:spacing w:after="0" w:line="240" w:lineRule="auto"/>
        <w:jc w:val="center"/>
        <w:rPr>
          <w:rFonts w:ascii="Times New Roman" w:hAnsi="Times New Roman" w:cs="Times New Roman"/>
          <w:b/>
          <w:bCs/>
          <w:sz w:val="28"/>
          <w:szCs w:val="28"/>
        </w:rPr>
      </w:pPr>
      <w:r w:rsidRPr="00D073E6">
        <w:rPr>
          <w:rFonts w:ascii="Times New Roman" w:hAnsi="Times New Roman" w:cs="Times New Roman"/>
          <w:b/>
          <w:bCs/>
          <w:sz w:val="28"/>
          <w:szCs w:val="28"/>
        </w:rPr>
        <w:t xml:space="preserve">TEMAS-SUBTEMAS </w:t>
      </w:r>
    </w:p>
    <w:p w:rsidR="0040204B" w:rsidRPr="00D073E6" w:rsidRDefault="0040204B">
      <w:pPr>
        <w:widowControl w:val="0"/>
        <w:autoSpaceDE w:val="0"/>
        <w:autoSpaceDN w:val="0"/>
        <w:adjustRightInd w:val="0"/>
        <w:spacing w:after="0" w:line="240" w:lineRule="auto"/>
        <w:jc w:val="center"/>
        <w:rPr>
          <w:rFonts w:ascii="Times New Roman" w:hAnsi="Times New Roman" w:cs="Times New Roman"/>
          <w:b/>
          <w:bCs/>
          <w:sz w:val="28"/>
          <w:szCs w:val="28"/>
        </w:rPr>
      </w:pPr>
    </w:p>
    <w:p w:rsidR="0040204B" w:rsidRPr="00D073E6" w:rsidRDefault="00680D93">
      <w:pPr>
        <w:widowControl w:val="0"/>
        <w:autoSpaceDE w:val="0"/>
        <w:autoSpaceDN w:val="0"/>
        <w:adjustRightInd w:val="0"/>
        <w:spacing w:after="0" w:line="240" w:lineRule="auto"/>
        <w:jc w:val="center"/>
        <w:rPr>
          <w:rFonts w:ascii="Times New Roman" w:hAnsi="Times New Roman" w:cs="Times New Roman"/>
          <w:sz w:val="28"/>
          <w:szCs w:val="28"/>
        </w:rPr>
      </w:pPr>
      <w:r w:rsidRPr="00D073E6">
        <w:rPr>
          <w:rFonts w:ascii="Times New Roman" w:hAnsi="Times New Roman" w:cs="Times New Roman"/>
          <w:b/>
          <w:bCs/>
          <w:sz w:val="28"/>
          <w:szCs w:val="28"/>
        </w:rPr>
        <w:t xml:space="preserve">Sentencia C-358/24 </w:t>
      </w:r>
    </w:p>
    <w:p w:rsidR="0040204B" w:rsidRPr="00D073E6" w:rsidRDefault="0040204B">
      <w:pPr>
        <w:widowControl w:val="0"/>
        <w:autoSpaceDE w:val="0"/>
        <w:autoSpaceDN w:val="0"/>
        <w:adjustRightInd w:val="0"/>
        <w:spacing w:after="0" w:line="240" w:lineRule="auto"/>
        <w:jc w:val="both"/>
        <w:rPr>
          <w:rFonts w:ascii="Times New Roman" w:hAnsi="Times New Roman" w:cs="Times New Roman"/>
          <w:sz w:val="28"/>
          <w:szCs w:val="28"/>
        </w:rPr>
      </w:pPr>
    </w:p>
    <w:p w:rsidR="0040204B" w:rsidRPr="00D073E6" w:rsidRDefault="00680D93">
      <w:pPr>
        <w:widowControl w:val="0"/>
        <w:autoSpaceDE w:val="0"/>
        <w:autoSpaceDN w:val="0"/>
        <w:adjustRightInd w:val="0"/>
        <w:spacing w:after="0" w:line="240" w:lineRule="auto"/>
        <w:jc w:val="both"/>
        <w:rPr>
          <w:rFonts w:ascii="Times New Roman" w:hAnsi="Times New Roman" w:cs="Times New Roman"/>
          <w:sz w:val="28"/>
          <w:szCs w:val="28"/>
        </w:rPr>
      </w:pPr>
      <w:r w:rsidRPr="00D073E6">
        <w:rPr>
          <w:rFonts w:ascii="Times New Roman" w:hAnsi="Times New Roman" w:cs="Times New Roman"/>
          <w:b/>
          <w:bCs/>
          <w:sz w:val="28"/>
          <w:szCs w:val="28"/>
        </w:rPr>
        <w:t>DEMANDA DE INCONSTITUCIONALIDAD CONTRA NORMA DEL PLAN NACIONAL DE DESARROLLO</w:t>
      </w:r>
      <w:r w:rsidRPr="00D073E6">
        <w:rPr>
          <w:rFonts w:ascii="Times New Roman" w:hAnsi="Times New Roman" w:cs="Times New Roman"/>
          <w:sz w:val="28"/>
          <w:szCs w:val="28"/>
        </w:rPr>
        <w:t xml:space="preserve">-Estarse a lo resuelto en la sentencia C-294 de 2024 </w:t>
      </w:r>
    </w:p>
    <w:p w:rsidR="0040204B" w:rsidRPr="00D073E6" w:rsidRDefault="0040204B">
      <w:pPr>
        <w:widowControl w:val="0"/>
        <w:autoSpaceDE w:val="0"/>
        <w:autoSpaceDN w:val="0"/>
        <w:adjustRightInd w:val="0"/>
        <w:spacing w:after="0" w:line="240" w:lineRule="auto"/>
        <w:jc w:val="both"/>
        <w:rPr>
          <w:rFonts w:ascii="Times New Roman" w:hAnsi="Times New Roman" w:cs="Times New Roman"/>
          <w:sz w:val="28"/>
          <w:szCs w:val="28"/>
        </w:rPr>
      </w:pPr>
    </w:p>
    <w:p w:rsidR="0040204B" w:rsidRPr="00D073E6" w:rsidRDefault="00680D93">
      <w:pPr>
        <w:widowControl w:val="0"/>
        <w:autoSpaceDE w:val="0"/>
        <w:autoSpaceDN w:val="0"/>
        <w:adjustRightInd w:val="0"/>
        <w:spacing w:after="0" w:line="240" w:lineRule="auto"/>
        <w:jc w:val="both"/>
        <w:rPr>
          <w:rFonts w:ascii="Times New Roman" w:hAnsi="Times New Roman" w:cs="Times New Roman"/>
          <w:sz w:val="28"/>
          <w:szCs w:val="28"/>
        </w:rPr>
      </w:pPr>
      <w:r w:rsidRPr="00D073E6">
        <w:rPr>
          <w:rFonts w:ascii="Times New Roman" w:hAnsi="Times New Roman" w:cs="Times New Roman"/>
          <w:b/>
          <w:bCs/>
          <w:sz w:val="28"/>
          <w:szCs w:val="28"/>
        </w:rPr>
        <w:t>COSA JUZGADA CONSTITUCIONAL</w:t>
      </w:r>
      <w:r w:rsidRPr="00D073E6">
        <w:rPr>
          <w:rFonts w:ascii="Times New Roman" w:hAnsi="Times New Roman" w:cs="Times New Roman"/>
          <w:sz w:val="28"/>
          <w:szCs w:val="28"/>
        </w:rPr>
        <w:t xml:space="preserve">-Tipología </w:t>
      </w:r>
    </w:p>
    <w:p w:rsidR="0040204B" w:rsidRPr="00D073E6" w:rsidRDefault="0040204B">
      <w:pPr>
        <w:widowControl w:val="0"/>
        <w:autoSpaceDE w:val="0"/>
        <w:autoSpaceDN w:val="0"/>
        <w:adjustRightInd w:val="0"/>
        <w:spacing w:after="0" w:line="240" w:lineRule="auto"/>
        <w:jc w:val="both"/>
        <w:rPr>
          <w:rFonts w:ascii="Times New Roman" w:hAnsi="Times New Roman" w:cs="Times New Roman"/>
          <w:sz w:val="28"/>
          <w:szCs w:val="28"/>
        </w:rPr>
      </w:pPr>
    </w:p>
    <w:p w:rsidR="0040204B" w:rsidRPr="00D073E6" w:rsidRDefault="00680D93">
      <w:pPr>
        <w:widowControl w:val="0"/>
        <w:autoSpaceDE w:val="0"/>
        <w:autoSpaceDN w:val="0"/>
        <w:adjustRightInd w:val="0"/>
        <w:spacing w:after="0" w:line="240" w:lineRule="auto"/>
        <w:jc w:val="both"/>
        <w:rPr>
          <w:rFonts w:ascii="Times New Roman" w:hAnsi="Times New Roman" w:cs="Times New Roman"/>
          <w:sz w:val="28"/>
          <w:szCs w:val="28"/>
        </w:rPr>
      </w:pPr>
      <w:r w:rsidRPr="00D073E6">
        <w:rPr>
          <w:rFonts w:ascii="Times New Roman" w:hAnsi="Times New Roman" w:cs="Times New Roman"/>
          <w:b/>
          <w:bCs/>
          <w:sz w:val="28"/>
          <w:szCs w:val="28"/>
        </w:rPr>
        <w:t>COSA JUZGADA CONSTITUCIONAL ABSOLUTA</w:t>
      </w:r>
      <w:r w:rsidRPr="00D073E6">
        <w:rPr>
          <w:rFonts w:ascii="Times New Roman" w:hAnsi="Times New Roman" w:cs="Times New Roman"/>
          <w:sz w:val="28"/>
          <w:szCs w:val="28"/>
        </w:rPr>
        <w:t xml:space="preserve">-Configuración por declaratoria de inexequibilidad </w:t>
      </w:r>
    </w:p>
    <w:p w:rsidR="0040204B" w:rsidRPr="00D073E6" w:rsidRDefault="0040204B">
      <w:pPr>
        <w:widowControl w:val="0"/>
        <w:autoSpaceDE w:val="0"/>
        <w:autoSpaceDN w:val="0"/>
        <w:adjustRightInd w:val="0"/>
        <w:spacing w:after="0" w:line="240" w:lineRule="auto"/>
        <w:jc w:val="both"/>
        <w:rPr>
          <w:rFonts w:ascii="Times New Roman" w:hAnsi="Times New Roman" w:cs="Times New Roman"/>
          <w:sz w:val="28"/>
          <w:szCs w:val="28"/>
        </w:rPr>
      </w:pPr>
    </w:p>
    <w:p w:rsidR="0040204B" w:rsidRPr="00D073E6" w:rsidRDefault="00680D93">
      <w:pPr>
        <w:widowControl w:val="0"/>
        <w:autoSpaceDE w:val="0"/>
        <w:autoSpaceDN w:val="0"/>
        <w:adjustRightInd w:val="0"/>
        <w:spacing w:after="0" w:line="240" w:lineRule="auto"/>
        <w:jc w:val="both"/>
        <w:rPr>
          <w:rFonts w:ascii="Times New Roman" w:hAnsi="Times New Roman" w:cs="Times New Roman"/>
          <w:sz w:val="28"/>
          <w:szCs w:val="28"/>
        </w:rPr>
      </w:pPr>
      <w:r w:rsidRPr="00D073E6">
        <w:rPr>
          <w:rFonts w:ascii="Times New Roman" w:hAnsi="Times New Roman" w:cs="Times New Roman"/>
          <w:b/>
          <w:bCs/>
          <w:sz w:val="28"/>
          <w:szCs w:val="28"/>
        </w:rPr>
        <w:t>COSA JUZGADA</w:t>
      </w:r>
      <w:r w:rsidRPr="00D073E6">
        <w:rPr>
          <w:rFonts w:ascii="Times New Roman" w:hAnsi="Times New Roman" w:cs="Times New Roman"/>
          <w:sz w:val="28"/>
          <w:szCs w:val="28"/>
        </w:rPr>
        <w:t xml:space="preserve">-Efectos respecto de decisiones de exequibilidad e inexequibilidad </w:t>
      </w:r>
    </w:p>
    <w:p w:rsidR="0040204B" w:rsidRPr="00D073E6" w:rsidRDefault="0040204B">
      <w:pPr>
        <w:widowControl w:val="0"/>
        <w:autoSpaceDE w:val="0"/>
        <w:autoSpaceDN w:val="0"/>
        <w:adjustRightInd w:val="0"/>
        <w:spacing w:after="0" w:line="240" w:lineRule="auto"/>
        <w:jc w:val="both"/>
        <w:rPr>
          <w:rFonts w:ascii="Times New Roman" w:hAnsi="Times New Roman" w:cs="Times New Roman"/>
          <w:sz w:val="28"/>
          <w:szCs w:val="28"/>
        </w:rPr>
      </w:pPr>
    </w:p>
    <w:p w:rsidR="0040204B" w:rsidRPr="00D073E6" w:rsidRDefault="00D073E6">
      <w:pPr>
        <w:widowControl w:val="0"/>
        <w:autoSpaceDE w:val="0"/>
        <w:autoSpaceDN w:val="0"/>
        <w:adjustRightInd w:val="0"/>
        <w:spacing w:after="0" w:line="240" w:lineRule="auto"/>
        <w:jc w:val="both"/>
        <w:rPr>
          <w:rFonts w:ascii="Times New Roman" w:hAnsi="Times New Roman" w:cs="Times New Roman"/>
          <w:sz w:val="28"/>
        </w:rPr>
      </w:pPr>
      <w:r w:rsidRPr="00D073E6">
        <w:rPr>
          <w:rFonts w:ascii="Times New Roman" w:hAnsi="Times New Roman" w:cs="Times New Roman"/>
          <w:sz w:val="28"/>
          <w:szCs w:val="28"/>
        </w:rPr>
        <w:pict>
          <v:rect id="_x0000_i1025" style="width:0;height:1.5pt" o:hralign="center" o:hrstd="t" o:hr="t" fillcolor="#a0a0a0" stroked="f"/>
        </w:pict>
      </w:r>
    </w:p>
    <w:p w:rsidR="00DF66C9" w:rsidRPr="00D073E6" w:rsidRDefault="00D073E6" w:rsidP="00864C8D">
      <w:pPr>
        <w:pStyle w:val="TimesNewRoman"/>
        <w:ind w:right="50"/>
        <w:rPr>
          <w:rFonts w:ascii="Times New Roman" w:hAnsi="Times New Roman" w:cs="Times New Roman"/>
          <w:szCs w:val="28"/>
          <w:lang w:val="es-ES"/>
        </w:rPr>
      </w:pPr>
      <w:r w:rsidRPr="00D073E6">
        <w:rPr>
          <w:rFonts w:ascii="Times New Roman" w:hAnsi="Times New Roman" w:cs="Times New Roman"/>
          <w:szCs w:val="28"/>
          <w:lang w:val="es-ES"/>
        </w:rPr>
        <w:t>REPÚBLICA DE COLOMBIA</w:t>
      </w:r>
    </w:p>
    <w:p w:rsidR="00DF66C9" w:rsidRPr="00D073E6" w:rsidRDefault="00D073E6" w:rsidP="00864C8D">
      <w:pPr>
        <w:tabs>
          <w:tab w:val="left" w:pos="2410"/>
        </w:tabs>
        <w:ind w:right="50"/>
        <w:jc w:val="center"/>
        <w:rPr>
          <w:rFonts w:ascii="Times New Roman" w:hAnsi="Times New Roman" w:cs="Times New Roman"/>
          <w:b/>
          <w:sz w:val="28"/>
          <w:szCs w:val="28"/>
        </w:rPr>
      </w:pPr>
      <w:r w:rsidRPr="00D073E6">
        <w:rPr>
          <w:rFonts w:ascii="Times New Roman" w:hAnsi="Times New Roman" w:cs="Times New Roman"/>
          <w:b/>
          <w:noProof/>
          <w:sz w:val="28"/>
          <w:szCs w:val="28"/>
        </w:rPr>
        <w:drawing>
          <wp:inline distT="0" distB="0" distL="0" distR="0" wp14:anchorId="3F94650C" wp14:editId="18A0C9EC">
            <wp:extent cx="798830" cy="792480"/>
            <wp:effectExtent l="0" t="0" r="127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8830" cy="792480"/>
                    </a:xfrm>
                    <a:prstGeom prst="rect">
                      <a:avLst/>
                    </a:prstGeom>
                    <a:noFill/>
                  </pic:spPr>
                </pic:pic>
              </a:graphicData>
            </a:graphic>
          </wp:inline>
        </w:drawing>
      </w:r>
    </w:p>
    <w:p w:rsidR="00DF66C9" w:rsidRPr="00D073E6" w:rsidRDefault="00D073E6" w:rsidP="00864C8D">
      <w:pPr>
        <w:ind w:right="51"/>
        <w:jc w:val="center"/>
        <w:rPr>
          <w:rFonts w:ascii="Times New Roman" w:hAnsi="Times New Roman" w:cs="Times New Roman"/>
          <w:b/>
          <w:sz w:val="28"/>
          <w:szCs w:val="28"/>
        </w:rPr>
      </w:pPr>
      <w:r w:rsidRPr="00D073E6">
        <w:rPr>
          <w:rFonts w:ascii="Times New Roman" w:hAnsi="Times New Roman" w:cs="Times New Roman"/>
          <w:b/>
          <w:sz w:val="28"/>
          <w:szCs w:val="28"/>
        </w:rPr>
        <w:t>CORTE CONSTITUCIONAL</w:t>
      </w:r>
    </w:p>
    <w:p w:rsidR="00DF66C9" w:rsidRPr="00D073E6" w:rsidRDefault="00D073E6" w:rsidP="00864C8D">
      <w:pPr>
        <w:ind w:right="51"/>
        <w:jc w:val="center"/>
        <w:rPr>
          <w:rFonts w:ascii="Times New Roman" w:hAnsi="Times New Roman" w:cs="Times New Roman"/>
          <w:b/>
          <w:sz w:val="28"/>
          <w:szCs w:val="28"/>
        </w:rPr>
      </w:pPr>
      <w:r w:rsidRPr="00D073E6">
        <w:rPr>
          <w:rFonts w:ascii="Times New Roman" w:hAnsi="Times New Roman" w:cs="Times New Roman"/>
          <w:b/>
          <w:sz w:val="28"/>
          <w:szCs w:val="28"/>
        </w:rPr>
        <w:t>-Sala Plena-</w:t>
      </w:r>
    </w:p>
    <w:p w:rsidR="00DF66C9" w:rsidRPr="00D073E6" w:rsidRDefault="00D073E6" w:rsidP="00864C8D">
      <w:pPr>
        <w:ind w:right="51"/>
        <w:rPr>
          <w:rFonts w:ascii="Times New Roman" w:hAnsi="Times New Roman" w:cs="Times New Roman"/>
          <w:b/>
          <w:sz w:val="28"/>
          <w:szCs w:val="28"/>
        </w:rPr>
      </w:pPr>
    </w:p>
    <w:p w:rsidR="00DF66C9" w:rsidRPr="00D073E6" w:rsidRDefault="00D073E6" w:rsidP="00DF66C9">
      <w:pPr>
        <w:ind w:right="51"/>
        <w:jc w:val="center"/>
        <w:rPr>
          <w:rFonts w:ascii="Times New Roman" w:hAnsi="Times New Roman" w:cs="Times New Roman"/>
          <w:b/>
          <w:sz w:val="28"/>
          <w:szCs w:val="28"/>
        </w:rPr>
      </w:pPr>
      <w:r w:rsidRPr="00D073E6">
        <w:rPr>
          <w:rFonts w:ascii="Times New Roman" w:hAnsi="Times New Roman" w:cs="Times New Roman"/>
          <w:b/>
          <w:sz w:val="28"/>
          <w:szCs w:val="28"/>
        </w:rPr>
        <w:t>SENTENCIA C-</w:t>
      </w:r>
      <w:r w:rsidRPr="00D073E6">
        <w:rPr>
          <w:rFonts w:ascii="Times New Roman" w:hAnsi="Times New Roman" w:cs="Times New Roman"/>
          <w:b/>
          <w:sz w:val="28"/>
          <w:szCs w:val="28"/>
        </w:rPr>
        <w:t>358</w:t>
      </w:r>
      <w:r w:rsidRPr="00D073E6">
        <w:rPr>
          <w:rFonts w:ascii="Times New Roman" w:hAnsi="Times New Roman" w:cs="Times New Roman"/>
          <w:b/>
          <w:sz w:val="28"/>
          <w:szCs w:val="28"/>
        </w:rPr>
        <w:t xml:space="preserve"> de 2024</w:t>
      </w:r>
    </w:p>
    <w:p w:rsidR="00DF66C9" w:rsidRPr="00D073E6" w:rsidRDefault="00D073E6" w:rsidP="00DF66C9">
      <w:pPr>
        <w:rPr>
          <w:rFonts w:ascii="Times New Roman" w:hAnsi="Times New Roman" w:cs="Times New Roman"/>
          <w:b/>
          <w:bCs/>
          <w:sz w:val="28"/>
          <w:szCs w:val="28"/>
          <w:lang w:val="es-ES"/>
        </w:rPr>
      </w:pPr>
    </w:p>
    <w:p w:rsidR="00DF66C9" w:rsidRPr="00D073E6" w:rsidRDefault="00D073E6" w:rsidP="00DF66C9">
      <w:pPr>
        <w:pStyle w:val="Sinespaciado1"/>
        <w:spacing w:line="276" w:lineRule="auto"/>
        <w:ind w:left="4082"/>
        <w:jc w:val="both"/>
        <w:outlineLvl w:val="0"/>
        <w:rPr>
          <w:sz w:val="28"/>
          <w:szCs w:val="28"/>
        </w:rPr>
      </w:pPr>
      <w:r w:rsidRPr="00D073E6">
        <w:rPr>
          <w:rFonts w:eastAsia="Times New Roman"/>
          <w:b/>
          <w:bCs/>
          <w:sz w:val="28"/>
          <w:szCs w:val="28"/>
          <w:lang w:val="es-ES"/>
        </w:rPr>
        <w:t>Expediente:</w:t>
      </w:r>
      <w:r w:rsidRPr="00D073E6">
        <w:rPr>
          <w:rFonts w:eastAsia="Times New Roman"/>
          <w:sz w:val="28"/>
          <w:szCs w:val="28"/>
          <w:lang w:val="es-ES"/>
        </w:rPr>
        <w:t xml:space="preserve"> </w:t>
      </w:r>
      <w:r w:rsidRPr="00D073E6">
        <w:rPr>
          <w:sz w:val="28"/>
          <w:szCs w:val="28"/>
        </w:rPr>
        <w:t>D-15.516</w:t>
      </w:r>
    </w:p>
    <w:p w:rsidR="00DF66C9" w:rsidRPr="00D073E6" w:rsidRDefault="00D073E6" w:rsidP="00DF66C9">
      <w:pPr>
        <w:pStyle w:val="Sinespaciado1"/>
        <w:spacing w:line="276" w:lineRule="auto"/>
        <w:ind w:left="4082"/>
        <w:jc w:val="both"/>
        <w:outlineLvl w:val="0"/>
        <w:rPr>
          <w:sz w:val="28"/>
          <w:szCs w:val="28"/>
        </w:rPr>
      </w:pPr>
    </w:p>
    <w:p w:rsidR="00DF66C9" w:rsidRPr="00D073E6" w:rsidRDefault="00D073E6" w:rsidP="00DF66C9">
      <w:pPr>
        <w:pStyle w:val="Sinespaciado1"/>
        <w:ind w:left="4082"/>
        <w:jc w:val="both"/>
        <w:outlineLvl w:val="0"/>
        <w:rPr>
          <w:sz w:val="28"/>
          <w:szCs w:val="28"/>
          <w:lang w:val="es-ES"/>
        </w:rPr>
      </w:pPr>
      <w:r w:rsidRPr="00D073E6">
        <w:rPr>
          <w:b/>
          <w:bCs/>
          <w:sz w:val="28"/>
          <w:szCs w:val="28"/>
          <w:lang w:val="es-ES"/>
        </w:rPr>
        <w:t xml:space="preserve">Demandante: </w:t>
      </w:r>
      <w:r w:rsidRPr="00D073E6">
        <w:rPr>
          <w:sz w:val="28"/>
          <w:szCs w:val="28"/>
          <w:lang w:val="es-ES"/>
        </w:rPr>
        <w:t>Jhoan Felipe Salgado Moreno</w:t>
      </w:r>
      <w:r w:rsidRPr="00D073E6">
        <w:rPr>
          <w:sz w:val="28"/>
          <w:szCs w:val="28"/>
          <w:lang w:val="es-ES"/>
        </w:rPr>
        <w:t>.</w:t>
      </w:r>
    </w:p>
    <w:p w:rsidR="00DF66C9" w:rsidRPr="00D073E6" w:rsidRDefault="00D073E6" w:rsidP="00DF66C9">
      <w:pPr>
        <w:pStyle w:val="Sinespaciado1"/>
        <w:ind w:left="4082"/>
        <w:jc w:val="both"/>
        <w:outlineLvl w:val="0"/>
        <w:rPr>
          <w:b/>
          <w:sz w:val="28"/>
          <w:szCs w:val="28"/>
        </w:rPr>
      </w:pPr>
    </w:p>
    <w:p w:rsidR="00DF66C9" w:rsidRPr="00D073E6" w:rsidRDefault="00D073E6" w:rsidP="00DF66C9">
      <w:pPr>
        <w:pStyle w:val="Sinespaciado1"/>
        <w:ind w:left="4082"/>
        <w:jc w:val="both"/>
        <w:outlineLvl w:val="0"/>
        <w:rPr>
          <w:sz w:val="28"/>
          <w:szCs w:val="28"/>
        </w:rPr>
      </w:pPr>
      <w:r w:rsidRPr="00D073E6">
        <w:rPr>
          <w:b/>
          <w:sz w:val="28"/>
          <w:szCs w:val="28"/>
        </w:rPr>
        <w:t xml:space="preserve">Asunto: </w:t>
      </w:r>
      <w:r w:rsidRPr="00D073E6">
        <w:rPr>
          <w:sz w:val="28"/>
          <w:szCs w:val="28"/>
        </w:rPr>
        <w:t>Acción pública de inconstitucionalidad</w:t>
      </w:r>
      <w:r w:rsidRPr="00D073E6">
        <w:rPr>
          <w:sz w:val="28"/>
          <w:szCs w:val="28"/>
        </w:rPr>
        <w:t xml:space="preserve"> parcia</w:t>
      </w:r>
      <w:r w:rsidRPr="00D073E6">
        <w:rPr>
          <w:sz w:val="28"/>
          <w:szCs w:val="28"/>
        </w:rPr>
        <w:t xml:space="preserve">l </w:t>
      </w:r>
      <w:r w:rsidRPr="00D073E6">
        <w:rPr>
          <w:sz w:val="28"/>
          <w:szCs w:val="28"/>
        </w:rPr>
        <w:t>contra el</w:t>
      </w:r>
      <w:r w:rsidRPr="00D073E6">
        <w:rPr>
          <w:sz w:val="28"/>
          <w:szCs w:val="28"/>
        </w:rPr>
        <w:t xml:space="preserve"> artículo 61 de la Ley 2294 de 2023, “</w:t>
      </w:r>
      <w:r w:rsidRPr="00D073E6">
        <w:rPr>
          <w:i/>
          <w:iCs/>
          <w:sz w:val="28"/>
          <w:szCs w:val="28"/>
        </w:rPr>
        <w:t xml:space="preserve">Por la cual se expide el Plan Nacional de Desarrollo 2022-2026 </w:t>
      </w:r>
      <w:r w:rsidRPr="00D073E6">
        <w:rPr>
          <w:i/>
          <w:iCs/>
          <w:sz w:val="28"/>
          <w:szCs w:val="28"/>
        </w:rPr>
        <w:t>‘</w:t>
      </w:r>
      <w:r w:rsidRPr="00D073E6">
        <w:rPr>
          <w:i/>
          <w:iCs/>
          <w:sz w:val="28"/>
          <w:szCs w:val="28"/>
        </w:rPr>
        <w:t>Colombia potencia mundial de la vida</w:t>
      </w:r>
      <w:r w:rsidRPr="00D073E6">
        <w:rPr>
          <w:i/>
          <w:iCs/>
          <w:sz w:val="28"/>
          <w:szCs w:val="28"/>
        </w:rPr>
        <w:t>’</w:t>
      </w:r>
      <w:r w:rsidRPr="00D073E6">
        <w:rPr>
          <w:sz w:val="28"/>
          <w:szCs w:val="28"/>
        </w:rPr>
        <w:t>”.</w:t>
      </w:r>
    </w:p>
    <w:p w:rsidR="00DF66C9" w:rsidRPr="00D073E6" w:rsidRDefault="00D073E6" w:rsidP="00DF66C9">
      <w:pPr>
        <w:pStyle w:val="Sinespaciado1"/>
        <w:tabs>
          <w:tab w:val="left" w:pos="3544"/>
        </w:tabs>
        <w:spacing w:line="276" w:lineRule="auto"/>
        <w:jc w:val="both"/>
        <w:rPr>
          <w:i/>
          <w:sz w:val="28"/>
          <w:szCs w:val="28"/>
          <w:lang w:val="es-CO"/>
        </w:rPr>
      </w:pPr>
    </w:p>
    <w:p w:rsidR="00DF66C9" w:rsidRPr="00D073E6" w:rsidRDefault="00D073E6" w:rsidP="00DF66C9">
      <w:pPr>
        <w:widowControl w:val="0"/>
        <w:tabs>
          <w:tab w:val="left" w:pos="8505"/>
        </w:tabs>
        <w:autoSpaceDE w:val="0"/>
        <w:autoSpaceDN w:val="0"/>
        <w:adjustRightInd w:val="0"/>
        <w:ind w:left="4082"/>
        <w:jc w:val="both"/>
        <w:outlineLvl w:val="0"/>
        <w:rPr>
          <w:rFonts w:ascii="Times New Roman" w:hAnsi="Times New Roman" w:cs="Times New Roman"/>
          <w:b/>
          <w:sz w:val="28"/>
          <w:szCs w:val="28"/>
        </w:rPr>
      </w:pPr>
      <w:r w:rsidRPr="00D073E6">
        <w:rPr>
          <w:rFonts w:ascii="Times New Roman" w:hAnsi="Times New Roman" w:cs="Times New Roman"/>
          <w:b/>
          <w:sz w:val="28"/>
          <w:szCs w:val="28"/>
        </w:rPr>
        <w:t xml:space="preserve">Magistrado Ponente: </w:t>
      </w:r>
      <w:r w:rsidRPr="00D073E6">
        <w:rPr>
          <w:rFonts w:ascii="Times New Roman" w:hAnsi="Times New Roman" w:cs="Times New Roman"/>
          <w:sz w:val="28"/>
          <w:szCs w:val="28"/>
        </w:rPr>
        <w:t>Jorge Enrique Ibáñez Najar</w:t>
      </w:r>
      <w:r w:rsidRPr="00D073E6">
        <w:rPr>
          <w:rFonts w:ascii="Times New Roman" w:hAnsi="Times New Roman" w:cs="Times New Roman"/>
          <w:sz w:val="28"/>
          <w:szCs w:val="28"/>
        </w:rPr>
        <w:t>.</w:t>
      </w:r>
    </w:p>
    <w:p w:rsidR="00DF66C9" w:rsidRPr="00D073E6" w:rsidRDefault="00D073E6" w:rsidP="00DF66C9">
      <w:pPr>
        <w:ind w:left="3927"/>
        <w:rPr>
          <w:rFonts w:ascii="Times New Roman" w:hAnsi="Times New Roman" w:cs="Times New Roman"/>
          <w:sz w:val="28"/>
          <w:szCs w:val="28"/>
        </w:rPr>
      </w:pPr>
    </w:p>
    <w:p w:rsidR="00DF66C9" w:rsidRPr="00D073E6" w:rsidRDefault="00D073E6" w:rsidP="00DF66C9">
      <w:pPr>
        <w:tabs>
          <w:tab w:val="left" w:pos="8505"/>
        </w:tabs>
        <w:jc w:val="both"/>
        <w:rPr>
          <w:rFonts w:ascii="Times New Roman" w:hAnsi="Times New Roman" w:cs="Times New Roman"/>
          <w:sz w:val="28"/>
          <w:szCs w:val="28"/>
          <w:lang w:val="es-ES" w:eastAsia="es-ES"/>
        </w:rPr>
      </w:pPr>
    </w:p>
    <w:p w:rsidR="00DF66C9" w:rsidRPr="00D073E6" w:rsidRDefault="00D073E6" w:rsidP="00DF66C9">
      <w:pPr>
        <w:tabs>
          <w:tab w:val="left" w:pos="8505"/>
        </w:tabs>
        <w:jc w:val="both"/>
        <w:rPr>
          <w:rFonts w:ascii="Times New Roman" w:hAnsi="Times New Roman" w:cs="Times New Roman"/>
          <w:sz w:val="28"/>
          <w:szCs w:val="28"/>
          <w:lang w:val="es-ES" w:eastAsia="es-ES"/>
        </w:rPr>
      </w:pPr>
      <w:r w:rsidRPr="00D073E6">
        <w:rPr>
          <w:rFonts w:ascii="Times New Roman" w:hAnsi="Times New Roman" w:cs="Times New Roman"/>
          <w:sz w:val="28"/>
          <w:szCs w:val="28"/>
          <w:lang w:val="es-ES" w:eastAsia="es-ES"/>
        </w:rPr>
        <w:t xml:space="preserve">Bogotá D.C., </w:t>
      </w:r>
      <w:r w:rsidRPr="00D073E6">
        <w:rPr>
          <w:rFonts w:ascii="Times New Roman" w:hAnsi="Times New Roman" w:cs="Times New Roman"/>
          <w:sz w:val="28"/>
          <w:szCs w:val="28"/>
          <w:lang w:val="es-ES" w:eastAsia="es-ES"/>
        </w:rPr>
        <w:t>veintiocho</w:t>
      </w:r>
      <w:r w:rsidRPr="00D073E6">
        <w:rPr>
          <w:rFonts w:ascii="Times New Roman" w:hAnsi="Times New Roman" w:cs="Times New Roman"/>
          <w:sz w:val="28"/>
          <w:szCs w:val="28"/>
          <w:lang w:val="es-ES" w:eastAsia="es-ES"/>
        </w:rPr>
        <w:t xml:space="preserve"> (</w:t>
      </w:r>
      <w:r w:rsidRPr="00D073E6">
        <w:rPr>
          <w:rFonts w:ascii="Times New Roman" w:hAnsi="Times New Roman" w:cs="Times New Roman"/>
          <w:sz w:val="28"/>
          <w:szCs w:val="28"/>
          <w:lang w:val="es-ES" w:eastAsia="es-ES"/>
        </w:rPr>
        <w:t>2</w:t>
      </w:r>
      <w:r w:rsidRPr="00D073E6">
        <w:rPr>
          <w:rFonts w:ascii="Times New Roman" w:hAnsi="Times New Roman" w:cs="Times New Roman"/>
          <w:sz w:val="28"/>
          <w:szCs w:val="28"/>
          <w:lang w:val="es-ES" w:eastAsia="es-ES"/>
        </w:rPr>
        <w:t>8</w:t>
      </w:r>
      <w:r w:rsidRPr="00D073E6">
        <w:rPr>
          <w:rFonts w:ascii="Times New Roman" w:hAnsi="Times New Roman" w:cs="Times New Roman"/>
          <w:sz w:val="28"/>
          <w:szCs w:val="28"/>
          <w:lang w:val="es-ES" w:eastAsia="es-ES"/>
        </w:rPr>
        <w:t xml:space="preserve">) de </w:t>
      </w:r>
      <w:r w:rsidRPr="00D073E6">
        <w:rPr>
          <w:rFonts w:ascii="Times New Roman" w:hAnsi="Times New Roman" w:cs="Times New Roman"/>
          <w:sz w:val="28"/>
          <w:szCs w:val="28"/>
          <w:lang w:val="es-ES" w:eastAsia="es-ES"/>
        </w:rPr>
        <w:t>agosto</w:t>
      </w:r>
      <w:r w:rsidRPr="00D073E6">
        <w:rPr>
          <w:rFonts w:ascii="Times New Roman" w:hAnsi="Times New Roman" w:cs="Times New Roman"/>
          <w:sz w:val="28"/>
          <w:szCs w:val="28"/>
          <w:lang w:val="es-ES" w:eastAsia="es-ES"/>
        </w:rPr>
        <w:t xml:space="preserve"> de dos mil veinticuatro (2024)</w:t>
      </w:r>
      <w:r w:rsidRPr="00D073E6">
        <w:rPr>
          <w:rFonts w:ascii="Times New Roman" w:hAnsi="Times New Roman" w:cs="Times New Roman"/>
          <w:sz w:val="28"/>
          <w:szCs w:val="28"/>
          <w:lang w:val="es-ES" w:eastAsia="es-ES"/>
        </w:rPr>
        <w:t>.</w:t>
      </w:r>
    </w:p>
    <w:p w:rsidR="00DF66C9" w:rsidRPr="00D073E6" w:rsidRDefault="00D073E6" w:rsidP="00DF66C9">
      <w:pPr>
        <w:tabs>
          <w:tab w:val="left" w:pos="8505"/>
        </w:tabs>
        <w:jc w:val="both"/>
        <w:rPr>
          <w:rFonts w:ascii="Times New Roman" w:hAnsi="Times New Roman" w:cs="Times New Roman"/>
          <w:sz w:val="28"/>
          <w:szCs w:val="28"/>
          <w:lang w:val="es-ES" w:eastAsia="es-ES"/>
        </w:rPr>
      </w:pPr>
    </w:p>
    <w:p w:rsidR="00DF66C9" w:rsidRPr="00D073E6" w:rsidRDefault="00D073E6" w:rsidP="00DF66C9">
      <w:pPr>
        <w:autoSpaceDE w:val="0"/>
        <w:autoSpaceDN w:val="0"/>
        <w:ind w:right="51"/>
        <w:jc w:val="both"/>
        <w:rPr>
          <w:rFonts w:ascii="Times New Roman" w:hAnsi="Times New Roman" w:cs="Times New Roman"/>
          <w:sz w:val="28"/>
          <w:szCs w:val="28"/>
          <w:lang w:val="es-ES" w:eastAsia="es-ES"/>
        </w:rPr>
      </w:pPr>
      <w:r w:rsidRPr="00D073E6">
        <w:rPr>
          <w:rFonts w:ascii="Times New Roman" w:hAnsi="Times New Roman" w:cs="Times New Roman"/>
          <w:sz w:val="28"/>
          <w:szCs w:val="28"/>
          <w:lang w:val="es-ES" w:eastAsia="es-ES"/>
        </w:rPr>
        <w:t>La Sala Plena de la Corte Constitucional, en ejercicio de sus competencias constitucionales y legales, en particular de aquella</w:t>
      </w:r>
      <w:r w:rsidRPr="00D073E6">
        <w:rPr>
          <w:rFonts w:ascii="Times New Roman" w:hAnsi="Times New Roman" w:cs="Times New Roman"/>
          <w:sz w:val="28"/>
          <w:szCs w:val="28"/>
          <w:lang w:val="es-ES" w:eastAsia="es-ES"/>
        </w:rPr>
        <w:t>s</w:t>
      </w:r>
      <w:r w:rsidRPr="00D073E6">
        <w:rPr>
          <w:rFonts w:ascii="Times New Roman" w:hAnsi="Times New Roman" w:cs="Times New Roman"/>
          <w:sz w:val="28"/>
          <w:szCs w:val="28"/>
          <w:lang w:val="es-ES" w:eastAsia="es-ES"/>
        </w:rPr>
        <w:t xml:space="preserve"> que le confiere</w:t>
      </w:r>
      <w:r w:rsidRPr="00D073E6">
        <w:rPr>
          <w:rFonts w:ascii="Times New Roman" w:hAnsi="Times New Roman" w:cs="Times New Roman"/>
          <w:sz w:val="28"/>
          <w:szCs w:val="28"/>
          <w:lang w:val="es-ES" w:eastAsia="es-ES"/>
        </w:rPr>
        <w:t>n</w:t>
      </w:r>
      <w:r w:rsidRPr="00D073E6">
        <w:rPr>
          <w:rFonts w:ascii="Times New Roman" w:hAnsi="Times New Roman" w:cs="Times New Roman"/>
          <w:sz w:val="28"/>
          <w:szCs w:val="28"/>
          <w:lang w:val="es-ES" w:eastAsia="es-ES"/>
        </w:rPr>
        <w:t xml:space="preserve"> </w:t>
      </w:r>
      <w:r w:rsidRPr="00D073E6">
        <w:rPr>
          <w:rFonts w:ascii="Times New Roman" w:hAnsi="Times New Roman" w:cs="Times New Roman"/>
          <w:sz w:val="28"/>
          <w:szCs w:val="28"/>
          <w:lang w:val="es-ES" w:eastAsia="es-ES"/>
        </w:rPr>
        <w:t>los</w:t>
      </w:r>
      <w:r w:rsidRPr="00D073E6">
        <w:rPr>
          <w:rFonts w:ascii="Times New Roman" w:hAnsi="Times New Roman" w:cs="Times New Roman"/>
          <w:sz w:val="28"/>
          <w:szCs w:val="28"/>
          <w:lang w:val="es-ES" w:eastAsia="es-ES"/>
        </w:rPr>
        <w:t xml:space="preserve"> artículo</w:t>
      </w:r>
      <w:r w:rsidRPr="00D073E6">
        <w:rPr>
          <w:rFonts w:ascii="Times New Roman" w:hAnsi="Times New Roman" w:cs="Times New Roman"/>
          <w:sz w:val="28"/>
          <w:szCs w:val="28"/>
          <w:lang w:val="es-ES" w:eastAsia="es-ES"/>
        </w:rPr>
        <w:t>s</w:t>
      </w:r>
      <w:r w:rsidRPr="00D073E6">
        <w:rPr>
          <w:rFonts w:ascii="Times New Roman" w:hAnsi="Times New Roman" w:cs="Times New Roman"/>
          <w:sz w:val="28"/>
          <w:szCs w:val="28"/>
          <w:lang w:val="es-ES" w:eastAsia="es-ES"/>
        </w:rPr>
        <w:t xml:space="preserve"> 241</w:t>
      </w:r>
      <w:r w:rsidRPr="00D073E6">
        <w:rPr>
          <w:rFonts w:ascii="Times New Roman" w:hAnsi="Times New Roman" w:cs="Times New Roman"/>
          <w:sz w:val="28"/>
          <w:szCs w:val="28"/>
          <w:lang w:val="es-ES" w:eastAsia="es-ES"/>
        </w:rPr>
        <w:t xml:space="preserve"> y 242</w:t>
      </w:r>
      <w:r w:rsidRPr="00D073E6">
        <w:rPr>
          <w:rFonts w:ascii="Times New Roman" w:hAnsi="Times New Roman" w:cs="Times New Roman"/>
          <w:sz w:val="28"/>
          <w:szCs w:val="28"/>
          <w:lang w:val="es-ES" w:eastAsia="es-ES"/>
        </w:rPr>
        <w:t xml:space="preserve"> de la Constitución Política, profiere la siguiente</w:t>
      </w:r>
    </w:p>
    <w:p w:rsidR="00DF66C9" w:rsidRPr="00D073E6" w:rsidRDefault="00D073E6" w:rsidP="00DF66C9">
      <w:pPr>
        <w:autoSpaceDE w:val="0"/>
        <w:autoSpaceDN w:val="0"/>
        <w:ind w:right="51"/>
        <w:jc w:val="both"/>
        <w:rPr>
          <w:rFonts w:ascii="Times New Roman" w:hAnsi="Times New Roman" w:cs="Times New Roman"/>
          <w:sz w:val="28"/>
          <w:szCs w:val="28"/>
          <w:lang w:val="es-ES" w:eastAsia="es-ES"/>
        </w:rPr>
      </w:pPr>
    </w:p>
    <w:p w:rsidR="00DF66C9" w:rsidRPr="00D073E6" w:rsidRDefault="00D073E6" w:rsidP="00DF66C9">
      <w:pPr>
        <w:autoSpaceDE w:val="0"/>
        <w:autoSpaceDN w:val="0"/>
        <w:ind w:right="51"/>
        <w:jc w:val="center"/>
        <w:rPr>
          <w:rFonts w:ascii="Times New Roman" w:hAnsi="Times New Roman" w:cs="Times New Roman"/>
          <w:b/>
          <w:bCs/>
          <w:sz w:val="28"/>
          <w:szCs w:val="28"/>
          <w:lang w:val="es-ES" w:eastAsia="es-ES"/>
        </w:rPr>
      </w:pPr>
      <w:r w:rsidRPr="00D073E6">
        <w:rPr>
          <w:rFonts w:ascii="Times New Roman" w:hAnsi="Times New Roman" w:cs="Times New Roman"/>
          <w:b/>
          <w:bCs/>
          <w:sz w:val="28"/>
          <w:szCs w:val="28"/>
          <w:lang w:val="es-ES" w:eastAsia="es-ES"/>
        </w:rPr>
        <w:t>SENTENCIA</w:t>
      </w:r>
    </w:p>
    <w:p w:rsidR="00DF66C9" w:rsidRPr="00D073E6" w:rsidRDefault="00D073E6" w:rsidP="00DF66C9">
      <w:pPr>
        <w:kinsoku w:val="0"/>
        <w:overflowPunct w:val="0"/>
        <w:autoSpaceDE w:val="0"/>
        <w:autoSpaceDN w:val="0"/>
        <w:adjustRightInd w:val="0"/>
        <w:ind w:right="49"/>
        <w:jc w:val="both"/>
        <w:rPr>
          <w:rFonts w:ascii="Times New Roman" w:hAnsi="Times New Roman" w:cs="Times New Roman"/>
          <w:sz w:val="28"/>
          <w:szCs w:val="28"/>
          <w:lang w:val="es-ES"/>
        </w:rPr>
      </w:pPr>
    </w:p>
    <w:p w:rsidR="00455643" w:rsidRPr="00D073E6" w:rsidRDefault="00D073E6" w:rsidP="00455643">
      <w:pPr>
        <w:pStyle w:val="Ttulo1"/>
        <w:numPr>
          <w:ilvl w:val="0"/>
          <w:numId w:val="1"/>
        </w:numPr>
        <w:spacing w:before="0" w:after="0"/>
        <w:ind w:left="720" w:hanging="360"/>
        <w:rPr>
          <w:rFonts w:ascii="Times New Roman" w:hAnsi="Times New Roman" w:cs="Times New Roman"/>
          <w:b/>
          <w:bCs/>
          <w:color w:val="auto"/>
          <w:sz w:val="28"/>
          <w:szCs w:val="28"/>
        </w:rPr>
      </w:pPr>
      <w:r w:rsidRPr="00D073E6">
        <w:rPr>
          <w:rFonts w:ascii="Times New Roman" w:hAnsi="Times New Roman" w:cs="Times New Roman"/>
          <w:b/>
          <w:bCs/>
          <w:color w:val="auto"/>
          <w:sz w:val="28"/>
          <w:szCs w:val="28"/>
        </w:rPr>
        <w:t>SÍNTESIS DE LA DECISIÓN</w:t>
      </w:r>
    </w:p>
    <w:p w:rsidR="00455643" w:rsidRPr="00D073E6" w:rsidRDefault="00D073E6" w:rsidP="00455643">
      <w:pPr>
        <w:rPr>
          <w:rFonts w:ascii="Times New Roman" w:hAnsi="Times New Roman" w:cs="Times New Roman"/>
          <w:sz w:val="28"/>
        </w:rPr>
      </w:pPr>
    </w:p>
    <w:p w:rsidR="00F12C84" w:rsidRPr="00D073E6" w:rsidRDefault="00D073E6" w:rsidP="006E2F97">
      <w:pPr>
        <w:pStyle w:val="Prrafodelista"/>
        <w:numPr>
          <w:ilvl w:val="0"/>
          <w:numId w:val="2"/>
        </w:numPr>
        <w:ind w:left="0" w:firstLine="0"/>
        <w:jc w:val="both"/>
        <w:rPr>
          <w:rFonts w:ascii="Times New Roman" w:hAnsi="Times New Roman" w:cs="Times New Roman"/>
          <w:sz w:val="28"/>
          <w:szCs w:val="28"/>
        </w:rPr>
      </w:pPr>
      <w:r w:rsidRPr="00D073E6">
        <w:rPr>
          <w:rFonts w:ascii="Times New Roman" w:hAnsi="Times New Roman" w:cs="Times New Roman"/>
          <w:sz w:val="28"/>
          <w:szCs w:val="28"/>
        </w:rPr>
        <w:t>La Sala Plena</w:t>
      </w:r>
      <w:r w:rsidRPr="00D073E6">
        <w:rPr>
          <w:rFonts w:ascii="Times New Roman" w:hAnsi="Times New Roman" w:cs="Times New Roman"/>
          <w:sz w:val="28"/>
          <w:szCs w:val="28"/>
        </w:rPr>
        <w:t xml:space="preserve"> de la Corte Constitucional resolvió </w:t>
      </w:r>
      <w:r w:rsidRPr="00D073E6">
        <w:rPr>
          <w:rFonts w:ascii="Times New Roman" w:hAnsi="Times New Roman" w:cs="Times New Roman"/>
          <w:sz w:val="28"/>
          <w:szCs w:val="28"/>
        </w:rPr>
        <w:t>estarse a lo resuelto en la Sentencia C-294 de 2024</w:t>
      </w:r>
      <w:r w:rsidRPr="00D073E6">
        <w:rPr>
          <w:rFonts w:ascii="Times New Roman" w:hAnsi="Times New Roman" w:cs="Times New Roman"/>
          <w:sz w:val="28"/>
          <w:szCs w:val="28"/>
        </w:rPr>
        <w:t>. Dicha providencia</w:t>
      </w:r>
      <w:r w:rsidRPr="00D073E6">
        <w:rPr>
          <w:rFonts w:ascii="Times New Roman" w:hAnsi="Times New Roman" w:cs="Times New Roman"/>
          <w:sz w:val="28"/>
          <w:szCs w:val="28"/>
        </w:rPr>
        <w:t xml:space="preserve"> declaró inexequible</w:t>
      </w:r>
      <w:r w:rsidRPr="00D073E6">
        <w:rPr>
          <w:rFonts w:ascii="Times New Roman" w:hAnsi="Times New Roman" w:cs="Times New Roman"/>
          <w:sz w:val="28"/>
          <w:szCs w:val="28"/>
        </w:rPr>
        <w:t>s el numeral 6 y el parágrafo 3° de</w:t>
      </w:r>
      <w:r w:rsidRPr="00D073E6">
        <w:rPr>
          <w:rFonts w:ascii="Times New Roman" w:hAnsi="Times New Roman" w:cs="Times New Roman"/>
          <w:sz w:val="28"/>
          <w:szCs w:val="28"/>
        </w:rPr>
        <w:t xml:space="preserve">l artículo 61 de la Ley 2294 de 2023, </w:t>
      </w:r>
      <w:r w:rsidRPr="00D073E6">
        <w:rPr>
          <w:rFonts w:ascii="Times New Roman" w:hAnsi="Times New Roman" w:cs="Times New Roman"/>
          <w:sz w:val="28"/>
          <w:szCs w:val="28"/>
        </w:rPr>
        <w:t>los cuales comprenden las</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disposiciones normativas demandadas</w:t>
      </w:r>
      <w:r w:rsidRPr="00D073E6">
        <w:rPr>
          <w:rFonts w:ascii="Times New Roman" w:hAnsi="Times New Roman" w:cs="Times New Roman"/>
          <w:sz w:val="28"/>
          <w:szCs w:val="28"/>
        </w:rPr>
        <w:t xml:space="preserve"> en el Expediente D-15516. </w:t>
      </w:r>
      <w:r w:rsidRPr="00D073E6">
        <w:rPr>
          <w:rFonts w:ascii="Times New Roman" w:hAnsi="Times New Roman" w:cs="Times New Roman"/>
          <w:sz w:val="28"/>
          <w:szCs w:val="28"/>
        </w:rPr>
        <w:t>Lo anterior, al constatar que operó la cosa juzgada</w:t>
      </w:r>
      <w:r w:rsidRPr="00D073E6">
        <w:rPr>
          <w:rFonts w:ascii="Times New Roman" w:hAnsi="Times New Roman" w:cs="Times New Roman"/>
          <w:sz w:val="28"/>
          <w:szCs w:val="28"/>
        </w:rPr>
        <w:t xml:space="preserve"> constitucional</w:t>
      </w:r>
      <w:r w:rsidRPr="00D073E6">
        <w:rPr>
          <w:rFonts w:ascii="Times New Roman" w:hAnsi="Times New Roman" w:cs="Times New Roman"/>
          <w:sz w:val="28"/>
          <w:szCs w:val="28"/>
        </w:rPr>
        <w:t xml:space="preserve">, lo que </w:t>
      </w:r>
      <w:r w:rsidRPr="00D073E6">
        <w:rPr>
          <w:rFonts w:ascii="Times New Roman" w:hAnsi="Times New Roman" w:cs="Times New Roman"/>
          <w:sz w:val="28"/>
          <w:szCs w:val="28"/>
        </w:rPr>
        <w:t>impide realizar un nuevo pronunciamiento sobre la constitucionalidad de las normas mencionadas</w:t>
      </w:r>
      <w:r w:rsidRPr="00D073E6">
        <w:rPr>
          <w:rFonts w:ascii="Times New Roman" w:hAnsi="Times New Roman" w:cs="Times New Roman"/>
          <w:sz w:val="28"/>
          <w:szCs w:val="28"/>
        </w:rPr>
        <w:t xml:space="preserve">, las cuales ya no </w:t>
      </w:r>
      <w:r w:rsidRPr="00D073E6">
        <w:rPr>
          <w:rFonts w:ascii="Times New Roman" w:hAnsi="Times New Roman" w:cs="Times New Roman"/>
          <w:sz w:val="28"/>
          <w:szCs w:val="28"/>
        </w:rPr>
        <w:t>forman parte del ordenamiento jurídico.</w:t>
      </w:r>
    </w:p>
    <w:p w:rsidR="00DF66C9" w:rsidRPr="00D073E6" w:rsidRDefault="00D073E6" w:rsidP="00DF66C9">
      <w:pPr>
        <w:jc w:val="both"/>
        <w:rPr>
          <w:rFonts w:ascii="Times New Roman" w:hAnsi="Times New Roman" w:cs="Times New Roman"/>
          <w:sz w:val="28"/>
          <w:szCs w:val="28"/>
        </w:rPr>
      </w:pPr>
    </w:p>
    <w:p w:rsidR="00DF66C9" w:rsidRPr="00D073E6" w:rsidRDefault="00D073E6" w:rsidP="00DF66C9">
      <w:pPr>
        <w:tabs>
          <w:tab w:val="left" w:pos="8505"/>
        </w:tabs>
        <w:jc w:val="both"/>
        <w:rPr>
          <w:rFonts w:ascii="Times New Roman" w:hAnsi="Times New Roman" w:cs="Times New Roman"/>
          <w:sz w:val="28"/>
          <w:szCs w:val="28"/>
          <w:lang w:val="es-ES" w:eastAsia="es-ES"/>
        </w:rPr>
      </w:pPr>
    </w:p>
    <w:p w:rsidR="00DF66C9" w:rsidRPr="00D073E6" w:rsidRDefault="00D073E6" w:rsidP="00DF66C9">
      <w:pPr>
        <w:jc w:val="both"/>
        <w:rPr>
          <w:rFonts w:ascii="Times New Roman" w:hAnsi="Times New Roman" w:cs="Times New Roman"/>
          <w:b/>
          <w:bCs/>
          <w:sz w:val="28"/>
          <w:szCs w:val="28"/>
        </w:rPr>
      </w:pPr>
      <w:r w:rsidRPr="00D073E6">
        <w:rPr>
          <w:rFonts w:ascii="Times New Roman" w:hAnsi="Times New Roman" w:cs="Times New Roman"/>
          <w:b/>
          <w:bCs/>
          <w:sz w:val="28"/>
          <w:szCs w:val="28"/>
        </w:rPr>
        <w:t>I.</w:t>
      </w:r>
      <w:r w:rsidRPr="00D073E6">
        <w:rPr>
          <w:rFonts w:ascii="Times New Roman" w:hAnsi="Times New Roman" w:cs="Times New Roman"/>
          <w:b/>
          <w:bCs/>
          <w:sz w:val="28"/>
          <w:szCs w:val="28"/>
        </w:rPr>
        <w:tab/>
        <w:t>ANTECEDENTES</w:t>
      </w:r>
    </w:p>
    <w:p w:rsidR="00DF66C9" w:rsidRPr="00D073E6" w:rsidRDefault="00D073E6" w:rsidP="00DF66C9">
      <w:pPr>
        <w:pStyle w:val="Textoindependiente"/>
        <w:spacing w:before="4"/>
        <w:rPr>
          <w:rFonts w:ascii="Times New Roman" w:hAnsi="Times New Roman" w:cs="Times New Roman"/>
          <w:b/>
        </w:rPr>
      </w:pPr>
    </w:p>
    <w:p w:rsidR="00DF66C9" w:rsidRPr="00D073E6" w:rsidRDefault="00D073E6" w:rsidP="00930E3E">
      <w:pPr>
        <w:pStyle w:val="Textoindependiente"/>
        <w:numPr>
          <w:ilvl w:val="0"/>
          <w:numId w:val="3"/>
        </w:numPr>
        <w:spacing w:before="4"/>
        <w:ind w:left="357" w:hanging="357"/>
        <w:rPr>
          <w:rFonts w:ascii="Times New Roman" w:hAnsi="Times New Roman" w:cs="Times New Roman"/>
          <w:b/>
          <w:u w:val="single"/>
        </w:rPr>
      </w:pPr>
      <w:r w:rsidRPr="00D073E6">
        <w:rPr>
          <w:rFonts w:ascii="Times New Roman" w:hAnsi="Times New Roman" w:cs="Times New Roman"/>
          <w:b/>
          <w:u w:val="single"/>
        </w:rPr>
        <w:t xml:space="preserve">Trámite </w:t>
      </w:r>
      <w:r w:rsidRPr="00D073E6">
        <w:rPr>
          <w:rFonts w:ascii="Times New Roman" w:hAnsi="Times New Roman" w:cs="Times New Roman"/>
          <w:b/>
          <w:u w:val="single"/>
        </w:rPr>
        <w:t>de admisión</w:t>
      </w:r>
    </w:p>
    <w:p w:rsidR="00DF66C9" w:rsidRPr="00D073E6" w:rsidRDefault="00D073E6" w:rsidP="00DF66C9">
      <w:pPr>
        <w:pStyle w:val="Textoindependiente"/>
        <w:spacing w:before="4"/>
        <w:rPr>
          <w:rFonts w:ascii="Times New Roman" w:hAnsi="Times New Roman" w:cs="Times New Roman"/>
          <w:b/>
        </w:rPr>
      </w:pPr>
    </w:p>
    <w:p w:rsidR="00DF66C9"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sz w:val="28"/>
        </w:rPr>
      </w:pPr>
      <w:r w:rsidRPr="00D073E6">
        <w:rPr>
          <w:rFonts w:ascii="Times New Roman" w:hAnsi="Times New Roman" w:cs="Times New Roman"/>
          <w:sz w:val="28"/>
          <w:szCs w:val="28"/>
        </w:rPr>
        <w:t>El</w:t>
      </w:r>
      <w:r w:rsidRPr="00D073E6">
        <w:rPr>
          <w:rFonts w:ascii="Times New Roman" w:hAnsi="Times New Roman" w:cs="Times New Roman"/>
          <w:spacing w:val="-14"/>
          <w:sz w:val="28"/>
          <w:szCs w:val="28"/>
        </w:rPr>
        <w:t xml:space="preserve"> </w:t>
      </w:r>
      <w:r w:rsidRPr="00D073E6">
        <w:rPr>
          <w:rFonts w:ascii="Times New Roman" w:hAnsi="Times New Roman" w:cs="Times New Roman"/>
          <w:sz w:val="28"/>
          <w:szCs w:val="28"/>
        </w:rPr>
        <w:t>12 de septiembre de 2023, el ciudadano Jhoan</w:t>
      </w:r>
      <w:r w:rsidRPr="00D073E6">
        <w:rPr>
          <w:rFonts w:ascii="Times New Roman" w:hAnsi="Times New Roman" w:cs="Times New Roman"/>
          <w:sz w:val="28"/>
          <w:szCs w:val="28"/>
        </w:rPr>
        <w:t xml:space="preserve"> Felipe Salgado Moreno presentó demanda de inconstitucionalidad en contra de</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los incisos</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1, 2, 3 y 6</w:t>
      </w:r>
      <w:r w:rsidRPr="00D073E6">
        <w:rPr>
          <w:rFonts w:ascii="Times New Roman" w:hAnsi="Times New Roman" w:cs="Times New Roman"/>
          <w:sz w:val="28"/>
          <w:szCs w:val="28"/>
        </w:rPr>
        <w:t xml:space="preserve"> del numeral</w:t>
      </w:r>
      <w:r w:rsidRPr="00D073E6">
        <w:rPr>
          <w:rFonts w:ascii="Times New Roman" w:hAnsi="Times New Roman" w:cs="Times New Roman"/>
          <w:sz w:val="28"/>
          <w:szCs w:val="28"/>
        </w:rPr>
        <w:t xml:space="preserve"> 6</w:t>
      </w:r>
      <w:r w:rsidRPr="00D073E6">
        <w:rPr>
          <w:rFonts w:ascii="Times New Roman" w:hAnsi="Times New Roman" w:cs="Times New Roman"/>
          <w:sz w:val="28"/>
          <w:szCs w:val="28"/>
        </w:rPr>
        <w:t xml:space="preserve"> y el parágrafo </w:t>
      </w:r>
      <w:r w:rsidRPr="00D073E6">
        <w:rPr>
          <w:rFonts w:ascii="Times New Roman" w:hAnsi="Times New Roman" w:cs="Times New Roman"/>
          <w:sz w:val="28"/>
          <w:szCs w:val="28"/>
        </w:rPr>
        <w:t>3°</w:t>
      </w:r>
      <w:r w:rsidRPr="00D073E6">
        <w:rPr>
          <w:rFonts w:ascii="Times New Roman" w:hAnsi="Times New Roman" w:cs="Times New Roman"/>
          <w:sz w:val="28"/>
          <w:szCs w:val="28"/>
        </w:rPr>
        <w:t xml:space="preserve"> del artículo 61 de la Ley 2294 de 2023</w:t>
      </w:r>
      <w:r w:rsidRPr="00D073E6">
        <w:rPr>
          <w:rFonts w:ascii="Times New Roman" w:hAnsi="Times New Roman" w:cs="Times New Roman"/>
          <w:sz w:val="28"/>
          <w:szCs w:val="28"/>
        </w:rPr>
        <w:t>. A juicio del accionante, las disposiciones mencionadas son violatorias</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d</w:t>
      </w:r>
      <w:r w:rsidRPr="00D073E6">
        <w:rPr>
          <w:rFonts w:ascii="Times New Roman" w:hAnsi="Times New Roman" w:cs="Times New Roman"/>
          <w:sz w:val="28"/>
          <w:szCs w:val="28"/>
        </w:rPr>
        <w:t xml:space="preserve">el </w:t>
      </w:r>
      <w:r w:rsidRPr="00D073E6">
        <w:rPr>
          <w:rFonts w:ascii="Times New Roman" w:hAnsi="Times New Roman" w:cs="Times New Roman"/>
          <w:sz w:val="28"/>
          <w:szCs w:val="28"/>
        </w:rPr>
        <w:t xml:space="preserve">principio de unidad de materia </w:t>
      </w:r>
      <w:r w:rsidRPr="00D073E6">
        <w:rPr>
          <w:rFonts w:ascii="Times New Roman" w:hAnsi="Times New Roman" w:cs="Times New Roman"/>
          <w:sz w:val="28"/>
          <w:szCs w:val="28"/>
        </w:rPr>
        <w:t xml:space="preserve">previsto en los artículos 150.3, 158 y 339 de la Constitución y 5 de la Ley 152 de 1994, </w:t>
      </w:r>
      <w:r w:rsidRPr="00D073E6">
        <w:rPr>
          <w:rFonts w:ascii="Times New Roman" w:hAnsi="Times New Roman" w:cs="Times New Roman"/>
          <w:i/>
          <w:iCs/>
          <w:sz w:val="28"/>
          <w:szCs w:val="28"/>
        </w:rPr>
        <w:t>“Por la cual se establece la Ley Orgánica del Plan Nacional de Desarrollo”</w:t>
      </w:r>
      <w:r w:rsidRPr="00D073E6">
        <w:rPr>
          <w:rFonts w:ascii="Times New Roman" w:hAnsi="Times New Roman" w:cs="Times New Roman"/>
          <w:sz w:val="28"/>
          <w:szCs w:val="28"/>
        </w:rPr>
        <w:t>.</w:t>
      </w:r>
    </w:p>
    <w:p w:rsidR="00504EF4" w:rsidRPr="00D073E6" w:rsidRDefault="00D073E6" w:rsidP="00504EF4">
      <w:pPr>
        <w:pStyle w:val="Prrafodelista"/>
        <w:tabs>
          <w:tab w:val="left" w:pos="426"/>
        </w:tabs>
        <w:ind w:left="0"/>
        <w:contextualSpacing w:val="0"/>
        <w:jc w:val="both"/>
        <w:rPr>
          <w:rFonts w:ascii="Times New Roman" w:hAnsi="Times New Roman" w:cs="Times New Roman"/>
          <w:sz w:val="28"/>
        </w:rPr>
      </w:pPr>
    </w:p>
    <w:p w:rsidR="00DF66C9" w:rsidRPr="00D073E6" w:rsidRDefault="00D073E6" w:rsidP="00770A23">
      <w:pPr>
        <w:pStyle w:val="Prrafodelista"/>
        <w:numPr>
          <w:ilvl w:val="0"/>
          <w:numId w:val="2"/>
        </w:numPr>
        <w:tabs>
          <w:tab w:val="left" w:pos="426"/>
        </w:tabs>
        <w:ind w:left="0" w:firstLine="0"/>
        <w:contextualSpacing w:val="0"/>
        <w:jc w:val="both"/>
        <w:rPr>
          <w:rFonts w:ascii="Times New Roman" w:hAnsi="Times New Roman" w:cs="Times New Roman"/>
          <w:sz w:val="28"/>
        </w:rPr>
      </w:pPr>
      <w:r w:rsidRPr="00D073E6">
        <w:rPr>
          <w:rFonts w:ascii="Times New Roman" w:hAnsi="Times New Roman" w:cs="Times New Roman"/>
          <w:sz w:val="28"/>
          <w:szCs w:val="28"/>
        </w:rPr>
        <w:t>La demanda fue repartida al despacho del magistrado ponente</w:t>
      </w:r>
      <w:r w:rsidRPr="00D073E6">
        <w:rPr>
          <w:rFonts w:ascii="Times New Roman" w:hAnsi="Times New Roman" w:cs="Times New Roman"/>
          <w:sz w:val="28"/>
          <w:szCs w:val="28"/>
        </w:rPr>
        <w:t xml:space="preserve"> en sesión de la Sala Plena del </w:t>
      </w:r>
      <w:r w:rsidRPr="00D073E6">
        <w:rPr>
          <w:rFonts w:ascii="Times New Roman" w:hAnsi="Times New Roman" w:cs="Times New Roman"/>
          <w:sz w:val="28"/>
          <w:szCs w:val="28"/>
        </w:rPr>
        <w:t>11 de octubre de 2023</w:t>
      </w:r>
      <w:r w:rsidRPr="00D073E6">
        <w:rPr>
          <w:rStyle w:val="Refdenotaalpie"/>
          <w:rFonts w:ascii="Times New Roman" w:hAnsi="Times New Roman" w:cs="Times New Roman"/>
          <w:sz w:val="28"/>
          <w:szCs w:val="28"/>
        </w:rPr>
        <w:footnoteReference w:id="1"/>
      </w:r>
      <w:r w:rsidRPr="00D073E6">
        <w:rPr>
          <w:rFonts w:ascii="Times New Roman" w:hAnsi="Times New Roman" w:cs="Times New Roman"/>
          <w:sz w:val="28"/>
          <w:szCs w:val="28"/>
        </w:rPr>
        <w:t>.</w:t>
      </w:r>
      <w:r w:rsidRPr="00D073E6">
        <w:rPr>
          <w:rFonts w:ascii="Times New Roman" w:hAnsi="Times New Roman" w:cs="Times New Roman"/>
          <w:sz w:val="28"/>
        </w:rPr>
        <w:t xml:space="preserve"> </w:t>
      </w:r>
      <w:r w:rsidRPr="00D073E6">
        <w:rPr>
          <w:rFonts w:ascii="Times New Roman" w:hAnsi="Times New Roman" w:cs="Times New Roman"/>
          <w:sz w:val="28"/>
          <w:szCs w:val="28"/>
        </w:rPr>
        <w:t>Mediante Auto del 30 de octubre de 202</w:t>
      </w:r>
      <w:r w:rsidRPr="00D073E6">
        <w:rPr>
          <w:rFonts w:ascii="Times New Roman" w:hAnsi="Times New Roman" w:cs="Times New Roman"/>
          <w:sz w:val="28"/>
          <w:szCs w:val="28"/>
        </w:rPr>
        <w:t>3</w:t>
      </w:r>
      <w:r w:rsidRPr="00D073E6">
        <w:rPr>
          <w:rFonts w:ascii="Times New Roman" w:hAnsi="Times New Roman" w:cs="Times New Roman"/>
          <w:sz w:val="28"/>
          <w:szCs w:val="28"/>
        </w:rPr>
        <w:t xml:space="preserve"> se</w:t>
      </w:r>
      <w:r w:rsidRPr="00D073E6">
        <w:rPr>
          <w:rFonts w:ascii="Times New Roman" w:hAnsi="Times New Roman" w:cs="Times New Roman"/>
          <w:sz w:val="28"/>
          <w:szCs w:val="28"/>
        </w:rPr>
        <w:t xml:space="preserve"> admitió </w:t>
      </w:r>
      <w:r w:rsidRPr="00D073E6">
        <w:rPr>
          <w:rFonts w:ascii="Times New Roman" w:hAnsi="Times New Roman" w:cs="Times New Roman"/>
          <w:sz w:val="28"/>
          <w:szCs w:val="28"/>
        </w:rPr>
        <w:t>el libelo</w:t>
      </w:r>
      <w:r w:rsidRPr="00D073E6">
        <w:rPr>
          <w:rFonts w:ascii="Times New Roman" w:hAnsi="Times New Roman" w:cs="Times New Roman"/>
          <w:sz w:val="28"/>
          <w:szCs w:val="28"/>
        </w:rPr>
        <w:t xml:space="preserve"> y</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se </w:t>
      </w:r>
      <w:r w:rsidRPr="00D073E6">
        <w:rPr>
          <w:rFonts w:ascii="Times New Roman" w:hAnsi="Times New Roman" w:cs="Times New Roman"/>
          <w:sz w:val="28"/>
          <w:szCs w:val="28"/>
        </w:rPr>
        <w:t xml:space="preserve">ordenó que se hicieran las comunicaciones correspondientes al </w:t>
      </w:r>
      <w:r w:rsidRPr="00D073E6">
        <w:rPr>
          <w:rFonts w:ascii="Times New Roman" w:hAnsi="Times New Roman" w:cs="Times New Roman"/>
          <w:sz w:val="28"/>
          <w:szCs w:val="28"/>
        </w:rPr>
        <w:t>p</w:t>
      </w:r>
      <w:r w:rsidRPr="00D073E6">
        <w:rPr>
          <w:rFonts w:ascii="Times New Roman" w:hAnsi="Times New Roman" w:cs="Times New Roman"/>
          <w:sz w:val="28"/>
          <w:szCs w:val="28"/>
        </w:rPr>
        <w:t xml:space="preserve">residente de la República, </w:t>
      </w:r>
      <w:r w:rsidRPr="00D073E6">
        <w:rPr>
          <w:rFonts w:ascii="Times New Roman" w:hAnsi="Times New Roman" w:cs="Times New Roman"/>
          <w:sz w:val="28"/>
          <w:szCs w:val="28"/>
        </w:rPr>
        <w:t>el</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m</w:t>
      </w:r>
      <w:r w:rsidRPr="00D073E6">
        <w:rPr>
          <w:rFonts w:ascii="Times New Roman" w:hAnsi="Times New Roman" w:cs="Times New Roman"/>
          <w:sz w:val="28"/>
          <w:szCs w:val="28"/>
        </w:rPr>
        <w:t xml:space="preserve">inistro de Hacienda y Crédito Público, </w:t>
      </w:r>
      <w:r w:rsidRPr="00D073E6">
        <w:rPr>
          <w:rFonts w:ascii="Times New Roman" w:hAnsi="Times New Roman" w:cs="Times New Roman"/>
          <w:sz w:val="28"/>
          <w:szCs w:val="28"/>
        </w:rPr>
        <w:t>a</w:t>
      </w:r>
      <w:r w:rsidRPr="00D073E6">
        <w:rPr>
          <w:rFonts w:ascii="Times New Roman" w:hAnsi="Times New Roman" w:cs="Times New Roman"/>
          <w:sz w:val="28"/>
          <w:szCs w:val="28"/>
        </w:rPr>
        <w:t xml:space="preserve">l </w:t>
      </w:r>
      <w:r w:rsidRPr="00D073E6">
        <w:rPr>
          <w:rFonts w:ascii="Times New Roman" w:hAnsi="Times New Roman" w:cs="Times New Roman"/>
          <w:sz w:val="28"/>
          <w:szCs w:val="28"/>
        </w:rPr>
        <w:t>d</w:t>
      </w:r>
      <w:r w:rsidRPr="00D073E6">
        <w:rPr>
          <w:rFonts w:ascii="Times New Roman" w:hAnsi="Times New Roman" w:cs="Times New Roman"/>
          <w:sz w:val="28"/>
          <w:szCs w:val="28"/>
        </w:rPr>
        <w:t>irector del Departamento Nacional de Planeación</w:t>
      </w:r>
      <w:r w:rsidRPr="00D073E6">
        <w:rPr>
          <w:rFonts w:ascii="Times New Roman" w:hAnsi="Times New Roman" w:cs="Times New Roman"/>
          <w:sz w:val="28"/>
          <w:szCs w:val="28"/>
        </w:rPr>
        <w:t xml:space="preserve"> y</w:t>
      </w:r>
      <w:r w:rsidRPr="00D073E6">
        <w:rPr>
          <w:rFonts w:ascii="Times New Roman" w:hAnsi="Times New Roman" w:cs="Times New Roman"/>
          <w:sz w:val="28"/>
          <w:szCs w:val="28"/>
        </w:rPr>
        <w:t xml:space="preserve"> a</w:t>
      </w:r>
      <w:r w:rsidRPr="00D073E6">
        <w:rPr>
          <w:rFonts w:ascii="Times New Roman" w:hAnsi="Times New Roman" w:cs="Times New Roman"/>
          <w:sz w:val="28"/>
          <w:szCs w:val="28"/>
        </w:rPr>
        <w:t xml:space="preserve"> los </w:t>
      </w:r>
      <w:r w:rsidRPr="00D073E6">
        <w:rPr>
          <w:rFonts w:ascii="Times New Roman" w:hAnsi="Times New Roman" w:cs="Times New Roman"/>
          <w:sz w:val="28"/>
          <w:szCs w:val="28"/>
        </w:rPr>
        <w:t>p</w:t>
      </w:r>
      <w:r w:rsidRPr="00D073E6">
        <w:rPr>
          <w:rFonts w:ascii="Times New Roman" w:hAnsi="Times New Roman" w:cs="Times New Roman"/>
          <w:sz w:val="28"/>
          <w:szCs w:val="28"/>
        </w:rPr>
        <w:t>residentes del Senado de la República y de la Cámara de Representantes, para que</w:t>
      </w:r>
      <w:r w:rsidRPr="00D073E6">
        <w:rPr>
          <w:rFonts w:ascii="Times New Roman" w:hAnsi="Times New Roman" w:cs="Times New Roman"/>
          <w:sz w:val="28"/>
          <w:szCs w:val="28"/>
        </w:rPr>
        <w:t xml:space="preserve"> intervinie</w:t>
      </w:r>
      <w:r w:rsidRPr="00D073E6">
        <w:rPr>
          <w:rFonts w:ascii="Times New Roman" w:hAnsi="Times New Roman" w:cs="Times New Roman"/>
          <w:sz w:val="28"/>
          <w:szCs w:val="28"/>
        </w:rPr>
        <w:t>r</w:t>
      </w:r>
      <w:r w:rsidRPr="00D073E6">
        <w:rPr>
          <w:rFonts w:ascii="Times New Roman" w:hAnsi="Times New Roman" w:cs="Times New Roman"/>
          <w:sz w:val="28"/>
          <w:szCs w:val="28"/>
        </w:rPr>
        <w:t>e</w:t>
      </w:r>
      <w:r w:rsidRPr="00D073E6">
        <w:rPr>
          <w:rFonts w:ascii="Times New Roman" w:hAnsi="Times New Roman" w:cs="Times New Roman"/>
          <w:sz w:val="28"/>
          <w:szCs w:val="28"/>
        </w:rPr>
        <w:t>n</w:t>
      </w:r>
      <w:r w:rsidRPr="00D073E6">
        <w:rPr>
          <w:rFonts w:ascii="Times New Roman" w:hAnsi="Times New Roman" w:cs="Times New Roman"/>
          <w:sz w:val="28"/>
          <w:szCs w:val="28"/>
        </w:rPr>
        <w:t xml:space="preserve"> si lo</w:t>
      </w:r>
      <w:r w:rsidRPr="00D073E6">
        <w:rPr>
          <w:rFonts w:ascii="Times New Roman" w:hAnsi="Times New Roman" w:cs="Times New Roman"/>
          <w:sz w:val="28"/>
          <w:szCs w:val="28"/>
          <w:lang w:val="es-ES"/>
        </w:rPr>
        <w:t xml:space="preserve"> considera</w:t>
      </w:r>
      <w:r w:rsidRPr="00D073E6">
        <w:rPr>
          <w:rFonts w:ascii="Times New Roman" w:hAnsi="Times New Roman" w:cs="Times New Roman"/>
          <w:sz w:val="28"/>
          <w:szCs w:val="28"/>
          <w:lang w:val="es-ES"/>
        </w:rPr>
        <w:t>ban</w:t>
      </w:r>
      <w:r w:rsidRPr="00D073E6">
        <w:rPr>
          <w:rFonts w:ascii="Times New Roman" w:hAnsi="Times New Roman" w:cs="Times New Roman"/>
          <w:sz w:val="28"/>
          <w:szCs w:val="28"/>
          <w:lang w:val="es-ES"/>
        </w:rPr>
        <w:t xml:space="preserve"> oportuno; se fijara en lista el proceso</w:t>
      </w:r>
      <w:r w:rsidRPr="00D073E6">
        <w:rPr>
          <w:rFonts w:ascii="Times New Roman" w:hAnsi="Times New Roman" w:cs="Times New Roman"/>
          <w:sz w:val="28"/>
          <w:szCs w:val="28"/>
          <w:lang w:val="es-ES"/>
        </w:rPr>
        <w:t xml:space="preserve"> para recibir intervenciones ciudadanas</w:t>
      </w:r>
      <w:r w:rsidRPr="00D073E6">
        <w:rPr>
          <w:rFonts w:ascii="Times New Roman" w:hAnsi="Times New Roman" w:cs="Times New Roman"/>
          <w:sz w:val="28"/>
          <w:szCs w:val="28"/>
          <w:lang w:val="es-ES"/>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y </w:t>
      </w:r>
      <w:r w:rsidRPr="00D073E6">
        <w:rPr>
          <w:rFonts w:ascii="Times New Roman" w:hAnsi="Times New Roman" w:cs="Times New Roman"/>
          <w:sz w:val="28"/>
          <w:szCs w:val="28"/>
          <w:lang w:val="es-ES"/>
        </w:rPr>
        <w:t xml:space="preserve">se diera traslado a la </w:t>
      </w:r>
      <w:r w:rsidRPr="00D073E6">
        <w:rPr>
          <w:rFonts w:ascii="Times New Roman" w:hAnsi="Times New Roman" w:cs="Times New Roman"/>
          <w:sz w:val="28"/>
          <w:szCs w:val="28"/>
          <w:lang w:val="es-ES"/>
        </w:rPr>
        <w:t>p</w:t>
      </w:r>
      <w:r w:rsidRPr="00D073E6">
        <w:rPr>
          <w:rFonts w:ascii="Times New Roman" w:hAnsi="Times New Roman" w:cs="Times New Roman"/>
          <w:sz w:val="28"/>
          <w:szCs w:val="28"/>
          <w:lang w:val="es-ES"/>
        </w:rPr>
        <w:t>rocuradora General de la Nación para que rindiese el concepto a su cargo.</w:t>
      </w:r>
    </w:p>
    <w:p w:rsidR="00DF66C9" w:rsidRPr="00D073E6" w:rsidRDefault="00D073E6" w:rsidP="00DF66C9">
      <w:pPr>
        <w:pStyle w:val="Prrafodelista"/>
        <w:rPr>
          <w:rFonts w:ascii="Times New Roman" w:hAnsi="Times New Roman" w:cs="Times New Roman"/>
          <w:sz w:val="28"/>
          <w:szCs w:val="28"/>
          <w:lang w:val="es-ES"/>
        </w:rPr>
      </w:pPr>
    </w:p>
    <w:p w:rsidR="00DF66C9"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lang w:val="es-ES"/>
        </w:rPr>
        <w:t>A</w:t>
      </w:r>
      <w:r w:rsidRPr="00D073E6">
        <w:rPr>
          <w:rFonts w:ascii="Times New Roman" w:hAnsi="Times New Roman" w:cs="Times New Roman"/>
          <w:sz w:val="28"/>
          <w:szCs w:val="28"/>
          <w:lang w:val="es-ES"/>
        </w:rPr>
        <w:t>dicionalmente</w:t>
      </w:r>
      <w:r w:rsidRPr="00D073E6">
        <w:rPr>
          <w:rFonts w:ascii="Times New Roman" w:hAnsi="Times New Roman" w:cs="Times New Roman"/>
          <w:sz w:val="28"/>
          <w:szCs w:val="28"/>
          <w:lang w:val="es-ES"/>
        </w:rPr>
        <w:t>, se invitó a rendir concepto a la Academia Colombiana de Jurisprudencia, al Instituto Colombiano de Derecho Procesal, al Colegio Colombiano de</w:t>
      </w:r>
      <w:r w:rsidRPr="00D073E6">
        <w:rPr>
          <w:rFonts w:ascii="Times New Roman" w:hAnsi="Times New Roman" w:cs="Times New Roman"/>
          <w:sz w:val="28"/>
          <w:szCs w:val="28"/>
          <w:lang w:val="es-ES"/>
        </w:rPr>
        <w:t xml:space="preserve"> Abogados Administrativistas y a las Facultades de Derecho de las Universidades de Antioquia, los Andes, Externado de Colombia, </w:t>
      </w:r>
      <w:r w:rsidRPr="00D073E6">
        <w:rPr>
          <w:rFonts w:ascii="Times New Roman" w:hAnsi="Times New Roman" w:cs="Times New Roman"/>
          <w:sz w:val="28"/>
          <w:szCs w:val="28"/>
          <w:lang w:val="es-ES"/>
        </w:rPr>
        <w:t xml:space="preserve">la </w:t>
      </w:r>
      <w:r w:rsidRPr="00D073E6">
        <w:rPr>
          <w:rFonts w:ascii="Times New Roman" w:hAnsi="Times New Roman" w:cs="Times New Roman"/>
          <w:sz w:val="28"/>
          <w:szCs w:val="28"/>
          <w:lang w:val="es-ES"/>
        </w:rPr>
        <w:t>Javeriana, Libre, Nacional de Colombia, del Norte, de Nariño, Pontificia Bolivariana, del Rosario y Sergio Arboleda</w:t>
      </w:r>
      <w:r w:rsidRPr="00D073E6">
        <w:rPr>
          <w:rFonts w:ascii="Times New Roman" w:hAnsi="Times New Roman" w:cs="Times New Roman"/>
          <w:sz w:val="28"/>
          <w:szCs w:val="28"/>
          <w:lang w:val="es-ES"/>
        </w:rPr>
        <w:t>.</w:t>
      </w:r>
    </w:p>
    <w:p w:rsidR="00962A2C" w:rsidRPr="00D073E6" w:rsidRDefault="00D073E6" w:rsidP="00962A2C">
      <w:pPr>
        <w:tabs>
          <w:tab w:val="left" w:pos="426"/>
        </w:tabs>
        <w:jc w:val="both"/>
        <w:rPr>
          <w:rFonts w:ascii="Times New Roman" w:hAnsi="Times New Roman" w:cs="Times New Roman"/>
          <w:b/>
          <w:bCs/>
          <w:sz w:val="28"/>
          <w:szCs w:val="28"/>
        </w:rPr>
      </w:pPr>
    </w:p>
    <w:p w:rsidR="00962A2C" w:rsidRPr="00D073E6" w:rsidRDefault="00D073E6" w:rsidP="00962A2C">
      <w:pPr>
        <w:pStyle w:val="Prrafodelista"/>
        <w:numPr>
          <w:ilvl w:val="0"/>
          <w:numId w:val="2"/>
        </w:numPr>
        <w:tabs>
          <w:tab w:val="left" w:pos="426"/>
        </w:tabs>
        <w:ind w:left="0" w:firstLine="0"/>
        <w:contextualSpacing w:val="0"/>
        <w:jc w:val="both"/>
        <w:rPr>
          <w:rFonts w:ascii="Times New Roman" w:hAnsi="Times New Roman" w:cs="Times New Roman"/>
          <w:i/>
          <w:iCs/>
          <w:sz w:val="28"/>
          <w:szCs w:val="28"/>
        </w:rPr>
      </w:pPr>
      <w:r w:rsidRPr="00D073E6">
        <w:rPr>
          <w:rFonts w:ascii="Times New Roman" w:hAnsi="Times New Roman" w:cs="Times New Roman"/>
          <w:sz w:val="28"/>
          <w:szCs w:val="28"/>
        </w:rPr>
        <w:t>Mediante Auto 1092 de</w:t>
      </w:r>
      <w:r w:rsidRPr="00D073E6">
        <w:rPr>
          <w:rFonts w:ascii="Times New Roman" w:hAnsi="Times New Roman" w:cs="Times New Roman"/>
          <w:sz w:val="28"/>
          <w:szCs w:val="28"/>
        </w:rPr>
        <w:t>l 19 de junio de</w:t>
      </w:r>
      <w:r w:rsidRPr="00D073E6">
        <w:rPr>
          <w:rFonts w:ascii="Times New Roman" w:hAnsi="Times New Roman" w:cs="Times New Roman"/>
          <w:sz w:val="28"/>
          <w:szCs w:val="28"/>
        </w:rPr>
        <w:t xml:space="preserve"> 2024</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la Sala Plena de la Corte Constitucional</w:t>
      </w:r>
      <w:r w:rsidRPr="00D073E6">
        <w:rPr>
          <w:rFonts w:ascii="Times New Roman" w:hAnsi="Times New Roman" w:cs="Times New Roman"/>
          <w:sz w:val="28"/>
          <w:szCs w:val="28"/>
        </w:rPr>
        <w:t xml:space="preserve"> resolvió declarar fundado el impedimento manifestado por el magistrado Vladimir Fernández</w:t>
      </w:r>
      <w:r w:rsidRPr="00D073E6">
        <w:rPr>
          <w:rFonts w:ascii="Times New Roman" w:hAnsi="Times New Roman" w:cs="Times New Roman"/>
          <w:sz w:val="28"/>
          <w:szCs w:val="28"/>
        </w:rPr>
        <w:t xml:space="preserve"> Andrade para participar en la decisión</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El magistrado </w:t>
      </w:r>
      <w:r w:rsidRPr="00D073E6">
        <w:rPr>
          <w:rFonts w:ascii="Times New Roman" w:hAnsi="Times New Roman" w:cs="Times New Roman"/>
          <w:sz w:val="28"/>
          <w:szCs w:val="28"/>
        </w:rPr>
        <w:t>Fernández se encuentra</w:t>
      </w:r>
      <w:r w:rsidRPr="00D073E6">
        <w:rPr>
          <w:rFonts w:ascii="Times New Roman" w:hAnsi="Times New Roman" w:cs="Times New Roman"/>
          <w:sz w:val="28"/>
          <w:szCs w:val="28"/>
        </w:rPr>
        <w:t xml:space="preserve"> incu</w:t>
      </w:r>
      <w:r w:rsidRPr="00D073E6">
        <w:rPr>
          <w:rFonts w:ascii="Times New Roman" w:hAnsi="Times New Roman" w:cs="Times New Roman"/>
          <w:sz w:val="28"/>
          <w:szCs w:val="28"/>
        </w:rPr>
        <w:t xml:space="preserve">rso en la causal de haber intervenido en la expedición de la norma </w:t>
      </w:r>
      <w:r w:rsidRPr="00D073E6">
        <w:rPr>
          <w:rFonts w:ascii="Times New Roman" w:hAnsi="Times New Roman" w:cs="Times New Roman"/>
          <w:sz w:val="28"/>
          <w:szCs w:val="28"/>
        </w:rPr>
        <w:t>acusada,</w:t>
      </w:r>
      <w:r w:rsidRPr="00D073E6">
        <w:rPr>
          <w:rFonts w:ascii="Times New Roman" w:hAnsi="Times New Roman" w:cs="Times New Roman"/>
          <w:sz w:val="28"/>
          <w:szCs w:val="28"/>
        </w:rPr>
        <w:t xml:space="preserve"> establecida en</w:t>
      </w:r>
      <w:r w:rsidRPr="00D073E6">
        <w:rPr>
          <w:rFonts w:ascii="Times New Roman" w:hAnsi="Times New Roman" w:cs="Times New Roman"/>
          <w:sz w:val="28"/>
          <w:szCs w:val="28"/>
        </w:rPr>
        <w:t xml:space="preserve"> el artículo 25 del Decreto Ley 20</w:t>
      </w:r>
      <w:r w:rsidRPr="00D073E6">
        <w:rPr>
          <w:rFonts w:ascii="Times New Roman" w:hAnsi="Times New Roman" w:cs="Times New Roman"/>
          <w:sz w:val="28"/>
          <w:szCs w:val="28"/>
        </w:rPr>
        <w:t>67 de 1991</w:t>
      </w:r>
      <w:r w:rsidRPr="00D073E6">
        <w:rPr>
          <w:rFonts w:ascii="Times New Roman" w:hAnsi="Times New Roman" w:cs="Times New Roman"/>
          <w:sz w:val="28"/>
          <w:szCs w:val="28"/>
        </w:rPr>
        <w:t>. Ello</w:t>
      </w:r>
      <w:r w:rsidRPr="00D073E6">
        <w:rPr>
          <w:rFonts w:ascii="Times New Roman" w:hAnsi="Times New Roman" w:cs="Times New Roman"/>
          <w:sz w:val="28"/>
          <w:szCs w:val="28"/>
        </w:rPr>
        <w:t xml:space="preserve"> ocurrió cuando </w:t>
      </w:r>
      <w:r w:rsidRPr="00D073E6">
        <w:rPr>
          <w:rFonts w:ascii="Times New Roman" w:hAnsi="Times New Roman" w:cs="Times New Roman"/>
          <w:sz w:val="28"/>
          <w:szCs w:val="28"/>
        </w:rPr>
        <w:t xml:space="preserve">él </w:t>
      </w:r>
      <w:r w:rsidRPr="00D073E6">
        <w:rPr>
          <w:rFonts w:ascii="Times New Roman" w:hAnsi="Times New Roman" w:cs="Times New Roman"/>
          <w:sz w:val="28"/>
          <w:szCs w:val="28"/>
        </w:rPr>
        <w:t>se desempeñaba como secretario jurídico en el Departamento Administrativo de la Presidencia de la</w:t>
      </w:r>
      <w:r w:rsidRPr="00D073E6">
        <w:rPr>
          <w:rFonts w:ascii="Times New Roman" w:hAnsi="Times New Roman" w:cs="Times New Roman"/>
          <w:sz w:val="28"/>
          <w:szCs w:val="28"/>
        </w:rPr>
        <w:t xml:space="preserve"> República</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2"/>
      </w:r>
    </w:p>
    <w:p w:rsidR="00DA72CE" w:rsidRPr="00D073E6" w:rsidRDefault="00D073E6" w:rsidP="00DA72CE">
      <w:pPr>
        <w:pStyle w:val="Prrafodelista"/>
        <w:tabs>
          <w:tab w:val="left" w:pos="426"/>
        </w:tabs>
        <w:ind w:left="0"/>
        <w:contextualSpacing w:val="0"/>
        <w:jc w:val="both"/>
        <w:rPr>
          <w:rFonts w:ascii="Times New Roman" w:hAnsi="Times New Roman" w:cs="Times New Roman"/>
          <w:i/>
          <w:iCs/>
          <w:sz w:val="28"/>
          <w:szCs w:val="28"/>
        </w:rPr>
      </w:pPr>
    </w:p>
    <w:p w:rsidR="003458B4" w:rsidRPr="00D073E6" w:rsidRDefault="00D073E6" w:rsidP="00962A2C">
      <w:pPr>
        <w:pStyle w:val="Prrafodelista"/>
        <w:numPr>
          <w:ilvl w:val="0"/>
          <w:numId w:val="2"/>
        </w:numPr>
        <w:tabs>
          <w:tab w:val="left" w:pos="426"/>
        </w:tabs>
        <w:ind w:left="0" w:firstLine="0"/>
        <w:contextualSpacing w:val="0"/>
        <w:jc w:val="both"/>
        <w:rPr>
          <w:rFonts w:ascii="Times New Roman" w:hAnsi="Times New Roman" w:cs="Times New Roman"/>
          <w:i/>
          <w:iCs/>
          <w:sz w:val="28"/>
          <w:szCs w:val="28"/>
        </w:rPr>
      </w:pPr>
      <w:r w:rsidRPr="00D073E6">
        <w:rPr>
          <w:rFonts w:ascii="Times New Roman" w:hAnsi="Times New Roman" w:cs="Times New Roman"/>
          <w:sz w:val="28"/>
          <w:szCs w:val="28"/>
        </w:rPr>
        <w:t>A través de</w:t>
      </w:r>
      <w:r w:rsidRPr="00D073E6">
        <w:rPr>
          <w:rFonts w:ascii="Times New Roman" w:hAnsi="Times New Roman" w:cs="Times New Roman"/>
          <w:sz w:val="28"/>
          <w:szCs w:val="28"/>
        </w:rPr>
        <w:t xml:space="preserve"> sendos</w:t>
      </w:r>
      <w:r w:rsidRPr="00D073E6">
        <w:rPr>
          <w:rFonts w:ascii="Times New Roman" w:hAnsi="Times New Roman" w:cs="Times New Roman"/>
          <w:sz w:val="28"/>
          <w:szCs w:val="28"/>
        </w:rPr>
        <w:t xml:space="preserve"> escritos enviados a la Secretaría General de la Corte </w:t>
      </w:r>
      <w:r w:rsidRPr="00D073E6">
        <w:rPr>
          <w:rFonts w:ascii="Times New Roman" w:hAnsi="Times New Roman" w:cs="Times New Roman"/>
          <w:sz w:val="28"/>
          <w:szCs w:val="28"/>
        </w:rPr>
        <w:t>los días 15 de mayo</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12</w:t>
      </w:r>
      <w:r w:rsidRPr="00D073E6">
        <w:rPr>
          <w:rFonts w:ascii="Times New Roman" w:hAnsi="Times New Roman" w:cs="Times New Roman"/>
          <w:sz w:val="28"/>
          <w:szCs w:val="28"/>
        </w:rPr>
        <w:t xml:space="preserve"> y 28</w:t>
      </w:r>
      <w:r w:rsidRPr="00D073E6">
        <w:rPr>
          <w:rFonts w:ascii="Times New Roman" w:hAnsi="Times New Roman" w:cs="Times New Roman"/>
          <w:sz w:val="28"/>
          <w:szCs w:val="28"/>
        </w:rPr>
        <w:t xml:space="preserve"> de junio</w:t>
      </w:r>
      <w:r w:rsidRPr="00D073E6">
        <w:rPr>
          <w:rFonts w:ascii="Times New Roman" w:hAnsi="Times New Roman" w:cs="Times New Roman"/>
          <w:sz w:val="28"/>
          <w:szCs w:val="28"/>
        </w:rPr>
        <w:t xml:space="preserve"> de 2023</w:t>
      </w:r>
      <w:r w:rsidRPr="00D073E6">
        <w:rPr>
          <w:rFonts w:ascii="Times New Roman" w:hAnsi="Times New Roman" w:cs="Times New Roman"/>
          <w:sz w:val="28"/>
          <w:szCs w:val="28"/>
        </w:rPr>
        <w:t>, la ministra de Agricultura y Desarr</w:t>
      </w:r>
      <w:r w:rsidRPr="00D073E6">
        <w:rPr>
          <w:rFonts w:ascii="Times New Roman" w:hAnsi="Times New Roman" w:cs="Times New Roman"/>
          <w:sz w:val="28"/>
          <w:szCs w:val="28"/>
        </w:rPr>
        <w:t xml:space="preserve">ollo </w:t>
      </w:r>
      <w:r w:rsidRPr="00D073E6">
        <w:rPr>
          <w:rFonts w:ascii="Times New Roman" w:hAnsi="Times New Roman" w:cs="Times New Roman"/>
          <w:sz w:val="28"/>
          <w:szCs w:val="28"/>
        </w:rPr>
        <w:t>Rural</w:t>
      </w:r>
      <w:r w:rsidRPr="00D073E6">
        <w:rPr>
          <w:rFonts w:ascii="Times New Roman" w:hAnsi="Times New Roman" w:cs="Times New Roman"/>
          <w:sz w:val="28"/>
          <w:szCs w:val="28"/>
        </w:rPr>
        <w:t xml:space="preserve"> y</w:t>
      </w:r>
      <w:r w:rsidRPr="00D073E6">
        <w:rPr>
          <w:rFonts w:ascii="Times New Roman" w:hAnsi="Times New Roman" w:cs="Times New Roman"/>
          <w:sz w:val="28"/>
          <w:szCs w:val="28"/>
        </w:rPr>
        <w:t xml:space="preserve"> la Agencia Nacional de Tierras elevaron </w:t>
      </w:r>
      <w:r w:rsidRPr="00D073E6">
        <w:rPr>
          <w:rFonts w:ascii="Times New Roman" w:hAnsi="Times New Roman" w:cs="Times New Roman"/>
          <w:sz w:val="28"/>
          <w:szCs w:val="28"/>
        </w:rPr>
        <w:t xml:space="preserve">y reiteraron </w:t>
      </w:r>
      <w:r w:rsidRPr="00D073E6">
        <w:rPr>
          <w:rFonts w:ascii="Times New Roman" w:hAnsi="Times New Roman" w:cs="Times New Roman"/>
          <w:sz w:val="28"/>
          <w:szCs w:val="28"/>
        </w:rPr>
        <w:t xml:space="preserve">solicitud de </w:t>
      </w:r>
      <w:r w:rsidRPr="00D073E6">
        <w:rPr>
          <w:rFonts w:ascii="Times New Roman" w:hAnsi="Times New Roman" w:cs="Times New Roman"/>
          <w:sz w:val="28"/>
          <w:szCs w:val="28"/>
        </w:rPr>
        <w:t>celebración de audiencia pública</w:t>
      </w:r>
      <w:r w:rsidRPr="00D073E6">
        <w:rPr>
          <w:rFonts w:ascii="Times New Roman" w:hAnsi="Times New Roman" w:cs="Times New Roman"/>
          <w:sz w:val="28"/>
          <w:szCs w:val="28"/>
        </w:rPr>
        <w:t xml:space="preserve"> respecto de las demandas instauradas contra el artículo 61 de la Ley 2294 de 2023.</w:t>
      </w:r>
      <w:r w:rsidRPr="00D073E6">
        <w:rPr>
          <w:rFonts w:ascii="Times New Roman" w:hAnsi="Times New Roman" w:cs="Times New Roman"/>
          <w:sz w:val="28"/>
          <w:szCs w:val="28"/>
        </w:rPr>
        <w:t xml:space="preserve"> Esta solicitud será resuelta en la parte resolutiva de este </w:t>
      </w:r>
      <w:r w:rsidRPr="00D073E6">
        <w:rPr>
          <w:rFonts w:ascii="Times New Roman" w:hAnsi="Times New Roman" w:cs="Times New Roman"/>
          <w:sz w:val="28"/>
          <w:szCs w:val="28"/>
        </w:rPr>
        <w:t>proveído, en lo que respecta al presente proceso.</w:t>
      </w:r>
    </w:p>
    <w:p w:rsidR="00A86FAE" w:rsidRPr="00D073E6" w:rsidRDefault="00D073E6" w:rsidP="00A86FAE">
      <w:pPr>
        <w:pStyle w:val="Prrafodelista"/>
        <w:rPr>
          <w:rFonts w:ascii="Times New Roman" w:hAnsi="Times New Roman" w:cs="Times New Roman"/>
          <w:i/>
          <w:iCs/>
          <w:sz w:val="28"/>
          <w:szCs w:val="28"/>
        </w:rPr>
      </w:pPr>
    </w:p>
    <w:p w:rsidR="00DF66C9" w:rsidRPr="00D073E6" w:rsidRDefault="00D073E6" w:rsidP="0014474D">
      <w:pPr>
        <w:pStyle w:val="Prrafodelista"/>
        <w:numPr>
          <w:ilvl w:val="0"/>
          <w:numId w:val="3"/>
        </w:numPr>
        <w:tabs>
          <w:tab w:val="left" w:pos="426"/>
        </w:tabs>
        <w:ind w:left="357" w:hanging="357"/>
        <w:jc w:val="both"/>
        <w:rPr>
          <w:rFonts w:ascii="Times New Roman" w:hAnsi="Times New Roman" w:cs="Times New Roman"/>
          <w:b/>
          <w:bCs/>
          <w:sz w:val="28"/>
          <w:szCs w:val="28"/>
          <w:u w:val="single"/>
        </w:rPr>
      </w:pPr>
      <w:r w:rsidRPr="00D073E6">
        <w:rPr>
          <w:rFonts w:ascii="Times New Roman" w:hAnsi="Times New Roman" w:cs="Times New Roman"/>
          <w:b/>
          <w:bCs/>
          <w:sz w:val="28"/>
          <w:szCs w:val="28"/>
          <w:u w:val="single"/>
        </w:rPr>
        <w:t>La norma demandada</w:t>
      </w:r>
    </w:p>
    <w:p w:rsidR="00DF66C9" w:rsidRPr="00D073E6" w:rsidRDefault="00D073E6" w:rsidP="00DF66C9">
      <w:pPr>
        <w:tabs>
          <w:tab w:val="left" w:pos="426"/>
        </w:tabs>
        <w:jc w:val="both"/>
        <w:rPr>
          <w:rFonts w:ascii="Times New Roman" w:hAnsi="Times New Roman" w:cs="Times New Roman"/>
          <w:i/>
          <w:iCs/>
          <w:sz w:val="28"/>
          <w:szCs w:val="28"/>
        </w:rPr>
      </w:pPr>
    </w:p>
    <w:p w:rsidR="00DF66C9"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i/>
          <w:iCs/>
          <w:sz w:val="28"/>
          <w:szCs w:val="28"/>
        </w:rPr>
      </w:pPr>
      <w:r w:rsidRPr="00D073E6">
        <w:rPr>
          <w:rFonts w:ascii="Times New Roman" w:hAnsi="Times New Roman" w:cs="Times New Roman"/>
          <w:sz w:val="28"/>
          <w:szCs w:val="28"/>
        </w:rPr>
        <w:t xml:space="preserve">El texto </w:t>
      </w:r>
      <w:r w:rsidRPr="00D073E6">
        <w:rPr>
          <w:rFonts w:ascii="Times New Roman" w:hAnsi="Times New Roman" w:cs="Times New Roman"/>
          <w:sz w:val="28"/>
          <w:szCs w:val="28"/>
        </w:rPr>
        <w:t xml:space="preserve">parcial </w:t>
      </w:r>
      <w:r w:rsidRPr="00D073E6">
        <w:rPr>
          <w:rFonts w:ascii="Times New Roman" w:hAnsi="Times New Roman" w:cs="Times New Roman"/>
          <w:sz w:val="28"/>
          <w:szCs w:val="28"/>
        </w:rPr>
        <w:t xml:space="preserve">del </w:t>
      </w:r>
      <w:r w:rsidRPr="00D073E6">
        <w:rPr>
          <w:rFonts w:ascii="Times New Roman" w:hAnsi="Times New Roman" w:cs="Times New Roman"/>
          <w:sz w:val="28"/>
          <w:szCs w:val="28"/>
        </w:rPr>
        <w:t>artículo</w:t>
      </w:r>
      <w:r w:rsidRPr="00D073E6">
        <w:rPr>
          <w:rFonts w:ascii="Times New Roman" w:hAnsi="Times New Roman" w:cs="Times New Roman"/>
          <w:sz w:val="28"/>
          <w:szCs w:val="28"/>
        </w:rPr>
        <w:t xml:space="preserve"> 61 de la Ley 2294 de 2023, con lo demandado en subrayas, es el siguiente: </w:t>
      </w:r>
    </w:p>
    <w:p w:rsidR="00DF66C9" w:rsidRPr="00D073E6" w:rsidRDefault="00D073E6" w:rsidP="00DF66C9">
      <w:pPr>
        <w:pStyle w:val="Prrafodelista"/>
        <w:tabs>
          <w:tab w:val="left" w:pos="426"/>
        </w:tabs>
        <w:ind w:left="0"/>
        <w:jc w:val="both"/>
        <w:rPr>
          <w:rFonts w:ascii="Times New Roman" w:hAnsi="Times New Roman" w:cs="Times New Roman"/>
          <w:sz w:val="28"/>
        </w:rPr>
      </w:pPr>
    </w:p>
    <w:p w:rsidR="00DF66C9" w:rsidRPr="00D073E6" w:rsidRDefault="00D073E6" w:rsidP="0079549D">
      <w:pPr>
        <w:pStyle w:val="Sinespaciado"/>
        <w:ind w:left="283" w:right="283"/>
        <w:jc w:val="center"/>
        <w:rPr>
          <w:rFonts w:ascii="Times New Roman" w:hAnsi="Times New Roman" w:cs="Times New Roman"/>
          <w:i/>
          <w:iCs/>
          <w:sz w:val="28"/>
          <w:szCs w:val="22"/>
        </w:rPr>
      </w:pPr>
      <w:r w:rsidRPr="00D073E6">
        <w:rPr>
          <w:rStyle w:val="baj"/>
          <w:rFonts w:ascii="Times New Roman" w:hAnsi="Times New Roman" w:cs="Times New Roman"/>
          <w:i/>
          <w:iCs/>
          <w:sz w:val="28"/>
          <w:szCs w:val="22"/>
        </w:rPr>
        <w:t>“</w:t>
      </w:r>
      <w:r w:rsidRPr="00D073E6">
        <w:rPr>
          <w:rFonts w:ascii="Times New Roman" w:hAnsi="Times New Roman" w:cs="Times New Roman"/>
          <w:b/>
          <w:bCs/>
          <w:i/>
          <w:iCs/>
          <w:sz w:val="28"/>
          <w:szCs w:val="22"/>
        </w:rPr>
        <w:t>Ley 2294 de 2023</w:t>
      </w:r>
      <w:r w:rsidRPr="00D073E6">
        <w:rPr>
          <w:rStyle w:val="Refdenotaalpie"/>
          <w:rFonts w:ascii="Times New Roman" w:hAnsi="Times New Roman" w:cs="Times New Roman"/>
          <w:i/>
          <w:iCs/>
          <w:sz w:val="28"/>
          <w:szCs w:val="22"/>
        </w:rPr>
        <w:footnoteReference w:id="3"/>
      </w:r>
    </w:p>
    <w:p w:rsidR="00DF66C9" w:rsidRPr="00D073E6" w:rsidRDefault="00D073E6" w:rsidP="00DF66C9">
      <w:pPr>
        <w:pStyle w:val="Sinespaciado"/>
        <w:ind w:left="720" w:right="720"/>
        <w:jc w:val="center"/>
        <w:rPr>
          <w:rFonts w:ascii="Times New Roman" w:hAnsi="Times New Roman" w:cs="Times New Roman"/>
          <w:i/>
          <w:iCs/>
          <w:sz w:val="28"/>
          <w:szCs w:val="22"/>
        </w:rPr>
      </w:pPr>
      <w:r w:rsidRPr="00D073E6">
        <w:rPr>
          <w:rFonts w:ascii="Times New Roman" w:hAnsi="Times New Roman" w:cs="Times New Roman"/>
          <w:i/>
          <w:iCs/>
          <w:sz w:val="28"/>
          <w:szCs w:val="22"/>
        </w:rPr>
        <w:t>Por la cual se expide el Plan Nacional de Desarrollo 2022-2026 Colombia potencia mundial de la vida”.</w:t>
      </w:r>
    </w:p>
    <w:p w:rsidR="00751439" w:rsidRPr="00D073E6" w:rsidRDefault="00D073E6" w:rsidP="00DF66C9">
      <w:pPr>
        <w:pStyle w:val="Sinespaciado"/>
        <w:ind w:left="720" w:right="720"/>
        <w:jc w:val="center"/>
        <w:rPr>
          <w:rFonts w:ascii="Times New Roman" w:hAnsi="Times New Roman" w:cs="Times New Roman"/>
          <w:i/>
          <w:iCs/>
          <w:sz w:val="28"/>
          <w:szCs w:val="22"/>
        </w:rPr>
      </w:pPr>
    </w:p>
    <w:p w:rsidR="00751439" w:rsidRPr="00D073E6" w:rsidRDefault="00D073E6" w:rsidP="00751439">
      <w:pPr>
        <w:pStyle w:val="centrado"/>
        <w:spacing w:before="0" w:beforeAutospacing="0" w:after="0" w:afterAutospacing="0"/>
        <w:ind w:left="284" w:right="284"/>
        <w:jc w:val="center"/>
        <w:rPr>
          <w:rStyle w:val="baj"/>
          <w:rFonts w:ascii="Times New Roman" w:hAnsi="Times New Roman" w:cs="Times New Roman"/>
          <w:b/>
          <w:i/>
          <w:iCs/>
          <w:sz w:val="28"/>
        </w:rPr>
      </w:pPr>
      <w:r w:rsidRPr="00D073E6">
        <w:rPr>
          <w:rStyle w:val="baj"/>
          <w:rFonts w:ascii="Times New Roman" w:hAnsi="Times New Roman" w:cs="Times New Roman"/>
          <w:b/>
          <w:i/>
          <w:iCs/>
          <w:sz w:val="28"/>
        </w:rPr>
        <w:t>EL CONGRESO DE COLOMBIA</w:t>
      </w:r>
    </w:p>
    <w:p w:rsidR="00751439" w:rsidRPr="00D073E6" w:rsidRDefault="00D073E6" w:rsidP="00751439">
      <w:pPr>
        <w:pStyle w:val="centrado"/>
        <w:spacing w:before="0" w:beforeAutospacing="0" w:after="0" w:afterAutospacing="0"/>
        <w:ind w:left="284" w:right="284"/>
        <w:jc w:val="center"/>
        <w:rPr>
          <w:rStyle w:val="baj"/>
          <w:rFonts w:ascii="Times New Roman" w:hAnsi="Times New Roman" w:cs="Times New Roman"/>
          <w:b/>
          <w:i/>
          <w:iCs/>
          <w:sz w:val="28"/>
        </w:rPr>
      </w:pPr>
      <w:r w:rsidRPr="00D073E6">
        <w:rPr>
          <w:rStyle w:val="baj"/>
          <w:rFonts w:ascii="Times New Roman" w:hAnsi="Times New Roman" w:cs="Times New Roman"/>
          <w:b/>
          <w:i/>
          <w:iCs/>
          <w:sz w:val="28"/>
        </w:rPr>
        <w:t>DECRETA:</w:t>
      </w:r>
    </w:p>
    <w:p w:rsidR="00DF66C9" w:rsidRPr="00D073E6" w:rsidRDefault="00D073E6" w:rsidP="00DF66C9">
      <w:pPr>
        <w:pStyle w:val="Sinespaciado"/>
        <w:ind w:left="720" w:right="720"/>
        <w:jc w:val="center"/>
        <w:rPr>
          <w:rFonts w:ascii="Times New Roman" w:hAnsi="Times New Roman" w:cs="Times New Roman"/>
          <w:sz w:val="28"/>
          <w:szCs w:val="22"/>
        </w:rPr>
      </w:pPr>
      <w:r w:rsidRPr="00D073E6">
        <w:rPr>
          <w:rFonts w:ascii="Times New Roman" w:hAnsi="Times New Roman" w:cs="Times New Roman"/>
          <w:sz w:val="28"/>
          <w:szCs w:val="22"/>
        </w:rPr>
        <w:t>(…)</w:t>
      </w:r>
    </w:p>
    <w:p w:rsidR="00FF022C" w:rsidRPr="00D073E6" w:rsidRDefault="00D073E6" w:rsidP="00DF66C9">
      <w:pPr>
        <w:pStyle w:val="Sinespaciado"/>
        <w:ind w:left="720" w:right="720"/>
        <w:jc w:val="center"/>
        <w:rPr>
          <w:rFonts w:ascii="Times New Roman" w:hAnsi="Times New Roman" w:cs="Times New Roman"/>
          <w:i/>
          <w:iCs/>
          <w:sz w:val="28"/>
          <w:szCs w:val="22"/>
        </w:rPr>
      </w:pPr>
    </w:p>
    <w:p w:rsidR="005F7455" w:rsidRPr="00D073E6" w:rsidRDefault="00D073E6" w:rsidP="00C2740B">
      <w:pPr>
        <w:pStyle w:val="Sinespaciado"/>
        <w:ind w:left="720" w:right="720"/>
        <w:jc w:val="center"/>
        <w:rPr>
          <w:rFonts w:ascii="Times New Roman" w:hAnsi="Times New Roman" w:cs="Times New Roman"/>
          <w:i/>
          <w:iCs/>
          <w:sz w:val="28"/>
          <w:szCs w:val="22"/>
        </w:rPr>
      </w:pPr>
      <w:bookmarkStart w:id="1" w:name="TÍTULO_III"/>
      <w:bookmarkStart w:id="2" w:name="SECCIÓN_VI-CII-TIII"/>
      <w:r w:rsidRPr="00D073E6">
        <w:rPr>
          <w:rFonts w:ascii="Times New Roman" w:hAnsi="Times New Roman" w:cs="Times New Roman"/>
          <w:i/>
          <w:iCs/>
          <w:sz w:val="28"/>
          <w:szCs w:val="22"/>
        </w:rPr>
        <w:t>TÍTULO III.</w:t>
      </w:r>
      <w:bookmarkEnd w:id="1"/>
    </w:p>
    <w:p w:rsidR="005F7455" w:rsidRPr="00D073E6" w:rsidRDefault="00D073E6" w:rsidP="00C2740B">
      <w:pPr>
        <w:pStyle w:val="Sinespaciado"/>
        <w:ind w:left="720" w:right="720"/>
        <w:jc w:val="center"/>
        <w:rPr>
          <w:rFonts w:ascii="Times New Roman" w:hAnsi="Times New Roman" w:cs="Times New Roman"/>
          <w:i/>
          <w:iCs/>
          <w:sz w:val="28"/>
          <w:szCs w:val="22"/>
        </w:rPr>
      </w:pPr>
      <w:r w:rsidRPr="00D073E6">
        <w:rPr>
          <w:rFonts w:ascii="Times New Roman" w:hAnsi="Times New Roman" w:cs="Times New Roman"/>
          <w:i/>
          <w:iCs/>
          <w:sz w:val="28"/>
          <w:szCs w:val="22"/>
        </w:rPr>
        <w:t>MECANISMOS DE EJECUCIÓN DEL PLAN.</w:t>
      </w:r>
    </w:p>
    <w:p w:rsidR="008061AC" w:rsidRPr="00D073E6" w:rsidRDefault="00D073E6" w:rsidP="00C2740B">
      <w:pPr>
        <w:pStyle w:val="Sinespaciado"/>
        <w:ind w:left="720" w:right="720"/>
        <w:jc w:val="center"/>
        <w:rPr>
          <w:rFonts w:ascii="Times New Roman" w:hAnsi="Times New Roman" w:cs="Times New Roman"/>
          <w:sz w:val="28"/>
          <w:szCs w:val="22"/>
        </w:rPr>
      </w:pPr>
      <w:r w:rsidRPr="00D073E6">
        <w:rPr>
          <w:rFonts w:ascii="Times New Roman" w:hAnsi="Times New Roman" w:cs="Times New Roman"/>
          <w:sz w:val="28"/>
          <w:szCs w:val="22"/>
        </w:rPr>
        <w:t>(…)</w:t>
      </w:r>
    </w:p>
    <w:p w:rsidR="008061AC" w:rsidRPr="00D073E6" w:rsidRDefault="00D073E6" w:rsidP="00C2740B">
      <w:pPr>
        <w:pStyle w:val="Sinespaciado"/>
        <w:ind w:left="720" w:right="720"/>
        <w:jc w:val="center"/>
        <w:rPr>
          <w:rFonts w:ascii="Times New Roman" w:hAnsi="Times New Roman" w:cs="Times New Roman"/>
          <w:i/>
          <w:iCs/>
          <w:sz w:val="28"/>
          <w:szCs w:val="22"/>
        </w:rPr>
      </w:pPr>
    </w:p>
    <w:p w:rsidR="008061AC" w:rsidRPr="00D073E6" w:rsidRDefault="00D073E6" w:rsidP="00C2740B">
      <w:pPr>
        <w:pStyle w:val="Sinespaciado"/>
        <w:ind w:left="720" w:right="720"/>
        <w:jc w:val="center"/>
        <w:rPr>
          <w:rFonts w:ascii="Times New Roman" w:hAnsi="Times New Roman" w:cs="Times New Roman"/>
          <w:i/>
          <w:iCs/>
          <w:sz w:val="28"/>
          <w:szCs w:val="22"/>
        </w:rPr>
      </w:pPr>
      <w:bookmarkStart w:id="3" w:name="CAPÍTULO_II-TIII"/>
      <w:r w:rsidRPr="00D073E6">
        <w:rPr>
          <w:rFonts w:ascii="Times New Roman" w:hAnsi="Times New Roman" w:cs="Times New Roman"/>
          <w:i/>
          <w:iCs/>
          <w:sz w:val="28"/>
          <w:szCs w:val="22"/>
        </w:rPr>
        <w:t>CAPÍTULO II.</w:t>
      </w:r>
      <w:bookmarkEnd w:id="3"/>
    </w:p>
    <w:p w:rsidR="008061AC" w:rsidRPr="00D073E6" w:rsidRDefault="00D073E6" w:rsidP="00C2740B">
      <w:pPr>
        <w:pStyle w:val="Sinespaciado"/>
        <w:ind w:left="720" w:right="720"/>
        <w:jc w:val="center"/>
        <w:rPr>
          <w:rFonts w:ascii="Times New Roman" w:hAnsi="Times New Roman" w:cs="Times New Roman"/>
          <w:i/>
          <w:iCs/>
          <w:sz w:val="28"/>
          <w:szCs w:val="22"/>
        </w:rPr>
      </w:pPr>
      <w:r w:rsidRPr="00D073E6">
        <w:rPr>
          <w:rFonts w:ascii="Times New Roman" w:hAnsi="Times New Roman" w:cs="Times New Roman"/>
          <w:i/>
          <w:iCs/>
          <w:sz w:val="28"/>
          <w:szCs w:val="22"/>
        </w:rPr>
        <w:t>ORDENAMIENTO DEL TERRITORIO ALREDEDOR DEL AGUA Y JUSTICIA AMBIENTAL.</w:t>
      </w:r>
    </w:p>
    <w:p w:rsidR="00F36C78" w:rsidRPr="00D073E6" w:rsidRDefault="00D073E6" w:rsidP="00C2740B">
      <w:pPr>
        <w:pStyle w:val="Sinespaciado"/>
        <w:ind w:left="720" w:right="720"/>
        <w:jc w:val="center"/>
        <w:rPr>
          <w:rFonts w:ascii="Times New Roman" w:hAnsi="Times New Roman" w:cs="Times New Roman"/>
          <w:sz w:val="28"/>
          <w:szCs w:val="22"/>
        </w:rPr>
      </w:pPr>
      <w:r w:rsidRPr="00D073E6">
        <w:rPr>
          <w:rFonts w:ascii="Times New Roman" w:hAnsi="Times New Roman" w:cs="Times New Roman"/>
          <w:sz w:val="28"/>
          <w:szCs w:val="22"/>
        </w:rPr>
        <w:t>(…)</w:t>
      </w:r>
    </w:p>
    <w:p w:rsidR="005F7455" w:rsidRPr="00D073E6" w:rsidRDefault="00D073E6" w:rsidP="00C2740B">
      <w:pPr>
        <w:pStyle w:val="Sinespaciado"/>
        <w:ind w:left="720" w:right="720"/>
        <w:jc w:val="center"/>
        <w:rPr>
          <w:rFonts w:ascii="Times New Roman" w:hAnsi="Times New Roman" w:cs="Times New Roman"/>
          <w:i/>
          <w:iCs/>
          <w:sz w:val="28"/>
          <w:szCs w:val="22"/>
        </w:rPr>
      </w:pPr>
    </w:p>
    <w:p w:rsidR="00FF022C" w:rsidRPr="00D073E6" w:rsidRDefault="00D073E6" w:rsidP="00C2740B">
      <w:pPr>
        <w:pStyle w:val="Sinespaciado"/>
        <w:ind w:left="720" w:right="720"/>
        <w:jc w:val="center"/>
        <w:rPr>
          <w:rFonts w:ascii="Times New Roman" w:hAnsi="Times New Roman" w:cs="Times New Roman"/>
          <w:i/>
          <w:iCs/>
          <w:sz w:val="28"/>
          <w:szCs w:val="22"/>
        </w:rPr>
      </w:pPr>
      <w:r w:rsidRPr="00D073E6">
        <w:rPr>
          <w:rFonts w:ascii="Times New Roman" w:hAnsi="Times New Roman" w:cs="Times New Roman"/>
          <w:i/>
          <w:iCs/>
          <w:sz w:val="28"/>
          <w:szCs w:val="22"/>
        </w:rPr>
        <w:t>SECCIÓN VI.</w:t>
      </w:r>
      <w:bookmarkEnd w:id="2"/>
    </w:p>
    <w:p w:rsidR="003055BA" w:rsidRPr="00D073E6" w:rsidRDefault="00D073E6" w:rsidP="00C2740B">
      <w:pPr>
        <w:pStyle w:val="Sinespaciado"/>
        <w:ind w:left="720" w:right="720"/>
        <w:jc w:val="center"/>
        <w:rPr>
          <w:rFonts w:ascii="Times New Roman" w:hAnsi="Times New Roman" w:cs="Times New Roman"/>
          <w:i/>
          <w:iCs/>
          <w:sz w:val="28"/>
          <w:szCs w:val="22"/>
        </w:rPr>
      </w:pPr>
      <w:r w:rsidRPr="00D073E6">
        <w:rPr>
          <w:rFonts w:ascii="Times New Roman" w:hAnsi="Times New Roman" w:cs="Times New Roman"/>
          <w:i/>
          <w:iCs/>
          <w:sz w:val="28"/>
          <w:szCs w:val="22"/>
        </w:rPr>
        <w:t>TENENCIA EN LAS ZONAS RURAL, URBANA Y SUBURBANA FORMALIZADA, ADJUDICADA Y REGULARIZADA.</w:t>
      </w:r>
    </w:p>
    <w:p w:rsidR="003055BA" w:rsidRPr="00D073E6" w:rsidRDefault="00D073E6" w:rsidP="00C2740B">
      <w:pPr>
        <w:pStyle w:val="Sinespaciado"/>
        <w:ind w:left="720" w:right="720"/>
        <w:jc w:val="center"/>
        <w:rPr>
          <w:rFonts w:ascii="Times New Roman" w:hAnsi="Times New Roman" w:cs="Times New Roman"/>
          <w:sz w:val="28"/>
          <w:szCs w:val="22"/>
        </w:rPr>
      </w:pPr>
      <w:r w:rsidRPr="00D073E6">
        <w:rPr>
          <w:rFonts w:ascii="Times New Roman" w:hAnsi="Times New Roman" w:cs="Times New Roman"/>
          <w:sz w:val="28"/>
          <w:szCs w:val="22"/>
        </w:rPr>
        <w:t>(…)</w:t>
      </w:r>
    </w:p>
    <w:p w:rsidR="00FF022C" w:rsidRPr="00D073E6" w:rsidRDefault="00D073E6" w:rsidP="00DF66C9">
      <w:pPr>
        <w:pStyle w:val="Sinespaciado"/>
        <w:ind w:left="720" w:right="720"/>
        <w:jc w:val="center"/>
        <w:rPr>
          <w:rFonts w:ascii="Times New Roman" w:hAnsi="Times New Roman" w:cs="Times New Roman"/>
          <w:i/>
          <w:iCs/>
          <w:sz w:val="28"/>
          <w:szCs w:val="22"/>
        </w:rPr>
      </w:pPr>
    </w:p>
    <w:p w:rsidR="00DF66C9" w:rsidRPr="00D073E6" w:rsidRDefault="00D073E6" w:rsidP="00DF66C9">
      <w:pPr>
        <w:pStyle w:val="Sinespaciado"/>
        <w:ind w:left="720" w:right="720"/>
        <w:jc w:val="both"/>
        <w:rPr>
          <w:rFonts w:ascii="Times New Roman" w:hAnsi="Times New Roman" w:cs="Times New Roman"/>
          <w:i/>
          <w:iCs/>
          <w:sz w:val="28"/>
          <w:szCs w:val="22"/>
        </w:rPr>
      </w:pPr>
    </w:p>
    <w:p w:rsidR="00DF66C9" w:rsidRPr="00D073E6" w:rsidRDefault="00D073E6" w:rsidP="00DF66C9">
      <w:pPr>
        <w:pStyle w:val="Sinespaciado"/>
        <w:ind w:left="720" w:right="720"/>
        <w:jc w:val="both"/>
        <w:rPr>
          <w:rFonts w:ascii="Times New Roman" w:hAnsi="Times New Roman" w:cs="Times New Roman"/>
          <w:i/>
          <w:iCs/>
          <w:sz w:val="28"/>
          <w:szCs w:val="22"/>
        </w:rPr>
      </w:pPr>
      <w:r w:rsidRPr="00D073E6">
        <w:rPr>
          <w:rFonts w:ascii="Times New Roman" w:hAnsi="Times New Roman" w:cs="Times New Roman"/>
          <w:b/>
          <w:bCs/>
          <w:i/>
          <w:iCs/>
          <w:sz w:val="28"/>
          <w:szCs w:val="22"/>
        </w:rPr>
        <w:t xml:space="preserve">ARTÍCULO </w:t>
      </w:r>
      <w:r w:rsidRPr="00D073E6">
        <w:rPr>
          <w:rFonts w:ascii="Times New Roman" w:hAnsi="Times New Roman" w:cs="Times New Roman"/>
          <w:b/>
          <w:bCs/>
          <w:i/>
          <w:iCs/>
          <w:sz w:val="28"/>
          <w:szCs w:val="22"/>
        </w:rPr>
        <w:t>61. MECANISMOS PARA FACILITAR Y DINAMIZAR LOS PROCESOS DE COMPRA DE TIERRAS POR OFERTA VOLUNTARIA</w:t>
      </w:r>
      <w:r w:rsidRPr="00D073E6">
        <w:rPr>
          <w:rFonts w:ascii="Times New Roman" w:hAnsi="Times New Roman" w:cs="Times New Roman"/>
          <w:i/>
          <w:iCs/>
          <w:sz w:val="28"/>
          <w:szCs w:val="22"/>
        </w:rPr>
        <w:t>. En el marco del procedimiento de compra por oferta voluntaria de tierras, que se destinarán al fondo de tierras a cargo de la Agencia Nacional de Tierras (AN</w:t>
      </w:r>
      <w:r w:rsidRPr="00D073E6">
        <w:rPr>
          <w:rFonts w:ascii="Times New Roman" w:hAnsi="Times New Roman" w:cs="Times New Roman"/>
          <w:i/>
          <w:iCs/>
          <w:sz w:val="28"/>
          <w:szCs w:val="22"/>
        </w:rPr>
        <w:t>T), podrán adelantarse las siguientes medidas:</w:t>
      </w:r>
    </w:p>
    <w:p w:rsidR="00DF66C9" w:rsidRPr="00D073E6" w:rsidRDefault="00D073E6" w:rsidP="00DF66C9">
      <w:pPr>
        <w:pStyle w:val="Sinespaciado"/>
        <w:ind w:left="720" w:right="720"/>
        <w:jc w:val="both"/>
        <w:rPr>
          <w:rFonts w:ascii="Times New Roman" w:hAnsi="Times New Roman" w:cs="Times New Roman"/>
          <w:i/>
          <w:iCs/>
          <w:sz w:val="28"/>
          <w:szCs w:val="22"/>
        </w:rPr>
      </w:pPr>
    </w:p>
    <w:p w:rsidR="00DF66C9" w:rsidRPr="00D073E6" w:rsidRDefault="00D073E6" w:rsidP="00DF66C9">
      <w:pPr>
        <w:pStyle w:val="Sinespaciado"/>
        <w:ind w:left="720" w:right="720"/>
        <w:jc w:val="both"/>
        <w:rPr>
          <w:rFonts w:ascii="Times New Roman" w:hAnsi="Times New Roman" w:cs="Times New Roman"/>
          <w:i/>
          <w:iCs/>
          <w:sz w:val="28"/>
          <w:szCs w:val="22"/>
        </w:rPr>
      </w:pPr>
      <w:r w:rsidRPr="00D073E6">
        <w:rPr>
          <w:rFonts w:ascii="Times New Roman" w:hAnsi="Times New Roman" w:cs="Times New Roman"/>
          <w:i/>
          <w:iCs/>
          <w:sz w:val="28"/>
          <w:szCs w:val="22"/>
        </w:rPr>
        <w:t>(…)</w:t>
      </w:r>
    </w:p>
    <w:p w:rsidR="00DF66C9" w:rsidRPr="00D073E6" w:rsidRDefault="00D073E6" w:rsidP="00DF66C9">
      <w:pPr>
        <w:pStyle w:val="Sinespaciado"/>
        <w:ind w:left="720" w:right="720"/>
        <w:jc w:val="both"/>
        <w:rPr>
          <w:rFonts w:ascii="Times New Roman" w:hAnsi="Times New Roman" w:cs="Times New Roman"/>
          <w:i/>
          <w:iCs/>
          <w:sz w:val="28"/>
          <w:szCs w:val="22"/>
        </w:rPr>
      </w:pPr>
    </w:p>
    <w:p w:rsidR="00DF66C9" w:rsidRPr="00D073E6" w:rsidRDefault="00D073E6" w:rsidP="00DF66C9">
      <w:pPr>
        <w:pStyle w:val="Sinespaciado"/>
        <w:ind w:left="720" w:right="720"/>
        <w:jc w:val="both"/>
        <w:rPr>
          <w:rFonts w:ascii="Times New Roman" w:hAnsi="Times New Roman" w:cs="Times New Roman"/>
          <w:i/>
          <w:iCs/>
          <w:sz w:val="28"/>
          <w:szCs w:val="22"/>
          <w:u w:val="single"/>
        </w:rPr>
      </w:pPr>
      <w:r w:rsidRPr="00D073E6">
        <w:rPr>
          <w:rFonts w:ascii="Times New Roman" w:hAnsi="Times New Roman" w:cs="Times New Roman"/>
          <w:b/>
          <w:bCs/>
          <w:i/>
          <w:iCs/>
          <w:sz w:val="28"/>
          <w:szCs w:val="22"/>
          <w:u w:val="single"/>
        </w:rPr>
        <w:t>6. Procedimientos de la autoridad de tierras que deberán ser resueltos en fase administrativa.</w:t>
      </w:r>
      <w:r w:rsidRPr="00D073E6">
        <w:rPr>
          <w:rFonts w:ascii="Times New Roman" w:hAnsi="Times New Roman" w:cs="Times New Roman"/>
          <w:i/>
          <w:iCs/>
          <w:sz w:val="28"/>
          <w:szCs w:val="22"/>
          <w:u w:val="single"/>
        </w:rPr>
        <w:t xml:space="preserve"> Para los asuntos de que trata los numerales 4, 5 y 7 del artículo 58 del Decreto Ley 902 de 2017, la Agencia</w:t>
      </w:r>
      <w:r w:rsidRPr="00D073E6">
        <w:rPr>
          <w:rFonts w:ascii="Times New Roman" w:hAnsi="Times New Roman" w:cs="Times New Roman"/>
          <w:i/>
          <w:iCs/>
          <w:sz w:val="28"/>
          <w:szCs w:val="22"/>
          <w:u w:val="single"/>
        </w:rPr>
        <w:t xml:space="preserve"> Nacional de Tierras (ANT), mediante acto administrativo fundamentado en el informe técnico-jurídico definitivo y demás pruebas recaudadas, tomará la decisión de fondo que corresponda.</w:t>
      </w:r>
    </w:p>
    <w:p w:rsidR="00DF66C9" w:rsidRPr="00D073E6" w:rsidRDefault="00D073E6" w:rsidP="00DF66C9">
      <w:pPr>
        <w:pStyle w:val="Sinespaciado"/>
        <w:ind w:left="720" w:right="720"/>
        <w:jc w:val="both"/>
        <w:rPr>
          <w:rStyle w:val="baj"/>
          <w:rFonts w:ascii="Times New Roman" w:hAnsi="Times New Roman" w:cs="Times New Roman"/>
          <w:i/>
          <w:iCs/>
          <w:sz w:val="28"/>
          <w:szCs w:val="22"/>
          <w:u w:val="single"/>
        </w:rPr>
      </w:pPr>
    </w:p>
    <w:p w:rsidR="00DF66C9" w:rsidRPr="00D073E6" w:rsidRDefault="00D073E6" w:rsidP="00DF66C9">
      <w:pPr>
        <w:pStyle w:val="Sinespaciado"/>
        <w:ind w:left="720" w:right="720"/>
        <w:jc w:val="both"/>
        <w:rPr>
          <w:rFonts w:ascii="Times New Roman" w:hAnsi="Times New Roman" w:cs="Times New Roman"/>
          <w:i/>
          <w:iCs/>
          <w:sz w:val="28"/>
          <w:szCs w:val="22"/>
          <w:u w:val="single"/>
        </w:rPr>
      </w:pPr>
      <w:r w:rsidRPr="00D073E6">
        <w:rPr>
          <w:rFonts w:ascii="Times New Roman" w:hAnsi="Times New Roman" w:cs="Times New Roman"/>
          <w:i/>
          <w:iCs/>
          <w:sz w:val="28"/>
          <w:szCs w:val="22"/>
          <w:u w:val="single"/>
        </w:rPr>
        <w:t xml:space="preserve">En firme dicho acto administrativo, la ANT procederá a su radicación en la Oficina de Registro de Instrumentos Públicos del círculo donde se encuentra el predio, con el fin de que se realice el respectivo registro en el folio de matrícula inmobiliaria. </w:t>
      </w:r>
    </w:p>
    <w:p w:rsidR="00DF66C9" w:rsidRPr="00D073E6" w:rsidRDefault="00D073E6" w:rsidP="00DF66C9">
      <w:pPr>
        <w:pStyle w:val="Sinespaciado"/>
        <w:ind w:left="720" w:right="720"/>
        <w:jc w:val="both"/>
        <w:rPr>
          <w:rFonts w:ascii="Times New Roman" w:hAnsi="Times New Roman" w:cs="Times New Roman"/>
          <w:i/>
          <w:iCs/>
          <w:sz w:val="28"/>
          <w:szCs w:val="22"/>
          <w:u w:val="single"/>
        </w:rPr>
      </w:pPr>
    </w:p>
    <w:p w:rsidR="00DF66C9" w:rsidRPr="00D073E6" w:rsidRDefault="00D073E6" w:rsidP="00DF66C9">
      <w:pPr>
        <w:pStyle w:val="Sinespaciado"/>
        <w:ind w:left="720" w:right="720"/>
        <w:jc w:val="both"/>
        <w:rPr>
          <w:rFonts w:ascii="Times New Roman" w:hAnsi="Times New Roman" w:cs="Times New Roman"/>
          <w:i/>
          <w:iCs/>
          <w:sz w:val="28"/>
          <w:szCs w:val="22"/>
          <w:u w:val="single"/>
        </w:rPr>
      </w:pPr>
      <w:r w:rsidRPr="00D073E6">
        <w:rPr>
          <w:rFonts w:ascii="Times New Roman" w:hAnsi="Times New Roman" w:cs="Times New Roman"/>
          <w:i/>
          <w:iCs/>
          <w:sz w:val="28"/>
          <w:szCs w:val="22"/>
          <w:u w:val="single"/>
        </w:rPr>
        <w:t>L</w:t>
      </w:r>
      <w:r w:rsidRPr="00D073E6">
        <w:rPr>
          <w:rFonts w:ascii="Times New Roman" w:hAnsi="Times New Roman" w:cs="Times New Roman"/>
          <w:i/>
          <w:iCs/>
          <w:sz w:val="28"/>
          <w:szCs w:val="22"/>
          <w:u w:val="single"/>
        </w:rPr>
        <w:t xml:space="preserve">os particulares que aduzcan tener derechos reales sobre los predios sometidos a los asuntos indicados, podrán ejercer únicamente la acción de nulidad agraria de que trata el artículo 39 de dicho decreto. </w:t>
      </w:r>
    </w:p>
    <w:p w:rsidR="00DF66C9" w:rsidRPr="00D073E6" w:rsidRDefault="00D073E6" w:rsidP="00DF66C9">
      <w:pPr>
        <w:pStyle w:val="Sinespaciado"/>
        <w:ind w:left="720" w:right="720"/>
        <w:jc w:val="both"/>
        <w:rPr>
          <w:rFonts w:ascii="Times New Roman" w:hAnsi="Times New Roman" w:cs="Times New Roman"/>
          <w:i/>
          <w:iCs/>
          <w:sz w:val="28"/>
          <w:szCs w:val="22"/>
        </w:rPr>
      </w:pPr>
    </w:p>
    <w:p w:rsidR="00DF66C9" w:rsidRPr="00D073E6" w:rsidRDefault="00D073E6" w:rsidP="00DF66C9">
      <w:pPr>
        <w:pStyle w:val="Sinespaciado"/>
        <w:ind w:left="720" w:right="720"/>
        <w:jc w:val="both"/>
        <w:rPr>
          <w:rFonts w:ascii="Times New Roman" w:hAnsi="Times New Roman" w:cs="Times New Roman"/>
          <w:i/>
          <w:iCs/>
          <w:sz w:val="28"/>
          <w:szCs w:val="22"/>
        </w:rPr>
      </w:pPr>
      <w:r w:rsidRPr="00D073E6">
        <w:rPr>
          <w:rFonts w:ascii="Times New Roman" w:hAnsi="Times New Roman" w:cs="Times New Roman"/>
          <w:i/>
          <w:iCs/>
          <w:sz w:val="28"/>
          <w:szCs w:val="22"/>
        </w:rPr>
        <w:t xml:space="preserve">Dicha acción operará como control judicial frente </w:t>
      </w:r>
      <w:r w:rsidRPr="00D073E6">
        <w:rPr>
          <w:rFonts w:ascii="Times New Roman" w:hAnsi="Times New Roman" w:cs="Times New Roman"/>
          <w:i/>
          <w:iCs/>
          <w:sz w:val="28"/>
          <w:szCs w:val="22"/>
        </w:rPr>
        <w:t>al acto administrativo en el que se toma la decisión de fondo. Para su interposición, el accionante contará con un término de tres (3) años, contados a partir de la fecha de inscripción del acto administrativo en el folio de matrícula inmobiliaria. Esta ac</w:t>
      </w:r>
      <w:r w:rsidRPr="00D073E6">
        <w:rPr>
          <w:rFonts w:ascii="Times New Roman" w:hAnsi="Times New Roman" w:cs="Times New Roman"/>
          <w:i/>
          <w:iCs/>
          <w:sz w:val="28"/>
          <w:szCs w:val="22"/>
        </w:rPr>
        <w:t>ción podrá interponerse directamente, sin necesidad de haber agotado los recursos contra el acto administrativo.</w:t>
      </w:r>
    </w:p>
    <w:p w:rsidR="00DF66C9" w:rsidRPr="00D073E6" w:rsidRDefault="00D073E6" w:rsidP="00DF66C9">
      <w:pPr>
        <w:pStyle w:val="Sinespaciado"/>
        <w:ind w:left="720" w:right="720"/>
        <w:jc w:val="both"/>
        <w:rPr>
          <w:rFonts w:ascii="Times New Roman" w:hAnsi="Times New Roman" w:cs="Times New Roman"/>
          <w:i/>
          <w:iCs/>
          <w:sz w:val="28"/>
          <w:szCs w:val="22"/>
        </w:rPr>
      </w:pPr>
    </w:p>
    <w:p w:rsidR="00DF66C9" w:rsidRPr="00D073E6" w:rsidRDefault="00D073E6" w:rsidP="00DF66C9">
      <w:pPr>
        <w:pStyle w:val="Sinespaciado"/>
        <w:ind w:left="720" w:right="720"/>
        <w:jc w:val="both"/>
        <w:rPr>
          <w:rStyle w:val="baj"/>
          <w:rFonts w:ascii="Times New Roman" w:hAnsi="Times New Roman" w:cs="Times New Roman"/>
          <w:i/>
          <w:iCs/>
          <w:sz w:val="28"/>
          <w:szCs w:val="22"/>
        </w:rPr>
      </w:pPr>
      <w:r w:rsidRPr="00D073E6">
        <w:rPr>
          <w:rFonts w:ascii="Times New Roman" w:hAnsi="Times New Roman" w:cs="Times New Roman"/>
          <w:i/>
          <w:iCs/>
          <w:sz w:val="28"/>
          <w:szCs w:val="22"/>
        </w:rPr>
        <w:t>En los eventos en los que el juez disponga la suspensión provisional del acto administrativo en el marco de la acción de nulidad agraria, la A</w:t>
      </w:r>
      <w:r w:rsidRPr="00D073E6">
        <w:rPr>
          <w:rFonts w:ascii="Times New Roman" w:hAnsi="Times New Roman" w:cs="Times New Roman"/>
          <w:i/>
          <w:iCs/>
          <w:sz w:val="28"/>
          <w:szCs w:val="22"/>
        </w:rPr>
        <w:t>NT podrá disponer del inmueble conforme a sus competencias legales, siempre y cuando constituya una reserva destinada a cumplir las órdenes judiciales que se puedan dar en favor de los accionantes. Dicha reserva podrá ser constituida con recursos de su pre</w:t>
      </w:r>
      <w:r w:rsidRPr="00D073E6">
        <w:rPr>
          <w:rFonts w:ascii="Times New Roman" w:hAnsi="Times New Roman" w:cs="Times New Roman"/>
          <w:i/>
          <w:iCs/>
          <w:sz w:val="28"/>
          <w:szCs w:val="22"/>
        </w:rPr>
        <w:t>supuesto, vehículos financieros públicos y/o cuentas especiales de la Nación.</w:t>
      </w:r>
    </w:p>
    <w:p w:rsidR="00DF66C9" w:rsidRPr="00D073E6" w:rsidRDefault="00D073E6" w:rsidP="00DF66C9">
      <w:pPr>
        <w:pStyle w:val="Sinespaciado"/>
        <w:ind w:left="720" w:right="720"/>
        <w:jc w:val="both"/>
        <w:rPr>
          <w:rStyle w:val="baj"/>
          <w:rFonts w:ascii="Times New Roman" w:hAnsi="Times New Roman" w:cs="Times New Roman"/>
          <w:i/>
          <w:iCs/>
          <w:sz w:val="28"/>
          <w:szCs w:val="22"/>
          <w:u w:val="single"/>
        </w:rPr>
      </w:pPr>
    </w:p>
    <w:p w:rsidR="00DF66C9" w:rsidRPr="00D073E6" w:rsidRDefault="00D073E6" w:rsidP="00DF66C9">
      <w:pPr>
        <w:pStyle w:val="Sinespaciado"/>
        <w:ind w:left="720" w:right="720"/>
        <w:jc w:val="both"/>
        <w:rPr>
          <w:rFonts w:ascii="Times New Roman" w:hAnsi="Times New Roman" w:cs="Times New Roman"/>
          <w:i/>
          <w:iCs/>
          <w:sz w:val="28"/>
          <w:szCs w:val="22"/>
          <w:u w:val="single"/>
        </w:rPr>
      </w:pPr>
      <w:r w:rsidRPr="00D073E6">
        <w:rPr>
          <w:rFonts w:ascii="Times New Roman" w:hAnsi="Times New Roman" w:cs="Times New Roman"/>
          <w:i/>
          <w:iCs/>
          <w:sz w:val="28"/>
          <w:szCs w:val="22"/>
          <w:u w:val="single"/>
        </w:rPr>
        <w:t xml:space="preserve">Los procedimientos especiales agrarios que hubiesen pasado a etapa judicial, empero no hayan surtido la fase probatoria en dicha instancia, podrán ser reasumidos, mediante acto </w:t>
      </w:r>
      <w:r w:rsidRPr="00D073E6">
        <w:rPr>
          <w:rFonts w:ascii="Times New Roman" w:hAnsi="Times New Roman" w:cs="Times New Roman"/>
          <w:i/>
          <w:iCs/>
          <w:sz w:val="28"/>
          <w:szCs w:val="22"/>
          <w:u w:val="single"/>
        </w:rPr>
        <w:t xml:space="preserve">administrativo, por la Agencia Nacional de Tierras y tramitarse atendiendo las disposiciones acá contenidas. </w:t>
      </w:r>
    </w:p>
    <w:p w:rsidR="00DF66C9" w:rsidRPr="00D073E6" w:rsidRDefault="00D073E6" w:rsidP="00DF66C9">
      <w:pPr>
        <w:pStyle w:val="Sinespaciado"/>
        <w:ind w:left="720" w:right="720"/>
        <w:jc w:val="both"/>
        <w:rPr>
          <w:rFonts w:ascii="Times New Roman" w:hAnsi="Times New Roman" w:cs="Times New Roman"/>
          <w:i/>
          <w:iCs/>
          <w:sz w:val="28"/>
          <w:szCs w:val="22"/>
        </w:rPr>
      </w:pPr>
    </w:p>
    <w:p w:rsidR="00DF66C9" w:rsidRPr="00D073E6" w:rsidRDefault="00D073E6" w:rsidP="00DF66C9">
      <w:pPr>
        <w:pStyle w:val="Sinespaciado"/>
        <w:ind w:left="720" w:right="720"/>
        <w:jc w:val="both"/>
        <w:rPr>
          <w:rFonts w:ascii="Times New Roman" w:hAnsi="Times New Roman" w:cs="Times New Roman"/>
          <w:sz w:val="28"/>
          <w:szCs w:val="22"/>
        </w:rPr>
      </w:pPr>
      <w:r w:rsidRPr="00D073E6">
        <w:rPr>
          <w:rFonts w:ascii="Times New Roman" w:hAnsi="Times New Roman" w:cs="Times New Roman"/>
          <w:sz w:val="28"/>
          <w:szCs w:val="22"/>
        </w:rPr>
        <w:t>(…)</w:t>
      </w:r>
    </w:p>
    <w:p w:rsidR="00ED1D18" w:rsidRPr="00D073E6" w:rsidRDefault="00D073E6" w:rsidP="00DF66C9">
      <w:pPr>
        <w:pStyle w:val="Sinespaciado"/>
        <w:ind w:left="720" w:right="720"/>
        <w:jc w:val="both"/>
        <w:rPr>
          <w:rFonts w:ascii="Times New Roman" w:hAnsi="Times New Roman" w:cs="Times New Roman"/>
          <w:sz w:val="28"/>
          <w:szCs w:val="22"/>
        </w:rPr>
      </w:pPr>
    </w:p>
    <w:p w:rsidR="00DF66C9" w:rsidRPr="00D073E6" w:rsidRDefault="00D073E6" w:rsidP="00DF66C9">
      <w:pPr>
        <w:pStyle w:val="Sinespaciado"/>
        <w:ind w:left="720" w:right="720"/>
        <w:jc w:val="both"/>
        <w:rPr>
          <w:rFonts w:ascii="Times New Roman" w:hAnsi="Times New Roman" w:cs="Times New Roman"/>
          <w:i/>
          <w:iCs/>
          <w:sz w:val="28"/>
          <w:szCs w:val="22"/>
          <w:u w:val="single"/>
        </w:rPr>
      </w:pPr>
      <w:r w:rsidRPr="00D073E6">
        <w:rPr>
          <w:rFonts w:ascii="Times New Roman" w:hAnsi="Times New Roman" w:cs="Times New Roman"/>
          <w:b/>
          <w:bCs/>
          <w:i/>
          <w:iCs/>
          <w:sz w:val="28"/>
          <w:szCs w:val="22"/>
          <w:u w:val="single"/>
        </w:rPr>
        <w:t>PARÁGRAFO 3o</w:t>
      </w:r>
      <w:r w:rsidRPr="00D073E6">
        <w:rPr>
          <w:rFonts w:ascii="Times New Roman" w:hAnsi="Times New Roman" w:cs="Times New Roman"/>
          <w:i/>
          <w:iCs/>
          <w:sz w:val="28"/>
          <w:szCs w:val="22"/>
          <w:u w:val="single"/>
        </w:rPr>
        <w:t>. El numeral 6 del presente artículo deroga el inciso segundo del artículo 39, el numeral 2 del artículo 60, el inciso segundo del artículo 61, el artículo 75 y el inciso tercero del artículo 76, solo en lo que respecta a los asuntos de que trata los numer</w:t>
      </w:r>
      <w:r w:rsidRPr="00D073E6">
        <w:rPr>
          <w:rFonts w:ascii="Times New Roman" w:hAnsi="Times New Roman" w:cs="Times New Roman"/>
          <w:i/>
          <w:iCs/>
          <w:sz w:val="28"/>
          <w:szCs w:val="22"/>
          <w:u w:val="single"/>
        </w:rPr>
        <w:t xml:space="preserve">ales 4, 5 y 7 del artículo 58 del Decreto Ley 902 de 2017; y las demás normas procedimentales que contradigan su contenido. </w:t>
      </w:r>
    </w:p>
    <w:p w:rsidR="00DF66C9" w:rsidRPr="00D073E6" w:rsidRDefault="00D073E6" w:rsidP="00DF66C9">
      <w:pPr>
        <w:pStyle w:val="Sinespaciado"/>
        <w:ind w:left="720" w:right="720"/>
        <w:jc w:val="both"/>
        <w:rPr>
          <w:rFonts w:ascii="Times New Roman" w:hAnsi="Times New Roman" w:cs="Times New Roman"/>
          <w:i/>
          <w:iCs/>
          <w:sz w:val="28"/>
          <w:szCs w:val="22"/>
        </w:rPr>
      </w:pPr>
    </w:p>
    <w:p w:rsidR="00DF66C9" w:rsidRPr="00D073E6" w:rsidRDefault="00D073E6" w:rsidP="00DF66C9">
      <w:pPr>
        <w:pStyle w:val="Sinespaciado"/>
        <w:ind w:left="720" w:right="720"/>
        <w:jc w:val="both"/>
        <w:rPr>
          <w:rStyle w:val="baj"/>
          <w:rFonts w:ascii="Times New Roman" w:hAnsi="Times New Roman" w:cs="Times New Roman"/>
          <w:i/>
          <w:iCs/>
          <w:sz w:val="28"/>
          <w:szCs w:val="22"/>
        </w:rPr>
      </w:pPr>
      <w:r w:rsidRPr="00D073E6">
        <w:rPr>
          <w:rFonts w:ascii="Times New Roman" w:hAnsi="Times New Roman" w:cs="Times New Roman"/>
          <w:b/>
          <w:bCs/>
          <w:i/>
          <w:iCs/>
          <w:sz w:val="28"/>
          <w:szCs w:val="22"/>
        </w:rPr>
        <w:t>PARÁGRAFO 4o.</w:t>
      </w:r>
      <w:r w:rsidRPr="00D073E6">
        <w:rPr>
          <w:rFonts w:ascii="Times New Roman" w:hAnsi="Times New Roman" w:cs="Times New Roman"/>
          <w:i/>
          <w:iCs/>
          <w:sz w:val="28"/>
          <w:szCs w:val="22"/>
        </w:rPr>
        <w:t xml:space="preserve"> El cumplimiento de lo dispuesto en este artículo estará sujeto al Marco Fiscal de Mediano Plazo, el Marco de Gasto de Mediano Plazo del correspondiente sector y a las disponibilidades presupuestales.”</w:t>
      </w:r>
    </w:p>
    <w:p w:rsidR="00DF66C9" w:rsidRPr="00D073E6" w:rsidRDefault="00D073E6" w:rsidP="00DF66C9">
      <w:pPr>
        <w:pStyle w:val="Sinespaciado"/>
        <w:ind w:left="720" w:right="720"/>
        <w:jc w:val="both"/>
        <w:rPr>
          <w:rStyle w:val="baj"/>
          <w:rFonts w:ascii="Times New Roman" w:hAnsi="Times New Roman" w:cs="Times New Roman"/>
          <w:i/>
          <w:iCs/>
          <w:sz w:val="28"/>
          <w:szCs w:val="22"/>
        </w:rPr>
      </w:pPr>
    </w:p>
    <w:p w:rsidR="00DF66C9" w:rsidRPr="00D073E6" w:rsidRDefault="00D073E6" w:rsidP="00DF66C9">
      <w:pPr>
        <w:pStyle w:val="Sinespaciado"/>
        <w:ind w:right="283"/>
        <w:rPr>
          <w:rStyle w:val="baj"/>
          <w:rFonts w:ascii="Times New Roman" w:hAnsi="Times New Roman" w:cs="Times New Roman"/>
          <w:i/>
          <w:iCs/>
          <w:sz w:val="28"/>
        </w:rPr>
      </w:pPr>
    </w:p>
    <w:p w:rsidR="00DF66C9" w:rsidRPr="00D073E6" w:rsidRDefault="00D073E6" w:rsidP="00225712">
      <w:pPr>
        <w:pStyle w:val="Prrafodelista"/>
        <w:numPr>
          <w:ilvl w:val="0"/>
          <w:numId w:val="3"/>
        </w:numPr>
        <w:ind w:left="357" w:hanging="357"/>
        <w:rPr>
          <w:rFonts w:ascii="Times New Roman" w:hAnsi="Times New Roman" w:cs="Times New Roman"/>
          <w:b/>
          <w:bCs/>
          <w:sz w:val="28"/>
          <w:szCs w:val="28"/>
          <w:lang w:val="es-MX"/>
        </w:rPr>
      </w:pPr>
      <w:r w:rsidRPr="00D073E6">
        <w:rPr>
          <w:rFonts w:ascii="Times New Roman" w:hAnsi="Times New Roman" w:cs="Times New Roman"/>
          <w:b/>
          <w:bCs/>
          <w:sz w:val="28"/>
          <w:szCs w:val="28"/>
          <w:u w:val="single"/>
          <w:lang w:val="es-MX"/>
        </w:rPr>
        <w:t>El cargo de inconstitucionalidad admitido</w:t>
      </w:r>
    </w:p>
    <w:p w:rsidR="00DF66C9" w:rsidRPr="00D073E6" w:rsidRDefault="00D073E6" w:rsidP="00DF66C9">
      <w:pPr>
        <w:rPr>
          <w:rFonts w:ascii="Times New Roman" w:hAnsi="Times New Roman" w:cs="Times New Roman"/>
          <w:sz w:val="28"/>
          <w:szCs w:val="28"/>
          <w:lang w:val="es-MX"/>
        </w:rPr>
      </w:pPr>
    </w:p>
    <w:p w:rsidR="00DF66C9" w:rsidRPr="00D073E6" w:rsidRDefault="00D073E6" w:rsidP="009B1757">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El </w:t>
      </w:r>
      <w:r w:rsidRPr="00D073E6">
        <w:rPr>
          <w:rFonts w:ascii="Times New Roman" w:hAnsi="Times New Roman" w:cs="Times New Roman"/>
          <w:sz w:val="28"/>
          <w:szCs w:val="28"/>
        </w:rPr>
        <w:t>demand</w:t>
      </w:r>
      <w:r w:rsidRPr="00D073E6">
        <w:rPr>
          <w:rFonts w:ascii="Times New Roman" w:hAnsi="Times New Roman" w:cs="Times New Roman"/>
          <w:sz w:val="28"/>
          <w:szCs w:val="28"/>
        </w:rPr>
        <w:t>ante</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argument</w:t>
      </w:r>
      <w:r w:rsidRPr="00D073E6">
        <w:rPr>
          <w:rFonts w:ascii="Times New Roman" w:hAnsi="Times New Roman" w:cs="Times New Roman"/>
          <w:sz w:val="28"/>
          <w:szCs w:val="28"/>
        </w:rPr>
        <w:t>ó</w:t>
      </w:r>
      <w:r w:rsidRPr="00D073E6">
        <w:rPr>
          <w:rFonts w:ascii="Times New Roman" w:hAnsi="Times New Roman" w:cs="Times New Roman"/>
          <w:sz w:val="28"/>
          <w:szCs w:val="28"/>
        </w:rPr>
        <w:t xml:space="preserve"> que </w:t>
      </w:r>
      <w:r w:rsidRPr="00D073E6">
        <w:rPr>
          <w:rFonts w:ascii="Times New Roman" w:hAnsi="Times New Roman" w:cs="Times New Roman"/>
          <w:sz w:val="28"/>
          <w:szCs w:val="28"/>
        </w:rPr>
        <w:t xml:space="preserve">los apartes </w:t>
      </w:r>
      <w:r w:rsidRPr="00D073E6">
        <w:rPr>
          <w:rFonts w:ascii="Times New Roman" w:hAnsi="Times New Roman" w:cs="Times New Roman"/>
          <w:sz w:val="28"/>
          <w:szCs w:val="28"/>
        </w:rPr>
        <w:t>demandad</w:t>
      </w:r>
      <w:r w:rsidRPr="00D073E6">
        <w:rPr>
          <w:rFonts w:ascii="Times New Roman" w:hAnsi="Times New Roman" w:cs="Times New Roman"/>
          <w:sz w:val="28"/>
          <w:szCs w:val="28"/>
        </w:rPr>
        <w:t>o</w:t>
      </w:r>
      <w:r w:rsidRPr="00D073E6">
        <w:rPr>
          <w:rFonts w:ascii="Times New Roman" w:hAnsi="Times New Roman" w:cs="Times New Roman"/>
          <w:sz w:val="28"/>
          <w:szCs w:val="28"/>
        </w:rPr>
        <w:t>s</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del artículo 61 </w:t>
      </w:r>
      <w:r w:rsidRPr="00D073E6">
        <w:rPr>
          <w:rFonts w:ascii="Times New Roman" w:hAnsi="Times New Roman" w:cs="Times New Roman"/>
          <w:sz w:val="28"/>
          <w:szCs w:val="28"/>
        </w:rPr>
        <w:t xml:space="preserve">de la Ley </w:t>
      </w:r>
      <w:r w:rsidRPr="00D073E6">
        <w:rPr>
          <w:rFonts w:ascii="Times New Roman" w:hAnsi="Times New Roman" w:cs="Times New Roman"/>
          <w:sz w:val="28"/>
          <w:szCs w:val="28"/>
        </w:rPr>
        <w:t>2294 de 2023</w:t>
      </w:r>
      <w:r w:rsidRPr="00D073E6">
        <w:rPr>
          <w:rFonts w:ascii="Times New Roman" w:hAnsi="Times New Roman" w:cs="Times New Roman"/>
          <w:sz w:val="28"/>
          <w:szCs w:val="28"/>
        </w:rPr>
        <w:t xml:space="preserve"> violan el principio de unidad de materia, previsto</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en</w:t>
      </w:r>
      <w:r w:rsidRPr="00D073E6">
        <w:rPr>
          <w:rFonts w:ascii="Times New Roman" w:hAnsi="Times New Roman" w:cs="Times New Roman"/>
          <w:sz w:val="28"/>
          <w:szCs w:val="28"/>
        </w:rPr>
        <w:t xml:space="preserve"> los artículos 150.3, 158 y 339</w:t>
      </w:r>
      <w:r w:rsidRPr="00D073E6">
        <w:rPr>
          <w:rFonts w:ascii="Times New Roman" w:hAnsi="Times New Roman" w:cs="Times New Roman"/>
          <w:sz w:val="28"/>
          <w:szCs w:val="28"/>
        </w:rPr>
        <w:t xml:space="preserve"> de la Constitución Política, </w:t>
      </w:r>
      <w:r w:rsidRPr="00D073E6">
        <w:rPr>
          <w:rFonts w:ascii="Times New Roman" w:hAnsi="Times New Roman" w:cs="Times New Roman"/>
          <w:sz w:val="28"/>
          <w:szCs w:val="28"/>
        </w:rPr>
        <w:t>y</w:t>
      </w:r>
      <w:r w:rsidRPr="00D073E6">
        <w:rPr>
          <w:rFonts w:ascii="Times New Roman" w:hAnsi="Times New Roman" w:cs="Times New Roman"/>
          <w:sz w:val="28"/>
          <w:szCs w:val="28"/>
        </w:rPr>
        <w:t xml:space="preserve"> el artículo 5 de la Ley 152 de 1994</w:t>
      </w:r>
      <w:r w:rsidRPr="00D073E6">
        <w:rPr>
          <w:rStyle w:val="Refdenotaalpie"/>
          <w:rFonts w:ascii="Times New Roman" w:hAnsi="Times New Roman" w:cs="Times New Roman"/>
          <w:sz w:val="28"/>
          <w:szCs w:val="28"/>
        </w:rPr>
        <w:footnoteReference w:id="4"/>
      </w:r>
      <w:r w:rsidRPr="00D073E6">
        <w:rPr>
          <w:rFonts w:ascii="Times New Roman" w:hAnsi="Times New Roman" w:cs="Times New Roman"/>
          <w:sz w:val="28"/>
          <w:szCs w:val="28"/>
        </w:rPr>
        <w:t xml:space="preserve">. Afirmó que estas </w:t>
      </w:r>
      <w:r w:rsidRPr="00D073E6">
        <w:rPr>
          <w:rFonts w:ascii="Times New Roman" w:hAnsi="Times New Roman" w:cs="Times New Roman"/>
          <w:sz w:val="28"/>
          <w:szCs w:val="28"/>
        </w:rPr>
        <w:t>normas constitucionales y orgánicas prevén qu</w:t>
      </w:r>
      <w:r w:rsidRPr="00D073E6">
        <w:rPr>
          <w:rFonts w:ascii="Times New Roman" w:hAnsi="Times New Roman" w:cs="Times New Roman"/>
          <w:sz w:val="28"/>
          <w:szCs w:val="28"/>
        </w:rPr>
        <w:t>e</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las leyes que aprueban el plan plurianual de inversiones </w:t>
      </w:r>
      <w:r w:rsidRPr="00D073E6">
        <w:rPr>
          <w:rFonts w:ascii="Times New Roman" w:hAnsi="Times New Roman" w:cs="Times New Roman"/>
          <w:sz w:val="28"/>
          <w:szCs w:val="28"/>
        </w:rPr>
        <w:t xml:space="preserve">deben </w:t>
      </w:r>
      <w:r w:rsidRPr="00D073E6">
        <w:rPr>
          <w:rFonts w:ascii="Times New Roman" w:hAnsi="Times New Roman" w:cs="Times New Roman"/>
          <w:sz w:val="28"/>
          <w:szCs w:val="28"/>
        </w:rPr>
        <w:t>cumplir</w:t>
      </w:r>
      <w:r w:rsidRPr="00D073E6">
        <w:rPr>
          <w:rFonts w:ascii="Times New Roman" w:hAnsi="Times New Roman" w:cs="Times New Roman"/>
          <w:sz w:val="28"/>
          <w:szCs w:val="28"/>
        </w:rPr>
        <w:t xml:space="preserve"> la función de planeación</w:t>
      </w:r>
      <w:r w:rsidRPr="00D073E6">
        <w:rPr>
          <w:rFonts w:ascii="Times New Roman" w:hAnsi="Times New Roman" w:cs="Times New Roman"/>
          <w:sz w:val="28"/>
          <w:szCs w:val="28"/>
        </w:rPr>
        <w:t xml:space="preserve"> e impulsar el cumplimiento del Plan Nacional de Desarrollo</w:t>
      </w:r>
      <w:r w:rsidRPr="00D073E6">
        <w:rPr>
          <w:rFonts w:ascii="Times New Roman" w:hAnsi="Times New Roman" w:cs="Times New Roman"/>
          <w:sz w:val="28"/>
          <w:szCs w:val="28"/>
        </w:rPr>
        <w:t>. A su juicio, las disposiciones generales incluidas en</w:t>
      </w:r>
      <w:r w:rsidRPr="00D073E6">
        <w:rPr>
          <w:rFonts w:ascii="Times New Roman" w:hAnsi="Times New Roman" w:cs="Times New Roman"/>
          <w:sz w:val="28"/>
          <w:szCs w:val="28"/>
        </w:rPr>
        <w:t xml:space="preserve"> el </w:t>
      </w:r>
      <w:r w:rsidRPr="00D073E6">
        <w:rPr>
          <w:rFonts w:ascii="Times New Roman" w:hAnsi="Times New Roman" w:cs="Times New Roman"/>
          <w:sz w:val="28"/>
          <w:szCs w:val="28"/>
        </w:rPr>
        <w:t>Plan Nacional de Desarrollo</w:t>
      </w:r>
      <w:r w:rsidRPr="00D073E6">
        <w:rPr>
          <w:rFonts w:ascii="Times New Roman" w:hAnsi="Times New Roman" w:cs="Times New Roman"/>
          <w:sz w:val="28"/>
          <w:szCs w:val="28"/>
        </w:rPr>
        <w:t xml:space="preserve"> no deben </w:t>
      </w:r>
      <w:r w:rsidRPr="00D073E6">
        <w:rPr>
          <w:rFonts w:ascii="Times New Roman" w:hAnsi="Times New Roman" w:cs="Times New Roman"/>
          <w:sz w:val="28"/>
          <w:szCs w:val="28"/>
        </w:rPr>
        <w:t>introducir</w:t>
      </w:r>
      <w:r w:rsidRPr="00D073E6">
        <w:rPr>
          <w:rFonts w:ascii="Times New Roman" w:hAnsi="Times New Roman" w:cs="Times New Roman"/>
          <w:sz w:val="28"/>
          <w:szCs w:val="28"/>
        </w:rPr>
        <w:t xml:space="preserve"> en el ordenamiento disposiciones de manera indiscriminada </w:t>
      </w:r>
      <w:r w:rsidRPr="00D073E6">
        <w:rPr>
          <w:rFonts w:ascii="Times New Roman" w:hAnsi="Times New Roman" w:cs="Times New Roman"/>
          <w:sz w:val="28"/>
          <w:szCs w:val="28"/>
        </w:rPr>
        <w:t>y no debe</w:t>
      </w:r>
      <w:r w:rsidRPr="00D073E6">
        <w:rPr>
          <w:rFonts w:ascii="Times New Roman" w:hAnsi="Times New Roman" w:cs="Times New Roman"/>
          <w:sz w:val="28"/>
          <w:szCs w:val="28"/>
        </w:rPr>
        <w:t>n</w:t>
      </w:r>
      <w:r w:rsidRPr="00D073E6">
        <w:rPr>
          <w:rFonts w:ascii="Times New Roman" w:hAnsi="Times New Roman" w:cs="Times New Roman"/>
          <w:sz w:val="28"/>
          <w:szCs w:val="28"/>
        </w:rPr>
        <w:t xml:space="preserve"> incluir </w:t>
      </w:r>
      <w:r w:rsidRPr="00D073E6">
        <w:rPr>
          <w:rFonts w:ascii="Times New Roman" w:hAnsi="Times New Roman" w:cs="Times New Roman"/>
          <w:sz w:val="28"/>
          <w:szCs w:val="28"/>
        </w:rPr>
        <w:t>normas cuya expedición se encuentr</w:t>
      </w:r>
      <w:r w:rsidRPr="00D073E6">
        <w:rPr>
          <w:rFonts w:ascii="Times New Roman" w:hAnsi="Times New Roman" w:cs="Times New Roman"/>
          <w:sz w:val="28"/>
          <w:szCs w:val="28"/>
        </w:rPr>
        <w:t>e</w:t>
      </w:r>
      <w:r w:rsidRPr="00D073E6">
        <w:rPr>
          <w:rFonts w:ascii="Times New Roman" w:hAnsi="Times New Roman" w:cs="Times New Roman"/>
          <w:sz w:val="28"/>
          <w:szCs w:val="28"/>
        </w:rPr>
        <w:t xml:space="preserve"> sujeta a</w:t>
      </w:r>
      <w:r w:rsidRPr="00D073E6">
        <w:rPr>
          <w:rFonts w:ascii="Times New Roman" w:hAnsi="Times New Roman" w:cs="Times New Roman"/>
          <w:sz w:val="28"/>
          <w:szCs w:val="28"/>
        </w:rPr>
        <w:t>l ejercicio de otras competencias por parte del Congreso de la República</w:t>
      </w:r>
      <w:r w:rsidRPr="00D073E6">
        <w:rPr>
          <w:rFonts w:ascii="Times New Roman" w:hAnsi="Times New Roman" w:cs="Times New Roman"/>
          <w:sz w:val="28"/>
          <w:szCs w:val="28"/>
        </w:rPr>
        <w:t>.</w:t>
      </w:r>
    </w:p>
    <w:p w:rsidR="00ED3A35" w:rsidRPr="00D073E6" w:rsidRDefault="00D073E6" w:rsidP="00E02B10">
      <w:pPr>
        <w:pStyle w:val="Prrafodelista"/>
        <w:tabs>
          <w:tab w:val="left" w:pos="426"/>
        </w:tabs>
        <w:ind w:left="0"/>
        <w:contextualSpacing w:val="0"/>
        <w:jc w:val="both"/>
        <w:rPr>
          <w:rFonts w:ascii="Times New Roman" w:hAnsi="Times New Roman" w:cs="Times New Roman"/>
          <w:sz w:val="28"/>
          <w:szCs w:val="28"/>
        </w:rPr>
      </w:pPr>
    </w:p>
    <w:p w:rsidR="00ED3A35" w:rsidRPr="00D073E6" w:rsidRDefault="00D073E6" w:rsidP="00ED3A35">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En esa medida, el accionante planteó un cargo de inconstitucionalidad que podría dividirse en dos argumentos: primero, las normas demandadas </w:t>
      </w:r>
      <w:r w:rsidRPr="00D073E6">
        <w:rPr>
          <w:rFonts w:ascii="Times New Roman" w:hAnsi="Times New Roman" w:cs="Times New Roman"/>
          <w:sz w:val="28"/>
          <w:szCs w:val="28"/>
        </w:rPr>
        <w:t xml:space="preserve">no tienen relación con las </w:t>
      </w:r>
      <w:r w:rsidRPr="00D073E6">
        <w:rPr>
          <w:rFonts w:ascii="Times New Roman" w:hAnsi="Times New Roman" w:cs="Times New Roman"/>
          <w:sz w:val="28"/>
          <w:szCs w:val="28"/>
        </w:rPr>
        <w:t>materias desarrolladas en la ley; y, segundo, aquellas no se enmarcan en el ejercicio de</w:t>
      </w:r>
      <w:r w:rsidRPr="00D073E6">
        <w:rPr>
          <w:rFonts w:ascii="Times New Roman" w:hAnsi="Times New Roman" w:cs="Times New Roman"/>
          <w:sz w:val="28"/>
          <w:szCs w:val="28"/>
        </w:rPr>
        <w:t xml:space="preserve"> la </w:t>
      </w:r>
      <w:r w:rsidRPr="00D073E6">
        <w:rPr>
          <w:rFonts w:ascii="Times New Roman" w:hAnsi="Times New Roman" w:cs="Times New Roman"/>
          <w:sz w:val="28"/>
          <w:szCs w:val="28"/>
        </w:rPr>
        <w:t>competencia</w:t>
      </w:r>
      <w:r w:rsidRPr="00D073E6">
        <w:rPr>
          <w:rFonts w:ascii="Times New Roman" w:hAnsi="Times New Roman" w:cs="Times New Roman"/>
          <w:sz w:val="28"/>
          <w:szCs w:val="28"/>
        </w:rPr>
        <w:t xml:space="preserve"> rela</w:t>
      </w:r>
      <w:r w:rsidRPr="00D073E6">
        <w:rPr>
          <w:rFonts w:ascii="Times New Roman" w:hAnsi="Times New Roman" w:cs="Times New Roman"/>
          <w:sz w:val="28"/>
          <w:szCs w:val="28"/>
        </w:rPr>
        <w:t>tiva a la planeación.</w:t>
      </w:r>
    </w:p>
    <w:p w:rsidR="00ED3A35" w:rsidRPr="00D073E6" w:rsidRDefault="00D073E6" w:rsidP="00E02B10">
      <w:pPr>
        <w:pStyle w:val="Prrafodelista"/>
        <w:tabs>
          <w:tab w:val="left" w:pos="426"/>
        </w:tabs>
        <w:ind w:left="0"/>
        <w:contextualSpacing w:val="0"/>
        <w:jc w:val="both"/>
        <w:rPr>
          <w:rFonts w:ascii="Times New Roman" w:hAnsi="Times New Roman" w:cs="Times New Roman"/>
          <w:sz w:val="28"/>
          <w:szCs w:val="28"/>
        </w:rPr>
      </w:pPr>
    </w:p>
    <w:p w:rsidR="008252DA" w:rsidRPr="00D073E6" w:rsidRDefault="00D073E6" w:rsidP="009B1757">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El </w:t>
      </w:r>
      <w:r w:rsidRPr="00D073E6">
        <w:rPr>
          <w:rFonts w:ascii="Times New Roman" w:hAnsi="Times New Roman" w:cs="Times New Roman"/>
          <w:sz w:val="28"/>
          <w:szCs w:val="28"/>
        </w:rPr>
        <w:t>accionante</w:t>
      </w:r>
      <w:r w:rsidRPr="00D073E6">
        <w:rPr>
          <w:rFonts w:ascii="Times New Roman" w:hAnsi="Times New Roman" w:cs="Times New Roman"/>
          <w:sz w:val="28"/>
          <w:szCs w:val="28"/>
        </w:rPr>
        <w:t xml:space="preserve"> sostuvo que “</w:t>
      </w:r>
      <w:r w:rsidRPr="00D073E6">
        <w:rPr>
          <w:rFonts w:ascii="Times New Roman" w:hAnsi="Times New Roman" w:cs="Times New Roman"/>
          <w:i/>
          <w:iCs/>
          <w:sz w:val="28"/>
          <w:szCs w:val="28"/>
        </w:rPr>
        <w:t>los apartes demandados del artículo 61 de la Ley del Plan Nac</w:t>
      </w:r>
      <w:r w:rsidRPr="00D073E6">
        <w:rPr>
          <w:rFonts w:ascii="Times New Roman" w:hAnsi="Times New Roman" w:cs="Times New Roman"/>
          <w:i/>
          <w:iCs/>
          <w:sz w:val="28"/>
          <w:szCs w:val="28"/>
        </w:rPr>
        <w:t>ional de Desarrollo no guardan</w:t>
      </w:r>
      <w:r w:rsidRPr="00D073E6">
        <w:rPr>
          <w:rFonts w:ascii="Times New Roman" w:hAnsi="Times New Roman" w:cs="Times New Roman"/>
          <w:i/>
          <w:iCs/>
          <w:sz w:val="28"/>
          <w:szCs w:val="28"/>
        </w:rPr>
        <w:t xml:space="preserve"> ninguna</w:t>
      </w:r>
      <w:r w:rsidRPr="00D073E6">
        <w:rPr>
          <w:rFonts w:ascii="Times New Roman" w:hAnsi="Times New Roman" w:cs="Times New Roman"/>
          <w:i/>
          <w:iCs/>
          <w:sz w:val="28"/>
          <w:szCs w:val="28"/>
        </w:rPr>
        <w:t xml:space="preserve"> relación directa o indirecta con los objetivos, ejes, fines planificadores y de ejecuc</w:t>
      </w:r>
      <w:r w:rsidRPr="00D073E6">
        <w:rPr>
          <w:rFonts w:ascii="Times New Roman" w:hAnsi="Times New Roman" w:cs="Times New Roman"/>
          <w:i/>
          <w:iCs/>
          <w:sz w:val="28"/>
          <w:szCs w:val="28"/>
        </w:rPr>
        <w:t>ión de que trata la actual ley del plan</w:t>
      </w:r>
      <w:r w:rsidRPr="00D073E6">
        <w:rPr>
          <w:rFonts w:ascii="Times New Roman" w:hAnsi="Times New Roman" w:cs="Times New Roman"/>
          <w:i/>
          <w:iCs/>
          <w:sz w:val="28"/>
          <w:szCs w:val="28"/>
        </w:rPr>
        <w:t xml:space="preserve">, y por el contrario, </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mediante</w:t>
      </w:r>
      <w:r w:rsidRPr="00D073E6">
        <w:rPr>
          <w:rFonts w:ascii="Times New Roman" w:hAnsi="Times New Roman" w:cs="Times New Roman"/>
          <w:i/>
          <w:iCs/>
          <w:sz w:val="28"/>
          <w:szCs w:val="28"/>
        </w:rPr>
        <w:t xml:space="preserve"> una ley de naturaleza temporal</w:t>
      </w:r>
      <w:r w:rsidRPr="00D073E6">
        <w:rPr>
          <w:rFonts w:ascii="Times New Roman" w:hAnsi="Times New Roman" w:cs="Times New Roman"/>
          <w:i/>
          <w:iCs/>
          <w:sz w:val="28"/>
          <w:szCs w:val="28"/>
        </w:rPr>
        <w:t xml:space="preserve"> </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 xml:space="preserve">se </w:t>
      </w:r>
      <w:r w:rsidRPr="00D073E6">
        <w:rPr>
          <w:rFonts w:ascii="Times New Roman" w:hAnsi="Times New Roman" w:cs="Times New Roman"/>
          <w:i/>
          <w:iCs/>
          <w:sz w:val="28"/>
          <w:szCs w:val="28"/>
        </w:rPr>
        <w:t xml:space="preserve">suprime </w:t>
      </w:r>
      <w:r w:rsidRPr="00D073E6">
        <w:rPr>
          <w:rFonts w:ascii="Times New Roman" w:hAnsi="Times New Roman" w:cs="Times New Roman"/>
          <w:i/>
          <w:iCs/>
          <w:sz w:val="28"/>
          <w:szCs w:val="28"/>
        </w:rPr>
        <w:t xml:space="preserve">la fase judicial del procedimiento único </w:t>
      </w:r>
      <w:r w:rsidRPr="00D073E6">
        <w:rPr>
          <w:rFonts w:ascii="Times New Roman" w:hAnsi="Times New Roman" w:cs="Times New Roman"/>
          <w:i/>
          <w:iCs/>
          <w:sz w:val="28"/>
          <w:szCs w:val="28"/>
        </w:rPr>
        <w:t>agrario contenido en el Decreto Ley 902 de 2017, para honrar el Acuerdo Final.</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5"/>
      </w:r>
    </w:p>
    <w:p w:rsidR="00703995" w:rsidRPr="00D073E6" w:rsidRDefault="00D073E6" w:rsidP="00703995">
      <w:pPr>
        <w:pStyle w:val="Prrafodelista"/>
        <w:rPr>
          <w:rFonts w:ascii="Times New Roman" w:hAnsi="Times New Roman" w:cs="Times New Roman"/>
          <w:sz w:val="28"/>
          <w:szCs w:val="28"/>
        </w:rPr>
      </w:pPr>
    </w:p>
    <w:p w:rsidR="00703995" w:rsidRPr="00D073E6" w:rsidRDefault="00D073E6" w:rsidP="009B1757">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Aseguró que </w:t>
      </w:r>
      <w:r w:rsidRPr="00D073E6">
        <w:rPr>
          <w:rFonts w:ascii="Times New Roman" w:hAnsi="Times New Roman" w:cs="Times New Roman"/>
          <w:sz w:val="28"/>
          <w:szCs w:val="28"/>
        </w:rPr>
        <w:t>en la parte general del plan “</w:t>
      </w:r>
      <w:r w:rsidRPr="00D073E6">
        <w:rPr>
          <w:rFonts w:ascii="Times New Roman" w:hAnsi="Times New Roman" w:cs="Times New Roman"/>
          <w:i/>
          <w:iCs/>
          <w:sz w:val="28"/>
          <w:szCs w:val="28"/>
        </w:rPr>
        <w:t>no se señala como objetivo la transformación del proceso judicial previsto en el Decreto Ley 902 de 2017 para los temas agrarios relacionados con la clarificación de la propiedad, el deslinde, la recuperación de baldíos, la ex</w:t>
      </w:r>
      <w:r w:rsidRPr="00D073E6">
        <w:rPr>
          <w:rFonts w:ascii="Times New Roman" w:hAnsi="Times New Roman" w:cs="Times New Roman"/>
          <w:i/>
          <w:iCs/>
          <w:sz w:val="28"/>
          <w:szCs w:val="28"/>
        </w:rPr>
        <w:t>tinción judicial del dominio, la caducidad administrativa, condición resolutoria del subsidio, reversión y revocatoria de titulación de baldíos de que trata la Ley 160 de 1994</w:t>
      </w:r>
      <w:r w:rsidRPr="00D073E6">
        <w:rPr>
          <w:rFonts w:ascii="Times New Roman" w:hAnsi="Times New Roman" w:cs="Times New Roman"/>
          <w:i/>
          <w:iCs/>
          <w:sz w:val="28"/>
          <w:szCs w:val="28"/>
        </w:rPr>
        <w:t>.</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6"/>
      </w:r>
      <w:r w:rsidRPr="00D073E6">
        <w:rPr>
          <w:rFonts w:ascii="Times New Roman" w:hAnsi="Times New Roman" w:cs="Times New Roman"/>
          <w:sz w:val="28"/>
          <w:szCs w:val="28"/>
        </w:rPr>
        <w:t xml:space="preserve"> Así mismo, expresó que </w:t>
      </w:r>
      <w:r w:rsidRPr="00D073E6">
        <w:rPr>
          <w:rFonts w:ascii="Times New Roman" w:hAnsi="Times New Roman" w:cs="Times New Roman"/>
          <w:sz w:val="28"/>
          <w:szCs w:val="28"/>
        </w:rPr>
        <w:t>el documento de las Bases del Plan Nacional de Desarro</w:t>
      </w:r>
      <w:r w:rsidRPr="00D073E6">
        <w:rPr>
          <w:rFonts w:ascii="Times New Roman" w:hAnsi="Times New Roman" w:cs="Times New Roman"/>
          <w:sz w:val="28"/>
          <w:szCs w:val="28"/>
        </w:rPr>
        <w:t>llo 2022-2026</w:t>
      </w:r>
      <w:r w:rsidRPr="00D073E6">
        <w:rPr>
          <w:rFonts w:ascii="Times New Roman" w:hAnsi="Times New Roman" w:cs="Times New Roman"/>
          <w:sz w:val="28"/>
          <w:szCs w:val="28"/>
        </w:rPr>
        <w:t xml:space="preserve"> tampoco prevé algun</w:t>
      </w:r>
      <w:r w:rsidRPr="00D073E6">
        <w:rPr>
          <w:rFonts w:ascii="Times New Roman" w:hAnsi="Times New Roman" w:cs="Times New Roman"/>
          <w:sz w:val="28"/>
          <w:szCs w:val="28"/>
        </w:rPr>
        <w:t>a</w:t>
      </w:r>
      <w:r w:rsidRPr="00D073E6">
        <w:rPr>
          <w:rFonts w:ascii="Times New Roman" w:hAnsi="Times New Roman" w:cs="Times New Roman"/>
          <w:sz w:val="28"/>
          <w:szCs w:val="28"/>
        </w:rPr>
        <w:t xml:space="preserve"> modificación al procedimiento regulado en el Decreto Ley </w:t>
      </w:r>
      <w:r w:rsidRPr="00D073E6">
        <w:rPr>
          <w:rFonts w:ascii="Times New Roman" w:hAnsi="Times New Roman" w:cs="Times New Roman"/>
          <w:sz w:val="28"/>
          <w:szCs w:val="28"/>
        </w:rPr>
        <w:t>902 de 2017</w:t>
      </w:r>
      <w:r w:rsidRPr="00D073E6">
        <w:rPr>
          <w:rFonts w:ascii="Times New Roman" w:hAnsi="Times New Roman" w:cs="Times New Roman"/>
          <w:sz w:val="28"/>
          <w:szCs w:val="28"/>
        </w:rPr>
        <w:t>.</w:t>
      </w:r>
    </w:p>
    <w:p w:rsidR="00DA2E05" w:rsidRPr="00D073E6" w:rsidRDefault="00D073E6" w:rsidP="00E02B10">
      <w:pPr>
        <w:pStyle w:val="Prrafodelista"/>
        <w:rPr>
          <w:rFonts w:ascii="Times New Roman" w:hAnsi="Times New Roman" w:cs="Times New Roman"/>
          <w:sz w:val="28"/>
          <w:szCs w:val="28"/>
        </w:rPr>
      </w:pPr>
    </w:p>
    <w:p w:rsidR="00DA2E05" w:rsidRPr="00D073E6" w:rsidRDefault="00D073E6" w:rsidP="009B1757">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Para llegar a esas conclusiones, el accionante </w:t>
      </w:r>
      <w:r w:rsidRPr="00D073E6">
        <w:rPr>
          <w:rFonts w:ascii="Times New Roman" w:hAnsi="Times New Roman" w:cs="Times New Roman"/>
          <w:sz w:val="28"/>
          <w:szCs w:val="28"/>
        </w:rPr>
        <w:t>buscó satisfacer las reglas jurispru</w:t>
      </w:r>
      <w:r w:rsidRPr="00D073E6">
        <w:rPr>
          <w:rFonts w:ascii="Times New Roman" w:hAnsi="Times New Roman" w:cs="Times New Roman"/>
          <w:sz w:val="28"/>
          <w:szCs w:val="28"/>
        </w:rPr>
        <w:t>denciales establecidas en la Sentencia C-126 de 202</w:t>
      </w:r>
      <w:r w:rsidRPr="00D073E6">
        <w:rPr>
          <w:rFonts w:ascii="Times New Roman" w:hAnsi="Times New Roman" w:cs="Times New Roman"/>
          <w:sz w:val="28"/>
          <w:szCs w:val="28"/>
        </w:rPr>
        <w:t xml:space="preserve">0, en los </w:t>
      </w:r>
      <w:r w:rsidRPr="00D073E6">
        <w:rPr>
          <w:rFonts w:ascii="Times New Roman" w:hAnsi="Times New Roman" w:cs="Times New Roman"/>
          <w:sz w:val="28"/>
          <w:szCs w:val="28"/>
        </w:rPr>
        <w:t>siguientes términos:</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(i)</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destac</w:t>
      </w:r>
      <w:r w:rsidRPr="00D073E6">
        <w:rPr>
          <w:rFonts w:ascii="Times New Roman" w:hAnsi="Times New Roman" w:cs="Times New Roman"/>
          <w:sz w:val="28"/>
          <w:szCs w:val="28"/>
        </w:rPr>
        <w:t>ó que</w:t>
      </w:r>
      <w:r w:rsidRPr="00D073E6">
        <w:rPr>
          <w:rFonts w:ascii="Times New Roman" w:hAnsi="Times New Roman" w:cs="Times New Roman"/>
          <w:sz w:val="28"/>
          <w:szCs w:val="28"/>
        </w:rPr>
        <w:t xml:space="preserve"> la parte general de la Ley 2294 de 2023 no señala como objetivo la transformación del proceso judicial previsto en el Decreto Ley 902 de 2017; </w:t>
      </w:r>
      <w:r w:rsidRPr="00D073E6">
        <w:rPr>
          <w:rFonts w:ascii="Times New Roman" w:hAnsi="Times New Roman" w:cs="Times New Roman"/>
          <w:i/>
          <w:iCs/>
          <w:sz w:val="28"/>
          <w:szCs w:val="28"/>
        </w:rPr>
        <w:t>(ii)</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analiz</w:t>
      </w:r>
      <w:r w:rsidRPr="00D073E6">
        <w:rPr>
          <w:rFonts w:ascii="Times New Roman" w:hAnsi="Times New Roman" w:cs="Times New Roman"/>
          <w:sz w:val="28"/>
          <w:szCs w:val="28"/>
        </w:rPr>
        <w:t>ó</w:t>
      </w:r>
      <w:r w:rsidRPr="00D073E6">
        <w:rPr>
          <w:rFonts w:ascii="Times New Roman" w:hAnsi="Times New Roman" w:cs="Times New Roman"/>
          <w:sz w:val="28"/>
          <w:szCs w:val="28"/>
        </w:rPr>
        <w:t xml:space="preserve"> los objetivos del plan</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los ejes de transformación y los ejes t</w:t>
      </w:r>
      <w:r w:rsidRPr="00D073E6">
        <w:rPr>
          <w:rFonts w:ascii="Times New Roman" w:hAnsi="Times New Roman" w:cs="Times New Roman"/>
          <w:sz w:val="28"/>
          <w:szCs w:val="28"/>
        </w:rPr>
        <w:t xml:space="preserve">ransversales </w:t>
      </w:r>
      <w:r w:rsidRPr="00D073E6">
        <w:rPr>
          <w:rFonts w:ascii="Times New Roman" w:hAnsi="Times New Roman" w:cs="Times New Roman"/>
          <w:sz w:val="28"/>
          <w:szCs w:val="28"/>
        </w:rPr>
        <w:t>tres</w:t>
      </w:r>
      <w:r w:rsidRPr="00D073E6">
        <w:rPr>
          <w:rFonts w:ascii="Times New Roman" w:hAnsi="Times New Roman" w:cs="Times New Roman"/>
          <w:sz w:val="28"/>
          <w:szCs w:val="28"/>
        </w:rPr>
        <w:t xml:space="preserve"> y </w:t>
      </w:r>
      <w:r w:rsidRPr="00D073E6">
        <w:rPr>
          <w:rFonts w:ascii="Times New Roman" w:hAnsi="Times New Roman" w:cs="Times New Roman"/>
          <w:sz w:val="28"/>
          <w:szCs w:val="28"/>
        </w:rPr>
        <w:t>cuatro</w:t>
      </w:r>
      <w:r w:rsidRPr="00D073E6">
        <w:rPr>
          <w:rFonts w:ascii="Times New Roman" w:hAnsi="Times New Roman" w:cs="Times New Roman"/>
          <w:sz w:val="28"/>
          <w:szCs w:val="28"/>
        </w:rPr>
        <w:t xml:space="preserve"> de la Ley 2294</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(iii)</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en las</w:t>
      </w:r>
      <w:r w:rsidRPr="00D073E6">
        <w:rPr>
          <w:rFonts w:ascii="Times New Roman" w:hAnsi="Times New Roman" w:cs="Times New Roman"/>
          <w:sz w:val="28"/>
          <w:szCs w:val="28"/>
        </w:rPr>
        <w:t xml:space="preserve"> ‘Bases del Plan Nacional de Desarrollo 2022-2026 Colombia Potencia Mundial de la Vida’ tampoco se encuentra establecida ni mencionada ninguna modificación de carácter procesal al Decreto Ley 902 de 20</w:t>
      </w:r>
      <w:r w:rsidRPr="00D073E6">
        <w:rPr>
          <w:rFonts w:ascii="Times New Roman" w:hAnsi="Times New Roman" w:cs="Times New Roman"/>
          <w:sz w:val="28"/>
          <w:szCs w:val="28"/>
        </w:rPr>
        <w:t xml:space="preserve">17, ni la transformación del procedimiento único para el trámite de los asuntos agrarios; y </w:t>
      </w:r>
      <w:r w:rsidRPr="00D073E6">
        <w:rPr>
          <w:rFonts w:ascii="Times New Roman" w:hAnsi="Times New Roman" w:cs="Times New Roman"/>
          <w:i/>
          <w:iCs/>
          <w:sz w:val="28"/>
          <w:szCs w:val="28"/>
        </w:rPr>
        <w:t>(iv)</w:t>
      </w:r>
      <w:r w:rsidRPr="00D073E6">
        <w:rPr>
          <w:rFonts w:ascii="Times New Roman" w:hAnsi="Times New Roman" w:cs="Times New Roman"/>
          <w:sz w:val="28"/>
          <w:szCs w:val="28"/>
        </w:rPr>
        <w:t xml:space="preserve"> contrastó el contenido del artículo 5 de la Ley 152 de 1994 con las disposiciones acusadas, para concluir que “esta última no desarrolla ni tiene conexión directa ni indirecta con el texto literal y los propósitos señalados en la Ley Orgánica del Plan Nac</w:t>
      </w:r>
      <w:r w:rsidRPr="00D073E6">
        <w:rPr>
          <w:rFonts w:ascii="Times New Roman" w:hAnsi="Times New Roman" w:cs="Times New Roman"/>
          <w:sz w:val="28"/>
          <w:szCs w:val="28"/>
        </w:rPr>
        <w:t>ional de Desarrollo</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7"/>
      </w:r>
    </w:p>
    <w:p w:rsidR="00B45F40" w:rsidRPr="00D073E6" w:rsidRDefault="00D073E6" w:rsidP="00E02B10">
      <w:pPr>
        <w:pStyle w:val="Prrafodelista"/>
        <w:rPr>
          <w:rFonts w:ascii="Times New Roman" w:hAnsi="Times New Roman" w:cs="Times New Roman"/>
          <w:sz w:val="28"/>
          <w:szCs w:val="28"/>
        </w:rPr>
      </w:pPr>
    </w:p>
    <w:p w:rsidR="008658D3" w:rsidRPr="00D073E6" w:rsidRDefault="00D073E6" w:rsidP="0035096B">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De otro lado</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el accionante</w:t>
      </w:r>
      <w:r w:rsidRPr="00D073E6">
        <w:rPr>
          <w:rFonts w:ascii="Times New Roman" w:hAnsi="Times New Roman" w:cs="Times New Roman"/>
          <w:sz w:val="28"/>
          <w:szCs w:val="28"/>
        </w:rPr>
        <w:t xml:space="preserve"> afirmó </w:t>
      </w:r>
      <w:r w:rsidRPr="00D073E6">
        <w:rPr>
          <w:rFonts w:ascii="Times New Roman" w:hAnsi="Times New Roman" w:cs="Times New Roman"/>
          <w:sz w:val="28"/>
          <w:szCs w:val="28"/>
        </w:rPr>
        <w:t>que el gobierno tiene a su disposición otras herramientas para modificar el Decreto Ley 902 de 2017</w:t>
      </w:r>
      <w:r w:rsidRPr="00D073E6">
        <w:rPr>
          <w:rFonts w:ascii="Times New Roman" w:hAnsi="Times New Roman" w:cs="Times New Roman"/>
          <w:sz w:val="28"/>
          <w:szCs w:val="28"/>
        </w:rPr>
        <w:t>, como</w:t>
      </w:r>
      <w:r w:rsidRPr="00D073E6">
        <w:rPr>
          <w:rFonts w:ascii="Times New Roman" w:hAnsi="Times New Roman" w:cs="Times New Roman"/>
          <w:sz w:val="28"/>
          <w:szCs w:val="28"/>
        </w:rPr>
        <w:t xml:space="preserve"> por ejemplo</w:t>
      </w:r>
      <w:r w:rsidRPr="00D073E6">
        <w:rPr>
          <w:rFonts w:ascii="Times New Roman" w:hAnsi="Times New Roman" w:cs="Times New Roman"/>
          <w:sz w:val="28"/>
          <w:szCs w:val="28"/>
        </w:rPr>
        <w:t xml:space="preserve"> la iniciativa legislativa</w:t>
      </w:r>
      <w:r w:rsidRPr="00D073E6">
        <w:rPr>
          <w:rFonts w:ascii="Times New Roman" w:hAnsi="Times New Roman" w:cs="Times New Roman"/>
          <w:sz w:val="28"/>
          <w:szCs w:val="28"/>
        </w:rPr>
        <w:t>, con l</w:t>
      </w:r>
      <w:r w:rsidRPr="00D073E6">
        <w:rPr>
          <w:rFonts w:ascii="Times New Roman" w:hAnsi="Times New Roman" w:cs="Times New Roman"/>
          <w:sz w:val="28"/>
          <w:szCs w:val="28"/>
        </w:rPr>
        <w:t>a</w:t>
      </w:r>
      <w:r w:rsidRPr="00D073E6">
        <w:rPr>
          <w:rFonts w:ascii="Times New Roman" w:hAnsi="Times New Roman" w:cs="Times New Roman"/>
          <w:sz w:val="28"/>
          <w:szCs w:val="28"/>
        </w:rPr>
        <w:t xml:space="preserve"> cual se garantizaría un amplio debate democrá</w:t>
      </w:r>
      <w:r w:rsidRPr="00D073E6">
        <w:rPr>
          <w:rFonts w:ascii="Times New Roman" w:hAnsi="Times New Roman" w:cs="Times New Roman"/>
          <w:sz w:val="28"/>
          <w:szCs w:val="28"/>
        </w:rPr>
        <w:t>tico</w:t>
      </w:r>
      <w:r w:rsidRPr="00D073E6">
        <w:rPr>
          <w:rFonts w:ascii="Times New Roman" w:hAnsi="Times New Roman" w:cs="Times New Roman"/>
          <w:sz w:val="28"/>
          <w:szCs w:val="28"/>
        </w:rPr>
        <w:t xml:space="preserve"> y </w:t>
      </w:r>
      <w:r w:rsidRPr="00D073E6">
        <w:rPr>
          <w:rFonts w:ascii="Times New Roman" w:hAnsi="Times New Roman" w:cs="Times New Roman"/>
          <w:sz w:val="28"/>
          <w:szCs w:val="28"/>
        </w:rPr>
        <w:t xml:space="preserve">se respetaría el carácter temporal de las normas del plan de desarrollo nacional. </w:t>
      </w:r>
    </w:p>
    <w:p w:rsidR="00AD0009" w:rsidRPr="00D073E6" w:rsidRDefault="00D073E6" w:rsidP="00AD0009">
      <w:pPr>
        <w:pStyle w:val="Prrafodelista"/>
        <w:rPr>
          <w:rFonts w:ascii="Times New Roman" w:hAnsi="Times New Roman" w:cs="Times New Roman"/>
          <w:sz w:val="28"/>
          <w:szCs w:val="28"/>
          <w:u w:val="single"/>
        </w:rPr>
      </w:pPr>
    </w:p>
    <w:p w:rsidR="00DF66C9" w:rsidRPr="00D073E6" w:rsidRDefault="00D073E6" w:rsidP="00F317B1">
      <w:pPr>
        <w:pStyle w:val="Prrafodelista"/>
        <w:numPr>
          <w:ilvl w:val="0"/>
          <w:numId w:val="3"/>
        </w:numPr>
        <w:tabs>
          <w:tab w:val="left" w:pos="426"/>
        </w:tabs>
        <w:ind w:left="0" w:firstLine="0"/>
        <w:jc w:val="both"/>
        <w:rPr>
          <w:rFonts w:ascii="Times New Roman" w:hAnsi="Times New Roman" w:cs="Times New Roman"/>
          <w:b/>
          <w:bCs/>
          <w:sz w:val="28"/>
          <w:szCs w:val="28"/>
          <w:u w:val="single"/>
          <w:lang w:val="es-MX"/>
        </w:rPr>
      </w:pPr>
      <w:r w:rsidRPr="00D073E6">
        <w:rPr>
          <w:rFonts w:ascii="Times New Roman" w:hAnsi="Times New Roman" w:cs="Times New Roman"/>
          <w:b/>
          <w:bCs/>
          <w:sz w:val="28"/>
          <w:szCs w:val="28"/>
          <w:u w:val="single"/>
          <w:lang w:val="es-MX"/>
        </w:rPr>
        <w:t xml:space="preserve">Intervenciones </w:t>
      </w:r>
      <w:r w:rsidRPr="00D073E6">
        <w:rPr>
          <w:rFonts w:ascii="Times New Roman" w:hAnsi="Times New Roman" w:cs="Times New Roman"/>
          <w:b/>
          <w:bCs/>
          <w:sz w:val="28"/>
          <w:szCs w:val="28"/>
          <w:u w:val="single"/>
          <w:lang w:val="es-MX"/>
        </w:rPr>
        <w:t>oficiales</w:t>
      </w:r>
    </w:p>
    <w:p w:rsidR="00DF66C9" w:rsidRPr="00D073E6" w:rsidRDefault="00D073E6" w:rsidP="00DF66C9">
      <w:pPr>
        <w:pStyle w:val="Prrafodelista"/>
        <w:tabs>
          <w:tab w:val="left" w:pos="426"/>
        </w:tabs>
        <w:ind w:left="0"/>
        <w:jc w:val="both"/>
        <w:rPr>
          <w:rFonts w:ascii="Times New Roman" w:hAnsi="Times New Roman" w:cs="Times New Roman"/>
          <w:sz w:val="28"/>
          <w:szCs w:val="28"/>
          <w:lang w:val="es-MX"/>
        </w:rPr>
      </w:pPr>
    </w:p>
    <w:p w:rsidR="00DF66C9" w:rsidRPr="00D073E6" w:rsidRDefault="00D073E6" w:rsidP="008164B0">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Vencido el término de f</w:t>
      </w:r>
      <w:r w:rsidRPr="00D073E6">
        <w:rPr>
          <w:rFonts w:ascii="Times New Roman" w:hAnsi="Times New Roman" w:cs="Times New Roman"/>
          <w:sz w:val="28"/>
          <w:szCs w:val="28"/>
        </w:rPr>
        <w:t>ijación en lista</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se recibieron intervenciones oficiales del </w:t>
      </w:r>
      <w:r w:rsidRPr="00D073E6">
        <w:rPr>
          <w:rFonts w:ascii="Times New Roman" w:hAnsi="Times New Roman" w:cs="Times New Roman"/>
          <w:sz w:val="28"/>
          <w:szCs w:val="28"/>
        </w:rPr>
        <w:t>Ministerio de Agricultura y Desarrollo Rural</w:t>
      </w:r>
      <w:r w:rsidRPr="00D073E6">
        <w:rPr>
          <w:rStyle w:val="Refdenotaalpie"/>
          <w:rFonts w:ascii="Times New Roman" w:hAnsi="Times New Roman" w:cs="Times New Roman"/>
          <w:sz w:val="28"/>
          <w:szCs w:val="28"/>
        </w:rPr>
        <w:footnoteReference w:id="8"/>
      </w:r>
      <w:r w:rsidRPr="00D073E6">
        <w:rPr>
          <w:rFonts w:ascii="Times New Roman" w:hAnsi="Times New Roman" w:cs="Times New Roman"/>
          <w:sz w:val="28"/>
          <w:szCs w:val="28"/>
        </w:rPr>
        <w:t xml:space="preserve">, la </w:t>
      </w:r>
      <w:r w:rsidRPr="00D073E6">
        <w:rPr>
          <w:rFonts w:ascii="Times New Roman" w:hAnsi="Times New Roman" w:cs="Times New Roman"/>
          <w:sz w:val="28"/>
          <w:szCs w:val="28"/>
        </w:rPr>
        <w:t>Presidencia de la República</w:t>
      </w:r>
      <w:r w:rsidRPr="00D073E6">
        <w:rPr>
          <w:rStyle w:val="Refdenotaalpie"/>
          <w:rFonts w:ascii="Times New Roman" w:hAnsi="Times New Roman" w:cs="Times New Roman"/>
          <w:sz w:val="28"/>
          <w:szCs w:val="28"/>
        </w:rPr>
        <w:footnoteReference w:id="9"/>
      </w:r>
      <w:r w:rsidRPr="00D073E6">
        <w:rPr>
          <w:rFonts w:ascii="Times New Roman" w:hAnsi="Times New Roman" w:cs="Times New Roman"/>
          <w:sz w:val="28"/>
          <w:szCs w:val="28"/>
        </w:rPr>
        <w:t xml:space="preserve"> y el Departamento Nacional de Planeación</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10"/>
      </w:r>
    </w:p>
    <w:p w:rsidR="00941D1A" w:rsidRPr="00D073E6" w:rsidRDefault="00D073E6" w:rsidP="00E21D2B">
      <w:pPr>
        <w:pStyle w:val="Prrafodelista"/>
        <w:tabs>
          <w:tab w:val="left" w:pos="7404"/>
        </w:tabs>
        <w:ind w:left="0"/>
        <w:contextualSpacing w:val="0"/>
        <w:jc w:val="both"/>
        <w:rPr>
          <w:rFonts w:ascii="Times New Roman" w:hAnsi="Times New Roman" w:cs="Times New Roman"/>
          <w:sz w:val="28"/>
          <w:szCs w:val="28"/>
        </w:rPr>
      </w:pPr>
      <w:r w:rsidRPr="00D073E6">
        <w:rPr>
          <w:rFonts w:ascii="Times New Roman" w:hAnsi="Times New Roman" w:cs="Times New Roman"/>
          <w:sz w:val="28"/>
          <w:szCs w:val="28"/>
        </w:rPr>
        <w:tab/>
      </w:r>
    </w:p>
    <w:p w:rsidR="002A64AF" w:rsidRPr="00D073E6" w:rsidRDefault="00D073E6" w:rsidP="002A64AF">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rPr>
        <w:t>Intervención de la Presidencia de la República</w:t>
      </w:r>
    </w:p>
    <w:p w:rsidR="002A64AF" w:rsidRPr="00D073E6" w:rsidRDefault="00D073E6" w:rsidP="002A64AF">
      <w:pPr>
        <w:pStyle w:val="Prrafodelista"/>
        <w:tabs>
          <w:tab w:val="left" w:pos="426"/>
        </w:tabs>
        <w:ind w:left="0"/>
        <w:contextualSpacing w:val="0"/>
        <w:jc w:val="both"/>
        <w:rPr>
          <w:rFonts w:ascii="Times New Roman" w:hAnsi="Times New Roman" w:cs="Times New Roman"/>
          <w:sz w:val="28"/>
          <w:szCs w:val="28"/>
        </w:rPr>
      </w:pPr>
    </w:p>
    <w:p w:rsidR="002A64AF" w:rsidRPr="00D073E6" w:rsidRDefault="00D073E6" w:rsidP="002A64AF">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El Departamento Administrativo de la Presidencia de la República s</w:t>
      </w:r>
      <w:r w:rsidRPr="00D073E6">
        <w:rPr>
          <w:rFonts w:ascii="Times New Roman" w:hAnsi="Times New Roman" w:cs="Times New Roman"/>
          <w:sz w:val="28"/>
          <w:szCs w:val="28"/>
        </w:rPr>
        <w:t>olicitó</w:t>
      </w:r>
      <w:r w:rsidRPr="00D073E6">
        <w:rPr>
          <w:rFonts w:ascii="Times New Roman" w:hAnsi="Times New Roman" w:cs="Times New Roman"/>
          <w:sz w:val="28"/>
          <w:szCs w:val="28"/>
        </w:rPr>
        <w:t xml:space="preserve"> a</w:t>
      </w:r>
      <w:r w:rsidRPr="00D073E6">
        <w:rPr>
          <w:rFonts w:ascii="Times New Roman" w:hAnsi="Times New Roman" w:cs="Times New Roman"/>
          <w:sz w:val="28"/>
          <w:szCs w:val="28"/>
        </w:rPr>
        <w:t xml:space="preserve"> la Corte Constitucional declar</w:t>
      </w:r>
      <w:r w:rsidRPr="00D073E6">
        <w:rPr>
          <w:rFonts w:ascii="Times New Roman" w:hAnsi="Times New Roman" w:cs="Times New Roman"/>
          <w:sz w:val="28"/>
          <w:szCs w:val="28"/>
        </w:rPr>
        <w:t>ar</w:t>
      </w:r>
      <w:r w:rsidRPr="00D073E6">
        <w:rPr>
          <w:rFonts w:ascii="Times New Roman" w:hAnsi="Times New Roman" w:cs="Times New Roman"/>
          <w:sz w:val="28"/>
          <w:szCs w:val="28"/>
        </w:rPr>
        <w:t xml:space="preserve"> la exequibilidad</w:t>
      </w:r>
      <w:r w:rsidRPr="00D073E6">
        <w:rPr>
          <w:rFonts w:ascii="Times New Roman" w:hAnsi="Times New Roman" w:cs="Times New Roman"/>
          <w:sz w:val="28"/>
          <w:szCs w:val="28"/>
        </w:rPr>
        <w:t xml:space="preserve"> de los apartes demandados del artículo 61 de la Ley 2294 de 2023. Argumentó que no se desconocieron los límites a la configuración legislativa, dado que, de la doctrina jurisprudencial sentada en la Sentencia C-073 de 2018 “</w:t>
      </w:r>
      <w:r w:rsidRPr="00D073E6">
        <w:rPr>
          <w:rFonts w:ascii="Times New Roman" w:hAnsi="Times New Roman" w:cs="Times New Roman"/>
          <w:i/>
          <w:iCs/>
          <w:sz w:val="28"/>
          <w:szCs w:val="28"/>
        </w:rPr>
        <w:t>se desprende que, dentro del ám</w:t>
      </w:r>
      <w:r w:rsidRPr="00D073E6">
        <w:rPr>
          <w:rFonts w:ascii="Times New Roman" w:hAnsi="Times New Roman" w:cs="Times New Roman"/>
          <w:i/>
          <w:iCs/>
          <w:sz w:val="28"/>
          <w:szCs w:val="28"/>
        </w:rPr>
        <w:t>bito de configuración legislativa en materia de procedimiento, está la posibilidad de establecer cuáles son los asuntos que no se tramitarán bajo una u otra forma procedimental</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11"/>
      </w:r>
      <w:r w:rsidRPr="00D073E6">
        <w:rPr>
          <w:rFonts w:ascii="Times New Roman" w:hAnsi="Times New Roman" w:cs="Times New Roman"/>
          <w:sz w:val="28"/>
          <w:szCs w:val="28"/>
        </w:rPr>
        <w:t>. Adicionalmente, aseguró que “</w:t>
      </w:r>
      <w:r w:rsidRPr="00D073E6">
        <w:rPr>
          <w:rFonts w:ascii="Times New Roman" w:hAnsi="Times New Roman" w:cs="Times New Roman"/>
          <w:i/>
          <w:iCs/>
          <w:sz w:val="28"/>
          <w:szCs w:val="28"/>
        </w:rPr>
        <w:t>del Acuerdo Final no se deriva un instrumento e</w:t>
      </w:r>
      <w:r w:rsidRPr="00D073E6">
        <w:rPr>
          <w:rFonts w:ascii="Times New Roman" w:hAnsi="Times New Roman" w:cs="Times New Roman"/>
          <w:i/>
          <w:iCs/>
          <w:sz w:val="28"/>
          <w:szCs w:val="28"/>
        </w:rPr>
        <w:t>ncaminado a requerir que los procedimientos especiales agrarios se decidan de fondo por la Jurisdicción Agraria</w:t>
      </w:r>
      <w:r w:rsidRPr="00D073E6">
        <w:rPr>
          <w:rFonts w:ascii="Times New Roman" w:hAnsi="Times New Roman" w:cs="Times New Roman"/>
          <w:sz w:val="28"/>
          <w:szCs w:val="28"/>
        </w:rPr>
        <w:t>”.</w:t>
      </w:r>
    </w:p>
    <w:p w:rsidR="002A64AF" w:rsidRPr="00D073E6" w:rsidRDefault="00D073E6" w:rsidP="002A64AF">
      <w:pPr>
        <w:pStyle w:val="Prrafodelista"/>
        <w:tabs>
          <w:tab w:val="left" w:pos="426"/>
        </w:tabs>
        <w:ind w:left="0"/>
        <w:contextualSpacing w:val="0"/>
        <w:jc w:val="both"/>
        <w:rPr>
          <w:rFonts w:ascii="Times New Roman" w:hAnsi="Times New Roman" w:cs="Times New Roman"/>
          <w:sz w:val="28"/>
          <w:szCs w:val="28"/>
        </w:rPr>
      </w:pPr>
    </w:p>
    <w:p w:rsidR="002A64AF" w:rsidRPr="00D073E6" w:rsidRDefault="00D073E6" w:rsidP="002A64AF">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Agregó que las reglas que se desprenden de las normas demandadas desarrollan los preceptos constitucionales de los artículos 58, 64 y 64 y so</w:t>
      </w:r>
      <w:r w:rsidRPr="00D073E6">
        <w:rPr>
          <w:rFonts w:ascii="Times New Roman" w:hAnsi="Times New Roman" w:cs="Times New Roman"/>
          <w:sz w:val="28"/>
          <w:szCs w:val="28"/>
        </w:rPr>
        <w:t xml:space="preserve">n coherentes con la normatividad agraria y rural vigente (Ley 200 de </w:t>
      </w:r>
      <w:r w:rsidRPr="00D073E6">
        <w:rPr>
          <w:rFonts w:ascii="Times New Roman" w:hAnsi="Times New Roman" w:cs="Times New Roman"/>
          <w:sz w:val="28"/>
          <w:szCs w:val="28"/>
        </w:rPr>
        <w:t>1</w:t>
      </w:r>
      <w:r w:rsidRPr="00D073E6">
        <w:rPr>
          <w:rFonts w:ascii="Times New Roman" w:hAnsi="Times New Roman" w:cs="Times New Roman"/>
          <w:sz w:val="28"/>
          <w:szCs w:val="28"/>
        </w:rPr>
        <w:t>936, Ley 160 de 1994 y Decreto Ley 902 de 2017), la cual propende a modificar la “</w:t>
      </w:r>
      <w:r w:rsidRPr="00D073E6">
        <w:rPr>
          <w:rFonts w:ascii="Times New Roman" w:hAnsi="Times New Roman" w:cs="Times New Roman"/>
          <w:i/>
          <w:iCs/>
          <w:sz w:val="28"/>
          <w:szCs w:val="28"/>
        </w:rPr>
        <w:t>estructura social agraria a través de procedimiento</w:t>
      </w:r>
      <w:r w:rsidRPr="00D073E6">
        <w:rPr>
          <w:rFonts w:ascii="Times New Roman" w:hAnsi="Times New Roman" w:cs="Times New Roman"/>
          <w:i/>
          <w:iCs/>
          <w:sz w:val="28"/>
          <w:szCs w:val="28"/>
        </w:rPr>
        <w:t>s</w:t>
      </w:r>
      <w:r w:rsidRPr="00D073E6">
        <w:rPr>
          <w:rFonts w:ascii="Times New Roman" w:hAnsi="Times New Roman" w:cs="Times New Roman"/>
          <w:i/>
          <w:iCs/>
          <w:sz w:val="28"/>
          <w:szCs w:val="28"/>
        </w:rPr>
        <w:t xml:space="preserve"> dirigidos a eliminar y prevenir irregularidades en </w:t>
      </w:r>
      <w:r w:rsidRPr="00D073E6">
        <w:rPr>
          <w:rFonts w:ascii="Times New Roman" w:hAnsi="Times New Roman" w:cs="Times New Roman"/>
          <w:i/>
          <w:iCs/>
          <w:sz w:val="28"/>
          <w:szCs w:val="28"/>
        </w:rPr>
        <w:t>la tenencia de la tierra, así como, dotar de tierras a los hombres y mujeres campesinos de escasos recursos.</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12"/>
      </w:r>
      <w:r w:rsidRPr="00D073E6">
        <w:rPr>
          <w:rFonts w:ascii="Times New Roman" w:hAnsi="Times New Roman" w:cs="Times New Roman"/>
          <w:sz w:val="28"/>
          <w:szCs w:val="28"/>
        </w:rPr>
        <w:t xml:space="preserve"> Afirmó que aquellas también están en sintonía con lo dispuesto en el Acuerdo Final para la Terminación del Conflicto y la Construcción de una Paz</w:t>
      </w:r>
      <w:r w:rsidRPr="00D073E6">
        <w:rPr>
          <w:rFonts w:ascii="Times New Roman" w:hAnsi="Times New Roman" w:cs="Times New Roman"/>
          <w:sz w:val="28"/>
          <w:szCs w:val="28"/>
        </w:rPr>
        <w:t xml:space="preserve"> Estable y duradera, con incidencia en el Decreto Ley 902 de 2017.</w:t>
      </w:r>
    </w:p>
    <w:p w:rsidR="002A64AF" w:rsidRPr="00D073E6" w:rsidRDefault="00D073E6" w:rsidP="002A64AF">
      <w:pPr>
        <w:pStyle w:val="Prrafodelista"/>
        <w:rPr>
          <w:rFonts w:ascii="Times New Roman" w:hAnsi="Times New Roman" w:cs="Times New Roman"/>
          <w:sz w:val="28"/>
          <w:szCs w:val="28"/>
        </w:rPr>
      </w:pPr>
    </w:p>
    <w:p w:rsidR="002A64AF" w:rsidRPr="00D073E6" w:rsidRDefault="00D073E6" w:rsidP="002A64AF">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Sintetizó los motivos por los cuales, a su juicio, no se vulneró el principio de unidad de materia en los siguientes términos:</w:t>
      </w:r>
    </w:p>
    <w:p w:rsidR="002A64AF" w:rsidRPr="00D073E6" w:rsidRDefault="00D073E6" w:rsidP="002A64AF">
      <w:pPr>
        <w:pStyle w:val="Prrafodelista"/>
        <w:rPr>
          <w:rFonts w:ascii="Times New Roman" w:hAnsi="Times New Roman" w:cs="Times New Roman"/>
          <w:sz w:val="28"/>
          <w:szCs w:val="28"/>
        </w:rPr>
      </w:pPr>
    </w:p>
    <w:p w:rsidR="002A64AF" w:rsidRPr="00D073E6" w:rsidRDefault="00D073E6" w:rsidP="002A64AF">
      <w:pPr>
        <w:pStyle w:val="Prrafodelista"/>
        <w:tabs>
          <w:tab w:val="left" w:pos="426"/>
        </w:tabs>
        <w:ind w:left="284" w:right="284"/>
        <w:contextualSpacing w:val="0"/>
        <w:jc w:val="both"/>
        <w:rPr>
          <w:rFonts w:ascii="Times New Roman" w:hAnsi="Times New Roman" w:cs="Times New Roman"/>
          <w:sz w:val="28"/>
        </w:rPr>
      </w:pPr>
      <w:r w:rsidRPr="00D073E6">
        <w:rPr>
          <w:rFonts w:ascii="Times New Roman" w:hAnsi="Times New Roman" w:cs="Times New Roman"/>
          <w:sz w:val="28"/>
        </w:rPr>
        <w:t>“</w:t>
      </w:r>
      <w:r w:rsidRPr="00D073E6">
        <w:rPr>
          <w:rFonts w:ascii="Times New Roman" w:hAnsi="Times New Roman" w:cs="Times New Roman"/>
          <w:i/>
          <w:iCs/>
          <w:sz w:val="28"/>
        </w:rPr>
        <w:t>En el marco del Plan Nacional de Desarrollo 2022-2026 ‘Colo</w:t>
      </w:r>
      <w:r w:rsidRPr="00D073E6">
        <w:rPr>
          <w:rFonts w:ascii="Times New Roman" w:hAnsi="Times New Roman" w:cs="Times New Roman"/>
          <w:i/>
          <w:iCs/>
          <w:sz w:val="28"/>
        </w:rPr>
        <w:t xml:space="preserve">mbia Potencia Mundial de la Vida’ </w:t>
      </w:r>
      <w:r w:rsidRPr="00D073E6">
        <w:rPr>
          <w:rFonts w:ascii="Times New Roman" w:hAnsi="Times New Roman" w:cs="Times New Roman"/>
          <w:i/>
          <w:iCs/>
          <w:sz w:val="28"/>
        </w:rPr>
        <w:t>s</w:t>
      </w:r>
      <w:r w:rsidRPr="00D073E6">
        <w:rPr>
          <w:rFonts w:ascii="Times New Roman" w:hAnsi="Times New Roman" w:cs="Times New Roman"/>
          <w:i/>
          <w:iCs/>
          <w:sz w:val="28"/>
        </w:rPr>
        <w:t>e propuso la modificación normativa al Decreto Ley 902 de 2017, buscando aportar a la pronta y efectiva resolución de los llamados conflictos sobre la tierra, al facilitar la aplicación efectiva de los procedimientos espe</w:t>
      </w:r>
      <w:r w:rsidRPr="00D073E6">
        <w:rPr>
          <w:rFonts w:ascii="Times New Roman" w:hAnsi="Times New Roman" w:cs="Times New Roman"/>
          <w:i/>
          <w:iCs/>
          <w:sz w:val="28"/>
        </w:rPr>
        <w:t xml:space="preserve">ciales agrarios contemplados a nivel legislativo por la Ley 160 de 1994, como imperativo, para el cumplimiento del Punto 1 del Acuerdo Final </w:t>
      </w:r>
      <w:r w:rsidRPr="00D073E6">
        <w:rPr>
          <w:rFonts w:ascii="Times New Roman" w:hAnsi="Times New Roman" w:cs="Times New Roman"/>
          <w:sz w:val="28"/>
        </w:rPr>
        <w:t xml:space="preserve">(…), </w:t>
      </w:r>
      <w:r w:rsidRPr="00D073E6">
        <w:rPr>
          <w:rFonts w:ascii="Times New Roman" w:hAnsi="Times New Roman" w:cs="Times New Roman"/>
          <w:i/>
          <w:iCs/>
          <w:sz w:val="28"/>
        </w:rPr>
        <w:t>en donde para efectos de la superación de las causas estructurales del conflicto se estableció, entre otras me</w:t>
      </w:r>
      <w:r w:rsidRPr="00D073E6">
        <w:rPr>
          <w:rFonts w:ascii="Times New Roman" w:hAnsi="Times New Roman" w:cs="Times New Roman"/>
          <w:i/>
          <w:iCs/>
          <w:sz w:val="28"/>
        </w:rPr>
        <w:t>didas, la construcción de un fondo de tierras, que tiene el carácter de permanente, para la democratización del uso de la tierra, con una meta de tres millones de hectáreas en los primeros 12 años, cuyas fuentes incluyen los predios provenientes de dos tip</w:t>
      </w:r>
      <w:r w:rsidRPr="00D073E6">
        <w:rPr>
          <w:rFonts w:ascii="Times New Roman" w:hAnsi="Times New Roman" w:cs="Times New Roman"/>
          <w:i/>
          <w:iCs/>
          <w:sz w:val="28"/>
        </w:rPr>
        <w:t xml:space="preserve">os distintos de extinción del derecho de dominio, una judicial que debería impulsar a través de las reformas necesarias </w:t>
      </w:r>
      <w:r w:rsidRPr="00D073E6">
        <w:rPr>
          <w:rFonts w:ascii="Times New Roman" w:hAnsi="Times New Roman" w:cs="Times New Roman"/>
          <w:sz w:val="28"/>
        </w:rPr>
        <w:t xml:space="preserve">(…) </w:t>
      </w:r>
      <w:r w:rsidRPr="00D073E6">
        <w:rPr>
          <w:rFonts w:ascii="Times New Roman" w:hAnsi="Times New Roman" w:cs="Times New Roman"/>
          <w:i/>
          <w:iCs/>
          <w:sz w:val="28"/>
        </w:rPr>
        <w:t xml:space="preserve">y otra administrativa </w:t>
      </w:r>
      <w:r w:rsidRPr="00D073E6">
        <w:rPr>
          <w:rFonts w:ascii="Times New Roman" w:hAnsi="Times New Roman" w:cs="Times New Roman"/>
          <w:sz w:val="28"/>
        </w:rPr>
        <w:t xml:space="preserve">(…). </w:t>
      </w:r>
      <w:r w:rsidRPr="00D073E6">
        <w:rPr>
          <w:rFonts w:ascii="Times New Roman" w:hAnsi="Times New Roman" w:cs="Times New Roman"/>
          <w:i/>
          <w:iCs/>
          <w:sz w:val="28"/>
        </w:rPr>
        <w:t>Así mismo, de los predios recuperados a través de procesos agrarios, predios donados, provenientes de exp</w:t>
      </w:r>
      <w:r w:rsidRPr="00D073E6">
        <w:rPr>
          <w:rFonts w:ascii="Times New Roman" w:hAnsi="Times New Roman" w:cs="Times New Roman"/>
          <w:i/>
          <w:iCs/>
          <w:sz w:val="28"/>
        </w:rPr>
        <w:t>ropiación y adquisición directa.</w:t>
      </w:r>
      <w:r w:rsidRPr="00D073E6">
        <w:rPr>
          <w:rFonts w:ascii="Times New Roman" w:hAnsi="Times New Roman" w:cs="Times New Roman"/>
          <w:sz w:val="28"/>
        </w:rPr>
        <w:t>”</w:t>
      </w:r>
      <w:r w:rsidRPr="00D073E6">
        <w:rPr>
          <w:rStyle w:val="Refdenotaalpie"/>
          <w:rFonts w:ascii="Times New Roman" w:hAnsi="Times New Roman" w:cs="Times New Roman"/>
          <w:sz w:val="28"/>
        </w:rPr>
        <w:footnoteReference w:id="13"/>
      </w:r>
    </w:p>
    <w:p w:rsidR="002A64AF" w:rsidRPr="00D073E6" w:rsidRDefault="00D073E6" w:rsidP="002A64AF">
      <w:pPr>
        <w:pStyle w:val="Prrafodelista"/>
        <w:tabs>
          <w:tab w:val="left" w:pos="426"/>
        </w:tabs>
        <w:ind w:left="284" w:right="284"/>
        <w:contextualSpacing w:val="0"/>
        <w:jc w:val="both"/>
        <w:rPr>
          <w:rFonts w:ascii="Times New Roman" w:hAnsi="Times New Roman" w:cs="Times New Roman"/>
          <w:sz w:val="28"/>
        </w:rPr>
      </w:pPr>
    </w:p>
    <w:p w:rsidR="002A64AF" w:rsidRPr="00D073E6" w:rsidRDefault="00D073E6" w:rsidP="002A64AF">
      <w:pPr>
        <w:pStyle w:val="Prrafodelista"/>
        <w:tabs>
          <w:tab w:val="left" w:pos="426"/>
        </w:tabs>
        <w:ind w:left="284" w:right="284"/>
        <w:contextualSpacing w:val="0"/>
        <w:jc w:val="both"/>
        <w:rPr>
          <w:rFonts w:ascii="Times New Roman" w:hAnsi="Times New Roman" w:cs="Times New Roman"/>
          <w:sz w:val="28"/>
        </w:rPr>
      </w:pPr>
      <w:r w:rsidRPr="00D073E6">
        <w:rPr>
          <w:rFonts w:ascii="Times New Roman" w:hAnsi="Times New Roman" w:cs="Times New Roman"/>
          <w:sz w:val="28"/>
        </w:rPr>
        <w:t>(…)</w:t>
      </w:r>
    </w:p>
    <w:p w:rsidR="002A64AF" w:rsidRPr="00D073E6" w:rsidRDefault="00D073E6" w:rsidP="002A64AF">
      <w:pPr>
        <w:pStyle w:val="Prrafodelista"/>
        <w:tabs>
          <w:tab w:val="left" w:pos="426"/>
        </w:tabs>
        <w:ind w:left="284" w:right="284"/>
        <w:contextualSpacing w:val="0"/>
        <w:jc w:val="both"/>
        <w:rPr>
          <w:rFonts w:ascii="Times New Roman" w:hAnsi="Times New Roman" w:cs="Times New Roman"/>
          <w:sz w:val="28"/>
        </w:rPr>
      </w:pPr>
    </w:p>
    <w:p w:rsidR="002A64AF" w:rsidRPr="00D073E6" w:rsidRDefault="00D073E6" w:rsidP="002A64AF">
      <w:pPr>
        <w:pStyle w:val="Prrafodelista"/>
        <w:tabs>
          <w:tab w:val="left" w:pos="426"/>
        </w:tabs>
        <w:ind w:left="284" w:right="284"/>
        <w:contextualSpacing w:val="0"/>
        <w:jc w:val="both"/>
        <w:rPr>
          <w:rFonts w:ascii="Times New Roman" w:hAnsi="Times New Roman" w:cs="Times New Roman"/>
          <w:sz w:val="28"/>
        </w:rPr>
      </w:pPr>
      <w:r w:rsidRPr="00D073E6">
        <w:rPr>
          <w:rFonts w:ascii="Times New Roman" w:hAnsi="Times New Roman" w:cs="Times New Roman"/>
          <w:sz w:val="28"/>
        </w:rPr>
        <w:t>“</w:t>
      </w:r>
      <w:r w:rsidRPr="00D073E6">
        <w:rPr>
          <w:rFonts w:ascii="Times New Roman" w:hAnsi="Times New Roman" w:cs="Times New Roman"/>
          <w:i/>
          <w:iCs/>
          <w:sz w:val="28"/>
        </w:rPr>
        <w:t>La disposición demandada ha surgido de las mismas bases que inspiraron y hacen parte de la estructura transversal del Plan Nacional de Desarrollo, lo que se traduce en que su objetivo primigenio, dirigido en todo c</w:t>
      </w:r>
      <w:r w:rsidRPr="00D073E6">
        <w:rPr>
          <w:rFonts w:ascii="Times New Roman" w:hAnsi="Times New Roman" w:cs="Times New Roman"/>
          <w:i/>
          <w:iCs/>
          <w:sz w:val="28"/>
        </w:rPr>
        <w:t>aso a fortalecer la Reforma Rural Integral y superar los rezados históricos que se han perpetrado, se logren materializar, y que, las modificaciones que han surgido a lo largo del debate, no se traducen en la inconstitucionalidad de la disposición demandad</w:t>
      </w:r>
      <w:r w:rsidRPr="00D073E6">
        <w:rPr>
          <w:rFonts w:ascii="Times New Roman" w:hAnsi="Times New Roman" w:cs="Times New Roman"/>
          <w:i/>
          <w:iCs/>
          <w:sz w:val="28"/>
        </w:rPr>
        <w:t>a, sino en la dinámica natural de construcción por cada uno de los sectores que componen la unidad legislativa y que permitió la aprobación del artículo 61 de la Ley del Plan Nacional de Desarrollo.</w:t>
      </w:r>
      <w:r w:rsidRPr="00D073E6">
        <w:rPr>
          <w:rFonts w:ascii="Times New Roman" w:hAnsi="Times New Roman" w:cs="Times New Roman"/>
          <w:sz w:val="28"/>
        </w:rPr>
        <w:t>”</w:t>
      </w:r>
      <w:r w:rsidRPr="00D073E6">
        <w:rPr>
          <w:rStyle w:val="Refdenotaalpie"/>
          <w:rFonts w:ascii="Times New Roman" w:hAnsi="Times New Roman" w:cs="Times New Roman"/>
          <w:sz w:val="28"/>
        </w:rPr>
        <w:footnoteReference w:id="14"/>
      </w:r>
    </w:p>
    <w:p w:rsidR="00AA2615" w:rsidRPr="00D073E6" w:rsidRDefault="00D073E6" w:rsidP="00AA2615">
      <w:pPr>
        <w:tabs>
          <w:tab w:val="left" w:pos="426"/>
        </w:tabs>
        <w:ind w:right="284"/>
        <w:jc w:val="both"/>
        <w:rPr>
          <w:rFonts w:ascii="Times New Roman" w:hAnsi="Times New Roman" w:cs="Times New Roman"/>
          <w:sz w:val="28"/>
        </w:rPr>
      </w:pPr>
    </w:p>
    <w:p w:rsidR="000F198D" w:rsidRPr="00D073E6" w:rsidRDefault="00D073E6" w:rsidP="002A64AF">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E</w:t>
      </w:r>
      <w:r w:rsidRPr="00D073E6">
        <w:rPr>
          <w:rFonts w:ascii="Times New Roman" w:hAnsi="Times New Roman" w:cs="Times New Roman"/>
          <w:sz w:val="28"/>
          <w:szCs w:val="28"/>
        </w:rPr>
        <w:t>xpuso que la norma cuestionada supera las subreglas e</w:t>
      </w:r>
      <w:r w:rsidRPr="00D073E6">
        <w:rPr>
          <w:rFonts w:ascii="Times New Roman" w:hAnsi="Times New Roman" w:cs="Times New Roman"/>
          <w:sz w:val="28"/>
          <w:szCs w:val="28"/>
        </w:rPr>
        <w:t>stablecidas en la Sentencia C-415 de 2020</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para se</w:t>
      </w:r>
      <w:r w:rsidRPr="00D073E6">
        <w:rPr>
          <w:rFonts w:ascii="Times New Roman" w:hAnsi="Times New Roman" w:cs="Times New Roman"/>
          <w:sz w:val="28"/>
          <w:szCs w:val="28"/>
        </w:rPr>
        <w:t>r declarada exequible</w:t>
      </w:r>
      <w:r w:rsidRPr="00D073E6">
        <w:rPr>
          <w:rFonts w:ascii="Times New Roman" w:hAnsi="Times New Roman" w:cs="Times New Roman"/>
          <w:sz w:val="28"/>
          <w:szCs w:val="28"/>
        </w:rPr>
        <w:t>. Resaltó que, con las metas de formalización y entrega de tierras, se busca solucionar problemas que “</w:t>
      </w:r>
      <w:r w:rsidRPr="00D073E6">
        <w:rPr>
          <w:rFonts w:ascii="Times New Roman" w:hAnsi="Times New Roman" w:cs="Times New Roman"/>
          <w:i/>
          <w:iCs/>
          <w:sz w:val="28"/>
          <w:szCs w:val="28"/>
        </w:rPr>
        <w:t xml:space="preserve">impiden consolidar la paz total y superar los problemas históricos asociados al </w:t>
      </w:r>
      <w:r w:rsidRPr="00D073E6">
        <w:rPr>
          <w:rFonts w:ascii="Times New Roman" w:hAnsi="Times New Roman" w:cs="Times New Roman"/>
          <w:i/>
          <w:iCs/>
          <w:sz w:val="28"/>
          <w:szCs w:val="28"/>
        </w:rPr>
        <w:t>uso y acceso a la tierra</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15"/>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así como</w:t>
      </w:r>
      <w:r w:rsidRPr="00D073E6">
        <w:rPr>
          <w:rFonts w:ascii="Times New Roman" w:hAnsi="Times New Roman" w:cs="Times New Roman"/>
          <w:sz w:val="28"/>
          <w:szCs w:val="28"/>
        </w:rPr>
        <w:t xml:space="preserve"> ordenar el territorio para impedir que la falta de planeación siga causando hechos violentos</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victimizantes </w:t>
      </w:r>
      <w:r w:rsidRPr="00D073E6">
        <w:rPr>
          <w:rFonts w:ascii="Times New Roman" w:hAnsi="Times New Roman" w:cs="Times New Roman"/>
          <w:sz w:val="28"/>
          <w:szCs w:val="28"/>
        </w:rPr>
        <w:t>y</w:t>
      </w:r>
      <w:r w:rsidRPr="00D073E6">
        <w:rPr>
          <w:rFonts w:ascii="Times New Roman" w:hAnsi="Times New Roman" w:cs="Times New Roman"/>
          <w:sz w:val="28"/>
          <w:szCs w:val="28"/>
        </w:rPr>
        <w:t xml:space="preserve"> conflictos socioambientales. </w:t>
      </w:r>
    </w:p>
    <w:p w:rsidR="000F198D" w:rsidRPr="00D073E6" w:rsidRDefault="00D073E6" w:rsidP="000F198D">
      <w:pPr>
        <w:pStyle w:val="Prrafodelista"/>
        <w:tabs>
          <w:tab w:val="left" w:pos="426"/>
        </w:tabs>
        <w:ind w:left="0"/>
        <w:contextualSpacing w:val="0"/>
        <w:jc w:val="both"/>
        <w:rPr>
          <w:rFonts w:ascii="Times New Roman" w:hAnsi="Times New Roman" w:cs="Times New Roman"/>
          <w:sz w:val="28"/>
          <w:szCs w:val="28"/>
        </w:rPr>
      </w:pPr>
    </w:p>
    <w:p w:rsidR="002A64AF" w:rsidRPr="00D073E6" w:rsidRDefault="00D073E6" w:rsidP="002A64AF">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Argumentó que todo ello se conecta de manera directa “</w:t>
      </w:r>
      <w:r w:rsidRPr="00D073E6">
        <w:rPr>
          <w:rFonts w:ascii="Times New Roman" w:hAnsi="Times New Roman" w:cs="Times New Roman"/>
          <w:i/>
          <w:iCs/>
          <w:sz w:val="28"/>
          <w:szCs w:val="28"/>
        </w:rPr>
        <w:t xml:space="preserve">con el objetivo trazado </w:t>
      </w:r>
      <w:r w:rsidRPr="00D073E6">
        <w:rPr>
          <w:rFonts w:ascii="Times New Roman" w:hAnsi="Times New Roman" w:cs="Times New Roman"/>
          <w:i/>
          <w:iCs/>
          <w:sz w:val="28"/>
          <w:szCs w:val="28"/>
        </w:rPr>
        <w:t>en el Plan Nacional de Desarrollo de ‘armonizar la institucionalidad del ordenamiento territorial y simplificar los instrumentos que la acompañan’</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16"/>
      </w:r>
      <w:r w:rsidRPr="00D073E6">
        <w:rPr>
          <w:rFonts w:ascii="Times New Roman" w:hAnsi="Times New Roman" w:cs="Times New Roman"/>
          <w:sz w:val="28"/>
          <w:szCs w:val="28"/>
        </w:rPr>
        <w:t>, en concordancia con el catalizador de “</w:t>
      </w:r>
      <w:r w:rsidRPr="00D073E6">
        <w:rPr>
          <w:rFonts w:ascii="Times New Roman" w:hAnsi="Times New Roman" w:cs="Times New Roman"/>
          <w:i/>
          <w:iCs/>
          <w:sz w:val="28"/>
          <w:szCs w:val="28"/>
        </w:rPr>
        <w:t>tenencia en la zonas rural, urbana y suburbana, formalizada, adjudi</w:t>
      </w:r>
      <w:r w:rsidRPr="00D073E6">
        <w:rPr>
          <w:rFonts w:ascii="Times New Roman" w:hAnsi="Times New Roman" w:cs="Times New Roman"/>
          <w:i/>
          <w:iCs/>
          <w:sz w:val="28"/>
          <w:szCs w:val="28"/>
        </w:rPr>
        <w:t>cada y regularizada</w:t>
      </w:r>
      <w:r w:rsidRPr="00D073E6">
        <w:rPr>
          <w:rFonts w:ascii="Times New Roman" w:hAnsi="Times New Roman" w:cs="Times New Roman"/>
          <w:i/>
          <w:iCs/>
          <w:sz w:val="28"/>
          <w:szCs w:val="28"/>
        </w:rPr>
        <w:t>.</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La norma también tendría relación con</w:t>
      </w:r>
      <w:r w:rsidRPr="00D073E6">
        <w:rPr>
          <w:rFonts w:ascii="Times New Roman" w:hAnsi="Times New Roman" w:cs="Times New Roman"/>
          <w:sz w:val="28"/>
          <w:szCs w:val="28"/>
        </w:rPr>
        <w:t xml:space="preserve"> la identificación del campesinado colombiano como uno de los actores diferenciales para el cambio y respecto del cual deben fortalecerse “</w:t>
      </w:r>
      <w:r w:rsidRPr="00D073E6">
        <w:rPr>
          <w:rFonts w:ascii="Times New Roman" w:hAnsi="Times New Roman" w:cs="Times New Roman"/>
          <w:i/>
          <w:iCs/>
          <w:sz w:val="28"/>
          <w:szCs w:val="28"/>
        </w:rPr>
        <w:t>los procesos que contribuyan a la formalización, adjudicac</w:t>
      </w:r>
      <w:r w:rsidRPr="00D073E6">
        <w:rPr>
          <w:rFonts w:ascii="Times New Roman" w:hAnsi="Times New Roman" w:cs="Times New Roman"/>
          <w:i/>
          <w:iCs/>
          <w:sz w:val="28"/>
          <w:szCs w:val="28"/>
        </w:rPr>
        <w:t>ión y regularización de la propiedad en áreas rurales.</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17"/>
      </w:r>
    </w:p>
    <w:p w:rsidR="002A64AF" w:rsidRPr="00D073E6" w:rsidRDefault="00D073E6" w:rsidP="002A64AF">
      <w:pPr>
        <w:pStyle w:val="Prrafodelista"/>
        <w:tabs>
          <w:tab w:val="left" w:pos="426"/>
        </w:tabs>
        <w:ind w:left="0"/>
        <w:contextualSpacing w:val="0"/>
        <w:jc w:val="both"/>
        <w:rPr>
          <w:rFonts w:ascii="Times New Roman" w:hAnsi="Times New Roman" w:cs="Times New Roman"/>
          <w:sz w:val="28"/>
          <w:szCs w:val="28"/>
        </w:rPr>
      </w:pPr>
    </w:p>
    <w:p w:rsidR="002B7AC8" w:rsidRPr="00D073E6" w:rsidRDefault="00D073E6" w:rsidP="002A64AF">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Agregó que “</w:t>
      </w:r>
      <w:r w:rsidRPr="00D073E6">
        <w:rPr>
          <w:rFonts w:ascii="Times New Roman" w:hAnsi="Times New Roman" w:cs="Times New Roman"/>
          <w:i/>
          <w:iCs/>
          <w:sz w:val="28"/>
          <w:szCs w:val="28"/>
        </w:rPr>
        <w:t xml:space="preserve">la parte general del Plan Nacional de Desarrollo, en el eje trazador del ordenamiento del territorio, establece indicadores asociados al acceso a tierras y formalización, </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 xml:space="preserve">por lo </w:t>
      </w:r>
      <w:r w:rsidRPr="00D073E6">
        <w:rPr>
          <w:rFonts w:ascii="Times New Roman" w:hAnsi="Times New Roman" w:cs="Times New Roman"/>
          <w:i/>
          <w:iCs/>
          <w:sz w:val="28"/>
          <w:szCs w:val="28"/>
        </w:rPr>
        <w:t>cual se busca transitar de un ordenamiento procedimental a uno funcional que reconozca las realidades del territorio.</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18"/>
      </w:r>
      <w:r w:rsidRPr="00D073E6">
        <w:rPr>
          <w:rFonts w:ascii="Times New Roman" w:hAnsi="Times New Roman" w:cs="Times New Roman"/>
          <w:sz w:val="28"/>
          <w:szCs w:val="28"/>
        </w:rPr>
        <w:t xml:space="preserve"> </w:t>
      </w:r>
    </w:p>
    <w:p w:rsidR="002B7AC8" w:rsidRPr="00D073E6" w:rsidRDefault="00D073E6" w:rsidP="002B7AC8">
      <w:pPr>
        <w:pStyle w:val="Prrafodelista"/>
        <w:rPr>
          <w:rFonts w:ascii="Times New Roman" w:hAnsi="Times New Roman" w:cs="Times New Roman"/>
          <w:sz w:val="28"/>
          <w:szCs w:val="28"/>
        </w:rPr>
      </w:pPr>
    </w:p>
    <w:p w:rsidR="002A64AF" w:rsidRPr="00D073E6" w:rsidRDefault="00D073E6" w:rsidP="002A64AF">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Concluyó que la finalidad principal del numeral 5 y el parágrafo 3° del artículo 61 de la Ley 2294 de 2023 es establecer mecanismos pa</w:t>
      </w:r>
      <w:r w:rsidRPr="00D073E6">
        <w:rPr>
          <w:rFonts w:ascii="Times New Roman" w:hAnsi="Times New Roman" w:cs="Times New Roman"/>
          <w:sz w:val="28"/>
          <w:szCs w:val="28"/>
        </w:rPr>
        <w:t xml:space="preserve">ra facilitar y dinamizar la reforma agraria y la reforma rural integral, lo que incluye agilizar los procesos de clarificación de tierras y las negociaciones voluntarias para </w:t>
      </w:r>
      <w:r w:rsidRPr="00D073E6">
        <w:rPr>
          <w:rFonts w:ascii="Times New Roman" w:hAnsi="Times New Roman" w:cs="Times New Roman"/>
          <w:sz w:val="28"/>
          <w:szCs w:val="28"/>
        </w:rPr>
        <w:t>su</w:t>
      </w:r>
      <w:r w:rsidRPr="00D073E6">
        <w:rPr>
          <w:rFonts w:ascii="Times New Roman" w:hAnsi="Times New Roman" w:cs="Times New Roman"/>
          <w:sz w:val="28"/>
          <w:szCs w:val="28"/>
        </w:rPr>
        <w:t xml:space="preserve"> adquisición</w:t>
      </w:r>
      <w:r w:rsidRPr="00D073E6">
        <w:rPr>
          <w:rFonts w:ascii="Times New Roman" w:hAnsi="Times New Roman" w:cs="Times New Roman"/>
          <w:sz w:val="28"/>
          <w:szCs w:val="28"/>
        </w:rPr>
        <w:t>.</w:t>
      </w:r>
    </w:p>
    <w:p w:rsidR="002A64AF" w:rsidRPr="00D073E6" w:rsidRDefault="00D073E6" w:rsidP="00941D1A">
      <w:pPr>
        <w:pStyle w:val="Prrafodelista"/>
        <w:tabs>
          <w:tab w:val="left" w:pos="426"/>
        </w:tabs>
        <w:ind w:left="0"/>
        <w:contextualSpacing w:val="0"/>
        <w:jc w:val="both"/>
        <w:rPr>
          <w:rFonts w:ascii="Times New Roman" w:hAnsi="Times New Roman" w:cs="Times New Roman"/>
          <w:sz w:val="28"/>
          <w:szCs w:val="28"/>
        </w:rPr>
      </w:pPr>
    </w:p>
    <w:p w:rsidR="00941D1A" w:rsidRPr="00D073E6" w:rsidRDefault="00D073E6" w:rsidP="00941D1A">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rPr>
        <w:t>Intervención del Ministerio de Agricultura y Desarrollo Rural</w:t>
      </w:r>
    </w:p>
    <w:p w:rsidR="00DF66C9" w:rsidRPr="00D073E6" w:rsidRDefault="00D073E6" w:rsidP="00DF66C9">
      <w:pPr>
        <w:pStyle w:val="Prrafodelista"/>
        <w:tabs>
          <w:tab w:val="left" w:pos="426"/>
        </w:tabs>
        <w:ind w:left="0"/>
        <w:contextualSpacing w:val="0"/>
        <w:jc w:val="both"/>
        <w:rPr>
          <w:rFonts w:ascii="Times New Roman" w:hAnsi="Times New Roman" w:cs="Times New Roman"/>
          <w:sz w:val="28"/>
          <w:szCs w:val="28"/>
        </w:rPr>
      </w:pPr>
    </w:p>
    <w:p w:rsidR="00A5487D" w:rsidRPr="00D073E6" w:rsidRDefault="00D073E6" w:rsidP="00A5487D">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Solicitó </w:t>
      </w:r>
      <w:r w:rsidRPr="00D073E6">
        <w:rPr>
          <w:rFonts w:ascii="Times New Roman" w:hAnsi="Times New Roman" w:cs="Times New Roman"/>
          <w:sz w:val="28"/>
          <w:szCs w:val="28"/>
        </w:rPr>
        <w:t>que se declare la exequibilidad de la norma parcialmente acusada</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en tanto que esta no vulnera los límites a la configuración legislativa</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Expuso que l</w:t>
      </w:r>
      <w:r w:rsidRPr="00D073E6">
        <w:rPr>
          <w:rFonts w:ascii="Times New Roman" w:hAnsi="Times New Roman" w:cs="Times New Roman"/>
          <w:sz w:val="28"/>
          <w:szCs w:val="28"/>
        </w:rPr>
        <w:t>a jurisprudencia constitucional ha señalado que es posible modificar las leyes ordinarias</w:t>
      </w:r>
      <w:r w:rsidRPr="00D073E6">
        <w:rPr>
          <w:rStyle w:val="Refdenotaalpie"/>
          <w:rFonts w:ascii="Times New Roman" w:hAnsi="Times New Roman" w:cs="Times New Roman"/>
          <w:sz w:val="28"/>
          <w:szCs w:val="28"/>
        </w:rPr>
        <w:footnoteReference w:id="19"/>
      </w:r>
      <w:r w:rsidRPr="00D073E6">
        <w:rPr>
          <w:rFonts w:ascii="Times New Roman" w:hAnsi="Times New Roman" w:cs="Times New Roman"/>
          <w:sz w:val="28"/>
          <w:szCs w:val="28"/>
        </w:rPr>
        <w:t xml:space="preserve"> a tra</w:t>
      </w:r>
      <w:r w:rsidRPr="00D073E6">
        <w:rPr>
          <w:rFonts w:ascii="Times New Roman" w:hAnsi="Times New Roman" w:cs="Times New Roman"/>
          <w:sz w:val="28"/>
          <w:szCs w:val="28"/>
        </w:rPr>
        <w:t>vés de las leyes plurianuales de inversiones</w:t>
      </w:r>
      <w:r w:rsidRPr="00D073E6">
        <w:rPr>
          <w:rFonts w:ascii="Times New Roman" w:hAnsi="Times New Roman" w:cs="Times New Roman"/>
          <w:sz w:val="28"/>
          <w:szCs w:val="28"/>
        </w:rPr>
        <w:t xml:space="preserve">. Agregó </w:t>
      </w:r>
      <w:r w:rsidRPr="00D073E6">
        <w:rPr>
          <w:rFonts w:ascii="Times New Roman" w:hAnsi="Times New Roman" w:cs="Times New Roman"/>
          <w:sz w:val="28"/>
          <w:szCs w:val="28"/>
        </w:rPr>
        <w:t xml:space="preserve">que </w:t>
      </w:r>
      <w:r w:rsidRPr="00D073E6">
        <w:rPr>
          <w:rFonts w:ascii="Times New Roman" w:hAnsi="Times New Roman" w:cs="Times New Roman"/>
          <w:sz w:val="28"/>
          <w:szCs w:val="28"/>
        </w:rPr>
        <w:t>el artículo 61 cuestionado</w:t>
      </w:r>
      <w:r w:rsidRPr="00D073E6">
        <w:rPr>
          <w:rFonts w:ascii="Times New Roman" w:hAnsi="Times New Roman" w:cs="Times New Roman"/>
          <w:sz w:val="28"/>
          <w:szCs w:val="28"/>
        </w:rPr>
        <w:t xml:space="preserve"> desarrolla los mandatos constitucionales contenidos en los artículos 58, 64 y 6</w:t>
      </w:r>
      <w:r w:rsidRPr="00D073E6">
        <w:rPr>
          <w:rFonts w:ascii="Times New Roman" w:hAnsi="Times New Roman" w:cs="Times New Roman"/>
          <w:sz w:val="28"/>
          <w:szCs w:val="28"/>
        </w:rPr>
        <w:t>5</w:t>
      </w:r>
      <w:r w:rsidRPr="00D073E6">
        <w:rPr>
          <w:rFonts w:ascii="Times New Roman" w:hAnsi="Times New Roman" w:cs="Times New Roman"/>
          <w:sz w:val="28"/>
          <w:szCs w:val="28"/>
        </w:rPr>
        <w:t xml:space="preserve"> de la Constitución Política y propenden por lograr el objetivo trazado por el Decreto Ley 9</w:t>
      </w:r>
      <w:r w:rsidRPr="00D073E6">
        <w:rPr>
          <w:rFonts w:ascii="Times New Roman" w:hAnsi="Times New Roman" w:cs="Times New Roman"/>
          <w:sz w:val="28"/>
          <w:szCs w:val="28"/>
        </w:rPr>
        <w:t>02 de 2017, en armonía con la legislación vigente en la materia (Ley 200 de 1936 y Ley 160 de 1994).</w:t>
      </w:r>
    </w:p>
    <w:p w:rsidR="007311B2" w:rsidRPr="00D073E6" w:rsidRDefault="00D073E6" w:rsidP="003C687C">
      <w:pPr>
        <w:pStyle w:val="Prrafodelista"/>
        <w:tabs>
          <w:tab w:val="left" w:pos="426"/>
        </w:tabs>
        <w:ind w:left="0"/>
        <w:contextualSpacing w:val="0"/>
        <w:jc w:val="both"/>
        <w:rPr>
          <w:rFonts w:ascii="Times New Roman" w:hAnsi="Times New Roman" w:cs="Times New Roman"/>
          <w:b/>
          <w:bCs/>
          <w:i/>
          <w:iCs/>
          <w:sz w:val="28"/>
          <w:szCs w:val="28"/>
        </w:rPr>
      </w:pPr>
    </w:p>
    <w:p w:rsidR="003C687C" w:rsidRPr="00D073E6" w:rsidRDefault="00D073E6" w:rsidP="003C687C">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También argumentó que no se produjo vulneración al principio de unidad de materia. </w:t>
      </w:r>
      <w:r w:rsidRPr="00D073E6">
        <w:rPr>
          <w:rFonts w:ascii="Times New Roman" w:hAnsi="Times New Roman" w:cs="Times New Roman"/>
          <w:sz w:val="28"/>
          <w:szCs w:val="28"/>
        </w:rPr>
        <w:t>Así, r</w:t>
      </w:r>
      <w:r w:rsidRPr="00D073E6">
        <w:rPr>
          <w:rFonts w:ascii="Times New Roman" w:hAnsi="Times New Roman" w:cs="Times New Roman"/>
          <w:sz w:val="28"/>
          <w:szCs w:val="28"/>
        </w:rPr>
        <w:t>elató que la Ley 2294 de 2023 introdujo una serie de disposicione</w:t>
      </w:r>
      <w:r w:rsidRPr="00D073E6">
        <w:rPr>
          <w:rFonts w:ascii="Times New Roman" w:hAnsi="Times New Roman" w:cs="Times New Roman"/>
          <w:sz w:val="28"/>
          <w:szCs w:val="28"/>
        </w:rPr>
        <w:t>s normativas encaminadas a lograr una reforma agraria</w:t>
      </w:r>
      <w:r w:rsidRPr="00D073E6">
        <w:rPr>
          <w:rStyle w:val="Refdenotaalpie"/>
          <w:rFonts w:ascii="Times New Roman" w:hAnsi="Times New Roman" w:cs="Times New Roman"/>
          <w:sz w:val="28"/>
          <w:szCs w:val="28"/>
        </w:rPr>
        <w:footnoteReference w:id="20"/>
      </w:r>
      <w:r w:rsidRPr="00D073E6">
        <w:rPr>
          <w:rFonts w:ascii="Times New Roman" w:hAnsi="Times New Roman" w:cs="Times New Roman"/>
          <w:sz w:val="28"/>
          <w:szCs w:val="28"/>
        </w:rPr>
        <w:t xml:space="preserve">, dentro de los cuales se ubica el artículo 61 demandado. </w:t>
      </w:r>
    </w:p>
    <w:p w:rsidR="003C687C" w:rsidRPr="00D073E6" w:rsidRDefault="00D073E6" w:rsidP="003C687C">
      <w:pPr>
        <w:pStyle w:val="Prrafodelista"/>
        <w:rPr>
          <w:rFonts w:ascii="Times New Roman" w:hAnsi="Times New Roman" w:cs="Times New Roman"/>
          <w:sz w:val="28"/>
          <w:szCs w:val="28"/>
        </w:rPr>
      </w:pPr>
    </w:p>
    <w:p w:rsidR="00100334" w:rsidRPr="00D073E6" w:rsidRDefault="00D073E6" w:rsidP="00100334">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Agregó que </w:t>
      </w:r>
      <w:r w:rsidRPr="00D073E6">
        <w:rPr>
          <w:rFonts w:ascii="Times New Roman" w:hAnsi="Times New Roman" w:cs="Times New Roman"/>
          <w:sz w:val="28"/>
          <w:szCs w:val="28"/>
        </w:rPr>
        <w:t xml:space="preserve">el propósito de la norma demandada es simplificar y estandarizar procedimientos e instrumentos que dinamicen la actividad de la </w:t>
      </w:r>
      <w:r w:rsidRPr="00D073E6">
        <w:rPr>
          <w:rFonts w:ascii="Times New Roman" w:hAnsi="Times New Roman" w:cs="Times New Roman"/>
          <w:sz w:val="28"/>
          <w:szCs w:val="28"/>
        </w:rPr>
        <w:t>administración pública para facilitar y agilizar la regularización y</w:t>
      </w:r>
      <w:r w:rsidRPr="00D073E6">
        <w:rPr>
          <w:rFonts w:ascii="Times New Roman" w:hAnsi="Times New Roman" w:cs="Times New Roman"/>
          <w:sz w:val="28"/>
          <w:szCs w:val="28"/>
        </w:rPr>
        <w:t xml:space="preserve"> el</w:t>
      </w:r>
      <w:r w:rsidRPr="00D073E6">
        <w:rPr>
          <w:rFonts w:ascii="Times New Roman" w:hAnsi="Times New Roman" w:cs="Times New Roman"/>
          <w:sz w:val="28"/>
          <w:szCs w:val="28"/>
        </w:rPr>
        <w:t xml:space="preserve"> uso de la tierra sin que se desconozca la obligación de buena fe prevista en el art. 1° del Acto Legislativo 01 de 2017</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Adujo</w:t>
      </w:r>
      <w:r w:rsidRPr="00D073E6">
        <w:rPr>
          <w:rFonts w:ascii="Times New Roman" w:hAnsi="Times New Roman" w:cs="Times New Roman"/>
          <w:sz w:val="28"/>
          <w:szCs w:val="28"/>
        </w:rPr>
        <w:t xml:space="preserve"> que la norma</w:t>
      </w:r>
      <w:r w:rsidRPr="00D073E6">
        <w:rPr>
          <w:rFonts w:ascii="Times New Roman" w:hAnsi="Times New Roman" w:cs="Times New Roman"/>
          <w:sz w:val="28"/>
          <w:szCs w:val="28"/>
        </w:rPr>
        <w:t xml:space="preserve"> busca la implementación del Acuerdo Final pa</w:t>
      </w:r>
      <w:r w:rsidRPr="00D073E6">
        <w:rPr>
          <w:rFonts w:ascii="Times New Roman" w:hAnsi="Times New Roman" w:cs="Times New Roman"/>
          <w:sz w:val="28"/>
          <w:szCs w:val="28"/>
        </w:rPr>
        <w:t>ra la Terminación del Conflicto y la Construcción de una Paz Estable y Duradera</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lo que supone la</w:t>
      </w:r>
      <w:r w:rsidRPr="00D073E6">
        <w:rPr>
          <w:rFonts w:ascii="Times New Roman" w:hAnsi="Times New Roman" w:cs="Times New Roman"/>
          <w:sz w:val="28"/>
          <w:szCs w:val="28"/>
        </w:rPr>
        <w:t xml:space="preserve"> necesidad de clarificar los títulos y suprimir la fase judicial del procedimiento único establecido en el Decreto Ley 902 de 2017</w:t>
      </w:r>
      <w:r w:rsidRPr="00D073E6">
        <w:rPr>
          <w:rFonts w:ascii="Times New Roman" w:hAnsi="Times New Roman" w:cs="Times New Roman"/>
          <w:sz w:val="28"/>
          <w:szCs w:val="28"/>
        </w:rPr>
        <w:t>. Lo anterior</w:t>
      </w:r>
      <w:r w:rsidRPr="00D073E6">
        <w:rPr>
          <w:rFonts w:ascii="Times New Roman" w:hAnsi="Times New Roman" w:cs="Times New Roman"/>
          <w:sz w:val="28"/>
          <w:szCs w:val="28"/>
        </w:rPr>
        <w:t xml:space="preserve"> porque </w:t>
      </w:r>
      <w:r w:rsidRPr="00D073E6">
        <w:rPr>
          <w:rFonts w:ascii="Times New Roman" w:hAnsi="Times New Roman" w:cs="Times New Roman"/>
          <w:sz w:val="28"/>
          <w:szCs w:val="28"/>
        </w:rPr>
        <w:t>dicho pr</w:t>
      </w:r>
      <w:r w:rsidRPr="00D073E6">
        <w:rPr>
          <w:rFonts w:ascii="Times New Roman" w:hAnsi="Times New Roman" w:cs="Times New Roman"/>
          <w:sz w:val="28"/>
          <w:szCs w:val="28"/>
        </w:rPr>
        <w:t>ocedimiento</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w:t>
      </w:r>
      <w:r w:rsidRPr="00D073E6">
        <w:rPr>
          <w:rFonts w:ascii="Times New Roman" w:hAnsi="Times New Roman" w:cs="Times New Roman"/>
          <w:i/>
          <w:iCs/>
          <w:sz w:val="28"/>
          <w:szCs w:val="28"/>
        </w:rPr>
        <w:t>no ha dado una respuesta inmediata y efectiva para dar solución a los conflictos y remediar los fenómenos irregulares sobre la tenencia de tierra</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21"/>
      </w:r>
      <w:r w:rsidRPr="00D073E6">
        <w:rPr>
          <w:rFonts w:ascii="Times New Roman" w:hAnsi="Times New Roman" w:cs="Times New Roman"/>
          <w:sz w:val="28"/>
          <w:szCs w:val="28"/>
        </w:rPr>
        <w:t xml:space="preserve"> por posesión ilegal de baldíos o incumplimiento de la función social y ecológica de la propieda</w:t>
      </w:r>
      <w:r w:rsidRPr="00D073E6">
        <w:rPr>
          <w:rFonts w:ascii="Times New Roman" w:hAnsi="Times New Roman" w:cs="Times New Roman"/>
          <w:sz w:val="28"/>
          <w:szCs w:val="28"/>
        </w:rPr>
        <w:t>d.</w:t>
      </w:r>
    </w:p>
    <w:p w:rsidR="00100334" w:rsidRPr="00D073E6" w:rsidRDefault="00D073E6" w:rsidP="00100334">
      <w:pPr>
        <w:pStyle w:val="Prrafodelista"/>
        <w:tabs>
          <w:tab w:val="left" w:pos="426"/>
        </w:tabs>
        <w:ind w:left="0"/>
        <w:contextualSpacing w:val="0"/>
        <w:jc w:val="both"/>
        <w:rPr>
          <w:rFonts w:ascii="Times New Roman" w:hAnsi="Times New Roman" w:cs="Times New Roman"/>
          <w:sz w:val="28"/>
          <w:szCs w:val="28"/>
        </w:rPr>
      </w:pPr>
    </w:p>
    <w:p w:rsidR="00366BF3" w:rsidRPr="00D073E6" w:rsidRDefault="00D073E6" w:rsidP="00100334">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Puntualizó</w:t>
      </w:r>
      <w:r w:rsidRPr="00D073E6">
        <w:rPr>
          <w:rFonts w:ascii="Times New Roman" w:hAnsi="Times New Roman" w:cs="Times New Roman"/>
          <w:sz w:val="28"/>
          <w:szCs w:val="28"/>
        </w:rPr>
        <w:t xml:space="preserve"> que los apartes normativos demandados cumplen con el criterio de conexidad directa respecto de los ejes de transformación y sus respectivos catalizadores, principalmente, en cuanto al </w:t>
      </w:r>
      <w:r w:rsidRPr="00D073E6">
        <w:rPr>
          <w:rFonts w:ascii="Times New Roman" w:hAnsi="Times New Roman" w:cs="Times New Roman"/>
          <w:i/>
          <w:iCs/>
          <w:sz w:val="28"/>
          <w:szCs w:val="28"/>
        </w:rPr>
        <w:t xml:space="preserve">“ordenamiento del territorio alrededor del agua” </w:t>
      </w:r>
      <w:r w:rsidRPr="00D073E6">
        <w:rPr>
          <w:rFonts w:ascii="Times New Roman" w:hAnsi="Times New Roman" w:cs="Times New Roman"/>
          <w:sz w:val="28"/>
          <w:szCs w:val="28"/>
        </w:rPr>
        <w:t>y su cat</w:t>
      </w:r>
      <w:r w:rsidRPr="00D073E6">
        <w:rPr>
          <w:rFonts w:ascii="Times New Roman" w:hAnsi="Times New Roman" w:cs="Times New Roman"/>
          <w:sz w:val="28"/>
          <w:szCs w:val="28"/>
        </w:rPr>
        <w:t xml:space="preserve">alizador </w:t>
      </w:r>
      <w:r w:rsidRPr="00D073E6">
        <w:rPr>
          <w:rFonts w:ascii="Times New Roman" w:hAnsi="Times New Roman" w:cs="Times New Roman"/>
          <w:i/>
          <w:iCs/>
          <w:sz w:val="28"/>
          <w:szCs w:val="28"/>
        </w:rPr>
        <w:t>“tenencia en las zonas rural, urbana y suburbana formalizada, adjudicada y regularizada”</w:t>
      </w:r>
      <w:r w:rsidRPr="00D073E6">
        <w:rPr>
          <w:rFonts w:ascii="Times New Roman" w:hAnsi="Times New Roman" w:cs="Times New Roman"/>
          <w:sz w:val="28"/>
          <w:szCs w:val="28"/>
        </w:rPr>
        <w:t>.</w:t>
      </w:r>
      <w:r w:rsidRPr="00D073E6">
        <w:rPr>
          <w:rFonts w:ascii="Times New Roman" w:hAnsi="Times New Roman" w:cs="Times New Roman"/>
          <w:i/>
          <w:iCs/>
          <w:sz w:val="28"/>
          <w:szCs w:val="28"/>
        </w:rPr>
        <w:t xml:space="preserve"> </w:t>
      </w:r>
      <w:r w:rsidRPr="00D073E6">
        <w:rPr>
          <w:rFonts w:ascii="Times New Roman" w:hAnsi="Times New Roman" w:cs="Times New Roman"/>
          <w:sz w:val="28"/>
          <w:szCs w:val="28"/>
        </w:rPr>
        <w:t>P</w:t>
      </w:r>
      <w:r w:rsidRPr="00D073E6">
        <w:rPr>
          <w:rFonts w:ascii="Times New Roman" w:hAnsi="Times New Roman" w:cs="Times New Roman"/>
          <w:sz w:val="28"/>
          <w:szCs w:val="28"/>
        </w:rPr>
        <w:t>uso de presente que la norma se relaciona con las metas trazadoras del Plan Marco de Implementación (PMI) para el año 2026, en los indicadores de “</w:t>
      </w:r>
      <w:r w:rsidRPr="00D073E6">
        <w:rPr>
          <w:rFonts w:ascii="Times New Roman" w:hAnsi="Times New Roman" w:cs="Times New Roman"/>
          <w:i/>
          <w:iCs/>
          <w:sz w:val="28"/>
          <w:szCs w:val="28"/>
        </w:rPr>
        <w:t>tres mill</w:t>
      </w:r>
      <w:r w:rsidRPr="00D073E6">
        <w:rPr>
          <w:rFonts w:ascii="Times New Roman" w:hAnsi="Times New Roman" w:cs="Times New Roman"/>
          <w:i/>
          <w:iCs/>
          <w:sz w:val="28"/>
          <w:szCs w:val="28"/>
        </w:rPr>
        <w:t>ones de hectáreas entregadas a través del Fondo de Tierras</w:t>
      </w:r>
      <w:r w:rsidRPr="00D073E6">
        <w:rPr>
          <w:rFonts w:ascii="Times New Roman" w:hAnsi="Times New Roman" w:cs="Times New Roman"/>
          <w:sz w:val="28"/>
          <w:szCs w:val="28"/>
        </w:rPr>
        <w:t xml:space="preserve">” y </w:t>
      </w:r>
      <w:r w:rsidRPr="00D073E6">
        <w:rPr>
          <w:rFonts w:ascii="Times New Roman" w:hAnsi="Times New Roman" w:cs="Times New Roman"/>
          <w:i/>
          <w:iCs/>
          <w:sz w:val="28"/>
          <w:szCs w:val="28"/>
        </w:rPr>
        <w:t>Siete millones de hectáreas de pequeña y medida propiedad rural, formalizadas</w:t>
      </w:r>
      <w:r w:rsidRPr="00D073E6">
        <w:rPr>
          <w:rFonts w:ascii="Times New Roman" w:hAnsi="Times New Roman" w:cs="Times New Roman"/>
          <w:sz w:val="28"/>
          <w:szCs w:val="28"/>
        </w:rPr>
        <w:t>”</w:t>
      </w:r>
      <w:r w:rsidRPr="00D073E6">
        <w:rPr>
          <w:rFonts w:ascii="Times New Roman" w:hAnsi="Times New Roman" w:cs="Times New Roman"/>
          <w:sz w:val="28"/>
          <w:szCs w:val="28"/>
        </w:rPr>
        <w:t>, así como con</w:t>
      </w:r>
      <w:r w:rsidRPr="00D073E6">
        <w:rPr>
          <w:rFonts w:ascii="Times New Roman" w:hAnsi="Times New Roman" w:cs="Times New Roman"/>
          <w:sz w:val="28"/>
          <w:szCs w:val="28"/>
        </w:rPr>
        <w:t xml:space="preserve"> los siete puntos del pilar PMI denominado “</w:t>
      </w:r>
      <w:r w:rsidRPr="00D073E6">
        <w:rPr>
          <w:rFonts w:ascii="Times New Roman" w:hAnsi="Times New Roman" w:cs="Times New Roman"/>
          <w:i/>
          <w:iCs/>
          <w:sz w:val="28"/>
          <w:szCs w:val="28"/>
        </w:rPr>
        <w:t>Ordenamiento Social de la propiedad.</w:t>
      </w:r>
      <w:r w:rsidRPr="00D073E6">
        <w:rPr>
          <w:rFonts w:ascii="Times New Roman" w:hAnsi="Times New Roman" w:cs="Times New Roman"/>
          <w:sz w:val="28"/>
          <w:szCs w:val="28"/>
        </w:rPr>
        <w:t xml:space="preserve">” Así mismo, </w:t>
      </w:r>
      <w:r w:rsidRPr="00D073E6">
        <w:rPr>
          <w:rFonts w:ascii="Times New Roman" w:hAnsi="Times New Roman" w:cs="Times New Roman"/>
          <w:sz w:val="28"/>
          <w:szCs w:val="28"/>
        </w:rPr>
        <w:t>afirmó qu</w:t>
      </w:r>
      <w:r w:rsidRPr="00D073E6">
        <w:rPr>
          <w:rFonts w:ascii="Times New Roman" w:hAnsi="Times New Roman" w:cs="Times New Roman"/>
          <w:sz w:val="28"/>
          <w:szCs w:val="28"/>
        </w:rPr>
        <w:t xml:space="preserve">e </w:t>
      </w:r>
      <w:r w:rsidRPr="00D073E6">
        <w:rPr>
          <w:rFonts w:ascii="Times New Roman" w:hAnsi="Times New Roman" w:cs="Times New Roman"/>
          <w:sz w:val="28"/>
          <w:szCs w:val="28"/>
        </w:rPr>
        <w:t>el artícul</w:t>
      </w:r>
      <w:r w:rsidRPr="00D073E6">
        <w:rPr>
          <w:rFonts w:ascii="Times New Roman" w:hAnsi="Times New Roman" w:cs="Times New Roman"/>
          <w:sz w:val="28"/>
          <w:szCs w:val="28"/>
        </w:rPr>
        <w:t>o 61 se relaciona</w:t>
      </w:r>
      <w:r w:rsidRPr="00D073E6">
        <w:rPr>
          <w:rFonts w:ascii="Times New Roman" w:hAnsi="Times New Roman" w:cs="Times New Roman"/>
          <w:sz w:val="28"/>
          <w:szCs w:val="28"/>
        </w:rPr>
        <w:t xml:space="preserve"> con el indica</w:t>
      </w:r>
      <w:r w:rsidRPr="00D073E6">
        <w:rPr>
          <w:rFonts w:ascii="Times New Roman" w:hAnsi="Times New Roman" w:cs="Times New Roman"/>
          <w:sz w:val="28"/>
          <w:szCs w:val="28"/>
        </w:rPr>
        <w:t>do</w:t>
      </w:r>
      <w:r w:rsidRPr="00D073E6">
        <w:rPr>
          <w:rFonts w:ascii="Times New Roman" w:hAnsi="Times New Roman" w:cs="Times New Roman"/>
          <w:sz w:val="28"/>
          <w:szCs w:val="28"/>
        </w:rPr>
        <w:t>r de segundo nivel del sector agricultura llamado “</w:t>
      </w:r>
      <w:r w:rsidRPr="00D073E6">
        <w:rPr>
          <w:rFonts w:ascii="Times New Roman" w:hAnsi="Times New Roman" w:cs="Times New Roman"/>
          <w:i/>
          <w:iCs/>
          <w:sz w:val="28"/>
          <w:szCs w:val="28"/>
        </w:rPr>
        <w:t>títulos entregados a través del Fondo de Tierras.</w:t>
      </w:r>
      <w:r w:rsidRPr="00D073E6">
        <w:rPr>
          <w:rFonts w:ascii="Times New Roman" w:hAnsi="Times New Roman" w:cs="Times New Roman"/>
          <w:sz w:val="28"/>
          <w:szCs w:val="28"/>
        </w:rPr>
        <w:t xml:space="preserve">” </w:t>
      </w:r>
    </w:p>
    <w:p w:rsidR="00366BF3" w:rsidRPr="00D073E6" w:rsidRDefault="00D073E6" w:rsidP="00366BF3">
      <w:pPr>
        <w:pStyle w:val="Prrafodelista"/>
        <w:rPr>
          <w:rFonts w:ascii="Times New Roman" w:hAnsi="Times New Roman" w:cs="Times New Roman"/>
          <w:sz w:val="28"/>
          <w:szCs w:val="28"/>
        </w:rPr>
      </w:pPr>
    </w:p>
    <w:p w:rsidR="00AE00F0" w:rsidRPr="00D073E6" w:rsidRDefault="00D073E6" w:rsidP="00F117E4">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Finalmente, explicó que el Plan Plurianual de Inversiones previó: </w:t>
      </w:r>
      <w:r w:rsidRPr="00D073E6">
        <w:rPr>
          <w:rFonts w:ascii="Times New Roman" w:hAnsi="Times New Roman" w:cs="Times New Roman"/>
          <w:i/>
          <w:iCs/>
          <w:sz w:val="28"/>
          <w:szCs w:val="28"/>
        </w:rPr>
        <w:t>(i)</w:t>
      </w:r>
      <w:r w:rsidRPr="00D073E6">
        <w:rPr>
          <w:rFonts w:ascii="Times New Roman" w:hAnsi="Times New Roman" w:cs="Times New Roman"/>
          <w:sz w:val="28"/>
          <w:szCs w:val="28"/>
        </w:rPr>
        <w:t xml:space="preserve"> recursos de $1.862.671 para el ordenamiento del territorio alrededor del agua y justicia ambiental; </w:t>
      </w:r>
      <w:r w:rsidRPr="00D073E6">
        <w:rPr>
          <w:rFonts w:ascii="Times New Roman" w:hAnsi="Times New Roman" w:cs="Times New Roman"/>
          <w:i/>
          <w:iCs/>
          <w:sz w:val="28"/>
          <w:szCs w:val="28"/>
        </w:rPr>
        <w:t>(ii)</w:t>
      </w:r>
      <w:r w:rsidRPr="00D073E6">
        <w:rPr>
          <w:rFonts w:ascii="Times New Roman" w:hAnsi="Times New Roman" w:cs="Times New Roman"/>
          <w:sz w:val="28"/>
          <w:szCs w:val="28"/>
        </w:rPr>
        <w:t xml:space="preserve"> la suma de $41.697.855</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para el primer punto del Acuerdo, llamado reforma rural integral</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y </w:t>
      </w:r>
      <w:r w:rsidRPr="00D073E6">
        <w:rPr>
          <w:rFonts w:ascii="Times New Roman" w:hAnsi="Times New Roman" w:cs="Times New Roman"/>
          <w:i/>
          <w:iCs/>
          <w:sz w:val="28"/>
          <w:szCs w:val="28"/>
        </w:rPr>
        <w:t>(iii)</w:t>
      </w:r>
      <w:r w:rsidRPr="00D073E6">
        <w:rPr>
          <w:rFonts w:ascii="Times New Roman" w:hAnsi="Times New Roman" w:cs="Times New Roman"/>
          <w:sz w:val="28"/>
          <w:szCs w:val="28"/>
        </w:rPr>
        <w:t xml:space="preserve"> $1.708.218</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dentro del componente anterior,</w:t>
      </w:r>
      <w:r w:rsidRPr="00D073E6">
        <w:rPr>
          <w:rFonts w:ascii="Times New Roman" w:hAnsi="Times New Roman" w:cs="Times New Roman"/>
          <w:sz w:val="28"/>
          <w:szCs w:val="28"/>
        </w:rPr>
        <w:t xml:space="preserve"> para el or</w:t>
      </w:r>
      <w:r w:rsidRPr="00D073E6">
        <w:rPr>
          <w:rFonts w:ascii="Times New Roman" w:hAnsi="Times New Roman" w:cs="Times New Roman"/>
          <w:sz w:val="28"/>
          <w:szCs w:val="28"/>
        </w:rPr>
        <w:t>denamiento social de la propiedad rural y uso del suelo.</w:t>
      </w:r>
    </w:p>
    <w:p w:rsidR="009C7DC4" w:rsidRPr="00D073E6" w:rsidRDefault="00D073E6" w:rsidP="009C7DC4">
      <w:pPr>
        <w:pStyle w:val="Prrafodelista"/>
        <w:rPr>
          <w:rFonts w:ascii="Times New Roman" w:hAnsi="Times New Roman" w:cs="Times New Roman"/>
          <w:sz w:val="28"/>
          <w:szCs w:val="28"/>
        </w:rPr>
      </w:pPr>
    </w:p>
    <w:p w:rsidR="009C7DC4" w:rsidRPr="00D073E6" w:rsidRDefault="00D073E6" w:rsidP="009C7DC4">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rPr>
        <w:t>Intervención d</w:t>
      </w:r>
      <w:r w:rsidRPr="00D073E6">
        <w:rPr>
          <w:rFonts w:ascii="Times New Roman" w:hAnsi="Times New Roman" w:cs="Times New Roman"/>
          <w:b/>
          <w:bCs/>
          <w:i/>
          <w:iCs/>
          <w:sz w:val="28"/>
          <w:szCs w:val="28"/>
        </w:rPr>
        <w:t>el Departamento Nacional de Planeación</w:t>
      </w:r>
    </w:p>
    <w:p w:rsidR="002A64AF" w:rsidRPr="00D073E6" w:rsidRDefault="00D073E6" w:rsidP="002A64AF">
      <w:pPr>
        <w:pStyle w:val="Prrafodelista"/>
        <w:rPr>
          <w:rFonts w:ascii="Times New Roman" w:hAnsi="Times New Roman" w:cs="Times New Roman"/>
          <w:sz w:val="28"/>
          <w:szCs w:val="28"/>
        </w:rPr>
      </w:pPr>
    </w:p>
    <w:p w:rsidR="00DF66C9" w:rsidRPr="00D073E6" w:rsidRDefault="00D073E6" w:rsidP="00C929FB">
      <w:pPr>
        <w:pStyle w:val="Prrafodelista"/>
        <w:numPr>
          <w:ilvl w:val="0"/>
          <w:numId w:val="2"/>
        </w:numPr>
        <w:tabs>
          <w:tab w:val="left" w:pos="426"/>
        </w:tabs>
        <w:ind w:left="0" w:firstLine="0"/>
        <w:contextualSpacing w:val="0"/>
        <w:jc w:val="both"/>
        <w:rPr>
          <w:rFonts w:ascii="Times New Roman" w:hAnsi="Times New Roman" w:cs="Times New Roman"/>
          <w:b/>
          <w:bCs/>
          <w:sz w:val="28"/>
          <w:szCs w:val="28"/>
        </w:rPr>
      </w:pPr>
      <w:r w:rsidRPr="00D073E6">
        <w:rPr>
          <w:rFonts w:ascii="Times New Roman" w:hAnsi="Times New Roman" w:cs="Times New Roman"/>
          <w:sz w:val="28"/>
          <w:szCs w:val="28"/>
        </w:rPr>
        <w:t xml:space="preserve">Pidió </w:t>
      </w:r>
      <w:r w:rsidRPr="00D073E6">
        <w:rPr>
          <w:rFonts w:ascii="Times New Roman" w:hAnsi="Times New Roman" w:cs="Times New Roman"/>
          <w:sz w:val="28"/>
          <w:szCs w:val="28"/>
        </w:rPr>
        <w:t>que</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el artículo 61 de la Ley 2294, parcialmente demandado, sea declarado </w:t>
      </w:r>
      <w:r w:rsidRPr="00D073E6">
        <w:rPr>
          <w:rFonts w:ascii="Times New Roman" w:hAnsi="Times New Roman" w:cs="Times New Roman"/>
          <w:sz w:val="28"/>
          <w:szCs w:val="28"/>
        </w:rPr>
        <w:t>exequible</w:t>
      </w:r>
      <w:r w:rsidRPr="00D073E6">
        <w:rPr>
          <w:rFonts w:ascii="Times New Roman" w:hAnsi="Times New Roman" w:cs="Times New Roman"/>
          <w:sz w:val="28"/>
          <w:szCs w:val="28"/>
        </w:rPr>
        <w:t>. Expuso</w:t>
      </w:r>
      <w:r w:rsidRPr="00D073E6">
        <w:rPr>
          <w:rFonts w:ascii="Times New Roman" w:hAnsi="Times New Roman" w:cs="Times New Roman"/>
          <w:sz w:val="28"/>
          <w:szCs w:val="28"/>
        </w:rPr>
        <w:t xml:space="preserve"> que </w:t>
      </w:r>
      <w:r w:rsidRPr="00D073E6">
        <w:rPr>
          <w:rFonts w:ascii="Times New Roman" w:hAnsi="Times New Roman" w:cs="Times New Roman"/>
          <w:sz w:val="28"/>
          <w:szCs w:val="28"/>
        </w:rPr>
        <w:t>el</w:t>
      </w:r>
      <w:r w:rsidRPr="00D073E6">
        <w:rPr>
          <w:rFonts w:ascii="Times New Roman" w:hAnsi="Times New Roman" w:cs="Times New Roman"/>
          <w:sz w:val="28"/>
          <w:szCs w:val="28"/>
        </w:rPr>
        <w:t xml:space="preserve"> numeral 6 y parágrafo 3</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de dicha norma</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relacionados con el cambio de naturaleza de los procedimientos agrarios,</w:t>
      </w:r>
      <w:r w:rsidRPr="00D073E6">
        <w:rPr>
          <w:rFonts w:ascii="Times New Roman" w:hAnsi="Times New Roman" w:cs="Times New Roman"/>
          <w:sz w:val="28"/>
          <w:szCs w:val="28"/>
        </w:rPr>
        <w:t xml:space="preserve"> guardan unidad de materia</w:t>
      </w:r>
      <w:r w:rsidRPr="00D073E6">
        <w:rPr>
          <w:rFonts w:ascii="Times New Roman" w:hAnsi="Times New Roman" w:cs="Times New Roman"/>
          <w:sz w:val="28"/>
          <w:szCs w:val="28"/>
        </w:rPr>
        <w:t xml:space="preserve">, por encontrarse estrechamente relacionados con </w:t>
      </w:r>
      <w:r w:rsidRPr="00D073E6">
        <w:rPr>
          <w:rFonts w:ascii="Times New Roman" w:hAnsi="Times New Roman" w:cs="Times New Roman"/>
          <w:sz w:val="28"/>
          <w:szCs w:val="28"/>
        </w:rPr>
        <w:t>el cumplimiento de los acuerdos de paz como política de Estado y la puesta en práctica de la reforma rural i</w:t>
      </w:r>
      <w:r w:rsidRPr="00D073E6">
        <w:rPr>
          <w:rFonts w:ascii="Times New Roman" w:hAnsi="Times New Roman" w:cs="Times New Roman"/>
          <w:sz w:val="28"/>
          <w:szCs w:val="28"/>
        </w:rPr>
        <w:t>ntegral</w:t>
      </w:r>
      <w:r w:rsidRPr="00D073E6">
        <w:rPr>
          <w:rFonts w:ascii="Times New Roman" w:hAnsi="Times New Roman" w:cs="Times New Roman"/>
          <w:sz w:val="28"/>
          <w:szCs w:val="28"/>
        </w:rPr>
        <w:t>.</w:t>
      </w:r>
    </w:p>
    <w:p w:rsidR="00DF66C9" w:rsidRPr="00D073E6" w:rsidRDefault="00D073E6" w:rsidP="00DF66C9">
      <w:pPr>
        <w:rPr>
          <w:rFonts w:ascii="Times New Roman" w:hAnsi="Times New Roman" w:cs="Times New Roman"/>
          <w:b/>
          <w:bCs/>
          <w:sz w:val="28"/>
          <w:szCs w:val="28"/>
        </w:rPr>
      </w:pPr>
    </w:p>
    <w:p w:rsidR="00DF66C9" w:rsidRPr="00D073E6" w:rsidRDefault="00D073E6" w:rsidP="00990676">
      <w:pPr>
        <w:pStyle w:val="Prrafodelista"/>
        <w:numPr>
          <w:ilvl w:val="0"/>
          <w:numId w:val="3"/>
        </w:numPr>
        <w:tabs>
          <w:tab w:val="left" w:pos="426"/>
        </w:tabs>
        <w:jc w:val="both"/>
        <w:rPr>
          <w:rFonts w:ascii="Times New Roman" w:hAnsi="Times New Roman" w:cs="Times New Roman"/>
          <w:sz w:val="28"/>
          <w:szCs w:val="28"/>
          <w:u w:val="single"/>
        </w:rPr>
      </w:pPr>
      <w:r w:rsidRPr="00D073E6">
        <w:rPr>
          <w:rFonts w:ascii="Times New Roman" w:hAnsi="Times New Roman" w:cs="Times New Roman"/>
          <w:b/>
          <w:bCs/>
          <w:sz w:val="28"/>
          <w:szCs w:val="28"/>
          <w:u w:val="single"/>
        </w:rPr>
        <w:t>I</w:t>
      </w:r>
      <w:r w:rsidRPr="00D073E6">
        <w:rPr>
          <w:rFonts w:ascii="Times New Roman" w:hAnsi="Times New Roman" w:cs="Times New Roman"/>
          <w:b/>
          <w:bCs/>
          <w:sz w:val="28"/>
          <w:szCs w:val="28"/>
          <w:u w:val="single"/>
        </w:rPr>
        <w:t>ntervenciones ciudadanas</w:t>
      </w:r>
      <w:r w:rsidRPr="00D073E6">
        <w:rPr>
          <w:rStyle w:val="Refdenotaalpie"/>
          <w:rFonts w:ascii="Times New Roman" w:hAnsi="Times New Roman" w:cs="Times New Roman"/>
          <w:b/>
          <w:bCs/>
          <w:sz w:val="28"/>
          <w:szCs w:val="28"/>
          <w:u w:val="single"/>
        </w:rPr>
        <w:footnoteReference w:id="22"/>
      </w:r>
    </w:p>
    <w:p w:rsidR="00DF66C9" w:rsidRPr="00D073E6" w:rsidRDefault="00D073E6" w:rsidP="00DF66C9">
      <w:pPr>
        <w:rPr>
          <w:rFonts w:ascii="Times New Roman" w:hAnsi="Times New Roman" w:cs="Times New Roman"/>
          <w:sz w:val="28"/>
          <w:szCs w:val="28"/>
          <w:shd w:val="clear" w:color="auto" w:fill="FFFFFF"/>
        </w:rPr>
      </w:pPr>
    </w:p>
    <w:p w:rsidR="008074B5" w:rsidRPr="00D073E6" w:rsidRDefault="00D073E6" w:rsidP="008074B5">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shd w:val="clear" w:color="auto" w:fill="FFFFFF"/>
        </w:rPr>
        <w:t xml:space="preserve">La Corte Constitucional recibió las intervenciones de los ciudadanos </w:t>
      </w:r>
      <w:r w:rsidRPr="00D073E6">
        <w:rPr>
          <w:rFonts w:ascii="Times New Roman" w:hAnsi="Times New Roman" w:cs="Times New Roman"/>
          <w:sz w:val="28"/>
          <w:szCs w:val="28"/>
          <w:shd w:val="clear" w:color="auto" w:fill="FFFFFF"/>
        </w:rPr>
        <w:t xml:space="preserve">Harold </w:t>
      </w:r>
      <w:r w:rsidRPr="00D073E6">
        <w:rPr>
          <w:rFonts w:ascii="Times New Roman" w:hAnsi="Times New Roman" w:cs="Times New Roman"/>
          <w:sz w:val="28"/>
          <w:szCs w:val="28"/>
          <w:shd w:val="clear" w:color="auto" w:fill="FFFFFF"/>
        </w:rPr>
        <w:t>Eduardo Sua Montaña</w:t>
      </w:r>
      <w:r w:rsidRPr="00D073E6">
        <w:rPr>
          <w:rStyle w:val="Refdenotaalpie"/>
          <w:rFonts w:ascii="Times New Roman" w:hAnsi="Times New Roman" w:cs="Times New Roman"/>
          <w:sz w:val="28"/>
          <w:szCs w:val="28"/>
          <w:shd w:val="clear" w:color="auto" w:fill="FFFFFF"/>
        </w:rPr>
        <w:footnoteReference w:id="23"/>
      </w:r>
      <w:r w:rsidRPr="00D073E6">
        <w:rPr>
          <w:rFonts w:ascii="Times New Roman" w:hAnsi="Times New Roman" w:cs="Times New Roman"/>
          <w:sz w:val="28"/>
          <w:szCs w:val="28"/>
          <w:shd w:val="clear" w:color="auto" w:fill="FFFFFF"/>
        </w:rPr>
        <w:t>;</w:t>
      </w:r>
      <w:r w:rsidRPr="00D073E6">
        <w:rPr>
          <w:rFonts w:ascii="Times New Roman" w:hAnsi="Times New Roman" w:cs="Times New Roman"/>
          <w:sz w:val="28"/>
          <w:szCs w:val="28"/>
          <w:shd w:val="clear" w:color="auto" w:fill="FFFFFF"/>
        </w:rPr>
        <w:t xml:space="preserve"> Sharon Ramírez Quezada</w:t>
      </w:r>
      <w:r w:rsidRPr="00D073E6">
        <w:rPr>
          <w:rFonts w:ascii="Times New Roman" w:hAnsi="Times New Roman" w:cs="Times New Roman"/>
          <w:sz w:val="28"/>
          <w:szCs w:val="28"/>
          <w:shd w:val="clear" w:color="auto" w:fill="FFFFFF"/>
        </w:rPr>
        <w:t xml:space="preserve"> y Fabio Andrés Delgado Correa</w:t>
      </w:r>
      <w:r w:rsidRPr="00D073E6">
        <w:rPr>
          <w:rStyle w:val="Refdenotaalpie"/>
          <w:rFonts w:ascii="Times New Roman" w:hAnsi="Times New Roman" w:cs="Times New Roman"/>
          <w:sz w:val="28"/>
          <w:szCs w:val="28"/>
          <w:shd w:val="clear" w:color="auto" w:fill="FFFFFF"/>
        </w:rPr>
        <w:footnoteReference w:id="24"/>
      </w:r>
      <w:r w:rsidRPr="00D073E6">
        <w:rPr>
          <w:rFonts w:ascii="Times New Roman" w:hAnsi="Times New Roman" w:cs="Times New Roman"/>
          <w:sz w:val="28"/>
          <w:szCs w:val="28"/>
          <w:shd w:val="clear" w:color="auto" w:fill="FFFFFF"/>
        </w:rPr>
        <w:t xml:space="preserve">; </w:t>
      </w:r>
      <w:r w:rsidRPr="00D073E6">
        <w:rPr>
          <w:rFonts w:ascii="Times New Roman" w:hAnsi="Times New Roman" w:cs="Times New Roman"/>
          <w:sz w:val="28"/>
          <w:szCs w:val="28"/>
          <w:shd w:val="clear" w:color="auto" w:fill="FFFFFF"/>
        </w:rPr>
        <w:t>la Asociación de Agricult</w:t>
      </w:r>
      <w:r w:rsidRPr="00D073E6">
        <w:rPr>
          <w:rFonts w:ascii="Times New Roman" w:hAnsi="Times New Roman" w:cs="Times New Roman"/>
          <w:sz w:val="28"/>
          <w:szCs w:val="28"/>
          <w:shd w:val="clear" w:color="auto" w:fill="FFFFFF"/>
        </w:rPr>
        <w:t>ores de Colombia</w:t>
      </w:r>
      <w:r w:rsidRPr="00D073E6">
        <w:rPr>
          <w:rStyle w:val="Refdenotaalpie"/>
          <w:rFonts w:ascii="Times New Roman" w:hAnsi="Times New Roman" w:cs="Times New Roman"/>
          <w:sz w:val="28"/>
          <w:szCs w:val="28"/>
          <w:shd w:val="clear" w:color="auto" w:fill="FFFFFF"/>
        </w:rPr>
        <w:footnoteReference w:id="25"/>
      </w:r>
      <w:r w:rsidRPr="00D073E6">
        <w:rPr>
          <w:rFonts w:ascii="Times New Roman" w:hAnsi="Times New Roman" w:cs="Times New Roman"/>
          <w:sz w:val="28"/>
          <w:szCs w:val="28"/>
          <w:shd w:val="clear" w:color="auto" w:fill="FFFFFF"/>
        </w:rPr>
        <w:t xml:space="preserve">; la Universidad </w:t>
      </w:r>
      <w:r w:rsidRPr="00D073E6">
        <w:rPr>
          <w:rFonts w:ascii="Times New Roman" w:hAnsi="Times New Roman" w:cs="Times New Roman"/>
          <w:sz w:val="28"/>
          <w:szCs w:val="28"/>
          <w:shd w:val="clear" w:color="auto" w:fill="FFFFFF"/>
        </w:rPr>
        <w:t>Pontificia Bolivariana</w:t>
      </w:r>
      <w:r w:rsidRPr="00D073E6">
        <w:rPr>
          <w:rStyle w:val="Refdenotaalpie"/>
          <w:rFonts w:ascii="Times New Roman" w:hAnsi="Times New Roman" w:cs="Times New Roman"/>
          <w:sz w:val="28"/>
          <w:szCs w:val="28"/>
          <w:shd w:val="clear" w:color="auto" w:fill="FFFFFF"/>
        </w:rPr>
        <w:footnoteReference w:id="26"/>
      </w:r>
      <w:r w:rsidRPr="00D073E6">
        <w:rPr>
          <w:rFonts w:ascii="Times New Roman" w:hAnsi="Times New Roman" w:cs="Times New Roman"/>
          <w:sz w:val="28"/>
          <w:szCs w:val="28"/>
          <w:shd w:val="clear" w:color="auto" w:fill="FFFFFF"/>
        </w:rPr>
        <w:t>; y la Cámara Colombiana de la Construcción</w:t>
      </w:r>
      <w:r w:rsidRPr="00D073E6">
        <w:rPr>
          <w:rStyle w:val="Refdenotaalpie"/>
          <w:rFonts w:ascii="Times New Roman" w:hAnsi="Times New Roman" w:cs="Times New Roman"/>
          <w:sz w:val="28"/>
          <w:szCs w:val="28"/>
          <w:shd w:val="clear" w:color="auto" w:fill="FFFFFF"/>
        </w:rPr>
        <w:footnoteReference w:id="27"/>
      </w:r>
      <w:r w:rsidRPr="00D073E6">
        <w:rPr>
          <w:rFonts w:ascii="Times New Roman" w:hAnsi="Times New Roman" w:cs="Times New Roman"/>
          <w:sz w:val="28"/>
          <w:szCs w:val="28"/>
          <w:shd w:val="clear" w:color="auto" w:fill="FFFFFF"/>
        </w:rPr>
        <w:t>.</w:t>
      </w:r>
    </w:p>
    <w:p w:rsidR="007A424D" w:rsidRPr="00D073E6" w:rsidRDefault="00D073E6" w:rsidP="007A424D">
      <w:pPr>
        <w:pStyle w:val="Prrafodelista"/>
        <w:tabs>
          <w:tab w:val="left" w:pos="426"/>
        </w:tabs>
        <w:ind w:left="0"/>
        <w:contextualSpacing w:val="0"/>
        <w:jc w:val="both"/>
        <w:rPr>
          <w:rFonts w:ascii="Times New Roman" w:hAnsi="Times New Roman" w:cs="Times New Roman"/>
          <w:sz w:val="28"/>
          <w:szCs w:val="28"/>
          <w:shd w:val="clear" w:color="auto" w:fill="FFFFFF"/>
        </w:rPr>
      </w:pPr>
    </w:p>
    <w:p w:rsidR="007A424D" w:rsidRPr="00D073E6" w:rsidRDefault="00D073E6" w:rsidP="007A424D">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shd w:val="clear" w:color="auto" w:fill="FFFFFF"/>
        </w:rPr>
        <w:t>Intervención del ciudadano H</w:t>
      </w:r>
      <w:r w:rsidRPr="00D073E6">
        <w:rPr>
          <w:rFonts w:ascii="Times New Roman" w:hAnsi="Times New Roman" w:cs="Times New Roman"/>
          <w:b/>
          <w:bCs/>
          <w:i/>
          <w:iCs/>
          <w:sz w:val="28"/>
          <w:szCs w:val="28"/>
          <w:shd w:val="clear" w:color="auto" w:fill="FFFFFF"/>
        </w:rPr>
        <w:t>arold Eduardo Sua Montaña</w:t>
      </w:r>
    </w:p>
    <w:p w:rsidR="00DF66C9" w:rsidRPr="00D073E6" w:rsidRDefault="00D073E6" w:rsidP="008074B5">
      <w:pPr>
        <w:pStyle w:val="Prrafodelista"/>
        <w:tabs>
          <w:tab w:val="left" w:pos="426"/>
        </w:tabs>
        <w:ind w:left="0"/>
        <w:contextualSpacing w:val="0"/>
        <w:jc w:val="both"/>
        <w:rPr>
          <w:rFonts w:ascii="Times New Roman" w:hAnsi="Times New Roman" w:cs="Times New Roman"/>
          <w:sz w:val="28"/>
          <w:szCs w:val="28"/>
        </w:rPr>
      </w:pPr>
      <w:r w:rsidRPr="00D073E6">
        <w:rPr>
          <w:rFonts w:ascii="Times New Roman" w:hAnsi="Times New Roman" w:cs="Times New Roman"/>
          <w:sz w:val="28"/>
          <w:szCs w:val="28"/>
          <w:shd w:val="clear" w:color="auto" w:fill="FFFFFF"/>
        </w:rPr>
        <w:t xml:space="preserve"> </w:t>
      </w:r>
    </w:p>
    <w:p w:rsidR="00DF66C9"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sz w:val="28"/>
          <w:szCs w:val="28"/>
          <w:shd w:val="clear" w:color="auto" w:fill="FFFFFF"/>
        </w:rPr>
      </w:pPr>
      <w:r w:rsidRPr="00D073E6">
        <w:rPr>
          <w:rFonts w:ascii="Times New Roman" w:hAnsi="Times New Roman" w:cs="Times New Roman"/>
          <w:sz w:val="28"/>
          <w:szCs w:val="28"/>
        </w:rPr>
        <w:t>El ciudadano Sua Montaña</w:t>
      </w:r>
      <w:r w:rsidRPr="00D073E6">
        <w:rPr>
          <w:rFonts w:ascii="Times New Roman" w:hAnsi="Times New Roman" w:cs="Times New Roman"/>
          <w:b/>
          <w:bCs/>
          <w:i/>
          <w:iCs/>
          <w:sz w:val="28"/>
          <w:szCs w:val="28"/>
        </w:rPr>
        <w:t xml:space="preserve"> </w:t>
      </w:r>
      <w:r w:rsidRPr="00D073E6">
        <w:rPr>
          <w:rFonts w:ascii="Times New Roman" w:hAnsi="Times New Roman" w:cs="Times New Roman"/>
          <w:sz w:val="28"/>
          <w:szCs w:val="28"/>
        </w:rPr>
        <w:t xml:space="preserve">pidió que </w:t>
      </w:r>
      <w:r w:rsidRPr="00D073E6">
        <w:rPr>
          <w:rFonts w:ascii="Times New Roman" w:hAnsi="Times New Roman" w:cs="Times New Roman"/>
          <w:sz w:val="28"/>
          <w:szCs w:val="28"/>
        </w:rPr>
        <w:t xml:space="preserve">la norma demandada </w:t>
      </w:r>
      <w:r w:rsidRPr="00D073E6">
        <w:rPr>
          <w:rFonts w:ascii="Times New Roman" w:hAnsi="Times New Roman" w:cs="Times New Roman"/>
          <w:sz w:val="28"/>
          <w:szCs w:val="28"/>
        </w:rPr>
        <w:t xml:space="preserve">se declare </w:t>
      </w:r>
      <w:r w:rsidRPr="00D073E6">
        <w:rPr>
          <w:rFonts w:ascii="Times New Roman" w:hAnsi="Times New Roman" w:cs="Times New Roman"/>
          <w:sz w:val="28"/>
          <w:szCs w:val="28"/>
        </w:rPr>
        <w:t xml:space="preserve">inexequible </w:t>
      </w:r>
      <w:r w:rsidRPr="00D073E6">
        <w:rPr>
          <w:rFonts w:ascii="Times New Roman" w:hAnsi="Times New Roman" w:cs="Times New Roman"/>
          <w:sz w:val="28"/>
          <w:szCs w:val="28"/>
        </w:rPr>
        <w:t xml:space="preserve">porque </w:t>
      </w:r>
      <w:r w:rsidRPr="00D073E6">
        <w:rPr>
          <w:rFonts w:ascii="Times New Roman" w:hAnsi="Times New Roman" w:cs="Times New Roman"/>
          <w:sz w:val="28"/>
          <w:szCs w:val="28"/>
        </w:rPr>
        <w:t xml:space="preserve">no cumple con los criterios </w:t>
      </w:r>
      <w:r w:rsidRPr="00D073E6">
        <w:rPr>
          <w:rFonts w:ascii="Times New Roman" w:hAnsi="Times New Roman" w:cs="Times New Roman"/>
          <w:sz w:val="28"/>
          <w:szCs w:val="28"/>
        </w:rPr>
        <w:t xml:space="preserve">sobre unidad de materia </w:t>
      </w:r>
      <w:r w:rsidRPr="00D073E6">
        <w:rPr>
          <w:rFonts w:ascii="Times New Roman" w:hAnsi="Times New Roman" w:cs="Times New Roman"/>
          <w:sz w:val="28"/>
          <w:szCs w:val="28"/>
        </w:rPr>
        <w:t>expuestos en la Sentencia C-049 de 2022</w:t>
      </w:r>
      <w:r w:rsidRPr="00D073E6">
        <w:rPr>
          <w:rFonts w:ascii="Times New Roman" w:hAnsi="Times New Roman" w:cs="Times New Roman"/>
          <w:sz w:val="28"/>
          <w:szCs w:val="28"/>
        </w:rPr>
        <w:t xml:space="preserve">. Argumentó </w:t>
      </w:r>
      <w:r w:rsidRPr="00D073E6">
        <w:rPr>
          <w:rFonts w:ascii="Times New Roman" w:hAnsi="Times New Roman" w:cs="Times New Roman"/>
          <w:sz w:val="28"/>
          <w:szCs w:val="28"/>
        </w:rPr>
        <w:t xml:space="preserve">que </w:t>
      </w:r>
      <w:r w:rsidRPr="00D073E6">
        <w:rPr>
          <w:rFonts w:ascii="Times New Roman" w:hAnsi="Times New Roman" w:cs="Times New Roman"/>
          <w:sz w:val="28"/>
          <w:szCs w:val="28"/>
        </w:rPr>
        <w:t xml:space="preserve">la creación </w:t>
      </w:r>
      <w:r w:rsidRPr="00D073E6">
        <w:rPr>
          <w:rFonts w:ascii="Times New Roman" w:hAnsi="Times New Roman" w:cs="Times New Roman"/>
          <w:sz w:val="28"/>
          <w:szCs w:val="28"/>
        </w:rPr>
        <w:t xml:space="preserve">de un procedimiento administrativo </w:t>
      </w:r>
      <w:r w:rsidRPr="00D073E6">
        <w:rPr>
          <w:rFonts w:ascii="Times New Roman" w:hAnsi="Times New Roman" w:cs="Times New Roman"/>
          <w:sz w:val="28"/>
          <w:szCs w:val="28"/>
        </w:rPr>
        <w:t>con incidencia en la clarificación de la propiedad, la extinción de domin</w:t>
      </w:r>
      <w:r w:rsidRPr="00D073E6">
        <w:rPr>
          <w:rFonts w:ascii="Times New Roman" w:hAnsi="Times New Roman" w:cs="Times New Roman"/>
          <w:sz w:val="28"/>
          <w:szCs w:val="28"/>
        </w:rPr>
        <w:t>io sobre tierras ociosas o deficientemente aprovechadas y</w:t>
      </w:r>
      <w:r w:rsidRPr="00D073E6">
        <w:rPr>
          <w:rFonts w:ascii="Times New Roman" w:hAnsi="Times New Roman" w:cs="Times New Roman"/>
          <w:sz w:val="28"/>
          <w:szCs w:val="28"/>
        </w:rPr>
        <w:t xml:space="preserve"> la recuperación de baldíos</w:t>
      </w:r>
      <w:r w:rsidRPr="00D073E6">
        <w:rPr>
          <w:rFonts w:ascii="Times New Roman" w:hAnsi="Times New Roman" w:cs="Times New Roman"/>
          <w:sz w:val="28"/>
          <w:szCs w:val="28"/>
        </w:rPr>
        <w:t>, para facilitar la implementación de</w:t>
      </w:r>
      <w:r w:rsidRPr="00D073E6">
        <w:rPr>
          <w:rFonts w:ascii="Times New Roman" w:hAnsi="Times New Roman" w:cs="Times New Roman"/>
          <w:sz w:val="28"/>
          <w:szCs w:val="28"/>
        </w:rPr>
        <w:t xml:space="preserve">l Acuerdo Final, </w:t>
      </w:r>
      <w:r w:rsidRPr="00D073E6">
        <w:rPr>
          <w:rFonts w:ascii="Times New Roman" w:hAnsi="Times New Roman" w:cs="Times New Roman"/>
          <w:sz w:val="28"/>
          <w:szCs w:val="28"/>
        </w:rPr>
        <w:t xml:space="preserve">riñe </w:t>
      </w:r>
      <w:r w:rsidRPr="00D073E6">
        <w:rPr>
          <w:rFonts w:ascii="Times New Roman" w:hAnsi="Times New Roman" w:cs="Times New Roman"/>
          <w:sz w:val="28"/>
          <w:szCs w:val="28"/>
        </w:rPr>
        <w:t>con el carácter transitorio de los planes de desarrollo</w:t>
      </w:r>
      <w:r w:rsidRPr="00D073E6">
        <w:rPr>
          <w:rFonts w:ascii="Times New Roman" w:hAnsi="Times New Roman" w:cs="Times New Roman"/>
          <w:i/>
          <w:iCs/>
          <w:sz w:val="28"/>
          <w:szCs w:val="28"/>
        </w:rPr>
        <w:t>,</w:t>
      </w:r>
      <w:r w:rsidRPr="00D073E6">
        <w:rPr>
          <w:rFonts w:ascii="Times New Roman" w:hAnsi="Times New Roman" w:cs="Times New Roman"/>
          <w:i/>
          <w:iCs/>
          <w:sz w:val="28"/>
          <w:szCs w:val="28"/>
        </w:rPr>
        <w:t xml:space="preserve"> </w:t>
      </w:r>
      <w:r w:rsidRPr="00D073E6">
        <w:rPr>
          <w:rFonts w:ascii="Times New Roman" w:hAnsi="Times New Roman" w:cs="Times New Roman"/>
          <w:sz w:val="28"/>
          <w:szCs w:val="28"/>
        </w:rPr>
        <w:t>lo cual resulta vulneratorio de los artículos 150.3</w:t>
      </w:r>
      <w:r w:rsidRPr="00D073E6">
        <w:rPr>
          <w:rFonts w:ascii="Times New Roman" w:hAnsi="Times New Roman" w:cs="Times New Roman"/>
          <w:sz w:val="28"/>
          <w:szCs w:val="28"/>
        </w:rPr>
        <w:t>, 158 y 339 de la Constitución Política.</w:t>
      </w:r>
    </w:p>
    <w:p w:rsidR="00F7200F" w:rsidRPr="00D073E6" w:rsidRDefault="00D073E6" w:rsidP="00F7200F">
      <w:pPr>
        <w:pStyle w:val="Prrafodelista"/>
        <w:tabs>
          <w:tab w:val="left" w:pos="426"/>
        </w:tabs>
        <w:ind w:left="0"/>
        <w:contextualSpacing w:val="0"/>
        <w:jc w:val="both"/>
        <w:rPr>
          <w:rFonts w:ascii="Times New Roman" w:hAnsi="Times New Roman" w:cs="Times New Roman"/>
          <w:sz w:val="28"/>
          <w:szCs w:val="28"/>
        </w:rPr>
      </w:pPr>
    </w:p>
    <w:p w:rsidR="00F7200F" w:rsidRPr="00D073E6" w:rsidRDefault="00D073E6" w:rsidP="00F7200F">
      <w:pPr>
        <w:pStyle w:val="Prrafodelista"/>
        <w:tabs>
          <w:tab w:val="left" w:pos="426"/>
        </w:tabs>
        <w:ind w:left="0"/>
        <w:contextualSpacing w:val="0"/>
        <w:jc w:val="both"/>
        <w:rPr>
          <w:rFonts w:ascii="Times New Roman" w:hAnsi="Times New Roman" w:cs="Times New Roman"/>
          <w:b/>
          <w:bCs/>
          <w:i/>
          <w:iCs/>
          <w:sz w:val="28"/>
          <w:szCs w:val="28"/>
          <w:shd w:val="clear" w:color="auto" w:fill="FFFFFF"/>
        </w:rPr>
      </w:pPr>
      <w:r w:rsidRPr="00D073E6">
        <w:rPr>
          <w:rFonts w:ascii="Times New Roman" w:hAnsi="Times New Roman" w:cs="Times New Roman"/>
          <w:b/>
          <w:bCs/>
          <w:i/>
          <w:iCs/>
          <w:sz w:val="28"/>
          <w:szCs w:val="28"/>
        </w:rPr>
        <w:t xml:space="preserve">Intervención de la </w:t>
      </w:r>
      <w:r w:rsidRPr="00D073E6">
        <w:rPr>
          <w:rFonts w:ascii="Times New Roman" w:hAnsi="Times New Roman" w:cs="Times New Roman"/>
          <w:b/>
          <w:bCs/>
          <w:i/>
          <w:iCs/>
          <w:sz w:val="28"/>
          <w:szCs w:val="28"/>
        </w:rPr>
        <w:t>ciudadana Sharon Ram</w:t>
      </w:r>
      <w:r w:rsidRPr="00D073E6">
        <w:rPr>
          <w:rFonts w:ascii="Times New Roman" w:hAnsi="Times New Roman" w:cs="Times New Roman"/>
          <w:b/>
          <w:bCs/>
          <w:i/>
          <w:iCs/>
          <w:sz w:val="28"/>
          <w:szCs w:val="28"/>
        </w:rPr>
        <w:t>írez Quezada</w:t>
      </w:r>
      <w:r w:rsidRPr="00D073E6">
        <w:rPr>
          <w:rFonts w:ascii="Times New Roman" w:hAnsi="Times New Roman" w:cs="Times New Roman"/>
          <w:b/>
          <w:bCs/>
          <w:i/>
          <w:iCs/>
          <w:sz w:val="28"/>
          <w:szCs w:val="28"/>
        </w:rPr>
        <w:t xml:space="preserve"> y el ciudadano Fabio Andrés Delgado Correa</w:t>
      </w:r>
    </w:p>
    <w:p w:rsidR="00DF66C9" w:rsidRPr="00D073E6" w:rsidRDefault="00D073E6" w:rsidP="00DF66C9">
      <w:pPr>
        <w:pStyle w:val="Prrafodelista"/>
        <w:rPr>
          <w:rFonts w:ascii="Times New Roman" w:hAnsi="Times New Roman" w:cs="Times New Roman"/>
          <w:sz w:val="28"/>
          <w:szCs w:val="28"/>
          <w:shd w:val="clear" w:color="auto" w:fill="FFFFFF"/>
        </w:rPr>
      </w:pPr>
    </w:p>
    <w:p w:rsidR="00DF66C9"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shd w:val="clear" w:color="auto" w:fill="FFFFFF"/>
        </w:rPr>
        <w:t>En la intervención conjunta</w:t>
      </w:r>
      <w:r w:rsidRPr="00D073E6">
        <w:rPr>
          <w:rFonts w:ascii="Times New Roman" w:hAnsi="Times New Roman" w:cs="Times New Roman"/>
          <w:sz w:val="28"/>
          <w:szCs w:val="28"/>
          <w:shd w:val="clear" w:color="auto" w:fill="FFFFFF"/>
        </w:rPr>
        <w:t>,</w:t>
      </w:r>
      <w:r w:rsidRPr="00D073E6">
        <w:rPr>
          <w:rFonts w:ascii="Times New Roman" w:hAnsi="Times New Roman" w:cs="Times New Roman"/>
          <w:sz w:val="28"/>
          <w:szCs w:val="28"/>
          <w:shd w:val="clear" w:color="auto" w:fill="FFFFFF"/>
        </w:rPr>
        <w:t xml:space="preserve"> los ciudadanos Ramírez Quezada y Delgado Correa </w:t>
      </w:r>
      <w:r w:rsidRPr="00D073E6">
        <w:rPr>
          <w:rFonts w:ascii="Times New Roman" w:hAnsi="Times New Roman" w:cs="Times New Roman"/>
          <w:sz w:val="28"/>
          <w:szCs w:val="28"/>
          <w:shd w:val="clear" w:color="auto" w:fill="FFFFFF"/>
        </w:rPr>
        <w:t>solicitaron</w:t>
      </w:r>
      <w:r w:rsidRPr="00D073E6">
        <w:rPr>
          <w:rFonts w:ascii="Times New Roman" w:hAnsi="Times New Roman" w:cs="Times New Roman"/>
          <w:sz w:val="28"/>
          <w:szCs w:val="28"/>
          <w:shd w:val="clear" w:color="auto" w:fill="FFFFFF"/>
        </w:rPr>
        <w:t xml:space="preserve"> que se declare la exequibilidad d</w:t>
      </w:r>
      <w:r w:rsidRPr="00D073E6">
        <w:rPr>
          <w:rFonts w:ascii="Times New Roman" w:hAnsi="Times New Roman" w:cs="Times New Roman"/>
          <w:sz w:val="28"/>
          <w:szCs w:val="28"/>
        </w:rPr>
        <w:t xml:space="preserve">el numeral </w:t>
      </w:r>
      <w:r w:rsidRPr="00D073E6">
        <w:rPr>
          <w:rFonts w:ascii="Times New Roman" w:hAnsi="Times New Roman" w:cs="Times New Roman"/>
          <w:sz w:val="28"/>
          <w:szCs w:val="28"/>
        </w:rPr>
        <w:t>6</w:t>
      </w:r>
      <w:r w:rsidRPr="00D073E6">
        <w:rPr>
          <w:rFonts w:ascii="Times New Roman" w:hAnsi="Times New Roman" w:cs="Times New Roman"/>
          <w:sz w:val="28"/>
          <w:szCs w:val="28"/>
        </w:rPr>
        <w:t xml:space="preserve"> y el parágrafo </w:t>
      </w:r>
      <w:r w:rsidRPr="00D073E6">
        <w:rPr>
          <w:rFonts w:ascii="Times New Roman" w:hAnsi="Times New Roman" w:cs="Times New Roman"/>
          <w:sz w:val="28"/>
          <w:szCs w:val="28"/>
        </w:rPr>
        <w:t>3°</w:t>
      </w:r>
      <w:r w:rsidRPr="00D073E6">
        <w:rPr>
          <w:rFonts w:ascii="Times New Roman" w:hAnsi="Times New Roman" w:cs="Times New Roman"/>
          <w:sz w:val="28"/>
          <w:szCs w:val="28"/>
        </w:rPr>
        <w:t xml:space="preserve"> del artículo 61 de la Ley </w:t>
      </w:r>
      <w:r w:rsidRPr="00D073E6">
        <w:rPr>
          <w:rFonts w:ascii="Times New Roman" w:hAnsi="Times New Roman" w:cs="Times New Roman"/>
          <w:sz w:val="28"/>
          <w:szCs w:val="28"/>
        </w:rPr>
        <w:t xml:space="preserve">2294 de 2023. </w:t>
      </w:r>
      <w:r w:rsidRPr="00D073E6">
        <w:rPr>
          <w:rFonts w:ascii="Times New Roman" w:hAnsi="Times New Roman" w:cs="Times New Roman"/>
          <w:sz w:val="28"/>
          <w:szCs w:val="28"/>
        </w:rPr>
        <w:t xml:space="preserve">Argumentaron que </w:t>
      </w:r>
      <w:r w:rsidRPr="00D073E6">
        <w:rPr>
          <w:rFonts w:ascii="Times New Roman" w:hAnsi="Times New Roman" w:cs="Times New Roman"/>
          <w:sz w:val="28"/>
          <w:szCs w:val="28"/>
        </w:rPr>
        <w:t>existe u</w:t>
      </w:r>
      <w:r w:rsidRPr="00D073E6">
        <w:rPr>
          <w:rFonts w:ascii="Times New Roman" w:hAnsi="Times New Roman" w:cs="Times New Roman"/>
          <w:sz w:val="28"/>
          <w:szCs w:val="28"/>
        </w:rPr>
        <w:t xml:space="preserve">na relación funcional </w:t>
      </w:r>
      <w:r w:rsidRPr="00D073E6">
        <w:rPr>
          <w:rFonts w:ascii="Times New Roman" w:hAnsi="Times New Roman" w:cs="Times New Roman"/>
          <w:sz w:val="28"/>
          <w:szCs w:val="28"/>
        </w:rPr>
        <w:t>entre los artículos 1</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y </w:t>
      </w:r>
      <w:r w:rsidRPr="00D073E6">
        <w:rPr>
          <w:rFonts w:ascii="Times New Roman" w:hAnsi="Times New Roman" w:cs="Times New Roman"/>
          <w:sz w:val="28"/>
          <w:szCs w:val="28"/>
        </w:rPr>
        <w:t>61 de la Ley 2294 de 2023</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pues </w:t>
      </w:r>
      <w:r w:rsidRPr="00D073E6">
        <w:rPr>
          <w:rFonts w:ascii="Times New Roman" w:hAnsi="Times New Roman" w:cs="Times New Roman"/>
          <w:sz w:val="28"/>
          <w:szCs w:val="28"/>
        </w:rPr>
        <w:t>se</w:t>
      </w:r>
      <w:r w:rsidRPr="00D073E6">
        <w:rPr>
          <w:rFonts w:ascii="Times New Roman" w:hAnsi="Times New Roman" w:cs="Times New Roman"/>
          <w:sz w:val="28"/>
          <w:szCs w:val="28"/>
        </w:rPr>
        <w:t xml:space="preserve"> busca responder </w:t>
      </w:r>
      <w:r w:rsidRPr="00D073E6">
        <w:rPr>
          <w:rFonts w:ascii="Times New Roman" w:hAnsi="Times New Roman" w:cs="Times New Roman"/>
          <w:sz w:val="28"/>
          <w:szCs w:val="28"/>
        </w:rPr>
        <w:t xml:space="preserve">a los fenómenos del despojo de tierras y abuso patronal, evidenciados en el Informe Final de la Comisión de la Verdad como </w:t>
      </w:r>
      <w:r w:rsidRPr="00D073E6">
        <w:rPr>
          <w:rFonts w:ascii="Times New Roman" w:hAnsi="Times New Roman" w:cs="Times New Roman"/>
          <w:sz w:val="28"/>
          <w:szCs w:val="28"/>
        </w:rPr>
        <w:t xml:space="preserve">orígenes de la coyuntura social </w:t>
      </w:r>
      <w:r w:rsidRPr="00D073E6">
        <w:rPr>
          <w:rFonts w:ascii="Times New Roman" w:hAnsi="Times New Roman" w:cs="Times New Roman"/>
          <w:sz w:val="28"/>
          <w:szCs w:val="28"/>
        </w:rPr>
        <w:t>que degeneró en el conflicto armado interno</w:t>
      </w:r>
      <w:r w:rsidRPr="00D073E6">
        <w:rPr>
          <w:rFonts w:ascii="Times New Roman" w:hAnsi="Times New Roman" w:cs="Times New Roman"/>
          <w:sz w:val="28"/>
          <w:szCs w:val="28"/>
        </w:rPr>
        <w:t xml:space="preserve">. En esa medida, </w:t>
      </w:r>
      <w:r w:rsidRPr="00D073E6">
        <w:rPr>
          <w:rFonts w:ascii="Times New Roman" w:hAnsi="Times New Roman" w:cs="Times New Roman"/>
          <w:sz w:val="28"/>
          <w:szCs w:val="28"/>
        </w:rPr>
        <w:t>uno de los objetivos del Plan Nacional de</w:t>
      </w:r>
      <w:r w:rsidRPr="00D073E6">
        <w:rPr>
          <w:rFonts w:ascii="Times New Roman" w:hAnsi="Times New Roman" w:cs="Times New Roman"/>
          <w:sz w:val="28"/>
          <w:szCs w:val="28"/>
        </w:rPr>
        <w:t xml:space="preserve"> Desarrollo es “</w:t>
      </w:r>
      <w:r w:rsidRPr="00D073E6">
        <w:rPr>
          <w:rFonts w:ascii="Times New Roman" w:hAnsi="Times New Roman" w:cs="Times New Roman"/>
          <w:i/>
          <w:iCs/>
          <w:sz w:val="28"/>
          <w:szCs w:val="28"/>
        </w:rPr>
        <w:t>la construcción de un nuevo con</w:t>
      </w:r>
      <w:r w:rsidRPr="00D073E6">
        <w:rPr>
          <w:rFonts w:ascii="Times New Roman" w:hAnsi="Times New Roman" w:cs="Times New Roman"/>
          <w:i/>
          <w:iCs/>
          <w:sz w:val="28"/>
          <w:szCs w:val="28"/>
        </w:rPr>
        <w:t>trato social que propicie la superación de injusticias y exclusiones históricas</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28"/>
      </w:r>
      <w:r w:rsidRPr="00D073E6">
        <w:rPr>
          <w:rFonts w:ascii="Times New Roman" w:hAnsi="Times New Roman" w:cs="Times New Roman"/>
          <w:i/>
          <w:iCs/>
          <w:sz w:val="28"/>
          <w:szCs w:val="28"/>
        </w:rPr>
        <w:t xml:space="preserve"> </w:t>
      </w:r>
    </w:p>
    <w:p w:rsidR="004B2368" w:rsidRPr="00D073E6" w:rsidRDefault="00D073E6" w:rsidP="004B2368">
      <w:pPr>
        <w:pStyle w:val="Prrafodelista"/>
        <w:tabs>
          <w:tab w:val="left" w:pos="426"/>
        </w:tabs>
        <w:ind w:left="0"/>
        <w:contextualSpacing w:val="0"/>
        <w:jc w:val="both"/>
        <w:rPr>
          <w:rFonts w:ascii="Times New Roman" w:hAnsi="Times New Roman" w:cs="Times New Roman"/>
          <w:i/>
          <w:iCs/>
          <w:sz w:val="28"/>
          <w:szCs w:val="28"/>
        </w:rPr>
      </w:pPr>
    </w:p>
    <w:p w:rsidR="004B2368" w:rsidRPr="00D073E6" w:rsidRDefault="00D073E6" w:rsidP="004B2368">
      <w:pPr>
        <w:pStyle w:val="Prrafodelista"/>
        <w:tabs>
          <w:tab w:val="left" w:pos="426"/>
        </w:tabs>
        <w:ind w:left="0"/>
        <w:contextualSpacing w:val="0"/>
        <w:jc w:val="both"/>
        <w:rPr>
          <w:rFonts w:ascii="Times New Roman" w:hAnsi="Times New Roman" w:cs="Times New Roman"/>
          <w:b/>
          <w:bCs/>
          <w:sz w:val="28"/>
          <w:szCs w:val="28"/>
        </w:rPr>
      </w:pPr>
      <w:r w:rsidRPr="00D073E6">
        <w:rPr>
          <w:rFonts w:ascii="Times New Roman" w:hAnsi="Times New Roman" w:cs="Times New Roman"/>
          <w:b/>
          <w:bCs/>
          <w:i/>
          <w:iCs/>
          <w:sz w:val="28"/>
          <w:szCs w:val="28"/>
        </w:rPr>
        <w:t xml:space="preserve">Intervención de la Sociedad de Agricultores de Colombia </w:t>
      </w:r>
      <w:r w:rsidRPr="00D073E6">
        <w:rPr>
          <w:rFonts w:ascii="Times New Roman" w:hAnsi="Times New Roman" w:cs="Times New Roman"/>
          <w:b/>
          <w:bCs/>
          <w:sz w:val="28"/>
          <w:szCs w:val="28"/>
        </w:rPr>
        <w:t>(SAC)</w:t>
      </w:r>
    </w:p>
    <w:p w:rsidR="00B403FD" w:rsidRPr="00D073E6" w:rsidRDefault="00D073E6" w:rsidP="00B403FD">
      <w:pPr>
        <w:pStyle w:val="Prrafodelista"/>
        <w:rPr>
          <w:rFonts w:ascii="Times New Roman" w:hAnsi="Times New Roman" w:cs="Times New Roman"/>
          <w:sz w:val="28"/>
          <w:szCs w:val="28"/>
        </w:rPr>
      </w:pPr>
    </w:p>
    <w:p w:rsidR="00E34357" w:rsidRPr="00D073E6" w:rsidRDefault="00D073E6" w:rsidP="00B403FD">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 xml:space="preserve">La SAC solicitó </w:t>
      </w:r>
      <w:r w:rsidRPr="00D073E6">
        <w:rPr>
          <w:rFonts w:ascii="Times New Roman" w:hAnsi="Times New Roman" w:cs="Times New Roman"/>
          <w:sz w:val="28"/>
          <w:szCs w:val="28"/>
        </w:rPr>
        <w:t>que se declare la inexequibilidad</w:t>
      </w:r>
      <w:r w:rsidRPr="00D073E6">
        <w:rPr>
          <w:rFonts w:ascii="Times New Roman" w:hAnsi="Times New Roman" w:cs="Times New Roman"/>
          <w:sz w:val="28"/>
          <w:szCs w:val="28"/>
        </w:rPr>
        <w:t xml:space="preserve"> del numeral sexto y el parágrafo tercero del artículo 61 de la Ley 2294 de 2023. Sost</w:t>
      </w:r>
      <w:r w:rsidRPr="00D073E6">
        <w:rPr>
          <w:rFonts w:ascii="Times New Roman" w:hAnsi="Times New Roman" w:cs="Times New Roman"/>
          <w:sz w:val="28"/>
          <w:szCs w:val="28"/>
        </w:rPr>
        <w:t xml:space="preserve">uvo </w:t>
      </w:r>
      <w:r w:rsidRPr="00D073E6">
        <w:rPr>
          <w:rFonts w:ascii="Times New Roman" w:hAnsi="Times New Roman" w:cs="Times New Roman"/>
          <w:sz w:val="28"/>
          <w:szCs w:val="28"/>
        </w:rPr>
        <w:t>que la disposición parcialmente demandada no guarda conexidad con el Plan Nacional de Desarrollo 2022-2026, puesto que las razones que justifican la necesidad de elim</w:t>
      </w:r>
      <w:r w:rsidRPr="00D073E6">
        <w:rPr>
          <w:rFonts w:ascii="Times New Roman" w:hAnsi="Times New Roman" w:cs="Times New Roman"/>
          <w:sz w:val="28"/>
          <w:szCs w:val="28"/>
        </w:rPr>
        <w:t xml:space="preserve">inar la fase judicial de la mayoría de los procedimientos agrarios </w:t>
      </w:r>
      <w:r w:rsidRPr="00D073E6">
        <w:rPr>
          <w:rFonts w:ascii="Times New Roman" w:hAnsi="Times New Roman" w:cs="Times New Roman"/>
          <w:i/>
          <w:iCs/>
          <w:sz w:val="28"/>
          <w:szCs w:val="28"/>
        </w:rPr>
        <w:t>“no se encuentran debidamente explicadas en la parte general respectiva ni en su trámite legislativo</w:t>
      </w:r>
      <w:r w:rsidRPr="00D073E6">
        <w:rPr>
          <w:rFonts w:ascii="Times New Roman" w:hAnsi="Times New Roman" w:cs="Times New Roman"/>
          <w:i/>
          <w:iCs/>
          <w:sz w:val="28"/>
          <w:szCs w:val="28"/>
        </w:rPr>
        <w:t>.</w:t>
      </w:r>
      <w:r w:rsidRPr="00D073E6">
        <w:rPr>
          <w:rFonts w:ascii="Times New Roman" w:hAnsi="Times New Roman" w:cs="Times New Roman"/>
          <w:i/>
          <w:iCs/>
          <w:sz w:val="28"/>
          <w:szCs w:val="28"/>
        </w:rPr>
        <w:t>”</w:t>
      </w:r>
      <w:r w:rsidRPr="00D073E6">
        <w:rPr>
          <w:rStyle w:val="Refdenotaalpie"/>
          <w:rFonts w:ascii="Times New Roman" w:hAnsi="Times New Roman" w:cs="Times New Roman"/>
          <w:i/>
          <w:iCs/>
          <w:sz w:val="28"/>
          <w:szCs w:val="28"/>
        </w:rPr>
        <w:footnoteReference w:id="29"/>
      </w:r>
      <w:r w:rsidRPr="00D073E6">
        <w:rPr>
          <w:rFonts w:ascii="Times New Roman" w:hAnsi="Times New Roman" w:cs="Times New Roman"/>
          <w:i/>
          <w:iCs/>
          <w:sz w:val="28"/>
          <w:szCs w:val="28"/>
        </w:rPr>
        <w:t xml:space="preserve"> </w:t>
      </w:r>
    </w:p>
    <w:p w:rsidR="00E34357" w:rsidRPr="00D073E6" w:rsidRDefault="00D073E6" w:rsidP="00E34357">
      <w:pPr>
        <w:pStyle w:val="Prrafodelista"/>
        <w:tabs>
          <w:tab w:val="left" w:pos="426"/>
        </w:tabs>
        <w:ind w:left="0"/>
        <w:contextualSpacing w:val="0"/>
        <w:jc w:val="both"/>
        <w:rPr>
          <w:rFonts w:ascii="Times New Roman" w:hAnsi="Times New Roman" w:cs="Times New Roman"/>
          <w:b/>
          <w:bCs/>
          <w:i/>
          <w:iCs/>
          <w:sz w:val="28"/>
          <w:szCs w:val="28"/>
        </w:rPr>
      </w:pPr>
    </w:p>
    <w:p w:rsidR="00B403FD" w:rsidRPr="00D073E6" w:rsidRDefault="00D073E6" w:rsidP="00B403FD">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Expres</w:t>
      </w:r>
      <w:r w:rsidRPr="00D073E6">
        <w:rPr>
          <w:rFonts w:ascii="Times New Roman" w:hAnsi="Times New Roman" w:cs="Times New Roman"/>
          <w:sz w:val="28"/>
          <w:szCs w:val="28"/>
        </w:rPr>
        <w:t>ó</w:t>
      </w:r>
      <w:r w:rsidRPr="00D073E6">
        <w:rPr>
          <w:rFonts w:ascii="Times New Roman" w:hAnsi="Times New Roman" w:cs="Times New Roman"/>
          <w:sz w:val="28"/>
          <w:szCs w:val="28"/>
        </w:rPr>
        <w:t xml:space="preserve"> que la norma parcialmente acusada </w:t>
      </w:r>
      <w:r w:rsidRPr="00D073E6">
        <w:rPr>
          <w:rFonts w:ascii="Times New Roman" w:hAnsi="Times New Roman" w:cs="Times New Roman"/>
          <w:sz w:val="28"/>
          <w:szCs w:val="28"/>
        </w:rPr>
        <w:t>es contradictoria con las políticas de go</w:t>
      </w:r>
      <w:r w:rsidRPr="00D073E6">
        <w:rPr>
          <w:rFonts w:ascii="Times New Roman" w:hAnsi="Times New Roman" w:cs="Times New Roman"/>
          <w:sz w:val="28"/>
          <w:szCs w:val="28"/>
        </w:rPr>
        <w:t>bierno</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“por cuanto</w:t>
      </w:r>
      <w:r w:rsidRPr="00D073E6">
        <w:rPr>
          <w:rFonts w:ascii="Times New Roman" w:hAnsi="Times New Roman" w:cs="Times New Roman"/>
          <w:i/>
          <w:iCs/>
          <w:sz w:val="28"/>
          <w:szCs w:val="28"/>
        </w:rPr>
        <w:t>,</w:t>
      </w:r>
      <w:r w:rsidRPr="00D073E6">
        <w:rPr>
          <w:rFonts w:ascii="Times New Roman" w:hAnsi="Times New Roman" w:cs="Times New Roman"/>
          <w:i/>
          <w:iCs/>
          <w:sz w:val="28"/>
          <w:szCs w:val="28"/>
        </w:rPr>
        <w:t xml:space="preserve"> de una parte, mediante una reforma constitucional se crea la jurisdicción agraria,</w:t>
      </w:r>
      <w:r w:rsidRPr="00D073E6">
        <w:rPr>
          <w:rFonts w:ascii="Times New Roman" w:hAnsi="Times New Roman" w:cs="Times New Roman"/>
          <w:i/>
          <w:iCs/>
          <w:sz w:val="28"/>
          <w:szCs w:val="28"/>
        </w:rPr>
        <w:t xml:space="preserve"> </w:t>
      </w:r>
      <w:r w:rsidRPr="00D073E6">
        <w:rPr>
          <w:rFonts w:ascii="Times New Roman" w:hAnsi="Times New Roman" w:cs="Times New Roman"/>
          <w:sz w:val="28"/>
          <w:szCs w:val="28"/>
        </w:rPr>
        <w:t>[y de otro lado,]</w:t>
      </w:r>
      <w:r w:rsidRPr="00D073E6">
        <w:rPr>
          <w:rFonts w:ascii="Times New Roman" w:hAnsi="Times New Roman" w:cs="Times New Roman"/>
          <w:i/>
          <w:iCs/>
          <w:sz w:val="28"/>
          <w:szCs w:val="28"/>
        </w:rPr>
        <w:t xml:space="preserve"> en el Plan Nacional de Desarrollo se elimina la fase judicial para la mayoría de los procedimientos agrarios, despojando a esta nueva jurisdicción de uno de sus propósitos estructurales en los términos establecidos en el punto 1.1.8 del Acuerdo Final, lo </w:t>
      </w:r>
      <w:r w:rsidRPr="00D073E6">
        <w:rPr>
          <w:rFonts w:ascii="Times New Roman" w:hAnsi="Times New Roman" w:cs="Times New Roman"/>
          <w:i/>
          <w:iCs/>
          <w:sz w:val="28"/>
          <w:szCs w:val="28"/>
        </w:rPr>
        <w:t>cual es una necesidad para las zonas rurales del país</w:t>
      </w:r>
      <w:r w:rsidRPr="00D073E6">
        <w:rPr>
          <w:rFonts w:ascii="Times New Roman" w:hAnsi="Times New Roman" w:cs="Times New Roman"/>
          <w:i/>
          <w:iCs/>
          <w:sz w:val="28"/>
          <w:szCs w:val="28"/>
        </w:rPr>
        <w:t>.</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0"/>
      </w:r>
    </w:p>
    <w:p w:rsidR="00B403FD" w:rsidRPr="00D073E6" w:rsidRDefault="00D073E6" w:rsidP="00B403FD">
      <w:pPr>
        <w:pStyle w:val="Prrafodelista"/>
        <w:rPr>
          <w:rFonts w:ascii="Times New Roman" w:hAnsi="Times New Roman" w:cs="Times New Roman"/>
          <w:b/>
          <w:bCs/>
          <w:i/>
          <w:iCs/>
          <w:sz w:val="28"/>
          <w:szCs w:val="28"/>
        </w:rPr>
      </w:pPr>
    </w:p>
    <w:p w:rsidR="00B403FD" w:rsidRPr="00D073E6" w:rsidRDefault="00D073E6" w:rsidP="00B602E0">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Criticó que </w:t>
      </w:r>
      <w:r w:rsidRPr="00D073E6">
        <w:rPr>
          <w:rFonts w:ascii="Times New Roman" w:hAnsi="Times New Roman" w:cs="Times New Roman"/>
          <w:sz w:val="28"/>
          <w:szCs w:val="28"/>
        </w:rPr>
        <w:t>la introducción del artículo 61 de la Ley 2294 de 2023</w:t>
      </w:r>
      <w:r w:rsidRPr="00D073E6">
        <w:rPr>
          <w:rFonts w:ascii="Times New Roman" w:hAnsi="Times New Roman" w:cs="Times New Roman"/>
          <w:sz w:val="28"/>
          <w:szCs w:val="28"/>
        </w:rPr>
        <w:t xml:space="preserve"> no </w:t>
      </w:r>
      <w:r w:rsidRPr="00D073E6">
        <w:rPr>
          <w:rFonts w:ascii="Times New Roman" w:hAnsi="Times New Roman" w:cs="Times New Roman"/>
          <w:sz w:val="28"/>
          <w:szCs w:val="28"/>
        </w:rPr>
        <w:t>tuvo suficiente carga argumentativa</w:t>
      </w:r>
      <w:r w:rsidRPr="00D073E6">
        <w:rPr>
          <w:rFonts w:ascii="Times New Roman" w:hAnsi="Times New Roman" w:cs="Times New Roman"/>
          <w:sz w:val="28"/>
          <w:szCs w:val="28"/>
        </w:rPr>
        <w:t xml:space="preserve"> para “</w:t>
      </w:r>
      <w:r w:rsidRPr="00D073E6">
        <w:rPr>
          <w:rFonts w:ascii="Times New Roman" w:hAnsi="Times New Roman" w:cs="Times New Roman"/>
          <w:i/>
          <w:iCs/>
          <w:sz w:val="28"/>
          <w:szCs w:val="28"/>
        </w:rPr>
        <w:t>justificar la eliminación del juez como rector de las decisiones en los asuntos agrari</w:t>
      </w:r>
      <w:r w:rsidRPr="00D073E6">
        <w:rPr>
          <w:rFonts w:ascii="Times New Roman" w:hAnsi="Times New Roman" w:cs="Times New Roman"/>
          <w:i/>
          <w:iCs/>
          <w:sz w:val="28"/>
          <w:szCs w:val="28"/>
        </w:rPr>
        <w:t>os que nos ocupan y de la definición del derecho a la propiedad que ellos entrañan</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1"/>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Explicó que d</w:t>
      </w:r>
      <w:r w:rsidRPr="00D073E6">
        <w:rPr>
          <w:rFonts w:ascii="Times New Roman" w:hAnsi="Times New Roman" w:cs="Times New Roman"/>
          <w:sz w:val="28"/>
          <w:szCs w:val="28"/>
        </w:rPr>
        <w:t>icha norma “</w:t>
      </w:r>
      <w:r w:rsidRPr="00D073E6">
        <w:rPr>
          <w:rFonts w:ascii="Times New Roman" w:hAnsi="Times New Roman" w:cs="Times New Roman"/>
          <w:i/>
          <w:iCs/>
          <w:sz w:val="28"/>
          <w:szCs w:val="28"/>
        </w:rPr>
        <w:t xml:space="preserve">se incluyó en el penúltimo debate </w:t>
      </w:r>
      <w:r w:rsidRPr="00D073E6">
        <w:rPr>
          <w:rFonts w:ascii="Times New Roman" w:hAnsi="Times New Roman" w:cs="Times New Roman"/>
          <w:i/>
          <w:iCs/>
          <w:sz w:val="28"/>
          <w:szCs w:val="28"/>
        </w:rPr>
        <w:t>y el mismo no guarda relación con las materias discutidas por la Cámara y el Senado</w:t>
      </w:r>
      <w:r w:rsidRPr="00D073E6">
        <w:rPr>
          <w:rFonts w:ascii="Times New Roman" w:hAnsi="Times New Roman" w:cs="Times New Roman"/>
          <w:i/>
          <w:iCs/>
          <w:sz w:val="28"/>
          <w:szCs w:val="28"/>
        </w:rPr>
        <w:t xml:space="preserve"> en las discusiones del Plan</w:t>
      </w:r>
      <w:r w:rsidRPr="00D073E6">
        <w:rPr>
          <w:rFonts w:ascii="Times New Roman" w:hAnsi="Times New Roman" w:cs="Times New Roman"/>
          <w:i/>
          <w:iCs/>
          <w:sz w:val="28"/>
          <w:szCs w:val="28"/>
        </w:rPr>
        <w:t xml:space="preserve"> Nacional de Desarrollo</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2"/>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además de que</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no se discutió el desmonte del modelo de protección judicial para los procesos agrarios previstos en el Decreto Ley 902 de 2017.</w:t>
      </w:r>
    </w:p>
    <w:p w:rsidR="008737E8" w:rsidRPr="00D073E6" w:rsidRDefault="00D073E6" w:rsidP="008737E8">
      <w:pPr>
        <w:pStyle w:val="Prrafodelista"/>
        <w:rPr>
          <w:rFonts w:ascii="Times New Roman" w:hAnsi="Times New Roman" w:cs="Times New Roman"/>
          <w:sz w:val="28"/>
          <w:szCs w:val="28"/>
        </w:rPr>
      </w:pPr>
    </w:p>
    <w:p w:rsidR="008737E8" w:rsidRPr="00D073E6" w:rsidRDefault="00D073E6" w:rsidP="008737E8">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rPr>
        <w:t xml:space="preserve">Intervención </w:t>
      </w:r>
      <w:r w:rsidRPr="00D073E6">
        <w:rPr>
          <w:rFonts w:ascii="Times New Roman" w:hAnsi="Times New Roman" w:cs="Times New Roman"/>
          <w:b/>
          <w:bCs/>
          <w:i/>
          <w:iCs/>
          <w:sz w:val="28"/>
          <w:szCs w:val="28"/>
        </w:rPr>
        <w:t>de la Universidad Pontificia Bolivariana</w:t>
      </w:r>
    </w:p>
    <w:p w:rsidR="006A698A" w:rsidRPr="00D073E6" w:rsidRDefault="00D073E6" w:rsidP="006A698A">
      <w:pPr>
        <w:pStyle w:val="Prrafodelista"/>
        <w:rPr>
          <w:rFonts w:ascii="Times New Roman" w:hAnsi="Times New Roman" w:cs="Times New Roman"/>
          <w:sz w:val="28"/>
          <w:szCs w:val="28"/>
        </w:rPr>
      </w:pPr>
    </w:p>
    <w:p w:rsidR="00093FB0" w:rsidRPr="00D073E6" w:rsidRDefault="00D073E6" w:rsidP="006A698A">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 xml:space="preserve">La </w:t>
      </w:r>
      <w:r w:rsidRPr="00D073E6">
        <w:rPr>
          <w:rFonts w:ascii="Times New Roman" w:hAnsi="Times New Roman" w:cs="Times New Roman"/>
          <w:sz w:val="28"/>
          <w:szCs w:val="28"/>
        </w:rPr>
        <w:t>Universidad Pontificia Boli</w:t>
      </w:r>
      <w:r w:rsidRPr="00D073E6">
        <w:rPr>
          <w:rFonts w:ascii="Times New Roman" w:hAnsi="Times New Roman" w:cs="Times New Roman"/>
          <w:sz w:val="28"/>
          <w:szCs w:val="28"/>
        </w:rPr>
        <w:t>variana</w:t>
      </w:r>
      <w:r w:rsidRPr="00D073E6">
        <w:rPr>
          <w:rFonts w:ascii="Times New Roman" w:hAnsi="Times New Roman" w:cs="Times New Roman"/>
          <w:sz w:val="28"/>
          <w:szCs w:val="28"/>
        </w:rPr>
        <w:t xml:space="preserve"> solicitó a la Corte la declaratoria de inexequibilidad de </w:t>
      </w:r>
      <w:r w:rsidRPr="00D073E6">
        <w:rPr>
          <w:rFonts w:ascii="Times New Roman" w:hAnsi="Times New Roman" w:cs="Times New Roman"/>
          <w:sz w:val="28"/>
          <w:szCs w:val="28"/>
        </w:rPr>
        <w:t>los incisos 1, 2, 3 y 6 del numeral 6 y el parágrafo 3° de la Ley 2294 de 2023</w:t>
      </w:r>
      <w:r w:rsidRPr="00D073E6">
        <w:rPr>
          <w:rFonts w:ascii="Times New Roman" w:hAnsi="Times New Roman" w:cs="Times New Roman"/>
          <w:sz w:val="28"/>
          <w:szCs w:val="28"/>
        </w:rPr>
        <w:t>, porque considera que no existe una “</w:t>
      </w:r>
      <w:r w:rsidRPr="00D073E6">
        <w:rPr>
          <w:rFonts w:ascii="Times New Roman" w:hAnsi="Times New Roman" w:cs="Times New Roman"/>
          <w:i/>
          <w:iCs/>
          <w:sz w:val="28"/>
          <w:szCs w:val="28"/>
        </w:rPr>
        <w:t>relación directa</w:t>
      </w:r>
      <w:r w:rsidRPr="00D073E6">
        <w:rPr>
          <w:rFonts w:ascii="Times New Roman" w:hAnsi="Times New Roman" w:cs="Times New Roman"/>
          <w:i/>
          <w:iCs/>
          <w:sz w:val="28"/>
          <w:szCs w:val="28"/>
        </w:rPr>
        <w:t xml:space="preserve"> entre los objetivos del Plan de Desarrollo o sus metas generales y la modificación en materia procesal que se busca surtir</w:t>
      </w:r>
      <w:r w:rsidRPr="00D073E6">
        <w:rPr>
          <w:rFonts w:ascii="Times New Roman" w:hAnsi="Times New Roman" w:cs="Times New Roman"/>
          <w:i/>
          <w:iCs/>
          <w:sz w:val="28"/>
          <w:szCs w:val="28"/>
        </w:rPr>
        <w:t xml:space="preserve"> el trámite judicial por un trámite de tipo administrativo.</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3"/>
      </w:r>
      <w:r w:rsidRPr="00D073E6">
        <w:rPr>
          <w:rFonts w:ascii="Times New Roman" w:hAnsi="Times New Roman" w:cs="Times New Roman"/>
          <w:sz w:val="28"/>
          <w:szCs w:val="28"/>
        </w:rPr>
        <w:t xml:space="preserve"> </w:t>
      </w:r>
    </w:p>
    <w:p w:rsidR="00093FB0" w:rsidRPr="00D073E6" w:rsidRDefault="00D073E6" w:rsidP="00093FB0">
      <w:pPr>
        <w:pStyle w:val="Prrafodelista"/>
        <w:tabs>
          <w:tab w:val="left" w:pos="426"/>
        </w:tabs>
        <w:ind w:left="0"/>
        <w:contextualSpacing w:val="0"/>
        <w:jc w:val="both"/>
        <w:rPr>
          <w:rFonts w:ascii="Times New Roman" w:hAnsi="Times New Roman" w:cs="Times New Roman"/>
          <w:b/>
          <w:bCs/>
          <w:i/>
          <w:iCs/>
          <w:sz w:val="28"/>
          <w:szCs w:val="28"/>
        </w:rPr>
      </w:pPr>
    </w:p>
    <w:p w:rsidR="00D6309B" w:rsidRPr="00D073E6" w:rsidRDefault="00D073E6" w:rsidP="006A698A">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Por último, a</w:t>
      </w:r>
      <w:r w:rsidRPr="00D073E6">
        <w:rPr>
          <w:rFonts w:ascii="Times New Roman" w:hAnsi="Times New Roman" w:cs="Times New Roman"/>
          <w:sz w:val="28"/>
          <w:szCs w:val="28"/>
        </w:rPr>
        <w:t>dujo que dichas disposiciones normativas</w:t>
      </w:r>
      <w:r w:rsidRPr="00D073E6">
        <w:rPr>
          <w:rFonts w:ascii="Times New Roman" w:hAnsi="Times New Roman" w:cs="Times New Roman"/>
          <w:sz w:val="28"/>
          <w:szCs w:val="28"/>
        </w:rPr>
        <w:t xml:space="preserve"> desbordan la te</w:t>
      </w:r>
      <w:r w:rsidRPr="00D073E6">
        <w:rPr>
          <w:rFonts w:ascii="Times New Roman" w:hAnsi="Times New Roman" w:cs="Times New Roman"/>
          <w:sz w:val="28"/>
          <w:szCs w:val="28"/>
        </w:rPr>
        <w:t>mporalidad propia de las normas del plan de desarrollo</w:t>
      </w:r>
      <w:r w:rsidRPr="00D073E6">
        <w:rPr>
          <w:rFonts w:ascii="Times New Roman" w:hAnsi="Times New Roman" w:cs="Times New Roman"/>
          <w:sz w:val="28"/>
          <w:szCs w:val="28"/>
        </w:rPr>
        <w:t>, por lo que el asunto debería tramitarse a través del procedimiento legislativo ordinario.</w:t>
      </w:r>
    </w:p>
    <w:p w:rsidR="006560EC" w:rsidRPr="00D073E6" w:rsidRDefault="00D073E6" w:rsidP="006560EC">
      <w:pPr>
        <w:pStyle w:val="Prrafodelista"/>
        <w:tabs>
          <w:tab w:val="left" w:pos="426"/>
        </w:tabs>
        <w:ind w:left="0"/>
        <w:contextualSpacing w:val="0"/>
        <w:jc w:val="both"/>
        <w:rPr>
          <w:rFonts w:ascii="Times New Roman" w:hAnsi="Times New Roman" w:cs="Times New Roman"/>
          <w:sz w:val="28"/>
          <w:szCs w:val="28"/>
        </w:rPr>
      </w:pPr>
    </w:p>
    <w:p w:rsidR="006560EC" w:rsidRPr="00D073E6" w:rsidRDefault="00D073E6" w:rsidP="006560EC">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rPr>
        <w:t>Intervención de la Cámara Colombiana de la Construcción (CAMACOL)</w:t>
      </w:r>
    </w:p>
    <w:p w:rsidR="006560EC" w:rsidRPr="00D073E6" w:rsidRDefault="00D073E6" w:rsidP="006560EC">
      <w:pPr>
        <w:pStyle w:val="Prrafodelista"/>
        <w:tabs>
          <w:tab w:val="left" w:pos="426"/>
        </w:tabs>
        <w:ind w:left="0"/>
        <w:contextualSpacing w:val="0"/>
        <w:jc w:val="both"/>
        <w:rPr>
          <w:rFonts w:ascii="Times New Roman" w:hAnsi="Times New Roman" w:cs="Times New Roman"/>
          <w:b/>
          <w:bCs/>
          <w:i/>
          <w:iCs/>
          <w:sz w:val="28"/>
          <w:szCs w:val="28"/>
        </w:rPr>
      </w:pPr>
    </w:p>
    <w:p w:rsidR="006560EC" w:rsidRPr="00D073E6" w:rsidRDefault="00D073E6" w:rsidP="006560EC">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CAMACOL</w:t>
      </w:r>
      <w:r w:rsidRPr="00D073E6">
        <w:rPr>
          <w:rFonts w:ascii="Times New Roman" w:hAnsi="Times New Roman" w:cs="Times New Roman"/>
          <w:sz w:val="28"/>
          <w:szCs w:val="28"/>
        </w:rPr>
        <w:t xml:space="preserve"> solicitó la declaratoria de </w:t>
      </w:r>
      <w:r w:rsidRPr="00D073E6">
        <w:rPr>
          <w:rFonts w:ascii="Times New Roman" w:hAnsi="Times New Roman" w:cs="Times New Roman"/>
          <w:sz w:val="28"/>
          <w:szCs w:val="28"/>
        </w:rPr>
        <w:t xml:space="preserve">inexequibilidad de las disposiciones </w:t>
      </w:r>
      <w:r w:rsidRPr="00D073E6">
        <w:rPr>
          <w:rFonts w:ascii="Times New Roman" w:hAnsi="Times New Roman" w:cs="Times New Roman"/>
          <w:sz w:val="28"/>
          <w:szCs w:val="28"/>
        </w:rPr>
        <w:t>acusadas,</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por vulneración</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d</w:t>
      </w:r>
      <w:r w:rsidRPr="00D073E6">
        <w:rPr>
          <w:rFonts w:ascii="Times New Roman" w:hAnsi="Times New Roman" w:cs="Times New Roman"/>
          <w:sz w:val="28"/>
          <w:szCs w:val="28"/>
        </w:rPr>
        <w:t>el principio de unidad de materia</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dado que </w:t>
      </w:r>
      <w:r w:rsidRPr="00D073E6">
        <w:rPr>
          <w:rFonts w:ascii="Times New Roman" w:hAnsi="Times New Roman" w:cs="Times New Roman"/>
          <w:sz w:val="28"/>
          <w:szCs w:val="28"/>
        </w:rPr>
        <w:t>estas no se relacionan con los objetivos, ejes y fines de la ley del plan</w:t>
      </w:r>
      <w:r w:rsidRPr="00D073E6">
        <w:rPr>
          <w:rFonts w:ascii="Times New Roman" w:hAnsi="Times New Roman" w:cs="Times New Roman"/>
          <w:sz w:val="28"/>
          <w:szCs w:val="28"/>
        </w:rPr>
        <w:t>. También criticó que</w:t>
      </w:r>
      <w:r w:rsidRPr="00D073E6">
        <w:rPr>
          <w:rFonts w:ascii="Times New Roman" w:hAnsi="Times New Roman" w:cs="Times New Roman"/>
          <w:sz w:val="28"/>
          <w:szCs w:val="28"/>
        </w:rPr>
        <w:t xml:space="preserve"> mediante una ley con vocación de temporalidad “</w:t>
      </w:r>
      <w:r w:rsidRPr="00D073E6">
        <w:rPr>
          <w:rFonts w:ascii="Times New Roman" w:hAnsi="Times New Roman" w:cs="Times New Roman"/>
          <w:i/>
          <w:iCs/>
          <w:sz w:val="28"/>
          <w:szCs w:val="28"/>
        </w:rPr>
        <w:t>se sup</w:t>
      </w:r>
      <w:r w:rsidRPr="00D073E6">
        <w:rPr>
          <w:rFonts w:ascii="Times New Roman" w:hAnsi="Times New Roman" w:cs="Times New Roman"/>
          <w:i/>
          <w:iCs/>
          <w:sz w:val="28"/>
          <w:szCs w:val="28"/>
        </w:rPr>
        <w:t>rime la fase judicial del procedimiento único agrario contenido en el Decreto Ley 902 de 2017.</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4"/>
      </w:r>
    </w:p>
    <w:p w:rsidR="005767D7" w:rsidRPr="00D073E6" w:rsidRDefault="00D073E6" w:rsidP="005767D7">
      <w:pPr>
        <w:pStyle w:val="Prrafodelista"/>
        <w:tabs>
          <w:tab w:val="left" w:pos="426"/>
        </w:tabs>
        <w:ind w:left="0"/>
        <w:contextualSpacing w:val="0"/>
        <w:jc w:val="both"/>
        <w:rPr>
          <w:rFonts w:ascii="Times New Roman" w:hAnsi="Times New Roman" w:cs="Times New Roman"/>
          <w:sz w:val="28"/>
          <w:szCs w:val="28"/>
        </w:rPr>
      </w:pPr>
    </w:p>
    <w:p w:rsidR="005767D7" w:rsidRPr="00D073E6" w:rsidRDefault="00D073E6" w:rsidP="006560EC">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rPr>
        <w:t xml:space="preserve">Argumentó que </w:t>
      </w:r>
      <w:r w:rsidRPr="00D073E6">
        <w:rPr>
          <w:rFonts w:ascii="Times New Roman" w:hAnsi="Times New Roman" w:cs="Times New Roman"/>
          <w:sz w:val="28"/>
          <w:szCs w:val="28"/>
        </w:rPr>
        <w:t xml:space="preserve">la norma no supera el juicio de unidad de materia </w:t>
      </w:r>
      <w:r w:rsidRPr="00D073E6">
        <w:rPr>
          <w:rFonts w:ascii="Times New Roman" w:hAnsi="Times New Roman" w:cs="Times New Roman"/>
          <w:sz w:val="28"/>
          <w:szCs w:val="28"/>
        </w:rPr>
        <w:t>esbozado en la Sentencia C-049 de 2022</w:t>
      </w:r>
      <w:r w:rsidRPr="00D073E6">
        <w:rPr>
          <w:rFonts w:ascii="Times New Roman" w:hAnsi="Times New Roman" w:cs="Times New Roman"/>
          <w:sz w:val="28"/>
          <w:szCs w:val="28"/>
        </w:rPr>
        <w:t xml:space="preserve"> porque </w:t>
      </w:r>
      <w:r w:rsidRPr="00D073E6">
        <w:rPr>
          <w:rFonts w:ascii="Times New Roman" w:hAnsi="Times New Roman" w:cs="Times New Roman"/>
          <w:sz w:val="28"/>
          <w:szCs w:val="28"/>
        </w:rPr>
        <w:t xml:space="preserve">ni en las bases ni </w:t>
      </w:r>
      <w:r w:rsidRPr="00D073E6">
        <w:rPr>
          <w:rFonts w:ascii="Times New Roman" w:hAnsi="Times New Roman" w:cs="Times New Roman"/>
          <w:sz w:val="28"/>
          <w:szCs w:val="28"/>
        </w:rPr>
        <w:t>“</w:t>
      </w:r>
      <w:r w:rsidRPr="00D073E6">
        <w:rPr>
          <w:rFonts w:ascii="Times New Roman" w:hAnsi="Times New Roman" w:cs="Times New Roman"/>
          <w:i/>
          <w:iCs/>
          <w:sz w:val="28"/>
          <w:szCs w:val="28"/>
        </w:rPr>
        <w:t xml:space="preserve">en los objetivos de la Ley </w:t>
      </w:r>
      <w:r w:rsidRPr="00D073E6">
        <w:rPr>
          <w:rFonts w:ascii="Times New Roman" w:hAnsi="Times New Roman" w:cs="Times New Roman"/>
          <w:i/>
          <w:iCs/>
          <w:sz w:val="28"/>
          <w:szCs w:val="28"/>
        </w:rPr>
        <w:t>del Plan no se evidencia transformación alguna de las disposiciones creadas para el procedimiento único respecto de los litigios agrarios</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5"/>
      </w:r>
      <w:r w:rsidRPr="00D073E6">
        <w:rPr>
          <w:rFonts w:ascii="Times New Roman" w:hAnsi="Times New Roman" w:cs="Times New Roman"/>
          <w:sz w:val="28"/>
          <w:szCs w:val="28"/>
        </w:rPr>
        <w:t>. Además</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la norma</w:t>
      </w:r>
      <w:r w:rsidRPr="00D073E6">
        <w:rPr>
          <w:rFonts w:ascii="Times New Roman" w:hAnsi="Times New Roman" w:cs="Times New Roman"/>
          <w:sz w:val="28"/>
          <w:szCs w:val="28"/>
        </w:rPr>
        <w:t xml:space="preserve"> introdujo una modificación normativa de carácter permanente</w:t>
      </w:r>
      <w:r w:rsidRPr="00D073E6">
        <w:rPr>
          <w:rFonts w:ascii="Times New Roman" w:hAnsi="Times New Roman" w:cs="Times New Roman"/>
          <w:sz w:val="28"/>
          <w:szCs w:val="28"/>
        </w:rPr>
        <w:t>, que debió haber surtido el procedimie</w:t>
      </w:r>
      <w:r w:rsidRPr="00D073E6">
        <w:rPr>
          <w:rFonts w:ascii="Times New Roman" w:hAnsi="Times New Roman" w:cs="Times New Roman"/>
          <w:sz w:val="28"/>
          <w:szCs w:val="28"/>
        </w:rPr>
        <w:t>nto legislativo ordinario</w:t>
      </w:r>
      <w:r w:rsidRPr="00D073E6">
        <w:rPr>
          <w:rFonts w:ascii="Times New Roman" w:hAnsi="Times New Roman" w:cs="Times New Roman"/>
          <w:sz w:val="28"/>
          <w:szCs w:val="28"/>
        </w:rPr>
        <w:t>.</w:t>
      </w:r>
    </w:p>
    <w:p w:rsidR="00DF66C9" w:rsidRPr="00D073E6" w:rsidRDefault="00D073E6" w:rsidP="00DF66C9">
      <w:pPr>
        <w:pStyle w:val="Prrafodelista"/>
        <w:ind w:left="360"/>
        <w:rPr>
          <w:rFonts w:ascii="Times New Roman" w:hAnsi="Times New Roman" w:cs="Times New Roman"/>
          <w:b/>
          <w:bCs/>
          <w:i/>
          <w:iCs/>
          <w:sz w:val="28"/>
          <w:szCs w:val="28"/>
        </w:rPr>
      </w:pPr>
    </w:p>
    <w:p w:rsidR="00DF66C9" w:rsidRPr="00D073E6" w:rsidRDefault="00D073E6" w:rsidP="004A167A">
      <w:pPr>
        <w:pStyle w:val="Prrafodelista"/>
        <w:numPr>
          <w:ilvl w:val="0"/>
          <w:numId w:val="3"/>
        </w:numPr>
        <w:ind w:left="0" w:firstLine="0"/>
        <w:rPr>
          <w:rFonts w:ascii="Times New Roman" w:hAnsi="Times New Roman" w:cs="Times New Roman"/>
          <w:b/>
          <w:bCs/>
          <w:sz w:val="28"/>
          <w:szCs w:val="28"/>
          <w:u w:val="single"/>
        </w:rPr>
      </w:pPr>
      <w:r w:rsidRPr="00D073E6">
        <w:rPr>
          <w:rFonts w:ascii="Times New Roman" w:hAnsi="Times New Roman" w:cs="Times New Roman"/>
          <w:b/>
          <w:bCs/>
          <w:sz w:val="28"/>
          <w:szCs w:val="28"/>
          <w:u w:val="single"/>
        </w:rPr>
        <w:t>C</w:t>
      </w:r>
      <w:r w:rsidRPr="00D073E6">
        <w:rPr>
          <w:rFonts w:ascii="Times New Roman" w:hAnsi="Times New Roman" w:cs="Times New Roman"/>
          <w:b/>
          <w:bCs/>
          <w:sz w:val="28"/>
          <w:szCs w:val="28"/>
          <w:u w:val="single"/>
        </w:rPr>
        <w:t>onceptos técnicos</w:t>
      </w:r>
    </w:p>
    <w:p w:rsidR="009D310E" w:rsidRPr="00D073E6" w:rsidRDefault="00D073E6" w:rsidP="009D310E">
      <w:pPr>
        <w:pStyle w:val="Prrafodelista"/>
        <w:ind w:left="0"/>
        <w:rPr>
          <w:rFonts w:ascii="Times New Roman" w:hAnsi="Times New Roman" w:cs="Times New Roman"/>
          <w:b/>
          <w:bCs/>
          <w:sz w:val="28"/>
          <w:szCs w:val="28"/>
        </w:rPr>
      </w:pPr>
    </w:p>
    <w:p w:rsidR="009D310E" w:rsidRPr="00D073E6" w:rsidRDefault="00D073E6" w:rsidP="009D310E">
      <w:pPr>
        <w:pStyle w:val="Prrafodelista"/>
        <w:numPr>
          <w:ilvl w:val="0"/>
          <w:numId w:val="2"/>
        </w:numPr>
        <w:tabs>
          <w:tab w:val="left" w:pos="426"/>
        </w:tabs>
        <w:ind w:left="0" w:firstLine="0"/>
        <w:contextualSpacing w:val="0"/>
        <w:jc w:val="both"/>
        <w:rPr>
          <w:rFonts w:ascii="Times New Roman" w:hAnsi="Times New Roman" w:cs="Times New Roman"/>
          <w:sz w:val="28"/>
          <w:szCs w:val="28"/>
        </w:rPr>
      </w:pPr>
      <w:r w:rsidRPr="00D073E6">
        <w:rPr>
          <w:rFonts w:ascii="Times New Roman" w:hAnsi="Times New Roman" w:cs="Times New Roman"/>
          <w:sz w:val="28"/>
          <w:szCs w:val="28"/>
          <w:shd w:val="clear" w:color="auto" w:fill="FFFFFF"/>
        </w:rPr>
        <w:t>La Corte Constitucional recibió los conceptos técnicos de la Comisión Colombiana de Juristas</w:t>
      </w:r>
      <w:r w:rsidRPr="00D073E6">
        <w:rPr>
          <w:rStyle w:val="Refdenotaalpie"/>
          <w:rFonts w:ascii="Times New Roman" w:hAnsi="Times New Roman" w:cs="Times New Roman"/>
          <w:sz w:val="28"/>
          <w:szCs w:val="28"/>
          <w:shd w:val="clear" w:color="auto" w:fill="FFFFFF"/>
        </w:rPr>
        <w:footnoteReference w:id="36"/>
      </w:r>
      <w:r w:rsidRPr="00D073E6">
        <w:rPr>
          <w:rFonts w:ascii="Times New Roman" w:hAnsi="Times New Roman" w:cs="Times New Roman"/>
          <w:sz w:val="28"/>
          <w:szCs w:val="28"/>
          <w:shd w:val="clear" w:color="auto" w:fill="FFFFFF"/>
        </w:rPr>
        <w:t xml:space="preserve"> y el Colegio Colombiano de Abogados Administrativistas</w:t>
      </w:r>
      <w:r w:rsidRPr="00D073E6">
        <w:rPr>
          <w:rStyle w:val="Refdenotaalpie"/>
          <w:rFonts w:ascii="Times New Roman" w:hAnsi="Times New Roman" w:cs="Times New Roman"/>
          <w:sz w:val="28"/>
          <w:szCs w:val="28"/>
          <w:shd w:val="clear" w:color="auto" w:fill="FFFFFF"/>
        </w:rPr>
        <w:footnoteReference w:id="37"/>
      </w:r>
      <w:r w:rsidRPr="00D073E6">
        <w:rPr>
          <w:rFonts w:ascii="Times New Roman" w:hAnsi="Times New Roman" w:cs="Times New Roman"/>
          <w:sz w:val="28"/>
          <w:szCs w:val="28"/>
          <w:shd w:val="clear" w:color="auto" w:fill="FFFFFF"/>
        </w:rPr>
        <w:t>.</w:t>
      </w:r>
    </w:p>
    <w:p w:rsidR="00DF66C9" w:rsidRPr="00D073E6" w:rsidRDefault="00D073E6" w:rsidP="004A167A">
      <w:pPr>
        <w:pStyle w:val="Prrafodelista"/>
        <w:tabs>
          <w:tab w:val="left" w:pos="426"/>
        </w:tabs>
        <w:ind w:left="0"/>
        <w:contextualSpacing w:val="0"/>
        <w:jc w:val="both"/>
        <w:rPr>
          <w:rFonts w:ascii="Times New Roman" w:hAnsi="Times New Roman" w:cs="Times New Roman"/>
          <w:sz w:val="28"/>
          <w:szCs w:val="28"/>
        </w:rPr>
      </w:pPr>
    </w:p>
    <w:p w:rsidR="00DF66C9" w:rsidRPr="00D073E6" w:rsidRDefault="00D073E6" w:rsidP="00DF66C9">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rPr>
        <w:t>Concepto de la Comisión Colombiana de Juristas</w:t>
      </w:r>
    </w:p>
    <w:p w:rsidR="00DF66C9" w:rsidRPr="00D073E6" w:rsidRDefault="00D073E6" w:rsidP="00DF66C9">
      <w:pPr>
        <w:pStyle w:val="Prrafodelista"/>
        <w:rPr>
          <w:rFonts w:ascii="Times New Roman" w:hAnsi="Times New Roman" w:cs="Times New Roman"/>
          <w:b/>
          <w:bCs/>
          <w:i/>
          <w:iCs/>
          <w:sz w:val="28"/>
          <w:szCs w:val="28"/>
        </w:rPr>
      </w:pPr>
    </w:p>
    <w:p w:rsidR="00DF66C9"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 xml:space="preserve">La </w:t>
      </w:r>
      <w:r w:rsidRPr="00D073E6">
        <w:rPr>
          <w:rFonts w:ascii="Times New Roman" w:hAnsi="Times New Roman" w:cs="Times New Roman"/>
          <w:sz w:val="28"/>
          <w:szCs w:val="28"/>
        </w:rPr>
        <w:t>Comisión Colombiana de Juristas s</w:t>
      </w:r>
      <w:r w:rsidRPr="00D073E6">
        <w:rPr>
          <w:rFonts w:ascii="Times New Roman" w:hAnsi="Times New Roman" w:cs="Times New Roman"/>
          <w:sz w:val="28"/>
          <w:szCs w:val="28"/>
        </w:rPr>
        <w:t xml:space="preserve">olicitó </w:t>
      </w:r>
      <w:r w:rsidRPr="00D073E6">
        <w:rPr>
          <w:rFonts w:ascii="Times New Roman" w:hAnsi="Times New Roman" w:cs="Times New Roman"/>
          <w:sz w:val="28"/>
          <w:szCs w:val="28"/>
        </w:rPr>
        <w:t>la declaratoria de exequibilidad parcial del artículo 61 de la Ley 2294 de 2014</w:t>
      </w:r>
      <w:r w:rsidRPr="00D073E6">
        <w:rPr>
          <w:rFonts w:ascii="Times New Roman" w:hAnsi="Times New Roman" w:cs="Times New Roman"/>
          <w:sz w:val="28"/>
          <w:szCs w:val="28"/>
        </w:rPr>
        <w:t>. Afirmó que</w:t>
      </w:r>
      <w:r w:rsidRPr="00D073E6">
        <w:rPr>
          <w:rFonts w:ascii="Times New Roman" w:hAnsi="Times New Roman" w:cs="Times New Roman"/>
          <w:sz w:val="28"/>
          <w:szCs w:val="28"/>
        </w:rPr>
        <w:t xml:space="preserve">, siguiendo </w:t>
      </w:r>
      <w:r w:rsidRPr="00D073E6">
        <w:rPr>
          <w:rFonts w:ascii="Times New Roman" w:hAnsi="Times New Roman" w:cs="Times New Roman"/>
          <w:sz w:val="28"/>
          <w:szCs w:val="28"/>
        </w:rPr>
        <w:t>los criterios trazados por la</w:t>
      </w:r>
      <w:r w:rsidRPr="00D073E6">
        <w:rPr>
          <w:rFonts w:ascii="Times New Roman" w:hAnsi="Times New Roman" w:cs="Times New Roman"/>
          <w:sz w:val="28"/>
          <w:szCs w:val="28"/>
        </w:rPr>
        <w:t>s</w:t>
      </w:r>
      <w:r w:rsidRPr="00D073E6">
        <w:rPr>
          <w:rFonts w:ascii="Times New Roman" w:hAnsi="Times New Roman" w:cs="Times New Roman"/>
          <w:sz w:val="28"/>
          <w:szCs w:val="28"/>
        </w:rPr>
        <w:t xml:space="preserve"> Sentencia</w:t>
      </w:r>
      <w:r w:rsidRPr="00D073E6">
        <w:rPr>
          <w:rFonts w:ascii="Times New Roman" w:hAnsi="Times New Roman" w:cs="Times New Roman"/>
          <w:sz w:val="28"/>
          <w:szCs w:val="28"/>
        </w:rPr>
        <w:t>s</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C-315 y </w:t>
      </w:r>
      <w:r w:rsidRPr="00D073E6">
        <w:rPr>
          <w:rFonts w:ascii="Times New Roman" w:hAnsi="Times New Roman" w:cs="Times New Roman"/>
          <w:sz w:val="28"/>
          <w:szCs w:val="28"/>
        </w:rPr>
        <w:t>C-105 de 2021</w:t>
      </w:r>
      <w:r w:rsidRPr="00D073E6">
        <w:rPr>
          <w:rFonts w:ascii="Times New Roman" w:hAnsi="Times New Roman" w:cs="Times New Roman"/>
          <w:sz w:val="28"/>
          <w:szCs w:val="28"/>
        </w:rPr>
        <w:t>,</w:t>
      </w:r>
      <w:r w:rsidRPr="00D073E6">
        <w:rPr>
          <w:rFonts w:ascii="Times New Roman" w:hAnsi="Times New Roman" w:cs="Times New Roman"/>
          <w:sz w:val="28"/>
          <w:szCs w:val="28"/>
        </w:rPr>
        <w:t xml:space="preserve"> se concluye que </w:t>
      </w:r>
      <w:r w:rsidRPr="00D073E6">
        <w:rPr>
          <w:rFonts w:ascii="Times New Roman" w:hAnsi="Times New Roman" w:cs="Times New Roman"/>
          <w:sz w:val="28"/>
          <w:szCs w:val="28"/>
        </w:rPr>
        <w:t>dicha norma “</w:t>
      </w:r>
      <w:r w:rsidRPr="00D073E6">
        <w:rPr>
          <w:rFonts w:ascii="Times New Roman" w:hAnsi="Times New Roman" w:cs="Times New Roman"/>
          <w:i/>
          <w:iCs/>
          <w:sz w:val="28"/>
          <w:szCs w:val="28"/>
        </w:rPr>
        <w:t xml:space="preserve">hace referencia a </w:t>
      </w:r>
      <w:r w:rsidRPr="00D073E6">
        <w:rPr>
          <w:rFonts w:ascii="Times New Roman" w:hAnsi="Times New Roman" w:cs="Times New Roman"/>
          <w:i/>
          <w:iCs/>
          <w:sz w:val="28"/>
          <w:szCs w:val="28"/>
        </w:rPr>
        <w:t>los ‘mecanismos para facilitar y dinamizar los procesos de compra de tierras por oferta voluntaria</w:t>
      </w:r>
      <w:r w:rsidRPr="00D073E6">
        <w:rPr>
          <w:rFonts w:ascii="Times New Roman" w:hAnsi="Times New Roman" w:cs="Times New Roman"/>
          <w:i/>
          <w:iCs/>
          <w:sz w:val="28"/>
          <w:szCs w:val="28"/>
        </w:rPr>
        <w:t>’, incorporados en la sección VI relativa a la tenencia en las zonas rurales, urbanas y suburbanas formalizada</w:t>
      </w:r>
      <w:r w:rsidRPr="00D073E6">
        <w:rPr>
          <w:rFonts w:ascii="Times New Roman" w:hAnsi="Times New Roman" w:cs="Times New Roman"/>
          <w:i/>
          <w:iCs/>
          <w:sz w:val="28"/>
          <w:szCs w:val="28"/>
        </w:rPr>
        <w:t>, adjudicada y regularizada, dentro del capítulo</w:t>
      </w:r>
      <w:r w:rsidRPr="00D073E6">
        <w:rPr>
          <w:rFonts w:ascii="Times New Roman" w:hAnsi="Times New Roman" w:cs="Times New Roman"/>
          <w:i/>
          <w:iCs/>
          <w:sz w:val="28"/>
          <w:szCs w:val="28"/>
        </w:rPr>
        <w:t xml:space="preserve"> II que aborda uno de los ejes de transformación del PND: el ordenamiento del territorio alrededor del agua y justicia ambiental.</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8"/>
      </w:r>
    </w:p>
    <w:p w:rsidR="00F523E8" w:rsidRPr="00D073E6" w:rsidRDefault="00D073E6" w:rsidP="00F523E8">
      <w:pPr>
        <w:pStyle w:val="Prrafodelista"/>
        <w:tabs>
          <w:tab w:val="left" w:pos="426"/>
        </w:tabs>
        <w:ind w:left="0"/>
        <w:contextualSpacing w:val="0"/>
        <w:jc w:val="both"/>
        <w:rPr>
          <w:rFonts w:ascii="Times New Roman" w:hAnsi="Times New Roman" w:cs="Times New Roman"/>
          <w:b/>
          <w:bCs/>
          <w:i/>
          <w:iCs/>
          <w:sz w:val="28"/>
          <w:szCs w:val="28"/>
        </w:rPr>
      </w:pPr>
    </w:p>
    <w:p w:rsidR="00F523E8"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 xml:space="preserve">Expuso que el documento de las bases del plan </w:t>
      </w:r>
      <w:r w:rsidRPr="00D073E6">
        <w:rPr>
          <w:rFonts w:ascii="Times New Roman" w:hAnsi="Times New Roman" w:cs="Times New Roman"/>
          <w:sz w:val="28"/>
          <w:szCs w:val="28"/>
        </w:rPr>
        <w:t>hace re</w:t>
      </w:r>
      <w:r w:rsidRPr="00D073E6">
        <w:rPr>
          <w:rFonts w:ascii="Times New Roman" w:hAnsi="Times New Roman" w:cs="Times New Roman"/>
          <w:sz w:val="28"/>
          <w:szCs w:val="28"/>
        </w:rPr>
        <w:t>ferencia a los problemas de acceso y uso de la tierra como barrera par</w:t>
      </w:r>
      <w:r w:rsidRPr="00D073E6">
        <w:rPr>
          <w:rFonts w:ascii="Times New Roman" w:hAnsi="Times New Roman" w:cs="Times New Roman"/>
          <w:sz w:val="28"/>
          <w:szCs w:val="28"/>
        </w:rPr>
        <w:t>a alcanzar la paz total y superar los conflictos sociales, económicos y ambientales</w:t>
      </w:r>
      <w:r w:rsidRPr="00D073E6">
        <w:rPr>
          <w:rFonts w:ascii="Times New Roman" w:hAnsi="Times New Roman" w:cs="Times New Roman"/>
          <w:sz w:val="28"/>
          <w:szCs w:val="28"/>
        </w:rPr>
        <w:t>. Dicho documento</w:t>
      </w:r>
      <w:r w:rsidRPr="00D073E6">
        <w:rPr>
          <w:rFonts w:ascii="Times New Roman" w:hAnsi="Times New Roman" w:cs="Times New Roman"/>
          <w:sz w:val="28"/>
          <w:szCs w:val="28"/>
        </w:rPr>
        <w:t xml:space="preserve"> también</w:t>
      </w:r>
      <w:r w:rsidRPr="00D073E6">
        <w:rPr>
          <w:rFonts w:ascii="Times New Roman" w:hAnsi="Times New Roman" w:cs="Times New Roman"/>
          <w:sz w:val="28"/>
          <w:szCs w:val="28"/>
        </w:rPr>
        <w:t xml:space="preserve"> describe problemáticas relacionadas con los baldíos y </w:t>
      </w:r>
      <w:r w:rsidRPr="00D073E6">
        <w:rPr>
          <w:rFonts w:ascii="Times New Roman" w:hAnsi="Times New Roman" w:cs="Times New Roman"/>
          <w:sz w:val="28"/>
          <w:szCs w:val="28"/>
        </w:rPr>
        <w:t>“</w:t>
      </w:r>
      <w:r w:rsidRPr="00D073E6">
        <w:rPr>
          <w:rFonts w:ascii="Times New Roman" w:hAnsi="Times New Roman" w:cs="Times New Roman"/>
          <w:i/>
          <w:iCs/>
          <w:sz w:val="28"/>
          <w:szCs w:val="28"/>
        </w:rPr>
        <w:t>la necesidad de formalizar el uso de la tierra en zonas de reserva ambiental</w:t>
      </w:r>
      <w:r w:rsidRPr="00D073E6">
        <w:rPr>
          <w:rFonts w:ascii="Times New Roman" w:hAnsi="Times New Roman" w:cs="Times New Roman"/>
          <w:i/>
          <w:iCs/>
          <w:sz w:val="28"/>
          <w:szCs w:val="28"/>
        </w:rPr>
        <w:t>.</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39"/>
      </w:r>
      <w:r w:rsidRPr="00D073E6">
        <w:rPr>
          <w:rFonts w:ascii="Times New Roman" w:hAnsi="Times New Roman" w:cs="Times New Roman"/>
          <w:sz w:val="28"/>
          <w:szCs w:val="28"/>
        </w:rPr>
        <w:t xml:space="preserve"> Recordó que “</w:t>
      </w:r>
      <w:r w:rsidRPr="00D073E6">
        <w:rPr>
          <w:rFonts w:ascii="Times New Roman" w:hAnsi="Times New Roman" w:cs="Times New Roman"/>
          <w:i/>
          <w:iCs/>
          <w:sz w:val="28"/>
          <w:szCs w:val="28"/>
        </w:rPr>
        <w:t>la ministra de Agricultura y Desarrollo Sostenible</w:t>
      </w:r>
      <w:r w:rsidRPr="00D073E6">
        <w:rPr>
          <w:rFonts w:ascii="Times New Roman" w:hAnsi="Times New Roman" w:cs="Times New Roman"/>
          <w:i/>
          <w:iCs/>
          <w:sz w:val="28"/>
          <w:szCs w:val="28"/>
        </w:rPr>
        <w:t>,</w:t>
      </w:r>
      <w:r w:rsidRPr="00D073E6">
        <w:rPr>
          <w:rFonts w:ascii="Times New Roman" w:hAnsi="Times New Roman" w:cs="Times New Roman"/>
          <w:i/>
          <w:iCs/>
          <w:sz w:val="28"/>
          <w:szCs w:val="28"/>
        </w:rPr>
        <w:t xml:space="preserve"> en su intervención realizada durante la Plenaria del Senado del </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3 de mayo</w:t>
      </w:r>
      <w:r w:rsidRPr="00D073E6">
        <w:rPr>
          <w:rFonts w:ascii="Times New Roman" w:hAnsi="Times New Roman" w:cs="Times New Roman"/>
          <w:i/>
          <w:iCs/>
          <w:sz w:val="28"/>
          <w:szCs w:val="28"/>
        </w:rPr>
        <w:t xml:space="preserve">, </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explicó y sustentó la necesidad de establecer procedimientos agrarios más eficaces que pued</w:t>
      </w:r>
      <w:r w:rsidRPr="00D073E6">
        <w:rPr>
          <w:rFonts w:ascii="Times New Roman" w:hAnsi="Times New Roman" w:cs="Times New Roman"/>
          <w:i/>
          <w:iCs/>
          <w:sz w:val="28"/>
          <w:szCs w:val="28"/>
        </w:rPr>
        <w:t>a</w:t>
      </w:r>
      <w:r w:rsidRPr="00D073E6">
        <w:rPr>
          <w:rFonts w:ascii="Times New Roman" w:hAnsi="Times New Roman" w:cs="Times New Roman"/>
          <w:i/>
          <w:iCs/>
          <w:sz w:val="28"/>
          <w:szCs w:val="28"/>
        </w:rPr>
        <w:t xml:space="preserve">n partir de la </w:t>
      </w:r>
      <w:r w:rsidRPr="00D073E6">
        <w:rPr>
          <w:rFonts w:ascii="Times New Roman" w:hAnsi="Times New Roman" w:cs="Times New Roman"/>
          <w:i/>
          <w:iCs/>
          <w:sz w:val="28"/>
          <w:szCs w:val="28"/>
        </w:rPr>
        <w:t>dinamización de los procesos de compra de tierras, la adjudicación de baldíos y otros.</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0"/>
      </w:r>
    </w:p>
    <w:p w:rsidR="00B56C6E" w:rsidRPr="00D073E6" w:rsidRDefault="00D073E6" w:rsidP="00B56C6E">
      <w:pPr>
        <w:pStyle w:val="Prrafodelista"/>
        <w:rPr>
          <w:rFonts w:ascii="Times New Roman" w:hAnsi="Times New Roman" w:cs="Times New Roman"/>
          <w:b/>
          <w:bCs/>
          <w:i/>
          <w:iCs/>
          <w:sz w:val="28"/>
          <w:szCs w:val="28"/>
        </w:rPr>
      </w:pPr>
    </w:p>
    <w:p w:rsidR="00B56C6E"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 xml:space="preserve">Finalmente, argumentó que </w:t>
      </w:r>
      <w:r w:rsidRPr="00D073E6">
        <w:rPr>
          <w:rFonts w:ascii="Times New Roman" w:hAnsi="Times New Roman" w:cs="Times New Roman"/>
          <w:sz w:val="28"/>
          <w:szCs w:val="28"/>
        </w:rPr>
        <w:t>existe una conexidad directa e inmediata entre las normas atacadas y los objetivos, metas o estrategias de la parte general del Plan Naciona</w:t>
      </w:r>
      <w:r w:rsidRPr="00D073E6">
        <w:rPr>
          <w:rFonts w:ascii="Times New Roman" w:hAnsi="Times New Roman" w:cs="Times New Roman"/>
          <w:sz w:val="28"/>
          <w:szCs w:val="28"/>
        </w:rPr>
        <w:t>l de Desarrollo</w:t>
      </w:r>
      <w:r w:rsidRPr="00D073E6">
        <w:rPr>
          <w:rFonts w:ascii="Times New Roman" w:hAnsi="Times New Roman" w:cs="Times New Roman"/>
          <w:sz w:val="28"/>
          <w:szCs w:val="28"/>
        </w:rPr>
        <w:t>, en tanto que las modificaciones al Decreto Ley 902 de 2017</w:t>
      </w:r>
      <w:r w:rsidRPr="00D073E6">
        <w:rPr>
          <w:rFonts w:ascii="Times New Roman" w:hAnsi="Times New Roman" w:cs="Times New Roman"/>
          <w:sz w:val="28"/>
          <w:szCs w:val="28"/>
        </w:rPr>
        <w:t xml:space="preserve"> previstas en</w:t>
      </w:r>
      <w:r w:rsidRPr="00D073E6">
        <w:rPr>
          <w:rFonts w:ascii="Times New Roman" w:hAnsi="Times New Roman" w:cs="Times New Roman"/>
          <w:sz w:val="28"/>
          <w:szCs w:val="28"/>
        </w:rPr>
        <w:t xml:space="preserve"> los artículos</w:t>
      </w:r>
      <w:r w:rsidRPr="00D073E6">
        <w:rPr>
          <w:rFonts w:ascii="Times New Roman" w:hAnsi="Times New Roman" w:cs="Times New Roman"/>
          <w:sz w:val="28"/>
          <w:szCs w:val="28"/>
        </w:rPr>
        <w:t xml:space="preserve"> 57, 58, 59 y 61 de la Ley 2294 de 2023</w:t>
      </w:r>
      <w:r w:rsidRPr="00D073E6">
        <w:rPr>
          <w:rFonts w:ascii="Times New Roman" w:hAnsi="Times New Roman" w:cs="Times New Roman"/>
          <w:sz w:val="28"/>
          <w:szCs w:val="28"/>
        </w:rPr>
        <w:t>, son de carácter instrumental y no son aisladas</w:t>
      </w:r>
      <w:r w:rsidRPr="00D073E6">
        <w:rPr>
          <w:rFonts w:ascii="Times New Roman" w:hAnsi="Times New Roman" w:cs="Times New Roman"/>
          <w:sz w:val="28"/>
          <w:szCs w:val="28"/>
        </w:rPr>
        <w:t>. Lo anterior, porque</w:t>
      </w:r>
      <w:r w:rsidRPr="00D073E6">
        <w:rPr>
          <w:rFonts w:ascii="Times New Roman" w:hAnsi="Times New Roman" w:cs="Times New Roman"/>
          <w:sz w:val="28"/>
          <w:szCs w:val="28"/>
        </w:rPr>
        <w:t xml:space="preserve"> los asuntos de la tierra</w:t>
      </w:r>
      <w:r w:rsidRPr="00D073E6">
        <w:rPr>
          <w:rFonts w:ascii="Times New Roman" w:hAnsi="Times New Roman" w:cs="Times New Roman"/>
          <w:sz w:val="28"/>
          <w:szCs w:val="28"/>
        </w:rPr>
        <w:t xml:space="preserve"> son prioridad en la planeación para el cuatrienio</w:t>
      </w:r>
      <w:r w:rsidRPr="00D073E6">
        <w:rPr>
          <w:rFonts w:ascii="Times New Roman" w:hAnsi="Times New Roman" w:cs="Times New Roman"/>
          <w:sz w:val="28"/>
          <w:szCs w:val="28"/>
        </w:rPr>
        <w:t>. En esa</w:t>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medida “</w:t>
      </w:r>
      <w:r w:rsidRPr="00D073E6">
        <w:rPr>
          <w:rFonts w:ascii="Times New Roman" w:hAnsi="Times New Roman" w:cs="Times New Roman"/>
          <w:i/>
          <w:iCs/>
          <w:sz w:val="28"/>
          <w:szCs w:val="28"/>
        </w:rPr>
        <w:t xml:space="preserve">la modificación del procedimiento previsto en el Decreto Ley 902 de 2017 para los eventos </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centrados exclusiva,</w:t>
      </w:r>
      <w:r w:rsidRPr="00D073E6">
        <w:rPr>
          <w:rFonts w:ascii="Times New Roman" w:hAnsi="Times New Roman" w:cs="Times New Roman"/>
          <w:i/>
          <w:iCs/>
          <w:sz w:val="28"/>
          <w:szCs w:val="28"/>
        </w:rPr>
        <w:t xml:space="preserve"> </w:t>
      </w:r>
      <w:r w:rsidRPr="00D073E6">
        <w:rPr>
          <w:rFonts w:ascii="Times New Roman" w:hAnsi="Times New Roman" w:cs="Times New Roman"/>
          <w:i/>
          <w:iCs/>
          <w:sz w:val="28"/>
          <w:szCs w:val="28"/>
        </w:rPr>
        <w:t xml:space="preserve">ente </w:t>
      </w:r>
      <w:r w:rsidRPr="00D073E6">
        <w:rPr>
          <w:rFonts w:ascii="Times New Roman" w:hAnsi="Times New Roman" w:cs="Times New Roman"/>
          <w:i/>
          <w:iCs/>
          <w:sz w:val="28"/>
          <w:szCs w:val="28"/>
        </w:rPr>
        <w:t>en dos tipos de bienes -baldíos y tierras incultas-, se alinea con el</w:t>
      </w:r>
      <w:r w:rsidRPr="00D073E6">
        <w:rPr>
          <w:rFonts w:ascii="Times New Roman" w:hAnsi="Times New Roman" w:cs="Times New Roman"/>
          <w:i/>
          <w:iCs/>
          <w:sz w:val="28"/>
          <w:szCs w:val="28"/>
        </w:rPr>
        <w:t xml:space="preserve"> fin de garantizar el acceso a la tierra incorporado en las bases del PND, partiendo del reconocimiento de una problemática que se puede resolver a través de la priorización en la planificación realizada </w:t>
      </w:r>
      <w:r w:rsidRPr="00D073E6">
        <w:rPr>
          <w:rFonts w:ascii="Times New Roman" w:hAnsi="Times New Roman" w:cs="Times New Roman"/>
          <w:i/>
          <w:iCs/>
          <w:sz w:val="28"/>
          <w:szCs w:val="28"/>
        </w:rPr>
        <w:t>por el gobierno nacional entre 2022 y 20226.</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1"/>
      </w:r>
    </w:p>
    <w:p w:rsidR="00390A00" w:rsidRPr="00D073E6" w:rsidRDefault="00D073E6" w:rsidP="00390A00">
      <w:pPr>
        <w:pStyle w:val="Prrafodelista"/>
        <w:rPr>
          <w:rFonts w:ascii="Times New Roman" w:hAnsi="Times New Roman" w:cs="Times New Roman"/>
          <w:b/>
          <w:bCs/>
          <w:i/>
          <w:iCs/>
          <w:sz w:val="28"/>
          <w:szCs w:val="28"/>
        </w:rPr>
      </w:pPr>
    </w:p>
    <w:p w:rsidR="00390A00" w:rsidRPr="00D073E6" w:rsidRDefault="00D073E6" w:rsidP="00390A00">
      <w:pPr>
        <w:pStyle w:val="Prrafodelista"/>
        <w:tabs>
          <w:tab w:val="left" w:pos="426"/>
        </w:tabs>
        <w:ind w:left="0"/>
        <w:contextualSpacing w:val="0"/>
        <w:jc w:val="both"/>
        <w:rPr>
          <w:rFonts w:ascii="Times New Roman" w:hAnsi="Times New Roman" w:cs="Times New Roman"/>
          <w:b/>
          <w:bCs/>
          <w:i/>
          <w:iCs/>
          <w:sz w:val="28"/>
          <w:szCs w:val="28"/>
        </w:rPr>
      </w:pPr>
      <w:r w:rsidRPr="00D073E6">
        <w:rPr>
          <w:rFonts w:ascii="Times New Roman" w:hAnsi="Times New Roman" w:cs="Times New Roman"/>
          <w:b/>
          <w:bCs/>
          <w:i/>
          <w:iCs/>
          <w:sz w:val="28"/>
          <w:szCs w:val="28"/>
        </w:rPr>
        <w:t>Inte</w:t>
      </w:r>
      <w:r w:rsidRPr="00D073E6">
        <w:rPr>
          <w:rFonts w:ascii="Times New Roman" w:hAnsi="Times New Roman" w:cs="Times New Roman"/>
          <w:b/>
          <w:bCs/>
          <w:i/>
          <w:iCs/>
          <w:sz w:val="28"/>
          <w:szCs w:val="28"/>
        </w:rPr>
        <w:t>rvención del Colegio Colombiano de Abogados Administrativistas</w:t>
      </w:r>
    </w:p>
    <w:p w:rsidR="00DF66C9" w:rsidRPr="00D073E6" w:rsidRDefault="00D073E6" w:rsidP="00DF66C9">
      <w:pPr>
        <w:pStyle w:val="Prrafodelista"/>
        <w:rPr>
          <w:rFonts w:ascii="Times New Roman" w:hAnsi="Times New Roman" w:cs="Times New Roman"/>
          <w:b/>
          <w:bCs/>
          <w:i/>
          <w:iCs/>
          <w:sz w:val="28"/>
          <w:szCs w:val="28"/>
        </w:rPr>
      </w:pPr>
    </w:p>
    <w:p w:rsidR="00DF66C9" w:rsidRPr="00D073E6" w:rsidRDefault="00D073E6" w:rsidP="00885E88">
      <w:pPr>
        <w:pStyle w:val="Prrafodelista"/>
        <w:numPr>
          <w:ilvl w:val="0"/>
          <w:numId w:val="2"/>
        </w:numPr>
        <w:tabs>
          <w:tab w:val="left" w:pos="426"/>
        </w:tabs>
        <w:ind w:left="0" w:firstLine="0"/>
        <w:contextualSpacing w:val="0"/>
        <w:jc w:val="both"/>
        <w:rPr>
          <w:rFonts w:ascii="Times New Roman" w:hAnsi="Times New Roman" w:cs="Times New Roman"/>
          <w:b/>
          <w:bCs/>
          <w:i/>
          <w:iCs/>
          <w:sz w:val="28"/>
          <w:szCs w:val="28"/>
        </w:rPr>
      </w:pPr>
      <w:r w:rsidRPr="00D073E6">
        <w:rPr>
          <w:rFonts w:ascii="Times New Roman" w:hAnsi="Times New Roman" w:cs="Times New Roman"/>
          <w:sz w:val="28"/>
          <w:szCs w:val="28"/>
        </w:rPr>
        <w:t>Abogó por la declaratoria de inexequibilidad de la norma parcialmente demandada</w:t>
      </w:r>
      <w:r w:rsidRPr="00D073E6">
        <w:rPr>
          <w:rFonts w:ascii="Times New Roman" w:hAnsi="Times New Roman" w:cs="Times New Roman"/>
          <w:sz w:val="28"/>
          <w:szCs w:val="28"/>
        </w:rPr>
        <w:t xml:space="preserve">, porque consideró que esta es violatoria del principio de unidad de </w:t>
      </w:r>
      <w:r w:rsidRPr="00D073E6">
        <w:rPr>
          <w:rFonts w:ascii="Times New Roman" w:hAnsi="Times New Roman" w:cs="Times New Roman"/>
          <w:sz w:val="28"/>
          <w:szCs w:val="28"/>
        </w:rPr>
        <w:t xml:space="preserve">materia por su </w:t>
      </w:r>
      <w:r w:rsidRPr="00D073E6">
        <w:rPr>
          <w:rFonts w:ascii="Times New Roman" w:hAnsi="Times New Roman" w:cs="Times New Roman"/>
          <w:sz w:val="28"/>
          <w:szCs w:val="28"/>
        </w:rPr>
        <w:t xml:space="preserve">vocación de permanencia y en </w:t>
      </w:r>
      <w:r w:rsidRPr="00D073E6">
        <w:rPr>
          <w:rFonts w:ascii="Times New Roman" w:hAnsi="Times New Roman" w:cs="Times New Roman"/>
          <w:sz w:val="28"/>
          <w:szCs w:val="28"/>
        </w:rPr>
        <w:t>tanto que “</w:t>
      </w:r>
      <w:r w:rsidRPr="00D073E6">
        <w:rPr>
          <w:rFonts w:ascii="Times New Roman" w:hAnsi="Times New Roman" w:cs="Times New Roman"/>
          <w:i/>
          <w:iCs/>
          <w:sz w:val="28"/>
          <w:szCs w:val="28"/>
        </w:rPr>
        <w:t>resulta claro que con la misma se busca superar un vacío en cuanto a agilizar procedimientos, así mismo se restringe el principio democrático</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2"/>
      </w:r>
      <w:r w:rsidRPr="00D073E6">
        <w:rPr>
          <w:rFonts w:ascii="Times New Roman" w:hAnsi="Times New Roman" w:cs="Times New Roman"/>
          <w:sz w:val="28"/>
          <w:szCs w:val="28"/>
        </w:rPr>
        <w:t xml:space="preserve"> </w:t>
      </w:r>
      <w:r w:rsidRPr="00D073E6">
        <w:rPr>
          <w:rFonts w:ascii="Times New Roman" w:hAnsi="Times New Roman" w:cs="Times New Roman"/>
          <w:sz w:val="28"/>
          <w:szCs w:val="28"/>
        </w:rPr>
        <w:t xml:space="preserve">y se modifica </w:t>
      </w:r>
      <w:r w:rsidRPr="00D073E6">
        <w:rPr>
          <w:rFonts w:ascii="Times New Roman" w:hAnsi="Times New Roman" w:cs="Times New Roman"/>
          <w:sz w:val="28"/>
          <w:szCs w:val="28"/>
        </w:rPr>
        <w:t>la legislación expedida para cumplir el Acuerdo Final.</w:t>
      </w:r>
    </w:p>
    <w:p w:rsidR="00DF66C9" w:rsidRPr="00D073E6" w:rsidRDefault="00D073E6" w:rsidP="00DF66C9">
      <w:pPr>
        <w:pStyle w:val="Prrafodelista"/>
        <w:ind w:left="360"/>
        <w:rPr>
          <w:rFonts w:ascii="Times New Roman" w:hAnsi="Times New Roman" w:cs="Times New Roman"/>
          <w:b/>
          <w:bCs/>
          <w:i/>
          <w:iCs/>
          <w:sz w:val="28"/>
          <w:szCs w:val="28"/>
        </w:rPr>
      </w:pPr>
    </w:p>
    <w:p w:rsidR="00DF66C9" w:rsidRPr="00D073E6" w:rsidRDefault="00D073E6" w:rsidP="00EE7C21">
      <w:pPr>
        <w:pStyle w:val="Prrafodelista"/>
        <w:numPr>
          <w:ilvl w:val="0"/>
          <w:numId w:val="3"/>
        </w:numPr>
        <w:tabs>
          <w:tab w:val="left" w:pos="426"/>
        </w:tabs>
        <w:ind w:left="0" w:firstLine="0"/>
        <w:jc w:val="both"/>
        <w:rPr>
          <w:rFonts w:ascii="Times New Roman" w:hAnsi="Times New Roman" w:cs="Times New Roman"/>
          <w:b/>
          <w:bCs/>
          <w:sz w:val="28"/>
          <w:szCs w:val="28"/>
          <w:u w:val="single"/>
        </w:rPr>
      </w:pPr>
      <w:r w:rsidRPr="00D073E6">
        <w:rPr>
          <w:rFonts w:ascii="Times New Roman" w:hAnsi="Times New Roman" w:cs="Times New Roman"/>
          <w:b/>
          <w:bCs/>
          <w:sz w:val="28"/>
          <w:szCs w:val="28"/>
          <w:u w:val="single"/>
        </w:rPr>
        <w:t>C</w:t>
      </w:r>
      <w:r w:rsidRPr="00D073E6">
        <w:rPr>
          <w:rFonts w:ascii="Times New Roman" w:hAnsi="Times New Roman" w:cs="Times New Roman"/>
          <w:b/>
          <w:bCs/>
          <w:sz w:val="28"/>
          <w:szCs w:val="28"/>
          <w:u w:val="single"/>
        </w:rPr>
        <w:t xml:space="preserve">oncepto de la </w:t>
      </w:r>
      <w:r w:rsidRPr="00D073E6">
        <w:rPr>
          <w:rFonts w:ascii="Times New Roman" w:hAnsi="Times New Roman" w:cs="Times New Roman"/>
          <w:b/>
          <w:bCs/>
          <w:sz w:val="28"/>
          <w:szCs w:val="28"/>
          <w:u w:val="single"/>
        </w:rPr>
        <w:t>p</w:t>
      </w:r>
      <w:r w:rsidRPr="00D073E6">
        <w:rPr>
          <w:rFonts w:ascii="Times New Roman" w:hAnsi="Times New Roman" w:cs="Times New Roman"/>
          <w:b/>
          <w:bCs/>
          <w:sz w:val="28"/>
          <w:szCs w:val="28"/>
          <w:u w:val="single"/>
        </w:rPr>
        <w:t xml:space="preserve">rocuradora General de la Nación </w:t>
      </w:r>
    </w:p>
    <w:p w:rsidR="00DF66C9" w:rsidRPr="00D073E6" w:rsidRDefault="00D073E6" w:rsidP="00DF66C9">
      <w:pPr>
        <w:rPr>
          <w:rStyle w:val="eop"/>
          <w:rFonts w:ascii="Times New Roman" w:hAnsi="Times New Roman" w:cs="Times New Roman"/>
          <w:b/>
          <w:bCs/>
          <w:i/>
          <w:iCs/>
          <w:sz w:val="28"/>
          <w:szCs w:val="28"/>
        </w:rPr>
      </w:pPr>
    </w:p>
    <w:p w:rsidR="00DF66C9" w:rsidRPr="00D073E6" w:rsidRDefault="00D073E6" w:rsidP="00DD0F7A">
      <w:pPr>
        <w:pStyle w:val="Prrafodelista"/>
        <w:widowControl w:val="0"/>
        <w:numPr>
          <w:ilvl w:val="0"/>
          <w:numId w:val="2"/>
        </w:numPr>
        <w:tabs>
          <w:tab w:val="left" w:pos="709"/>
        </w:tabs>
        <w:ind w:left="0" w:firstLine="0"/>
        <w:contextualSpacing w:val="0"/>
        <w:jc w:val="both"/>
        <w:rPr>
          <w:rFonts w:ascii="Times New Roman" w:hAnsi="Times New Roman" w:cs="Times New Roman"/>
          <w:b/>
          <w:bCs/>
          <w:sz w:val="28"/>
          <w:szCs w:val="28"/>
        </w:rPr>
      </w:pPr>
      <w:r w:rsidRPr="00D073E6">
        <w:rPr>
          <w:rFonts w:ascii="Times New Roman" w:hAnsi="Times New Roman" w:cs="Times New Roman"/>
          <w:sz w:val="28"/>
          <w:szCs w:val="28"/>
          <w:shd w:val="clear" w:color="auto" w:fill="FFFFFF"/>
          <w:lang w:val="es-ES_tradnl"/>
        </w:rPr>
        <w:t xml:space="preserve">La </w:t>
      </w:r>
      <w:r w:rsidRPr="00D073E6">
        <w:rPr>
          <w:rFonts w:ascii="Times New Roman" w:hAnsi="Times New Roman" w:cs="Times New Roman"/>
          <w:sz w:val="28"/>
          <w:szCs w:val="28"/>
          <w:shd w:val="clear" w:color="auto" w:fill="FFFFFF"/>
          <w:lang w:val="es-ES_tradnl"/>
        </w:rPr>
        <w:t>P</w:t>
      </w:r>
      <w:r w:rsidRPr="00D073E6">
        <w:rPr>
          <w:rFonts w:ascii="Times New Roman" w:hAnsi="Times New Roman" w:cs="Times New Roman"/>
          <w:sz w:val="28"/>
          <w:szCs w:val="28"/>
          <w:shd w:val="clear" w:color="auto" w:fill="FFFFFF"/>
          <w:lang w:val="es-ES_tradnl"/>
        </w:rPr>
        <w:t>rocuradora General de la Nación solicit</w:t>
      </w:r>
      <w:r w:rsidRPr="00D073E6">
        <w:rPr>
          <w:rFonts w:ascii="Times New Roman" w:hAnsi="Times New Roman" w:cs="Times New Roman"/>
          <w:sz w:val="28"/>
          <w:szCs w:val="28"/>
          <w:shd w:val="clear" w:color="auto" w:fill="FFFFFF"/>
          <w:lang w:val="es-ES_tradnl"/>
        </w:rPr>
        <w:t>ó</w:t>
      </w:r>
      <w:r w:rsidRPr="00D073E6">
        <w:rPr>
          <w:rFonts w:ascii="Times New Roman" w:hAnsi="Times New Roman" w:cs="Times New Roman"/>
          <w:sz w:val="28"/>
          <w:szCs w:val="28"/>
          <w:shd w:val="clear" w:color="auto" w:fill="FFFFFF"/>
          <w:lang w:val="es-ES_tradnl"/>
        </w:rPr>
        <w:t xml:space="preserve"> a la Corte Constitucional declarar la inexequibilidad de</w:t>
      </w:r>
      <w:r w:rsidRPr="00D073E6">
        <w:rPr>
          <w:rFonts w:ascii="Times New Roman" w:hAnsi="Times New Roman" w:cs="Times New Roman"/>
          <w:sz w:val="28"/>
          <w:szCs w:val="28"/>
        </w:rPr>
        <w:t xml:space="preserve">l numeral </w:t>
      </w:r>
      <w:r w:rsidRPr="00D073E6">
        <w:rPr>
          <w:rFonts w:ascii="Times New Roman" w:hAnsi="Times New Roman" w:cs="Times New Roman"/>
          <w:sz w:val="28"/>
          <w:szCs w:val="28"/>
        </w:rPr>
        <w:t>6</w:t>
      </w:r>
      <w:r w:rsidRPr="00D073E6">
        <w:rPr>
          <w:rFonts w:ascii="Times New Roman" w:hAnsi="Times New Roman" w:cs="Times New Roman"/>
          <w:sz w:val="28"/>
          <w:szCs w:val="28"/>
        </w:rPr>
        <w:t xml:space="preserve"> y el parágrafo </w:t>
      </w:r>
      <w:r w:rsidRPr="00D073E6">
        <w:rPr>
          <w:rFonts w:ascii="Times New Roman" w:hAnsi="Times New Roman" w:cs="Times New Roman"/>
          <w:sz w:val="28"/>
          <w:szCs w:val="28"/>
        </w:rPr>
        <w:t>3°</w:t>
      </w:r>
      <w:r w:rsidRPr="00D073E6">
        <w:rPr>
          <w:rFonts w:ascii="Times New Roman" w:hAnsi="Times New Roman" w:cs="Times New Roman"/>
          <w:sz w:val="28"/>
          <w:szCs w:val="28"/>
        </w:rPr>
        <w:t xml:space="preserve"> del artículo 61 de la Ley 2294 de 2023</w:t>
      </w:r>
      <w:r w:rsidRPr="00D073E6">
        <w:rPr>
          <w:rFonts w:ascii="Times New Roman" w:hAnsi="Times New Roman" w:cs="Times New Roman"/>
          <w:sz w:val="28"/>
          <w:szCs w:val="28"/>
        </w:rPr>
        <w:t xml:space="preserve"> porque “</w:t>
      </w:r>
      <w:r w:rsidRPr="00D073E6">
        <w:rPr>
          <w:rFonts w:ascii="Times New Roman" w:hAnsi="Times New Roman" w:cs="Times New Roman"/>
          <w:i/>
          <w:iCs/>
          <w:sz w:val="28"/>
          <w:szCs w:val="28"/>
        </w:rPr>
        <w:t xml:space="preserve">si bien es posible identificar alguna </w:t>
      </w:r>
      <w:r w:rsidRPr="00D073E6">
        <w:rPr>
          <w:rFonts w:ascii="Times New Roman" w:hAnsi="Times New Roman" w:cs="Times New Roman"/>
          <w:i/>
          <w:iCs/>
          <w:sz w:val="28"/>
          <w:szCs w:val="28"/>
        </w:rPr>
        <w:t>conexidad entre los apartes normativos acusados y las metas del Plan Nacional de Desarrollo 2022-2026, lo cierto es que dicha relación no es ‘directa e inmediata’, en tanto no se aviene con los requerimientos de motivación, temporalidad e idoneidad exigibl</w:t>
      </w:r>
      <w:r w:rsidRPr="00D073E6">
        <w:rPr>
          <w:rFonts w:ascii="Times New Roman" w:hAnsi="Times New Roman" w:cs="Times New Roman"/>
          <w:i/>
          <w:iCs/>
          <w:sz w:val="28"/>
          <w:szCs w:val="28"/>
        </w:rPr>
        <w:t>es</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3"/>
      </w:r>
      <w:r w:rsidRPr="00D073E6">
        <w:rPr>
          <w:rFonts w:ascii="Times New Roman" w:hAnsi="Times New Roman" w:cs="Times New Roman"/>
          <w:sz w:val="28"/>
          <w:szCs w:val="28"/>
        </w:rPr>
        <w:t>.</w:t>
      </w:r>
    </w:p>
    <w:p w:rsidR="00F31ABB" w:rsidRPr="00D073E6" w:rsidRDefault="00D073E6" w:rsidP="00F31ABB">
      <w:pPr>
        <w:pStyle w:val="Prrafodelista"/>
        <w:widowControl w:val="0"/>
        <w:tabs>
          <w:tab w:val="left" w:pos="709"/>
        </w:tabs>
        <w:ind w:left="0"/>
        <w:contextualSpacing w:val="0"/>
        <w:jc w:val="both"/>
        <w:rPr>
          <w:rFonts w:ascii="Times New Roman" w:hAnsi="Times New Roman" w:cs="Times New Roman"/>
          <w:b/>
          <w:bCs/>
          <w:sz w:val="28"/>
          <w:szCs w:val="28"/>
        </w:rPr>
      </w:pPr>
    </w:p>
    <w:p w:rsidR="00E147BA" w:rsidRPr="00D073E6" w:rsidRDefault="00D073E6" w:rsidP="00C85D6A">
      <w:pPr>
        <w:pStyle w:val="Prrafodelista"/>
        <w:widowControl w:val="0"/>
        <w:numPr>
          <w:ilvl w:val="0"/>
          <w:numId w:val="2"/>
        </w:numPr>
        <w:tabs>
          <w:tab w:val="left" w:pos="709"/>
        </w:tabs>
        <w:ind w:left="0" w:firstLine="0"/>
        <w:contextualSpacing w:val="0"/>
        <w:jc w:val="both"/>
        <w:rPr>
          <w:rFonts w:ascii="Times New Roman" w:hAnsi="Times New Roman" w:cs="Times New Roman"/>
          <w:b/>
          <w:bCs/>
          <w:sz w:val="28"/>
          <w:szCs w:val="28"/>
        </w:rPr>
      </w:pPr>
      <w:r w:rsidRPr="00D073E6">
        <w:rPr>
          <w:rFonts w:ascii="Times New Roman" w:hAnsi="Times New Roman" w:cs="Times New Roman"/>
          <w:sz w:val="28"/>
          <w:szCs w:val="28"/>
        </w:rPr>
        <w:t xml:space="preserve">A su juicio, </w:t>
      </w:r>
      <w:r w:rsidRPr="00D073E6">
        <w:rPr>
          <w:rFonts w:ascii="Times New Roman" w:hAnsi="Times New Roman" w:cs="Times New Roman"/>
          <w:sz w:val="28"/>
          <w:szCs w:val="28"/>
        </w:rPr>
        <w:t>la desjudicialización de algunas etapas de los procesos especiales agrarios guarda relación con el eje de transformación llamado “ordenamiento territorial alrededor del agua”</w:t>
      </w:r>
      <w:r w:rsidRPr="00D073E6">
        <w:rPr>
          <w:rFonts w:ascii="Times New Roman" w:hAnsi="Times New Roman" w:cs="Times New Roman"/>
          <w:sz w:val="28"/>
          <w:szCs w:val="28"/>
        </w:rPr>
        <w:t>. Dicha transformación</w:t>
      </w:r>
      <w:r w:rsidRPr="00D073E6">
        <w:rPr>
          <w:rFonts w:ascii="Times New Roman" w:hAnsi="Times New Roman" w:cs="Times New Roman"/>
          <w:sz w:val="28"/>
          <w:szCs w:val="28"/>
        </w:rPr>
        <w:t xml:space="preserve"> “</w:t>
      </w:r>
      <w:r w:rsidRPr="00D073E6">
        <w:rPr>
          <w:rFonts w:ascii="Times New Roman" w:hAnsi="Times New Roman" w:cs="Times New Roman"/>
          <w:i/>
          <w:iCs/>
          <w:sz w:val="28"/>
          <w:szCs w:val="28"/>
        </w:rPr>
        <w:t xml:space="preserve">incentiva la adopción de mecanismos </w:t>
      </w:r>
      <w:r w:rsidRPr="00D073E6">
        <w:rPr>
          <w:rFonts w:ascii="Times New Roman" w:hAnsi="Times New Roman" w:cs="Times New Roman"/>
          <w:i/>
          <w:iCs/>
          <w:sz w:val="28"/>
          <w:szCs w:val="28"/>
        </w:rPr>
        <w:t>dirigidos a optimizar el acceso a la tierra de la población campesina</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4"/>
      </w:r>
      <w:r w:rsidRPr="00D073E6">
        <w:rPr>
          <w:rFonts w:ascii="Times New Roman" w:hAnsi="Times New Roman" w:cs="Times New Roman"/>
          <w:sz w:val="28"/>
          <w:szCs w:val="28"/>
        </w:rPr>
        <w:t>, entre otros aspectos. “</w:t>
      </w:r>
      <w:r w:rsidRPr="00D073E6">
        <w:rPr>
          <w:rFonts w:ascii="Times New Roman" w:hAnsi="Times New Roman" w:cs="Times New Roman"/>
          <w:i/>
          <w:iCs/>
          <w:sz w:val="28"/>
          <w:szCs w:val="28"/>
        </w:rPr>
        <w:t>Sin embargo, la referida conexidad es genérica e hipotética, en tanto no puede in</w:t>
      </w:r>
      <w:r w:rsidRPr="00D073E6">
        <w:rPr>
          <w:rFonts w:ascii="Times New Roman" w:hAnsi="Times New Roman" w:cs="Times New Roman"/>
          <w:i/>
          <w:iCs/>
          <w:sz w:val="28"/>
          <w:szCs w:val="28"/>
        </w:rPr>
        <w:t>ferirse que cualquier modificación a los procesos agrarios especiales cumple co</w:t>
      </w:r>
      <w:r w:rsidRPr="00D073E6">
        <w:rPr>
          <w:rFonts w:ascii="Times New Roman" w:hAnsi="Times New Roman" w:cs="Times New Roman"/>
          <w:i/>
          <w:iCs/>
          <w:sz w:val="28"/>
          <w:szCs w:val="28"/>
        </w:rPr>
        <w:t>n el propósito de optimizar el acceso de la población campesina a la tierra</w:t>
      </w:r>
      <w:r w:rsidRPr="00D073E6">
        <w:rPr>
          <w:rFonts w:ascii="Times New Roman" w:hAnsi="Times New Roman" w:cs="Times New Roman"/>
          <w:i/>
          <w:iCs/>
          <w:sz w:val="28"/>
          <w:szCs w:val="28"/>
        </w:rPr>
        <w:t>, ya que para llegar a dicha conclusión razonablemente se requiere una justificación técnica de la enmienda</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5"/>
      </w:r>
      <w:r w:rsidRPr="00D073E6">
        <w:rPr>
          <w:rFonts w:ascii="Times New Roman" w:hAnsi="Times New Roman" w:cs="Times New Roman"/>
          <w:sz w:val="28"/>
          <w:szCs w:val="28"/>
        </w:rPr>
        <w:t>, la cual no se dio en el seno del debate legislativo.</w:t>
      </w:r>
      <w:r w:rsidRPr="00D073E6">
        <w:rPr>
          <w:rFonts w:ascii="Times New Roman" w:hAnsi="Times New Roman" w:cs="Times New Roman"/>
          <w:b/>
          <w:bCs/>
          <w:sz w:val="28"/>
          <w:szCs w:val="28"/>
        </w:rPr>
        <w:t xml:space="preserve"> </w:t>
      </w:r>
      <w:r w:rsidRPr="00D073E6">
        <w:rPr>
          <w:rFonts w:ascii="Times New Roman" w:hAnsi="Times New Roman" w:cs="Times New Roman"/>
          <w:sz w:val="28"/>
          <w:szCs w:val="28"/>
        </w:rPr>
        <w:t>Al déficit de jus</w:t>
      </w:r>
      <w:r w:rsidRPr="00D073E6">
        <w:rPr>
          <w:rFonts w:ascii="Times New Roman" w:hAnsi="Times New Roman" w:cs="Times New Roman"/>
          <w:sz w:val="28"/>
          <w:szCs w:val="28"/>
        </w:rPr>
        <w:t xml:space="preserve">tificación, sumó </w:t>
      </w:r>
      <w:r w:rsidRPr="00D073E6">
        <w:rPr>
          <w:rFonts w:ascii="Times New Roman" w:hAnsi="Times New Roman" w:cs="Times New Roman"/>
          <w:sz w:val="28"/>
          <w:szCs w:val="28"/>
        </w:rPr>
        <w:t>que “</w:t>
      </w:r>
      <w:r w:rsidRPr="00D073E6">
        <w:rPr>
          <w:rFonts w:ascii="Times New Roman" w:hAnsi="Times New Roman" w:cs="Times New Roman"/>
          <w:i/>
          <w:iCs/>
          <w:sz w:val="28"/>
          <w:szCs w:val="28"/>
        </w:rPr>
        <w:t>las disposiciones reprochadas tampoco se ajustan a la naturaleza temporal de los preceptos contenidos en las leyes aprobatorias de los planes nacionales de desarrollo.</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6"/>
      </w:r>
    </w:p>
    <w:p w:rsidR="00BC10FA" w:rsidRPr="00D073E6" w:rsidRDefault="00D073E6" w:rsidP="00BC10FA">
      <w:pPr>
        <w:pStyle w:val="Prrafodelista"/>
        <w:rPr>
          <w:rFonts w:ascii="Times New Roman" w:hAnsi="Times New Roman" w:cs="Times New Roman"/>
          <w:b/>
          <w:bCs/>
          <w:sz w:val="28"/>
          <w:szCs w:val="28"/>
        </w:rPr>
      </w:pPr>
    </w:p>
    <w:p w:rsidR="00BC10FA" w:rsidRPr="00D073E6" w:rsidRDefault="00D073E6" w:rsidP="00BC10FA">
      <w:pPr>
        <w:pStyle w:val="Prrafodelista"/>
        <w:widowControl w:val="0"/>
        <w:numPr>
          <w:ilvl w:val="0"/>
          <w:numId w:val="2"/>
        </w:numPr>
        <w:tabs>
          <w:tab w:val="left" w:pos="709"/>
        </w:tabs>
        <w:ind w:left="0" w:firstLine="0"/>
        <w:contextualSpacing w:val="0"/>
        <w:jc w:val="both"/>
        <w:rPr>
          <w:rFonts w:ascii="Times New Roman" w:hAnsi="Times New Roman" w:cs="Times New Roman"/>
          <w:b/>
          <w:bCs/>
          <w:sz w:val="28"/>
          <w:szCs w:val="28"/>
        </w:rPr>
      </w:pPr>
      <w:r w:rsidRPr="00D073E6">
        <w:rPr>
          <w:rFonts w:ascii="Times New Roman" w:hAnsi="Times New Roman" w:cs="Times New Roman"/>
          <w:sz w:val="28"/>
          <w:szCs w:val="28"/>
        </w:rPr>
        <w:t>Finalmente, a</w:t>
      </w:r>
      <w:r w:rsidRPr="00D073E6">
        <w:rPr>
          <w:rFonts w:ascii="Times New Roman" w:hAnsi="Times New Roman" w:cs="Times New Roman"/>
          <w:sz w:val="28"/>
          <w:szCs w:val="28"/>
        </w:rPr>
        <w:t>dujo que “</w:t>
      </w:r>
      <w:r w:rsidRPr="00D073E6">
        <w:rPr>
          <w:rFonts w:ascii="Times New Roman" w:hAnsi="Times New Roman" w:cs="Times New Roman"/>
          <w:i/>
          <w:iCs/>
          <w:sz w:val="28"/>
          <w:szCs w:val="28"/>
        </w:rPr>
        <w:t xml:space="preserve">los preceptos acusados no se presentan </w:t>
      </w:r>
      <w:r w:rsidRPr="00D073E6">
        <w:rPr>
          <w:rFonts w:ascii="Times New Roman" w:hAnsi="Times New Roman" w:cs="Times New Roman"/>
          <w:i/>
          <w:iCs/>
          <w:sz w:val="28"/>
          <w:szCs w:val="28"/>
        </w:rPr>
        <w:t>consonantes con las políticas del Gobierno Nacional dirigidas a implementar y fortalecer la Jurisdicción Ordinaria Agraria en cumplimiento del Acuerdo Final.</w:t>
      </w:r>
      <w:r w:rsidRPr="00D073E6">
        <w:rPr>
          <w:rFonts w:ascii="Times New Roman" w:hAnsi="Times New Roman" w:cs="Times New Roman"/>
          <w:sz w:val="28"/>
          <w:szCs w:val="28"/>
        </w:rPr>
        <w:t>”</w:t>
      </w:r>
      <w:r w:rsidRPr="00D073E6">
        <w:rPr>
          <w:rStyle w:val="Refdenotaalpie"/>
          <w:rFonts w:ascii="Times New Roman" w:hAnsi="Times New Roman" w:cs="Times New Roman"/>
          <w:sz w:val="28"/>
          <w:szCs w:val="28"/>
        </w:rPr>
        <w:footnoteReference w:id="47"/>
      </w:r>
    </w:p>
    <w:p w:rsidR="009E4A83" w:rsidRPr="00D073E6" w:rsidRDefault="00D073E6" w:rsidP="009E4A83">
      <w:pPr>
        <w:rPr>
          <w:rFonts w:ascii="Times New Roman" w:hAnsi="Times New Roman" w:cs="Times New Roman"/>
          <w:b/>
          <w:bCs/>
          <w:sz w:val="28"/>
          <w:szCs w:val="28"/>
        </w:rPr>
      </w:pPr>
    </w:p>
    <w:p w:rsidR="009E4A83" w:rsidRPr="00D073E6" w:rsidRDefault="00D073E6" w:rsidP="009E4A83">
      <w:pPr>
        <w:pStyle w:val="Prrafodelista"/>
        <w:numPr>
          <w:ilvl w:val="0"/>
          <w:numId w:val="3"/>
        </w:numPr>
        <w:tabs>
          <w:tab w:val="left" w:pos="426"/>
        </w:tabs>
        <w:ind w:left="0" w:firstLine="0"/>
        <w:jc w:val="both"/>
        <w:rPr>
          <w:rFonts w:ascii="Times New Roman" w:hAnsi="Times New Roman" w:cs="Times New Roman"/>
          <w:b/>
          <w:bCs/>
          <w:sz w:val="28"/>
          <w:szCs w:val="28"/>
          <w:u w:val="single"/>
        </w:rPr>
      </w:pPr>
      <w:r w:rsidRPr="00D073E6">
        <w:rPr>
          <w:rFonts w:ascii="Times New Roman" w:hAnsi="Times New Roman" w:cs="Times New Roman"/>
          <w:b/>
          <w:bCs/>
          <w:sz w:val="28"/>
          <w:szCs w:val="28"/>
          <w:u w:val="single"/>
        </w:rPr>
        <w:t>Síntesis de las intervenciones y conceptos</w:t>
      </w:r>
    </w:p>
    <w:p w:rsidR="009E4A83" w:rsidRPr="00D073E6" w:rsidRDefault="00D073E6" w:rsidP="009E4A83">
      <w:pPr>
        <w:rPr>
          <w:rFonts w:ascii="Times New Roman" w:hAnsi="Times New Roman" w:cs="Times New Roman"/>
          <w:b/>
          <w:bCs/>
          <w:sz w:val="28"/>
          <w:szCs w:val="28"/>
        </w:rPr>
      </w:pPr>
    </w:p>
    <w:p w:rsidR="009E4A83" w:rsidRPr="00D073E6" w:rsidRDefault="00D073E6" w:rsidP="00BC10FA">
      <w:pPr>
        <w:pStyle w:val="Prrafodelista"/>
        <w:widowControl w:val="0"/>
        <w:numPr>
          <w:ilvl w:val="0"/>
          <w:numId w:val="2"/>
        </w:numPr>
        <w:tabs>
          <w:tab w:val="left" w:pos="709"/>
        </w:tabs>
        <w:ind w:left="0" w:firstLine="0"/>
        <w:contextualSpacing w:val="0"/>
        <w:jc w:val="both"/>
        <w:rPr>
          <w:rFonts w:ascii="Times New Roman" w:hAnsi="Times New Roman" w:cs="Times New Roman"/>
          <w:b/>
          <w:bCs/>
          <w:sz w:val="28"/>
          <w:szCs w:val="28"/>
        </w:rPr>
      </w:pPr>
      <w:r w:rsidRPr="00D073E6">
        <w:rPr>
          <w:rFonts w:ascii="Times New Roman" w:hAnsi="Times New Roman" w:cs="Times New Roman"/>
          <w:sz w:val="28"/>
          <w:szCs w:val="28"/>
        </w:rPr>
        <w:t>E</w:t>
      </w:r>
      <w:r w:rsidRPr="00D073E6">
        <w:rPr>
          <w:rFonts w:ascii="Times New Roman" w:hAnsi="Times New Roman" w:cs="Times New Roman"/>
          <w:sz w:val="28"/>
          <w:szCs w:val="28"/>
        </w:rPr>
        <w:t xml:space="preserve">l cuadro que se presenta a continuación sintetiza </w:t>
      </w:r>
      <w:r w:rsidRPr="00D073E6">
        <w:rPr>
          <w:rFonts w:ascii="Times New Roman" w:hAnsi="Times New Roman" w:cs="Times New Roman"/>
          <w:sz w:val="28"/>
          <w:szCs w:val="28"/>
        </w:rPr>
        <w:t>l</w:t>
      </w:r>
      <w:r w:rsidRPr="00D073E6">
        <w:rPr>
          <w:rFonts w:ascii="Times New Roman" w:hAnsi="Times New Roman" w:cs="Times New Roman"/>
          <w:sz w:val="28"/>
          <w:szCs w:val="28"/>
        </w:rPr>
        <w:t>as intervenciones oficiales, las intervenciones ciudadanas, los conceptos técnicos y el concepto del Ministerio Público</w:t>
      </w:r>
      <w:r w:rsidRPr="00D073E6">
        <w:rPr>
          <w:rFonts w:ascii="Times New Roman" w:hAnsi="Times New Roman" w:cs="Times New Roman"/>
          <w:sz w:val="28"/>
          <w:szCs w:val="28"/>
        </w:rPr>
        <w:t xml:space="preserve"> recibidos en el curso del proceso</w:t>
      </w:r>
      <w:r w:rsidRPr="00D073E6">
        <w:rPr>
          <w:rFonts w:ascii="Times New Roman" w:hAnsi="Times New Roman" w:cs="Times New Roman"/>
          <w:sz w:val="28"/>
          <w:szCs w:val="28"/>
        </w:rPr>
        <w:t>:</w:t>
      </w:r>
    </w:p>
    <w:p w:rsidR="003B753A" w:rsidRPr="00D073E6" w:rsidRDefault="00D073E6" w:rsidP="003B753A">
      <w:pPr>
        <w:pStyle w:val="Prrafodelista"/>
        <w:widowControl w:val="0"/>
        <w:tabs>
          <w:tab w:val="left" w:pos="709"/>
        </w:tabs>
        <w:ind w:left="0"/>
        <w:contextualSpacing w:val="0"/>
        <w:jc w:val="both"/>
        <w:rPr>
          <w:rFonts w:ascii="Times New Roman" w:hAnsi="Times New Roman" w:cs="Times New Roman"/>
          <w:sz w:val="28"/>
          <w:szCs w:val="28"/>
        </w:rPr>
      </w:pPr>
    </w:p>
    <w:p w:rsidR="003B753A" w:rsidRPr="00D073E6" w:rsidRDefault="00D073E6" w:rsidP="003B753A">
      <w:pPr>
        <w:pStyle w:val="Ttulo3"/>
        <w:spacing w:before="0"/>
        <w:jc w:val="center"/>
        <w:rPr>
          <w:rFonts w:ascii="Times New Roman" w:hAnsi="Times New Roman" w:cs="Times New Roman"/>
          <w:b/>
          <w:bCs/>
          <w:i/>
          <w:iCs/>
          <w:color w:val="auto"/>
        </w:rPr>
      </w:pPr>
      <w:r w:rsidRPr="00D073E6">
        <w:rPr>
          <w:rFonts w:ascii="Times New Roman" w:hAnsi="Times New Roman" w:cs="Times New Roman"/>
          <w:b/>
          <w:bCs/>
          <w:i/>
          <w:iCs/>
          <w:color w:val="auto"/>
        </w:rPr>
        <w:t xml:space="preserve">Tabla </w:t>
      </w:r>
      <w:r w:rsidRPr="00D073E6">
        <w:rPr>
          <w:rFonts w:ascii="Times New Roman" w:hAnsi="Times New Roman" w:cs="Times New Roman"/>
          <w:b/>
          <w:bCs/>
          <w:i/>
          <w:iCs/>
          <w:color w:val="auto"/>
        </w:rPr>
        <w:t>2</w:t>
      </w:r>
      <w:r w:rsidRPr="00D073E6">
        <w:rPr>
          <w:rFonts w:ascii="Times New Roman" w:hAnsi="Times New Roman" w:cs="Times New Roman"/>
          <w:b/>
          <w:bCs/>
          <w:i/>
          <w:iCs/>
          <w:color w:val="auto"/>
        </w:rPr>
        <w:t xml:space="preserve"> – </w:t>
      </w:r>
      <w:r w:rsidRPr="00D073E6">
        <w:rPr>
          <w:rFonts w:ascii="Times New Roman" w:hAnsi="Times New Roman" w:cs="Times New Roman"/>
          <w:b/>
          <w:bCs/>
          <w:i/>
          <w:iCs/>
          <w:color w:val="auto"/>
        </w:rPr>
        <w:t>Síntesis de las intervenciones</w:t>
      </w:r>
    </w:p>
    <w:p w:rsidR="002963E1" w:rsidRPr="00D073E6" w:rsidRDefault="00D073E6" w:rsidP="002963E1">
      <w:pPr>
        <w:rPr>
          <w:rFonts w:ascii="Times New Roman" w:hAnsi="Times New Roman" w:cs="Times New Roman"/>
          <w:sz w:val="28"/>
        </w:rPr>
      </w:pPr>
    </w:p>
    <w:tbl>
      <w:tblPr>
        <w:tblStyle w:val="Tablaconcuadrcula"/>
        <w:tblW w:w="0" w:type="auto"/>
        <w:tblLook w:val="04A0" w:firstRow="1" w:lastRow="0" w:firstColumn="1" w:lastColumn="0" w:noHBand="0" w:noVBand="1"/>
      </w:tblPr>
      <w:tblGrid>
        <w:gridCol w:w="636"/>
        <w:gridCol w:w="6305"/>
        <w:gridCol w:w="2909"/>
      </w:tblGrid>
      <w:tr w:rsidR="002963E1" w:rsidRPr="00D073E6" w:rsidTr="00CF3CAE">
        <w:tc>
          <w:tcPr>
            <w:tcW w:w="636" w:type="dxa"/>
          </w:tcPr>
          <w:p w:rsidR="002963E1" w:rsidRPr="00D073E6" w:rsidRDefault="00D073E6" w:rsidP="00A86970">
            <w:pPr>
              <w:jc w:val="center"/>
              <w:rPr>
                <w:rFonts w:ascii="Times New Roman" w:hAnsi="Times New Roman" w:cs="Times New Roman"/>
                <w:b/>
                <w:bCs/>
                <w:sz w:val="28"/>
              </w:rPr>
            </w:pPr>
            <w:r w:rsidRPr="00D073E6">
              <w:rPr>
                <w:rFonts w:ascii="Times New Roman" w:hAnsi="Times New Roman" w:cs="Times New Roman"/>
                <w:b/>
                <w:bCs/>
                <w:sz w:val="28"/>
              </w:rPr>
              <w:t>N</w:t>
            </w:r>
            <w:r w:rsidRPr="00D073E6">
              <w:rPr>
                <w:rFonts w:ascii="Times New Roman" w:hAnsi="Times New Roman" w:cs="Times New Roman"/>
                <w:b/>
                <w:bCs/>
                <w:sz w:val="28"/>
              </w:rPr>
              <w:t>O.</w:t>
            </w:r>
          </w:p>
        </w:tc>
        <w:tc>
          <w:tcPr>
            <w:tcW w:w="6305" w:type="dxa"/>
          </w:tcPr>
          <w:p w:rsidR="002963E1" w:rsidRPr="00D073E6" w:rsidRDefault="00D073E6" w:rsidP="00A86970">
            <w:pPr>
              <w:jc w:val="center"/>
              <w:rPr>
                <w:rFonts w:ascii="Times New Roman" w:hAnsi="Times New Roman" w:cs="Times New Roman"/>
                <w:b/>
                <w:bCs/>
                <w:sz w:val="28"/>
              </w:rPr>
            </w:pPr>
            <w:r w:rsidRPr="00D073E6">
              <w:rPr>
                <w:rFonts w:ascii="Times New Roman" w:hAnsi="Times New Roman" w:cs="Times New Roman"/>
                <w:b/>
                <w:bCs/>
                <w:sz w:val="28"/>
              </w:rPr>
              <w:t>INTERVINIENTE</w:t>
            </w:r>
          </w:p>
        </w:tc>
        <w:tc>
          <w:tcPr>
            <w:tcW w:w="2909" w:type="dxa"/>
          </w:tcPr>
          <w:p w:rsidR="002963E1" w:rsidRPr="00D073E6" w:rsidRDefault="00D073E6" w:rsidP="00A86970">
            <w:pPr>
              <w:jc w:val="center"/>
              <w:rPr>
                <w:rFonts w:ascii="Times New Roman" w:hAnsi="Times New Roman" w:cs="Times New Roman"/>
                <w:b/>
                <w:bCs/>
                <w:sz w:val="28"/>
              </w:rPr>
            </w:pPr>
            <w:r w:rsidRPr="00D073E6">
              <w:rPr>
                <w:rFonts w:ascii="Times New Roman" w:hAnsi="Times New Roman" w:cs="Times New Roman"/>
                <w:b/>
                <w:bCs/>
                <w:sz w:val="28"/>
              </w:rPr>
              <w:t>SOLICITUD</w:t>
            </w:r>
          </w:p>
        </w:tc>
      </w:tr>
      <w:tr w:rsidR="0092240C" w:rsidRPr="00D073E6" w:rsidTr="00CF3CAE">
        <w:tc>
          <w:tcPr>
            <w:tcW w:w="636" w:type="dxa"/>
          </w:tcPr>
          <w:p w:rsidR="0092240C"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1</w:t>
            </w:r>
          </w:p>
        </w:tc>
        <w:tc>
          <w:tcPr>
            <w:tcW w:w="6305" w:type="dxa"/>
          </w:tcPr>
          <w:p w:rsidR="0092240C"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 xml:space="preserve">Presidencia de la </w:t>
            </w:r>
            <w:r w:rsidRPr="00D073E6">
              <w:rPr>
                <w:rFonts w:ascii="Times New Roman" w:hAnsi="Times New Roman" w:cs="Times New Roman"/>
                <w:sz w:val="28"/>
              </w:rPr>
              <w:t>República</w:t>
            </w:r>
          </w:p>
        </w:tc>
        <w:tc>
          <w:tcPr>
            <w:tcW w:w="2909" w:type="dxa"/>
            <w:vMerge w:val="restart"/>
          </w:tcPr>
          <w:p w:rsidR="0092240C" w:rsidRPr="00D073E6" w:rsidRDefault="00D073E6" w:rsidP="00A86970">
            <w:pPr>
              <w:jc w:val="center"/>
              <w:rPr>
                <w:rFonts w:ascii="Times New Roman" w:hAnsi="Times New Roman" w:cs="Times New Roman"/>
                <w:sz w:val="28"/>
              </w:rPr>
            </w:pPr>
          </w:p>
          <w:p w:rsidR="00C7259D"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Exequibilidad</w:t>
            </w:r>
          </w:p>
        </w:tc>
      </w:tr>
      <w:tr w:rsidR="0092240C" w:rsidRPr="00D073E6" w:rsidTr="00CF3CAE">
        <w:tc>
          <w:tcPr>
            <w:tcW w:w="636" w:type="dxa"/>
          </w:tcPr>
          <w:p w:rsidR="0092240C"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2</w:t>
            </w:r>
          </w:p>
        </w:tc>
        <w:tc>
          <w:tcPr>
            <w:tcW w:w="6305" w:type="dxa"/>
          </w:tcPr>
          <w:p w:rsidR="0092240C"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Ministerio de Agricultura y Desarrollo Rural</w:t>
            </w:r>
          </w:p>
        </w:tc>
        <w:tc>
          <w:tcPr>
            <w:tcW w:w="2909" w:type="dxa"/>
            <w:vMerge/>
          </w:tcPr>
          <w:p w:rsidR="0092240C" w:rsidRPr="00D073E6" w:rsidRDefault="00D073E6" w:rsidP="00A86970">
            <w:pPr>
              <w:jc w:val="center"/>
              <w:rPr>
                <w:rFonts w:ascii="Times New Roman" w:hAnsi="Times New Roman" w:cs="Times New Roman"/>
                <w:sz w:val="28"/>
              </w:rPr>
            </w:pPr>
          </w:p>
        </w:tc>
      </w:tr>
      <w:tr w:rsidR="0092240C" w:rsidRPr="00D073E6" w:rsidTr="00CF3CAE">
        <w:tc>
          <w:tcPr>
            <w:tcW w:w="636" w:type="dxa"/>
          </w:tcPr>
          <w:p w:rsidR="0092240C"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3</w:t>
            </w:r>
          </w:p>
        </w:tc>
        <w:tc>
          <w:tcPr>
            <w:tcW w:w="6305" w:type="dxa"/>
          </w:tcPr>
          <w:p w:rsidR="0092240C"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Departamento Nacional de Planeación</w:t>
            </w:r>
          </w:p>
        </w:tc>
        <w:tc>
          <w:tcPr>
            <w:tcW w:w="2909" w:type="dxa"/>
            <w:vMerge/>
          </w:tcPr>
          <w:p w:rsidR="0092240C" w:rsidRPr="00D073E6" w:rsidRDefault="00D073E6" w:rsidP="00A86970">
            <w:pPr>
              <w:jc w:val="center"/>
              <w:rPr>
                <w:rFonts w:ascii="Times New Roman" w:hAnsi="Times New Roman" w:cs="Times New Roman"/>
                <w:sz w:val="28"/>
              </w:rPr>
            </w:pPr>
          </w:p>
        </w:tc>
      </w:tr>
      <w:tr w:rsidR="00324024" w:rsidRPr="00D073E6" w:rsidTr="00CF3CAE">
        <w:tc>
          <w:tcPr>
            <w:tcW w:w="636" w:type="dxa"/>
          </w:tcPr>
          <w:p w:rsidR="00324024"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4</w:t>
            </w:r>
          </w:p>
        </w:tc>
        <w:tc>
          <w:tcPr>
            <w:tcW w:w="6305" w:type="dxa"/>
          </w:tcPr>
          <w:p w:rsidR="00324024"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Harold Eduardo Sua Montaña</w:t>
            </w:r>
          </w:p>
        </w:tc>
        <w:tc>
          <w:tcPr>
            <w:tcW w:w="2909" w:type="dxa"/>
            <w:vMerge w:val="restart"/>
          </w:tcPr>
          <w:p w:rsidR="00324024" w:rsidRPr="00D073E6" w:rsidRDefault="00D073E6" w:rsidP="00A86970">
            <w:pPr>
              <w:jc w:val="center"/>
              <w:rPr>
                <w:rFonts w:ascii="Times New Roman" w:hAnsi="Times New Roman" w:cs="Times New Roman"/>
                <w:sz w:val="28"/>
              </w:rPr>
            </w:pPr>
          </w:p>
          <w:p w:rsidR="00324024"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Inexequibilidad</w:t>
            </w:r>
          </w:p>
        </w:tc>
      </w:tr>
      <w:tr w:rsidR="00324024" w:rsidRPr="00D073E6" w:rsidTr="00CF3CAE">
        <w:tc>
          <w:tcPr>
            <w:tcW w:w="636" w:type="dxa"/>
          </w:tcPr>
          <w:p w:rsidR="00324024"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5</w:t>
            </w:r>
          </w:p>
        </w:tc>
        <w:tc>
          <w:tcPr>
            <w:tcW w:w="6305" w:type="dxa"/>
          </w:tcPr>
          <w:p w:rsidR="00324024" w:rsidRPr="00D073E6" w:rsidRDefault="00D073E6" w:rsidP="00A86970">
            <w:pPr>
              <w:jc w:val="center"/>
              <w:rPr>
                <w:rFonts w:ascii="Times New Roman" w:hAnsi="Times New Roman" w:cs="Times New Roman"/>
                <w:sz w:val="28"/>
              </w:rPr>
            </w:pPr>
            <w:r w:rsidRPr="00D073E6">
              <w:rPr>
                <w:rFonts w:ascii="Times New Roman" w:hAnsi="Times New Roman" w:cs="Times New Roman"/>
                <w:sz w:val="28"/>
              </w:rPr>
              <w:t>SAC</w:t>
            </w:r>
          </w:p>
        </w:tc>
        <w:tc>
          <w:tcPr>
            <w:tcW w:w="2909" w:type="dxa"/>
            <w:vMerge/>
          </w:tcPr>
          <w:p w:rsidR="00324024" w:rsidRPr="00D073E6" w:rsidRDefault="00D073E6" w:rsidP="00A86970">
            <w:pPr>
              <w:jc w:val="center"/>
              <w:rPr>
                <w:rFonts w:ascii="Times New Roman" w:hAnsi="Times New Roman" w:cs="Times New Roman"/>
                <w:sz w:val="28"/>
              </w:rPr>
            </w:pPr>
          </w:p>
        </w:tc>
      </w:tr>
      <w:tr w:rsidR="00324024" w:rsidRPr="00D073E6" w:rsidTr="00CF3CAE">
        <w:tc>
          <w:tcPr>
            <w:tcW w:w="636" w:type="dxa"/>
          </w:tcPr>
          <w:p w:rsidR="00324024" w:rsidRPr="00D073E6" w:rsidRDefault="00D073E6" w:rsidP="00271783">
            <w:pPr>
              <w:jc w:val="center"/>
              <w:rPr>
                <w:rFonts w:ascii="Times New Roman" w:hAnsi="Times New Roman" w:cs="Times New Roman"/>
                <w:sz w:val="28"/>
              </w:rPr>
            </w:pPr>
            <w:r w:rsidRPr="00D073E6">
              <w:rPr>
                <w:rFonts w:ascii="Times New Roman" w:hAnsi="Times New Roman" w:cs="Times New Roman"/>
                <w:sz w:val="28"/>
              </w:rPr>
              <w:t>6</w:t>
            </w:r>
          </w:p>
        </w:tc>
        <w:tc>
          <w:tcPr>
            <w:tcW w:w="6305" w:type="dxa"/>
          </w:tcPr>
          <w:p w:rsidR="00324024" w:rsidRPr="00D073E6" w:rsidRDefault="00D073E6" w:rsidP="00271783">
            <w:pPr>
              <w:jc w:val="center"/>
              <w:rPr>
                <w:rFonts w:ascii="Times New Roman" w:hAnsi="Times New Roman" w:cs="Times New Roman"/>
                <w:sz w:val="28"/>
              </w:rPr>
            </w:pPr>
            <w:r w:rsidRPr="00D073E6">
              <w:rPr>
                <w:rFonts w:ascii="Times New Roman" w:hAnsi="Times New Roman" w:cs="Times New Roman"/>
                <w:sz w:val="28"/>
              </w:rPr>
              <w:t>Universidad Pontificia Bolivariana</w:t>
            </w:r>
          </w:p>
        </w:tc>
        <w:tc>
          <w:tcPr>
            <w:tcW w:w="2909" w:type="dxa"/>
            <w:vMerge/>
          </w:tcPr>
          <w:p w:rsidR="00324024" w:rsidRPr="00D073E6" w:rsidRDefault="00D073E6" w:rsidP="00271783">
            <w:pPr>
              <w:jc w:val="center"/>
              <w:rPr>
                <w:rFonts w:ascii="Times New Roman" w:hAnsi="Times New Roman" w:cs="Times New Roman"/>
                <w:sz w:val="28"/>
              </w:rPr>
            </w:pPr>
          </w:p>
        </w:tc>
      </w:tr>
      <w:tr w:rsidR="00324024" w:rsidRPr="00D073E6" w:rsidTr="00CF3CAE">
        <w:tc>
          <w:tcPr>
            <w:tcW w:w="636" w:type="dxa"/>
          </w:tcPr>
          <w:p w:rsidR="00324024" w:rsidRPr="00D073E6" w:rsidRDefault="00D073E6" w:rsidP="00271783">
            <w:pPr>
              <w:jc w:val="center"/>
              <w:rPr>
                <w:rFonts w:ascii="Times New Roman" w:hAnsi="Times New Roman" w:cs="Times New Roman"/>
                <w:sz w:val="28"/>
              </w:rPr>
            </w:pPr>
            <w:r w:rsidRPr="00D073E6">
              <w:rPr>
                <w:rFonts w:ascii="Times New Roman" w:hAnsi="Times New Roman" w:cs="Times New Roman"/>
                <w:sz w:val="28"/>
              </w:rPr>
              <w:t>7</w:t>
            </w:r>
          </w:p>
        </w:tc>
        <w:tc>
          <w:tcPr>
            <w:tcW w:w="6305" w:type="dxa"/>
          </w:tcPr>
          <w:p w:rsidR="00324024" w:rsidRPr="00D073E6" w:rsidRDefault="00D073E6" w:rsidP="00271783">
            <w:pPr>
              <w:jc w:val="center"/>
              <w:rPr>
                <w:rFonts w:ascii="Times New Roman" w:hAnsi="Times New Roman" w:cs="Times New Roman"/>
                <w:sz w:val="28"/>
              </w:rPr>
            </w:pPr>
            <w:r w:rsidRPr="00D073E6">
              <w:rPr>
                <w:rFonts w:ascii="Times New Roman" w:hAnsi="Times New Roman" w:cs="Times New Roman"/>
                <w:sz w:val="28"/>
              </w:rPr>
              <w:t>CAMACOL</w:t>
            </w:r>
          </w:p>
        </w:tc>
        <w:tc>
          <w:tcPr>
            <w:tcW w:w="2909" w:type="dxa"/>
            <w:vMerge/>
          </w:tcPr>
          <w:p w:rsidR="00324024" w:rsidRPr="00D073E6" w:rsidRDefault="00D073E6" w:rsidP="00271783">
            <w:pPr>
              <w:jc w:val="center"/>
              <w:rPr>
                <w:rFonts w:ascii="Times New Roman" w:hAnsi="Times New Roman" w:cs="Times New Roman"/>
                <w:sz w:val="28"/>
              </w:rPr>
            </w:pPr>
          </w:p>
        </w:tc>
      </w:tr>
      <w:tr w:rsidR="00CF3CAE" w:rsidRPr="00D073E6" w:rsidTr="00CF3CAE">
        <w:tc>
          <w:tcPr>
            <w:tcW w:w="636" w:type="dxa"/>
          </w:tcPr>
          <w:p w:rsidR="00CF3CAE"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8</w:t>
            </w:r>
          </w:p>
        </w:tc>
        <w:tc>
          <w:tcPr>
            <w:tcW w:w="6305" w:type="dxa"/>
          </w:tcPr>
          <w:p w:rsidR="00CF3CAE"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 xml:space="preserve">Sharon Ramírez Quezada y Fabio </w:t>
            </w:r>
            <w:r w:rsidRPr="00D073E6">
              <w:rPr>
                <w:rFonts w:ascii="Times New Roman" w:hAnsi="Times New Roman" w:cs="Times New Roman"/>
                <w:sz w:val="28"/>
              </w:rPr>
              <w:t>Andrés Delgado Correa</w:t>
            </w:r>
          </w:p>
        </w:tc>
        <w:tc>
          <w:tcPr>
            <w:tcW w:w="2909" w:type="dxa"/>
            <w:vMerge w:val="restart"/>
          </w:tcPr>
          <w:p w:rsidR="00CF3CAE" w:rsidRPr="00D073E6" w:rsidRDefault="00D073E6" w:rsidP="00324024">
            <w:pPr>
              <w:jc w:val="center"/>
              <w:rPr>
                <w:rFonts w:ascii="Times New Roman" w:hAnsi="Times New Roman" w:cs="Times New Roman"/>
                <w:sz w:val="28"/>
              </w:rPr>
            </w:pPr>
          </w:p>
          <w:p w:rsidR="00CF3CAE"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Exequibilidad</w:t>
            </w:r>
          </w:p>
        </w:tc>
      </w:tr>
      <w:tr w:rsidR="00CF3CAE" w:rsidRPr="00D073E6" w:rsidTr="00CF3CAE">
        <w:tc>
          <w:tcPr>
            <w:tcW w:w="636" w:type="dxa"/>
          </w:tcPr>
          <w:p w:rsidR="00CF3CAE"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9</w:t>
            </w:r>
          </w:p>
        </w:tc>
        <w:tc>
          <w:tcPr>
            <w:tcW w:w="6305" w:type="dxa"/>
          </w:tcPr>
          <w:p w:rsidR="00CF3CAE"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Comisión Colombiana de Juristas</w:t>
            </w:r>
          </w:p>
        </w:tc>
        <w:tc>
          <w:tcPr>
            <w:tcW w:w="2909" w:type="dxa"/>
            <w:vMerge/>
          </w:tcPr>
          <w:p w:rsidR="00CF3CAE" w:rsidRPr="00D073E6" w:rsidRDefault="00D073E6" w:rsidP="00324024">
            <w:pPr>
              <w:jc w:val="center"/>
              <w:rPr>
                <w:rFonts w:ascii="Times New Roman" w:hAnsi="Times New Roman" w:cs="Times New Roman"/>
                <w:sz w:val="28"/>
              </w:rPr>
            </w:pPr>
          </w:p>
        </w:tc>
      </w:tr>
      <w:tr w:rsidR="005A107D" w:rsidRPr="00D073E6" w:rsidTr="00CF3CAE">
        <w:tc>
          <w:tcPr>
            <w:tcW w:w="636" w:type="dxa"/>
          </w:tcPr>
          <w:p w:rsidR="005A107D"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10</w:t>
            </w:r>
          </w:p>
        </w:tc>
        <w:tc>
          <w:tcPr>
            <w:tcW w:w="6305" w:type="dxa"/>
          </w:tcPr>
          <w:p w:rsidR="005A107D"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Colegio Colombiano de Abogados Administrativistas</w:t>
            </w:r>
          </w:p>
        </w:tc>
        <w:tc>
          <w:tcPr>
            <w:tcW w:w="2909" w:type="dxa"/>
            <w:vMerge w:val="restart"/>
          </w:tcPr>
          <w:p w:rsidR="005A107D"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Inexequibilidad</w:t>
            </w:r>
          </w:p>
        </w:tc>
      </w:tr>
      <w:tr w:rsidR="005A107D" w:rsidRPr="00D073E6" w:rsidTr="00CF3CAE">
        <w:tc>
          <w:tcPr>
            <w:tcW w:w="636" w:type="dxa"/>
          </w:tcPr>
          <w:p w:rsidR="005A107D"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11</w:t>
            </w:r>
          </w:p>
        </w:tc>
        <w:tc>
          <w:tcPr>
            <w:tcW w:w="6305" w:type="dxa"/>
          </w:tcPr>
          <w:p w:rsidR="005A107D" w:rsidRPr="00D073E6" w:rsidRDefault="00D073E6" w:rsidP="00324024">
            <w:pPr>
              <w:jc w:val="center"/>
              <w:rPr>
                <w:rFonts w:ascii="Times New Roman" w:hAnsi="Times New Roman" w:cs="Times New Roman"/>
                <w:sz w:val="28"/>
              </w:rPr>
            </w:pPr>
            <w:r w:rsidRPr="00D073E6">
              <w:rPr>
                <w:rFonts w:ascii="Times New Roman" w:hAnsi="Times New Roman" w:cs="Times New Roman"/>
                <w:sz w:val="28"/>
              </w:rPr>
              <w:t>Procuraduría General de la Nación</w:t>
            </w:r>
          </w:p>
        </w:tc>
        <w:tc>
          <w:tcPr>
            <w:tcW w:w="2909" w:type="dxa"/>
            <w:vMerge/>
          </w:tcPr>
          <w:p w:rsidR="005A107D" w:rsidRPr="00D073E6" w:rsidRDefault="00D073E6" w:rsidP="00324024">
            <w:pPr>
              <w:jc w:val="center"/>
              <w:rPr>
                <w:rFonts w:ascii="Times New Roman" w:hAnsi="Times New Roman" w:cs="Times New Roman"/>
                <w:sz w:val="28"/>
              </w:rPr>
            </w:pPr>
          </w:p>
        </w:tc>
      </w:tr>
    </w:tbl>
    <w:p w:rsidR="00DD0F7A" w:rsidRPr="00D073E6" w:rsidRDefault="00D073E6" w:rsidP="00DD0F7A">
      <w:pPr>
        <w:pStyle w:val="Prrafodelista"/>
        <w:widowControl w:val="0"/>
        <w:tabs>
          <w:tab w:val="left" w:pos="709"/>
        </w:tabs>
        <w:ind w:left="0"/>
        <w:contextualSpacing w:val="0"/>
        <w:jc w:val="both"/>
        <w:rPr>
          <w:rFonts w:ascii="Times New Roman" w:hAnsi="Times New Roman" w:cs="Times New Roman"/>
          <w:b/>
          <w:bCs/>
          <w:sz w:val="28"/>
          <w:szCs w:val="28"/>
        </w:rPr>
      </w:pPr>
    </w:p>
    <w:p w:rsidR="00DF66C9" w:rsidRPr="00D073E6" w:rsidRDefault="00D073E6" w:rsidP="00DF66C9">
      <w:pPr>
        <w:pStyle w:val="Prrafodelista"/>
        <w:widowControl w:val="0"/>
        <w:tabs>
          <w:tab w:val="left" w:pos="709"/>
        </w:tabs>
        <w:ind w:left="0"/>
        <w:contextualSpacing w:val="0"/>
        <w:jc w:val="both"/>
        <w:rPr>
          <w:rFonts w:ascii="Times New Roman" w:hAnsi="Times New Roman" w:cs="Times New Roman"/>
          <w:b/>
          <w:bCs/>
          <w:sz w:val="28"/>
          <w:szCs w:val="28"/>
        </w:rPr>
      </w:pPr>
      <w:r w:rsidRPr="00D073E6">
        <w:rPr>
          <w:rFonts w:ascii="Times New Roman" w:hAnsi="Times New Roman" w:cs="Times New Roman"/>
          <w:b/>
          <w:bCs/>
          <w:sz w:val="28"/>
          <w:szCs w:val="28"/>
        </w:rPr>
        <w:t>II. CONSIDERACIONES</w:t>
      </w:r>
    </w:p>
    <w:p w:rsidR="00DF66C9" w:rsidRPr="00D073E6" w:rsidRDefault="00D073E6" w:rsidP="00DF66C9">
      <w:pPr>
        <w:pStyle w:val="Prrafodelista"/>
        <w:widowControl w:val="0"/>
        <w:tabs>
          <w:tab w:val="left" w:pos="709"/>
        </w:tabs>
        <w:ind w:left="0"/>
        <w:contextualSpacing w:val="0"/>
        <w:jc w:val="both"/>
        <w:rPr>
          <w:rFonts w:ascii="Times New Roman" w:hAnsi="Times New Roman" w:cs="Times New Roman"/>
          <w:b/>
          <w:bCs/>
          <w:sz w:val="28"/>
          <w:szCs w:val="28"/>
          <w:lang w:val="es-ES_tradnl"/>
        </w:rPr>
      </w:pPr>
    </w:p>
    <w:p w:rsidR="00DF66C9" w:rsidRPr="00D073E6" w:rsidRDefault="00D073E6" w:rsidP="00B5248D">
      <w:pPr>
        <w:pStyle w:val="Prrafodelista"/>
        <w:widowControl w:val="0"/>
        <w:numPr>
          <w:ilvl w:val="0"/>
          <w:numId w:val="4"/>
        </w:numPr>
        <w:tabs>
          <w:tab w:val="left" w:pos="709"/>
        </w:tabs>
        <w:ind w:left="0" w:firstLine="0"/>
        <w:contextualSpacing w:val="0"/>
        <w:jc w:val="both"/>
        <w:rPr>
          <w:rFonts w:ascii="Times New Roman" w:hAnsi="Times New Roman" w:cs="Times New Roman"/>
          <w:b/>
          <w:bCs/>
          <w:sz w:val="28"/>
          <w:szCs w:val="28"/>
          <w:u w:val="single"/>
          <w:lang w:val="es-ES_tradnl"/>
        </w:rPr>
      </w:pPr>
      <w:r w:rsidRPr="00D073E6">
        <w:rPr>
          <w:rFonts w:ascii="Times New Roman" w:hAnsi="Times New Roman" w:cs="Times New Roman"/>
          <w:b/>
          <w:bCs/>
          <w:sz w:val="28"/>
          <w:szCs w:val="28"/>
          <w:u w:val="single"/>
          <w:lang w:val="es-ES_tradnl"/>
        </w:rPr>
        <w:t>Competencia</w:t>
      </w:r>
    </w:p>
    <w:p w:rsidR="00DF66C9" w:rsidRPr="00D073E6" w:rsidRDefault="00D073E6" w:rsidP="00DF66C9">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DF66C9" w:rsidRPr="00D073E6" w:rsidRDefault="00D073E6" w:rsidP="00885E88">
      <w:pPr>
        <w:pStyle w:val="Prrafodelista"/>
        <w:widowControl w:val="0"/>
        <w:numPr>
          <w:ilvl w:val="0"/>
          <w:numId w:val="2"/>
        </w:numPr>
        <w:tabs>
          <w:tab w:val="left" w:pos="709"/>
        </w:tabs>
        <w:ind w:left="0" w:firstLine="0"/>
        <w:contextualSpacing w:val="0"/>
        <w:jc w:val="both"/>
        <w:rPr>
          <w:rFonts w:ascii="Times New Roman" w:hAnsi="Times New Roman" w:cs="Times New Roman"/>
          <w:sz w:val="28"/>
          <w:szCs w:val="28"/>
          <w:lang w:val="es-ES_tradnl"/>
        </w:rPr>
      </w:pPr>
      <w:r w:rsidRPr="00D073E6">
        <w:rPr>
          <w:rFonts w:ascii="Times New Roman" w:hAnsi="Times New Roman" w:cs="Times New Roman"/>
          <w:sz w:val="28"/>
          <w:szCs w:val="28"/>
        </w:rPr>
        <w:t xml:space="preserve">En virtud de lo </w:t>
      </w:r>
      <w:r w:rsidRPr="00D073E6">
        <w:rPr>
          <w:rFonts w:ascii="Times New Roman" w:hAnsi="Times New Roman" w:cs="Times New Roman"/>
          <w:sz w:val="28"/>
          <w:szCs w:val="28"/>
        </w:rPr>
        <w:t xml:space="preserve">dispuesto en el </w:t>
      </w:r>
      <w:r w:rsidRPr="00D073E6">
        <w:rPr>
          <w:rFonts w:ascii="Times New Roman" w:hAnsi="Times New Roman" w:cs="Times New Roman"/>
          <w:sz w:val="28"/>
          <w:szCs w:val="28"/>
        </w:rPr>
        <w:t>artículo 241.4 de la Constitución Política</w:t>
      </w:r>
      <w:r w:rsidRPr="00D073E6">
        <w:rPr>
          <w:rStyle w:val="Refdenotaalpie"/>
          <w:rFonts w:ascii="Times New Roman" w:hAnsi="Times New Roman" w:cs="Times New Roman"/>
          <w:sz w:val="28"/>
          <w:szCs w:val="28"/>
        </w:rPr>
        <w:footnoteReference w:id="48"/>
      </w:r>
      <w:r w:rsidRPr="00D073E6">
        <w:rPr>
          <w:rFonts w:ascii="Times New Roman" w:hAnsi="Times New Roman" w:cs="Times New Roman"/>
          <w:sz w:val="28"/>
          <w:szCs w:val="28"/>
        </w:rPr>
        <w:t xml:space="preserve">, la Corte Constitucional es competente para </w:t>
      </w:r>
      <w:r w:rsidRPr="00D073E6">
        <w:rPr>
          <w:rFonts w:ascii="Times New Roman" w:hAnsi="Times New Roman" w:cs="Times New Roman"/>
          <w:sz w:val="28"/>
          <w:szCs w:val="28"/>
        </w:rPr>
        <w:t xml:space="preserve">resolver la demanda de inconstitucionalidad interpuesta contra </w:t>
      </w:r>
      <w:r w:rsidRPr="00D073E6">
        <w:rPr>
          <w:rFonts w:ascii="Times New Roman" w:hAnsi="Times New Roman" w:cs="Times New Roman"/>
          <w:sz w:val="28"/>
          <w:szCs w:val="28"/>
        </w:rPr>
        <w:t xml:space="preserve">el artículo 61 </w:t>
      </w:r>
      <w:r w:rsidRPr="00D073E6">
        <w:rPr>
          <w:rFonts w:ascii="Times New Roman" w:hAnsi="Times New Roman" w:cs="Times New Roman"/>
          <w:sz w:val="28"/>
          <w:szCs w:val="28"/>
        </w:rPr>
        <w:t xml:space="preserve">(parcial) </w:t>
      </w:r>
      <w:r w:rsidRPr="00D073E6">
        <w:rPr>
          <w:rFonts w:ascii="Times New Roman" w:hAnsi="Times New Roman" w:cs="Times New Roman"/>
          <w:sz w:val="28"/>
          <w:szCs w:val="28"/>
        </w:rPr>
        <w:t>de la Ley 2294 de 2023</w:t>
      </w:r>
      <w:r w:rsidRPr="00D073E6">
        <w:rPr>
          <w:rFonts w:ascii="Times New Roman" w:hAnsi="Times New Roman" w:cs="Times New Roman"/>
          <w:sz w:val="28"/>
          <w:szCs w:val="28"/>
        </w:rPr>
        <w:t>.</w:t>
      </w:r>
    </w:p>
    <w:p w:rsidR="00FB50D4" w:rsidRPr="00D073E6" w:rsidRDefault="00D073E6">
      <w:pPr>
        <w:rPr>
          <w:rFonts w:ascii="Times New Roman" w:hAnsi="Times New Roman" w:cs="Times New Roman"/>
          <w:sz w:val="28"/>
          <w:lang w:val="es-ES_tradnl"/>
        </w:rPr>
      </w:pPr>
    </w:p>
    <w:p w:rsidR="00B5248D" w:rsidRPr="00D073E6" w:rsidRDefault="00D073E6" w:rsidP="00B5248D">
      <w:pPr>
        <w:pStyle w:val="Prrafodelista"/>
        <w:widowControl w:val="0"/>
        <w:numPr>
          <w:ilvl w:val="0"/>
          <w:numId w:val="4"/>
        </w:numPr>
        <w:tabs>
          <w:tab w:val="left" w:pos="709"/>
        </w:tabs>
        <w:ind w:left="0" w:firstLine="0"/>
        <w:contextualSpacing w:val="0"/>
        <w:jc w:val="both"/>
        <w:rPr>
          <w:rFonts w:ascii="Times New Roman" w:hAnsi="Times New Roman" w:cs="Times New Roman"/>
          <w:b/>
          <w:bCs/>
          <w:sz w:val="28"/>
          <w:szCs w:val="28"/>
          <w:u w:val="single"/>
          <w:lang w:val="es-ES_tradnl"/>
        </w:rPr>
      </w:pPr>
      <w:r w:rsidRPr="00D073E6">
        <w:rPr>
          <w:rFonts w:ascii="Times New Roman" w:hAnsi="Times New Roman" w:cs="Times New Roman"/>
          <w:b/>
          <w:bCs/>
          <w:sz w:val="28"/>
          <w:szCs w:val="28"/>
          <w:u w:val="single"/>
          <w:lang w:val="es-ES_tradnl"/>
        </w:rPr>
        <w:t>Cuestión previa: configuración de la cosa juzgada const</w:t>
      </w:r>
      <w:r w:rsidRPr="00D073E6">
        <w:rPr>
          <w:rFonts w:ascii="Times New Roman" w:hAnsi="Times New Roman" w:cs="Times New Roman"/>
          <w:b/>
          <w:bCs/>
          <w:sz w:val="28"/>
          <w:szCs w:val="28"/>
          <w:u w:val="single"/>
          <w:lang w:val="es-ES_tradnl"/>
        </w:rPr>
        <w:t>itucional</w:t>
      </w:r>
    </w:p>
    <w:p w:rsidR="00B5248D" w:rsidRPr="00D073E6" w:rsidRDefault="00D073E6" w:rsidP="00B5248D">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436F2D" w:rsidRPr="00D073E6" w:rsidRDefault="00D073E6" w:rsidP="00E6449B">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 xml:space="preserve">La Sala Plena constata que </w:t>
      </w:r>
      <w:r w:rsidRPr="00D073E6">
        <w:rPr>
          <w:rFonts w:ascii="Times New Roman" w:hAnsi="Times New Roman" w:cs="Times New Roman"/>
          <w:sz w:val="28"/>
          <w:szCs w:val="28"/>
          <w:lang w:val="es-ES_tradnl"/>
        </w:rPr>
        <w:t>mediante</w:t>
      </w:r>
      <w:r w:rsidRPr="00D073E6">
        <w:rPr>
          <w:rFonts w:ascii="Times New Roman" w:hAnsi="Times New Roman" w:cs="Times New Roman"/>
          <w:sz w:val="28"/>
          <w:szCs w:val="28"/>
          <w:lang w:val="es-ES_tradnl"/>
        </w:rPr>
        <w:t xml:space="preserve"> la Sentencia C-</w:t>
      </w:r>
      <w:r w:rsidRPr="00D073E6">
        <w:rPr>
          <w:rFonts w:ascii="Times New Roman" w:hAnsi="Times New Roman" w:cs="Times New Roman"/>
          <w:sz w:val="28"/>
          <w:szCs w:val="28"/>
          <w:lang w:val="es-ES_tradnl"/>
        </w:rPr>
        <w:t>294</w:t>
      </w:r>
      <w:r w:rsidRPr="00D073E6">
        <w:rPr>
          <w:rFonts w:ascii="Times New Roman" w:hAnsi="Times New Roman" w:cs="Times New Roman"/>
          <w:sz w:val="28"/>
          <w:szCs w:val="28"/>
          <w:lang w:val="es-ES_tradnl"/>
        </w:rPr>
        <w:t xml:space="preserve"> de 202</w:t>
      </w:r>
      <w:r w:rsidRPr="00D073E6">
        <w:rPr>
          <w:rFonts w:ascii="Times New Roman" w:hAnsi="Times New Roman" w:cs="Times New Roman"/>
          <w:sz w:val="28"/>
          <w:szCs w:val="28"/>
          <w:lang w:val="es-ES_tradnl"/>
        </w:rPr>
        <w:t>4</w:t>
      </w:r>
      <w:r w:rsidRPr="00D073E6">
        <w:rPr>
          <w:rStyle w:val="Refdenotaalpie"/>
          <w:rFonts w:ascii="Times New Roman" w:hAnsi="Times New Roman" w:cs="Times New Roman"/>
          <w:sz w:val="28"/>
          <w:szCs w:val="28"/>
          <w:lang w:val="es-ES_tradnl"/>
        </w:rPr>
        <w:footnoteReference w:id="49"/>
      </w:r>
      <w:r w:rsidRPr="00D073E6">
        <w:rPr>
          <w:rFonts w:ascii="Times New Roman" w:hAnsi="Times New Roman" w:cs="Times New Roman"/>
          <w:sz w:val="28"/>
          <w:szCs w:val="28"/>
          <w:lang w:val="es-ES_tradnl"/>
        </w:rPr>
        <w:t xml:space="preserve"> se</w:t>
      </w:r>
      <w:r w:rsidRPr="00D073E6">
        <w:rPr>
          <w:rFonts w:ascii="Times New Roman" w:hAnsi="Times New Roman" w:cs="Times New Roman"/>
          <w:sz w:val="28"/>
          <w:szCs w:val="28"/>
          <w:lang w:val="es-ES_tradnl"/>
        </w:rPr>
        <w:t xml:space="preserve"> declaró </w:t>
      </w:r>
      <w:r w:rsidRPr="00D073E6">
        <w:rPr>
          <w:rFonts w:ascii="Times New Roman" w:hAnsi="Times New Roman" w:cs="Times New Roman"/>
          <w:sz w:val="28"/>
          <w:szCs w:val="28"/>
          <w:lang w:val="es-ES_tradnl"/>
        </w:rPr>
        <w:t xml:space="preserve">la </w:t>
      </w:r>
      <w:r w:rsidRPr="00D073E6">
        <w:rPr>
          <w:rFonts w:ascii="Times New Roman" w:hAnsi="Times New Roman" w:cs="Times New Roman"/>
          <w:sz w:val="28"/>
          <w:szCs w:val="28"/>
          <w:lang w:val="es-ES_tradnl"/>
        </w:rPr>
        <w:t>inexequib</w:t>
      </w:r>
      <w:r w:rsidRPr="00D073E6">
        <w:rPr>
          <w:rFonts w:ascii="Times New Roman" w:hAnsi="Times New Roman" w:cs="Times New Roman"/>
          <w:sz w:val="28"/>
          <w:szCs w:val="28"/>
          <w:lang w:val="es-ES_tradnl"/>
        </w:rPr>
        <w:t>ilidad d</w:t>
      </w:r>
      <w:r w:rsidRPr="00D073E6">
        <w:rPr>
          <w:rFonts w:ascii="Times New Roman" w:hAnsi="Times New Roman" w:cs="Times New Roman"/>
          <w:sz w:val="28"/>
          <w:szCs w:val="28"/>
          <w:lang w:val="es-ES_tradnl"/>
        </w:rPr>
        <w:t xml:space="preserve">el numeral 6 y el parágrafo </w:t>
      </w:r>
      <w:r w:rsidRPr="00D073E6">
        <w:rPr>
          <w:rFonts w:ascii="Times New Roman" w:hAnsi="Times New Roman" w:cs="Times New Roman"/>
          <w:sz w:val="28"/>
          <w:szCs w:val="28"/>
          <w:lang w:val="es-ES_tradnl"/>
        </w:rPr>
        <w:t>3° del artículo 61 de la Ley 2294 de 2023</w:t>
      </w:r>
      <w:r w:rsidRPr="00D073E6">
        <w:rPr>
          <w:rFonts w:ascii="Times New Roman" w:hAnsi="Times New Roman" w:cs="Times New Roman"/>
          <w:sz w:val="28"/>
          <w:szCs w:val="28"/>
          <w:lang w:val="es-ES_tradnl"/>
        </w:rPr>
        <w:t xml:space="preserve">. Por lo tanto, en este caso ha operado el fenómeno de la cosa juzgada constitucional. </w:t>
      </w:r>
    </w:p>
    <w:p w:rsidR="000C59C8" w:rsidRPr="00D073E6" w:rsidRDefault="00D073E6" w:rsidP="000C59C8">
      <w:pPr>
        <w:pStyle w:val="Prrafodelista"/>
        <w:widowControl w:val="0"/>
        <w:tabs>
          <w:tab w:val="left" w:pos="709"/>
        </w:tabs>
        <w:ind w:left="0"/>
        <w:contextualSpacing w:val="0"/>
        <w:jc w:val="both"/>
        <w:rPr>
          <w:rFonts w:ascii="Times New Roman" w:hAnsi="Times New Roman" w:cs="Times New Roman"/>
          <w:sz w:val="28"/>
          <w:lang w:val="es-ES_tradnl"/>
        </w:rPr>
      </w:pPr>
    </w:p>
    <w:p w:rsidR="00436F2D" w:rsidRPr="00D073E6" w:rsidRDefault="00D073E6" w:rsidP="007D4916">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A continuación</w:t>
      </w:r>
      <w:r w:rsidRPr="00D073E6">
        <w:rPr>
          <w:rFonts w:ascii="Times New Roman" w:hAnsi="Times New Roman" w:cs="Times New Roman"/>
          <w:sz w:val="28"/>
          <w:szCs w:val="28"/>
          <w:lang w:val="es-ES_tradnl"/>
        </w:rPr>
        <w:t>,</w:t>
      </w:r>
      <w:r w:rsidRPr="00D073E6">
        <w:rPr>
          <w:rFonts w:ascii="Times New Roman" w:hAnsi="Times New Roman" w:cs="Times New Roman"/>
          <w:sz w:val="28"/>
          <w:szCs w:val="28"/>
          <w:lang w:val="es-ES_tradnl"/>
        </w:rPr>
        <w:t xml:space="preserve"> se expondrá la jurisprudencia constitucional reiterada sobre la cosa juzgada constitucional</w:t>
      </w:r>
      <w:r w:rsidRPr="00D073E6">
        <w:rPr>
          <w:rFonts w:ascii="Times New Roman" w:hAnsi="Times New Roman" w:cs="Times New Roman"/>
          <w:sz w:val="28"/>
          <w:szCs w:val="28"/>
          <w:lang w:val="es-ES_tradnl"/>
        </w:rPr>
        <w:t>,</w:t>
      </w:r>
      <w:r w:rsidRPr="00D073E6">
        <w:rPr>
          <w:rFonts w:ascii="Times New Roman" w:hAnsi="Times New Roman" w:cs="Times New Roman"/>
          <w:sz w:val="28"/>
          <w:szCs w:val="28"/>
          <w:lang w:val="es-ES_tradnl"/>
        </w:rPr>
        <w:t xml:space="preserve"> para posteriormente profundizar en la resolución del caso concreto.</w:t>
      </w:r>
    </w:p>
    <w:p w:rsidR="00EB289A" w:rsidRPr="00D073E6" w:rsidRDefault="00D073E6" w:rsidP="00EB289A">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EB289A" w:rsidRPr="00D073E6" w:rsidRDefault="00D073E6" w:rsidP="00EB289A">
      <w:pPr>
        <w:pStyle w:val="Prrafodelista"/>
        <w:widowControl w:val="0"/>
        <w:tabs>
          <w:tab w:val="left" w:pos="709"/>
        </w:tabs>
        <w:ind w:left="0"/>
        <w:contextualSpacing w:val="0"/>
        <w:jc w:val="both"/>
        <w:rPr>
          <w:rFonts w:ascii="Times New Roman" w:hAnsi="Times New Roman" w:cs="Times New Roman"/>
          <w:b/>
          <w:bCs/>
          <w:i/>
          <w:iCs/>
          <w:sz w:val="28"/>
          <w:szCs w:val="28"/>
          <w:lang w:val="es-ES_tradnl"/>
        </w:rPr>
      </w:pPr>
      <w:r w:rsidRPr="00D073E6">
        <w:rPr>
          <w:rFonts w:ascii="Times New Roman" w:hAnsi="Times New Roman" w:cs="Times New Roman"/>
          <w:b/>
          <w:bCs/>
          <w:i/>
          <w:iCs/>
          <w:sz w:val="28"/>
          <w:szCs w:val="28"/>
          <w:lang w:val="es-ES_tradnl"/>
        </w:rPr>
        <w:t xml:space="preserve">Reiteración de jurisprudencia sobre la cosa juzgada </w:t>
      </w:r>
      <w:r w:rsidRPr="00D073E6">
        <w:rPr>
          <w:rFonts w:ascii="Times New Roman" w:hAnsi="Times New Roman" w:cs="Times New Roman"/>
          <w:b/>
          <w:bCs/>
          <w:i/>
          <w:iCs/>
          <w:sz w:val="28"/>
          <w:szCs w:val="28"/>
          <w:lang w:val="es-ES_tradnl"/>
        </w:rPr>
        <w:t>constitucional</w:t>
      </w:r>
    </w:p>
    <w:p w:rsidR="00EB289A" w:rsidRPr="00D073E6" w:rsidRDefault="00D073E6" w:rsidP="00EB289A">
      <w:pPr>
        <w:pStyle w:val="Prrafodelista"/>
        <w:widowControl w:val="0"/>
        <w:tabs>
          <w:tab w:val="left" w:pos="709"/>
        </w:tabs>
        <w:ind w:left="0"/>
        <w:contextualSpacing w:val="0"/>
        <w:jc w:val="both"/>
        <w:rPr>
          <w:rFonts w:ascii="Times New Roman" w:hAnsi="Times New Roman" w:cs="Times New Roman"/>
          <w:sz w:val="28"/>
          <w:lang w:val="es-ES_tradnl"/>
        </w:rPr>
      </w:pPr>
    </w:p>
    <w:p w:rsidR="00EB289A" w:rsidRPr="00D073E6" w:rsidRDefault="00D073E6" w:rsidP="007D4916">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El artículo 243 de la Constitución Política</w:t>
      </w:r>
      <w:r w:rsidRPr="00D073E6">
        <w:rPr>
          <w:rFonts w:ascii="Times New Roman" w:hAnsi="Times New Roman" w:cs="Times New Roman"/>
          <w:sz w:val="28"/>
          <w:szCs w:val="28"/>
          <w:lang w:val="es-ES_tradnl"/>
        </w:rPr>
        <w:t xml:space="preserve">; los artículos 46 y 48 de la Ley 270 de 1996 y el artículo 22 del Decreto </w:t>
      </w:r>
      <w:r w:rsidRPr="00D073E6">
        <w:rPr>
          <w:rFonts w:ascii="Times New Roman" w:hAnsi="Times New Roman" w:cs="Times New Roman"/>
          <w:sz w:val="28"/>
          <w:szCs w:val="28"/>
          <w:lang w:val="es-ES_tradnl"/>
        </w:rPr>
        <w:t>2067 de 1991 prescriben que las decisiones de la Corte Constitucional</w:t>
      </w:r>
      <w:r w:rsidRPr="00D073E6">
        <w:rPr>
          <w:rFonts w:ascii="Times New Roman" w:hAnsi="Times New Roman" w:cs="Times New Roman"/>
          <w:sz w:val="28"/>
          <w:szCs w:val="28"/>
          <w:lang w:val="es-ES_tradnl"/>
        </w:rPr>
        <w:t xml:space="preserve"> en sede de control abstracto hacen tránsito a cosa juzgada</w:t>
      </w:r>
      <w:r w:rsidRPr="00D073E6">
        <w:rPr>
          <w:rFonts w:ascii="Times New Roman" w:hAnsi="Times New Roman" w:cs="Times New Roman"/>
          <w:sz w:val="28"/>
          <w:szCs w:val="28"/>
          <w:lang w:val="es-ES_tradnl"/>
        </w:rPr>
        <w:t>. E</w:t>
      </w:r>
      <w:r w:rsidRPr="00D073E6">
        <w:rPr>
          <w:rFonts w:ascii="Times New Roman" w:hAnsi="Times New Roman" w:cs="Times New Roman"/>
          <w:sz w:val="28"/>
          <w:szCs w:val="28"/>
          <w:lang w:val="es-ES_tradnl"/>
        </w:rPr>
        <w:t xml:space="preserve">sta corporación ha expresado que </w:t>
      </w:r>
      <w:r w:rsidRPr="00D073E6">
        <w:rPr>
          <w:rFonts w:ascii="Times New Roman" w:hAnsi="Times New Roman" w:cs="Times New Roman"/>
          <w:sz w:val="28"/>
          <w:szCs w:val="28"/>
          <w:lang w:val="es-ES_tradnl"/>
        </w:rPr>
        <w:t>no es posible emitir pronunciamiento</w:t>
      </w:r>
      <w:r w:rsidRPr="00D073E6">
        <w:rPr>
          <w:rFonts w:ascii="Times New Roman" w:hAnsi="Times New Roman" w:cs="Times New Roman"/>
          <w:sz w:val="28"/>
          <w:szCs w:val="28"/>
          <w:lang w:val="es-ES_tradnl"/>
        </w:rPr>
        <w:t>s</w:t>
      </w:r>
      <w:r w:rsidRPr="00D073E6">
        <w:rPr>
          <w:rFonts w:ascii="Times New Roman" w:hAnsi="Times New Roman" w:cs="Times New Roman"/>
          <w:sz w:val="28"/>
          <w:szCs w:val="28"/>
          <w:lang w:val="es-ES_tradnl"/>
        </w:rPr>
        <w:t xml:space="preserve"> sobre asuntos </w:t>
      </w:r>
      <w:r w:rsidRPr="00D073E6">
        <w:rPr>
          <w:rFonts w:ascii="Times New Roman" w:hAnsi="Times New Roman" w:cs="Times New Roman"/>
          <w:sz w:val="28"/>
          <w:szCs w:val="28"/>
          <w:lang w:val="es-ES_tradnl"/>
        </w:rPr>
        <w:t>discutidos y decididos previamente, pues</w:t>
      </w:r>
      <w:r w:rsidRPr="00D073E6">
        <w:rPr>
          <w:rFonts w:ascii="Times New Roman" w:hAnsi="Times New Roman" w:cs="Times New Roman"/>
          <w:sz w:val="28"/>
          <w:szCs w:val="28"/>
          <w:lang w:val="es-ES_tradnl"/>
        </w:rPr>
        <w:t xml:space="preserve"> </w:t>
      </w:r>
      <w:r w:rsidRPr="00D073E6">
        <w:rPr>
          <w:rFonts w:ascii="Times New Roman" w:hAnsi="Times New Roman" w:cs="Times New Roman"/>
          <w:sz w:val="28"/>
          <w:szCs w:val="28"/>
          <w:lang w:val="es-ES_tradnl"/>
        </w:rPr>
        <w:t>dichas decisiones son inmutables, vinculantes y definitivas.</w:t>
      </w:r>
      <w:r w:rsidRPr="00D073E6">
        <w:rPr>
          <w:rStyle w:val="Refdenotaalpie"/>
          <w:rFonts w:ascii="Times New Roman" w:hAnsi="Times New Roman" w:cs="Times New Roman"/>
          <w:sz w:val="28"/>
          <w:szCs w:val="28"/>
          <w:lang w:val="es-ES_tradnl"/>
        </w:rPr>
        <w:footnoteReference w:id="50"/>
      </w:r>
    </w:p>
    <w:p w:rsidR="001930ED" w:rsidRPr="00D073E6" w:rsidRDefault="00D073E6" w:rsidP="001930ED">
      <w:pPr>
        <w:pStyle w:val="Prrafodelista"/>
        <w:widowControl w:val="0"/>
        <w:tabs>
          <w:tab w:val="left" w:pos="709"/>
        </w:tabs>
        <w:ind w:left="0"/>
        <w:contextualSpacing w:val="0"/>
        <w:jc w:val="both"/>
        <w:rPr>
          <w:rFonts w:ascii="Times New Roman" w:hAnsi="Times New Roman" w:cs="Times New Roman"/>
          <w:sz w:val="28"/>
          <w:lang w:val="es-ES_tradnl"/>
        </w:rPr>
      </w:pPr>
    </w:p>
    <w:p w:rsidR="001930ED" w:rsidRPr="00D073E6" w:rsidRDefault="00D073E6" w:rsidP="007D4916">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En la jurisprudencia constituciona</w:t>
      </w:r>
      <w:r w:rsidRPr="00D073E6">
        <w:rPr>
          <w:rFonts w:ascii="Times New Roman" w:hAnsi="Times New Roman" w:cs="Times New Roman"/>
          <w:sz w:val="28"/>
          <w:szCs w:val="28"/>
          <w:lang w:val="es-ES_tradnl"/>
        </w:rPr>
        <w:t xml:space="preserve">l se han distinguido las siguientes categorías de cosa juzgada constitucional abstracta: </w:t>
      </w:r>
      <w:r w:rsidRPr="00D073E6">
        <w:rPr>
          <w:rFonts w:ascii="Times New Roman" w:hAnsi="Times New Roman" w:cs="Times New Roman"/>
          <w:sz w:val="28"/>
          <w:szCs w:val="28"/>
          <w:lang w:val="es-ES_tradnl"/>
        </w:rPr>
        <w:t>forma</w:t>
      </w:r>
      <w:r w:rsidRPr="00D073E6">
        <w:rPr>
          <w:rFonts w:ascii="Times New Roman" w:hAnsi="Times New Roman" w:cs="Times New Roman"/>
          <w:sz w:val="28"/>
          <w:szCs w:val="28"/>
          <w:lang w:val="es-ES_tradnl"/>
        </w:rPr>
        <w:t>l</w:t>
      </w:r>
      <w:r w:rsidRPr="00D073E6">
        <w:rPr>
          <w:rFonts w:ascii="Times New Roman" w:hAnsi="Times New Roman" w:cs="Times New Roman"/>
          <w:sz w:val="28"/>
          <w:szCs w:val="28"/>
          <w:lang w:val="es-ES_tradnl"/>
        </w:rPr>
        <w:t xml:space="preserve"> y material</w:t>
      </w:r>
      <w:r w:rsidRPr="00D073E6">
        <w:rPr>
          <w:rFonts w:ascii="Times New Roman" w:hAnsi="Times New Roman" w:cs="Times New Roman"/>
          <w:sz w:val="28"/>
          <w:szCs w:val="28"/>
          <w:lang w:val="es-ES_tradnl"/>
        </w:rPr>
        <w:t>;</w:t>
      </w:r>
      <w:r w:rsidRPr="00D073E6">
        <w:rPr>
          <w:rFonts w:ascii="Times New Roman" w:hAnsi="Times New Roman" w:cs="Times New Roman"/>
          <w:sz w:val="28"/>
          <w:szCs w:val="28"/>
          <w:lang w:val="es-ES_tradnl"/>
        </w:rPr>
        <w:t xml:space="preserve"> absoluta y relativa; </w:t>
      </w:r>
      <w:r w:rsidRPr="00D073E6">
        <w:rPr>
          <w:rFonts w:ascii="Times New Roman" w:hAnsi="Times New Roman" w:cs="Times New Roman"/>
          <w:sz w:val="28"/>
          <w:szCs w:val="28"/>
          <w:lang w:val="es-ES_tradnl"/>
        </w:rPr>
        <w:t>relativa explícita y relativa</w:t>
      </w:r>
      <w:r w:rsidRPr="00D073E6">
        <w:rPr>
          <w:rFonts w:ascii="Times New Roman" w:hAnsi="Times New Roman" w:cs="Times New Roman"/>
          <w:sz w:val="28"/>
          <w:szCs w:val="28"/>
          <w:lang w:val="es-ES_tradnl"/>
        </w:rPr>
        <w:t xml:space="preserve"> implícita; y aparente</w:t>
      </w:r>
      <w:r w:rsidRPr="00D073E6">
        <w:rPr>
          <w:rFonts w:ascii="Times New Roman" w:hAnsi="Times New Roman" w:cs="Times New Roman"/>
          <w:sz w:val="28"/>
          <w:szCs w:val="28"/>
          <w:lang w:val="es-ES_tradnl"/>
        </w:rPr>
        <w:t>, las cuales se sintetizan y esquematizan en el siguiente cuadro</w:t>
      </w:r>
      <w:r w:rsidRPr="00D073E6">
        <w:rPr>
          <w:rStyle w:val="Refdenotaalpie"/>
          <w:rFonts w:ascii="Times New Roman" w:hAnsi="Times New Roman" w:cs="Times New Roman"/>
          <w:sz w:val="28"/>
          <w:szCs w:val="28"/>
          <w:lang w:val="es-ES_tradnl"/>
        </w:rPr>
        <w:footnoteReference w:id="51"/>
      </w:r>
      <w:r w:rsidRPr="00D073E6">
        <w:rPr>
          <w:rFonts w:ascii="Times New Roman" w:hAnsi="Times New Roman" w:cs="Times New Roman"/>
          <w:sz w:val="28"/>
          <w:szCs w:val="28"/>
          <w:lang w:val="es-ES_tradnl"/>
        </w:rPr>
        <w:t>.</w:t>
      </w:r>
    </w:p>
    <w:p w:rsidR="00DF5CF5" w:rsidRPr="00D073E6" w:rsidRDefault="00D073E6" w:rsidP="00DF5CF5">
      <w:pPr>
        <w:pStyle w:val="Prrafodelista"/>
        <w:widowControl w:val="0"/>
        <w:tabs>
          <w:tab w:val="left" w:pos="709"/>
        </w:tabs>
        <w:ind w:left="0"/>
        <w:contextualSpacing w:val="0"/>
        <w:jc w:val="both"/>
        <w:rPr>
          <w:rFonts w:ascii="Times New Roman" w:hAnsi="Times New Roman" w:cs="Times New Roman"/>
          <w:sz w:val="28"/>
          <w:lang w:val="es-ES_tradnl"/>
        </w:rPr>
      </w:pPr>
    </w:p>
    <w:p w:rsidR="00A142F4" w:rsidRPr="00D073E6" w:rsidRDefault="00D073E6" w:rsidP="00A142F4">
      <w:pPr>
        <w:pStyle w:val="Ttulo3"/>
        <w:spacing w:before="0"/>
        <w:jc w:val="center"/>
        <w:rPr>
          <w:rFonts w:ascii="Times New Roman" w:hAnsi="Times New Roman" w:cs="Times New Roman"/>
          <w:b/>
          <w:bCs/>
          <w:i/>
          <w:iCs/>
          <w:color w:val="auto"/>
        </w:rPr>
      </w:pPr>
      <w:r w:rsidRPr="00D073E6">
        <w:rPr>
          <w:rFonts w:ascii="Times New Roman" w:hAnsi="Times New Roman" w:cs="Times New Roman"/>
          <w:b/>
          <w:bCs/>
          <w:i/>
          <w:iCs/>
          <w:color w:val="auto"/>
        </w:rPr>
        <w:t xml:space="preserve">Tabla </w:t>
      </w:r>
      <w:r w:rsidRPr="00D073E6">
        <w:rPr>
          <w:rFonts w:ascii="Times New Roman" w:hAnsi="Times New Roman" w:cs="Times New Roman"/>
          <w:b/>
          <w:bCs/>
          <w:i/>
          <w:iCs/>
          <w:color w:val="auto"/>
        </w:rPr>
        <w:t>2</w:t>
      </w:r>
      <w:r w:rsidRPr="00D073E6">
        <w:rPr>
          <w:rFonts w:ascii="Times New Roman" w:hAnsi="Times New Roman" w:cs="Times New Roman"/>
          <w:b/>
          <w:bCs/>
          <w:i/>
          <w:iCs/>
          <w:color w:val="auto"/>
        </w:rPr>
        <w:t xml:space="preserve"> – </w:t>
      </w:r>
      <w:r w:rsidRPr="00D073E6">
        <w:rPr>
          <w:rFonts w:ascii="Times New Roman" w:hAnsi="Times New Roman" w:cs="Times New Roman"/>
          <w:b/>
          <w:bCs/>
          <w:i/>
          <w:iCs/>
          <w:color w:val="auto"/>
        </w:rPr>
        <w:t>Categorías de cosa juzgada constitucional</w:t>
      </w:r>
    </w:p>
    <w:p w:rsidR="00A142F4" w:rsidRPr="00D073E6" w:rsidRDefault="00D073E6" w:rsidP="00A142F4">
      <w:pPr>
        <w:rPr>
          <w:rFonts w:ascii="Times New Roman" w:hAnsi="Times New Roman" w:cs="Times New Roman"/>
          <w:sz w:val="28"/>
        </w:rPr>
      </w:pPr>
    </w:p>
    <w:tbl>
      <w:tblPr>
        <w:tblStyle w:val="Tablaconcuadrcula"/>
        <w:tblW w:w="5000" w:type="pct"/>
        <w:tblLook w:val="04A0" w:firstRow="1" w:lastRow="0" w:firstColumn="1" w:lastColumn="0" w:noHBand="0" w:noVBand="1"/>
      </w:tblPr>
      <w:tblGrid>
        <w:gridCol w:w="4925"/>
        <w:gridCol w:w="4925"/>
      </w:tblGrid>
      <w:tr w:rsidR="00CB64EE" w:rsidRPr="00D073E6" w:rsidTr="00140208">
        <w:tc>
          <w:tcPr>
            <w:tcW w:w="5000" w:type="pct"/>
            <w:gridSpan w:val="2"/>
          </w:tcPr>
          <w:p w:rsidR="00CB64EE" w:rsidRPr="00D073E6" w:rsidRDefault="00D073E6" w:rsidP="00140208">
            <w:pPr>
              <w:pStyle w:val="Prrafodelista"/>
              <w:ind w:left="0"/>
              <w:jc w:val="center"/>
              <w:rPr>
                <w:rFonts w:ascii="Times New Roman" w:hAnsi="Times New Roman" w:cs="Times New Roman"/>
                <w:b/>
                <w:bCs/>
                <w:sz w:val="28"/>
                <w:shd w:val="clear" w:color="auto" w:fill="FFFFFF"/>
              </w:rPr>
            </w:pPr>
            <w:r w:rsidRPr="00D073E6">
              <w:rPr>
                <w:rFonts w:ascii="Times New Roman" w:hAnsi="Times New Roman" w:cs="Times New Roman"/>
                <w:b/>
                <w:bCs/>
                <w:sz w:val="28"/>
                <w:shd w:val="clear" w:color="auto" w:fill="FFFFFF"/>
              </w:rPr>
              <w:t>Por el objeto de control</w:t>
            </w:r>
          </w:p>
        </w:tc>
      </w:tr>
      <w:tr w:rsidR="00CB64EE" w:rsidRPr="00D073E6" w:rsidTr="00140208">
        <w:tc>
          <w:tcPr>
            <w:tcW w:w="2500" w:type="pct"/>
          </w:tcPr>
          <w:p w:rsidR="00CB64EE" w:rsidRPr="00D073E6" w:rsidRDefault="00D073E6" w:rsidP="00140208">
            <w:pPr>
              <w:pStyle w:val="Prrafodelista"/>
              <w:ind w:left="0"/>
              <w:jc w:val="both"/>
              <w:rPr>
                <w:rFonts w:ascii="Times New Roman" w:hAnsi="Times New Roman" w:cs="Times New Roman"/>
                <w:b/>
                <w:bCs/>
                <w:sz w:val="28"/>
                <w:shd w:val="clear" w:color="auto" w:fill="FFFFFF"/>
              </w:rPr>
            </w:pPr>
            <w:r w:rsidRPr="00D073E6">
              <w:rPr>
                <w:rFonts w:ascii="Times New Roman" w:hAnsi="Times New Roman" w:cs="Times New Roman"/>
                <w:b/>
                <w:bCs/>
                <w:sz w:val="28"/>
                <w:shd w:val="clear" w:color="auto" w:fill="FFFFFF"/>
              </w:rPr>
              <w:t>Cosa juzgada formal:</w:t>
            </w:r>
          </w:p>
          <w:p w:rsidR="00CB64EE" w:rsidRPr="00D073E6" w:rsidRDefault="00D073E6" w:rsidP="00140208">
            <w:pPr>
              <w:pStyle w:val="Prrafodelista"/>
              <w:ind w:left="0"/>
              <w:jc w:val="both"/>
              <w:rPr>
                <w:rFonts w:ascii="Times New Roman" w:hAnsi="Times New Roman" w:cs="Times New Roman"/>
                <w:sz w:val="28"/>
                <w:shd w:val="clear" w:color="auto" w:fill="FFFFFF"/>
              </w:rPr>
            </w:pPr>
            <w:r w:rsidRPr="00D073E6">
              <w:rPr>
                <w:rFonts w:ascii="Times New Roman" w:hAnsi="Times New Roman" w:cs="Times New Roman"/>
                <w:sz w:val="28"/>
              </w:rPr>
              <w:t xml:space="preserve">Cuando la decisión previa de la Corte ha recaído sobre </w:t>
            </w:r>
            <w:r w:rsidRPr="00D073E6">
              <w:rPr>
                <w:rFonts w:ascii="Times New Roman" w:hAnsi="Times New Roman" w:cs="Times New Roman"/>
                <w:sz w:val="28"/>
              </w:rPr>
              <w:t xml:space="preserve">el mismo </w:t>
            </w:r>
            <w:r w:rsidRPr="00D073E6">
              <w:rPr>
                <w:rFonts w:ascii="Times New Roman" w:hAnsi="Times New Roman" w:cs="Times New Roman"/>
                <w:sz w:val="28"/>
              </w:rPr>
              <w:t>texto</w:t>
            </w:r>
            <w:r w:rsidRPr="00D073E6">
              <w:rPr>
                <w:rFonts w:ascii="Times New Roman" w:hAnsi="Times New Roman" w:cs="Times New Roman"/>
                <w:sz w:val="28"/>
              </w:rPr>
              <w:t xml:space="preserve"> sometido nuevamente a su consideración.</w:t>
            </w:r>
          </w:p>
        </w:tc>
        <w:tc>
          <w:tcPr>
            <w:tcW w:w="2500" w:type="pct"/>
          </w:tcPr>
          <w:p w:rsidR="00CB64EE" w:rsidRPr="00D073E6" w:rsidRDefault="00D073E6" w:rsidP="00140208">
            <w:pPr>
              <w:pStyle w:val="Prrafodelista"/>
              <w:ind w:left="0"/>
              <w:jc w:val="both"/>
              <w:rPr>
                <w:rFonts w:ascii="Times New Roman" w:hAnsi="Times New Roman" w:cs="Times New Roman"/>
                <w:b/>
                <w:bCs/>
                <w:sz w:val="28"/>
                <w:shd w:val="clear" w:color="auto" w:fill="FFFFFF"/>
              </w:rPr>
            </w:pPr>
            <w:r w:rsidRPr="00D073E6">
              <w:rPr>
                <w:rFonts w:ascii="Times New Roman" w:hAnsi="Times New Roman" w:cs="Times New Roman"/>
                <w:b/>
                <w:bCs/>
                <w:sz w:val="28"/>
                <w:shd w:val="clear" w:color="auto" w:fill="FFFFFF"/>
              </w:rPr>
              <w:t>Cosa juzgada material:</w:t>
            </w:r>
          </w:p>
          <w:p w:rsidR="00CB64EE" w:rsidRPr="00D073E6" w:rsidRDefault="00D073E6" w:rsidP="00140208">
            <w:pPr>
              <w:pStyle w:val="Prrafodelista"/>
              <w:ind w:left="0"/>
              <w:jc w:val="both"/>
              <w:rPr>
                <w:rFonts w:ascii="Times New Roman" w:hAnsi="Times New Roman" w:cs="Times New Roman"/>
                <w:sz w:val="28"/>
                <w:shd w:val="clear" w:color="auto" w:fill="FFFFFF"/>
              </w:rPr>
            </w:pPr>
            <w:r w:rsidRPr="00D073E6">
              <w:rPr>
                <w:rFonts w:ascii="Times New Roman" w:hAnsi="Times New Roman" w:cs="Times New Roman"/>
                <w:sz w:val="28"/>
                <w:shd w:val="clear" w:color="auto" w:fill="FFFFFF"/>
              </w:rPr>
              <w:t>Cuando la sentencia previa examinó una norma equivalente a la demandada contenida en un texto normativo distinto. De forma que, aunque se trate de disposiciones diferentes, producen los m</w:t>
            </w:r>
            <w:r w:rsidRPr="00D073E6">
              <w:rPr>
                <w:rFonts w:ascii="Times New Roman" w:hAnsi="Times New Roman" w:cs="Times New Roman"/>
                <w:sz w:val="28"/>
                <w:shd w:val="clear" w:color="auto" w:fill="FFFFFF"/>
              </w:rPr>
              <w:t>ismos efectos en cuanto contienen la misma regla</w:t>
            </w:r>
            <w:r w:rsidRPr="00D073E6">
              <w:rPr>
                <w:rFonts w:ascii="Times New Roman" w:hAnsi="Times New Roman" w:cs="Times New Roman"/>
                <w:sz w:val="28"/>
                <w:shd w:val="clear" w:color="auto" w:fill="FFFFFF"/>
              </w:rPr>
              <w:t xml:space="preserve"> jurídica</w:t>
            </w:r>
            <w:r w:rsidRPr="00D073E6">
              <w:rPr>
                <w:rFonts w:ascii="Times New Roman" w:hAnsi="Times New Roman" w:cs="Times New Roman"/>
                <w:sz w:val="28"/>
                <w:shd w:val="clear" w:color="auto" w:fill="FFFFFF"/>
              </w:rPr>
              <w:t>.</w:t>
            </w:r>
          </w:p>
        </w:tc>
      </w:tr>
      <w:tr w:rsidR="00CB64EE" w:rsidRPr="00D073E6" w:rsidTr="00140208">
        <w:tc>
          <w:tcPr>
            <w:tcW w:w="5000" w:type="pct"/>
            <w:gridSpan w:val="2"/>
          </w:tcPr>
          <w:p w:rsidR="00CB64EE" w:rsidRPr="00D073E6" w:rsidRDefault="00D073E6" w:rsidP="00140208">
            <w:pPr>
              <w:pStyle w:val="Prrafodelista"/>
              <w:ind w:left="0"/>
              <w:jc w:val="center"/>
              <w:rPr>
                <w:rFonts w:ascii="Times New Roman" w:hAnsi="Times New Roman" w:cs="Times New Roman"/>
                <w:b/>
                <w:bCs/>
                <w:sz w:val="28"/>
                <w:shd w:val="clear" w:color="auto" w:fill="FFFFFF"/>
              </w:rPr>
            </w:pPr>
            <w:r w:rsidRPr="00D073E6">
              <w:rPr>
                <w:rFonts w:ascii="Times New Roman" w:hAnsi="Times New Roman" w:cs="Times New Roman"/>
                <w:b/>
                <w:bCs/>
                <w:sz w:val="28"/>
                <w:shd w:val="clear" w:color="auto" w:fill="FFFFFF"/>
              </w:rPr>
              <w:t>Por el cargo de constitucionalidad</w:t>
            </w:r>
          </w:p>
        </w:tc>
      </w:tr>
      <w:tr w:rsidR="00CB64EE" w:rsidRPr="00D073E6" w:rsidTr="00140208">
        <w:tc>
          <w:tcPr>
            <w:tcW w:w="2500" w:type="pct"/>
          </w:tcPr>
          <w:p w:rsidR="00CB64EE" w:rsidRPr="00D073E6" w:rsidRDefault="00D073E6" w:rsidP="00140208">
            <w:pPr>
              <w:pStyle w:val="Prrafodelista"/>
              <w:ind w:left="0"/>
              <w:jc w:val="both"/>
              <w:rPr>
                <w:rFonts w:ascii="Times New Roman" w:hAnsi="Times New Roman" w:cs="Times New Roman"/>
                <w:b/>
                <w:bCs/>
                <w:sz w:val="28"/>
              </w:rPr>
            </w:pPr>
            <w:r w:rsidRPr="00D073E6">
              <w:rPr>
                <w:rFonts w:ascii="Times New Roman" w:hAnsi="Times New Roman" w:cs="Times New Roman"/>
                <w:b/>
                <w:bCs/>
                <w:sz w:val="28"/>
              </w:rPr>
              <w:t>Cosa juzgada absoluta:</w:t>
            </w:r>
          </w:p>
          <w:p w:rsidR="00CB64EE" w:rsidRPr="00D073E6" w:rsidRDefault="00D073E6" w:rsidP="00140208">
            <w:pPr>
              <w:pStyle w:val="Prrafodelista"/>
              <w:ind w:left="0"/>
              <w:jc w:val="both"/>
              <w:rPr>
                <w:rFonts w:ascii="Times New Roman" w:hAnsi="Times New Roman" w:cs="Times New Roman"/>
                <w:sz w:val="28"/>
                <w:shd w:val="clear" w:color="auto" w:fill="FFFFFF"/>
              </w:rPr>
            </w:pPr>
            <w:r w:rsidRPr="00D073E6">
              <w:rPr>
                <w:rFonts w:ascii="Times New Roman" w:hAnsi="Times New Roman" w:cs="Times New Roman"/>
                <w:sz w:val="28"/>
              </w:rPr>
              <w:t>Cuando la primera decisión agotó cualquier debate sobre la constitucionalidad de la norma acusada. Ocurre cuando se analizó la validez de</w:t>
            </w:r>
            <w:r w:rsidRPr="00D073E6">
              <w:rPr>
                <w:rFonts w:ascii="Times New Roman" w:hAnsi="Times New Roman" w:cs="Times New Roman"/>
                <w:sz w:val="28"/>
              </w:rPr>
              <w:t xml:space="preserve"> la norma acusada con la totalidad del bloque de constitucionalidad. Por regla general corresponde a las sentencias emitidas en ejercicio del control automático e integral que la Constitución Política asigna a cierto tipo de normas con rango de ley.</w:t>
            </w:r>
          </w:p>
        </w:tc>
        <w:tc>
          <w:tcPr>
            <w:tcW w:w="2500" w:type="pct"/>
          </w:tcPr>
          <w:p w:rsidR="00CB64EE" w:rsidRPr="00D073E6" w:rsidRDefault="00D073E6" w:rsidP="00140208">
            <w:pPr>
              <w:pStyle w:val="Prrafodelista"/>
              <w:ind w:left="0"/>
              <w:jc w:val="both"/>
              <w:rPr>
                <w:rFonts w:ascii="Times New Roman" w:hAnsi="Times New Roman" w:cs="Times New Roman"/>
                <w:b/>
                <w:bCs/>
                <w:sz w:val="28"/>
              </w:rPr>
            </w:pPr>
            <w:r w:rsidRPr="00D073E6">
              <w:rPr>
                <w:rFonts w:ascii="Times New Roman" w:hAnsi="Times New Roman" w:cs="Times New Roman"/>
                <w:b/>
                <w:bCs/>
                <w:sz w:val="28"/>
              </w:rPr>
              <w:t>Cosa j</w:t>
            </w:r>
            <w:r w:rsidRPr="00D073E6">
              <w:rPr>
                <w:rFonts w:ascii="Times New Roman" w:hAnsi="Times New Roman" w:cs="Times New Roman"/>
                <w:b/>
                <w:bCs/>
                <w:sz w:val="28"/>
              </w:rPr>
              <w:t>uzgada relativa:</w:t>
            </w:r>
          </w:p>
          <w:p w:rsidR="00CB64EE" w:rsidRPr="00D073E6" w:rsidRDefault="00D073E6" w:rsidP="00140208">
            <w:pPr>
              <w:pStyle w:val="Prrafodelista"/>
              <w:ind w:left="0"/>
              <w:jc w:val="both"/>
              <w:rPr>
                <w:rFonts w:ascii="Times New Roman" w:hAnsi="Times New Roman" w:cs="Times New Roman"/>
                <w:sz w:val="28"/>
              </w:rPr>
            </w:pPr>
            <w:r w:rsidRPr="00D073E6">
              <w:rPr>
                <w:rFonts w:ascii="Times New Roman" w:hAnsi="Times New Roman" w:cs="Times New Roman"/>
                <w:sz w:val="28"/>
              </w:rPr>
              <w:t>Cuando la decisión previa juzgó la validez constitucional sólo desde la perspectiva de algunos de los cargos posibles.</w:t>
            </w:r>
          </w:p>
          <w:p w:rsidR="00CB64EE" w:rsidRPr="00D073E6" w:rsidRDefault="00D073E6" w:rsidP="00140208">
            <w:pPr>
              <w:pStyle w:val="Prrafodelista"/>
              <w:ind w:left="0"/>
              <w:jc w:val="both"/>
              <w:rPr>
                <w:rFonts w:ascii="Times New Roman" w:hAnsi="Times New Roman" w:cs="Times New Roman"/>
                <w:sz w:val="28"/>
                <w:shd w:val="clear" w:color="auto" w:fill="FFFFFF"/>
              </w:rPr>
            </w:pPr>
          </w:p>
          <w:p w:rsidR="00CB64EE" w:rsidRPr="00D073E6" w:rsidRDefault="00D073E6" w:rsidP="00140208">
            <w:pPr>
              <w:pStyle w:val="Prrafodelista"/>
              <w:ind w:left="0"/>
              <w:jc w:val="both"/>
              <w:rPr>
                <w:rFonts w:ascii="Times New Roman" w:hAnsi="Times New Roman" w:cs="Times New Roman"/>
                <w:sz w:val="28"/>
              </w:rPr>
            </w:pPr>
            <w:r w:rsidRPr="00D073E6">
              <w:rPr>
                <w:rFonts w:ascii="Times New Roman" w:hAnsi="Times New Roman" w:cs="Times New Roman"/>
                <w:sz w:val="28"/>
              </w:rPr>
              <w:t>La cosa juzgada relativa puede ser explícita o implícita.</w:t>
            </w:r>
          </w:p>
          <w:p w:rsidR="00CB64EE" w:rsidRPr="00D073E6" w:rsidRDefault="00D073E6" w:rsidP="00140208">
            <w:pPr>
              <w:pStyle w:val="Prrafodelista"/>
              <w:ind w:left="0"/>
              <w:jc w:val="both"/>
              <w:rPr>
                <w:rFonts w:ascii="Times New Roman" w:hAnsi="Times New Roman" w:cs="Times New Roman"/>
                <w:sz w:val="28"/>
              </w:rPr>
            </w:pPr>
          </w:p>
          <w:p w:rsidR="00CB64EE" w:rsidRPr="00D073E6" w:rsidRDefault="00D073E6" w:rsidP="00140208">
            <w:pPr>
              <w:pStyle w:val="Prrafodelista"/>
              <w:ind w:left="0"/>
              <w:jc w:val="both"/>
              <w:rPr>
                <w:rFonts w:ascii="Times New Roman" w:hAnsi="Times New Roman" w:cs="Times New Roman"/>
                <w:sz w:val="28"/>
              </w:rPr>
            </w:pPr>
            <w:r w:rsidRPr="00D073E6">
              <w:rPr>
                <w:rFonts w:ascii="Times New Roman" w:hAnsi="Times New Roman" w:cs="Times New Roman"/>
                <w:sz w:val="28"/>
              </w:rPr>
              <w:t xml:space="preserve">Será </w:t>
            </w:r>
            <w:r w:rsidRPr="00D073E6">
              <w:rPr>
                <w:rFonts w:ascii="Times New Roman" w:hAnsi="Times New Roman" w:cs="Times New Roman"/>
                <w:b/>
                <w:bCs/>
                <w:sz w:val="28"/>
              </w:rPr>
              <w:t>cosa juzgada relativa explícita</w:t>
            </w:r>
            <w:r w:rsidRPr="00D073E6">
              <w:rPr>
                <w:rFonts w:ascii="Times New Roman" w:hAnsi="Times New Roman" w:cs="Times New Roman"/>
                <w:sz w:val="28"/>
              </w:rPr>
              <w:t xml:space="preserve"> cuando en la parte reso</w:t>
            </w:r>
            <w:r w:rsidRPr="00D073E6">
              <w:rPr>
                <w:rFonts w:ascii="Times New Roman" w:hAnsi="Times New Roman" w:cs="Times New Roman"/>
                <w:sz w:val="28"/>
              </w:rPr>
              <w:t xml:space="preserve">lutiva de la sentencia se establece expresamente que el pronunciamiento de la Corte se limita a los cargos analizados. </w:t>
            </w:r>
          </w:p>
          <w:p w:rsidR="00CB64EE" w:rsidRPr="00D073E6" w:rsidRDefault="00D073E6" w:rsidP="00140208">
            <w:pPr>
              <w:pStyle w:val="Prrafodelista"/>
              <w:ind w:left="0"/>
              <w:jc w:val="both"/>
              <w:rPr>
                <w:rFonts w:ascii="Times New Roman" w:hAnsi="Times New Roman" w:cs="Times New Roman"/>
                <w:sz w:val="28"/>
              </w:rPr>
            </w:pPr>
          </w:p>
          <w:p w:rsidR="00CB64EE" w:rsidRPr="00D073E6" w:rsidRDefault="00D073E6" w:rsidP="00140208">
            <w:pPr>
              <w:pStyle w:val="Prrafodelista"/>
              <w:ind w:left="0"/>
              <w:jc w:val="both"/>
              <w:rPr>
                <w:rFonts w:ascii="Times New Roman" w:hAnsi="Times New Roman" w:cs="Times New Roman"/>
                <w:sz w:val="28"/>
                <w:shd w:val="clear" w:color="auto" w:fill="FFFFFF"/>
              </w:rPr>
            </w:pPr>
            <w:r w:rsidRPr="00D073E6">
              <w:rPr>
                <w:rFonts w:ascii="Times New Roman" w:hAnsi="Times New Roman" w:cs="Times New Roman"/>
                <w:sz w:val="28"/>
              </w:rPr>
              <w:t xml:space="preserve">Será </w:t>
            </w:r>
            <w:r w:rsidRPr="00D073E6">
              <w:rPr>
                <w:rFonts w:ascii="Times New Roman" w:hAnsi="Times New Roman" w:cs="Times New Roman"/>
                <w:b/>
                <w:bCs/>
                <w:sz w:val="28"/>
              </w:rPr>
              <w:t>cosa juzgada relativa implícita</w:t>
            </w:r>
            <w:r w:rsidRPr="00D073E6">
              <w:rPr>
                <w:rFonts w:ascii="Times New Roman" w:hAnsi="Times New Roman" w:cs="Times New Roman"/>
                <w:sz w:val="28"/>
              </w:rPr>
              <w:t xml:space="preserve"> cuando, pese a no hacerse tal referencia en la parte resolutiva, de las consideraciones de la sentencia se puede desprender que la Corte limitó su juicio a determinados cargos.</w:t>
            </w:r>
          </w:p>
        </w:tc>
      </w:tr>
      <w:tr w:rsidR="00CB64EE" w:rsidRPr="00D073E6" w:rsidTr="00140208">
        <w:tc>
          <w:tcPr>
            <w:tcW w:w="5000" w:type="pct"/>
            <w:gridSpan w:val="2"/>
          </w:tcPr>
          <w:p w:rsidR="00CB64EE" w:rsidRPr="00D073E6" w:rsidRDefault="00D073E6" w:rsidP="00140208">
            <w:pPr>
              <w:pStyle w:val="Prrafodelista"/>
              <w:ind w:left="0"/>
              <w:jc w:val="center"/>
              <w:rPr>
                <w:rFonts w:ascii="Times New Roman" w:hAnsi="Times New Roman" w:cs="Times New Roman"/>
                <w:b/>
                <w:bCs/>
                <w:sz w:val="28"/>
              </w:rPr>
            </w:pPr>
            <w:r w:rsidRPr="00D073E6">
              <w:rPr>
                <w:rFonts w:ascii="Times New Roman" w:hAnsi="Times New Roman" w:cs="Times New Roman"/>
                <w:b/>
                <w:bCs/>
                <w:sz w:val="28"/>
              </w:rPr>
              <w:t>Cosa juzgada aparente</w:t>
            </w:r>
            <w:r w:rsidRPr="00D073E6">
              <w:rPr>
                <w:rStyle w:val="Refdenotaalpie"/>
                <w:rFonts w:ascii="Times New Roman" w:eastAsiaTheme="majorEastAsia" w:hAnsi="Times New Roman" w:cs="Times New Roman"/>
                <w:b/>
                <w:bCs/>
                <w:sz w:val="28"/>
              </w:rPr>
              <w:footnoteReference w:id="52"/>
            </w:r>
          </w:p>
        </w:tc>
      </w:tr>
      <w:tr w:rsidR="00CB64EE" w:rsidRPr="00D073E6" w:rsidTr="00140208">
        <w:tc>
          <w:tcPr>
            <w:tcW w:w="5000" w:type="pct"/>
            <w:gridSpan w:val="2"/>
          </w:tcPr>
          <w:p w:rsidR="00CB64EE" w:rsidRPr="00D073E6" w:rsidRDefault="00D073E6" w:rsidP="00140208">
            <w:pPr>
              <w:contextualSpacing/>
              <w:jc w:val="both"/>
              <w:rPr>
                <w:rFonts w:ascii="Times New Roman" w:hAnsi="Times New Roman" w:cs="Times New Roman"/>
                <w:noProof/>
                <w:sz w:val="28"/>
                <w:lang w:val="es-ES_tradnl"/>
              </w:rPr>
            </w:pPr>
            <w:r w:rsidRPr="00D073E6">
              <w:rPr>
                <w:rFonts w:ascii="Times New Roman" w:hAnsi="Times New Roman" w:cs="Times New Roman"/>
                <w:noProof/>
                <w:sz w:val="28"/>
              </w:rPr>
              <w:t>Ocurre cuando</w:t>
            </w:r>
            <w:r w:rsidRPr="00D073E6">
              <w:rPr>
                <w:rFonts w:ascii="Times New Roman" w:hAnsi="Times New Roman" w:cs="Times New Roman"/>
                <w:noProof/>
                <w:sz w:val="28"/>
                <w:lang w:val="es-ES_tradnl"/>
              </w:rPr>
              <w:t xml:space="preserve"> la Corte, “</w:t>
            </w:r>
            <w:r w:rsidRPr="00D073E6">
              <w:rPr>
                <w:rFonts w:ascii="Times New Roman" w:hAnsi="Times New Roman" w:cs="Times New Roman"/>
                <w:i/>
                <w:iCs/>
                <w:noProof/>
                <w:sz w:val="28"/>
                <w:lang w:val="es-ES_tradnl"/>
              </w:rPr>
              <w:t>a pesar de adoptar una decis</w:t>
            </w:r>
            <w:r w:rsidRPr="00D073E6">
              <w:rPr>
                <w:rFonts w:ascii="Times New Roman" w:hAnsi="Times New Roman" w:cs="Times New Roman"/>
                <w:i/>
                <w:iCs/>
                <w:noProof/>
                <w:sz w:val="28"/>
                <w:lang w:val="es-ES_tradnl"/>
              </w:rPr>
              <w:t>ión en la parte resolutiva de sus providencias declarando la exequibilidad de una norma, en realidad no ejerce función jurisdiccional alguna y, por ello, la cosa juzgada es ficticia</w:t>
            </w:r>
            <w:r w:rsidRPr="00D073E6">
              <w:rPr>
                <w:rFonts w:ascii="Times New Roman" w:hAnsi="Times New Roman" w:cs="Times New Roman"/>
                <w:noProof/>
                <w:sz w:val="28"/>
                <w:lang w:val="es-ES_tradnl"/>
              </w:rPr>
              <w:t>”.</w:t>
            </w:r>
            <w:r w:rsidRPr="00D073E6">
              <w:rPr>
                <w:rStyle w:val="Refdenotaalpie"/>
                <w:rFonts w:ascii="Times New Roman" w:eastAsiaTheme="majorEastAsia" w:hAnsi="Times New Roman" w:cs="Times New Roman"/>
                <w:sz w:val="28"/>
              </w:rPr>
              <w:footnoteReference w:id="53"/>
            </w:r>
          </w:p>
          <w:p w:rsidR="00CB64EE" w:rsidRPr="00D073E6" w:rsidRDefault="00D073E6" w:rsidP="00140208">
            <w:pPr>
              <w:contextualSpacing/>
              <w:jc w:val="both"/>
              <w:rPr>
                <w:rFonts w:ascii="Times New Roman" w:hAnsi="Times New Roman" w:cs="Times New Roman"/>
                <w:noProof/>
                <w:sz w:val="28"/>
                <w:lang w:val="es-ES_tradnl"/>
              </w:rPr>
            </w:pPr>
          </w:p>
          <w:p w:rsidR="00CB64EE" w:rsidRPr="00D073E6" w:rsidRDefault="00D073E6" w:rsidP="00140208">
            <w:pPr>
              <w:contextualSpacing/>
              <w:jc w:val="both"/>
              <w:rPr>
                <w:rFonts w:ascii="Times New Roman" w:hAnsi="Times New Roman" w:cs="Times New Roman"/>
                <w:noProof/>
                <w:sz w:val="28"/>
                <w:lang w:val="es-ES_tradnl"/>
              </w:rPr>
            </w:pPr>
            <w:r w:rsidRPr="00D073E6">
              <w:rPr>
                <w:rFonts w:ascii="Times New Roman" w:hAnsi="Times New Roman" w:cs="Times New Roman"/>
                <w:noProof/>
                <w:sz w:val="28"/>
                <w:lang w:val="es-ES_tradnl"/>
              </w:rPr>
              <w:t>La cosa juzgada aparente depende de que la declaración de exequibilidad carezca de toda motivación en el cuerpo de la providencia. En este caso, aunque la declaración de exequibilidad da la apariencia de cosa juzgada, en realidad la norma demandada no está</w:t>
            </w:r>
            <w:r w:rsidRPr="00D073E6">
              <w:rPr>
                <w:rFonts w:ascii="Times New Roman" w:hAnsi="Times New Roman" w:cs="Times New Roman"/>
                <w:noProof/>
                <w:sz w:val="28"/>
                <w:lang w:val="es-ES_tradnl"/>
              </w:rPr>
              <w:t xml:space="preserve"> revestida de cosa juzgada, ni formal, ni material debido a la ausencia de motivación de la providencia en tal sentido. </w:t>
            </w:r>
          </w:p>
          <w:p w:rsidR="00CB64EE" w:rsidRPr="00D073E6" w:rsidRDefault="00D073E6" w:rsidP="00140208">
            <w:pPr>
              <w:contextualSpacing/>
              <w:jc w:val="both"/>
              <w:rPr>
                <w:rFonts w:ascii="Times New Roman" w:hAnsi="Times New Roman" w:cs="Times New Roman"/>
                <w:noProof/>
                <w:sz w:val="28"/>
                <w:lang w:val="es-ES_tradnl"/>
              </w:rPr>
            </w:pPr>
          </w:p>
          <w:p w:rsidR="00CB64EE" w:rsidRPr="00D073E6" w:rsidRDefault="00D073E6" w:rsidP="00140208">
            <w:pPr>
              <w:jc w:val="both"/>
              <w:rPr>
                <w:rFonts w:ascii="Times New Roman" w:hAnsi="Times New Roman" w:cs="Times New Roman"/>
                <w:sz w:val="28"/>
              </w:rPr>
            </w:pPr>
            <w:r w:rsidRPr="00D073E6">
              <w:rPr>
                <w:rFonts w:ascii="Times New Roman" w:hAnsi="Times New Roman" w:cs="Times New Roman"/>
                <w:bCs/>
                <w:sz w:val="28"/>
              </w:rPr>
              <w:t xml:space="preserve">La cosa juzgada aparente tiene lugar en dos hipótesis: </w:t>
            </w:r>
            <w:r w:rsidRPr="00D073E6">
              <w:rPr>
                <w:rFonts w:ascii="Times New Roman" w:hAnsi="Times New Roman" w:cs="Times New Roman"/>
                <w:bCs/>
                <w:i/>
                <w:iCs/>
                <w:sz w:val="28"/>
              </w:rPr>
              <w:t>(i)</w:t>
            </w:r>
            <w:r w:rsidRPr="00D073E6">
              <w:rPr>
                <w:rFonts w:ascii="Times New Roman" w:hAnsi="Times New Roman" w:cs="Times New Roman"/>
                <w:bCs/>
                <w:sz w:val="28"/>
              </w:rPr>
              <w:t xml:space="preserve"> cuando la Corte resuelve declarar exequible una disposición, pero en la par</w:t>
            </w:r>
            <w:r w:rsidRPr="00D073E6">
              <w:rPr>
                <w:rFonts w:ascii="Times New Roman" w:hAnsi="Times New Roman" w:cs="Times New Roman"/>
                <w:bCs/>
                <w:sz w:val="28"/>
              </w:rPr>
              <w:t>te motiva de la sentencia omite totalmente el estudio de constitucionalidad de aquella, de forma que la disposición no fue objeto de función jurisdiccional alguna</w:t>
            </w:r>
            <w:r w:rsidRPr="00D073E6">
              <w:rPr>
                <w:rFonts w:ascii="Times New Roman" w:hAnsi="Times New Roman" w:cs="Times New Roman"/>
                <w:bCs/>
                <w:sz w:val="28"/>
              </w:rPr>
              <w:t>; y</w:t>
            </w:r>
            <w:r w:rsidRPr="00D073E6">
              <w:rPr>
                <w:rFonts w:ascii="Times New Roman" w:hAnsi="Times New Roman" w:cs="Times New Roman"/>
                <w:bCs/>
                <w:sz w:val="28"/>
              </w:rPr>
              <w:t xml:space="preserve"> </w:t>
            </w:r>
            <w:r w:rsidRPr="00D073E6">
              <w:rPr>
                <w:rFonts w:ascii="Times New Roman" w:hAnsi="Times New Roman" w:cs="Times New Roman"/>
                <w:bCs/>
                <w:i/>
                <w:iCs/>
                <w:sz w:val="28"/>
              </w:rPr>
              <w:t>(ii)</w:t>
            </w:r>
            <w:r w:rsidRPr="00D073E6">
              <w:rPr>
                <w:rFonts w:ascii="Times New Roman" w:hAnsi="Times New Roman" w:cs="Times New Roman"/>
                <w:bCs/>
                <w:sz w:val="28"/>
              </w:rPr>
              <w:t xml:space="preserve"> Cuando se declara exequible una disposición, pero en la parte motiva del fallo sólo s</w:t>
            </w:r>
            <w:r w:rsidRPr="00D073E6">
              <w:rPr>
                <w:rFonts w:ascii="Times New Roman" w:hAnsi="Times New Roman" w:cs="Times New Roman"/>
                <w:bCs/>
                <w:sz w:val="28"/>
              </w:rPr>
              <w:t>e estudió una de las normas contenidas en aquélla.</w:t>
            </w:r>
            <w:r w:rsidRPr="00D073E6">
              <w:rPr>
                <w:rStyle w:val="Refdenotaalpie"/>
                <w:rFonts w:ascii="Times New Roman" w:eastAsiaTheme="majorEastAsia" w:hAnsi="Times New Roman" w:cs="Times New Roman"/>
                <w:bCs/>
                <w:sz w:val="28"/>
              </w:rPr>
              <w:footnoteReference w:id="54"/>
            </w:r>
            <w:r w:rsidRPr="00D073E6">
              <w:rPr>
                <w:rFonts w:ascii="Times New Roman" w:hAnsi="Times New Roman" w:cs="Times New Roman"/>
                <w:bCs/>
                <w:sz w:val="28"/>
              </w:rPr>
              <w:t xml:space="preserve"> </w:t>
            </w:r>
            <w:r w:rsidRPr="00D073E6">
              <w:rPr>
                <w:rFonts w:ascii="Times New Roman" w:hAnsi="Times New Roman" w:cs="Times New Roman"/>
                <w:bCs/>
                <w:i/>
                <w:iCs/>
                <w:sz w:val="28"/>
              </w:rPr>
              <w:t>“</w:t>
            </w:r>
            <w:r w:rsidRPr="00D073E6">
              <w:rPr>
                <w:rFonts w:ascii="Times New Roman" w:hAnsi="Times New Roman" w:cs="Times New Roman"/>
                <w:bCs/>
                <w:i/>
                <w:iCs/>
                <w:sz w:val="28"/>
              </w:rPr>
              <w:t>En este caso, las normas que carecieron de pronunciamiento jurisdiccional pueden ser objeto de un estudio de constitucionalidad en una nueva ocasión.</w:t>
            </w:r>
            <w:r w:rsidRPr="00D073E6">
              <w:rPr>
                <w:rFonts w:ascii="Times New Roman" w:hAnsi="Times New Roman" w:cs="Times New Roman"/>
                <w:bCs/>
                <w:sz w:val="28"/>
              </w:rPr>
              <w:t>”</w:t>
            </w:r>
            <w:r w:rsidRPr="00D073E6">
              <w:rPr>
                <w:rStyle w:val="Refdenotaalpie"/>
                <w:rFonts w:ascii="Times New Roman" w:eastAsiaTheme="majorEastAsia" w:hAnsi="Times New Roman" w:cs="Times New Roman"/>
                <w:bCs/>
                <w:sz w:val="28"/>
              </w:rPr>
              <w:footnoteReference w:id="55"/>
            </w:r>
          </w:p>
        </w:tc>
      </w:tr>
    </w:tbl>
    <w:p w:rsidR="00A142F4" w:rsidRPr="00D073E6" w:rsidRDefault="00D073E6" w:rsidP="00A142F4">
      <w:pPr>
        <w:rPr>
          <w:rFonts w:ascii="Times New Roman" w:hAnsi="Times New Roman" w:cs="Times New Roman"/>
          <w:sz w:val="28"/>
        </w:rPr>
      </w:pPr>
    </w:p>
    <w:p w:rsidR="006C680D" w:rsidRPr="00D073E6" w:rsidRDefault="00D073E6" w:rsidP="006C680D">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 xml:space="preserve">La Corte ha admitido </w:t>
      </w:r>
      <w:r w:rsidRPr="00D073E6">
        <w:rPr>
          <w:rFonts w:ascii="Times New Roman" w:hAnsi="Times New Roman" w:cs="Times New Roman"/>
          <w:sz w:val="28"/>
          <w:szCs w:val="28"/>
          <w:lang w:val="es-ES_tradnl"/>
        </w:rPr>
        <w:t xml:space="preserve">que, aunque se constate la existencia de cosa juzgada constitucional, es posible reabrir el análisis de </w:t>
      </w:r>
      <w:r w:rsidRPr="00D073E6">
        <w:rPr>
          <w:rFonts w:ascii="Times New Roman" w:hAnsi="Times New Roman" w:cs="Times New Roman"/>
          <w:sz w:val="28"/>
          <w:szCs w:val="28"/>
          <w:lang w:val="es-ES_tradnl"/>
        </w:rPr>
        <w:t>exequibilidad</w:t>
      </w:r>
      <w:r w:rsidRPr="00D073E6">
        <w:rPr>
          <w:rFonts w:ascii="Times New Roman" w:hAnsi="Times New Roman" w:cs="Times New Roman"/>
          <w:sz w:val="28"/>
          <w:szCs w:val="28"/>
          <w:lang w:val="es-ES_tradnl"/>
        </w:rPr>
        <w:t xml:space="preserve"> </w:t>
      </w:r>
      <w:r w:rsidRPr="00D073E6">
        <w:rPr>
          <w:rFonts w:ascii="Times New Roman" w:hAnsi="Times New Roman" w:cs="Times New Roman"/>
          <w:sz w:val="28"/>
          <w:szCs w:val="28"/>
          <w:lang w:val="es-ES_tradnl"/>
        </w:rPr>
        <w:t>de un asunto en algunos de los siguientes eventos</w:t>
      </w:r>
      <w:r w:rsidRPr="00D073E6">
        <w:rPr>
          <w:rFonts w:ascii="Times New Roman" w:hAnsi="Times New Roman" w:cs="Times New Roman"/>
          <w:sz w:val="28"/>
          <w:szCs w:val="28"/>
          <w:lang w:val="es-ES_tradnl"/>
        </w:rPr>
        <w:t>, siempre y cuando la decisión previa no haya sido de inexequibilidad</w:t>
      </w:r>
      <w:r w:rsidRPr="00D073E6">
        <w:rPr>
          <w:rFonts w:ascii="Times New Roman" w:hAnsi="Times New Roman" w:cs="Times New Roman"/>
          <w:sz w:val="28"/>
          <w:szCs w:val="28"/>
          <w:lang w:val="es-ES_tradnl"/>
        </w:rPr>
        <w:t xml:space="preserve">: </w:t>
      </w:r>
    </w:p>
    <w:p w:rsidR="00750176" w:rsidRPr="00D073E6" w:rsidRDefault="00D073E6" w:rsidP="0050371C">
      <w:pPr>
        <w:pStyle w:val="Prrafodelista"/>
        <w:widowControl w:val="0"/>
        <w:tabs>
          <w:tab w:val="left" w:pos="709"/>
        </w:tabs>
        <w:ind w:left="0"/>
        <w:contextualSpacing w:val="0"/>
        <w:jc w:val="both"/>
        <w:rPr>
          <w:rFonts w:ascii="Times New Roman" w:hAnsi="Times New Roman" w:cs="Times New Roman"/>
          <w:sz w:val="28"/>
          <w:lang w:val="es-ES_tradnl"/>
        </w:rPr>
      </w:pPr>
    </w:p>
    <w:p w:rsidR="00CA2B07" w:rsidRPr="00D073E6" w:rsidRDefault="00D073E6" w:rsidP="0050371C">
      <w:pPr>
        <w:pStyle w:val="Prrafodelista"/>
        <w:ind w:left="284" w:right="284"/>
        <w:jc w:val="both"/>
        <w:rPr>
          <w:rFonts w:ascii="Times New Roman" w:hAnsi="Times New Roman" w:cs="Times New Roman"/>
          <w:sz w:val="28"/>
        </w:rPr>
      </w:pPr>
      <w:r w:rsidRPr="00D073E6">
        <w:rPr>
          <w:rFonts w:ascii="Times New Roman" w:hAnsi="Times New Roman" w:cs="Times New Roman"/>
          <w:sz w:val="28"/>
          <w:shd w:val="clear" w:color="auto" w:fill="FFFFFF"/>
        </w:rPr>
        <w:t>“</w:t>
      </w:r>
      <w:r w:rsidRPr="00D073E6">
        <w:rPr>
          <w:rFonts w:ascii="Times New Roman" w:hAnsi="Times New Roman" w:cs="Times New Roman"/>
          <w:i/>
          <w:iCs/>
          <w:sz w:val="28"/>
          <w:shd w:val="clear" w:color="auto" w:fill="FFFFFF"/>
        </w:rPr>
        <w:t>(i)</w:t>
      </w:r>
      <w:r w:rsidRPr="00D073E6">
        <w:rPr>
          <w:rFonts w:ascii="Times New Roman" w:hAnsi="Times New Roman" w:cs="Times New Roman"/>
          <w:sz w:val="28"/>
          <w:shd w:val="clear" w:color="auto" w:fill="FFFFFF"/>
        </w:rPr>
        <w:t xml:space="preserve"> </w:t>
      </w:r>
      <w:r w:rsidRPr="00D073E6">
        <w:rPr>
          <w:rFonts w:ascii="Times New Roman" w:hAnsi="Times New Roman" w:cs="Times New Roman"/>
          <w:i/>
          <w:iCs/>
          <w:sz w:val="28"/>
          <w:shd w:val="clear" w:color="auto" w:fill="FFFFFF"/>
        </w:rPr>
        <w:t xml:space="preserve">La </w:t>
      </w:r>
      <w:r w:rsidRPr="00D073E6">
        <w:rPr>
          <w:rFonts w:ascii="Times New Roman" w:hAnsi="Times New Roman" w:cs="Times New Roman"/>
          <w:i/>
          <w:iCs/>
          <w:sz w:val="28"/>
          <w:shd w:val="clear" w:color="auto" w:fill="FFFFFF"/>
        </w:rPr>
        <w:t>modificación del parámetro de control, (ii) el cambio en la significación material de la Constitución y (iii) la variación del contexto normativo del objeto de control. El primer evento, se refiere a aquellos casos en los que la norma constitucional que si</w:t>
      </w:r>
      <w:r w:rsidRPr="00D073E6">
        <w:rPr>
          <w:rFonts w:ascii="Times New Roman" w:hAnsi="Times New Roman" w:cs="Times New Roman"/>
          <w:i/>
          <w:iCs/>
          <w:sz w:val="28"/>
          <w:shd w:val="clear" w:color="auto" w:fill="FFFFFF"/>
        </w:rPr>
        <w:t>rvió de parámetro de control ha sido modificada, bien como resultado de una reforma constitucional, o por efecto de la incorporación de nuevas reglas al bloque de constitucionalidad. El segundo evento, cambio en la significación material de la Constitución</w:t>
      </w:r>
      <w:r w:rsidRPr="00D073E6">
        <w:rPr>
          <w:rFonts w:ascii="Times New Roman" w:hAnsi="Times New Roman" w:cs="Times New Roman"/>
          <w:i/>
          <w:iCs/>
          <w:sz w:val="28"/>
          <w:shd w:val="clear" w:color="auto" w:fill="FFFFFF"/>
        </w:rPr>
        <w:t>, implica la variación del parámetro no por una modificación formal, como en el caso anterior, sino por un cambio en las significaciones constitucionales que inspiraron el primer control; esta hipótesis se deriva del reconocimiento de que la Constitución e</w:t>
      </w:r>
      <w:r w:rsidRPr="00D073E6">
        <w:rPr>
          <w:rFonts w:ascii="Times New Roman" w:hAnsi="Times New Roman" w:cs="Times New Roman"/>
          <w:i/>
          <w:iCs/>
          <w:sz w:val="28"/>
          <w:shd w:val="clear" w:color="auto" w:fill="FFFFFF"/>
        </w:rPr>
        <w:t xml:space="preserve">s un texto vivo cuyo significado puede cambiar </w:t>
      </w:r>
      <w:r w:rsidRPr="00D073E6">
        <w:rPr>
          <w:rFonts w:ascii="Times New Roman" w:hAnsi="Times New Roman" w:cs="Times New Roman"/>
          <w:i/>
          <w:iCs/>
          <w:sz w:val="28"/>
        </w:rPr>
        <w:t xml:space="preserve">como resultado del </w:t>
      </w:r>
      <w:r w:rsidRPr="00D073E6">
        <w:rPr>
          <w:rFonts w:ascii="Times New Roman" w:hAnsi="Times New Roman" w:cs="Times New Roman"/>
          <w:i/>
          <w:iCs/>
          <w:sz w:val="28"/>
          <w:shd w:val="clear" w:color="auto" w:fill="FFFFFF"/>
        </w:rPr>
        <w:t>“carácter dinámico de la Constitución, que se deriva de su relación directa con la realidad sociopolítica del país”.</w:t>
      </w:r>
      <w:r w:rsidRPr="00D073E6">
        <w:rPr>
          <w:rStyle w:val="Refdenotaalpie"/>
          <w:rFonts w:ascii="Times New Roman" w:eastAsiaTheme="majorEastAsia" w:hAnsi="Times New Roman" w:cs="Times New Roman"/>
          <w:i/>
          <w:iCs/>
          <w:sz w:val="28"/>
          <w:shd w:val="clear" w:color="auto" w:fill="FFFFFF"/>
        </w:rPr>
        <w:footnoteReference w:id="56"/>
      </w:r>
      <w:r w:rsidRPr="00D073E6">
        <w:rPr>
          <w:rFonts w:ascii="Times New Roman" w:hAnsi="Times New Roman" w:cs="Times New Roman"/>
          <w:i/>
          <w:iCs/>
          <w:sz w:val="28"/>
        </w:rPr>
        <w:t xml:space="preserve"> El tercer evento, la variación del contexto normativo del objeto de cont</w:t>
      </w:r>
      <w:r w:rsidRPr="00D073E6">
        <w:rPr>
          <w:rFonts w:ascii="Times New Roman" w:hAnsi="Times New Roman" w:cs="Times New Roman"/>
          <w:i/>
          <w:iCs/>
          <w:sz w:val="28"/>
        </w:rPr>
        <w:t>rol, supone que el contenido normativo previamente juzgado haya sido modificado, o que el ordenamiento en el que se inscribe haya variado de forma que incidió en el alcance de la norma originalmente juzgada.</w:t>
      </w:r>
      <w:r w:rsidRPr="00D073E6">
        <w:rPr>
          <w:rFonts w:ascii="Times New Roman" w:hAnsi="Times New Roman" w:cs="Times New Roman"/>
          <w:sz w:val="28"/>
        </w:rPr>
        <w:t>”</w:t>
      </w:r>
      <w:r w:rsidRPr="00D073E6">
        <w:rPr>
          <w:rStyle w:val="Refdenotaalpie"/>
          <w:rFonts w:ascii="Times New Roman" w:hAnsi="Times New Roman" w:cs="Times New Roman"/>
          <w:sz w:val="28"/>
        </w:rPr>
        <w:footnoteReference w:id="57"/>
      </w:r>
    </w:p>
    <w:p w:rsidR="00750176" w:rsidRPr="00D073E6" w:rsidRDefault="00D073E6" w:rsidP="00750176">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491F2F" w:rsidRPr="00D073E6" w:rsidRDefault="00D073E6" w:rsidP="006C680D">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 xml:space="preserve">En el supuesto en que </w:t>
      </w:r>
      <w:r w:rsidRPr="00D073E6">
        <w:rPr>
          <w:rFonts w:ascii="Times New Roman" w:hAnsi="Times New Roman" w:cs="Times New Roman"/>
          <w:sz w:val="28"/>
          <w:szCs w:val="28"/>
          <w:lang w:val="es-ES_tradnl"/>
        </w:rPr>
        <w:t>la decisión respecto de</w:t>
      </w:r>
      <w:r w:rsidRPr="00D073E6">
        <w:rPr>
          <w:rFonts w:ascii="Times New Roman" w:hAnsi="Times New Roman" w:cs="Times New Roman"/>
          <w:sz w:val="28"/>
          <w:szCs w:val="28"/>
          <w:lang w:val="es-ES_tradnl"/>
        </w:rPr>
        <w:t xml:space="preserve"> la cual se predica la cosa juzgada se</w:t>
      </w:r>
      <w:r w:rsidRPr="00D073E6">
        <w:rPr>
          <w:rFonts w:ascii="Times New Roman" w:hAnsi="Times New Roman" w:cs="Times New Roman"/>
          <w:sz w:val="28"/>
          <w:szCs w:val="28"/>
          <w:lang w:val="es-ES_tradnl"/>
        </w:rPr>
        <w:t>a</w:t>
      </w:r>
      <w:r w:rsidRPr="00D073E6">
        <w:rPr>
          <w:rFonts w:ascii="Times New Roman" w:hAnsi="Times New Roman" w:cs="Times New Roman"/>
          <w:sz w:val="28"/>
          <w:szCs w:val="28"/>
          <w:lang w:val="es-ES_tradnl"/>
        </w:rPr>
        <w:t xml:space="preserve"> de </w:t>
      </w:r>
      <w:r w:rsidRPr="00D073E6">
        <w:rPr>
          <w:rFonts w:ascii="Times New Roman" w:hAnsi="Times New Roman" w:cs="Times New Roman"/>
          <w:sz w:val="28"/>
          <w:szCs w:val="28"/>
          <w:lang w:val="es-ES_tradnl"/>
        </w:rPr>
        <w:t>in</w:t>
      </w:r>
      <w:r w:rsidRPr="00D073E6">
        <w:rPr>
          <w:rFonts w:ascii="Times New Roman" w:hAnsi="Times New Roman" w:cs="Times New Roman"/>
          <w:sz w:val="28"/>
          <w:szCs w:val="28"/>
          <w:lang w:val="es-ES_tradnl"/>
        </w:rPr>
        <w:t>exequibilidad,</w:t>
      </w:r>
      <w:r w:rsidRPr="00D073E6">
        <w:rPr>
          <w:rFonts w:ascii="Times New Roman" w:hAnsi="Times New Roman" w:cs="Times New Roman"/>
          <w:sz w:val="28"/>
          <w:szCs w:val="28"/>
          <w:lang w:val="es-ES_tradnl"/>
        </w:rPr>
        <w:t xml:space="preserve"> el impacto de la cosa juzgada tiene un mayor peso, en tanto que</w:t>
      </w:r>
      <w:r w:rsidRPr="00D073E6">
        <w:rPr>
          <w:rFonts w:ascii="Times New Roman" w:hAnsi="Times New Roman" w:cs="Times New Roman"/>
          <w:sz w:val="28"/>
          <w:szCs w:val="28"/>
          <w:lang w:val="es-ES_tradnl"/>
        </w:rPr>
        <w:t xml:space="preserve">, frente a un caso idéntico, la Corte tendrá que </w:t>
      </w:r>
      <w:r w:rsidRPr="00D073E6">
        <w:rPr>
          <w:rFonts w:ascii="Times New Roman" w:hAnsi="Times New Roman" w:cs="Times New Roman"/>
          <w:sz w:val="28"/>
          <w:szCs w:val="28"/>
          <w:lang w:val="es-ES_tradnl"/>
        </w:rPr>
        <w:t>rechazar la demanda</w:t>
      </w:r>
      <w:r w:rsidRPr="00D073E6">
        <w:rPr>
          <w:rStyle w:val="Refdenotaalpie"/>
          <w:rFonts w:ascii="Times New Roman" w:hAnsi="Times New Roman" w:cs="Times New Roman"/>
          <w:sz w:val="28"/>
          <w:szCs w:val="28"/>
          <w:lang w:val="es-ES_tradnl"/>
        </w:rPr>
        <w:footnoteReference w:id="58"/>
      </w:r>
      <w:r w:rsidRPr="00D073E6">
        <w:rPr>
          <w:rFonts w:ascii="Times New Roman" w:hAnsi="Times New Roman" w:cs="Times New Roman"/>
          <w:sz w:val="28"/>
          <w:szCs w:val="28"/>
          <w:lang w:val="es-ES_tradnl"/>
        </w:rPr>
        <w:t xml:space="preserve"> o estarse </w:t>
      </w:r>
      <w:r w:rsidRPr="00D073E6">
        <w:rPr>
          <w:rFonts w:ascii="Times New Roman" w:hAnsi="Times New Roman" w:cs="Times New Roman"/>
          <w:sz w:val="28"/>
          <w:szCs w:val="28"/>
          <w:lang w:val="es-ES_tradnl"/>
        </w:rPr>
        <w:t xml:space="preserve">a </w:t>
      </w:r>
      <w:r w:rsidRPr="00D073E6">
        <w:rPr>
          <w:rFonts w:ascii="Times New Roman" w:hAnsi="Times New Roman" w:cs="Times New Roman"/>
          <w:sz w:val="28"/>
          <w:szCs w:val="28"/>
          <w:lang w:val="es-ES_tradnl"/>
        </w:rPr>
        <w:t>lo resuelto en la sentencia que deci</w:t>
      </w:r>
      <w:r w:rsidRPr="00D073E6">
        <w:rPr>
          <w:rFonts w:ascii="Times New Roman" w:hAnsi="Times New Roman" w:cs="Times New Roman"/>
          <w:sz w:val="28"/>
          <w:szCs w:val="28"/>
          <w:lang w:val="es-ES_tradnl"/>
        </w:rPr>
        <w:t>dió</w:t>
      </w:r>
      <w:r w:rsidRPr="00D073E6">
        <w:rPr>
          <w:rFonts w:ascii="Times New Roman" w:hAnsi="Times New Roman" w:cs="Times New Roman"/>
          <w:sz w:val="28"/>
          <w:szCs w:val="28"/>
          <w:lang w:val="es-ES_tradnl"/>
        </w:rPr>
        <w:t xml:space="preserve"> la </w:t>
      </w:r>
      <w:r w:rsidRPr="00D073E6">
        <w:rPr>
          <w:rFonts w:ascii="Times New Roman" w:hAnsi="Times New Roman" w:cs="Times New Roman"/>
          <w:sz w:val="28"/>
          <w:szCs w:val="28"/>
          <w:lang w:val="es-ES_tradnl"/>
        </w:rPr>
        <w:t xml:space="preserve">inexequibilidad, dado que no existe </w:t>
      </w:r>
      <w:r w:rsidRPr="00D073E6">
        <w:rPr>
          <w:rFonts w:ascii="Times New Roman" w:hAnsi="Times New Roman" w:cs="Times New Roman"/>
          <w:sz w:val="28"/>
          <w:szCs w:val="28"/>
          <w:lang w:val="es-ES_tradnl"/>
        </w:rPr>
        <w:t>un asunto a ser revisado.</w:t>
      </w:r>
      <w:r w:rsidRPr="00D073E6">
        <w:rPr>
          <w:rStyle w:val="Refdenotaalpie"/>
          <w:rFonts w:ascii="Times New Roman" w:hAnsi="Times New Roman" w:cs="Times New Roman"/>
          <w:sz w:val="28"/>
          <w:szCs w:val="28"/>
          <w:lang w:val="es-ES_tradnl"/>
        </w:rPr>
        <w:footnoteReference w:id="59"/>
      </w:r>
    </w:p>
    <w:p w:rsidR="00491F2F" w:rsidRPr="00D073E6" w:rsidRDefault="00D073E6" w:rsidP="00491F2F">
      <w:pPr>
        <w:pStyle w:val="Prrafodelista"/>
        <w:widowControl w:val="0"/>
        <w:tabs>
          <w:tab w:val="left" w:pos="709"/>
        </w:tabs>
        <w:ind w:left="0"/>
        <w:contextualSpacing w:val="0"/>
        <w:jc w:val="both"/>
        <w:rPr>
          <w:rFonts w:ascii="Times New Roman" w:hAnsi="Times New Roman" w:cs="Times New Roman"/>
          <w:sz w:val="28"/>
          <w:szCs w:val="28"/>
          <w:lang w:val="es-ES_tradnl"/>
        </w:rPr>
      </w:pPr>
    </w:p>
    <w:p w:rsidR="00491F2F" w:rsidRPr="00D073E6" w:rsidRDefault="00D073E6" w:rsidP="00491F2F">
      <w:pPr>
        <w:pStyle w:val="Prrafodelista"/>
        <w:widowControl w:val="0"/>
        <w:tabs>
          <w:tab w:val="left" w:pos="709"/>
        </w:tabs>
        <w:ind w:left="0"/>
        <w:contextualSpacing w:val="0"/>
        <w:jc w:val="both"/>
        <w:rPr>
          <w:rFonts w:ascii="Times New Roman" w:hAnsi="Times New Roman" w:cs="Times New Roman"/>
          <w:b/>
          <w:bCs/>
          <w:i/>
          <w:iCs/>
          <w:sz w:val="28"/>
          <w:szCs w:val="28"/>
          <w:lang w:val="es-ES_tradnl"/>
        </w:rPr>
      </w:pPr>
      <w:r w:rsidRPr="00D073E6">
        <w:rPr>
          <w:rFonts w:ascii="Times New Roman" w:hAnsi="Times New Roman" w:cs="Times New Roman"/>
          <w:b/>
          <w:bCs/>
          <w:i/>
          <w:iCs/>
          <w:sz w:val="28"/>
          <w:szCs w:val="28"/>
          <w:lang w:val="es-ES_tradnl"/>
        </w:rPr>
        <w:t>Análisis del caso concreto</w:t>
      </w:r>
    </w:p>
    <w:p w:rsidR="00491F2F" w:rsidRPr="00D073E6" w:rsidRDefault="00D073E6" w:rsidP="00491F2F">
      <w:pPr>
        <w:pStyle w:val="Prrafodelista"/>
        <w:widowControl w:val="0"/>
        <w:tabs>
          <w:tab w:val="left" w:pos="709"/>
        </w:tabs>
        <w:ind w:left="0"/>
        <w:contextualSpacing w:val="0"/>
        <w:jc w:val="both"/>
        <w:rPr>
          <w:rFonts w:ascii="Times New Roman" w:hAnsi="Times New Roman" w:cs="Times New Roman"/>
          <w:sz w:val="28"/>
          <w:lang w:val="es-ES_tradnl"/>
        </w:rPr>
      </w:pPr>
    </w:p>
    <w:p w:rsidR="001E1616" w:rsidRPr="00D073E6" w:rsidRDefault="00D073E6" w:rsidP="001E1616">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 xml:space="preserve">El ciudadano Salgado Moreno </w:t>
      </w:r>
      <w:r w:rsidRPr="00D073E6">
        <w:rPr>
          <w:rFonts w:ascii="Times New Roman" w:hAnsi="Times New Roman" w:cs="Times New Roman"/>
          <w:sz w:val="28"/>
          <w:szCs w:val="28"/>
          <w:lang w:val="es-ES_tradnl"/>
        </w:rPr>
        <w:t xml:space="preserve">demandó la </w:t>
      </w:r>
      <w:r w:rsidRPr="00D073E6">
        <w:rPr>
          <w:rFonts w:ascii="Times New Roman" w:hAnsi="Times New Roman" w:cs="Times New Roman"/>
          <w:sz w:val="28"/>
          <w:szCs w:val="28"/>
          <w:lang w:val="es-ES_tradnl"/>
        </w:rPr>
        <w:t>constitucionalidad de los incisos 1, 2, 3 y 6 del numeral 6 y el parágrafo 3° del artículo 61 de la Ley 2294 de 2023</w:t>
      </w:r>
      <w:r w:rsidRPr="00D073E6">
        <w:rPr>
          <w:rFonts w:ascii="Times New Roman" w:hAnsi="Times New Roman" w:cs="Times New Roman"/>
          <w:sz w:val="28"/>
          <w:szCs w:val="28"/>
          <w:lang w:val="es-ES_tradnl"/>
        </w:rPr>
        <w:t>.</w:t>
      </w:r>
      <w:r w:rsidRPr="00D073E6">
        <w:rPr>
          <w:rFonts w:ascii="Times New Roman" w:hAnsi="Times New Roman" w:cs="Times New Roman"/>
          <w:sz w:val="28"/>
          <w:szCs w:val="28"/>
          <w:lang w:val="es-ES_tradnl"/>
        </w:rPr>
        <w:t xml:space="preserve"> </w:t>
      </w:r>
      <w:r w:rsidRPr="00D073E6">
        <w:rPr>
          <w:rFonts w:ascii="Times New Roman" w:hAnsi="Times New Roman" w:cs="Times New Roman"/>
          <w:sz w:val="28"/>
          <w:szCs w:val="28"/>
          <w:lang w:val="es-ES_tradnl"/>
        </w:rPr>
        <w:t>E</w:t>
      </w:r>
      <w:r w:rsidRPr="00D073E6">
        <w:rPr>
          <w:rFonts w:ascii="Times New Roman" w:hAnsi="Times New Roman" w:cs="Times New Roman"/>
          <w:sz w:val="28"/>
          <w:szCs w:val="28"/>
          <w:lang w:val="es-ES_tradnl"/>
        </w:rPr>
        <w:t>n el t</w:t>
      </w:r>
      <w:r w:rsidRPr="00D073E6">
        <w:rPr>
          <w:rFonts w:ascii="Times New Roman" w:hAnsi="Times New Roman" w:cs="Times New Roman"/>
          <w:sz w:val="28"/>
          <w:szCs w:val="28"/>
          <w:lang w:val="es-ES_tradnl"/>
        </w:rPr>
        <w:t>ranscurso del proceso,</w:t>
      </w:r>
      <w:r w:rsidRPr="00D073E6">
        <w:rPr>
          <w:rFonts w:ascii="Times New Roman" w:hAnsi="Times New Roman" w:cs="Times New Roman"/>
          <w:sz w:val="28"/>
          <w:szCs w:val="28"/>
          <w:lang w:val="es-ES_tradnl"/>
        </w:rPr>
        <w:t xml:space="preserve"> la</w:t>
      </w:r>
      <w:r w:rsidRPr="00D073E6">
        <w:rPr>
          <w:rFonts w:ascii="Times New Roman" w:hAnsi="Times New Roman" w:cs="Times New Roman"/>
          <w:sz w:val="28"/>
          <w:szCs w:val="28"/>
          <w:lang w:val="es-ES_tradnl"/>
        </w:rPr>
        <w:t xml:space="preserve"> Sentencia C-</w:t>
      </w:r>
      <w:r w:rsidRPr="00D073E6">
        <w:rPr>
          <w:rFonts w:ascii="Times New Roman" w:hAnsi="Times New Roman" w:cs="Times New Roman"/>
          <w:sz w:val="28"/>
          <w:szCs w:val="28"/>
          <w:lang w:val="es-ES_tradnl"/>
        </w:rPr>
        <w:t>294</w:t>
      </w:r>
      <w:r w:rsidRPr="00D073E6">
        <w:rPr>
          <w:rFonts w:ascii="Times New Roman" w:hAnsi="Times New Roman" w:cs="Times New Roman"/>
          <w:sz w:val="28"/>
          <w:szCs w:val="28"/>
          <w:lang w:val="es-ES_tradnl"/>
        </w:rPr>
        <w:t xml:space="preserve"> de 202</w:t>
      </w:r>
      <w:r w:rsidRPr="00D073E6">
        <w:rPr>
          <w:rFonts w:ascii="Times New Roman" w:hAnsi="Times New Roman" w:cs="Times New Roman"/>
          <w:sz w:val="28"/>
          <w:szCs w:val="28"/>
          <w:lang w:val="es-ES_tradnl"/>
        </w:rPr>
        <w:t>4</w:t>
      </w:r>
      <w:r w:rsidRPr="00D073E6">
        <w:rPr>
          <w:rFonts w:ascii="Times New Roman" w:hAnsi="Times New Roman" w:cs="Times New Roman"/>
          <w:sz w:val="28"/>
          <w:szCs w:val="28"/>
          <w:lang w:val="es-ES_tradnl"/>
        </w:rPr>
        <w:t xml:space="preserve"> declaró inexequibles el numeral 6 y el parágrafo 3° del artículo 61 de la Ley 2294 de 2023</w:t>
      </w:r>
      <w:r w:rsidRPr="00D073E6">
        <w:rPr>
          <w:rFonts w:ascii="Times New Roman" w:hAnsi="Times New Roman" w:cs="Times New Roman"/>
          <w:sz w:val="28"/>
          <w:szCs w:val="28"/>
          <w:lang w:val="es-ES_tradnl"/>
        </w:rPr>
        <w:t xml:space="preserve">, </w:t>
      </w:r>
      <w:r w:rsidRPr="00D073E6">
        <w:rPr>
          <w:rFonts w:ascii="Times New Roman" w:hAnsi="Times New Roman" w:cs="Times New Roman"/>
          <w:sz w:val="28"/>
          <w:szCs w:val="28"/>
          <w:lang w:val="es-ES_tradnl"/>
        </w:rPr>
        <w:t xml:space="preserve">por la violación del principio de publicidad </w:t>
      </w:r>
      <w:r w:rsidRPr="00D073E6">
        <w:rPr>
          <w:rFonts w:ascii="Times New Roman" w:hAnsi="Times New Roman" w:cs="Times New Roman"/>
          <w:sz w:val="28"/>
          <w:szCs w:val="28"/>
          <w:lang w:val="es-ES_tradnl"/>
        </w:rPr>
        <w:t xml:space="preserve">en el debate que se llevó a cabo en la plenaria del Senado de la </w:t>
      </w:r>
      <w:r w:rsidRPr="00D073E6">
        <w:rPr>
          <w:rFonts w:ascii="Times New Roman" w:hAnsi="Times New Roman" w:cs="Times New Roman"/>
          <w:sz w:val="28"/>
          <w:szCs w:val="28"/>
          <w:lang w:val="es-ES_tradnl"/>
        </w:rPr>
        <w:t>República</w:t>
      </w:r>
      <w:r w:rsidRPr="00D073E6">
        <w:rPr>
          <w:rFonts w:ascii="Times New Roman" w:hAnsi="Times New Roman" w:cs="Times New Roman"/>
          <w:sz w:val="28"/>
          <w:szCs w:val="28"/>
          <w:lang w:val="es-ES_tradnl"/>
        </w:rPr>
        <w:t xml:space="preserve">. Esto, por cuanto </w:t>
      </w:r>
      <w:r w:rsidRPr="00D073E6">
        <w:rPr>
          <w:rFonts w:ascii="Times New Roman" w:hAnsi="Times New Roman" w:cs="Times New Roman"/>
          <w:sz w:val="28"/>
          <w:szCs w:val="28"/>
          <w:lang w:val="es-ES_tradnl"/>
        </w:rPr>
        <w:t xml:space="preserve">la proposición mediante la cual se introdujeron </w:t>
      </w:r>
      <w:r w:rsidRPr="00D073E6">
        <w:rPr>
          <w:rFonts w:ascii="Times New Roman" w:hAnsi="Times New Roman" w:cs="Times New Roman"/>
          <w:sz w:val="28"/>
          <w:szCs w:val="28"/>
          <w:lang w:val="es-ES_tradnl"/>
        </w:rPr>
        <w:t>las disposiciones demandadas</w:t>
      </w:r>
      <w:r w:rsidRPr="00D073E6">
        <w:rPr>
          <w:rFonts w:ascii="Times New Roman" w:hAnsi="Times New Roman" w:cs="Times New Roman"/>
          <w:sz w:val="28"/>
          <w:szCs w:val="28"/>
          <w:lang w:val="es-ES_tradnl"/>
        </w:rPr>
        <w:t xml:space="preserve"> no fue previamente conocida por los senadores</w:t>
      </w:r>
      <w:r w:rsidRPr="00D073E6">
        <w:rPr>
          <w:rFonts w:ascii="Times New Roman" w:hAnsi="Times New Roman" w:cs="Times New Roman"/>
          <w:sz w:val="28"/>
          <w:szCs w:val="28"/>
          <w:lang w:val="es-ES_tradnl"/>
        </w:rPr>
        <w:t xml:space="preserve"> mediante el mecanismo definido en la Ley 5° de 1992, ni a través de otros medios alternativos y eficaces </w:t>
      </w:r>
      <w:r w:rsidRPr="00D073E6">
        <w:rPr>
          <w:rFonts w:ascii="Times New Roman" w:hAnsi="Times New Roman" w:cs="Times New Roman"/>
          <w:sz w:val="28"/>
          <w:szCs w:val="28"/>
          <w:lang w:val="es-ES_tradnl"/>
        </w:rPr>
        <w:t>de publicidad</w:t>
      </w:r>
      <w:r w:rsidRPr="00D073E6">
        <w:rPr>
          <w:rFonts w:ascii="Times New Roman" w:hAnsi="Times New Roman" w:cs="Times New Roman"/>
          <w:sz w:val="28"/>
          <w:szCs w:val="28"/>
          <w:lang w:val="es-ES_tradnl"/>
        </w:rPr>
        <w:t>, lo que conllevó una elusión del debate, y por lo tanto la transgresión del principio democrático</w:t>
      </w:r>
      <w:r w:rsidRPr="00D073E6">
        <w:rPr>
          <w:rFonts w:ascii="Times New Roman" w:hAnsi="Times New Roman" w:cs="Times New Roman"/>
          <w:sz w:val="28"/>
          <w:szCs w:val="28"/>
          <w:lang w:val="es-ES_tradnl"/>
        </w:rPr>
        <w:t>.</w:t>
      </w:r>
    </w:p>
    <w:p w:rsidR="001E1616" w:rsidRPr="00D073E6" w:rsidRDefault="00D073E6" w:rsidP="001E1616">
      <w:pPr>
        <w:pStyle w:val="Prrafodelista"/>
        <w:widowControl w:val="0"/>
        <w:tabs>
          <w:tab w:val="left" w:pos="709"/>
        </w:tabs>
        <w:ind w:left="0"/>
        <w:contextualSpacing w:val="0"/>
        <w:jc w:val="both"/>
        <w:rPr>
          <w:rFonts w:ascii="Times New Roman" w:hAnsi="Times New Roman" w:cs="Times New Roman"/>
          <w:sz w:val="28"/>
          <w:lang w:val="es-ES_tradnl"/>
        </w:rPr>
      </w:pPr>
    </w:p>
    <w:p w:rsidR="00EE4A0E" w:rsidRPr="00D073E6" w:rsidRDefault="00D073E6" w:rsidP="00686E9F">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Dado que los apartes normativos del artículo 61 de la Ley 2294 demandados en el expediente bajo examen</w:t>
      </w:r>
      <w:r w:rsidRPr="00D073E6">
        <w:rPr>
          <w:rFonts w:ascii="Times New Roman" w:hAnsi="Times New Roman" w:cs="Times New Roman"/>
          <w:sz w:val="28"/>
          <w:szCs w:val="28"/>
          <w:lang w:val="es-ES_tradnl"/>
        </w:rPr>
        <w:t xml:space="preserve"> fueron expulsados del ordenamiento jurídico</w:t>
      </w:r>
      <w:r w:rsidRPr="00D073E6">
        <w:rPr>
          <w:rFonts w:ascii="Times New Roman" w:hAnsi="Times New Roman" w:cs="Times New Roman"/>
          <w:sz w:val="28"/>
          <w:szCs w:val="28"/>
          <w:lang w:val="es-ES_tradnl"/>
        </w:rPr>
        <w:t xml:space="preserve"> mediante la Sentencia C-</w:t>
      </w:r>
      <w:r w:rsidRPr="00D073E6">
        <w:rPr>
          <w:rFonts w:ascii="Times New Roman" w:hAnsi="Times New Roman" w:cs="Times New Roman"/>
          <w:sz w:val="28"/>
          <w:szCs w:val="28"/>
          <w:lang w:val="es-ES_tradnl"/>
        </w:rPr>
        <w:t>294</w:t>
      </w:r>
      <w:r w:rsidRPr="00D073E6">
        <w:rPr>
          <w:rFonts w:ascii="Times New Roman" w:hAnsi="Times New Roman" w:cs="Times New Roman"/>
          <w:sz w:val="28"/>
          <w:lang w:val="es-ES_tradnl"/>
        </w:rPr>
        <w:t xml:space="preserve"> </w:t>
      </w:r>
      <w:r w:rsidRPr="00D073E6">
        <w:rPr>
          <w:rFonts w:ascii="Times New Roman" w:hAnsi="Times New Roman" w:cs="Times New Roman"/>
          <w:sz w:val="28"/>
          <w:szCs w:val="28"/>
          <w:lang w:val="es-ES_tradnl"/>
        </w:rPr>
        <w:t>de 202</w:t>
      </w:r>
      <w:r w:rsidRPr="00D073E6">
        <w:rPr>
          <w:rFonts w:ascii="Times New Roman" w:hAnsi="Times New Roman" w:cs="Times New Roman"/>
          <w:sz w:val="28"/>
          <w:szCs w:val="28"/>
          <w:lang w:val="es-ES_tradnl"/>
        </w:rPr>
        <w:t>4</w:t>
      </w:r>
      <w:r w:rsidRPr="00D073E6">
        <w:rPr>
          <w:rStyle w:val="Refdenotaalpie"/>
          <w:rFonts w:ascii="Times New Roman" w:hAnsi="Times New Roman" w:cs="Times New Roman"/>
          <w:sz w:val="28"/>
          <w:szCs w:val="28"/>
          <w:lang w:val="es-ES_tradnl"/>
        </w:rPr>
        <w:footnoteReference w:id="60"/>
      </w:r>
      <w:r w:rsidRPr="00D073E6">
        <w:rPr>
          <w:rFonts w:ascii="Times New Roman" w:hAnsi="Times New Roman" w:cs="Times New Roman"/>
          <w:sz w:val="28"/>
          <w:szCs w:val="28"/>
          <w:lang w:val="es-ES_tradnl"/>
        </w:rPr>
        <w:t>,</w:t>
      </w:r>
      <w:r w:rsidRPr="00D073E6">
        <w:rPr>
          <w:rFonts w:ascii="Times New Roman" w:hAnsi="Times New Roman" w:cs="Times New Roman"/>
          <w:sz w:val="28"/>
          <w:szCs w:val="28"/>
          <w:lang w:val="es-ES_tradnl"/>
        </w:rPr>
        <w:t xml:space="preserve"> </w:t>
      </w:r>
      <w:r w:rsidRPr="00D073E6">
        <w:rPr>
          <w:rFonts w:ascii="Times New Roman" w:hAnsi="Times New Roman" w:cs="Times New Roman"/>
          <w:sz w:val="28"/>
          <w:szCs w:val="28"/>
          <w:lang w:val="es-ES_tradnl"/>
        </w:rPr>
        <w:t>corresponde estarse a lo resu</w:t>
      </w:r>
      <w:r w:rsidRPr="00D073E6">
        <w:rPr>
          <w:rFonts w:ascii="Times New Roman" w:hAnsi="Times New Roman" w:cs="Times New Roman"/>
          <w:sz w:val="28"/>
          <w:szCs w:val="28"/>
          <w:lang w:val="es-ES_tradnl"/>
        </w:rPr>
        <w:t>e</w:t>
      </w:r>
      <w:r w:rsidRPr="00D073E6">
        <w:rPr>
          <w:rFonts w:ascii="Times New Roman" w:hAnsi="Times New Roman" w:cs="Times New Roman"/>
          <w:sz w:val="28"/>
          <w:szCs w:val="28"/>
          <w:lang w:val="es-ES_tradnl"/>
        </w:rPr>
        <w:t xml:space="preserve">lto </w:t>
      </w:r>
      <w:r w:rsidRPr="00D073E6">
        <w:rPr>
          <w:rFonts w:ascii="Times New Roman" w:hAnsi="Times New Roman" w:cs="Times New Roman"/>
          <w:sz w:val="28"/>
          <w:szCs w:val="28"/>
          <w:lang w:val="es-ES_tradnl"/>
        </w:rPr>
        <w:t>en</w:t>
      </w:r>
      <w:r w:rsidRPr="00D073E6">
        <w:rPr>
          <w:rFonts w:ascii="Times New Roman" w:hAnsi="Times New Roman" w:cs="Times New Roman"/>
          <w:sz w:val="28"/>
          <w:szCs w:val="28"/>
          <w:lang w:val="es-ES_tradnl"/>
        </w:rPr>
        <w:t xml:space="preserve"> la referida </w:t>
      </w:r>
      <w:r w:rsidRPr="00D073E6">
        <w:rPr>
          <w:rFonts w:ascii="Times New Roman" w:hAnsi="Times New Roman" w:cs="Times New Roman"/>
          <w:sz w:val="28"/>
          <w:szCs w:val="28"/>
          <w:lang w:val="es-ES_tradnl"/>
        </w:rPr>
        <w:t>providencia</w:t>
      </w:r>
      <w:r w:rsidRPr="00D073E6">
        <w:rPr>
          <w:rFonts w:ascii="Times New Roman" w:hAnsi="Times New Roman" w:cs="Times New Roman"/>
          <w:sz w:val="28"/>
          <w:szCs w:val="28"/>
          <w:lang w:val="es-ES_tradnl"/>
        </w:rPr>
        <w:t xml:space="preserve">. </w:t>
      </w:r>
      <w:r w:rsidRPr="00D073E6">
        <w:rPr>
          <w:rFonts w:ascii="Times New Roman" w:hAnsi="Times New Roman" w:cs="Times New Roman"/>
          <w:sz w:val="28"/>
          <w:szCs w:val="28"/>
          <w:lang w:val="es-ES_tradnl"/>
        </w:rPr>
        <w:t>Esto por cuanto l</w:t>
      </w:r>
      <w:r w:rsidRPr="00D073E6">
        <w:rPr>
          <w:rFonts w:ascii="Times New Roman" w:hAnsi="Times New Roman" w:cs="Times New Roman"/>
          <w:sz w:val="28"/>
          <w:szCs w:val="28"/>
          <w:lang w:val="es-ES_tradnl"/>
        </w:rPr>
        <w:t>a declaratoria de inexequibilidad</w:t>
      </w:r>
      <w:r w:rsidRPr="00D073E6">
        <w:rPr>
          <w:rFonts w:ascii="Times New Roman" w:hAnsi="Times New Roman" w:cs="Times New Roman"/>
          <w:sz w:val="28"/>
          <w:szCs w:val="28"/>
          <w:lang w:val="es-ES_tradnl"/>
        </w:rPr>
        <w:t xml:space="preserve"> descrita implica la expulsión del ordenamiento de la norma demandada en este caso</w:t>
      </w:r>
      <w:r w:rsidRPr="00D073E6">
        <w:rPr>
          <w:rFonts w:ascii="Times New Roman" w:hAnsi="Times New Roman" w:cs="Times New Roman"/>
          <w:sz w:val="28"/>
          <w:szCs w:val="28"/>
          <w:lang w:val="es-ES_tradnl"/>
        </w:rPr>
        <w:t>, con efectos de cosa juzgada constitucional.</w:t>
      </w:r>
      <w:r w:rsidRPr="00D073E6">
        <w:rPr>
          <w:rFonts w:ascii="Times New Roman" w:hAnsi="Times New Roman" w:cs="Times New Roman"/>
          <w:sz w:val="28"/>
          <w:szCs w:val="28"/>
          <w:lang w:val="es-ES_tradnl"/>
        </w:rPr>
        <w:t xml:space="preserve"> </w:t>
      </w:r>
    </w:p>
    <w:p w:rsidR="002F495A" w:rsidRPr="00D073E6" w:rsidRDefault="00D073E6" w:rsidP="002F495A">
      <w:pPr>
        <w:pStyle w:val="Prrafodelista"/>
        <w:widowControl w:val="0"/>
        <w:tabs>
          <w:tab w:val="left" w:pos="709"/>
        </w:tabs>
        <w:ind w:left="0"/>
        <w:contextualSpacing w:val="0"/>
        <w:jc w:val="both"/>
        <w:rPr>
          <w:rFonts w:ascii="Times New Roman" w:hAnsi="Times New Roman" w:cs="Times New Roman"/>
          <w:sz w:val="28"/>
          <w:lang w:val="es-ES_tradnl"/>
        </w:rPr>
      </w:pPr>
    </w:p>
    <w:p w:rsidR="00EE4A0E" w:rsidRPr="00D073E6" w:rsidRDefault="00D073E6" w:rsidP="000B730C">
      <w:pPr>
        <w:pStyle w:val="Prrafodelista"/>
        <w:widowControl w:val="0"/>
        <w:numPr>
          <w:ilvl w:val="0"/>
          <w:numId w:val="2"/>
        </w:numPr>
        <w:tabs>
          <w:tab w:val="left" w:pos="709"/>
        </w:tabs>
        <w:ind w:left="0" w:firstLine="0"/>
        <w:contextualSpacing w:val="0"/>
        <w:jc w:val="both"/>
        <w:rPr>
          <w:rFonts w:ascii="Times New Roman" w:hAnsi="Times New Roman" w:cs="Times New Roman"/>
          <w:sz w:val="28"/>
          <w:lang w:val="es-ES_tradnl"/>
        </w:rPr>
      </w:pPr>
      <w:r w:rsidRPr="00D073E6">
        <w:rPr>
          <w:rFonts w:ascii="Times New Roman" w:hAnsi="Times New Roman" w:cs="Times New Roman"/>
          <w:sz w:val="28"/>
          <w:szCs w:val="28"/>
          <w:lang w:val="es-ES_tradnl"/>
        </w:rPr>
        <w:t xml:space="preserve">Por último, </w:t>
      </w:r>
      <w:r w:rsidRPr="00D073E6">
        <w:rPr>
          <w:rFonts w:ascii="Times New Roman" w:hAnsi="Times New Roman" w:cs="Times New Roman"/>
          <w:sz w:val="28"/>
          <w:szCs w:val="28"/>
          <w:lang w:val="es-ES_tradnl"/>
        </w:rPr>
        <w:t>dado que en el presente caso no existe una controversia constitucional</w:t>
      </w:r>
      <w:r w:rsidRPr="00D073E6">
        <w:rPr>
          <w:rFonts w:ascii="Times New Roman" w:hAnsi="Times New Roman" w:cs="Times New Roman"/>
          <w:sz w:val="28"/>
          <w:szCs w:val="28"/>
          <w:lang w:val="es-ES_tradnl"/>
        </w:rPr>
        <w:t xml:space="preserve">, no </w:t>
      </w:r>
      <w:r w:rsidRPr="00D073E6">
        <w:rPr>
          <w:rFonts w:ascii="Times New Roman" w:hAnsi="Times New Roman" w:cs="Times New Roman"/>
          <w:sz w:val="28"/>
          <w:szCs w:val="28"/>
          <w:lang w:val="es-ES_tradnl"/>
        </w:rPr>
        <w:t xml:space="preserve">hay razones </w:t>
      </w:r>
      <w:r w:rsidRPr="00D073E6">
        <w:rPr>
          <w:rFonts w:ascii="Times New Roman" w:hAnsi="Times New Roman" w:cs="Times New Roman"/>
          <w:sz w:val="28"/>
          <w:szCs w:val="28"/>
          <w:lang w:val="es-ES_tradnl"/>
        </w:rPr>
        <w:t xml:space="preserve">para acceder a la realización de la audiencia pública solicitada por el Ministerio de </w:t>
      </w:r>
      <w:r w:rsidRPr="00D073E6">
        <w:rPr>
          <w:rFonts w:ascii="Times New Roman" w:hAnsi="Times New Roman" w:cs="Times New Roman"/>
          <w:sz w:val="28"/>
          <w:szCs w:val="28"/>
          <w:lang w:val="es-ES_tradnl"/>
        </w:rPr>
        <w:t>Agricultura y Desarrollo Rural</w:t>
      </w:r>
      <w:r w:rsidRPr="00D073E6">
        <w:rPr>
          <w:rFonts w:ascii="Times New Roman" w:hAnsi="Times New Roman" w:cs="Times New Roman"/>
          <w:sz w:val="28"/>
          <w:szCs w:val="28"/>
          <w:lang w:val="es-ES_tradnl"/>
        </w:rPr>
        <w:t xml:space="preserve"> y la Agencia </w:t>
      </w:r>
      <w:r w:rsidRPr="00D073E6">
        <w:rPr>
          <w:rFonts w:ascii="Times New Roman" w:hAnsi="Times New Roman" w:cs="Times New Roman"/>
          <w:sz w:val="28"/>
          <w:szCs w:val="28"/>
          <w:lang w:val="es-ES_tradnl"/>
        </w:rPr>
        <w:t>Nacional de Tierras</w:t>
      </w:r>
      <w:r w:rsidRPr="00D073E6">
        <w:rPr>
          <w:rFonts w:ascii="Times New Roman" w:hAnsi="Times New Roman" w:cs="Times New Roman"/>
          <w:sz w:val="28"/>
          <w:szCs w:val="28"/>
          <w:lang w:val="es-ES_tradnl"/>
        </w:rPr>
        <w:t xml:space="preserve">, por lo cual se denegará </w:t>
      </w:r>
      <w:r w:rsidRPr="00D073E6">
        <w:rPr>
          <w:rFonts w:ascii="Times New Roman" w:hAnsi="Times New Roman" w:cs="Times New Roman"/>
          <w:sz w:val="28"/>
          <w:szCs w:val="28"/>
          <w:lang w:val="es-ES_tradnl"/>
        </w:rPr>
        <w:t>dicha</w:t>
      </w:r>
      <w:r w:rsidRPr="00D073E6">
        <w:rPr>
          <w:rFonts w:ascii="Times New Roman" w:hAnsi="Times New Roman" w:cs="Times New Roman"/>
          <w:sz w:val="28"/>
          <w:szCs w:val="28"/>
          <w:lang w:val="es-ES_tradnl"/>
        </w:rPr>
        <w:t xml:space="preserve"> petición.</w:t>
      </w:r>
    </w:p>
    <w:p w:rsidR="001B7621" w:rsidRPr="00D073E6" w:rsidRDefault="00D073E6" w:rsidP="001B7621">
      <w:pPr>
        <w:pStyle w:val="Prrafodelista"/>
        <w:rPr>
          <w:rFonts w:ascii="Times New Roman" w:hAnsi="Times New Roman" w:cs="Times New Roman"/>
          <w:sz w:val="28"/>
          <w:lang w:val="es-ES_tradnl"/>
        </w:rPr>
      </w:pPr>
    </w:p>
    <w:p w:rsidR="000B730C" w:rsidRPr="00D073E6" w:rsidRDefault="00D073E6" w:rsidP="000B730C">
      <w:pPr>
        <w:pStyle w:val="Prrafodelista"/>
        <w:ind w:left="0"/>
        <w:rPr>
          <w:rFonts w:ascii="Times New Roman" w:hAnsi="Times New Roman" w:cs="Times New Roman"/>
          <w:sz w:val="28"/>
          <w:lang w:val="es-ES_tradnl"/>
        </w:rPr>
      </w:pPr>
    </w:p>
    <w:p w:rsidR="000B730C" w:rsidRPr="00D073E6" w:rsidRDefault="00D073E6" w:rsidP="000B730C">
      <w:pPr>
        <w:pStyle w:val="Ttulo1"/>
        <w:numPr>
          <w:ilvl w:val="0"/>
          <w:numId w:val="1"/>
        </w:numPr>
        <w:spacing w:before="0" w:after="0"/>
        <w:ind w:left="0" w:firstLine="0"/>
        <w:jc w:val="both"/>
        <w:rPr>
          <w:rFonts w:ascii="Times New Roman" w:eastAsiaTheme="minorHAnsi" w:hAnsi="Times New Roman" w:cs="Times New Roman"/>
          <w:b/>
          <w:bCs/>
          <w:color w:val="auto"/>
          <w:sz w:val="28"/>
          <w:szCs w:val="28"/>
          <w:lang w:val="es-ES" w:eastAsia="en-US"/>
        </w:rPr>
      </w:pPr>
      <w:r w:rsidRPr="00D073E6">
        <w:rPr>
          <w:rFonts w:ascii="Times New Roman" w:eastAsiaTheme="minorHAnsi" w:hAnsi="Times New Roman" w:cs="Times New Roman"/>
          <w:b/>
          <w:bCs/>
          <w:color w:val="auto"/>
          <w:sz w:val="28"/>
          <w:szCs w:val="28"/>
          <w:lang w:val="es-ES" w:eastAsia="en-US"/>
        </w:rPr>
        <w:t>DECISIÓN</w:t>
      </w:r>
    </w:p>
    <w:p w:rsidR="000B730C" w:rsidRPr="00D073E6" w:rsidRDefault="00D073E6" w:rsidP="000B730C">
      <w:pPr>
        <w:jc w:val="both"/>
        <w:rPr>
          <w:rFonts w:ascii="Times New Roman" w:eastAsiaTheme="minorHAnsi" w:hAnsi="Times New Roman" w:cs="Times New Roman"/>
          <w:sz w:val="28"/>
          <w:szCs w:val="28"/>
          <w:lang w:val="es-ES" w:eastAsia="en-US"/>
        </w:rPr>
      </w:pPr>
    </w:p>
    <w:p w:rsidR="000B730C" w:rsidRPr="00D073E6" w:rsidRDefault="00D073E6" w:rsidP="00E72D6E">
      <w:pPr>
        <w:pStyle w:val="Prrafodelista"/>
        <w:widowControl w:val="0"/>
        <w:tabs>
          <w:tab w:val="left" w:pos="709"/>
        </w:tabs>
        <w:ind w:left="0"/>
        <w:contextualSpacing w:val="0"/>
        <w:jc w:val="both"/>
        <w:rPr>
          <w:rFonts w:ascii="Times New Roman" w:hAnsi="Times New Roman" w:cs="Times New Roman"/>
          <w:sz w:val="28"/>
          <w:szCs w:val="28"/>
          <w:lang w:val="es-ES_tradnl"/>
        </w:rPr>
      </w:pPr>
      <w:r w:rsidRPr="00D073E6">
        <w:rPr>
          <w:rFonts w:ascii="Times New Roman" w:hAnsi="Times New Roman" w:cs="Times New Roman"/>
          <w:sz w:val="28"/>
          <w:szCs w:val="28"/>
          <w:lang w:val="es-ES_tradnl"/>
        </w:rPr>
        <w:t>En mérito de la expuesto, la Sala Plena de la Corte C</w:t>
      </w:r>
      <w:r w:rsidRPr="00D073E6">
        <w:rPr>
          <w:rFonts w:ascii="Times New Roman" w:hAnsi="Times New Roman" w:cs="Times New Roman"/>
          <w:sz w:val="28"/>
          <w:szCs w:val="28"/>
          <w:lang w:val="es-ES_tradnl"/>
        </w:rPr>
        <w:t>onstitucional, administrando justicia en nombre del pueblo y por mandato de la Constitución,</w:t>
      </w:r>
    </w:p>
    <w:p w:rsidR="00734066" w:rsidRPr="00D073E6" w:rsidRDefault="00D073E6" w:rsidP="00AA2921">
      <w:pPr>
        <w:widowControl w:val="0"/>
        <w:tabs>
          <w:tab w:val="left" w:pos="709"/>
        </w:tabs>
        <w:jc w:val="both"/>
        <w:rPr>
          <w:rFonts w:ascii="Times New Roman" w:hAnsi="Times New Roman" w:cs="Times New Roman"/>
          <w:sz w:val="28"/>
          <w:szCs w:val="28"/>
          <w:lang w:val="es-ES_tradnl"/>
        </w:rPr>
      </w:pPr>
    </w:p>
    <w:p w:rsidR="00734066" w:rsidRPr="00D073E6" w:rsidRDefault="00D073E6" w:rsidP="00AA2921">
      <w:pPr>
        <w:widowControl w:val="0"/>
        <w:tabs>
          <w:tab w:val="left" w:pos="709"/>
        </w:tabs>
        <w:jc w:val="both"/>
        <w:rPr>
          <w:rFonts w:ascii="Times New Roman" w:hAnsi="Times New Roman" w:cs="Times New Roman"/>
          <w:sz w:val="28"/>
          <w:szCs w:val="28"/>
          <w:lang w:val="es-ES_tradnl"/>
        </w:rPr>
      </w:pPr>
    </w:p>
    <w:p w:rsidR="00812332" w:rsidRPr="00D073E6" w:rsidRDefault="00D073E6" w:rsidP="00AA2921">
      <w:pPr>
        <w:pStyle w:val="Ttulo1"/>
        <w:spacing w:before="0" w:after="0"/>
        <w:jc w:val="center"/>
        <w:rPr>
          <w:rFonts w:ascii="Times New Roman" w:eastAsiaTheme="minorHAnsi" w:hAnsi="Times New Roman" w:cs="Times New Roman"/>
          <w:b/>
          <w:bCs/>
          <w:color w:val="auto"/>
          <w:sz w:val="28"/>
          <w:szCs w:val="28"/>
          <w:lang w:val="es-ES" w:eastAsia="en-US"/>
        </w:rPr>
      </w:pPr>
      <w:r w:rsidRPr="00D073E6">
        <w:rPr>
          <w:rFonts w:ascii="Times New Roman" w:eastAsiaTheme="minorHAnsi" w:hAnsi="Times New Roman" w:cs="Times New Roman"/>
          <w:b/>
          <w:bCs/>
          <w:color w:val="auto"/>
          <w:sz w:val="28"/>
          <w:szCs w:val="28"/>
          <w:lang w:val="es-ES" w:eastAsia="en-US"/>
        </w:rPr>
        <w:t>RESUELVE</w:t>
      </w:r>
    </w:p>
    <w:p w:rsidR="00812332" w:rsidRPr="00D073E6" w:rsidRDefault="00D073E6" w:rsidP="00AA2921">
      <w:pPr>
        <w:pStyle w:val="Prrafodelista"/>
        <w:autoSpaceDE w:val="0"/>
        <w:autoSpaceDN w:val="0"/>
        <w:adjustRightInd w:val="0"/>
        <w:ind w:left="0"/>
        <w:jc w:val="both"/>
        <w:rPr>
          <w:rFonts w:ascii="Times New Roman" w:eastAsiaTheme="minorHAnsi" w:hAnsi="Times New Roman" w:cs="Times New Roman"/>
          <w:sz w:val="28"/>
          <w:szCs w:val="28"/>
          <w:lang w:val="es-ES" w:eastAsia="en-US"/>
        </w:rPr>
      </w:pPr>
    </w:p>
    <w:p w:rsidR="00904AD3" w:rsidRPr="00D073E6" w:rsidRDefault="00D073E6" w:rsidP="00AA2921">
      <w:pPr>
        <w:jc w:val="both"/>
        <w:rPr>
          <w:rFonts w:ascii="Times New Roman" w:hAnsi="Times New Roman" w:cs="Times New Roman"/>
          <w:sz w:val="28"/>
          <w:szCs w:val="28"/>
          <w:lang w:val="es-ES"/>
        </w:rPr>
      </w:pPr>
      <w:r w:rsidRPr="00D073E6">
        <w:rPr>
          <w:rFonts w:ascii="Times New Roman" w:hAnsi="Times New Roman" w:cs="Times New Roman"/>
          <w:b/>
          <w:bCs/>
          <w:sz w:val="28"/>
          <w:szCs w:val="28"/>
          <w:lang w:val="es-ES"/>
        </w:rPr>
        <w:t>PRIMERO. NEGAR</w:t>
      </w:r>
      <w:r w:rsidRPr="00D073E6">
        <w:rPr>
          <w:rFonts w:ascii="Times New Roman" w:hAnsi="Times New Roman" w:cs="Times New Roman"/>
          <w:sz w:val="28"/>
          <w:szCs w:val="28"/>
          <w:lang w:val="es-ES"/>
        </w:rPr>
        <w:t xml:space="preserve"> la solicitud de celebración de audiencia pública dentro del presente proceso, elevada por el Ministerio de Agricultura y Desarrollo Rural y la Agencia Nacional de Tierras. </w:t>
      </w:r>
    </w:p>
    <w:p w:rsidR="00904AD3" w:rsidRPr="00D073E6" w:rsidRDefault="00D073E6" w:rsidP="00AA2921">
      <w:pPr>
        <w:jc w:val="both"/>
        <w:rPr>
          <w:rFonts w:ascii="Times New Roman" w:hAnsi="Times New Roman" w:cs="Times New Roman"/>
          <w:sz w:val="28"/>
          <w:szCs w:val="28"/>
          <w:lang w:val="es-ES"/>
        </w:rPr>
      </w:pPr>
    </w:p>
    <w:p w:rsidR="00812332" w:rsidRPr="00D073E6" w:rsidRDefault="00D073E6" w:rsidP="00AA2921">
      <w:pPr>
        <w:jc w:val="both"/>
        <w:rPr>
          <w:rFonts w:ascii="Times New Roman" w:hAnsi="Times New Roman" w:cs="Times New Roman"/>
          <w:sz w:val="28"/>
          <w:szCs w:val="28"/>
          <w:lang w:val="es-ES"/>
        </w:rPr>
      </w:pPr>
      <w:r w:rsidRPr="00D073E6">
        <w:rPr>
          <w:rFonts w:ascii="Times New Roman" w:hAnsi="Times New Roman" w:cs="Times New Roman"/>
          <w:b/>
          <w:bCs/>
          <w:sz w:val="28"/>
          <w:szCs w:val="28"/>
          <w:lang w:val="es-ES"/>
        </w:rPr>
        <w:t>SEGUNDO. ESTARSE A LO RESUELTO</w:t>
      </w:r>
      <w:r w:rsidRPr="00D073E6">
        <w:rPr>
          <w:rFonts w:ascii="Times New Roman" w:hAnsi="Times New Roman" w:cs="Times New Roman"/>
          <w:sz w:val="28"/>
          <w:szCs w:val="28"/>
          <w:lang w:val="es-ES"/>
        </w:rPr>
        <w:t xml:space="preserve"> en la Sentencia C-294 de 2024, que declaró </w:t>
      </w:r>
      <w:r w:rsidRPr="00D073E6">
        <w:rPr>
          <w:rFonts w:ascii="Times New Roman" w:hAnsi="Times New Roman" w:cs="Times New Roman"/>
          <w:i/>
          <w:iCs/>
          <w:sz w:val="28"/>
          <w:szCs w:val="28"/>
          <w:lang w:val="es-ES"/>
        </w:rPr>
        <w:t>“</w:t>
      </w:r>
      <w:r w:rsidRPr="00D073E6">
        <w:rPr>
          <w:rFonts w:ascii="Times New Roman" w:hAnsi="Times New Roman" w:cs="Times New Roman"/>
          <w:b/>
          <w:bCs/>
          <w:i/>
          <w:iCs/>
          <w:sz w:val="28"/>
          <w:szCs w:val="28"/>
          <w:lang w:val="es-ES"/>
        </w:rPr>
        <w:t>INEXEQ</w:t>
      </w:r>
      <w:r w:rsidRPr="00D073E6">
        <w:rPr>
          <w:rFonts w:ascii="Times New Roman" w:hAnsi="Times New Roman" w:cs="Times New Roman"/>
          <w:b/>
          <w:bCs/>
          <w:i/>
          <w:iCs/>
          <w:sz w:val="28"/>
          <w:szCs w:val="28"/>
          <w:lang w:val="es-ES"/>
        </w:rPr>
        <w:t>UIBLES</w:t>
      </w:r>
      <w:r w:rsidRPr="00D073E6">
        <w:rPr>
          <w:rFonts w:ascii="Times New Roman" w:hAnsi="Times New Roman" w:cs="Times New Roman"/>
          <w:i/>
          <w:iCs/>
          <w:sz w:val="28"/>
          <w:szCs w:val="28"/>
          <w:lang w:val="es-ES"/>
        </w:rPr>
        <w:t xml:space="preserve"> el numeral 6° y el parágrafo 3° del artículo 61 de la Ley 2294 de 2023, “[p]or [la] cual se expide el Plan Nacional de Desarrollo 2022-2026 ‘Colombia Potencia Mundial de la Vida’”</w:t>
      </w:r>
      <w:r w:rsidRPr="00D073E6">
        <w:rPr>
          <w:rFonts w:ascii="Times New Roman" w:hAnsi="Times New Roman" w:cs="Times New Roman"/>
          <w:sz w:val="28"/>
          <w:szCs w:val="28"/>
          <w:lang w:val="es-ES"/>
        </w:rPr>
        <w:t>.</w:t>
      </w:r>
    </w:p>
    <w:p w:rsidR="00904AD3" w:rsidRPr="00D073E6" w:rsidRDefault="00D073E6" w:rsidP="00AA2921">
      <w:pPr>
        <w:jc w:val="both"/>
        <w:rPr>
          <w:rFonts w:ascii="Times New Roman" w:hAnsi="Times New Roman" w:cs="Times New Roman"/>
          <w:sz w:val="28"/>
          <w:szCs w:val="28"/>
          <w:lang w:val="es-ES"/>
        </w:rPr>
      </w:pPr>
    </w:p>
    <w:p w:rsidR="00904AD3" w:rsidRPr="00D073E6" w:rsidRDefault="00D073E6" w:rsidP="00AA2921">
      <w:pPr>
        <w:jc w:val="both"/>
        <w:rPr>
          <w:rFonts w:ascii="Times New Roman" w:hAnsi="Times New Roman" w:cs="Times New Roman"/>
          <w:sz w:val="28"/>
          <w:szCs w:val="28"/>
          <w:lang w:val="es-ES"/>
        </w:rPr>
      </w:pPr>
    </w:p>
    <w:p w:rsidR="00A142F4" w:rsidRPr="00D073E6" w:rsidRDefault="00D073E6" w:rsidP="003E01B4">
      <w:pPr>
        <w:contextualSpacing/>
        <w:jc w:val="both"/>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Notifíquese, comuníquese y cúmplase.</w:t>
      </w:r>
    </w:p>
    <w:p w:rsidR="00CA6FD3" w:rsidRPr="00D073E6" w:rsidRDefault="00D073E6" w:rsidP="003E01B4">
      <w:pPr>
        <w:contextualSpacing/>
        <w:jc w:val="both"/>
        <w:rPr>
          <w:rFonts w:ascii="Times New Roman" w:eastAsiaTheme="minorHAnsi" w:hAnsi="Times New Roman" w:cs="Times New Roman"/>
          <w:sz w:val="28"/>
          <w:szCs w:val="28"/>
          <w:lang w:val="es-ES" w:eastAsia="en-US"/>
        </w:rPr>
      </w:pPr>
    </w:p>
    <w:p w:rsidR="00864C8D" w:rsidRPr="00D073E6" w:rsidRDefault="00D073E6" w:rsidP="003E01B4">
      <w:pPr>
        <w:contextualSpacing/>
        <w:jc w:val="both"/>
        <w:rPr>
          <w:rFonts w:ascii="Times New Roman" w:eastAsiaTheme="minorHAnsi" w:hAnsi="Times New Roman" w:cs="Times New Roman"/>
          <w:sz w:val="28"/>
          <w:szCs w:val="28"/>
          <w:lang w:val="es-ES" w:eastAsia="en-US"/>
        </w:rPr>
      </w:pPr>
    </w:p>
    <w:p w:rsidR="00CA6FD3" w:rsidRPr="00D073E6" w:rsidRDefault="00D073E6" w:rsidP="003E01B4">
      <w:pPr>
        <w:contextualSpacing/>
        <w:jc w:val="both"/>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 xml:space="preserve">JOSE FERNANDO REYES </w:t>
      </w:r>
      <w:r w:rsidRPr="00D073E6">
        <w:rPr>
          <w:rFonts w:ascii="Times New Roman" w:eastAsiaTheme="minorHAnsi" w:hAnsi="Times New Roman" w:cs="Times New Roman"/>
          <w:sz w:val="28"/>
          <w:szCs w:val="28"/>
          <w:lang w:val="es-ES" w:eastAsia="en-US"/>
        </w:rPr>
        <w:t>CUARTAS</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Presidente</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NATALIA ÁNGEL CABO</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Magistrada</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JUAN CARLOS CORTÉS GONZÁLEZ</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Magistrado</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DIANA FAJARDO RIVERA</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Magistrada</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VLADIMIR FERNÁNDEZ ANDRADE</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Magistrado</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Con impedimento aceptado</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 xml:space="preserve">JORGE ENRIQUE IBÁÑEZ NAJAR </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Magistrado</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 xml:space="preserve">ANTONIO JOSÉ </w:t>
      </w:r>
      <w:r w:rsidRPr="00D073E6">
        <w:rPr>
          <w:rFonts w:ascii="Times New Roman" w:eastAsiaTheme="minorHAnsi" w:hAnsi="Times New Roman" w:cs="Times New Roman"/>
          <w:sz w:val="28"/>
          <w:szCs w:val="28"/>
          <w:lang w:val="es-ES" w:eastAsia="en-US"/>
        </w:rPr>
        <w:t>LIZARAZO OCAMPO</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Magistrado</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PAOLA ANDREA MENESES MOSQUERA</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Magistrada</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CRISTINA PARDO SCHLESINGER</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Magistrada</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ANDREA LILIANA ROMERO LOPEZ</w:t>
      </w:r>
    </w:p>
    <w:p w:rsidR="00CA6FD3" w:rsidRPr="00D073E6" w:rsidRDefault="00D073E6" w:rsidP="00CA6FD3">
      <w:pPr>
        <w:contextualSpacing/>
        <w:jc w:val="center"/>
        <w:rPr>
          <w:rFonts w:ascii="Times New Roman" w:eastAsiaTheme="minorHAnsi" w:hAnsi="Times New Roman" w:cs="Times New Roman"/>
          <w:sz w:val="28"/>
          <w:szCs w:val="28"/>
          <w:lang w:val="es-ES" w:eastAsia="en-US"/>
        </w:rPr>
      </w:pPr>
      <w:r w:rsidRPr="00D073E6">
        <w:rPr>
          <w:rFonts w:ascii="Times New Roman" w:eastAsiaTheme="minorHAnsi" w:hAnsi="Times New Roman" w:cs="Times New Roman"/>
          <w:sz w:val="28"/>
          <w:szCs w:val="28"/>
          <w:lang w:val="es-ES" w:eastAsia="en-US"/>
        </w:rPr>
        <w:t>Secretaria General</w:t>
      </w:r>
    </w:p>
    <w:sectPr w:rsidR="00CA6FD3" w:rsidRPr="00D073E6">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D073E6">
      <w:pPr>
        <w:spacing w:after="0" w:line="240" w:lineRule="auto"/>
      </w:pPr>
      <w:r>
        <w:separator/>
      </w:r>
    </w:p>
  </w:endnote>
  <w:endnote w:type="continuationSeparator" w:id="0">
    <w:p w:rsidR="00000000" w:rsidRDefault="00D07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D073E6">
      <w:pPr>
        <w:spacing w:after="0" w:line="240" w:lineRule="auto"/>
      </w:pPr>
      <w:r>
        <w:separator/>
      </w:r>
    </w:p>
  </w:footnote>
  <w:footnote w:type="continuationSeparator" w:id="0">
    <w:p w:rsidR="00000000" w:rsidRDefault="00D073E6">
      <w:pPr>
        <w:spacing w:after="0" w:line="240" w:lineRule="auto"/>
      </w:pPr>
      <w:r>
        <w:continuationSeparator/>
      </w:r>
    </w:p>
  </w:footnote>
  <w:footnote w:id="1">
    <w:p w:rsidR="002C4837" w:rsidRDefault="00D073E6" w:rsidP="00FA172D">
      <w:pPr>
        <w:pStyle w:val="Textonotapie"/>
        <w:jc w:val="both"/>
      </w:pPr>
      <w:r>
        <w:rPr>
          <w:rStyle w:val="Refdenotaalpie"/>
        </w:rPr>
        <w:footnoteRef/>
      </w:r>
      <w:r>
        <w:t xml:space="preserve"> </w:t>
      </w:r>
      <w:hyperlink r:id="rId1" w:history="1">
        <w:r w:rsidRPr="004C2FC0">
          <w:rPr>
            <w:rStyle w:val="Hipervnculo"/>
          </w:rPr>
          <w:t>https://www.corteconstitucional.gov.co/secretaria/archivo.php?id=70506</w:t>
        </w:r>
      </w:hyperlink>
    </w:p>
  </w:footnote>
  <w:footnote w:id="2">
    <w:p w:rsidR="00917427" w:rsidRDefault="00D073E6" w:rsidP="00FA172D">
      <w:pPr>
        <w:pStyle w:val="Textonotapie"/>
        <w:jc w:val="both"/>
      </w:pPr>
      <w:r>
        <w:rPr>
          <w:rStyle w:val="Refdenotaalpie"/>
        </w:rPr>
        <w:footnoteRef/>
      </w:r>
      <w:r>
        <w:t xml:space="preserve"> </w:t>
      </w:r>
      <w:r>
        <w:t xml:space="preserve">La decisión puede ser consultada en: </w:t>
      </w:r>
      <w:hyperlink r:id="rId2" w:history="1">
        <w:r w:rsidRPr="0059108F">
          <w:rPr>
            <w:rStyle w:val="Hipervnculo"/>
          </w:rPr>
          <w:t>https://www.corteconstitucional.gov.co/Relatoria/autos/2024/A1092-24.htm</w:t>
        </w:r>
      </w:hyperlink>
    </w:p>
  </w:footnote>
  <w:footnote w:id="3">
    <w:p w:rsidR="00DF66C9" w:rsidRDefault="00D073E6" w:rsidP="00FA172D">
      <w:pPr>
        <w:pStyle w:val="Textonotapie"/>
        <w:jc w:val="both"/>
      </w:pPr>
      <w:r>
        <w:rPr>
          <w:rStyle w:val="Refdenotaalpie"/>
        </w:rPr>
        <w:footnoteRef/>
      </w:r>
      <w:r>
        <w:t xml:space="preserve"> Diario Oficial No. 52.400 del 19 de mayo de 2023.</w:t>
      </w:r>
    </w:p>
  </w:footnote>
  <w:footnote w:id="4">
    <w:p w:rsidR="00D0563D" w:rsidRDefault="00D073E6" w:rsidP="00FA172D">
      <w:pPr>
        <w:pStyle w:val="Textonotapie"/>
        <w:jc w:val="both"/>
      </w:pPr>
      <w:r>
        <w:rPr>
          <w:rStyle w:val="Refdenotaalpie"/>
        </w:rPr>
        <w:footnoteRef/>
      </w:r>
      <w:r>
        <w:t xml:space="preserve"> Sobre el desarrollo jurisprudencial del principio de unidad de materia citó las Sentencias </w:t>
      </w:r>
      <w:r>
        <w:t xml:space="preserve">C-451 de 2000, C-126 de 2020, </w:t>
      </w:r>
      <w:r>
        <w:t>C-030 de</w:t>
      </w:r>
      <w:r>
        <w:t xml:space="preserve"> 2021</w:t>
      </w:r>
      <w:r>
        <w:t xml:space="preserve"> </w:t>
      </w:r>
      <w:r>
        <w:t xml:space="preserve">y C-451 de 2020. </w:t>
      </w:r>
    </w:p>
  </w:footnote>
  <w:footnote w:id="5">
    <w:p w:rsidR="00B40A5F" w:rsidRDefault="00D073E6" w:rsidP="00FA172D">
      <w:pPr>
        <w:pStyle w:val="Textonotapie"/>
        <w:jc w:val="both"/>
      </w:pPr>
      <w:r>
        <w:rPr>
          <w:rStyle w:val="Refdenotaalpie"/>
        </w:rPr>
        <w:footnoteRef/>
      </w:r>
      <w:r>
        <w:t xml:space="preserve"> </w:t>
      </w:r>
      <w:r>
        <w:t>Expediente digital D-11516, “</w:t>
      </w:r>
      <w:r w:rsidRPr="00A00A26">
        <w:rPr>
          <w:i/>
          <w:iCs/>
        </w:rPr>
        <w:t>D0015516. Demanda ciudadana</w:t>
      </w:r>
      <w:r>
        <w:t xml:space="preserve">”, </w:t>
      </w:r>
      <w:r>
        <w:t>p. 10</w:t>
      </w:r>
    </w:p>
  </w:footnote>
  <w:footnote w:id="6">
    <w:p w:rsidR="00B40A5F" w:rsidRPr="00A0448E" w:rsidRDefault="00D073E6" w:rsidP="00FA172D">
      <w:pPr>
        <w:pStyle w:val="Textonotapie"/>
        <w:jc w:val="both"/>
      </w:pPr>
      <w:r>
        <w:rPr>
          <w:rStyle w:val="Refdenotaalpie"/>
        </w:rPr>
        <w:footnoteRef/>
      </w:r>
      <w:r>
        <w:t xml:space="preserve"> </w:t>
      </w:r>
      <w:r>
        <w:rPr>
          <w:i/>
          <w:iCs/>
        </w:rPr>
        <w:t>Ibid</w:t>
      </w:r>
      <w:r>
        <w:rPr>
          <w:i/>
          <w:iCs/>
        </w:rPr>
        <w:t xml:space="preserve">., </w:t>
      </w:r>
      <w:r>
        <w:t xml:space="preserve">p. </w:t>
      </w:r>
      <w:r>
        <w:t>13.</w:t>
      </w:r>
    </w:p>
  </w:footnote>
  <w:footnote w:id="7">
    <w:p w:rsidR="00A9594A" w:rsidRDefault="00D073E6">
      <w:pPr>
        <w:pStyle w:val="Textonotapie"/>
      </w:pPr>
      <w:r>
        <w:rPr>
          <w:rStyle w:val="Refdenotaalpie"/>
        </w:rPr>
        <w:footnoteRef/>
      </w:r>
      <w:r>
        <w:t xml:space="preserve"> </w:t>
      </w:r>
      <w:r>
        <w:rPr>
          <w:i/>
          <w:iCs/>
        </w:rPr>
        <w:t xml:space="preserve">Ibid., </w:t>
      </w:r>
      <w:r>
        <w:t>p. 15.</w:t>
      </w:r>
    </w:p>
  </w:footnote>
  <w:footnote w:id="8">
    <w:p w:rsidR="00E73D64" w:rsidRDefault="00D073E6" w:rsidP="00FA172D">
      <w:pPr>
        <w:pStyle w:val="Textonotapie"/>
        <w:jc w:val="both"/>
      </w:pPr>
      <w:r>
        <w:rPr>
          <w:rStyle w:val="Refdenotaalpie"/>
        </w:rPr>
        <w:footnoteRef/>
      </w:r>
      <w:r>
        <w:t xml:space="preserve"> </w:t>
      </w:r>
      <w:r>
        <w:t xml:space="preserve">La intervención del Ministerio de Agricultura y Desarrollo Rural fue enviada a la Secretaría General de la Corte Constitucional el </w:t>
      </w:r>
      <w:r>
        <w:t>24 de noviembre de 2023 por Juan Camilo Morales Salazar, jefe de la Oficina Asesora Jurídica.</w:t>
      </w:r>
    </w:p>
  </w:footnote>
  <w:footnote w:id="9">
    <w:p w:rsidR="007D5793" w:rsidRDefault="00D073E6" w:rsidP="00FA172D">
      <w:pPr>
        <w:pStyle w:val="Textonotapie"/>
        <w:jc w:val="both"/>
      </w:pPr>
      <w:r>
        <w:rPr>
          <w:rStyle w:val="Refdenotaalpie"/>
        </w:rPr>
        <w:footnoteRef/>
      </w:r>
      <w:r>
        <w:t xml:space="preserve"> </w:t>
      </w:r>
      <w:r>
        <w:t>La intervención de la Presidencia de la República</w:t>
      </w:r>
      <w:r>
        <w:t xml:space="preserve"> fue enviada a la Secretaría General de la Corte Constitucional </w:t>
      </w:r>
      <w:r>
        <w:t xml:space="preserve">el 24 de noviembre de 2023 por </w:t>
      </w:r>
      <w:r>
        <w:t xml:space="preserve">Carolina Jiménez Bellicia, en calidad de apoderada </w:t>
      </w:r>
      <w:r>
        <w:t>judicial del Departamento Administrativo de la Presidencia de la República.</w:t>
      </w:r>
    </w:p>
  </w:footnote>
  <w:footnote w:id="10">
    <w:p w:rsidR="00E646C8" w:rsidRDefault="00D073E6" w:rsidP="00FA172D">
      <w:pPr>
        <w:pStyle w:val="Textonotapie"/>
        <w:jc w:val="both"/>
      </w:pPr>
      <w:r>
        <w:rPr>
          <w:rStyle w:val="Refdenotaalpie"/>
        </w:rPr>
        <w:footnoteRef/>
      </w:r>
      <w:r>
        <w:t xml:space="preserve"> La intervención del Departamento Nacional de Planeación </w:t>
      </w:r>
      <w:r>
        <w:t>fue enviada a la Secretaría General de la Corte Constitucional el 24 de</w:t>
      </w:r>
      <w:r>
        <w:t xml:space="preserve"> noviembre de 2023</w:t>
      </w:r>
      <w:r>
        <w:t xml:space="preserve">, por Luis Fernando Hernández Betacur, </w:t>
      </w:r>
      <w:r>
        <w:t>en calidad de apoderado.</w:t>
      </w:r>
    </w:p>
  </w:footnote>
  <w:footnote w:id="11">
    <w:p w:rsidR="002A64AF" w:rsidRPr="00F63CB3" w:rsidRDefault="00D073E6" w:rsidP="00FA172D">
      <w:pPr>
        <w:pStyle w:val="Textonotapie"/>
        <w:jc w:val="both"/>
      </w:pPr>
      <w:r>
        <w:rPr>
          <w:rStyle w:val="Refdenotaalpie"/>
        </w:rPr>
        <w:footnoteRef/>
      </w:r>
      <w:r>
        <w:t xml:space="preserve"> </w:t>
      </w:r>
      <w:r>
        <w:t>Expediente digital D-15516, “</w:t>
      </w:r>
      <w:r>
        <w:rPr>
          <w:i/>
          <w:iCs/>
        </w:rPr>
        <w:t>Intervención – Presidencia de la República</w:t>
      </w:r>
      <w:r>
        <w:t xml:space="preserve">”, </w:t>
      </w:r>
      <w:r>
        <w:t>p. 14.</w:t>
      </w:r>
    </w:p>
  </w:footnote>
  <w:footnote w:id="12">
    <w:p w:rsidR="002A64AF" w:rsidRPr="0039636A" w:rsidRDefault="00D073E6" w:rsidP="00FA172D">
      <w:pPr>
        <w:pStyle w:val="Textonotapie"/>
        <w:jc w:val="both"/>
        <w:rPr>
          <w:lang w:val="en-US"/>
        </w:rPr>
      </w:pPr>
      <w:r>
        <w:rPr>
          <w:rStyle w:val="Refdenotaalpie"/>
        </w:rPr>
        <w:footnoteRef/>
      </w:r>
      <w:r w:rsidRPr="0039636A">
        <w:rPr>
          <w:lang w:val="en-US"/>
        </w:rPr>
        <w:t xml:space="preserve"> </w:t>
      </w:r>
      <w:r w:rsidRPr="0039636A">
        <w:rPr>
          <w:i/>
          <w:iCs/>
          <w:lang w:val="en-US"/>
        </w:rPr>
        <w:t xml:space="preserve">Ibid., </w:t>
      </w:r>
      <w:r w:rsidRPr="0039636A">
        <w:rPr>
          <w:lang w:val="en-US"/>
        </w:rPr>
        <w:t xml:space="preserve">p. </w:t>
      </w:r>
      <w:r w:rsidRPr="0039636A">
        <w:rPr>
          <w:lang w:val="en-US"/>
        </w:rPr>
        <w:t>17</w:t>
      </w:r>
      <w:r w:rsidRPr="0039636A">
        <w:rPr>
          <w:lang w:val="en-US"/>
        </w:rPr>
        <w:t>.</w:t>
      </w:r>
    </w:p>
  </w:footnote>
  <w:footnote w:id="13">
    <w:p w:rsidR="002A64AF" w:rsidRPr="0039636A" w:rsidRDefault="00D073E6" w:rsidP="00FA172D">
      <w:pPr>
        <w:pStyle w:val="Textonotapie"/>
        <w:jc w:val="both"/>
        <w:rPr>
          <w:lang w:val="en-US"/>
        </w:rPr>
      </w:pPr>
      <w:r>
        <w:rPr>
          <w:rStyle w:val="Refdenotaalpie"/>
        </w:rPr>
        <w:footnoteRef/>
      </w:r>
      <w:r w:rsidRPr="0039636A">
        <w:rPr>
          <w:lang w:val="en-US"/>
        </w:rPr>
        <w:t xml:space="preserve"> </w:t>
      </w:r>
      <w:r w:rsidRPr="0039636A">
        <w:rPr>
          <w:i/>
          <w:iCs/>
          <w:lang w:val="en-US"/>
        </w:rPr>
        <w:t xml:space="preserve">Ibid., </w:t>
      </w:r>
      <w:r w:rsidRPr="0039636A">
        <w:rPr>
          <w:lang w:val="en-US"/>
        </w:rPr>
        <w:t xml:space="preserve">p. </w:t>
      </w:r>
      <w:r w:rsidRPr="0039636A">
        <w:rPr>
          <w:lang w:val="en-US"/>
        </w:rPr>
        <w:t>21</w:t>
      </w:r>
      <w:r w:rsidRPr="0039636A">
        <w:rPr>
          <w:lang w:val="en-US"/>
        </w:rPr>
        <w:t>.</w:t>
      </w:r>
    </w:p>
  </w:footnote>
  <w:footnote w:id="14">
    <w:p w:rsidR="002A64AF" w:rsidRPr="0039636A" w:rsidRDefault="00D073E6" w:rsidP="00FA172D">
      <w:pPr>
        <w:pStyle w:val="Textonotapie"/>
        <w:jc w:val="both"/>
        <w:rPr>
          <w:lang w:val="en-US"/>
        </w:rPr>
      </w:pPr>
      <w:r>
        <w:rPr>
          <w:rStyle w:val="Refdenotaalpie"/>
        </w:rPr>
        <w:footnoteRef/>
      </w:r>
      <w:r w:rsidRPr="0039636A">
        <w:rPr>
          <w:lang w:val="en-US"/>
        </w:rPr>
        <w:t xml:space="preserve"> </w:t>
      </w:r>
      <w:r w:rsidRPr="0039636A">
        <w:rPr>
          <w:i/>
          <w:iCs/>
          <w:lang w:val="en-US"/>
        </w:rPr>
        <w:t xml:space="preserve">Ibid., </w:t>
      </w:r>
      <w:r>
        <w:rPr>
          <w:lang w:val="en-US"/>
        </w:rPr>
        <w:t xml:space="preserve">p. </w:t>
      </w:r>
      <w:r w:rsidRPr="0039636A">
        <w:rPr>
          <w:lang w:val="en-US"/>
        </w:rPr>
        <w:t>24</w:t>
      </w:r>
      <w:r>
        <w:rPr>
          <w:lang w:val="en-US"/>
        </w:rPr>
        <w:t>.</w:t>
      </w:r>
    </w:p>
  </w:footnote>
  <w:footnote w:id="15">
    <w:p w:rsidR="002A64AF" w:rsidRPr="00ED5415" w:rsidRDefault="00D073E6" w:rsidP="00FA172D">
      <w:pPr>
        <w:pStyle w:val="Textonotapie"/>
        <w:jc w:val="both"/>
      </w:pPr>
      <w:r>
        <w:rPr>
          <w:rStyle w:val="Refdenotaalpie"/>
        </w:rPr>
        <w:footnoteRef/>
      </w:r>
      <w:r w:rsidRPr="00ED5415">
        <w:t xml:space="preserve"> </w:t>
      </w:r>
      <w:r w:rsidRPr="00ED5415">
        <w:rPr>
          <w:i/>
          <w:iCs/>
        </w:rPr>
        <w:t xml:space="preserve">Ibid., </w:t>
      </w:r>
      <w:r w:rsidRPr="00ED5415">
        <w:t xml:space="preserve">p. </w:t>
      </w:r>
      <w:r w:rsidRPr="00ED5415">
        <w:t>13</w:t>
      </w:r>
      <w:r w:rsidRPr="00ED5415">
        <w:t>.</w:t>
      </w:r>
    </w:p>
  </w:footnote>
  <w:footnote w:id="16">
    <w:p w:rsidR="002A64AF" w:rsidRPr="00ED5415" w:rsidRDefault="00D073E6" w:rsidP="00FA172D">
      <w:pPr>
        <w:pStyle w:val="Textonotapie"/>
        <w:jc w:val="both"/>
      </w:pPr>
      <w:r>
        <w:rPr>
          <w:rStyle w:val="Refdenotaalpie"/>
        </w:rPr>
        <w:footnoteRef/>
      </w:r>
      <w:r w:rsidRPr="00ED5415">
        <w:t xml:space="preserve"> </w:t>
      </w:r>
      <w:r w:rsidRPr="00ED5415">
        <w:rPr>
          <w:i/>
          <w:iCs/>
        </w:rPr>
        <w:t xml:space="preserve">Ibid., </w:t>
      </w:r>
      <w:r w:rsidRPr="00ED5415">
        <w:t xml:space="preserve">p. </w:t>
      </w:r>
      <w:r w:rsidRPr="00ED5415">
        <w:t>14</w:t>
      </w:r>
      <w:r w:rsidRPr="00ED5415">
        <w:t>.</w:t>
      </w:r>
    </w:p>
  </w:footnote>
  <w:footnote w:id="17">
    <w:p w:rsidR="002A64AF" w:rsidRPr="00FA172D" w:rsidRDefault="00D073E6" w:rsidP="00FA172D">
      <w:pPr>
        <w:pStyle w:val="Textonotapie"/>
        <w:jc w:val="both"/>
        <w:rPr>
          <w:i/>
          <w:iCs/>
        </w:rPr>
      </w:pPr>
      <w:r>
        <w:rPr>
          <w:rStyle w:val="Refdenotaalpie"/>
        </w:rPr>
        <w:footnoteRef/>
      </w:r>
      <w:r>
        <w:t xml:space="preserve"> </w:t>
      </w:r>
      <w:r>
        <w:rPr>
          <w:i/>
          <w:iCs/>
        </w:rPr>
        <w:t>Ibídem.</w:t>
      </w:r>
    </w:p>
  </w:footnote>
  <w:footnote w:id="18">
    <w:p w:rsidR="002A64AF" w:rsidRDefault="00D073E6" w:rsidP="00FA172D">
      <w:pPr>
        <w:pStyle w:val="Textonotapie"/>
        <w:jc w:val="both"/>
      </w:pPr>
      <w:r>
        <w:rPr>
          <w:rStyle w:val="Refdenotaalpie"/>
        </w:rPr>
        <w:footnoteRef/>
      </w:r>
      <w:r>
        <w:t xml:space="preserve"> </w:t>
      </w:r>
      <w:r>
        <w:rPr>
          <w:i/>
          <w:iCs/>
        </w:rPr>
        <w:t xml:space="preserve">Ibid., </w:t>
      </w:r>
      <w:r>
        <w:t xml:space="preserve">p. </w:t>
      </w:r>
      <w:r>
        <w:t>26</w:t>
      </w:r>
      <w:r>
        <w:t>.</w:t>
      </w:r>
    </w:p>
  </w:footnote>
  <w:footnote w:id="19">
    <w:p w:rsidR="00A5487D" w:rsidRDefault="00D073E6" w:rsidP="00FA172D">
      <w:pPr>
        <w:pStyle w:val="Textonotapie"/>
        <w:jc w:val="both"/>
      </w:pPr>
      <w:r>
        <w:rPr>
          <w:rStyle w:val="Refdenotaalpie"/>
        </w:rPr>
        <w:footnoteRef/>
      </w:r>
      <w:r>
        <w:t xml:space="preserve"> Citó las Sentencias C-191 de 1996 C-305 de 2004, C-394 de 2012 y C-376 de 2008</w:t>
      </w:r>
    </w:p>
  </w:footnote>
  <w:footnote w:id="20">
    <w:p w:rsidR="003C687C" w:rsidRDefault="00D073E6" w:rsidP="00FA172D">
      <w:pPr>
        <w:pStyle w:val="Textonotapie"/>
        <w:jc w:val="both"/>
      </w:pPr>
      <w:r>
        <w:rPr>
          <w:rStyle w:val="Refdenotaalpie"/>
        </w:rPr>
        <w:footnoteRef/>
      </w:r>
      <w:r>
        <w:t xml:space="preserve"> Enlistó los artículos 32, 51, 52, 61, 62, 341, 358 y 359 de la Ley 2294 de 2023.</w:t>
      </w:r>
    </w:p>
  </w:footnote>
  <w:footnote w:id="21">
    <w:p w:rsidR="00100334" w:rsidRDefault="00D073E6" w:rsidP="00FA172D">
      <w:pPr>
        <w:pStyle w:val="Textonotapie"/>
        <w:jc w:val="both"/>
      </w:pPr>
      <w:r>
        <w:rPr>
          <w:rStyle w:val="Refdenotaalpie"/>
        </w:rPr>
        <w:footnoteRef/>
      </w:r>
      <w:r>
        <w:t xml:space="preserve"> Expediente digital D-15.516, “</w:t>
      </w:r>
      <w:r>
        <w:rPr>
          <w:i/>
          <w:iCs/>
        </w:rPr>
        <w:t xml:space="preserve">Intervención – Ministerio de </w:t>
      </w:r>
      <w:r w:rsidRPr="002B0128">
        <w:t>Agricultura</w:t>
      </w:r>
      <w:r>
        <w:t xml:space="preserve">”, p. </w:t>
      </w:r>
      <w:r w:rsidRPr="002B0128">
        <w:t>25</w:t>
      </w:r>
      <w:r>
        <w:t>.</w:t>
      </w:r>
    </w:p>
  </w:footnote>
  <w:footnote w:id="22">
    <w:p w:rsidR="00371235" w:rsidRDefault="00D073E6" w:rsidP="00FA172D">
      <w:pPr>
        <w:pStyle w:val="Textonotapie"/>
        <w:jc w:val="both"/>
      </w:pPr>
      <w:r>
        <w:rPr>
          <w:rStyle w:val="Refdenotaalpie"/>
        </w:rPr>
        <w:footnoteRef/>
      </w:r>
      <w:r>
        <w:t xml:space="preserve"> </w:t>
      </w:r>
      <w:r>
        <w:t xml:space="preserve">Además de las intervenciones reseñadas en el acápite, se recibieron otros escritos extemporáneos, provenientes de: </w:t>
      </w:r>
      <w:r>
        <w:t>l</w:t>
      </w:r>
      <w:r>
        <w:t xml:space="preserve">a </w:t>
      </w:r>
      <w:r>
        <w:t>U</w:t>
      </w:r>
      <w:r>
        <w:t>niversidad de Nariño</w:t>
      </w:r>
      <w:r>
        <w:t>,</w:t>
      </w:r>
      <w:r>
        <w:t xml:space="preserve"> y</w:t>
      </w:r>
      <w:r>
        <w:t xml:space="preserve"> Leidy Angélica Ramírez Primiciero.</w:t>
      </w:r>
    </w:p>
  </w:footnote>
  <w:footnote w:id="23">
    <w:p w:rsidR="00DB40BB" w:rsidRDefault="00D073E6" w:rsidP="00FA172D">
      <w:pPr>
        <w:pStyle w:val="Textonotapie"/>
        <w:jc w:val="both"/>
      </w:pPr>
      <w:r>
        <w:rPr>
          <w:rStyle w:val="Refdenotaalpie"/>
        </w:rPr>
        <w:footnoteRef/>
      </w:r>
      <w:r>
        <w:t xml:space="preserve"> </w:t>
      </w:r>
      <w:r>
        <w:t>La intervención del ciudadano Harold Eduardo Sua Montaña</w:t>
      </w:r>
      <w:r>
        <w:t xml:space="preserve"> fue enviada a la Secretaría General de la Corte Constitucional el </w:t>
      </w:r>
      <w:r>
        <w:t>15 de noviembre de 2023.</w:t>
      </w:r>
      <w:r>
        <w:t xml:space="preserve"> </w:t>
      </w:r>
    </w:p>
  </w:footnote>
  <w:footnote w:id="24">
    <w:p w:rsidR="006E0A21" w:rsidRDefault="00D073E6" w:rsidP="00FA172D">
      <w:pPr>
        <w:pStyle w:val="Textonotapie"/>
        <w:jc w:val="both"/>
      </w:pPr>
      <w:r>
        <w:rPr>
          <w:rStyle w:val="Refdenotaalpie"/>
        </w:rPr>
        <w:footnoteRef/>
      </w:r>
      <w:r>
        <w:t xml:space="preserve"> La intervención de la ciudadana Sharon Ramírez Quezada</w:t>
      </w:r>
      <w:r>
        <w:t xml:space="preserve"> fue enviada a la Secretaría General de la Corte Constitucional el 24 de noviembre de 2024</w:t>
      </w:r>
      <w:r>
        <w:t>.</w:t>
      </w:r>
    </w:p>
  </w:footnote>
  <w:footnote w:id="25">
    <w:p w:rsidR="0023666A" w:rsidRDefault="00D073E6" w:rsidP="00FA172D">
      <w:pPr>
        <w:pStyle w:val="Textonotapie"/>
        <w:jc w:val="both"/>
      </w:pPr>
      <w:r>
        <w:rPr>
          <w:rStyle w:val="Refdenotaalpie"/>
        </w:rPr>
        <w:footnoteRef/>
      </w:r>
      <w:r>
        <w:t xml:space="preserve"> </w:t>
      </w:r>
      <w:r>
        <w:t>La intervenci</w:t>
      </w:r>
      <w:r>
        <w:t xml:space="preserve">ón de la SAC fue enviada a la Secretaría General de la Corte Constitucional el </w:t>
      </w:r>
      <w:r>
        <w:t>24 de noviembre de 2024</w:t>
      </w:r>
      <w:r>
        <w:t>.</w:t>
      </w:r>
    </w:p>
  </w:footnote>
  <w:footnote w:id="26">
    <w:p w:rsidR="00722052" w:rsidRDefault="00D073E6" w:rsidP="00FA172D">
      <w:pPr>
        <w:pStyle w:val="Textonotapie"/>
        <w:jc w:val="both"/>
      </w:pPr>
      <w:r>
        <w:rPr>
          <w:rStyle w:val="Refdenotaalpie"/>
        </w:rPr>
        <w:footnoteRef/>
      </w:r>
      <w:r>
        <w:t xml:space="preserve"> </w:t>
      </w:r>
      <w:r>
        <w:t xml:space="preserve">La intervención de la Universidad Pontificia Bolivariana fue enviada a la Secretaría General de la Corte Constitucional </w:t>
      </w:r>
      <w:r>
        <w:t xml:space="preserve">el </w:t>
      </w:r>
      <w:r>
        <w:t>24 de noviembre de 2024</w:t>
      </w:r>
      <w:r>
        <w:t xml:space="preserve"> por</w:t>
      </w:r>
      <w:r>
        <w:t xml:space="preserve"> Isaac Fernando Mejía Muñoz, en calidad de apoderado</w:t>
      </w:r>
      <w:r>
        <w:t>.</w:t>
      </w:r>
    </w:p>
  </w:footnote>
  <w:footnote w:id="27">
    <w:p w:rsidR="00D54A32" w:rsidRDefault="00D073E6" w:rsidP="00FA172D">
      <w:pPr>
        <w:pStyle w:val="Textonotapie"/>
        <w:jc w:val="both"/>
      </w:pPr>
      <w:r>
        <w:rPr>
          <w:rStyle w:val="Refdenotaalpie"/>
        </w:rPr>
        <w:footnoteRef/>
      </w:r>
      <w:r>
        <w:t xml:space="preserve"> </w:t>
      </w:r>
      <w:r>
        <w:t xml:space="preserve">La intervención de CAMACOL fue enviada a la Secretaría General de la Corte Constitucional el </w:t>
      </w:r>
      <w:r>
        <w:t>24 de noviembre de 2024 por Guillermo Herrera Castaño, en calidad de presidente ejecutivo.</w:t>
      </w:r>
    </w:p>
  </w:footnote>
  <w:footnote w:id="28">
    <w:p w:rsidR="00B96DC4" w:rsidRDefault="00D073E6" w:rsidP="00FA172D">
      <w:pPr>
        <w:pStyle w:val="Textonotapie"/>
        <w:jc w:val="both"/>
      </w:pPr>
      <w:r>
        <w:rPr>
          <w:rStyle w:val="Refdenotaalpie"/>
        </w:rPr>
        <w:footnoteRef/>
      </w:r>
      <w:r>
        <w:t xml:space="preserve"> </w:t>
      </w:r>
      <w:r>
        <w:t>Expediente dig</w:t>
      </w:r>
      <w:r>
        <w:t>ital D-15516, “</w:t>
      </w:r>
      <w:r>
        <w:rPr>
          <w:i/>
          <w:iCs/>
        </w:rPr>
        <w:t>Intervención ciudadana</w:t>
      </w:r>
      <w:r>
        <w:t xml:space="preserve">”, p. </w:t>
      </w:r>
      <w:r>
        <w:t>3</w:t>
      </w:r>
    </w:p>
  </w:footnote>
  <w:footnote w:id="29">
    <w:p w:rsidR="00A6733D" w:rsidRDefault="00D073E6" w:rsidP="00FA172D">
      <w:pPr>
        <w:pStyle w:val="Textonotapie"/>
        <w:jc w:val="both"/>
      </w:pPr>
      <w:r>
        <w:rPr>
          <w:rStyle w:val="Refdenotaalpie"/>
        </w:rPr>
        <w:footnoteRef/>
      </w:r>
      <w:r>
        <w:t xml:space="preserve"> </w:t>
      </w:r>
      <w:r>
        <w:t>Expediente Digital D-15516, “</w:t>
      </w:r>
      <w:r>
        <w:rPr>
          <w:i/>
          <w:iCs/>
        </w:rPr>
        <w:t xml:space="preserve">Intervención – Asociación de Agricultores de </w:t>
      </w:r>
      <w:r w:rsidRPr="001D4416">
        <w:t>Colombia</w:t>
      </w:r>
      <w:r>
        <w:t xml:space="preserve">”, p. </w:t>
      </w:r>
      <w:r w:rsidRPr="001D4416">
        <w:t>6</w:t>
      </w:r>
      <w:r>
        <w:t>.</w:t>
      </w:r>
    </w:p>
  </w:footnote>
  <w:footnote w:id="30">
    <w:p w:rsidR="00F74400" w:rsidRDefault="00D073E6" w:rsidP="00FA172D">
      <w:pPr>
        <w:pStyle w:val="Textonotapie"/>
        <w:jc w:val="both"/>
      </w:pPr>
      <w:r>
        <w:rPr>
          <w:rStyle w:val="Refdenotaalpie"/>
        </w:rPr>
        <w:footnoteRef/>
      </w:r>
      <w:r>
        <w:t xml:space="preserve"> </w:t>
      </w:r>
      <w:r>
        <w:rPr>
          <w:i/>
          <w:iCs/>
        </w:rPr>
        <w:t xml:space="preserve">Ibid., </w:t>
      </w:r>
      <w:r>
        <w:t xml:space="preserve">p. </w:t>
      </w:r>
      <w:r>
        <w:t>12</w:t>
      </w:r>
    </w:p>
  </w:footnote>
  <w:footnote w:id="31">
    <w:p w:rsidR="005968B2" w:rsidRDefault="00D073E6" w:rsidP="00FA172D">
      <w:pPr>
        <w:pStyle w:val="Textonotapie"/>
        <w:jc w:val="both"/>
      </w:pPr>
      <w:r>
        <w:rPr>
          <w:rStyle w:val="Refdenotaalpie"/>
        </w:rPr>
        <w:footnoteRef/>
      </w:r>
      <w:r>
        <w:t xml:space="preserve"> </w:t>
      </w:r>
      <w:r>
        <w:rPr>
          <w:i/>
          <w:iCs/>
        </w:rPr>
        <w:t xml:space="preserve">Ibid., </w:t>
      </w:r>
      <w:r>
        <w:t xml:space="preserve">p. </w:t>
      </w:r>
      <w:r>
        <w:t>11</w:t>
      </w:r>
      <w:r>
        <w:t>.</w:t>
      </w:r>
    </w:p>
  </w:footnote>
  <w:footnote w:id="32">
    <w:p w:rsidR="00251943" w:rsidRDefault="00D073E6" w:rsidP="00FA172D">
      <w:pPr>
        <w:pStyle w:val="Textonotapie"/>
        <w:jc w:val="both"/>
      </w:pPr>
      <w:r>
        <w:rPr>
          <w:rStyle w:val="Refdenotaalpie"/>
        </w:rPr>
        <w:footnoteRef/>
      </w:r>
      <w:r>
        <w:t xml:space="preserve"> </w:t>
      </w:r>
      <w:r>
        <w:rPr>
          <w:i/>
          <w:iCs/>
        </w:rPr>
        <w:t>Ibidem.</w:t>
      </w:r>
    </w:p>
  </w:footnote>
  <w:footnote w:id="33">
    <w:p w:rsidR="009D5A94" w:rsidRDefault="00D073E6" w:rsidP="00FA172D">
      <w:pPr>
        <w:pStyle w:val="Textonotapie"/>
        <w:jc w:val="both"/>
      </w:pPr>
      <w:r>
        <w:rPr>
          <w:rStyle w:val="Refdenotaalpie"/>
        </w:rPr>
        <w:footnoteRef/>
      </w:r>
      <w:r>
        <w:t xml:space="preserve"> </w:t>
      </w:r>
      <w:r>
        <w:t>Expediente digital D-15516, “</w:t>
      </w:r>
      <w:r>
        <w:rPr>
          <w:i/>
          <w:iCs/>
        </w:rPr>
        <w:t xml:space="preserve">Concepto Técnico – Universidad Pontificia </w:t>
      </w:r>
      <w:r w:rsidRPr="00C965C5">
        <w:rPr>
          <w:i/>
          <w:iCs/>
        </w:rPr>
        <w:t>Bolivariana</w:t>
      </w:r>
      <w:r>
        <w:t xml:space="preserve">”, p. </w:t>
      </w:r>
      <w:r w:rsidRPr="008172A6">
        <w:t>6</w:t>
      </w:r>
      <w:r>
        <w:t>.</w:t>
      </w:r>
    </w:p>
  </w:footnote>
  <w:footnote w:id="34">
    <w:p w:rsidR="000010D6" w:rsidRPr="00E34BF9" w:rsidRDefault="00D073E6" w:rsidP="00E34BF9">
      <w:pPr>
        <w:pStyle w:val="Textonotapie"/>
      </w:pPr>
      <w:r>
        <w:rPr>
          <w:rStyle w:val="Refdenotaalpie"/>
        </w:rPr>
        <w:footnoteRef/>
      </w:r>
      <w:r>
        <w:t xml:space="preserve"> </w:t>
      </w:r>
      <w:r>
        <w:t>Expediente digital D-15516, “</w:t>
      </w:r>
      <w:r>
        <w:rPr>
          <w:i/>
          <w:iCs/>
        </w:rPr>
        <w:t>Intervención Cámara Colombiana de Construcción</w:t>
      </w:r>
      <w:r>
        <w:rPr>
          <w:i/>
          <w:iCs/>
        </w:rPr>
        <w:t xml:space="preserve"> – CAMACOL</w:t>
      </w:r>
      <w:r>
        <w:t>”, p. 6.</w:t>
      </w:r>
    </w:p>
  </w:footnote>
  <w:footnote w:id="35">
    <w:p w:rsidR="002C29CE" w:rsidRPr="00331FE9" w:rsidRDefault="00D073E6" w:rsidP="00FA172D">
      <w:pPr>
        <w:pStyle w:val="Textonotapie"/>
        <w:jc w:val="both"/>
        <w:rPr>
          <w:i/>
          <w:iCs/>
        </w:rPr>
      </w:pPr>
      <w:r>
        <w:rPr>
          <w:rStyle w:val="Refdenotaalpie"/>
        </w:rPr>
        <w:footnoteRef/>
      </w:r>
      <w:r>
        <w:t xml:space="preserve"> </w:t>
      </w:r>
      <w:r>
        <w:rPr>
          <w:i/>
          <w:iCs/>
        </w:rPr>
        <w:t>Ibidem.</w:t>
      </w:r>
    </w:p>
  </w:footnote>
  <w:footnote w:id="36">
    <w:p w:rsidR="009D310E" w:rsidRPr="005C0173" w:rsidRDefault="00D073E6" w:rsidP="00FA172D">
      <w:pPr>
        <w:pStyle w:val="Textonotapie"/>
        <w:jc w:val="both"/>
      </w:pPr>
      <w:r>
        <w:rPr>
          <w:rStyle w:val="Refdenotaalpie"/>
        </w:rPr>
        <w:footnoteRef/>
      </w:r>
      <w:r>
        <w:t xml:space="preserve"> La intervención de la Comisión Colombiana de juristas fue enviada a la Secretaría General de la Corte Constitucional el </w:t>
      </w:r>
      <w:r>
        <w:t xml:space="preserve">24 de noviembre de 2023 por </w:t>
      </w:r>
      <w:r>
        <w:t xml:space="preserve">Ana María Rodríguez Valencia, David Armando Rodríguez-Rodríguez y Luisa María Muñoz López, en calidad de </w:t>
      </w:r>
      <w:r>
        <w:t>directora, coordinador de incidencia nacional y abogada de incidencia nacional, respectivamente.</w:t>
      </w:r>
    </w:p>
  </w:footnote>
  <w:footnote w:id="37">
    <w:p w:rsidR="003B402F" w:rsidRDefault="00D073E6" w:rsidP="00FA172D">
      <w:pPr>
        <w:pStyle w:val="Textonotapie"/>
        <w:jc w:val="both"/>
      </w:pPr>
      <w:r>
        <w:rPr>
          <w:rStyle w:val="Refdenotaalpie"/>
        </w:rPr>
        <w:footnoteRef/>
      </w:r>
      <w:r>
        <w:t xml:space="preserve"> La intervención del Cole</w:t>
      </w:r>
      <w:r>
        <w:t xml:space="preserve">gio de Abogados Administrativistas fue enviada a la Secretaría General de la Corte Constitucional el </w:t>
      </w:r>
      <w:r>
        <w:t>27 de noviembre de 2023 por Laura Catalina Bohórquez Bohórquez</w:t>
      </w:r>
      <w:r>
        <w:t>, en calidad de directora ejecutiva.</w:t>
      </w:r>
    </w:p>
  </w:footnote>
  <w:footnote w:id="38">
    <w:p w:rsidR="007867BA" w:rsidRDefault="00D073E6" w:rsidP="00FA172D">
      <w:pPr>
        <w:pStyle w:val="Textonotapie"/>
        <w:jc w:val="both"/>
      </w:pPr>
      <w:r>
        <w:rPr>
          <w:rStyle w:val="Refdenotaalpie"/>
        </w:rPr>
        <w:footnoteRef/>
      </w:r>
      <w:r>
        <w:t xml:space="preserve"> </w:t>
      </w:r>
      <w:r>
        <w:t>Expediente digital 15516, “</w:t>
      </w:r>
      <w:r>
        <w:rPr>
          <w:i/>
          <w:iCs/>
        </w:rPr>
        <w:t>Intervención – Comisión Col</w:t>
      </w:r>
      <w:r>
        <w:rPr>
          <w:i/>
          <w:iCs/>
        </w:rPr>
        <w:t>ombiana de Juristas</w:t>
      </w:r>
      <w:r>
        <w:t xml:space="preserve">”, p. </w:t>
      </w:r>
      <w:r w:rsidRPr="00293674">
        <w:t>5</w:t>
      </w:r>
      <w:r>
        <w:t>.</w:t>
      </w:r>
    </w:p>
  </w:footnote>
  <w:footnote w:id="39">
    <w:p w:rsidR="008651DC" w:rsidRDefault="00D073E6" w:rsidP="00FA172D">
      <w:pPr>
        <w:pStyle w:val="Textonotapie"/>
        <w:jc w:val="both"/>
      </w:pPr>
      <w:r>
        <w:rPr>
          <w:rStyle w:val="Refdenotaalpie"/>
        </w:rPr>
        <w:footnoteRef/>
      </w:r>
      <w:r>
        <w:t xml:space="preserve"> </w:t>
      </w:r>
      <w:r>
        <w:rPr>
          <w:i/>
          <w:iCs/>
        </w:rPr>
        <w:t xml:space="preserve">Ibid., </w:t>
      </w:r>
      <w:r>
        <w:t xml:space="preserve">p. </w:t>
      </w:r>
      <w:r>
        <w:t>6.</w:t>
      </w:r>
    </w:p>
  </w:footnote>
  <w:footnote w:id="40">
    <w:p w:rsidR="00AB03C0" w:rsidRPr="00E34BF9" w:rsidRDefault="00D073E6" w:rsidP="00FA172D">
      <w:pPr>
        <w:pStyle w:val="Textonotapie"/>
        <w:jc w:val="both"/>
        <w:rPr>
          <w:i/>
          <w:iCs/>
        </w:rPr>
      </w:pPr>
      <w:r>
        <w:rPr>
          <w:rStyle w:val="Refdenotaalpie"/>
        </w:rPr>
        <w:footnoteRef/>
      </w:r>
      <w:r>
        <w:t xml:space="preserve"> </w:t>
      </w:r>
      <w:r>
        <w:rPr>
          <w:i/>
          <w:iCs/>
        </w:rPr>
        <w:t>Ibidem.</w:t>
      </w:r>
    </w:p>
  </w:footnote>
  <w:footnote w:id="41">
    <w:p w:rsidR="00504A94" w:rsidRDefault="00D073E6" w:rsidP="00FA172D">
      <w:pPr>
        <w:pStyle w:val="Textonotapie"/>
        <w:jc w:val="both"/>
      </w:pPr>
      <w:r>
        <w:rPr>
          <w:rStyle w:val="Refdenotaalpie"/>
        </w:rPr>
        <w:footnoteRef/>
      </w:r>
      <w:r>
        <w:t xml:space="preserve"> </w:t>
      </w:r>
      <w:r>
        <w:rPr>
          <w:i/>
          <w:iCs/>
        </w:rPr>
        <w:t xml:space="preserve">Ibid., </w:t>
      </w:r>
      <w:r>
        <w:t xml:space="preserve">p. </w:t>
      </w:r>
      <w:r>
        <w:t>7</w:t>
      </w:r>
      <w:r>
        <w:t>.</w:t>
      </w:r>
    </w:p>
  </w:footnote>
  <w:footnote w:id="42">
    <w:p w:rsidR="005E5669" w:rsidRDefault="00D073E6" w:rsidP="00FA172D">
      <w:pPr>
        <w:pStyle w:val="Textonotapie"/>
        <w:jc w:val="both"/>
      </w:pPr>
      <w:r>
        <w:rPr>
          <w:rStyle w:val="Refdenotaalpie"/>
        </w:rPr>
        <w:footnoteRef/>
      </w:r>
      <w:r>
        <w:t xml:space="preserve"> Expediente digital D-15516, “</w:t>
      </w:r>
      <w:r>
        <w:rPr>
          <w:i/>
          <w:iCs/>
        </w:rPr>
        <w:t xml:space="preserve">Intervención Colegio Colombiano de Abogados </w:t>
      </w:r>
      <w:r w:rsidRPr="005E5669">
        <w:t>Administrativos</w:t>
      </w:r>
      <w:r>
        <w:t xml:space="preserve">”, p. </w:t>
      </w:r>
      <w:r w:rsidRPr="005E5669">
        <w:t>7</w:t>
      </w:r>
      <w:r>
        <w:t>.</w:t>
      </w:r>
    </w:p>
  </w:footnote>
  <w:footnote w:id="43">
    <w:p w:rsidR="00AC2602" w:rsidRDefault="00D073E6" w:rsidP="00FA172D">
      <w:pPr>
        <w:pStyle w:val="Textonotapie"/>
        <w:jc w:val="both"/>
      </w:pPr>
      <w:r>
        <w:rPr>
          <w:rStyle w:val="Refdenotaalpie"/>
        </w:rPr>
        <w:footnoteRef/>
      </w:r>
      <w:r>
        <w:t xml:space="preserve"> </w:t>
      </w:r>
      <w:r>
        <w:t>Expediente digital D-15516, “</w:t>
      </w:r>
      <w:r>
        <w:rPr>
          <w:i/>
          <w:iCs/>
        </w:rPr>
        <w:t>Concepto – Procuradora General de la Nación</w:t>
      </w:r>
      <w:r>
        <w:t>”, p.</w:t>
      </w:r>
      <w:r>
        <w:t xml:space="preserve"> 4</w:t>
      </w:r>
      <w:r>
        <w:t>.</w:t>
      </w:r>
    </w:p>
  </w:footnote>
  <w:footnote w:id="44">
    <w:p w:rsidR="00F40755" w:rsidRDefault="00D073E6" w:rsidP="00FA172D">
      <w:pPr>
        <w:pStyle w:val="Textonotapie"/>
        <w:jc w:val="both"/>
      </w:pPr>
      <w:r>
        <w:rPr>
          <w:rStyle w:val="Refdenotaalpie"/>
        </w:rPr>
        <w:footnoteRef/>
      </w:r>
      <w:r>
        <w:t xml:space="preserve"> </w:t>
      </w:r>
      <w:r>
        <w:rPr>
          <w:i/>
          <w:iCs/>
        </w:rPr>
        <w:t xml:space="preserve">Ibid., </w:t>
      </w:r>
      <w:r>
        <w:t xml:space="preserve">p. </w:t>
      </w:r>
      <w:r>
        <w:t>5</w:t>
      </w:r>
      <w:r>
        <w:t>.</w:t>
      </w:r>
    </w:p>
  </w:footnote>
  <w:footnote w:id="45">
    <w:p w:rsidR="00DE452F" w:rsidRPr="0036538E" w:rsidRDefault="00D073E6" w:rsidP="00FA172D">
      <w:pPr>
        <w:pStyle w:val="Textonotapie"/>
        <w:jc w:val="both"/>
        <w:rPr>
          <w:i/>
          <w:iCs/>
        </w:rPr>
      </w:pPr>
      <w:r>
        <w:rPr>
          <w:rStyle w:val="Refdenotaalpie"/>
        </w:rPr>
        <w:footnoteRef/>
      </w:r>
      <w:r>
        <w:t xml:space="preserve"> </w:t>
      </w:r>
      <w:r>
        <w:rPr>
          <w:i/>
          <w:iCs/>
        </w:rPr>
        <w:t>Ibídem.</w:t>
      </w:r>
    </w:p>
  </w:footnote>
  <w:footnote w:id="46">
    <w:p w:rsidR="001A4B04" w:rsidRPr="0036538E" w:rsidRDefault="00D073E6" w:rsidP="00FA172D">
      <w:pPr>
        <w:pStyle w:val="Textonotapie"/>
        <w:jc w:val="both"/>
        <w:rPr>
          <w:i/>
          <w:iCs/>
        </w:rPr>
      </w:pPr>
      <w:r>
        <w:rPr>
          <w:rStyle w:val="Refdenotaalpie"/>
        </w:rPr>
        <w:footnoteRef/>
      </w:r>
      <w:r>
        <w:t xml:space="preserve"> </w:t>
      </w:r>
      <w:r>
        <w:rPr>
          <w:i/>
          <w:iCs/>
        </w:rPr>
        <w:t>Ibídem.</w:t>
      </w:r>
    </w:p>
  </w:footnote>
  <w:footnote w:id="47">
    <w:p w:rsidR="00BC10FA" w:rsidRDefault="00D073E6" w:rsidP="00FA172D">
      <w:pPr>
        <w:pStyle w:val="Textonotapie"/>
        <w:jc w:val="both"/>
      </w:pPr>
      <w:r>
        <w:rPr>
          <w:rStyle w:val="Refdenotaalpie"/>
        </w:rPr>
        <w:footnoteRef/>
      </w:r>
      <w:r>
        <w:t xml:space="preserve"> </w:t>
      </w:r>
      <w:r>
        <w:rPr>
          <w:i/>
          <w:iCs/>
        </w:rPr>
        <w:t xml:space="preserve">Ibid., </w:t>
      </w:r>
      <w:r>
        <w:t xml:space="preserve">p. </w:t>
      </w:r>
      <w:r>
        <w:t>6</w:t>
      </w:r>
      <w:r>
        <w:t>.</w:t>
      </w:r>
    </w:p>
  </w:footnote>
  <w:footnote w:id="48">
    <w:p w:rsidR="00B5248D" w:rsidRDefault="00D073E6" w:rsidP="00FA172D">
      <w:pPr>
        <w:pStyle w:val="Textonotapie"/>
        <w:jc w:val="both"/>
      </w:pPr>
      <w:r>
        <w:rPr>
          <w:rStyle w:val="Refdenotaalpie"/>
        </w:rPr>
        <w:footnoteRef/>
      </w:r>
      <w:r>
        <w:t xml:space="preserve"> </w:t>
      </w:r>
      <w:r w:rsidRPr="0004425D">
        <w:rPr>
          <w:i/>
          <w:iCs/>
          <w:shd w:val="clear" w:color="auto" w:fill="FFFFFF"/>
        </w:rPr>
        <w:t xml:space="preserve">Artículo 241. A la Corte Constitucional se le confía la guarda de la integridad y supremacía de la Constitución, en los estrictos y precisos términos de este artículo. Con tal fin, cumplirá las siguientes </w:t>
      </w:r>
      <w:r w:rsidRPr="0004425D">
        <w:rPr>
          <w:i/>
          <w:iCs/>
          <w:shd w:val="clear" w:color="auto" w:fill="FFFFFF"/>
        </w:rPr>
        <w:t>funciones: (…) 4. Decidir sobre las demandas de inconstitucionalidad que presenten los ciudadanos contra las leyes, tanto por su contenido material como por vicios de procedimiento en su formación.</w:t>
      </w:r>
    </w:p>
  </w:footnote>
  <w:footnote w:id="49">
    <w:p w:rsidR="006E7B74" w:rsidRDefault="00D073E6" w:rsidP="00FA172D">
      <w:pPr>
        <w:pStyle w:val="Textonotapie"/>
        <w:jc w:val="both"/>
      </w:pPr>
      <w:r>
        <w:rPr>
          <w:rStyle w:val="Refdenotaalpie"/>
        </w:rPr>
        <w:footnoteRef/>
      </w:r>
      <w:r>
        <w:t xml:space="preserve"> </w:t>
      </w:r>
      <w:r w:rsidRPr="00E02B10">
        <w:t xml:space="preserve">Sentencia C-294 de 2024, </w:t>
      </w:r>
      <w:r w:rsidRPr="00E02B10">
        <w:t>e</w:t>
      </w:r>
      <w:r w:rsidRPr="00E02B10">
        <w:t>xpedientes</w:t>
      </w:r>
      <w:r w:rsidRPr="00E02B10">
        <w:t xml:space="preserve"> </w:t>
      </w:r>
      <w:r w:rsidRPr="00E02B10">
        <w:t>D-154</w:t>
      </w:r>
      <w:r w:rsidRPr="00E02B10">
        <w:t>38 y D-15461 A</w:t>
      </w:r>
      <w:r w:rsidRPr="00E02B10">
        <w:t>C.</w:t>
      </w:r>
    </w:p>
  </w:footnote>
  <w:footnote w:id="50">
    <w:p w:rsidR="00D52703" w:rsidRDefault="00D073E6" w:rsidP="00FA172D">
      <w:pPr>
        <w:pStyle w:val="Textonotapie"/>
        <w:jc w:val="both"/>
      </w:pPr>
      <w:r>
        <w:rPr>
          <w:rStyle w:val="Refdenotaalpie"/>
        </w:rPr>
        <w:footnoteRef/>
      </w:r>
      <w:r>
        <w:t xml:space="preserve"> </w:t>
      </w:r>
      <w:r>
        <w:t>Ver, por ejemplo, las Sentencia C-774 de 2001, C-468 de 2011, C-552 de 2004, C-007 de 2016, C-089 de 2020</w:t>
      </w:r>
      <w:r>
        <w:t xml:space="preserve">, C-337 de 2021 y C-519 de 2023. </w:t>
      </w:r>
    </w:p>
  </w:footnote>
  <w:footnote w:id="51">
    <w:p w:rsidR="001E4AD8" w:rsidRDefault="00D073E6" w:rsidP="00FA172D">
      <w:pPr>
        <w:pStyle w:val="Textonotapie"/>
        <w:jc w:val="both"/>
      </w:pPr>
      <w:r>
        <w:rPr>
          <w:rStyle w:val="Refdenotaalpie"/>
        </w:rPr>
        <w:footnoteRef/>
      </w:r>
      <w:r>
        <w:t xml:space="preserve"> </w:t>
      </w:r>
      <w:r>
        <w:t xml:space="preserve">Corte Constitucional, </w:t>
      </w:r>
      <w:r>
        <w:t>Sentencia C-337 de 2021.</w:t>
      </w:r>
    </w:p>
  </w:footnote>
  <w:footnote w:id="52">
    <w:p w:rsidR="00CB64EE" w:rsidRPr="0004425D" w:rsidRDefault="00D073E6" w:rsidP="00FA172D">
      <w:pPr>
        <w:pStyle w:val="Textonotapie"/>
        <w:jc w:val="both"/>
      </w:pPr>
      <w:r w:rsidRPr="0004425D">
        <w:rPr>
          <w:rStyle w:val="Refdenotaalpie"/>
          <w:rFonts w:eastAsiaTheme="majorEastAsia"/>
        </w:rPr>
        <w:footnoteRef/>
      </w:r>
      <w:r w:rsidRPr="0004425D">
        <w:t xml:space="preserve"> Para esta definición se toman las conclusiones expresadas en </w:t>
      </w:r>
      <w:r w:rsidRPr="0004425D">
        <w:t>la Sentencia C-118 de 2021. Sin embargo, la figura ha sido desarrollada en múltiples sentencias, entre ellas las Sentencia</w:t>
      </w:r>
      <w:r>
        <w:t>s</w:t>
      </w:r>
      <w:r w:rsidRPr="0004425D">
        <w:t xml:space="preserve"> C-774 de 2001, C-334 de 2013, C-007 de 2016, C-221 de 2016 y C-265 de 2019.</w:t>
      </w:r>
    </w:p>
  </w:footnote>
  <w:footnote w:id="53">
    <w:p w:rsidR="00CB64EE" w:rsidRPr="0004425D" w:rsidRDefault="00D073E6" w:rsidP="00FA172D">
      <w:pPr>
        <w:pStyle w:val="Textonotapie"/>
        <w:jc w:val="both"/>
      </w:pPr>
      <w:r w:rsidRPr="0004425D">
        <w:rPr>
          <w:rStyle w:val="Refdenotaalpie"/>
          <w:rFonts w:eastAsiaTheme="majorEastAsia"/>
        </w:rPr>
        <w:footnoteRef/>
      </w:r>
      <w:r w:rsidRPr="0004425D">
        <w:t xml:space="preserve"> Corte Constitucional, Sentencia C-007 de 2016.</w:t>
      </w:r>
    </w:p>
  </w:footnote>
  <w:footnote w:id="54">
    <w:p w:rsidR="00CB64EE" w:rsidRPr="0004425D" w:rsidRDefault="00D073E6" w:rsidP="00FA172D">
      <w:pPr>
        <w:pStyle w:val="Textonotapie"/>
        <w:jc w:val="both"/>
      </w:pPr>
      <w:r w:rsidRPr="0004425D">
        <w:rPr>
          <w:rStyle w:val="Refdenotaalpie"/>
          <w:rFonts w:eastAsiaTheme="majorEastAsia"/>
        </w:rPr>
        <w:footnoteRef/>
      </w:r>
      <w:r w:rsidRPr="0004425D">
        <w:t xml:space="preserve"> Corte</w:t>
      </w:r>
      <w:r w:rsidRPr="0004425D">
        <w:t xml:space="preserve"> Constitucional, Sentencias</w:t>
      </w:r>
      <w:r w:rsidRPr="0004425D">
        <w:rPr>
          <w:lang w:val="es-ES_tradnl"/>
        </w:rPr>
        <w:t xml:space="preserve"> C-397 de 1995, C-700 de 1999, C-925 de 2000 y C-157 de 2002.</w:t>
      </w:r>
    </w:p>
  </w:footnote>
  <w:footnote w:id="55">
    <w:p w:rsidR="00CB64EE" w:rsidRPr="0004425D" w:rsidRDefault="00D073E6" w:rsidP="00FA172D">
      <w:pPr>
        <w:pStyle w:val="Textonotapie"/>
        <w:jc w:val="both"/>
      </w:pPr>
      <w:r w:rsidRPr="0004425D">
        <w:rPr>
          <w:rStyle w:val="Refdenotaalpie"/>
          <w:rFonts w:eastAsiaTheme="majorEastAsia"/>
        </w:rPr>
        <w:footnoteRef/>
      </w:r>
      <w:r w:rsidRPr="0004425D">
        <w:t xml:space="preserve"> Corte Constitucional, Sentencia C-049 de 2020.</w:t>
      </w:r>
    </w:p>
  </w:footnote>
  <w:footnote w:id="56">
    <w:p w:rsidR="00CA2B07" w:rsidRPr="0004425D" w:rsidRDefault="00D073E6" w:rsidP="00FA172D">
      <w:pPr>
        <w:pStyle w:val="Textonotapie"/>
        <w:ind w:right="-232"/>
        <w:jc w:val="both"/>
      </w:pPr>
      <w:r w:rsidRPr="0004425D">
        <w:rPr>
          <w:rStyle w:val="Refdenotaalpie"/>
          <w:rFonts w:eastAsiaTheme="majorEastAsia"/>
        </w:rPr>
        <w:footnoteRef/>
      </w:r>
      <w:r w:rsidRPr="0004425D">
        <w:t xml:space="preserve"> Corte Constitucional, Sentencia C-310 de 2002.</w:t>
      </w:r>
    </w:p>
  </w:footnote>
  <w:footnote w:id="57">
    <w:p w:rsidR="0025640C" w:rsidRDefault="00D073E6" w:rsidP="00FA172D">
      <w:pPr>
        <w:pStyle w:val="Textonotapie"/>
        <w:jc w:val="both"/>
      </w:pPr>
      <w:r>
        <w:rPr>
          <w:rStyle w:val="Refdenotaalpie"/>
        </w:rPr>
        <w:footnoteRef/>
      </w:r>
      <w:r>
        <w:t xml:space="preserve"> Corte Constitucional, Sentencia C-519 de 2023.</w:t>
      </w:r>
    </w:p>
  </w:footnote>
  <w:footnote w:id="58">
    <w:p w:rsidR="00B2337F" w:rsidRDefault="00D073E6" w:rsidP="00FA172D">
      <w:pPr>
        <w:pStyle w:val="Textonotapie"/>
        <w:jc w:val="both"/>
      </w:pPr>
      <w:r>
        <w:rPr>
          <w:rStyle w:val="Refdenotaalpie"/>
        </w:rPr>
        <w:footnoteRef/>
      </w:r>
      <w:r>
        <w:t xml:space="preserve"> </w:t>
      </w:r>
      <w:r>
        <w:t xml:space="preserve">Decreto 2067 de </w:t>
      </w:r>
      <w:r>
        <w:t>1991, artículo 6°.</w:t>
      </w:r>
    </w:p>
  </w:footnote>
  <w:footnote w:id="59">
    <w:p w:rsidR="00983CD1" w:rsidRDefault="00D073E6" w:rsidP="00FA172D">
      <w:pPr>
        <w:pStyle w:val="Textonotapie"/>
        <w:jc w:val="both"/>
      </w:pPr>
      <w:r>
        <w:rPr>
          <w:rStyle w:val="Refdenotaalpie"/>
        </w:rPr>
        <w:footnoteRef/>
      </w:r>
      <w:r>
        <w:t xml:space="preserve"> Corte Constitucional, Sentencia C-089 de 2020.</w:t>
      </w:r>
    </w:p>
  </w:footnote>
  <w:footnote w:id="60">
    <w:p w:rsidR="00B641CE" w:rsidRDefault="00D073E6" w:rsidP="00FA172D">
      <w:pPr>
        <w:pStyle w:val="Textonotapie"/>
        <w:jc w:val="both"/>
      </w:pPr>
      <w:r>
        <w:rPr>
          <w:rStyle w:val="Refdenotaalpie"/>
        </w:rPr>
        <w:footnoteRef/>
      </w:r>
      <w:r>
        <w:t xml:space="preserve"> Comunicado de prensa 30, del 17 y 18 de julio de 2024, publicado el siguiente 19 de julio. Sentencia C-294 de 2024, M.P. Natalia Ángel Cabo, ExpedientesD-15438 y D-15461 AC.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3E3E"/>
    <w:multiLevelType w:val="hybridMultilevel"/>
    <w:tmpl w:val="9E56CB16"/>
    <w:lvl w:ilvl="0" w:tplc="E4C4EE34">
      <w:start w:val="1"/>
      <w:numFmt w:val="decimal"/>
      <w:lvlText w:val="%1."/>
      <w:lvlJc w:val="left"/>
      <w:pPr>
        <w:ind w:left="720" w:hanging="360"/>
      </w:pPr>
      <w:rPr>
        <w:rFonts w:hint="default"/>
        <w:b/>
        <w:bCs/>
        <w:i w:val="0"/>
        <w:iCs w:val="0"/>
        <w:sz w:val="28"/>
        <w:szCs w:val="28"/>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425DFC"/>
    <w:multiLevelType w:val="hybridMultilevel"/>
    <w:tmpl w:val="B4DE383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EE220C7"/>
    <w:multiLevelType w:val="hybridMultilevel"/>
    <w:tmpl w:val="D58A8AF8"/>
    <w:lvl w:ilvl="0" w:tplc="DC763868">
      <w:start w:val="1"/>
      <w:numFmt w:val="upperRoman"/>
      <w:lvlText w:val="%1."/>
      <w:lvlJc w:val="left"/>
      <w:pPr>
        <w:ind w:left="1080" w:hanging="720"/>
      </w:pPr>
      <w:rPr>
        <w:rFonts w:hint="default"/>
        <w:color w:val="auto"/>
        <w:sz w:val="28"/>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3FB32F3"/>
    <w:multiLevelType w:val="hybridMultilevel"/>
    <w:tmpl w:val="8DB86DAC"/>
    <w:lvl w:ilvl="0" w:tplc="D2605F5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0D93"/>
    <w:rsid w:val="0040204B"/>
    <w:rsid w:val="00680D93"/>
    <w:rsid w:val="00D073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E3FE6D6B-B9D4-40A7-A5A0-068622919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DF66C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DF66C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unhideWhenUsed/>
    <w:qFormat/>
    <w:rsid w:val="00DF66C9"/>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DF66C9"/>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DF66C9"/>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DF66C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F66C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F66C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F66C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F66C9"/>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DF66C9"/>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rsid w:val="00DF66C9"/>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DF66C9"/>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DF66C9"/>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DF66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F66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F66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F66C9"/>
    <w:rPr>
      <w:rFonts w:eastAsiaTheme="majorEastAsia" w:cstheme="majorBidi"/>
      <w:color w:val="272727" w:themeColor="text1" w:themeTint="D8"/>
    </w:rPr>
  </w:style>
  <w:style w:type="paragraph" w:styleId="Ttulo">
    <w:name w:val="Title"/>
    <w:basedOn w:val="Normal"/>
    <w:next w:val="Normal"/>
    <w:link w:val="TtuloCar"/>
    <w:uiPriority w:val="10"/>
    <w:qFormat/>
    <w:rsid w:val="00DF66C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F66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F66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F66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F66C9"/>
    <w:pPr>
      <w:spacing w:before="160"/>
      <w:jc w:val="center"/>
    </w:pPr>
    <w:rPr>
      <w:i/>
      <w:iCs/>
      <w:color w:val="404040" w:themeColor="text1" w:themeTint="BF"/>
    </w:rPr>
  </w:style>
  <w:style w:type="character" w:customStyle="1" w:styleId="CitaCar">
    <w:name w:val="Cita Car"/>
    <w:basedOn w:val="Fuentedeprrafopredeter"/>
    <w:link w:val="Cita"/>
    <w:uiPriority w:val="29"/>
    <w:rsid w:val="00DF66C9"/>
    <w:rPr>
      <w:i/>
      <w:iCs/>
      <w:color w:val="404040" w:themeColor="text1" w:themeTint="BF"/>
    </w:rPr>
  </w:style>
  <w:style w:type="paragraph" w:styleId="Prrafodelista">
    <w:name w:val="List Paragraph"/>
    <w:aliases w:val="Colorful List - Accent 11,Ha,List Paragraph1,lp1,List Paragraph2,Lista vistosa - Énfasis 11,párrafos sentencia,Normal1,Normal2,normal,List1,titulo 3,Párrafo de lista1,Bullets,Párrafo de lista2,Cuadrícula clara - Énfasis 31,Dot pt"/>
    <w:basedOn w:val="Normal"/>
    <w:link w:val="PrrafodelistaCar"/>
    <w:uiPriority w:val="34"/>
    <w:qFormat/>
    <w:rsid w:val="00DF66C9"/>
    <w:pPr>
      <w:ind w:left="720"/>
      <w:contextualSpacing/>
    </w:pPr>
  </w:style>
  <w:style w:type="character" w:styleId="nfasisintenso">
    <w:name w:val="Intense Emphasis"/>
    <w:basedOn w:val="Fuentedeprrafopredeter"/>
    <w:uiPriority w:val="21"/>
    <w:qFormat/>
    <w:rsid w:val="00DF66C9"/>
    <w:rPr>
      <w:i/>
      <w:iCs/>
      <w:color w:val="2E74B5" w:themeColor="accent1" w:themeShade="BF"/>
    </w:rPr>
  </w:style>
  <w:style w:type="paragraph" w:styleId="Citadestacada">
    <w:name w:val="Intense Quote"/>
    <w:basedOn w:val="Normal"/>
    <w:next w:val="Normal"/>
    <w:link w:val="CitadestacadaCar"/>
    <w:uiPriority w:val="30"/>
    <w:qFormat/>
    <w:rsid w:val="00DF66C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DF66C9"/>
    <w:rPr>
      <w:i/>
      <w:iCs/>
      <w:color w:val="2E74B5" w:themeColor="accent1" w:themeShade="BF"/>
    </w:rPr>
  </w:style>
  <w:style w:type="character" w:styleId="Referenciaintensa">
    <w:name w:val="Intense Reference"/>
    <w:basedOn w:val="Fuentedeprrafopredeter"/>
    <w:uiPriority w:val="32"/>
    <w:qFormat/>
    <w:rsid w:val="00DF66C9"/>
    <w:rPr>
      <w:b/>
      <w:bCs/>
      <w:smallCaps/>
      <w:color w:val="2E74B5" w:themeColor="accent1" w:themeShade="BF"/>
      <w:spacing w:val="5"/>
    </w:rPr>
  </w:style>
  <w:style w:type="character" w:customStyle="1" w:styleId="PrrafodelistaCar">
    <w:name w:val="Párrafo de lista Car"/>
    <w:aliases w:val="Colorful List - Accent 11 Car,Ha Car,List Paragraph1 Car,lp1 Car,List Paragraph2 Car,Lista vistosa - Énfasis 11 Car,párrafos sentencia Car,Normal1 Car,Normal2 Car,normal Car,List1 Car,titulo 3 Car,Párrafo de lista1 Car,Bullets Car"/>
    <w:link w:val="Prrafodelista"/>
    <w:uiPriority w:val="34"/>
    <w:qFormat/>
    <w:locked/>
    <w:rsid w:val="00DF66C9"/>
  </w:style>
  <w:style w:type="character" w:styleId="Refdenotaalpie">
    <w:name w:val="footnote reference"/>
    <w:aliases w:val="Texto de nota al pie,referencia nota al pie,Footnotes refss,Ref. de nota al pie 2,Fago Fußnotenzeichen,Appel note de bas de page,Texto nota pie Car2,Footnote Text Char Char Char Char Char Car1,Footnote Text Char Char Char Char Car1,f"/>
    <w:basedOn w:val="Fuentedeprrafopredeter"/>
    <w:link w:val="4GChar"/>
    <w:uiPriority w:val="99"/>
    <w:unhideWhenUsed/>
    <w:qFormat/>
    <w:rsid w:val="00DF66C9"/>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DF66C9"/>
    <w:pPr>
      <w:jc w:val="both"/>
    </w:pPr>
    <w:rPr>
      <w:rFonts w:eastAsiaTheme="minorHAnsi"/>
      <w:kern w:val="2"/>
      <w:vertAlign w:val="superscript"/>
      <w:lang w:eastAsia="en-US"/>
    </w:rPr>
  </w:style>
  <w:style w:type="paragraph" w:styleId="Encabezado">
    <w:name w:val="header"/>
    <w:basedOn w:val="Normal"/>
    <w:link w:val="EncabezadoCar"/>
    <w:uiPriority w:val="99"/>
    <w:unhideWhenUsed/>
    <w:rsid w:val="00DF66C9"/>
    <w:pPr>
      <w:tabs>
        <w:tab w:val="center" w:pos="4680"/>
        <w:tab w:val="right" w:pos="9360"/>
      </w:tabs>
    </w:pPr>
  </w:style>
  <w:style w:type="character" w:customStyle="1" w:styleId="EncabezadoCar">
    <w:name w:val="Encabezado Car"/>
    <w:basedOn w:val="Fuentedeprrafopredeter"/>
    <w:link w:val="Encabezado"/>
    <w:uiPriority w:val="99"/>
    <w:rsid w:val="00DF66C9"/>
    <w:rPr>
      <w:rFonts w:ascii="Times New Roman" w:eastAsia="Times New Roman" w:hAnsi="Times New Roman" w:cs="Times New Roman"/>
      <w:kern w:val="0"/>
      <w:sz w:val="24"/>
      <w:szCs w:val="24"/>
      <w:lang w:eastAsia="es-MX"/>
    </w:rPr>
  </w:style>
  <w:style w:type="paragraph" w:styleId="Piedepgina">
    <w:name w:val="footer"/>
    <w:basedOn w:val="Normal"/>
    <w:link w:val="PiedepginaCar"/>
    <w:uiPriority w:val="99"/>
    <w:unhideWhenUsed/>
    <w:rsid w:val="00DF66C9"/>
    <w:pPr>
      <w:tabs>
        <w:tab w:val="center" w:pos="4680"/>
        <w:tab w:val="right" w:pos="9360"/>
      </w:tabs>
    </w:pPr>
  </w:style>
  <w:style w:type="character" w:customStyle="1" w:styleId="PiedepginaCar">
    <w:name w:val="Pie de página Car"/>
    <w:basedOn w:val="Fuentedeprrafopredeter"/>
    <w:link w:val="Piedepgina"/>
    <w:uiPriority w:val="99"/>
    <w:rsid w:val="00DF66C9"/>
    <w:rPr>
      <w:rFonts w:ascii="Times New Roman" w:eastAsia="Times New Roman" w:hAnsi="Times New Roman" w:cs="Times New Roman"/>
      <w:kern w:val="0"/>
      <w:sz w:val="24"/>
      <w:szCs w:val="24"/>
      <w:lang w:eastAsia="es-MX"/>
    </w:rPr>
  </w:style>
  <w:style w:type="paragraph" w:customStyle="1" w:styleId="Sinespaciado1">
    <w:name w:val="Sin espaciado1"/>
    <w:rsid w:val="00DF66C9"/>
    <w:pPr>
      <w:overflowPunct w:val="0"/>
      <w:autoSpaceDE w:val="0"/>
      <w:autoSpaceDN w:val="0"/>
      <w:adjustRightInd w:val="0"/>
      <w:spacing w:after="0" w:line="240" w:lineRule="auto"/>
      <w:textAlignment w:val="baseline"/>
    </w:pPr>
    <w:rPr>
      <w:rFonts w:ascii="Times New Roman" w:eastAsia="Calibri" w:hAnsi="Times New Roman" w:cs="Times New Roman"/>
      <w:sz w:val="24"/>
      <w:szCs w:val="24"/>
      <w:lang w:val="es-ES_tradnl" w:eastAsia="es-ES"/>
    </w:rPr>
  </w:style>
  <w:style w:type="paragraph" w:customStyle="1" w:styleId="TimesNewRoman">
    <w:name w:val="Times New Roman"/>
    <w:basedOn w:val="Normal"/>
    <w:rsid w:val="00DF66C9"/>
    <w:pPr>
      <w:jc w:val="center"/>
    </w:pPr>
    <w:rPr>
      <w:rFonts w:ascii="Arial" w:hAnsi="Arial"/>
      <w:b/>
      <w:sz w:val="28"/>
      <w:szCs w:val="20"/>
      <w:lang w:val="es-ES_tradnl" w:eastAsia="es-ES"/>
    </w:rPr>
  </w:style>
  <w:style w:type="character" w:customStyle="1" w:styleId="baj">
    <w:name w:val="b_aj"/>
    <w:basedOn w:val="Fuentedeprrafopredeter"/>
    <w:rsid w:val="00DF66C9"/>
  </w:style>
  <w:style w:type="paragraph" w:styleId="Sinespaciado">
    <w:name w:val="No Spacing"/>
    <w:uiPriority w:val="1"/>
    <w:qFormat/>
    <w:rsid w:val="00DF66C9"/>
    <w:pPr>
      <w:spacing w:after="0" w:line="240" w:lineRule="auto"/>
    </w:pPr>
    <w:rPr>
      <w:sz w:val="24"/>
      <w:szCs w:val="24"/>
    </w:rPr>
  </w:style>
  <w:style w:type="paragraph" w:styleId="Textoindependiente">
    <w:name w:val="Body Text"/>
    <w:basedOn w:val="Normal"/>
    <w:link w:val="TextoindependienteCar"/>
    <w:uiPriority w:val="1"/>
    <w:qFormat/>
    <w:rsid w:val="00DF66C9"/>
    <w:pPr>
      <w:widowControl w:val="0"/>
      <w:autoSpaceDE w:val="0"/>
      <w:autoSpaceDN w:val="0"/>
    </w:pPr>
    <w:rPr>
      <w:sz w:val="28"/>
      <w:szCs w:val="28"/>
      <w:lang w:val="es-ES" w:eastAsia="en-US"/>
    </w:rPr>
  </w:style>
  <w:style w:type="character" w:customStyle="1" w:styleId="TextoindependienteCar">
    <w:name w:val="Texto independiente Car"/>
    <w:basedOn w:val="Fuentedeprrafopredeter"/>
    <w:link w:val="Textoindependiente"/>
    <w:uiPriority w:val="1"/>
    <w:rsid w:val="00DF66C9"/>
    <w:rPr>
      <w:rFonts w:ascii="Times New Roman" w:eastAsia="Times New Roman" w:hAnsi="Times New Roman" w:cs="Times New Roman"/>
      <w:kern w:val="0"/>
      <w:sz w:val="28"/>
      <w:szCs w:val="28"/>
      <w:lang w:val="es-ES"/>
    </w:rPr>
  </w:style>
  <w:style w:type="character" w:customStyle="1" w:styleId="eop">
    <w:name w:val="eop"/>
    <w:basedOn w:val="Fuentedeprrafopredeter"/>
    <w:rsid w:val="00DF66C9"/>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DF66C9"/>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basedOn w:val="Fuentedeprrafopredeter"/>
    <w:link w:val="Textonotapie"/>
    <w:uiPriority w:val="99"/>
    <w:qFormat/>
    <w:rsid w:val="00DF66C9"/>
    <w:rPr>
      <w:rFonts w:ascii="Times New Roman" w:eastAsia="Times New Roman" w:hAnsi="Times New Roman" w:cs="Times New Roman"/>
      <w:kern w:val="0"/>
      <w:sz w:val="20"/>
      <w:szCs w:val="20"/>
      <w:lang w:eastAsia="es-MX"/>
    </w:rPr>
  </w:style>
  <w:style w:type="character" w:styleId="Hipervnculo">
    <w:name w:val="Hyperlink"/>
    <w:basedOn w:val="Fuentedeprrafopredeter"/>
    <w:uiPriority w:val="99"/>
    <w:unhideWhenUsed/>
    <w:rsid w:val="002C4837"/>
    <w:rPr>
      <w:color w:val="0563C1" w:themeColor="hyperlink"/>
      <w:u w:val="single"/>
    </w:rPr>
  </w:style>
  <w:style w:type="character" w:customStyle="1" w:styleId="Mencinsinresolver1">
    <w:name w:val="Mención sin resolver1"/>
    <w:basedOn w:val="Fuentedeprrafopredeter"/>
    <w:uiPriority w:val="99"/>
    <w:semiHidden/>
    <w:unhideWhenUsed/>
    <w:rsid w:val="002C4837"/>
    <w:rPr>
      <w:color w:val="605E5C"/>
      <w:shd w:val="clear" w:color="auto" w:fill="E1DFDD"/>
    </w:rPr>
  </w:style>
  <w:style w:type="paragraph" w:customStyle="1" w:styleId="centrado">
    <w:name w:val="centrado"/>
    <w:basedOn w:val="Normal"/>
    <w:rsid w:val="00751439"/>
    <w:pPr>
      <w:spacing w:before="100" w:beforeAutospacing="1" w:after="100" w:afterAutospacing="1"/>
    </w:pPr>
  </w:style>
  <w:style w:type="paragraph" w:customStyle="1" w:styleId="Piedepagina">
    <w:name w:val="Pie de pagina"/>
    <w:aliases w:val="Ref. de nota al pie2"/>
    <w:basedOn w:val="Normal"/>
    <w:uiPriority w:val="99"/>
    <w:qFormat/>
    <w:rsid w:val="00CB64EE"/>
    <w:pPr>
      <w:spacing w:line="240" w:lineRule="exact"/>
    </w:pPr>
    <w:rPr>
      <w:rFonts w:eastAsiaTheme="minorHAnsi"/>
      <w:sz w:val="20"/>
      <w:szCs w:val="20"/>
      <w:vertAlign w:val="superscript"/>
      <w:lang w:eastAsia="en-US"/>
    </w:rPr>
  </w:style>
  <w:style w:type="table" w:styleId="Tablaconcuadrcula">
    <w:name w:val="Table Grid"/>
    <w:basedOn w:val="Tablanormal"/>
    <w:uiPriority w:val="39"/>
    <w:rsid w:val="00CB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3A35"/>
    <w:pPr>
      <w:spacing w:after="0"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corteconstitucional.gov.co/Relatoria/autos/2024/A1092-24.htm" TargetMode="External"/><Relationship Id="rId1" Type="http://schemas.openxmlformats.org/officeDocument/2006/relationships/hyperlink" Target="https://www.corteconstitucional.gov.co/secretaria/archivo.php?id=7050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6103</Words>
  <Characters>33570</Characters>
  <Application>Microsoft Office Word</Application>
  <DocSecurity>0</DocSecurity>
  <Lines>279</Lines>
  <Paragraphs>79</Paragraphs>
  <ScaleCrop>false</ScaleCrop>
  <Company/>
  <LinksUpToDate>false</LinksUpToDate>
  <CharactersWithSpaces>39594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2024-11-06T16:28:00Z</dcterms:created>
  <dcterms:modified xsi:type="dcterms:W3CDTF">2024-11-06T16:28:00Z</dcterms:modified>
</cp:coreProperties>
</file>