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2705" w:rsidRPr="00F33E35" w:rsidRDefault="00CE5925">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F33E35">
        <w:rPr>
          <w:rFonts w:ascii="Times New Roman" w:hAnsi="Times New Roman" w:cs="Times New Roman"/>
          <w:sz w:val="28"/>
          <w:szCs w:val="24"/>
        </w:rPr>
        <w:t xml:space="preserve"> </w:t>
      </w:r>
    </w:p>
    <w:p w:rsidR="00372705" w:rsidRPr="00F33E35" w:rsidRDefault="00372705">
      <w:pPr>
        <w:widowControl w:val="0"/>
        <w:autoSpaceDE w:val="0"/>
        <w:autoSpaceDN w:val="0"/>
        <w:adjustRightInd w:val="0"/>
        <w:spacing w:after="0" w:line="240" w:lineRule="auto"/>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center"/>
        <w:rPr>
          <w:rFonts w:ascii="Times New Roman" w:hAnsi="Times New Roman" w:cs="Times New Roman"/>
          <w:b/>
          <w:bCs/>
          <w:sz w:val="28"/>
          <w:szCs w:val="28"/>
        </w:rPr>
      </w:pPr>
      <w:r w:rsidRPr="00F33E35">
        <w:rPr>
          <w:rFonts w:ascii="Times New Roman" w:hAnsi="Times New Roman" w:cs="Times New Roman"/>
          <w:b/>
          <w:bCs/>
          <w:sz w:val="28"/>
          <w:szCs w:val="28"/>
        </w:rPr>
        <w:t xml:space="preserve">TEMAS-SUBTEMAS </w:t>
      </w:r>
    </w:p>
    <w:p w:rsidR="00372705" w:rsidRPr="00F33E35" w:rsidRDefault="00372705">
      <w:pPr>
        <w:widowControl w:val="0"/>
        <w:autoSpaceDE w:val="0"/>
        <w:autoSpaceDN w:val="0"/>
        <w:adjustRightInd w:val="0"/>
        <w:spacing w:after="0" w:line="240" w:lineRule="auto"/>
        <w:jc w:val="center"/>
        <w:rPr>
          <w:rFonts w:ascii="Times New Roman" w:hAnsi="Times New Roman" w:cs="Times New Roman"/>
          <w:b/>
          <w:bCs/>
          <w:sz w:val="28"/>
          <w:szCs w:val="28"/>
        </w:rPr>
      </w:pPr>
    </w:p>
    <w:p w:rsidR="00372705" w:rsidRPr="00F33E35" w:rsidRDefault="00CE5925">
      <w:pPr>
        <w:widowControl w:val="0"/>
        <w:autoSpaceDE w:val="0"/>
        <w:autoSpaceDN w:val="0"/>
        <w:adjustRightInd w:val="0"/>
        <w:spacing w:after="0" w:line="240" w:lineRule="auto"/>
        <w:jc w:val="center"/>
        <w:rPr>
          <w:rFonts w:ascii="Times New Roman" w:hAnsi="Times New Roman" w:cs="Times New Roman"/>
          <w:sz w:val="28"/>
          <w:szCs w:val="28"/>
        </w:rPr>
      </w:pPr>
      <w:r w:rsidRPr="00F33E35">
        <w:rPr>
          <w:rFonts w:ascii="Times New Roman" w:hAnsi="Times New Roman" w:cs="Times New Roman"/>
          <w:b/>
          <w:bCs/>
          <w:sz w:val="28"/>
          <w:szCs w:val="28"/>
        </w:rPr>
        <w:t xml:space="preserve">Sentencia C-369/25 </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both"/>
        <w:rPr>
          <w:rFonts w:ascii="Times New Roman" w:hAnsi="Times New Roman" w:cs="Times New Roman"/>
          <w:sz w:val="28"/>
          <w:szCs w:val="28"/>
        </w:rPr>
      </w:pPr>
      <w:r w:rsidRPr="00F33E35">
        <w:rPr>
          <w:rFonts w:ascii="Times New Roman" w:hAnsi="Times New Roman" w:cs="Times New Roman"/>
          <w:b/>
          <w:bCs/>
          <w:sz w:val="28"/>
          <w:szCs w:val="28"/>
        </w:rPr>
        <w:t>INHIBICION DE LA CORTE CONSTITUCIONAL POR INEPTITUD SUSTANTIVA DE LA DEMANDA</w:t>
      </w:r>
      <w:r w:rsidRPr="00F33E35">
        <w:rPr>
          <w:rFonts w:ascii="Times New Roman" w:hAnsi="Times New Roman" w:cs="Times New Roman"/>
          <w:sz w:val="28"/>
          <w:szCs w:val="28"/>
        </w:rPr>
        <w:t xml:space="preserve">-Incumplimiento de requisitos de certeza, especificidad y suficiencia en los cargos </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both"/>
        <w:rPr>
          <w:rFonts w:ascii="Times New Roman" w:hAnsi="Times New Roman" w:cs="Times New Roman"/>
          <w:sz w:val="28"/>
          <w:szCs w:val="28"/>
        </w:rPr>
      </w:pPr>
      <w:r w:rsidRPr="00F33E35">
        <w:rPr>
          <w:rFonts w:ascii="Times New Roman" w:hAnsi="Times New Roman" w:cs="Times New Roman"/>
          <w:b/>
          <w:bCs/>
          <w:sz w:val="28"/>
          <w:szCs w:val="28"/>
        </w:rPr>
        <w:t>DEMANDA DE INCONSTITUCIONALIDAD</w:t>
      </w:r>
      <w:r w:rsidRPr="00F33E35">
        <w:rPr>
          <w:rFonts w:ascii="Times New Roman" w:hAnsi="Times New Roman" w:cs="Times New Roman"/>
          <w:sz w:val="28"/>
          <w:szCs w:val="28"/>
        </w:rPr>
        <w:t>-Requisitos mínimos</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both"/>
        <w:rPr>
          <w:rFonts w:ascii="Times New Roman" w:hAnsi="Times New Roman" w:cs="Times New Roman"/>
          <w:sz w:val="28"/>
          <w:szCs w:val="28"/>
        </w:rPr>
      </w:pPr>
      <w:r w:rsidRPr="00F33E35">
        <w:rPr>
          <w:rFonts w:ascii="Times New Roman" w:hAnsi="Times New Roman" w:cs="Times New Roman"/>
          <w:i/>
          <w:iCs/>
          <w:sz w:val="28"/>
          <w:szCs w:val="28"/>
        </w:rPr>
        <w:t>La exigencia de unas “condiciones argumentativas mínimas” para activar la competencia de este Tribunal, cristaliza al menos dos finalidades del proceso constitucional. Por un lado, concreta el derecho de los intervinientes a participar en las decisiones que los afectan, puesto que -desde el principio- se delimita la materia alrededor de la cual tendrá lugar la discusión constitucional favoreciendo así la calidad del diálogo público que la demanda propone. Por el otro, la Corte ha considerado que la correcta precisión del debate a partir del cumplimiento de tales requerimientos, favorece una reflexión calificada que permite superar las dificultades asociadas a la interpretación constitucional.</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both"/>
        <w:rPr>
          <w:rFonts w:ascii="Times New Roman" w:hAnsi="Times New Roman" w:cs="Times New Roman"/>
          <w:sz w:val="28"/>
          <w:szCs w:val="28"/>
        </w:rPr>
      </w:pPr>
      <w:r w:rsidRPr="00F33E35">
        <w:rPr>
          <w:rFonts w:ascii="Times New Roman" w:hAnsi="Times New Roman" w:cs="Times New Roman"/>
          <w:b/>
          <w:bCs/>
          <w:sz w:val="28"/>
          <w:szCs w:val="28"/>
        </w:rPr>
        <w:t>CONCEPTO DE VIOLACION EN DEMANDA DE INCONSTITUCIONALIDAD</w:t>
      </w:r>
      <w:r w:rsidRPr="00F33E35">
        <w:rPr>
          <w:rFonts w:ascii="Times New Roman" w:hAnsi="Times New Roman" w:cs="Times New Roman"/>
          <w:sz w:val="28"/>
          <w:szCs w:val="28"/>
        </w:rPr>
        <w:t>-Razones claras, ciertas, específicas, pertinentes y suficientes</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both"/>
        <w:rPr>
          <w:rFonts w:ascii="Times New Roman" w:hAnsi="Times New Roman" w:cs="Times New Roman"/>
          <w:sz w:val="28"/>
          <w:szCs w:val="28"/>
        </w:rPr>
      </w:pPr>
      <w:r w:rsidRPr="00F33E35">
        <w:rPr>
          <w:rFonts w:ascii="Times New Roman" w:hAnsi="Times New Roman" w:cs="Times New Roman"/>
          <w:i/>
          <w:iCs/>
          <w:sz w:val="28"/>
          <w:szCs w:val="28"/>
        </w:rPr>
        <w:t>(...) cada una de las condiciones mínimas que debe cumplir el concepto de violación tienen como propósito asegurar un debate constitucional adecuado y cumplen funciones diferentes: (i) la claridad hace posible un diálogo público; (ii) la certeza permite identificar un objeto real susceptible de ser sometido a control; y (iii) la pertinencia, la especificidad y la suficiencia delimitan la controversia en un sentido constitucional.</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both"/>
        <w:rPr>
          <w:rFonts w:ascii="Times New Roman" w:hAnsi="Times New Roman" w:cs="Times New Roman"/>
          <w:sz w:val="28"/>
          <w:szCs w:val="28"/>
        </w:rPr>
      </w:pPr>
      <w:r w:rsidRPr="00F33E35">
        <w:rPr>
          <w:rFonts w:ascii="Times New Roman" w:hAnsi="Times New Roman" w:cs="Times New Roman"/>
          <w:b/>
          <w:bCs/>
          <w:sz w:val="28"/>
          <w:szCs w:val="28"/>
        </w:rPr>
        <w:t>PRINCIPIO PRO ACTIONE EN DEMANDA DE INCONSTITUCIONALIDAD</w:t>
      </w:r>
      <w:r w:rsidRPr="00F33E35">
        <w:rPr>
          <w:rFonts w:ascii="Times New Roman" w:hAnsi="Times New Roman" w:cs="Times New Roman"/>
          <w:sz w:val="28"/>
          <w:szCs w:val="28"/>
        </w:rPr>
        <w:t xml:space="preserve">-Cumplimiento de requisitos argumentativos mínimos </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both"/>
        <w:rPr>
          <w:rFonts w:ascii="Times New Roman" w:hAnsi="Times New Roman" w:cs="Times New Roman"/>
          <w:sz w:val="28"/>
          <w:szCs w:val="28"/>
        </w:rPr>
      </w:pPr>
      <w:r w:rsidRPr="00F33E35">
        <w:rPr>
          <w:rFonts w:ascii="Times New Roman" w:hAnsi="Times New Roman" w:cs="Times New Roman"/>
          <w:b/>
          <w:bCs/>
          <w:sz w:val="28"/>
          <w:szCs w:val="28"/>
        </w:rPr>
        <w:t>DEMANDA DE INCONSTITUCIONALIDAD</w:t>
      </w:r>
      <w:r w:rsidRPr="00F33E35">
        <w:rPr>
          <w:rFonts w:ascii="Times New Roman" w:hAnsi="Times New Roman" w:cs="Times New Roman"/>
          <w:sz w:val="28"/>
          <w:szCs w:val="28"/>
        </w:rPr>
        <w:t>-Cargos carecen de certeza porque se estructuran a partir de una interpretación subjetiva</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both"/>
        <w:rPr>
          <w:rFonts w:ascii="Times New Roman" w:hAnsi="Times New Roman" w:cs="Times New Roman"/>
          <w:sz w:val="28"/>
          <w:szCs w:val="28"/>
        </w:rPr>
      </w:pPr>
      <w:r w:rsidRPr="00F33E35">
        <w:rPr>
          <w:rFonts w:ascii="Times New Roman" w:hAnsi="Times New Roman" w:cs="Times New Roman"/>
          <w:i/>
          <w:iCs/>
          <w:sz w:val="28"/>
          <w:szCs w:val="28"/>
        </w:rPr>
        <w:t xml:space="preserve">La Sala Plena encuentra que la demanda no partió del contenido vigente, real y existente del artículo 17 acusado, porque en primer lugar no corresponde al contenido literal de la disposición acusada que expresamente excluye del ámbito del monitoreo del espectro electromagnético la interceptación de comunicaciones. De hecho, una lectura integral del inciso demandado permite comprender que, en el ordenamiento estatutario colombiano, el monitoreo del espectro electromagnético es diferente de la interceptación de comunicaciones. En segundo lugar, las personas demandantes tenían la carga de considerar no solo el texto legal de la disposición acusada, sino el alcance fijado por la Corte. Esto es particularmente relevante si se tiene en consideración que la Ley 1621 de 2013 es una norma estatutaria que fue objeto de un control previo y automático por parte de este Tribunal. </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both"/>
        <w:rPr>
          <w:rFonts w:ascii="Times New Roman" w:hAnsi="Times New Roman" w:cs="Times New Roman"/>
          <w:sz w:val="28"/>
          <w:szCs w:val="28"/>
        </w:rPr>
      </w:pPr>
      <w:r w:rsidRPr="00F33E35">
        <w:rPr>
          <w:rFonts w:ascii="Times New Roman" w:hAnsi="Times New Roman" w:cs="Times New Roman"/>
          <w:b/>
          <w:bCs/>
          <w:sz w:val="28"/>
          <w:szCs w:val="28"/>
        </w:rPr>
        <w:t>DEMANDA DE INCONSTITUCIONALIDAD</w:t>
      </w:r>
      <w:r w:rsidRPr="00F33E35">
        <w:rPr>
          <w:rFonts w:ascii="Times New Roman" w:hAnsi="Times New Roman" w:cs="Times New Roman"/>
          <w:sz w:val="28"/>
          <w:szCs w:val="28"/>
        </w:rPr>
        <w:t>-Cargo desconoce alcance que la Corte Constitucional le dio a la norma acusada</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CE5925">
      <w:pPr>
        <w:widowControl w:val="0"/>
        <w:autoSpaceDE w:val="0"/>
        <w:autoSpaceDN w:val="0"/>
        <w:adjustRightInd w:val="0"/>
        <w:spacing w:after="0" w:line="240" w:lineRule="auto"/>
        <w:jc w:val="both"/>
        <w:rPr>
          <w:rFonts w:ascii="Times New Roman" w:hAnsi="Times New Roman" w:cs="Times New Roman"/>
          <w:sz w:val="28"/>
          <w:szCs w:val="28"/>
        </w:rPr>
      </w:pPr>
      <w:r w:rsidRPr="00F33E35">
        <w:rPr>
          <w:rFonts w:ascii="Times New Roman" w:hAnsi="Times New Roman" w:cs="Times New Roman"/>
          <w:i/>
          <w:iCs/>
          <w:sz w:val="28"/>
          <w:szCs w:val="28"/>
        </w:rPr>
        <w:t>Al contrastar los argumentos de la demanda con el alcance que la Corte Constitucional le dio a la norma acusada, la Sala Plena concluye que los reproches de inconstitucionalidad no se construyeron a partir del contenido normativo de la disposición acusada, ni de la interpretación, ni del alcance que le otorgó este Tribunal. Por el contrario, las y los actores omitieron plantear el cargo con observancia precisa de la definición y las distinciones expresas contenidas en la Sentencia C-540 de 2012. Dicho de otra forma, para esta Corporación, una lectura sistemática de la Sentencia C-540 de 2012, que delimitó el monitoreo como actividad impersonal y no un seguimiento individualizado, y la sentencia correspondiente al caso Miembros de la Corporación Colectivo de Abogados José Alvear Restrepo vs. Colombia, exigía demostrar cómo el estándar interamericano impactaba directamente la interpretación vigente de la norma. Este limitado contraste en la revisión del alcance otorgado por el intérprete autorizado de la Constitución Política de Colombia, dio lugar a que la demanda concluyera que el artículo 17 (parcial) resultaba incompatible con las normas superiores. Tal omisión evidencia que el cargo se edificó a partir de la interpretación parcial e incompleta de la norma legal demandada</w:t>
      </w:r>
    </w:p>
    <w:p w:rsidR="00372705" w:rsidRPr="00F33E35" w:rsidRDefault="00372705">
      <w:pPr>
        <w:widowControl w:val="0"/>
        <w:autoSpaceDE w:val="0"/>
        <w:autoSpaceDN w:val="0"/>
        <w:adjustRightInd w:val="0"/>
        <w:spacing w:after="0" w:line="240" w:lineRule="auto"/>
        <w:jc w:val="both"/>
        <w:rPr>
          <w:rFonts w:ascii="Times New Roman" w:hAnsi="Times New Roman" w:cs="Times New Roman"/>
          <w:sz w:val="28"/>
          <w:szCs w:val="28"/>
        </w:rPr>
      </w:pPr>
    </w:p>
    <w:p w:rsidR="00372705" w:rsidRPr="00F33E35" w:rsidRDefault="00F33E35">
      <w:pPr>
        <w:widowControl w:val="0"/>
        <w:autoSpaceDE w:val="0"/>
        <w:autoSpaceDN w:val="0"/>
        <w:adjustRightInd w:val="0"/>
        <w:spacing w:after="0" w:line="240" w:lineRule="auto"/>
        <w:jc w:val="both"/>
        <w:rPr>
          <w:rFonts w:ascii="Times New Roman" w:hAnsi="Times New Roman" w:cs="Times New Roman"/>
          <w:sz w:val="28"/>
        </w:rPr>
      </w:pPr>
      <w:r w:rsidRPr="00F33E35">
        <w:rPr>
          <w:rFonts w:ascii="Times New Roman" w:hAnsi="Times New Roman" w:cs="Times New Roman"/>
          <w:sz w:val="28"/>
          <w:szCs w:val="28"/>
        </w:rPr>
        <w:pict>
          <v:rect id="_x0000_i1025" style="width:0;height:1.5pt" o:hralign="center" o:hrstd="t" o:hr="t" fillcolor="#a0a0a0" stroked="f"/>
        </w:pict>
      </w:r>
    </w:p>
    <w:p w:rsidR="00FF5603" w:rsidRPr="00F33E35" w:rsidRDefault="00F33E35" w:rsidP="006A0CFD">
      <w:pPr>
        <w:widowControl w:val="0"/>
        <w:autoSpaceDE w:val="0"/>
        <w:autoSpaceDN w:val="0"/>
        <w:spacing w:after="0" w:line="240" w:lineRule="auto"/>
        <w:ind w:right="-234"/>
        <w:rPr>
          <w:rFonts w:ascii="Times New Roman" w:hAnsi="Times New Roman" w:cs="Times New Roman"/>
          <w:sz w:val="28"/>
          <w:szCs w:val="28"/>
        </w:rPr>
      </w:pPr>
    </w:p>
    <w:p w:rsidR="00FF5603" w:rsidRPr="00F33E35" w:rsidRDefault="00F33E35" w:rsidP="006A0CFD">
      <w:pPr>
        <w:widowControl w:val="0"/>
        <w:autoSpaceDE w:val="0"/>
        <w:autoSpaceDN w:val="0"/>
        <w:spacing w:after="0" w:line="240" w:lineRule="auto"/>
        <w:ind w:right="-234"/>
        <w:jc w:val="both"/>
        <w:rPr>
          <w:rFonts w:ascii="Times New Roman" w:hAnsi="Times New Roman" w:cs="Times New Roman"/>
          <w:sz w:val="28"/>
        </w:rPr>
      </w:pPr>
    </w:p>
    <w:p w:rsidR="00FF5603" w:rsidRPr="00F33E35" w:rsidRDefault="00F33E35" w:rsidP="006A0CFD">
      <w:pPr>
        <w:tabs>
          <w:tab w:val="center" w:pos="4252"/>
        </w:tabs>
        <w:spacing w:after="0" w:line="240" w:lineRule="auto"/>
        <w:ind w:right="-234"/>
        <w:jc w:val="center"/>
        <w:rPr>
          <w:rFonts w:ascii="Times New Roman" w:hAnsi="Times New Roman" w:cs="Times New Roman"/>
          <w:b/>
          <w:bCs/>
          <w:sz w:val="28"/>
          <w:szCs w:val="28"/>
          <w:lang w:val="es-ES"/>
        </w:rPr>
      </w:pPr>
      <w:r w:rsidRPr="00F33E35">
        <w:rPr>
          <w:rFonts w:ascii="Times New Roman" w:hAnsi="Times New Roman" w:cs="Times New Roman"/>
          <w:b/>
          <w:bCs/>
          <w:sz w:val="28"/>
          <w:szCs w:val="28"/>
          <w:lang w:val="es-ES"/>
        </w:rPr>
        <w:t>REPÚBLICA DE COLOMBIA</w:t>
      </w:r>
    </w:p>
    <w:p w:rsidR="00FF5603" w:rsidRPr="00F33E35" w:rsidRDefault="00F33E35" w:rsidP="006A0CFD">
      <w:pPr>
        <w:tabs>
          <w:tab w:val="center" w:pos="4252"/>
        </w:tabs>
        <w:spacing w:after="0" w:line="240" w:lineRule="auto"/>
        <w:ind w:right="-234"/>
        <w:jc w:val="center"/>
        <w:rPr>
          <w:rFonts w:ascii="Times New Roman" w:hAnsi="Times New Roman" w:cs="Times New Roman"/>
          <w:b/>
          <w:bCs/>
          <w:sz w:val="28"/>
          <w:szCs w:val="28"/>
          <w:lang w:val="es-ES"/>
        </w:rPr>
      </w:pPr>
      <w:r w:rsidRPr="00F33E35">
        <w:rPr>
          <w:rFonts w:ascii="Times New Roman" w:hAnsi="Times New Roman" w:cs="Times New Roman"/>
          <w:b/>
          <w:bCs/>
          <w:noProof/>
          <w:sz w:val="28"/>
          <w:szCs w:val="28"/>
        </w:rPr>
        <w:drawing>
          <wp:inline distT="0" distB="0" distL="0" distR="0" wp14:anchorId="5CBF7CC7" wp14:editId="3922BFDA">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FF5603" w:rsidRPr="00F33E35" w:rsidRDefault="00F33E35" w:rsidP="006A0CFD">
      <w:pPr>
        <w:tabs>
          <w:tab w:val="center" w:pos="4252"/>
        </w:tabs>
        <w:spacing w:after="0" w:line="240" w:lineRule="auto"/>
        <w:ind w:right="-234"/>
        <w:jc w:val="center"/>
        <w:rPr>
          <w:rFonts w:ascii="Times New Roman" w:hAnsi="Times New Roman" w:cs="Times New Roman"/>
          <w:b/>
          <w:bCs/>
          <w:sz w:val="28"/>
          <w:szCs w:val="28"/>
          <w:lang w:val="es-ES"/>
        </w:rPr>
      </w:pPr>
      <w:r w:rsidRPr="00F33E35">
        <w:rPr>
          <w:rFonts w:ascii="Times New Roman" w:hAnsi="Times New Roman" w:cs="Times New Roman"/>
          <w:b/>
          <w:bCs/>
          <w:sz w:val="28"/>
          <w:szCs w:val="28"/>
          <w:lang w:val="es-ES"/>
        </w:rPr>
        <w:t>CORTE CONSTITUCIONAL</w:t>
      </w:r>
    </w:p>
    <w:p w:rsidR="00FF5603" w:rsidRPr="00F33E35" w:rsidRDefault="00F33E35" w:rsidP="006A0CFD">
      <w:pPr>
        <w:tabs>
          <w:tab w:val="center" w:pos="4252"/>
        </w:tabs>
        <w:spacing w:after="0" w:line="240" w:lineRule="auto"/>
        <w:ind w:right="-234"/>
        <w:jc w:val="center"/>
        <w:rPr>
          <w:rFonts w:ascii="Times New Roman" w:hAnsi="Times New Roman" w:cs="Times New Roman"/>
          <w:b/>
          <w:bCs/>
          <w:sz w:val="28"/>
          <w:szCs w:val="28"/>
          <w:lang w:val="es-ES"/>
        </w:rPr>
      </w:pPr>
      <w:r w:rsidRPr="00F33E35">
        <w:rPr>
          <w:rFonts w:ascii="Times New Roman" w:hAnsi="Times New Roman" w:cs="Times New Roman"/>
          <w:b/>
          <w:bCs/>
          <w:sz w:val="28"/>
          <w:szCs w:val="28"/>
          <w:lang w:val="es-ES"/>
        </w:rPr>
        <w:t>Sala Plena</w:t>
      </w:r>
    </w:p>
    <w:p w:rsidR="00FF5603" w:rsidRPr="00F33E35" w:rsidRDefault="00F33E35" w:rsidP="006A0CFD">
      <w:pPr>
        <w:keepNext/>
        <w:spacing w:after="0" w:line="240" w:lineRule="auto"/>
        <w:ind w:right="-234"/>
        <w:jc w:val="both"/>
        <w:rPr>
          <w:rFonts w:ascii="Times New Roman" w:eastAsia="Times New Roman" w:hAnsi="Times New Roman" w:cs="Times New Roman"/>
          <w:b/>
          <w:bCs/>
          <w:position w:val="6"/>
          <w:sz w:val="28"/>
          <w:szCs w:val="28"/>
          <w:lang w:val="es-ES" w:eastAsia="es-ES"/>
        </w:rPr>
      </w:pPr>
    </w:p>
    <w:p w:rsidR="00FF5603" w:rsidRPr="00F33E35" w:rsidRDefault="00F33E35" w:rsidP="006A0CFD">
      <w:pPr>
        <w:keepNext/>
        <w:spacing w:after="0" w:line="240" w:lineRule="auto"/>
        <w:ind w:right="-234"/>
        <w:jc w:val="center"/>
        <w:rPr>
          <w:rFonts w:ascii="Times New Roman" w:eastAsia="Times New Roman" w:hAnsi="Times New Roman" w:cs="Times New Roman"/>
          <w:b/>
          <w:bCs/>
          <w:position w:val="6"/>
          <w:sz w:val="28"/>
          <w:szCs w:val="28"/>
          <w:lang w:val="es-ES" w:eastAsia="es-ES"/>
        </w:rPr>
      </w:pPr>
      <w:r w:rsidRPr="00F33E35">
        <w:rPr>
          <w:rFonts w:ascii="Times New Roman" w:eastAsia="Times New Roman" w:hAnsi="Times New Roman" w:cs="Times New Roman"/>
          <w:b/>
          <w:bCs/>
          <w:position w:val="6"/>
          <w:sz w:val="28"/>
          <w:szCs w:val="28"/>
          <w:lang w:val="es-ES" w:eastAsia="es-ES"/>
        </w:rPr>
        <w:t>SENTENCIA C-</w:t>
      </w:r>
      <w:r w:rsidRPr="00F33E35">
        <w:rPr>
          <w:rFonts w:ascii="Times New Roman" w:eastAsia="Times New Roman" w:hAnsi="Times New Roman" w:cs="Times New Roman"/>
          <w:b/>
          <w:bCs/>
          <w:position w:val="6"/>
          <w:sz w:val="28"/>
          <w:szCs w:val="28"/>
          <w:lang w:val="es-ES" w:eastAsia="es-ES"/>
        </w:rPr>
        <w:t>369</w:t>
      </w:r>
      <w:r w:rsidRPr="00F33E35">
        <w:rPr>
          <w:rFonts w:ascii="Times New Roman" w:eastAsia="Times New Roman" w:hAnsi="Times New Roman" w:cs="Times New Roman"/>
          <w:b/>
          <w:bCs/>
          <w:position w:val="6"/>
          <w:sz w:val="28"/>
          <w:szCs w:val="28"/>
          <w:lang w:val="es-ES" w:eastAsia="es-ES"/>
        </w:rPr>
        <w:t xml:space="preserve"> DE 2025</w:t>
      </w:r>
    </w:p>
    <w:p w:rsidR="00FF5603" w:rsidRPr="00F33E35" w:rsidRDefault="00F33E35" w:rsidP="006A0CFD">
      <w:pPr>
        <w:tabs>
          <w:tab w:val="left" w:pos="708"/>
          <w:tab w:val="center" w:pos="4252"/>
        </w:tabs>
        <w:spacing w:after="0" w:line="240" w:lineRule="auto"/>
        <w:ind w:right="-234"/>
        <w:jc w:val="both"/>
        <w:rPr>
          <w:rFonts w:ascii="Times New Roman" w:eastAsia="Times New Roman" w:hAnsi="Times New Roman" w:cs="Times New Roman"/>
          <w:b/>
          <w:position w:val="6"/>
          <w:sz w:val="28"/>
          <w:szCs w:val="28"/>
          <w:lang w:eastAsia="es-ES"/>
        </w:rPr>
      </w:pPr>
    </w:p>
    <w:p w:rsidR="00FF5603" w:rsidRPr="00F33E35" w:rsidRDefault="00F33E35" w:rsidP="006A0CFD">
      <w:pPr>
        <w:keepNext/>
        <w:spacing w:after="0" w:line="240" w:lineRule="auto"/>
        <w:ind w:left="4253" w:right="-234"/>
        <w:jc w:val="both"/>
        <w:rPr>
          <w:rFonts w:ascii="Times New Roman" w:hAnsi="Times New Roman" w:cs="Times New Roman"/>
          <w:sz w:val="28"/>
          <w:szCs w:val="28"/>
        </w:rPr>
      </w:pPr>
      <w:r w:rsidRPr="00F33E35">
        <w:rPr>
          <w:rFonts w:ascii="Times New Roman" w:hAnsi="Times New Roman" w:cs="Times New Roman"/>
          <w:b/>
          <w:sz w:val="28"/>
          <w:szCs w:val="28"/>
        </w:rPr>
        <w:t xml:space="preserve">Referencia: </w:t>
      </w:r>
      <w:r w:rsidRPr="00F33E35">
        <w:rPr>
          <w:rFonts w:ascii="Times New Roman" w:hAnsi="Times New Roman" w:cs="Times New Roman"/>
          <w:sz w:val="28"/>
          <w:szCs w:val="28"/>
        </w:rPr>
        <w:t>expediente D-16216</w:t>
      </w:r>
    </w:p>
    <w:p w:rsidR="00FF5603" w:rsidRPr="00F33E35" w:rsidRDefault="00F33E35" w:rsidP="006A0CFD">
      <w:pPr>
        <w:keepNext/>
        <w:spacing w:after="0" w:line="240" w:lineRule="auto"/>
        <w:ind w:left="4253" w:right="-234"/>
        <w:jc w:val="both"/>
        <w:rPr>
          <w:rFonts w:ascii="Times New Roman" w:hAnsi="Times New Roman" w:cs="Times New Roman"/>
          <w:sz w:val="28"/>
          <w:szCs w:val="28"/>
        </w:rPr>
      </w:pPr>
    </w:p>
    <w:p w:rsidR="00FF5603" w:rsidRPr="00F33E35" w:rsidRDefault="00F33E35" w:rsidP="006A0CFD">
      <w:pPr>
        <w:keepNext/>
        <w:spacing w:after="0" w:line="240" w:lineRule="auto"/>
        <w:ind w:left="4253" w:right="-234"/>
        <w:jc w:val="both"/>
        <w:rPr>
          <w:rFonts w:ascii="Times New Roman" w:hAnsi="Times New Roman" w:cs="Times New Roman"/>
          <w:sz w:val="28"/>
          <w:szCs w:val="28"/>
        </w:rPr>
      </w:pPr>
      <w:r w:rsidRPr="00F33E35">
        <w:rPr>
          <w:rFonts w:ascii="Times New Roman" w:hAnsi="Times New Roman" w:cs="Times New Roman"/>
          <w:sz w:val="28"/>
          <w:szCs w:val="28"/>
        </w:rPr>
        <w:t xml:space="preserve">Demanda de inconstitucionalidad contra los artículos 17 (parcial) y 33 (parcial) de la Ley Estatutaria 1621 de 2013 “[p]or medio de la cual se expiden normas para fortalecer el Marco Jurídico que </w:t>
      </w:r>
      <w:r w:rsidRPr="00F33E35">
        <w:rPr>
          <w:rFonts w:ascii="Times New Roman" w:hAnsi="Times New Roman" w:cs="Times New Roman"/>
          <w:sz w:val="28"/>
          <w:szCs w:val="28"/>
        </w:rPr>
        <w:t>permite a los organismos que llevan a cabo actividades de inteligencia y contrainteligencia cumplir con su misión constitucional y legal, y se dictan otras disposiciones”</w:t>
      </w:r>
    </w:p>
    <w:p w:rsidR="00FF5603" w:rsidRPr="00F33E35" w:rsidRDefault="00F33E35" w:rsidP="006A0CFD">
      <w:pPr>
        <w:keepNext/>
        <w:spacing w:after="0" w:line="240" w:lineRule="auto"/>
        <w:ind w:left="4253" w:right="-234"/>
        <w:jc w:val="both"/>
        <w:rPr>
          <w:rFonts w:ascii="Times New Roman" w:hAnsi="Times New Roman" w:cs="Times New Roman"/>
          <w:sz w:val="28"/>
          <w:szCs w:val="28"/>
          <w:lang w:val="es-ES_tradnl"/>
        </w:rPr>
      </w:pPr>
    </w:p>
    <w:p w:rsidR="00FF5603" w:rsidRPr="00F33E35" w:rsidRDefault="00F33E35" w:rsidP="006A0CFD">
      <w:pPr>
        <w:spacing w:after="0" w:line="240" w:lineRule="auto"/>
        <w:ind w:left="4253" w:right="-234"/>
        <w:jc w:val="both"/>
        <w:rPr>
          <w:rFonts w:ascii="Times New Roman" w:hAnsi="Times New Roman" w:cs="Times New Roman"/>
          <w:b/>
          <w:sz w:val="28"/>
          <w:szCs w:val="28"/>
        </w:rPr>
      </w:pPr>
      <w:r w:rsidRPr="00F33E35">
        <w:rPr>
          <w:rFonts w:ascii="Times New Roman" w:hAnsi="Times New Roman" w:cs="Times New Roman"/>
          <w:b/>
          <w:sz w:val="28"/>
          <w:szCs w:val="28"/>
        </w:rPr>
        <w:t xml:space="preserve">Accionantes: </w:t>
      </w:r>
      <w:r w:rsidRPr="00F33E35">
        <w:rPr>
          <w:rFonts w:ascii="Times New Roman" w:hAnsi="Times New Roman" w:cs="Times New Roman"/>
          <w:bCs/>
          <w:sz w:val="28"/>
          <w:szCs w:val="28"/>
        </w:rPr>
        <w:t>Ana Bejarano Ricaurte, Silvia Juliana Santos Sarmiento, Emmanuel Vargas</w:t>
      </w:r>
      <w:r w:rsidRPr="00F33E35">
        <w:rPr>
          <w:rFonts w:ascii="Times New Roman" w:hAnsi="Times New Roman" w:cs="Times New Roman"/>
          <w:bCs/>
          <w:sz w:val="28"/>
          <w:szCs w:val="28"/>
        </w:rPr>
        <w:t xml:space="preserve"> Penagos, Laura Marcela Urrego Aguilera, Pablo Ceballos Navas y Martín Simón Castro Londoño</w:t>
      </w:r>
    </w:p>
    <w:p w:rsidR="00FF5603" w:rsidRPr="00F33E35" w:rsidRDefault="00F33E35" w:rsidP="006A0CFD">
      <w:pPr>
        <w:spacing w:after="0" w:line="240" w:lineRule="auto"/>
        <w:ind w:left="4253" w:right="-234"/>
        <w:jc w:val="both"/>
        <w:rPr>
          <w:rFonts w:ascii="Times New Roman" w:hAnsi="Times New Roman" w:cs="Times New Roman"/>
          <w:b/>
          <w:sz w:val="28"/>
          <w:szCs w:val="28"/>
        </w:rPr>
      </w:pPr>
    </w:p>
    <w:p w:rsidR="00FF5603" w:rsidRPr="00F33E35" w:rsidRDefault="00F33E35" w:rsidP="006A0CFD">
      <w:pPr>
        <w:spacing w:after="0" w:line="240" w:lineRule="auto"/>
        <w:ind w:left="4253" w:right="-234"/>
        <w:jc w:val="both"/>
        <w:rPr>
          <w:rFonts w:ascii="Times New Roman" w:hAnsi="Times New Roman" w:cs="Times New Roman"/>
          <w:b/>
          <w:sz w:val="28"/>
          <w:szCs w:val="28"/>
        </w:rPr>
      </w:pPr>
      <w:r w:rsidRPr="00F33E35">
        <w:rPr>
          <w:rFonts w:ascii="Times New Roman" w:hAnsi="Times New Roman" w:cs="Times New Roman"/>
          <w:b/>
          <w:sz w:val="28"/>
          <w:szCs w:val="28"/>
        </w:rPr>
        <w:t>Magistrado sustanciador:</w:t>
      </w:r>
    </w:p>
    <w:p w:rsidR="00FF5603" w:rsidRPr="00F33E35" w:rsidRDefault="00F33E35" w:rsidP="006A0CFD">
      <w:pPr>
        <w:spacing w:after="0" w:line="240" w:lineRule="auto"/>
        <w:ind w:left="4253" w:right="-234"/>
        <w:jc w:val="both"/>
        <w:rPr>
          <w:rFonts w:ascii="Times New Roman" w:hAnsi="Times New Roman" w:cs="Times New Roman"/>
          <w:sz w:val="28"/>
          <w:szCs w:val="28"/>
        </w:rPr>
      </w:pPr>
      <w:r w:rsidRPr="00F33E35">
        <w:rPr>
          <w:rFonts w:ascii="Times New Roman" w:hAnsi="Times New Roman" w:cs="Times New Roman"/>
          <w:sz w:val="28"/>
          <w:szCs w:val="28"/>
        </w:rPr>
        <w:t>José Fernando Reyes Cuartas</w:t>
      </w:r>
    </w:p>
    <w:p w:rsidR="00FF5603" w:rsidRPr="00F33E35" w:rsidRDefault="00F33E35" w:rsidP="006A0CFD">
      <w:pPr>
        <w:shd w:val="clear" w:color="auto" w:fill="FFFFFF"/>
        <w:spacing w:after="0" w:line="240" w:lineRule="auto"/>
        <w:ind w:right="-234"/>
        <w:jc w:val="both"/>
        <w:rPr>
          <w:rFonts w:ascii="Times New Roman" w:eastAsia="Times New Roman" w:hAnsi="Times New Roman" w:cs="Times New Roman"/>
          <w:position w:val="6"/>
          <w:sz w:val="28"/>
          <w:szCs w:val="28"/>
        </w:rPr>
      </w:pPr>
    </w:p>
    <w:p w:rsidR="00FF5603" w:rsidRPr="00F33E35" w:rsidRDefault="00F33E35" w:rsidP="006A0CFD">
      <w:pPr>
        <w:shd w:val="clear" w:color="auto" w:fill="FFFFFF"/>
        <w:spacing w:after="0" w:line="240" w:lineRule="auto"/>
        <w:ind w:right="-234"/>
        <w:jc w:val="both"/>
        <w:rPr>
          <w:rFonts w:ascii="Times New Roman" w:eastAsia="Times New Roman" w:hAnsi="Times New Roman" w:cs="Times New Roman"/>
          <w:position w:val="6"/>
          <w:sz w:val="28"/>
          <w:szCs w:val="28"/>
        </w:rPr>
      </w:pPr>
      <w:r w:rsidRPr="00F33E35">
        <w:rPr>
          <w:rFonts w:ascii="Times New Roman" w:eastAsia="Times New Roman" w:hAnsi="Times New Roman" w:cs="Times New Roman"/>
          <w:position w:val="6"/>
          <w:sz w:val="28"/>
          <w:szCs w:val="28"/>
        </w:rPr>
        <w:t>Bogotá, D.C.</w:t>
      </w:r>
      <w:r w:rsidRPr="00F33E35">
        <w:rPr>
          <w:rFonts w:ascii="Times New Roman" w:eastAsia="Times New Roman" w:hAnsi="Times New Roman" w:cs="Times New Roman"/>
          <w:position w:val="6"/>
          <w:sz w:val="28"/>
          <w:szCs w:val="28"/>
        </w:rPr>
        <w:t xml:space="preserve"> </w:t>
      </w:r>
      <w:r w:rsidRPr="00F33E35">
        <w:rPr>
          <w:rFonts w:ascii="Times New Roman" w:eastAsia="Times New Roman" w:hAnsi="Times New Roman" w:cs="Times New Roman"/>
          <w:position w:val="6"/>
          <w:sz w:val="28"/>
          <w:szCs w:val="28"/>
        </w:rPr>
        <w:t>tres</w:t>
      </w:r>
      <w:r w:rsidRPr="00F33E35">
        <w:rPr>
          <w:rFonts w:ascii="Times New Roman" w:eastAsia="Times New Roman" w:hAnsi="Times New Roman" w:cs="Times New Roman"/>
          <w:position w:val="6"/>
          <w:sz w:val="28"/>
          <w:szCs w:val="28"/>
        </w:rPr>
        <w:t xml:space="preserve"> (</w:t>
      </w:r>
      <w:r w:rsidRPr="00F33E35">
        <w:rPr>
          <w:rFonts w:ascii="Times New Roman" w:eastAsia="Times New Roman" w:hAnsi="Times New Roman" w:cs="Times New Roman"/>
          <w:position w:val="6"/>
          <w:sz w:val="28"/>
          <w:szCs w:val="28"/>
        </w:rPr>
        <w:t>3</w:t>
      </w:r>
      <w:r w:rsidRPr="00F33E35">
        <w:rPr>
          <w:rFonts w:ascii="Times New Roman" w:eastAsia="Times New Roman" w:hAnsi="Times New Roman" w:cs="Times New Roman"/>
          <w:position w:val="6"/>
          <w:sz w:val="28"/>
          <w:szCs w:val="28"/>
        </w:rPr>
        <w:t xml:space="preserve">) de </w:t>
      </w:r>
      <w:r w:rsidRPr="00F33E35">
        <w:rPr>
          <w:rFonts w:ascii="Times New Roman" w:eastAsia="Times New Roman" w:hAnsi="Times New Roman" w:cs="Times New Roman"/>
          <w:position w:val="6"/>
          <w:sz w:val="28"/>
          <w:szCs w:val="28"/>
        </w:rPr>
        <w:t>septiembre</w:t>
      </w:r>
      <w:r w:rsidRPr="00F33E35">
        <w:rPr>
          <w:rFonts w:ascii="Times New Roman" w:eastAsia="Times New Roman" w:hAnsi="Times New Roman" w:cs="Times New Roman"/>
          <w:position w:val="6"/>
          <w:sz w:val="28"/>
          <w:szCs w:val="28"/>
        </w:rPr>
        <w:t xml:space="preserve"> de dos mil veinticinco (2025).</w:t>
      </w:r>
    </w:p>
    <w:p w:rsidR="00FF5603" w:rsidRPr="00F33E35" w:rsidRDefault="00F33E35" w:rsidP="006A0CFD">
      <w:pPr>
        <w:shd w:val="clear" w:color="auto" w:fill="FFFFFF"/>
        <w:spacing w:after="0" w:line="240" w:lineRule="auto"/>
        <w:ind w:right="-234"/>
        <w:jc w:val="both"/>
        <w:rPr>
          <w:rFonts w:ascii="Times New Roman" w:eastAsia="Times New Roman" w:hAnsi="Times New Roman" w:cs="Times New Roman"/>
          <w:position w:val="6"/>
          <w:sz w:val="28"/>
          <w:szCs w:val="28"/>
          <w:lang w:val="es-ES" w:eastAsia="es-ES"/>
        </w:rPr>
      </w:pPr>
    </w:p>
    <w:p w:rsidR="00FF5603" w:rsidRPr="00F33E35" w:rsidRDefault="00F33E35" w:rsidP="006A0CFD">
      <w:pPr>
        <w:shd w:val="clear" w:color="auto" w:fill="FFFFFF"/>
        <w:spacing w:after="0" w:line="240" w:lineRule="auto"/>
        <w:ind w:right="-234"/>
        <w:jc w:val="both"/>
        <w:rPr>
          <w:rFonts w:ascii="Times New Roman" w:eastAsia="Times New Roman" w:hAnsi="Times New Roman" w:cs="Times New Roman"/>
          <w:snapToGrid w:val="0"/>
          <w:position w:val="6"/>
          <w:sz w:val="28"/>
          <w:szCs w:val="28"/>
          <w:lang w:val="es-ES" w:eastAsia="es-ES"/>
        </w:rPr>
      </w:pPr>
      <w:r w:rsidRPr="00F33E35">
        <w:rPr>
          <w:rFonts w:ascii="Times New Roman" w:eastAsia="Times New Roman" w:hAnsi="Times New Roman" w:cs="Times New Roman"/>
          <w:snapToGrid w:val="0"/>
          <w:position w:val="6"/>
          <w:sz w:val="28"/>
          <w:szCs w:val="28"/>
          <w:lang w:val="es-ES" w:eastAsia="es-ES"/>
        </w:rPr>
        <w:t xml:space="preserve">La Sala Plena de la Corte Constitucional, en ejercicio de sus atribuciones constitucionales, una vez cumplidos los requisitos y trámites establecidos en el Decreto Ley 2067 de 1991, profiere la siguiente </w:t>
      </w:r>
      <w:r w:rsidRPr="00F33E35">
        <w:rPr>
          <w:rFonts w:ascii="Times New Roman" w:eastAsia="Times New Roman" w:hAnsi="Times New Roman" w:cs="Times New Roman"/>
          <w:snapToGrid w:val="0"/>
          <w:position w:val="6"/>
          <w:sz w:val="28"/>
          <w:szCs w:val="28"/>
          <w:lang w:val="es-ES" w:eastAsia="es-ES"/>
        </w:rPr>
        <w:t>sentencia</w:t>
      </w:r>
    </w:p>
    <w:p w:rsidR="00721066" w:rsidRPr="00F33E35" w:rsidRDefault="00F33E35" w:rsidP="006A0CFD">
      <w:pPr>
        <w:shd w:val="clear" w:color="auto" w:fill="FFFFFF"/>
        <w:spacing w:after="0" w:line="240" w:lineRule="auto"/>
        <w:ind w:right="-234"/>
        <w:jc w:val="both"/>
        <w:rPr>
          <w:rFonts w:ascii="Times New Roman" w:eastAsia="Times New Roman" w:hAnsi="Times New Roman" w:cs="Times New Roman"/>
          <w:b/>
          <w:snapToGrid w:val="0"/>
          <w:position w:val="6"/>
          <w:sz w:val="28"/>
          <w:szCs w:val="28"/>
          <w:lang w:val="es-ES" w:eastAsia="es-ES"/>
        </w:rPr>
      </w:pPr>
    </w:p>
    <w:p w:rsidR="006A0CFD" w:rsidRPr="00F33E35" w:rsidRDefault="00F33E35" w:rsidP="006A0CFD">
      <w:pPr>
        <w:shd w:val="clear" w:color="auto" w:fill="FFFFFF"/>
        <w:spacing w:after="0" w:line="240" w:lineRule="auto"/>
        <w:ind w:right="-234"/>
        <w:jc w:val="both"/>
        <w:rPr>
          <w:rFonts w:ascii="Times New Roman" w:eastAsia="Times New Roman" w:hAnsi="Times New Roman" w:cs="Times New Roman"/>
          <w:b/>
          <w:snapToGrid w:val="0"/>
          <w:position w:val="6"/>
          <w:sz w:val="28"/>
          <w:szCs w:val="28"/>
          <w:lang w:val="es-ES" w:eastAsia="es-ES"/>
        </w:rPr>
      </w:pPr>
    </w:p>
    <w:p w:rsidR="00FF5603" w:rsidRPr="00F33E35" w:rsidRDefault="00F33E35" w:rsidP="006A0CFD">
      <w:pPr>
        <w:shd w:val="clear" w:color="auto" w:fill="FFFFFF"/>
        <w:spacing w:after="0" w:line="240" w:lineRule="auto"/>
        <w:ind w:right="-234"/>
        <w:jc w:val="both"/>
        <w:rPr>
          <w:rFonts w:ascii="Times New Roman" w:eastAsia="Times New Roman" w:hAnsi="Times New Roman" w:cs="Times New Roman"/>
          <w:b/>
          <w:snapToGrid w:val="0"/>
          <w:position w:val="6"/>
          <w:sz w:val="28"/>
          <w:szCs w:val="28"/>
          <w:lang w:val="es-ES" w:eastAsia="es-ES"/>
        </w:rPr>
      </w:pPr>
      <w:r w:rsidRPr="00F33E35">
        <w:rPr>
          <w:rFonts w:ascii="Times New Roman" w:eastAsia="Times New Roman" w:hAnsi="Times New Roman" w:cs="Times New Roman"/>
          <w:b/>
          <w:snapToGrid w:val="0"/>
          <w:position w:val="6"/>
          <w:sz w:val="28"/>
          <w:szCs w:val="28"/>
          <w:lang w:val="es-ES" w:eastAsia="es-ES"/>
        </w:rPr>
        <w:fldChar w:fldCharType="begin"/>
      </w:r>
      <w:r w:rsidRPr="00F33E35">
        <w:rPr>
          <w:rFonts w:ascii="Times New Roman" w:eastAsia="Times New Roman" w:hAnsi="Times New Roman" w:cs="Times New Roman"/>
          <w:b/>
          <w:snapToGrid w:val="0"/>
          <w:position w:val="6"/>
          <w:sz w:val="28"/>
          <w:szCs w:val="28"/>
          <w:lang w:val="es-ES" w:eastAsia="es-ES"/>
        </w:rPr>
        <w:instrText xml:space="preserve"> TOC \o "1-4" \f \h \z \u </w:instrText>
      </w:r>
      <w:r w:rsidRPr="00F33E35">
        <w:rPr>
          <w:rFonts w:ascii="Times New Roman" w:eastAsia="Times New Roman" w:hAnsi="Times New Roman" w:cs="Times New Roman"/>
          <w:b/>
          <w:snapToGrid w:val="0"/>
          <w:position w:val="6"/>
          <w:sz w:val="28"/>
          <w:szCs w:val="28"/>
          <w:lang w:val="es-ES" w:eastAsia="es-ES"/>
        </w:rPr>
        <w:fldChar w:fldCharType="end"/>
      </w:r>
      <w:r w:rsidRPr="00F33E35">
        <w:rPr>
          <w:rFonts w:ascii="Times New Roman" w:eastAsia="Times New Roman" w:hAnsi="Times New Roman" w:cs="Times New Roman"/>
          <w:b/>
          <w:snapToGrid w:val="0"/>
          <w:position w:val="6"/>
          <w:sz w:val="28"/>
          <w:szCs w:val="28"/>
          <w:lang w:val="es-ES" w:eastAsia="es-ES"/>
        </w:rPr>
        <w:t>S</w:t>
      </w:r>
      <w:r w:rsidRPr="00F33E35">
        <w:rPr>
          <w:rFonts w:ascii="Times New Roman" w:eastAsia="Times New Roman" w:hAnsi="Times New Roman" w:cs="Times New Roman"/>
          <w:b/>
          <w:snapToGrid w:val="0"/>
          <w:position w:val="6"/>
          <w:sz w:val="28"/>
          <w:szCs w:val="28"/>
          <w:lang w:val="es-ES" w:eastAsia="es-ES"/>
        </w:rPr>
        <w:t xml:space="preserve">íntesis de </w:t>
      </w:r>
      <w:r w:rsidRPr="00F33E35">
        <w:rPr>
          <w:rFonts w:ascii="Times New Roman" w:eastAsia="Times New Roman" w:hAnsi="Times New Roman" w:cs="Times New Roman"/>
          <w:b/>
          <w:snapToGrid w:val="0"/>
          <w:position w:val="6"/>
          <w:sz w:val="28"/>
          <w:szCs w:val="28"/>
          <w:lang w:val="es-ES" w:eastAsia="es-ES"/>
        </w:rPr>
        <w:t>la decisión</w:t>
      </w:r>
    </w:p>
    <w:p w:rsidR="00B958F2" w:rsidRPr="00F33E35" w:rsidRDefault="00F33E35" w:rsidP="006A0CFD">
      <w:pPr>
        <w:pStyle w:val="Default"/>
        <w:tabs>
          <w:tab w:val="left" w:pos="284"/>
        </w:tabs>
        <w:adjustRightInd/>
        <w:ind w:right="-234"/>
        <w:jc w:val="both"/>
        <w:rPr>
          <w:color w:val="auto"/>
          <w:sz w:val="28"/>
          <w:szCs w:val="28"/>
          <w:lang w:val="es-ES_tradnl"/>
        </w:rPr>
      </w:pPr>
    </w:p>
    <w:p w:rsidR="000B2D9B" w:rsidRPr="00F33E35" w:rsidRDefault="00F33E35" w:rsidP="006A0CFD">
      <w:pPr>
        <w:spacing w:after="0" w:line="240" w:lineRule="auto"/>
        <w:jc w:val="both"/>
        <w:rPr>
          <w:rFonts w:ascii="Times New Roman" w:hAnsi="Times New Roman" w:cs="Times New Roman"/>
          <w:sz w:val="28"/>
          <w:szCs w:val="28"/>
        </w:rPr>
      </w:pPr>
      <w:r w:rsidRPr="00F33E35">
        <w:rPr>
          <w:rFonts w:ascii="Times New Roman" w:hAnsi="Times New Roman" w:cs="Times New Roman"/>
          <w:sz w:val="28"/>
          <w:szCs w:val="28"/>
        </w:rPr>
        <w:t>Las personas demandantes pidieron</w:t>
      </w:r>
      <w:r w:rsidRPr="00F33E35">
        <w:rPr>
          <w:rFonts w:ascii="Times New Roman" w:hAnsi="Times New Roman" w:cs="Times New Roman"/>
          <w:sz w:val="28"/>
          <w:szCs w:val="28"/>
        </w:rPr>
        <w:t xml:space="preserve"> a la Corte </w:t>
      </w:r>
      <w:r w:rsidRPr="00F33E35">
        <w:rPr>
          <w:rFonts w:ascii="Times New Roman" w:hAnsi="Times New Roman" w:cs="Times New Roman"/>
          <w:sz w:val="28"/>
          <w:szCs w:val="28"/>
        </w:rPr>
        <w:t xml:space="preserve">declarar inconstitucionales </w:t>
      </w:r>
      <w:r w:rsidRPr="00F33E35">
        <w:rPr>
          <w:rFonts w:ascii="Times New Roman" w:hAnsi="Times New Roman" w:cs="Times New Roman"/>
          <w:sz w:val="28"/>
          <w:szCs w:val="28"/>
        </w:rPr>
        <w:t>algunos a</w:t>
      </w:r>
      <w:r w:rsidRPr="00F33E35">
        <w:rPr>
          <w:rFonts w:ascii="Times New Roman" w:hAnsi="Times New Roman" w:cs="Times New Roman"/>
          <w:sz w:val="28"/>
          <w:szCs w:val="28"/>
        </w:rPr>
        <w:t>partes de los artículos 17 y 33 de la Ley 1621 de 2013 y, de forma alternativa, que se</w:t>
      </w:r>
      <w:r w:rsidRPr="00F33E35">
        <w:rPr>
          <w:rFonts w:ascii="Times New Roman" w:hAnsi="Times New Roman" w:cs="Times New Roman"/>
          <w:sz w:val="28"/>
          <w:szCs w:val="28"/>
        </w:rPr>
        <w:t xml:space="preserve"> estableciera</w:t>
      </w:r>
      <w:r w:rsidRPr="00F33E35">
        <w:rPr>
          <w:rFonts w:ascii="Times New Roman" w:hAnsi="Times New Roman" w:cs="Times New Roman"/>
          <w:sz w:val="28"/>
          <w:szCs w:val="28"/>
        </w:rPr>
        <w:t xml:space="preserve"> que el monitoreo del espectro electromagnético también afecta la vida privada y debería requerir control judicial.</w:t>
      </w:r>
    </w:p>
    <w:p w:rsidR="00FA1A61" w:rsidRPr="00F33E35" w:rsidRDefault="00F33E35" w:rsidP="006A0CFD">
      <w:pPr>
        <w:spacing w:after="0" w:line="240" w:lineRule="auto"/>
        <w:jc w:val="both"/>
        <w:rPr>
          <w:rFonts w:ascii="Times New Roman" w:hAnsi="Times New Roman" w:cs="Times New Roman"/>
          <w:sz w:val="28"/>
          <w:szCs w:val="28"/>
        </w:rPr>
      </w:pPr>
    </w:p>
    <w:p w:rsidR="000B2D9B" w:rsidRPr="00F33E35" w:rsidRDefault="00F33E35" w:rsidP="006A0CFD">
      <w:pPr>
        <w:spacing w:after="0" w:line="240" w:lineRule="auto"/>
        <w:jc w:val="both"/>
        <w:rPr>
          <w:rFonts w:ascii="Times New Roman" w:hAnsi="Times New Roman" w:cs="Times New Roman"/>
          <w:sz w:val="28"/>
          <w:szCs w:val="28"/>
        </w:rPr>
      </w:pPr>
      <w:r w:rsidRPr="00F33E35">
        <w:rPr>
          <w:rFonts w:ascii="Times New Roman" w:hAnsi="Times New Roman" w:cs="Times New Roman"/>
          <w:sz w:val="28"/>
          <w:szCs w:val="28"/>
        </w:rPr>
        <w:t>Argumentaron que, aunque esa ley ya había sido revisada por la Corte Constitucional en la Sentencia C-540 de 2012,</w:t>
      </w:r>
      <w:r w:rsidRPr="00F33E35">
        <w:rPr>
          <w:rFonts w:ascii="Times New Roman" w:hAnsi="Times New Roman" w:cs="Times New Roman"/>
          <w:sz w:val="28"/>
          <w:szCs w:val="28"/>
        </w:rPr>
        <w:t xml:space="preserve"> surgi</w:t>
      </w:r>
      <w:r w:rsidRPr="00F33E35">
        <w:rPr>
          <w:rFonts w:ascii="Times New Roman" w:hAnsi="Times New Roman" w:cs="Times New Roman"/>
          <w:sz w:val="28"/>
          <w:szCs w:val="28"/>
        </w:rPr>
        <w:t>eron</w:t>
      </w:r>
      <w:r w:rsidRPr="00F33E35">
        <w:rPr>
          <w:rFonts w:ascii="Times New Roman" w:hAnsi="Times New Roman" w:cs="Times New Roman"/>
          <w:sz w:val="28"/>
          <w:szCs w:val="28"/>
        </w:rPr>
        <w:t xml:space="preserve"> nuevos estándares fijados por la Corte Interamericana de Derechos Humanos (Corte IDH), especialmente en la sentencia del 18 de octubre de 2023</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 sobre el </w:t>
      </w:r>
      <w:r w:rsidRPr="00F33E35">
        <w:rPr>
          <w:rFonts w:ascii="Times New Roman" w:hAnsi="Times New Roman" w:cs="Times New Roman"/>
          <w:i/>
          <w:iCs/>
          <w:sz w:val="28"/>
          <w:szCs w:val="28"/>
        </w:rPr>
        <w:t>caso de la Corporación Colectivo de Abogados “José Alvear Restrepo” vs. Colombia</w:t>
      </w:r>
      <w:r w:rsidRPr="00F33E35">
        <w:rPr>
          <w:rFonts w:ascii="Times New Roman" w:hAnsi="Times New Roman" w:cs="Times New Roman"/>
          <w:iCs/>
          <w:sz w:val="28"/>
          <w:szCs w:val="28"/>
        </w:rPr>
        <w:t xml:space="preserve"> que justificaban un n</w:t>
      </w:r>
      <w:r w:rsidRPr="00F33E35">
        <w:rPr>
          <w:rFonts w:ascii="Times New Roman" w:hAnsi="Times New Roman" w:cs="Times New Roman"/>
          <w:iCs/>
          <w:sz w:val="28"/>
          <w:szCs w:val="28"/>
        </w:rPr>
        <w:t>uevo pronunciamiento de la Corte</w:t>
      </w:r>
      <w:r w:rsidRPr="00F33E35">
        <w:rPr>
          <w:rFonts w:ascii="Times New Roman" w:hAnsi="Times New Roman" w:cs="Times New Roman"/>
          <w:sz w:val="28"/>
          <w:szCs w:val="28"/>
        </w:rPr>
        <w:t xml:space="preserve">. Según la demanda, estas normas afectan derechos como la </w:t>
      </w:r>
      <w:r w:rsidRPr="00F33E35">
        <w:rPr>
          <w:rFonts w:ascii="Times New Roman" w:hAnsi="Times New Roman" w:cs="Times New Roman"/>
          <w:sz w:val="28"/>
          <w:szCs w:val="28"/>
        </w:rPr>
        <w:t>vida privada</w:t>
      </w:r>
      <w:r w:rsidRPr="00F33E35">
        <w:rPr>
          <w:rFonts w:ascii="Times New Roman" w:hAnsi="Times New Roman" w:cs="Times New Roman"/>
          <w:sz w:val="28"/>
          <w:szCs w:val="28"/>
        </w:rPr>
        <w:t>, la libertad de expresión y el acceso a la información, y por lo tanto se necesita mayor protección.</w:t>
      </w:r>
    </w:p>
    <w:p w:rsidR="00FA1A61" w:rsidRPr="00F33E35" w:rsidRDefault="00F33E35" w:rsidP="006A0CFD">
      <w:pPr>
        <w:spacing w:after="0" w:line="240" w:lineRule="auto"/>
        <w:jc w:val="both"/>
        <w:rPr>
          <w:rFonts w:ascii="Times New Roman" w:hAnsi="Times New Roman" w:cs="Times New Roman"/>
          <w:sz w:val="28"/>
          <w:szCs w:val="28"/>
        </w:rPr>
      </w:pPr>
    </w:p>
    <w:p w:rsidR="000B2D9B" w:rsidRPr="00F33E35" w:rsidRDefault="00F33E35" w:rsidP="006A0CFD">
      <w:pPr>
        <w:spacing w:after="0" w:line="240" w:lineRule="auto"/>
        <w:jc w:val="both"/>
        <w:rPr>
          <w:rFonts w:ascii="Times New Roman" w:hAnsi="Times New Roman" w:cs="Times New Roman"/>
          <w:sz w:val="28"/>
          <w:szCs w:val="28"/>
        </w:rPr>
      </w:pPr>
      <w:r w:rsidRPr="00F33E35">
        <w:rPr>
          <w:rFonts w:ascii="Times New Roman" w:hAnsi="Times New Roman" w:cs="Times New Roman"/>
          <w:sz w:val="28"/>
          <w:szCs w:val="28"/>
        </w:rPr>
        <w:t xml:space="preserve">El primer cargo </w:t>
      </w:r>
      <w:r w:rsidRPr="00F33E35">
        <w:rPr>
          <w:rFonts w:ascii="Times New Roman" w:hAnsi="Times New Roman" w:cs="Times New Roman"/>
          <w:sz w:val="28"/>
          <w:szCs w:val="28"/>
        </w:rPr>
        <w:t>en contra del artículo 17 (parcial)</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señala</w:t>
      </w:r>
      <w:r w:rsidRPr="00F33E35">
        <w:rPr>
          <w:rFonts w:ascii="Times New Roman" w:hAnsi="Times New Roman" w:cs="Times New Roman"/>
          <w:sz w:val="28"/>
          <w:szCs w:val="28"/>
        </w:rPr>
        <w:t>ba</w:t>
      </w:r>
      <w:r w:rsidRPr="00F33E35">
        <w:rPr>
          <w:rFonts w:ascii="Times New Roman" w:hAnsi="Times New Roman" w:cs="Times New Roman"/>
          <w:sz w:val="28"/>
          <w:szCs w:val="28"/>
        </w:rPr>
        <w:t xml:space="preserve"> que el monitoreo del espectro electromagnético implica recolectar datos personales, lo que afecta la privacidad y debe estar bajo control judicial. Aunque antes la Corte había dicho que era una labor de rastreo general, la Corte IDH consider</w:t>
      </w:r>
      <w:r w:rsidRPr="00F33E35">
        <w:rPr>
          <w:rFonts w:ascii="Times New Roman" w:hAnsi="Times New Roman" w:cs="Times New Roman"/>
          <w:sz w:val="28"/>
          <w:szCs w:val="28"/>
        </w:rPr>
        <w:t>ó</w:t>
      </w:r>
      <w:r w:rsidRPr="00F33E35">
        <w:rPr>
          <w:rFonts w:ascii="Times New Roman" w:hAnsi="Times New Roman" w:cs="Times New Roman"/>
          <w:sz w:val="28"/>
          <w:szCs w:val="28"/>
        </w:rPr>
        <w:t xml:space="preserve"> que </w:t>
      </w:r>
      <w:r w:rsidRPr="00F33E35">
        <w:rPr>
          <w:rFonts w:ascii="Times New Roman" w:hAnsi="Times New Roman" w:cs="Times New Roman"/>
          <w:sz w:val="28"/>
          <w:szCs w:val="28"/>
        </w:rPr>
        <w:t>se trataba</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 xml:space="preserve">de </w:t>
      </w:r>
      <w:r w:rsidRPr="00F33E35">
        <w:rPr>
          <w:rFonts w:ascii="Times New Roman" w:hAnsi="Times New Roman" w:cs="Times New Roman"/>
          <w:sz w:val="28"/>
          <w:szCs w:val="28"/>
        </w:rPr>
        <w:t>una forma de interceptación de comunicaciones y debe ser limitada y autorizada judicialmente.</w:t>
      </w:r>
    </w:p>
    <w:p w:rsidR="00FA1A61" w:rsidRPr="00F33E35" w:rsidRDefault="00F33E35" w:rsidP="006A0CFD">
      <w:pPr>
        <w:spacing w:after="0" w:line="240" w:lineRule="auto"/>
        <w:jc w:val="both"/>
        <w:rPr>
          <w:rFonts w:ascii="Times New Roman" w:hAnsi="Times New Roman" w:cs="Times New Roman"/>
          <w:sz w:val="28"/>
          <w:szCs w:val="28"/>
        </w:rPr>
      </w:pPr>
    </w:p>
    <w:p w:rsidR="000B2D9B" w:rsidRPr="00F33E35" w:rsidRDefault="00F33E35" w:rsidP="006A0CFD">
      <w:pPr>
        <w:spacing w:after="0" w:line="240" w:lineRule="auto"/>
        <w:jc w:val="both"/>
        <w:rPr>
          <w:rFonts w:ascii="Times New Roman" w:hAnsi="Times New Roman" w:cs="Times New Roman"/>
          <w:sz w:val="28"/>
          <w:szCs w:val="28"/>
        </w:rPr>
      </w:pPr>
      <w:r w:rsidRPr="00F33E35">
        <w:rPr>
          <w:rFonts w:ascii="Times New Roman" w:hAnsi="Times New Roman" w:cs="Times New Roman"/>
          <w:sz w:val="28"/>
          <w:szCs w:val="28"/>
        </w:rPr>
        <w:t>El segundo cargo</w:t>
      </w:r>
      <w:r w:rsidRPr="00F33E35">
        <w:rPr>
          <w:rFonts w:ascii="Times New Roman" w:hAnsi="Times New Roman" w:cs="Times New Roman"/>
          <w:sz w:val="28"/>
          <w:szCs w:val="28"/>
        </w:rPr>
        <w:t xml:space="preserve"> formulado en</w:t>
      </w:r>
      <w:r w:rsidRPr="00F33E35">
        <w:rPr>
          <w:rFonts w:ascii="Times New Roman" w:hAnsi="Times New Roman" w:cs="Times New Roman"/>
          <w:sz w:val="28"/>
          <w:szCs w:val="28"/>
        </w:rPr>
        <w:t xml:space="preserve"> contra </w:t>
      </w:r>
      <w:r w:rsidRPr="00F33E35">
        <w:rPr>
          <w:rFonts w:ascii="Times New Roman" w:hAnsi="Times New Roman" w:cs="Times New Roman"/>
          <w:sz w:val="28"/>
          <w:szCs w:val="28"/>
        </w:rPr>
        <w:t>d</w:t>
      </w:r>
      <w:r w:rsidRPr="00F33E35">
        <w:rPr>
          <w:rFonts w:ascii="Times New Roman" w:hAnsi="Times New Roman" w:cs="Times New Roman"/>
          <w:sz w:val="28"/>
          <w:szCs w:val="28"/>
        </w:rPr>
        <w:t>el artículo 33</w:t>
      </w:r>
      <w:r w:rsidRPr="00F33E35">
        <w:rPr>
          <w:rFonts w:ascii="Times New Roman" w:hAnsi="Times New Roman" w:cs="Times New Roman"/>
          <w:sz w:val="28"/>
          <w:szCs w:val="28"/>
        </w:rPr>
        <w:t xml:space="preserve"> (parcial)</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indic</w:t>
      </w:r>
      <w:r w:rsidRPr="00F33E35">
        <w:rPr>
          <w:rFonts w:ascii="Times New Roman" w:hAnsi="Times New Roman" w:cs="Times New Roman"/>
          <w:sz w:val="28"/>
          <w:szCs w:val="28"/>
        </w:rPr>
        <w:t>aba</w:t>
      </w:r>
      <w:r w:rsidRPr="00F33E35">
        <w:rPr>
          <w:rFonts w:ascii="Times New Roman" w:hAnsi="Times New Roman" w:cs="Times New Roman"/>
          <w:sz w:val="28"/>
          <w:szCs w:val="28"/>
        </w:rPr>
        <w:t xml:space="preserve"> que </w:t>
      </w:r>
      <w:r w:rsidRPr="00F33E35">
        <w:rPr>
          <w:rFonts w:ascii="Times New Roman" w:hAnsi="Times New Roman" w:cs="Times New Roman"/>
          <w:sz w:val="28"/>
          <w:szCs w:val="28"/>
        </w:rPr>
        <w:t>la norma reserva toda la información de inteligencia y contrainte</w:t>
      </w:r>
      <w:r w:rsidRPr="00F33E35">
        <w:rPr>
          <w:rFonts w:ascii="Times New Roman" w:hAnsi="Times New Roman" w:cs="Times New Roman"/>
          <w:sz w:val="28"/>
          <w:szCs w:val="28"/>
        </w:rPr>
        <w:t>ligencia, sin importar su contenido, y no es clara sobre qué es “seguridad y defensa nacional”. Las personas demandantes consideran que la restricción de acceso a esta información no está justificada y debe aplicarse el principio de máxima publicidad, perm</w:t>
      </w:r>
      <w:r w:rsidRPr="00F33E35">
        <w:rPr>
          <w:rFonts w:ascii="Times New Roman" w:hAnsi="Times New Roman" w:cs="Times New Roman"/>
          <w:sz w:val="28"/>
          <w:szCs w:val="28"/>
        </w:rPr>
        <w:t>itiendo el acceso a quienes lo soliciten.</w:t>
      </w:r>
    </w:p>
    <w:p w:rsidR="00FA1A61" w:rsidRPr="00F33E35" w:rsidRDefault="00F33E35" w:rsidP="006A0CFD">
      <w:pPr>
        <w:spacing w:after="0" w:line="240" w:lineRule="auto"/>
        <w:jc w:val="both"/>
        <w:rPr>
          <w:rFonts w:ascii="Times New Roman" w:hAnsi="Times New Roman" w:cs="Times New Roman"/>
          <w:sz w:val="28"/>
          <w:szCs w:val="28"/>
        </w:rPr>
      </w:pPr>
    </w:p>
    <w:p w:rsidR="000745EC" w:rsidRPr="00F33E35" w:rsidRDefault="00F33E35" w:rsidP="006A0CFD">
      <w:pPr>
        <w:spacing w:after="0" w:line="240" w:lineRule="auto"/>
        <w:jc w:val="both"/>
        <w:rPr>
          <w:rFonts w:ascii="Times New Roman" w:eastAsia="Times New Roman" w:hAnsi="Times New Roman" w:cs="Times New Roman"/>
          <w:color w:val="000000"/>
          <w:sz w:val="28"/>
          <w:szCs w:val="28"/>
          <w:lang w:eastAsia="es-MX"/>
        </w:rPr>
      </w:pPr>
      <w:r w:rsidRPr="00F33E35">
        <w:rPr>
          <w:rFonts w:ascii="Times New Roman" w:hAnsi="Times New Roman" w:cs="Times New Roman"/>
          <w:sz w:val="28"/>
          <w:szCs w:val="28"/>
        </w:rPr>
        <w:t>La Corte Constitucional</w:t>
      </w:r>
      <w:r w:rsidRPr="00F33E35">
        <w:rPr>
          <w:rFonts w:ascii="Times New Roman" w:hAnsi="Times New Roman" w:cs="Times New Roman"/>
          <w:sz w:val="28"/>
          <w:szCs w:val="28"/>
        </w:rPr>
        <w:t>, previo a</w:t>
      </w:r>
      <w:r w:rsidRPr="00F33E35">
        <w:rPr>
          <w:rFonts w:ascii="Times New Roman" w:eastAsia="Times New Roman" w:hAnsi="Times New Roman" w:cs="Times New Roman"/>
          <w:color w:val="000000"/>
          <w:sz w:val="28"/>
          <w:szCs w:val="28"/>
          <w:lang w:eastAsia="es-MX"/>
        </w:rPr>
        <w:t xml:space="preserve"> </w:t>
      </w:r>
      <w:r w:rsidRPr="00F33E35">
        <w:rPr>
          <w:rFonts w:ascii="Times New Roman" w:eastAsia="Times New Roman" w:hAnsi="Times New Roman" w:cs="Times New Roman"/>
          <w:color w:val="000000"/>
          <w:sz w:val="28"/>
          <w:szCs w:val="28"/>
          <w:lang w:eastAsia="es-MX"/>
        </w:rPr>
        <w:t>entrar al fondo del asunto, analizó si la demanda cumplía con los requisitos mínimos para ser estudiada</w:t>
      </w:r>
      <w:r w:rsidRPr="00F33E35">
        <w:rPr>
          <w:rFonts w:ascii="Times New Roman" w:eastAsia="Times New Roman" w:hAnsi="Times New Roman" w:cs="Times New Roman"/>
          <w:color w:val="000000"/>
          <w:sz w:val="28"/>
          <w:szCs w:val="28"/>
          <w:lang w:eastAsia="es-MX"/>
        </w:rPr>
        <w:t xml:space="preserve"> de fondo</w:t>
      </w:r>
      <w:r w:rsidRPr="00F33E35">
        <w:rPr>
          <w:rFonts w:ascii="Times New Roman" w:eastAsia="Times New Roman" w:hAnsi="Times New Roman" w:cs="Times New Roman"/>
          <w:color w:val="000000"/>
          <w:sz w:val="28"/>
          <w:szCs w:val="28"/>
          <w:lang w:eastAsia="es-MX"/>
        </w:rPr>
        <w:t xml:space="preserve">. Respecto al artículo 17 de la Ley 1621 de 2013, concluyó </w:t>
      </w:r>
      <w:r w:rsidRPr="00F33E35">
        <w:rPr>
          <w:rFonts w:ascii="Times New Roman" w:eastAsia="Times New Roman" w:hAnsi="Times New Roman" w:cs="Times New Roman"/>
          <w:color w:val="000000"/>
          <w:sz w:val="28"/>
          <w:szCs w:val="28"/>
          <w:lang w:eastAsia="es-MX"/>
        </w:rPr>
        <w:t xml:space="preserve">que el </w:t>
      </w:r>
      <w:r w:rsidRPr="00F33E35">
        <w:rPr>
          <w:rFonts w:ascii="Times New Roman" w:eastAsia="Times New Roman" w:hAnsi="Times New Roman" w:cs="Times New Roman"/>
          <w:color w:val="000000"/>
          <w:sz w:val="28"/>
          <w:szCs w:val="28"/>
          <w:lang w:eastAsia="es-MX"/>
        </w:rPr>
        <w:t>cargo</w:t>
      </w:r>
      <w:r w:rsidRPr="00F33E35">
        <w:rPr>
          <w:rFonts w:ascii="Times New Roman" w:eastAsia="Times New Roman" w:hAnsi="Times New Roman" w:cs="Times New Roman"/>
          <w:color w:val="000000"/>
          <w:sz w:val="28"/>
          <w:szCs w:val="28"/>
          <w:lang w:eastAsia="es-MX"/>
        </w:rPr>
        <w:t xml:space="preserve"> de </w:t>
      </w:r>
      <w:r w:rsidRPr="00F33E35">
        <w:rPr>
          <w:rFonts w:ascii="Times New Roman" w:eastAsia="Times New Roman" w:hAnsi="Times New Roman" w:cs="Times New Roman"/>
          <w:color w:val="000000"/>
          <w:sz w:val="28"/>
          <w:szCs w:val="28"/>
          <w:lang w:eastAsia="es-MX"/>
        </w:rPr>
        <w:t>in</w:t>
      </w:r>
      <w:r w:rsidRPr="00F33E35">
        <w:rPr>
          <w:rFonts w:ascii="Times New Roman" w:eastAsia="Times New Roman" w:hAnsi="Times New Roman" w:cs="Times New Roman"/>
          <w:color w:val="000000"/>
          <w:sz w:val="28"/>
          <w:szCs w:val="28"/>
          <w:lang w:eastAsia="es-MX"/>
        </w:rPr>
        <w:t>constitucionalidad no cumplió con los mínimos de certeza</w:t>
      </w:r>
      <w:r w:rsidRPr="00F33E35">
        <w:rPr>
          <w:rFonts w:ascii="Times New Roman" w:eastAsia="Times New Roman" w:hAnsi="Times New Roman" w:cs="Times New Roman"/>
          <w:color w:val="000000"/>
          <w:sz w:val="28"/>
          <w:szCs w:val="28"/>
          <w:lang w:eastAsia="es-MX"/>
        </w:rPr>
        <w:t>, especificidad y suficiencia</w:t>
      </w:r>
      <w:r w:rsidRPr="00F33E35">
        <w:rPr>
          <w:rFonts w:ascii="Times New Roman" w:eastAsia="Times New Roman" w:hAnsi="Times New Roman" w:cs="Times New Roman"/>
          <w:color w:val="000000"/>
          <w:sz w:val="28"/>
          <w:szCs w:val="28"/>
          <w:lang w:eastAsia="es-MX"/>
        </w:rPr>
        <w:t xml:space="preserve">, </w:t>
      </w:r>
      <w:r w:rsidRPr="00F33E35">
        <w:rPr>
          <w:rFonts w:ascii="Times New Roman" w:eastAsia="Times New Roman" w:hAnsi="Times New Roman" w:cs="Times New Roman"/>
          <w:color w:val="000000"/>
          <w:sz w:val="28"/>
          <w:szCs w:val="28"/>
          <w:lang w:eastAsia="es-MX"/>
        </w:rPr>
        <w:t>en tanto</w:t>
      </w:r>
      <w:r w:rsidRPr="00F33E35">
        <w:rPr>
          <w:rFonts w:ascii="Times New Roman" w:eastAsia="Times New Roman" w:hAnsi="Times New Roman" w:cs="Times New Roman"/>
          <w:color w:val="000000"/>
          <w:sz w:val="28"/>
          <w:szCs w:val="28"/>
          <w:lang w:eastAsia="es-MX"/>
        </w:rPr>
        <w:t xml:space="preserve"> que no partió del contenido real y vigente de la norma</w:t>
      </w:r>
      <w:r w:rsidRPr="00F33E35">
        <w:rPr>
          <w:rFonts w:ascii="Times New Roman" w:eastAsia="Times New Roman" w:hAnsi="Times New Roman" w:cs="Times New Roman"/>
          <w:color w:val="000000"/>
          <w:sz w:val="28"/>
          <w:szCs w:val="28"/>
          <w:lang w:eastAsia="es-MX"/>
        </w:rPr>
        <w:t>,</w:t>
      </w:r>
      <w:r w:rsidRPr="00F33E35">
        <w:rPr>
          <w:rFonts w:ascii="Times New Roman" w:eastAsia="Times New Roman" w:hAnsi="Times New Roman" w:cs="Times New Roman"/>
          <w:color w:val="000000"/>
          <w:sz w:val="28"/>
          <w:szCs w:val="28"/>
          <w:lang w:eastAsia="es-MX"/>
        </w:rPr>
        <w:t xml:space="preserve"> ni </w:t>
      </w:r>
      <w:r w:rsidRPr="00F33E35">
        <w:rPr>
          <w:rFonts w:ascii="Times New Roman" w:eastAsia="Times New Roman" w:hAnsi="Times New Roman" w:cs="Times New Roman"/>
          <w:color w:val="000000"/>
          <w:sz w:val="28"/>
          <w:szCs w:val="28"/>
          <w:lang w:eastAsia="es-MX"/>
        </w:rPr>
        <w:t xml:space="preserve">del alcance e interpretación dado en la </w:t>
      </w:r>
      <w:r w:rsidRPr="00F33E35">
        <w:rPr>
          <w:rFonts w:ascii="Times New Roman" w:eastAsia="Times New Roman" w:hAnsi="Times New Roman" w:cs="Times New Roman"/>
          <w:color w:val="000000"/>
          <w:sz w:val="28"/>
          <w:szCs w:val="28"/>
          <w:lang w:eastAsia="es-MX"/>
        </w:rPr>
        <w:t xml:space="preserve">Sentencia C-540 de 2012. </w:t>
      </w:r>
      <w:r w:rsidRPr="00F33E35">
        <w:rPr>
          <w:rFonts w:ascii="Times New Roman" w:eastAsia="Times New Roman" w:hAnsi="Times New Roman" w:cs="Times New Roman"/>
          <w:color w:val="000000"/>
          <w:sz w:val="28"/>
          <w:szCs w:val="28"/>
          <w:lang w:eastAsia="es-MX"/>
        </w:rPr>
        <w:t>En contraste</w:t>
      </w:r>
      <w:r w:rsidRPr="00F33E35">
        <w:rPr>
          <w:rFonts w:ascii="Times New Roman" w:eastAsia="Times New Roman" w:hAnsi="Times New Roman" w:cs="Times New Roman"/>
          <w:color w:val="000000"/>
          <w:sz w:val="28"/>
          <w:szCs w:val="28"/>
          <w:lang w:eastAsia="es-MX"/>
        </w:rPr>
        <w:t>, los demanda</w:t>
      </w:r>
      <w:r w:rsidRPr="00F33E35">
        <w:rPr>
          <w:rFonts w:ascii="Times New Roman" w:eastAsia="Times New Roman" w:hAnsi="Times New Roman" w:cs="Times New Roman"/>
          <w:color w:val="000000"/>
          <w:sz w:val="28"/>
          <w:szCs w:val="28"/>
          <w:lang w:eastAsia="es-MX"/>
        </w:rPr>
        <w:t>ntes se</w:t>
      </w:r>
      <w:r w:rsidRPr="00F33E35">
        <w:rPr>
          <w:rFonts w:ascii="Times New Roman" w:eastAsia="Times New Roman" w:hAnsi="Times New Roman" w:cs="Times New Roman"/>
          <w:color w:val="000000"/>
          <w:sz w:val="28"/>
          <w:szCs w:val="28"/>
          <w:lang w:eastAsia="es-MX"/>
        </w:rPr>
        <w:t xml:space="preserve"> fundamentaron</w:t>
      </w:r>
      <w:r w:rsidRPr="00F33E35">
        <w:rPr>
          <w:rFonts w:ascii="Times New Roman" w:eastAsia="Times New Roman" w:hAnsi="Times New Roman" w:cs="Times New Roman"/>
          <w:color w:val="000000"/>
          <w:sz w:val="28"/>
          <w:szCs w:val="28"/>
          <w:lang w:eastAsia="es-MX"/>
        </w:rPr>
        <w:t xml:space="preserve"> en interpretaciones supuestas</w:t>
      </w:r>
      <w:r w:rsidRPr="00F33E35">
        <w:rPr>
          <w:rFonts w:ascii="Times New Roman" w:eastAsia="Times New Roman" w:hAnsi="Times New Roman" w:cs="Times New Roman"/>
          <w:color w:val="000000"/>
          <w:sz w:val="28"/>
          <w:szCs w:val="28"/>
          <w:lang w:eastAsia="es-MX"/>
        </w:rPr>
        <w:t>. En adición a ello,</w:t>
      </w:r>
      <w:r w:rsidRPr="00F33E35">
        <w:rPr>
          <w:rFonts w:ascii="Times New Roman" w:eastAsia="Times New Roman" w:hAnsi="Times New Roman" w:cs="Times New Roman"/>
          <w:color w:val="000000"/>
          <w:sz w:val="28"/>
          <w:szCs w:val="28"/>
          <w:lang w:eastAsia="es-MX"/>
        </w:rPr>
        <w:t xml:space="preserve"> no demostraron cómo los estándares de</w:t>
      </w:r>
      <w:r w:rsidRPr="00F33E35">
        <w:rPr>
          <w:rFonts w:ascii="Times New Roman" w:eastAsia="Times New Roman" w:hAnsi="Times New Roman" w:cs="Times New Roman"/>
          <w:color w:val="000000"/>
          <w:sz w:val="28"/>
          <w:szCs w:val="28"/>
          <w:lang w:eastAsia="es-MX"/>
        </w:rPr>
        <w:t xml:space="preserve"> la sentencia de la Corte Interamericana de Derechos Humanos -en el </w:t>
      </w:r>
      <w:r w:rsidRPr="00F33E35">
        <w:rPr>
          <w:rFonts w:ascii="Times New Roman" w:eastAsia="Times New Roman" w:hAnsi="Times New Roman" w:cs="Times New Roman"/>
          <w:color w:val="000000"/>
          <w:sz w:val="28"/>
          <w:szCs w:val="28"/>
          <w:lang w:eastAsia="es-MX"/>
        </w:rPr>
        <w:t>caso</w:t>
      </w:r>
      <w:r w:rsidRPr="00F33E35">
        <w:rPr>
          <w:rFonts w:ascii="Times New Roman" w:hAnsi="Times New Roman" w:cs="Times New Roman"/>
          <w:i/>
          <w:iCs/>
          <w:sz w:val="28"/>
          <w:szCs w:val="28"/>
        </w:rPr>
        <w:t xml:space="preserve"> de la Corporación Colectivo de Abogados “José Alvear Restrepo” vs. Colombi</w:t>
      </w:r>
      <w:r w:rsidRPr="00F33E35">
        <w:rPr>
          <w:rFonts w:ascii="Times New Roman" w:hAnsi="Times New Roman" w:cs="Times New Roman"/>
          <w:i/>
          <w:iCs/>
          <w:sz w:val="28"/>
          <w:szCs w:val="28"/>
        </w:rPr>
        <w:t>a</w:t>
      </w:r>
      <w:r w:rsidRPr="00F33E35">
        <w:rPr>
          <w:rFonts w:ascii="Times New Roman" w:hAnsi="Times New Roman" w:cs="Times New Roman"/>
          <w:iCs/>
          <w:sz w:val="28"/>
          <w:szCs w:val="28"/>
        </w:rPr>
        <w:t>-</w:t>
      </w:r>
      <w:r w:rsidRPr="00F33E35" w:rsidDel="00B15C50">
        <w:rPr>
          <w:rFonts w:ascii="Times New Roman" w:eastAsia="Times New Roman" w:hAnsi="Times New Roman" w:cs="Times New Roman"/>
          <w:color w:val="000000"/>
          <w:sz w:val="28"/>
          <w:szCs w:val="28"/>
          <w:lang w:eastAsia="es-MX"/>
        </w:rPr>
        <w:t xml:space="preserve"> </w:t>
      </w:r>
      <w:r w:rsidRPr="00F33E35">
        <w:rPr>
          <w:rFonts w:ascii="Times New Roman" w:eastAsia="Times New Roman" w:hAnsi="Times New Roman" w:cs="Times New Roman"/>
          <w:color w:val="000000"/>
          <w:sz w:val="28"/>
          <w:szCs w:val="28"/>
          <w:lang w:eastAsia="es-MX"/>
        </w:rPr>
        <w:t>impactaban directamente la norma acusada</w:t>
      </w:r>
      <w:r w:rsidRPr="00F33E35">
        <w:rPr>
          <w:rFonts w:ascii="Times New Roman" w:eastAsia="Times New Roman" w:hAnsi="Times New Roman" w:cs="Times New Roman"/>
          <w:color w:val="000000"/>
          <w:sz w:val="28"/>
          <w:szCs w:val="28"/>
          <w:lang w:eastAsia="es-MX"/>
        </w:rPr>
        <w:t xml:space="preserve"> originando una contradicción específica con la Carta Política.</w:t>
      </w:r>
    </w:p>
    <w:p w:rsidR="000745EC" w:rsidRPr="00F33E35" w:rsidRDefault="00F33E35" w:rsidP="006A0CFD">
      <w:pPr>
        <w:spacing w:after="0" w:line="240" w:lineRule="auto"/>
        <w:jc w:val="both"/>
        <w:rPr>
          <w:rFonts w:ascii="Times New Roman" w:hAnsi="Times New Roman" w:cs="Times New Roman"/>
          <w:sz w:val="28"/>
          <w:szCs w:val="28"/>
        </w:rPr>
      </w:pPr>
    </w:p>
    <w:p w:rsidR="000745EC" w:rsidRPr="00F33E35" w:rsidRDefault="00F33E35" w:rsidP="006A0CFD">
      <w:pPr>
        <w:spacing w:after="0" w:line="240" w:lineRule="auto"/>
        <w:jc w:val="both"/>
        <w:rPr>
          <w:rFonts w:ascii="Times New Roman" w:eastAsia="Times New Roman" w:hAnsi="Times New Roman" w:cs="Times New Roman"/>
          <w:color w:val="000000"/>
          <w:sz w:val="28"/>
          <w:szCs w:val="28"/>
          <w:lang w:eastAsia="es-MX"/>
        </w:rPr>
      </w:pPr>
      <w:r w:rsidRPr="00F33E35">
        <w:rPr>
          <w:rFonts w:ascii="Times New Roman" w:eastAsia="Times New Roman" w:hAnsi="Times New Roman" w:cs="Times New Roman"/>
          <w:color w:val="000000"/>
          <w:sz w:val="28"/>
          <w:szCs w:val="28"/>
          <w:lang w:eastAsia="es-MX"/>
        </w:rPr>
        <w:t>En cuanto al artículo 33</w:t>
      </w:r>
      <w:r w:rsidRPr="00F33E35">
        <w:rPr>
          <w:rFonts w:ascii="Times New Roman" w:eastAsia="Times New Roman" w:hAnsi="Times New Roman" w:cs="Times New Roman"/>
          <w:color w:val="000000"/>
          <w:sz w:val="28"/>
          <w:szCs w:val="28"/>
          <w:lang w:eastAsia="es-MX"/>
        </w:rPr>
        <w:t xml:space="preserve"> acusado</w:t>
      </w:r>
      <w:r w:rsidRPr="00F33E35">
        <w:rPr>
          <w:rFonts w:ascii="Times New Roman" w:eastAsia="Times New Roman" w:hAnsi="Times New Roman" w:cs="Times New Roman"/>
          <w:color w:val="000000"/>
          <w:sz w:val="28"/>
          <w:szCs w:val="28"/>
          <w:lang w:eastAsia="es-MX"/>
        </w:rPr>
        <w:t xml:space="preserve">, </w:t>
      </w:r>
      <w:r w:rsidRPr="00F33E35">
        <w:rPr>
          <w:rFonts w:ascii="Times New Roman" w:eastAsia="Times New Roman" w:hAnsi="Times New Roman" w:cs="Times New Roman"/>
          <w:color w:val="000000"/>
          <w:sz w:val="28"/>
          <w:szCs w:val="28"/>
          <w:lang w:eastAsia="es-MX"/>
        </w:rPr>
        <w:t>este Tribunal</w:t>
      </w:r>
      <w:r w:rsidRPr="00F33E35">
        <w:rPr>
          <w:rFonts w:ascii="Times New Roman" w:eastAsia="Times New Roman" w:hAnsi="Times New Roman" w:cs="Times New Roman"/>
          <w:color w:val="000000"/>
          <w:sz w:val="28"/>
          <w:szCs w:val="28"/>
          <w:lang w:eastAsia="es-MX"/>
        </w:rPr>
        <w:t xml:space="preserve"> señaló que la demanda no</w:t>
      </w:r>
      <w:r w:rsidRPr="00F33E35">
        <w:rPr>
          <w:rFonts w:ascii="Times New Roman" w:eastAsia="Times New Roman" w:hAnsi="Times New Roman" w:cs="Times New Roman"/>
          <w:color w:val="000000"/>
          <w:sz w:val="28"/>
          <w:szCs w:val="28"/>
          <w:lang w:eastAsia="es-MX"/>
        </w:rPr>
        <w:t xml:space="preserve"> cumplió con los requisitos de</w:t>
      </w:r>
      <w:r w:rsidRPr="00F33E35">
        <w:rPr>
          <w:rFonts w:ascii="Times New Roman" w:eastAsia="Times New Roman" w:hAnsi="Times New Roman" w:cs="Times New Roman"/>
          <w:color w:val="000000"/>
          <w:sz w:val="28"/>
          <w:szCs w:val="28"/>
          <w:lang w:eastAsia="es-MX"/>
        </w:rPr>
        <w:t xml:space="preserve"> certeza, especificidad y</w:t>
      </w:r>
      <w:r w:rsidRPr="00F33E35">
        <w:rPr>
          <w:rFonts w:ascii="Times New Roman" w:eastAsia="Times New Roman" w:hAnsi="Times New Roman" w:cs="Times New Roman"/>
          <w:color w:val="000000"/>
          <w:sz w:val="28"/>
          <w:szCs w:val="28"/>
          <w:lang w:eastAsia="es-MX"/>
        </w:rPr>
        <w:t xml:space="preserve"> suficiencia, en la medida en que no</w:t>
      </w:r>
      <w:r w:rsidRPr="00F33E35">
        <w:rPr>
          <w:rFonts w:ascii="Times New Roman" w:eastAsia="Times New Roman" w:hAnsi="Times New Roman" w:cs="Times New Roman"/>
          <w:color w:val="000000"/>
          <w:sz w:val="28"/>
          <w:szCs w:val="28"/>
          <w:lang w:eastAsia="es-MX"/>
        </w:rPr>
        <w:t xml:space="preserve"> evidenció una contradicción concreta entre la</w:t>
      </w:r>
      <w:r w:rsidRPr="00F33E35">
        <w:rPr>
          <w:rFonts w:ascii="Times New Roman" w:eastAsia="Times New Roman" w:hAnsi="Times New Roman" w:cs="Times New Roman"/>
          <w:color w:val="000000"/>
          <w:sz w:val="28"/>
          <w:szCs w:val="28"/>
          <w:lang w:eastAsia="es-MX"/>
        </w:rPr>
        <w:t xml:space="preserve"> disposición parcialmente acusada</w:t>
      </w:r>
      <w:r w:rsidRPr="00F33E35">
        <w:rPr>
          <w:rFonts w:ascii="Times New Roman" w:eastAsia="Times New Roman" w:hAnsi="Times New Roman" w:cs="Times New Roman"/>
          <w:color w:val="000000"/>
          <w:sz w:val="28"/>
          <w:szCs w:val="28"/>
          <w:lang w:eastAsia="es-MX"/>
        </w:rPr>
        <w:t xml:space="preserve"> y la Constitución</w:t>
      </w:r>
      <w:r w:rsidRPr="00F33E35">
        <w:rPr>
          <w:rFonts w:ascii="Times New Roman" w:eastAsia="Times New Roman" w:hAnsi="Times New Roman" w:cs="Times New Roman"/>
          <w:color w:val="000000"/>
          <w:sz w:val="28"/>
          <w:szCs w:val="28"/>
          <w:lang w:eastAsia="es-MX"/>
        </w:rPr>
        <w:t>.</w:t>
      </w:r>
      <w:r w:rsidRPr="00F33E35">
        <w:rPr>
          <w:rFonts w:ascii="Times New Roman" w:eastAsia="Times New Roman" w:hAnsi="Times New Roman" w:cs="Times New Roman"/>
          <w:color w:val="000000"/>
          <w:sz w:val="28"/>
          <w:szCs w:val="28"/>
          <w:lang w:eastAsia="es-MX"/>
        </w:rPr>
        <w:t xml:space="preserve"> </w:t>
      </w:r>
      <w:r w:rsidRPr="00F33E35">
        <w:rPr>
          <w:rFonts w:ascii="Times New Roman" w:eastAsia="Times New Roman" w:hAnsi="Times New Roman" w:cs="Times New Roman"/>
          <w:color w:val="000000"/>
          <w:sz w:val="28"/>
          <w:szCs w:val="28"/>
          <w:lang w:eastAsia="es-MX"/>
        </w:rPr>
        <w:t xml:space="preserve">Tampoco </w:t>
      </w:r>
      <w:r w:rsidRPr="00F33E35">
        <w:rPr>
          <w:rFonts w:ascii="Times New Roman" w:eastAsia="Times New Roman" w:hAnsi="Times New Roman" w:cs="Times New Roman"/>
          <w:color w:val="000000"/>
          <w:sz w:val="28"/>
          <w:szCs w:val="28"/>
          <w:lang w:eastAsia="es-MX"/>
        </w:rPr>
        <w:t>confrontó los parámetros estrictos fijados en la Sentencia C-540 de 2012 sobre las limitaciones al acceso a la in</w:t>
      </w:r>
      <w:r w:rsidRPr="00F33E35">
        <w:rPr>
          <w:rFonts w:ascii="Times New Roman" w:eastAsia="Times New Roman" w:hAnsi="Times New Roman" w:cs="Times New Roman"/>
          <w:color w:val="000000"/>
          <w:sz w:val="28"/>
          <w:szCs w:val="28"/>
          <w:lang w:eastAsia="es-MX"/>
        </w:rPr>
        <w:t>formación</w:t>
      </w:r>
      <w:r w:rsidRPr="00F33E35">
        <w:rPr>
          <w:rFonts w:ascii="Times New Roman" w:eastAsia="Times New Roman" w:hAnsi="Times New Roman" w:cs="Times New Roman"/>
          <w:color w:val="000000"/>
          <w:sz w:val="28"/>
          <w:szCs w:val="28"/>
          <w:lang w:eastAsia="es-MX"/>
        </w:rPr>
        <w:t xml:space="preserve"> ni los pronunciamientos posteriores de la Corte contenidos en las sentencias </w:t>
      </w:r>
      <w:r w:rsidRPr="00F33E35">
        <w:rPr>
          <w:rFonts w:ascii="Times New Roman" w:eastAsia="Times New Roman" w:hAnsi="Times New Roman" w:cs="Times New Roman"/>
          <w:color w:val="000000"/>
          <w:sz w:val="28"/>
          <w:szCs w:val="28"/>
          <w:lang w:eastAsia="es-MX"/>
        </w:rPr>
        <w:t>C-274 de 2013 y C-951 de 2014</w:t>
      </w:r>
      <w:r w:rsidRPr="00F33E35">
        <w:rPr>
          <w:rFonts w:ascii="Times New Roman" w:eastAsia="Times New Roman" w:hAnsi="Times New Roman" w:cs="Times New Roman"/>
          <w:color w:val="000000"/>
          <w:sz w:val="28"/>
          <w:szCs w:val="28"/>
          <w:lang w:eastAsia="es-MX"/>
        </w:rPr>
        <w:t xml:space="preserve">. Los argumentos presentados fueron generales y no generaron </w:t>
      </w:r>
      <w:r w:rsidRPr="00F33E35">
        <w:rPr>
          <w:rFonts w:ascii="Times New Roman" w:eastAsia="Times New Roman" w:hAnsi="Times New Roman" w:cs="Times New Roman"/>
          <w:color w:val="000000"/>
          <w:sz w:val="28"/>
          <w:szCs w:val="28"/>
          <w:lang w:eastAsia="es-MX"/>
        </w:rPr>
        <w:t>una</w:t>
      </w:r>
      <w:r w:rsidRPr="00F33E35">
        <w:rPr>
          <w:rFonts w:ascii="Times New Roman" w:eastAsia="Times New Roman" w:hAnsi="Times New Roman" w:cs="Times New Roman"/>
          <w:color w:val="000000"/>
          <w:sz w:val="28"/>
          <w:szCs w:val="28"/>
          <w:lang w:eastAsia="es-MX"/>
        </w:rPr>
        <w:t xml:space="preserve"> duda mínima de inconstitucionalidad</w:t>
      </w:r>
      <w:r w:rsidRPr="00F33E35">
        <w:rPr>
          <w:rFonts w:ascii="Times New Roman" w:eastAsia="Times New Roman" w:hAnsi="Times New Roman" w:cs="Times New Roman"/>
          <w:color w:val="000000"/>
          <w:sz w:val="28"/>
          <w:szCs w:val="28"/>
          <w:lang w:eastAsia="es-MX"/>
        </w:rPr>
        <w:t>.</w:t>
      </w:r>
      <w:r w:rsidRPr="00F33E35">
        <w:rPr>
          <w:rFonts w:ascii="Times New Roman" w:eastAsia="Times New Roman" w:hAnsi="Times New Roman" w:cs="Times New Roman"/>
          <w:color w:val="000000"/>
          <w:sz w:val="28"/>
          <w:szCs w:val="28"/>
          <w:lang w:eastAsia="es-MX"/>
        </w:rPr>
        <w:t xml:space="preserve"> </w:t>
      </w:r>
    </w:p>
    <w:p w:rsidR="006A0CFD" w:rsidRPr="00F33E35" w:rsidRDefault="00F33E35" w:rsidP="006A0CFD">
      <w:pPr>
        <w:spacing w:after="0" w:line="240" w:lineRule="auto"/>
        <w:jc w:val="both"/>
        <w:rPr>
          <w:rFonts w:ascii="Times New Roman" w:eastAsia="Times New Roman" w:hAnsi="Times New Roman" w:cs="Times New Roman"/>
          <w:color w:val="000000"/>
          <w:sz w:val="28"/>
          <w:szCs w:val="28"/>
          <w:lang w:eastAsia="es-MX"/>
        </w:rPr>
      </w:pPr>
    </w:p>
    <w:p w:rsidR="000745EC" w:rsidRPr="00F33E35" w:rsidRDefault="00F33E35" w:rsidP="006A0CFD">
      <w:pPr>
        <w:spacing w:after="0" w:line="240" w:lineRule="auto"/>
        <w:jc w:val="both"/>
        <w:rPr>
          <w:rFonts w:ascii="Times New Roman" w:eastAsia="Times New Roman" w:hAnsi="Times New Roman" w:cs="Times New Roman"/>
          <w:color w:val="000000"/>
          <w:sz w:val="28"/>
          <w:szCs w:val="28"/>
          <w:lang w:eastAsia="es-MX"/>
        </w:rPr>
      </w:pPr>
      <w:r w:rsidRPr="00F33E35">
        <w:rPr>
          <w:rFonts w:ascii="Times New Roman" w:eastAsia="Times New Roman" w:hAnsi="Times New Roman" w:cs="Times New Roman"/>
          <w:color w:val="000000"/>
          <w:sz w:val="28"/>
          <w:szCs w:val="28"/>
          <w:lang w:eastAsia="es-MX"/>
        </w:rPr>
        <w:t>En síntesis, la Corte concluyó que l</w:t>
      </w:r>
      <w:r w:rsidRPr="00F33E35">
        <w:rPr>
          <w:rFonts w:ascii="Times New Roman" w:eastAsia="Times New Roman" w:hAnsi="Times New Roman" w:cs="Times New Roman"/>
          <w:color w:val="000000"/>
          <w:sz w:val="28"/>
          <w:szCs w:val="28"/>
          <w:lang w:eastAsia="es-MX"/>
        </w:rPr>
        <w:t>as personas</w:t>
      </w:r>
      <w:r w:rsidRPr="00F33E35">
        <w:rPr>
          <w:rFonts w:ascii="Times New Roman" w:eastAsia="Times New Roman" w:hAnsi="Times New Roman" w:cs="Times New Roman"/>
          <w:color w:val="000000"/>
          <w:sz w:val="28"/>
          <w:szCs w:val="28"/>
          <w:lang w:eastAsia="es-MX"/>
        </w:rPr>
        <w:t xml:space="preserve"> demandantes no demostraron de manera concreta cómo los estándares interamericanos </w:t>
      </w:r>
      <w:r w:rsidRPr="00F33E35">
        <w:rPr>
          <w:rFonts w:ascii="Times New Roman" w:eastAsia="Times New Roman" w:hAnsi="Times New Roman" w:cs="Times New Roman"/>
          <w:color w:val="000000"/>
          <w:sz w:val="28"/>
          <w:szCs w:val="28"/>
          <w:lang w:eastAsia="es-MX"/>
        </w:rPr>
        <w:t xml:space="preserve">adoptados en </w:t>
      </w:r>
      <w:r w:rsidRPr="00F33E35">
        <w:rPr>
          <w:rFonts w:ascii="Times New Roman" w:eastAsia="Times New Roman" w:hAnsi="Times New Roman" w:cs="Times New Roman"/>
          <w:color w:val="000000"/>
          <w:sz w:val="28"/>
          <w:szCs w:val="28"/>
          <w:lang w:eastAsia="es-MX"/>
        </w:rPr>
        <w:t xml:space="preserve">el caso </w:t>
      </w:r>
      <w:r w:rsidRPr="00F33E35">
        <w:rPr>
          <w:rFonts w:ascii="Times New Roman" w:hAnsi="Times New Roman" w:cs="Times New Roman"/>
          <w:i/>
          <w:iCs/>
          <w:sz w:val="28"/>
          <w:szCs w:val="28"/>
        </w:rPr>
        <w:t>Caso miembros de la Corporación Colectivo de Abogados “José Alvear Restrepo” vs. Colombia</w:t>
      </w:r>
      <w:r w:rsidRPr="00F33E35" w:rsidDel="00373C57">
        <w:rPr>
          <w:rFonts w:ascii="Times New Roman" w:eastAsia="Times New Roman" w:hAnsi="Times New Roman" w:cs="Times New Roman"/>
          <w:color w:val="000000"/>
          <w:sz w:val="28"/>
          <w:szCs w:val="28"/>
          <w:lang w:eastAsia="es-MX"/>
        </w:rPr>
        <w:t xml:space="preserve"> </w:t>
      </w:r>
      <w:r w:rsidRPr="00F33E35">
        <w:rPr>
          <w:rFonts w:ascii="Times New Roman" w:eastAsia="Times New Roman" w:hAnsi="Times New Roman" w:cs="Times New Roman"/>
          <w:color w:val="000000"/>
          <w:sz w:val="28"/>
          <w:szCs w:val="28"/>
          <w:lang w:eastAsia="es-MX"/>
        </w:rPr>
        <w:t>resultaban incompatibles con la interpretación vige</w:t>
      </w:r>
      <w:r w:rsidRPr="00F33E35">
        <w:rPr>
          <w:rFonts w:ascii="Times New Roman" w:eastAsia="Times New Roman" w:hAnsi="Times New Roman" w:cs="Times New Roman"/>
          <w:color w:val="000000"/>
          <w:sz w:val="28"/>
          <w:szCs w:val="28"/>
          <w:lang w:eastAsia="es-MX"/>
        </w:rPr>
        <w:t xml:space="preserve">nte de los artículos demandados, por lo que la demanda carecía de certeza, </w:t>
      </w:r>
      <w:r w:rsidRPr="00F33E35">
        <w:rPr>
          <w:rFonts w:ascii="Times New Roman" w:eastAsia="Times New Roman" w:hAnsi="Times New Roman" w:cs="Times New Roman"/>
          <w:color w:val="000000"/>
          <w:sz w:val="28"/>
          <w:szCs w:val="28"/>
          <w:lang w:eastAsia="es-MX"/>
        </w:rPr>
        <w:t>especificidad</w:t>
      </w:r>
      <w:r w:rsidRPr="00F33E35">
        <w:rPr>
          <w:rFonts w:ascii="Times New Roman" w:eastAsia="Times New Roman" w:hAnsi="Times New Roman" w:cs="Times New Roman"/>
          <w:color w:val="000000"/>
          <w:sz w:val="28"/>
          <w:szCs w:val="28"/>
          <w:lang w:eastAsia="es-MX"/>
        </w:rPr>
        <w:t xml:space="preserve"> y suficiencia para activar un juicio de fondo.</w:t>
      </w:r>
    </w:p>
    <w:p w:rsidR="0085769B" w:rsidRPr="00F33E35" w:rsidRDefault="00F33E35" w:rsidP="006A0CFD">
      <w:pPr>
        <w:spacing w:after="0" w:line="240" w:lineRule="auto"/>
        <w:jc w:val="both"/>
        <w:rPr>
          <w:rFonts w:ascii="Times New Roman" w:hAnsi="Times New Roman" w:cs="Times New Roman"/>
          <w:sz w:val="28"/>
          <w:szCs w:val="28"/>
        </w:rPr>
      </w:pPr>
    </w:p>
    <w:p w:rsidR="00FF5603" w:rsidRPr="00F33E35" w:rsidRDefault="00F33E35" w:rsidP="006A0CFD">
      <w:pPr>
        <w:pStyle w:val="Prrafodelista"/>
        <w:numPr>
          <w:ilvl w:val="0"/>
          <w:numId w:val="1"/>
        </w:numPr>
        <w:shd w:val="clear" w:color="auto" w:fill="FFFFFF"/>
        <w:tabs>
          <w:tab w:val="left" w:pos="851"/>
        </w:tabs>
        <w:spacing w:after="0" w:line="240" w:lineRule="auto"/>
        <w:ind w:right="-234"/>
        <w:contextualSpacing w:val="0"/>
        <w:jc w:val="both"/>
        <w:rPr>
          <w:rFonts w:ascii="Times New Roman" w:eastAsia="Times New Roman" w:hAnsi="Times New Roman" w:cs="Times New Roman"/>
          <w:b/>
          <w:snapToGrid w:val="0"/>
          <w:sz w:val="28"/>
          <w:szCs w:val="28"/>
          <w:lang w:val="es-ES" w:eastAsia="es-ES"/>
        </w:rPr>
      </w:pPr>
      <w:bookmarkStart w:id="1" w:name="_Toc205457657"/>
      <w:r w:rsidRPr="00F33E35">
        <w:rPr>
          <w:rFonts w:ascii="Times New Roman" w:eastAsia="Times New Roman" w:hAnsi="Times New Roman" w:cs="Times New Roman"/>
          <w:b/>
          <w:snapToGrid w:val="0"/>
          <w:sz w:val="28"/>
          <w:szCs w:val="28"/>
          <w:lang w:val="es-ES" w:eastAsia="es-ES"/>
        </w:rPr>
        <w:t>ANTECEDENTES</w:t>
      </w:r>
      <w:bookmarkEnd w:id="1"/>
    </w:p>
    <w:p w:rsidR="00FF5603" w:rsidRPr="00F33E35" w:rsidRDefault="00F33E35" w:rsidP="006A0CFD">
      <w:pPr>
        <w:shd w:val="clear" w:color="auto" w:fill="FFFFFF"/>
        <w:spacing w:after="0" w:line="240" w:lineRule="auto"/>
        <w:ind w:right="-234"/>
        <w:jc w:val="both"/>
        <w:rPr>
          <w:rFonts w:ascii="Times New Roman" w:eastAsia="Times New Roman" w:hAnsi="Times New Roman" w:cs="Times New Roman"/>
          <w:b/>
          <w:snapToGrid w:val="0"/>
          <w:sz w:val="28"/>
          <w:szCs w:val="28"/>
          <w:lang w:val="es-ES" w:eastAsia="es-ES"/>
        </w:rPr>
      </w:pPr>
    </w:p>
    <w:p w:rsidR="00FF5603" w:rsidRPr="00F33E35" w:rsidRDefault="00F33E35" w:rsidP="006A0CFD">
      <w:pPr>
        <w:numPr>
          <w:ilvl w:val="0"/>
          <w:numId w:val="2"/>
        </w:numPr>
        <w:shd w:val="clear" w:color="auto" w:fill="FFFFFF"/>
        <w:tabs>
          <w:tab w:val="left" w:pos="284"/>
        </w:tabs>
        <w:spacing w:after="0" w:line="240" w:lineRule="auto"/>
        <w:ind w:left="0" w:right="-234" w:firstLine="0"/>
        <w:jc w:val="both"/>
        <w:rPr>
          <w:rFonts w:ascii="Times New Roman" w:eastAsia="Times New Roman" w:hAnsi="Times New Roman" w:cs="Times New Roman"/>
          <w:snapToGrid w:val="0"/>
          <w:sz w:val="28"/>
          <w:szCs w:val="28"/>
          <w:lang w:val="es-ES" w:eastAsia="es-ES"/>
        </w:rPr>
      </w:pPr>
      <w:bookmarkStart w:id="2" w:name="_Hlk168992774"/>
      <w:r w:rsidRPr="00F33E35">
        <w:rPr>
          <w:rFonts w:ascii="Times New Roman" w:eastAsia="Times New Roman" w:hAnsi="Times New Roman" w:cs="Times New Roman"/>
          <w:snapToGrid w:val="0"/>
          <w:sz w:val="28"/>
          <w:szCs w:val="28"/>
          <w:lang w:val="es-ES" w:eastAsia="es-ES"/>
        </w:rPr>
        <w:t xml:space="preserve">Las </w:t>
      </w:r>
      <w:r w:rsidRPr="00F33E35">
        <w:rPr>
          <w:rFonts w:ascii="Times New Roman" w:eastAsia="Times New Roman" w:hAnsi="Times New Roman" w:cs="Times New Roman"/>
          <w:snapToGrid w:val="0"/>
          <w:sz w:val="28"/>
          <w:szCs w:val="28"/>
          <w:lang w:val="es-ES" w:eastAsia="es-ES"/>
        </w:rPr>
        <w:t>personas demandantes</w:t>
      </w:r>
      <w:r w:rsidRPr="00F33E35">
        <w:rPr>
          <w:rFonts w:ascii="Times New Roman" w:eastAsia="Times New Roman" w:hAnsi="Times New Roman" w:cs="Times New Roman"/>
          <w:snapToGrid w:val="0"/>
          <w:sz w:val="28"/>
          <w:szCs w:val="28"/>
          <w:lang w:val="es-ES" w:eastAsia="es-ES"/>
        </w:rPr>
        <w:t xml:space="preserve"> acusaron </w:t>
      </w:r>
      <w:r w:rsidRPr="00F33E35">
        <w:rPr>
          <w:rFonts w:ascii="Times New Roman" w:hAnsi="Times New Roman" w:cs="Times New Roman"/>
          <w:sz w:val="28"/>
          <w:szCs w:val="28"/>
        </w:rPr>
        <w:t>los artículos 17 (parcial) y 33 (parcial) de la Ley Estatutaria 1621 de</w:t>
      </w:r>
      <w:r w:rsidRPr="00F33E35">
        <w:rPr>
          <w:rFonts w:ascii="Times New Roman" w:hAnsi="Times New Roman" w:cs="Times New Roman"/>
          <w:sz w:val="28"/>
          <w:szCs w:val="28"/>
        </w:rPr>
        <w:t xml:space="preserve"> 2013 “[p]or medio de la cual se expiden normas para fortalecer el Marco Jurídico que permite a los organismos que llevan a cabo actividades de inteligencia y contrainteligencia cumplir con su misión constitucional y legal, y se dictan otras disposiciones”</w:t>
      </w:r>
      <w:r w:rsidRPr="00F33E35">
        <w:rPr>
          <w:rFonts w:ascii="Times New Roman" w:hAnsi="Times New Roman" w:cs="Times New Roman"/>
          <w:color w:val="000000" w:themeColor="text1"/>
          <w:sz w:val="28"/>
          <w:szCs w:val="28"/>
        </w:rPr>
        <w:t>.</w:t>
      </w:r>
      <w:r w:rsidRPr="00F33E35">
        <w:rPr>
          <w:rFonts w:ascii="Times New Roman" w:eastAsia="Times New Roman" w:hAnsi="Times New Roman" w:cs="Times New Roman"/>
          <w:snapToGrid w:val="0"/>
          <w:sz w:val="28"/>
          <w:szCs w:val="28"/>
          <w:lang w:val="es-ES" w:eastAsia="es-ES"/>
        </w:rPr>
        <w:t xml:space="preserve"> </w:t>
      </w:r>
      <w:bookmarkEnd w:id="2"/>
      <w:r w:rsidRPr="00F33E35">
        <w:rPr>
          <w:rFonts w:ascii="Times New Roman" w:eastAsia="Times New Roman" w:hAnsi="Times New Roman" w:cs="Times New Roman"/>
          <w:snapToGrid w:val="0"/>
          <w:sz w:val="28"/>
          <w:szCs w:val="28"/>
          <w:lang w:val="es-ES" w:eastAsia="es-ES"/>
        </w:rPr>
        <w:t>En Auto de 15 de noviembre de 2024 la demanda fue admitida, disponiendo (i) comunicar la iniciación del asunto</w:t>
      </w:r>
      <w:r w:rsidRPr="00F33E35">
        <w:rPr>
          <w:rFonts w:ascii="Times New Roman" w:eastAsia="Times New Roman" w:hAnsi="Times New Roman" w:cs="Times New Roman"/>
          <w:snapToGrid w:val="0"/>
          <w:sz w:val="28"/>
          <w:szCs w:val="28"/>
          <w:vertAlign w:val="superscript"/>
          <w:lang w:val="es-ES" w:eastAsia="es-ES"/>
        </w:rPr>
        <w:footnoteReference w:id="1"/>
      </w:r>
      <w:r w:rsidRPr="00F33E35">
        <w:rPr>
          <w:rFonts w:ascii="Times New Roman" w:eastAsia="Times New Roman" w:hAnsi="Times New Roman" w:cs="Times New Roman"/>
          <w:snapToGrid w:val="0"/>
          <w:sz w:val="28"/>
          <w:szCs w:val="28"/>
          <w:lang w:val="es-ES" w:eastAsia="es-ES"/>
        </w:rPr>
        <w:t>, (ii) oficiar a distintas entidades para</w:t>
      </w:r>
      <w:r w:rsidRPr="00F33E35">
        <w:rPr>
          <w:rFonts w:ascii="Times New Roman" w:hAnsi="Times New Roman" w:cs="Times New Roman"/>
          <w:bCs/>
          <w:sz w:val="28"/>
          <w:szCs w:val="28"/>
          <w:lang w:val="es-MX"/>
        </w:rPr>
        <w:t xml:space="preserve"> que remitieran a la Corte los protocolos bajo los cuales se adelantan las actividades de monitoreo de</w:t>
      </w:r>
      <w:r w:rsidRPr="00F33E35">
        <w:rPr>
          <w:rFonts w:ascii="Times New Roman" w:hAnsi="Times New Roman" w:cs="Times New Roman"/>
          <w:bCs/>
          <w:sz w:val="28"/>
          <w:szCs w:val="28"/>
          <w:lang w:val="es-MX"/>
        </w:rPr>
        <w:t>l espectro electromagnético y se determina la reserva de la información</w:t>
      </w:r>
      <w:r w:rsidRPr="00F33E35">
        <w:rPr>
          <w:rStyle w:val="Refdenotaalpie"/>
          <w:rFonts w:ascii="Times New Roman" w:hAnsi="Times New Roman" w:cs="Times New Roman"/>
          <w:bCs/>
          <w:sz w:val="28"/>
          <w:szCs w:val="28"/>
          <w:lang w:val="es-MX"/>
        </w:rPr>
        <w:footnoteReference w:id="2"/>
      </w:r>
      <w:r w:rsidRPr="00F33E35">
        <w:rPr>
          <w:rFonts w:ascii="Times New Roman" w:hAnsi="Times New Roman" w:cs="Times New Roman"/>
          <w:bCs/>
          <w:sz w:val="28"/>
          <w:szCs w:val="28"/>
          <w:lang w:val="es-MX"/>
        </w:rPr>
        <w:t xml:space="preserve">; (iii) </w:t>
      </w:r>
      <w:r w:rsidRPr="00F33E35">
        <w:rPr>
          <w:rFonts w:ascii="Times New Roman" w:eastAsia="Times New Roman" w:hAnsi="Times New Roman" w:cs="Times New Roman"/>
          <w:snapToGrid w:val="0"/>
          <w:sz w:val="28"/>
          <w:szCs w:val="28"/>
          <w:lang w:val="es-ES" w:eastAsia="es-ES"/>
        </w:rPr>
        <w:t xml:space="preserve">fijar en lista el asunto para la intervención ciudadana y correr traslado a la Procuraduría General de la Nación, además de (iv) invitar a expresar su opinión a entidades </w:t>
      </w:r>
      <w:r w:rsidRPr="00F33E35">
        <w:rPr>
          <w:rFonts w:ascii="Times New Roman" w:eastAsia="Times New Roman" w:hAnsi="Times New Roman" w:cs="Times New Roman"/>
          <w:snapToGrid w:val="0"/>
          <w:sz w:val="28"/>
          <w:szCs w:val="28"/>
          <w:lang w:val="es-ES" w:eastAsia="es-ES"/>
        </w:rPr>
        <w:t>públicas y privadas, así como a la academia</w:t>
      </w:r>
      <w:r w:rsidRPr="00F33E35">
        <w:rPr>
          <w:rFonts w:ascii="Times New Roman" w:eastAsia="Times New Roman" w:hAnsi="Times New Roman" w:cs="Times New Roman"/>
          <w:snapToGrid w:val="0"/>
          <w:sz w:val="28"/>
          <w:szCs w:val="28"/>
          <w:vertAlign w:val="superscript"/>
          <w:lang w:val="es-ES" w:eastAsia="es-ES"/>
        </w:rPr>
        <w:footnoteReference w:id="3"/>
      </w:r>
      <w:r w:rsidRPr="00F33E35">
        <w:rPr>
          <w:rFonts w:ascii="Times New Roman" w:eastAsia="Times New Roman" w:hAnsi="Times New Roman" w:cs="Times New Roman"/>
          <w:snapToGrid w:val="0"/>
          <w:sz w:val="28"/>
          <w:szCs w:val="28"/>
          <w:lang w:val="es-ES" w:eastAsia="es-ES"/>
        </w:rPr>
        <w:t xml:space="preserve">. </w:t>
      </w:r>
    </w:p>
    <w:p w:rsidR="00FF5603" w:rsidRPr="00F33E35" w:rsidRDefault="00F33E35" w:rsidP="006A0CFD">
      <w:pPr>
        <w:shd w:val="clear" w:color="auto" w:fill="FFFFFF"/>
        <w:spacing w:after="0" w:line="240" w:lineRule="auto"/>
        <w:ind w:right="-234"/>
        <w:jc w:val="both"/>
        <w:rPr>
          <w:rFonts w:ascii="Times New Roman" w:eastAsia="Times New Roman" w:hAnsi="Times New Roman" w:cs="Times New Roman"/>
          <w:snapToGrid w:val="0"/>
          <w:position w:val="6"/>
          <w:sz w:val="28"/>
          <w:szCs w:val="28"/>
          <w:lang w:val="es-ES" w:eastAsia="es-ES"/>
        </w:rPr>
      </w:pPr>
    </w:p>
    <w:p w:rsidR="00FF5603" w:rsidRPr="00F33E35" w:rsidRDefault="00F33E35" w:rsidP="006A0CFD">
      <w:pPr>
        <w:pStyle w:val="Prrafodelista"/>
        <w:numPr>
          <w:ilvl w:val="0"/>
          <w:numId w:val="1"/>
        </w:numPr>
        <w:shd w:val="clear" w:color="auto" w:fill="FFFFFF"/>
        <w:tabs>
          <w:tab w:val="left" w:pos="851"/>
        </w:tabs>
        <w:spacing w:after="0" w:line="240" w:lineRule="auto"/>
        <w:ind w:left="851" w:right="-234"/>
        <w:contextualSpacing w:val="0"/>
        <w:jc w:val="both"/>
        <w:rPr>
          <w:rFonts w:ascii="Times New Roman" w:eastAsia="Times New Roman" w:hAnsi="Times New Roman" w:cs="Times New Roman"/>
          <w:b/>
          <w:snapToGrid w:val="0"/>
          <w:position w:val="6"/>
          <w:sz w:val="28"/>
          <w:szCs w:val="28"/>
          <w:lang w:val="es-ES" w:eastAsia="es-ES"/>
        </w:rPr>
      </w:pPr>
      <w:bookmarkStart w:id="3" w:name="_Toc205457658"/>
      <w:r w:rsidRPr="00F33E35">
        <w:rPr>
          <w:rFonts w:ascii="Times New Roman" w:eastAsia="Times New Roman" w:hAnsi="Times New Roman" w:cs="Times New Roman"/>
          <w:b/>
          <w:snapToGrid w:val="0"/>
          <w:position w:val="6"/>
          <w:sz w:val="28"/>
          <w:szCs w:val="28"/>
          <w:lang w:val="es-ES" w:eastAsia="es-ES"/>
        </w:rPr>
        <w:t>LAS NORMAS ACUSADAS Y LA DEMANDA DE</w:t>
      </w:r>
      <w:r w:rsidRPr="00F33E35">
        <w:rPr>
          <w:rFonts w:ascii="Times New Roman" w:eastAsia="Times New Roman" w:hAnsi="Times New Roman" w:cs="Times New Roman"/>
          <w:b/>
          <w:snapToGrid w:val="0"/>
          <w:position w:val="6"/>
          <w:sz w:val="28"/>
          <w:szCs w:val="28"/>
          <w:lang w:val="es-ES" w:eastAsia="es-ES"/>
        </w:rPr>
        <w:t xml:space="preserve"> </w:t>
      </w:r>
      <w:r w:rsidRPr="00F33E35">
        <w:rPr>
          <w:rFonts w:ascii="Times New Roman" w:eastAsia="Times New Roman" w:hAnsi="Times New Roman" w:cs="Times New Roman"/>
          <w:b/>
          <w:snapToGrid w:val="0"/>
          <w:position w:val="6"/>
          <w:sz w:val="28"/>
          <w:szCs w:val="28"/>
          <w:lang w:val="es-ES" w:eastAsia="es-ES"/>
        </w:rPr>
        <w:t>INCONSTITUCIONALIDAD</w:t>
      </w:r>
      <w:bookmarkEnd w:id="3"/>
    </w:p>
    <w:p w:rsidR="00FF5603" w:rsidRPr="00F33E35" w:rsidRDefault="00F33E35" w:rsidP="006A0CFD">
      <w:pPr>
        <w:shd w:val="clear" w:color="auto" w:fill="FFFFFF"/>
        <w:spacing w:after="0" w:line="240" w:lineRule="auto"/>
        <w:ind w:right="-234"/>
        <w:jc w:val="both"/>
        <w:rPr>
          <w:rFonts w:ascii="Times New Roman" w:eastAsia="Times New Roman" w:hAnsi="Times New Roman" w:cs="Times New Roman"/>
          <w:b/>
          <w:snapToGrid w:val="0"/>
          <w:position w:val="6"/>
          <w:sz w:val="28"/>
          <w:szCs w:val="28"/>
          <w:lang w:val="es-ES" w:eastAsia="es-ES"/>
        </w:rPr>
      </w:pPr>
    </w:p>
    <w:p w:rsidR="00FF5603" w:rsidRPr="00F33E35" w:rsidRDefault="00F33E35" w:rsidP="006A0CFD">
      <w:pPr>
        <w:pStyle w:val="Prrafodelista"/>
        <w:numPr>
          <w:ilvl w:val="0"/>
          <w:numId w:val="2"/>
        </w:numPr>
        <w:shd w:val="clear" w:color="auto" w:fill="FFFFFF"/>
        <w:tabs>
          <w:tab w:val="left" w:pos="284"/>
        </w:tabs>
        <w:spacing w:after="0" w:line="240" w:lineRule="auto"/>
        <w:ind w:left="0" w:right="-234" w:firstLine="0"/>
        <w:contextualSpacing w:val="0"/>
        <w:jc w:val="both"/>
        <w:rPr>
          <w:rFonts w:ascii="Times New Roman" w:eastAsia="Times New Roman" w:hAnsi="Times New Roman" w:cs="Times New Roman"/>
          <w:snapToGrid w:val="0"/>
          <w:position w:val="6"/>
          <w:sz w:val="28"/>
          <w:szCs w:val="28"/>
          <w:lang w:val="es-ES" w:eastAsia="es-ES"/>
        </w:rPr>
      </w:pPr>
      <w:bookmarkStart w:id="4" w:name="_Hlk124234310"/>
      <w:r w:rsidRPr="00F33E35">
        <w:rPr>
          <w:rFonts w:ascii="Times New Roman" w:eastAsia="Times New Roman" w:hAnsi="Times New Roman" w:cs="Times New Roman"/>
          <w:snapToGrid w:val="0"/>
          <w:position w:val="6"/>
          <w:sz w:val="28"/>
          <w:szCs w:val="28"/>
          <w:lang w:val="es-ES" w:eastAsia="es-ES"/>
        </w:rPr>
        <w:t>Las disposiciones acusadas se destacan en los artículos que se transcriben a continuación:</w:t>
      </w:r>
    </w:p>
    <w:p w:rsidR="00FF5603" w:rsidRPr="00F33E35" w:rsidRDefault="00F33E35" w:rsidP="006A0CFD">
      <w:pPr>
        <w:pStyle w:val="Prrafodelista"/>
        <w:shd w:val="clear" w:color="auto" w:fill="FFFFFF"/>
        <w:spacing w:after="0" w:line="240" w:lineRule="auto"/>
        <w:ind w:left="425" w:right="-234"/>
        <w:contextualSpacing w:val="0"/>
        <w:jc w:val="both"/>
        <w:rPr>
          <w:rFonts w:ascii="Times New Roman" w:eastAsia="Times New Roman" w:hAnsi="Times New Roman" w:cs="Times New Roman"/>
          <w:snapToGrid w:val="0"/>
          <w:position w:val="6"/>
          <w:sz w:val="28"/>
          <w:szCs w:val="28"/>
          <w:lang w:val="es-ES" w:eastAsia="es-ES"/>
        </w:rPr>
      </w:pPr>
    </w:p>
    <w:p w:rsidR="00FF5603" w:rsidRPr="00F33E35" w:rsidRDefault="00F33E35" w:rsidP="006A0CFD">
      <w:pPr>
        <w:pStyle w:val="NormalWeb"/>
        <w:spacing w:after="0" w:line="240" w:lineRule="auto"/>
        <w:ind w:left="425" w:right="-234"/>
        <w:jc w:val="center"/>
        <w:rPr>
          <w:b/>
          <w:iCs/>
          <w:color w:val="000000" w:themeColor="text1"/>
          <w:sz w:val="28"/>
        </w:rPr>
      </w:pPr>
      <w:bookmarkStart w:id="5" w:name="_Hlk179375779"/>
      <w:bookmarkStart w:id="6" w:name="_Hlk179378119"/>
      <w:r w:rsidRPr="00F33E35">
        <w:rPr>
          <w:b/>
          <w:iCs/>
          <w:color w:val="000000" w:themeColor="text1"/>
          <w:sz w:val="28"/>
        </w:rPr>
        <w:t>LEY ESTATUTARIA 1621 DE 2013</w:t>
      </w:r>
    </w:p>
    <w:p w:rsidR="00FF5603" w:rsidRPr="00F33E35" w:rsidRDefault="00F33E35" w:rsidP="006A0CFD">
      <w:pPr>
        <w:pStyle w:val="NormalWeb"/>
        <w:spacing w:after="0" w:line="240" w:lineRule="auto"/>
        <w:ind w:left="425" w:right="-234"/>
        <w:jc w:val="center"/>
        <w:rPr>
          <w:bCs/>
          <w:iCs/>
          <w:color w:val="000000" w:themeColor="text1"/>
          <w:sz w:val="28"/>
        </w:rPr>
      </w:pPr>
      <w:r w:rsidRPr="00F33E35">
        <w:rPr>
          <w:bCs/>
          <w:iCs/>
          <w:color w:val="000000" w:themeColor="text1"/>
          <w:sz w:val="28"/>
        </w:rPr>
        <w:t>(Abril 17)</w:t>
      </w:r>
    </w:p>
    <w:p w:rsidR="00FF5603" w:rsidRPr="00F33E35" w:rsidRDefault="00F33E35" w:rsidP="006A0CFD">
      <w:pPr>
        <w:pStyle w:val="NormalWeb"/>
        <w:spacing w:after="0" w:line="240" w:lineRule="auto"/>
        <w:ind w:left="425" w:right="-234"/>
        <w:jc w:val="center"/>
        <w:rPr>
          <w:bCs/>
          <w:iCs/>
          <w:color w:val="000000" w:themeColor="text1"/>
          <w:sz w:val="28"/>
        </w:rPr>
      </w:pPr>
    </w:p>
    <w:p w:rsidR="00FF5603" w:rsidRPr="00F33E35" w:rsidRDefault="00F33E35" w:rsidP="006A0CFD">
      <w:pPr>
        <w:pStyle w:val="NormalWeb"/>
        <w:spacing w:after="0" w:line="240" w:lineRule="auto"/>
        <w:ind w:left="425" w:right="-234"/>
        <w:jc w:val="center"/>
        <w:rPr>
          <w:bCs/>
          <w:iCs/>
          <w:color w:val="000000" w:themeColor="text1"/>
          <w:sz w:val="28"/>
        </w:rPr>
      </w:pPr>
      <w:r w:rsidRPr="00F33E35">
        <w:rPr>
          <w:bCs/>
          <w:iCs/>
          <w:color w:val="000000" w:themeColor="text1"/>
          <w:sz w:val="28"/>
        </w:rPr>
        <w:t xml:space="preserve">Por medio de la </w:t>
      </w:r>
      <w:r w:rsidRPr="00F33E35">
        <w:rPr>
          <w:bCs/>
          <w:iCs/>
          <w:color w:val="000000" w:themeColor="text1"/>
          <w:sz w:val="28"/>
        </w:rPr>
        <w:t>cual se expiden normas para fortalecer el Marco Jurídico que permite a los organismos que llevan a cabo actividades de inteligencia y contrainteligencia cumplir con su misión constitucional y legal, y se dictan otras disposiciones”</w:t>
      </w:r>
    </w:p>
    <w:p w:rsidR="00FF5603" w:rsidRPr="00F33E35" w:rsidRDefault="00F33E35" w:rsidP="006A0CFD">
      <w:pPr>
        <w:pStyle w:val="NormalWeb"/>
        <w:spacing w:after="0" w:line="240" w:lineRule="auto"/>
        <w:ind w:left="425" w:right="-234"/>
        <w:jc w:val="center"/>
        <w:rPr>
          <w:bCs/>
          <w:iCs/>
          <w:color w:val="000000" w:themeColor="text1"/>
          <w:sz w:val="28"/>
        </w:rPr>
      </w:pPr>
    </w:p>
    <w:p w:rsidR="00FF5603" w:rsidRPr="00F33E35" w:rsidRDefault="00F33E35" w:rsidP="006A0CFD">
      <w:pPr>
        <w:pStyle w:val="NormalWeb"/>
        <w:spacing w:after="0" w:line="240" w:lineRule="auto"/>
        <w:ind w:left="425" w:right="-234"/>
        <w:jc w:val="center"/>
        <w:rPr>
          <w:iCs/>
          <w:color w:val="000000" w:themeColor="text1"/>
          <w:sz w:val="28"/>
        </w:rPr>
      </w:pPr>
      <w:r w:rsidRPr="00F33E35">
        <w:rPr>
          <w:iCs/>
          <w:color w:val="000000" w:themeColor="text1"/>
          <w:sz w:val="28"/>
        </w:rPr>
        <w:t>EL CONGRESO DE LA REPÚB</w:t>
      </w:r>
      <w:r w:rsidRPr="00F33E35">
        <w:rPr>
          <w:iCs/>
          <w:color w:val="000000" w:themeColor="text1"/>
          <w:sz w:val="28"/>
        </w:rPr>
        <w:t>LICA</w:t>
      </w:r>
    </w:p>
    <w:p w:rsidR="00FF5603" w:rsidRPr="00F33E35" w:rsidRDefault="00F33E35" w:rsidP="006A0CFD">
      <w:pPr>
        <w:pStyle w:val="NormalWeb"/>
        <w:spacing w:after="0" w:line="240" w:lineRule="auto"/>
        <w:ind w:left="425" w:right="-234"/>
        <w:jc w:val="center"/>
        <w:rPr>
          <w:iCs/>
          <w:color w:val="000000" w:themeColor="text1"/>
          <w:sz w:val="28"/>
        </w:rPr>
      </w:pPr>
      <w:r w:rsidRPr="00F33E35">
        <w:rPr>
          <w:iCs/>
          <w:color w:val="000000" w:themeColor="text1"/>
          <w:sz w:val="28"/>
        </w:rPr>
        <w:t>DECRETA:</w:t>
      </w:r>
    </w:p>
    <w:p w:rsidR="00FF5603" w:rsidRPr="00F33E35" w:rsidRDefault="00F33E35" w:rsidP="006A0CFD">
      <w:pPr>
        <w:pStyle w:val="NormalWeb"/>
        <w:spacing w:after="0" w:line="240" w:lineRule="auto"/>
        <w:ind w:left="425" w:right="-234"/>
        <w:jc w:val="both"/>
        <w:rPr>
          <w:b/>
          <w:bCs/>
          <w:iCs/>
          <w:color w:val="000000" w:themeColor="text1"/>
          <w:sz w:val="28"/>
        </w:rPr>
      </w:pPr>
    </w:p>
    <w:p w:rsidR="00FF5603" w:rsidRPr="00F33E35" w:rsidRDefault="00F33E35" w:rsidP="006A0CFD">
      <w:pPr>
        <w:pStyle w:val="NormalWeb"/>
        <w:spacing w:after="0" w:line="240" w:lineRule="auto"/>
        <w:ind w:left="425" w:right="-234"/>
        <w:jc w:val="both"/>
        <w:rPr>
          <w:bCs/>
          <w:iCs/>
          <w:color w:val="000000" w:themeColor="text1"/>
          <w:sz w:val="28"/>
        </w:rPr>
      </w:pPr>
      <w:r w:rsidRPr="00F33E35">
        <w:rPr>
          <w:b/>
          <w:bCs/>
          <w:iCs/>
          <w:color w:val="000000" w:themeColor="text1"/>
          <w:sz w:val="28"/>
        </w:rPr>
        <w:t>Artículo 17. </w:t>
      </w:r>
      <w:r w:rsidRPr="00F33E35">
        <w:rPr>
          <w:b/>
          <w:bCs/>
          <w:i/>
          <w:iCs/>
          <w:color w:val="000000" w:themeColor="text1"/>
          <w:sz w:val="28"/>
        </w:rPr>
        <w:t>Monitoreo del Espectro Electromagnético e Interceptaciones de Comunicaciones Privadas</w:t>
      </w:r>
      <w:r w:rsidRPr="00F33E35">
        <w:rPr>
          <w:b/>
          <w:bCs/>
          <w:iCs/>
          <w:color w:val="000000" w:themeColor="text1"/>
          <w:sz w:val="28"/>
        </w:rPr>
        <w:t>. </w:t>
      </w:r>
      <w:r w:rsidRPr="00F33E35">
        <w:rPr>
          <w:bCs/>
          <w:iCs/>
          <w:color w:val="000000" w:themeColor="text1"/>
          <w:sz w:val="28"/>
        </w:rPr>
        <w:t>Las actividades de inteligencia y contrainteligencia comprenden actividades de monitoreo del espectro electromagnético debidamente incorporadas dentro de órdenes de operaciones o misiones de trabajo. La información recolectada en el marco del monitoreo del</w:t>
      </w:r>
      <w:r w:rsidRPr="00F33E35">
        <w:rPr>
          <w:bCs/>
          <w:iCs/>
          <w:color w:val="000000" w:themeColor="text1"/>
          <w:sz w:val="28"/>
        </w:rPr>
        <w:t xml:space="preserve"> espectro electromagnético en ejercicio de las actividades de inteligencia y contrainteligencia, que no sirva para el cumplimiento de los fines establecidos en la presente Ley, deberá ser destruida y no podrá ser almacenada en las bases de datos de intelig</w:t>
      </w:r>
      <w:r w:rsidRPr="00F33E35">
        <w:rPr>
          <w:bCs/>
          <w:iCs/>
          <w:color w:val="000000" w:themeColor="text1"/>
          <w:sz w:val="28"/>
        </w:rPr>
        <w:t xml:space="preserve">encia y contrainteligencia. </w:t>
      </w:r>
      <w:r w:rsidRPr="00F33E35">
        <w:rPr>
          <w:bCs/>
          <w:iCs/>
          <w:color w:val="000000" w:themeColor="text1"/>
          <w:sz w:val="28"/>
          <w:u w:val="single"/>
        </w:rPr>
        <w:t>El monitoreo no constituye interceptación de comunicaciones</w:t>
      </w:r>
      <w:r w:rsidRPr="00F33E35">
        <w:rPr>
          <w:bCs/>
          <w:iCs/>
          <w:color w:val="000000" w:themeColor="text1"/>
          <w:sz w:val="28"/>
        </w:rPr>
        <w:t>. La interceptación de conversaciones privadas telefónicas móviles o fijas, así como de las comunicaciones privadas de datos, deberán someterse a los requisitos establec</w:t>
      </w:r>
      <w:r w:rsidRPr="00F33E35">
        <w:rPr>
          <w:bCs/>
          <w:iCs/>
          <w:color w:val="000000" w:themeColor="text1"/>
          <w:sz w:val="28"/>
        </w:rPr>
        <w:t>idos en el artículo 15 de la Constitución y el Código de Procedimiento Penal y sólo podrán llevarse a cabo en el marco de proce</w:t>
      </w:r>
      <w:r w:rsidRPr="00F33E35">
        <w:rPr>
          <w:bCs/>
          <w:iCs/>
          <w:color w:val="000000" w:themeColor="text1"/>
          <w:sz w:val="28"/>
        </w:rPr>
        <w:softHyphen/>
        <w:t>dimientos judiciales.</w:t>
      </w:r>
    </w:p>
    <w:p w:rsidR="00FF5603" w:rsidRPr="00F33E35" w:rsidRDefault="00F33E35" w:rsidP="006A0CFD">
      <w:pPr>
        <w:pStyle w:val="NormalWeb"/>
        <w:spacing w:after="0" w:line="240" w:lineRule="auto"/>
        <w:ind w:left="425" w:right="-234"/>
        <w:jc w:val="both"/>
        <w:rPr>
          <w:bCs/>
          <w:iCs/>
          <w:color w:val="000000" w:themeColor="text1"/>
          <w:sz w:val="28"/>
        </w:rPr>
      </w:pPr>
    </w:p>
    <w:p w:rsidR="00FF5603" w:rsidRPr="00F33E35" w:rsidRDefault="00F33E35" w:rsidP="006A0CFD">
      <w:pPr>
        <w:pStyle w:val="NormalWeb"/>
        <w:spacing w:after="0" w:line="240" w:lineRule="auto"/>
        <w:ind w:left="425" w:right="-234"/>
        <w:jc w:val="both"/>
        <w:rPr>
          <w:bCs/>
          <w:iCs/>
          <w:color w:val="000000" w:themeColor="text1"/>
          <w:sz w:val="28"/>
          <w:u w:val="single"/>
        </w:rPr>
      </w:pPr>
      <w:r w:rsidRPr="00F33E35">
        <w:rPr>
          <w:b/>
          <w:iCs/>
          <w:color w:val="000000" w:themeColor="text1"/>
          <w:sz w:val="28"/>
        </w:rPr>
        <w:t>Artículo 33. Reserva</w:t>
      </w:r>
      <w:r w:rsidRPr="00F33E35">
        <w:rPr>
          <w:bCs/>
          <w:iCs/>
          <w:color w:val="000000" w:themeColor="text1"/>
          <w:sz w:val="28"/>
        </w:rPr>
        <w:t xml:space="preserve">. </w:t>
      </w:r>
      <w:r w:rsidRPr="00F33E35">
        <w:rPr>
          <w:bCs/>
          <w:iCs/>
          <w:color w:val="000000" w:themeColor="text1"/>
          <w:sz w:val="28"/>
          <w:u w:val="single"/>
        </w:rPr>
        <w:t>Por la naturaleza de las funciones que cumplen los organismos de inteligencia y contrainteligencia sus documentos, información y elementos técnicos estarán amparados por la reserva legal por un término máximo de treinta (30) años contados a partir de la re</w:t>
      </w:r>
      <w:r w:rsidRPr="00F33E35">
        <w:rPr>
          <w:bCs/>
          <w:iCs/>
          <w:color w:val="000000" w:themeColor="text1"/>
          <w:sz w:val="28"/>
          <w:u w:val="single"/>
        </w:rPr>
        <w:t xml:space="preserve">colección de la información y tendrán carácter de información reservada. </w:t>
      </w:r>
    </w:p>
    <w:p w:rsidR="00FF5603" w:rsidRPr="00F33E35" w:rsidRDefault="00F33E35" w:rsidP="006A0CFD">
      <w:pPr>
        <w:pStyle w:val="NormalWeb"/>
        <w:spacing w:after="0" w:line="240" w:lineRule="auto"/>
        <w:ind w:left="425" w:right="-234"/>
        <w:jc w:val="both"/>
        <w:rPr>
          <w:bCs/>
          <w:iCs/>
          <w:color w:val="000000" w:themeColor="text1"/>
          <w:sz w:val="28"/>
          <w:u w:val="single"/>
        </w:rPr>
      </w:pPr>
    </w:p>
    <w:p w:rsidR="00FF5603" w:rsidRPr="00F33E35" w:rsidRDefault="00F33E35" w:rsidP="006A0CFD">
      <w:pPr>
        <w:pStyle w:val="NormalWeb"/>
        <w:spacing w:after="0" w:line="240" w:lineRule="auto"/>
        <w:ind w:left="425" w:right="-234"/>
        <w:jc w:val="both"/>
        <w:rPr>
          <w:bCs/>
          <w:iCs/>
          <w:color w:val="000000" w:themeColor="text1"/>
          <w:sz w:val="28"/>
        </w:rPr>
      </w:pPr>
      <w:r w:rsidRPr="00F33E35">
        <w:rPr>
          <w:bCs/>
          <w:iCs/>
          <w:color w:val="000000" w:themeColor="text1"/>
          <w:sz w:val="28"/>
          <w:u w:val="single"/>
        </w:rPr>
        <w:t>Excepcionalmente y en casos específicos, por recomendación de cualquier organismo que lleve a cabo actividades de inteligencia y contrainteligencia, el Presidente de la República po</w:t>
      </w:r>
      <w:r w:rsidRPr="00F33E35">
        <w:rPr>
          <w:bCs/>
          <w:iCs/>
          <w:color w:val="000000" w:themeColor="text1"/>
          <w:sz w:val="28"/>
          <w:u w:val="single"/>
        </w:rPr>
        <w:t>drá acoger la recomendación de extender la reserva por quince (15) años más, cuando su difusión suponga una amenaza grave interna o externa contra la seguridad o la defensa nacional, se trate de información que ponga en riesgo las relaciones internacionale</w:t>
      </w:r>
      <w:r w:rsidRPr="00F33E35">
        <w:rPr>
          <w:bCs/>
          <w:iCs/>
          <w:color w:val="000000" w:themeColor="text1"/>
          <w:sz w:val="28"/>
          <w:u w:val="single"/>
        </w:rPr>
        <w:t>s, esté relacionada con grupos armados al margen de la ley, o atente contra la integridad personal de los agentes o las fuentes</w:t>
      </w:r>
      <w:r w:rsidRPr="00F33E35">
        <w:rPr>
          <w:bCs/>
          <w:iCs/>
          <w:color w:val="000000" w:themeColor="text1"/>
          <w:sz w:val="28"/>
        </w:rPr>
        <w:t xml:space="preserve"> (…).</w:t>
      </w:r>
    </w:p>
    <w:p w:rsidR="00FF5603" w:rsidRPr="00F33E35" w:rsidRDefault="00F33E35" w:rsidP="006A0CFD">
      <w:pPr>
        <w:pStyle w:val="NormalWeb"/>
        <w:spacing w:after="0" w:line="240" w:lineRule="auto"/>
        <w:ind w:left="426" w:right="-234"/>
        <w:jc w:val="both"/>
        <w:rPr>
          <w:bCs/>
          <w:iCs/>
          <w:color w:val="000000" w:themeColor="text1"/>
          <w:sz w:val="28"/>
        </w:rPr>
      </w:pPr>
    </w:p>
    <w:bookmarkEnd w:id="5"/>
    <w:bookmarkEnd w:id="6"/>
    <w:p w:rsidR="00FF5603" w:rsidRPr="00F33E35" w:rsidRDefault="00F33E35" w:rsidP="006A0CFD">
      <w:pPr>
        <w:pStyle w:val="Prrafodelista"/>
        <w:numPr>
          <w:ilvl w:val="0"/>
          <w:numId w:val="3"/>
        </w:numPr>
        <w:tabs>
          <w:tab w:val="left" w:pos="284"/>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 xml:space="preserve">Previo a formular los cargos de inconstitucionalidad, las y los ciudadanos justificaron la </w:t>
      </w:r>
      <w:r w:rsidRPr="00F33E35">
        <w:rPr>
          <w:rFonts w:ascii="Times New Roman" w:hAnsi="Times New Roman" w:cs="Times New Roman"/>
          <w:b/>
          <w:bCs/>
          <w:sz w:val="28"/>
          <w:szCs w:val="28"/>
        </w:rPr>
        <w:t xml:space="preserve">inexistencia de cosa juzgada </w:t>
      </w:r>
      <w:r w:rsidRPr="00F33E35">
        <w:rPr>
          <w:rFonts w:ascii="Times New Roman" w:hAnsi="Times New Roman" w:cs="Times New Roman"/>
          <w:sz w:val="28"/>
          <w:szCs w:val="28"/>
        </w:rPr>
        <w:t>en</w:t>
      </w:r>
      <w:r w:rsidRPr="00F33E35">
        <w:rPr>
          <w:rFonts w:ascii="Times New Roman" w:hAnsi="Times New Roman" w:cs="Times New Roman"/>
          <w:sz w:val="28"/>
          <w:szCs w:val="28"/>
        </w:rPr>
        <w:t xml:space="preserve"> el caso bajo estudio. En esa dirección, señalaron que los apartados normativos acusados fueron objeto de control de constitucionalidad previo en la Sentencia C-540 de 2012</w:t>
      </w:r>
      <w:r w:rsidRPr="00F33E35">
        <w:rPr>
          <w:rStyle w:val="Refdenotaalpie"/>
          <w:rFonts w:ascii="Times New Roman" w:hAnsi="Times New Roman" w:cs="Times New Roman"/>
          <w:sz w:val="28"/>
          <w:szCs w:val="28"/>
        </w:rPr>
        <w:footnoteReference w:id="4"/>
      </w:r>
      <w:r w:rsidRPr="00F33E35">
        <w:rPr>
          <w:rFonts w:ascii="Times New Roman" w:hAnsi="Times New Roman" w:cs="Times New Roman"/>
          <w:sz w:val="28"/>
          <w:szCs w:val="28"/>
        </w:rPr>
        <w:t>, que los declaró exequibles. Por esta razón, en principio, podría concluirse que r</w:t>
      </w:r>
      <w:r w:rsidRPr="00F33E35">
        <w:rPr>
          <w:rFonts w:ascii="Times New Roman" w:hAnsi="Times New Roman" w:cs="Times New Roman"/>
          <w:sz w:val="28"/>
          <w:szCs w:val="28"/>
        </w:rPr>
        <w:t>especto de los artículos 17 y 33 demandados existió una revisión integral. Sin embargo, explicaron que esta Corte, de manera excepcional, ha activado su competencia para adelantar una nueva revisión de disposiciones de rango estatutario cuando “se presenta</w:t>
      </w:r>
      <w:r w:rsidRPr="00F33E35">
        <w:rPr>
          <w:rFonts w:ascii="Times New Roman" w:hAnsi="Times New Roman" w:cs="Times New Roman"/>
          <w:sz w:val="28"/>
          <w:szCs w:val="28"/>
        </w:rPr>
        <w:t xml:space="preserve"> una modificación posterior de la Constitución o de la conformación de las normas que integran el bloque de constitucionalidad”</w:t>
      </w:r>
      <w:r w:rsidRPr="00F33E35">
        <w:rPr>
          <w:rStyle w:val="Refdenotaalpie"/>
          <w:rFonts w:ascii="Times New Roman" w:hAnsi="Times New Roman" w:cs="Times New Roman"/>
          <w:sz w:val="28"/>
          <w:szCs w:val="28"/>
        </w:rPr>
        <w:footnoteReference w:id="5"/>
      </w:r>
      <w:r w:rsidRPr="00F33E35">
        <w:rPr>
          <w:rFonts w:ascii="Times New Roman" w:hAnsi="Times New Roman" w:cs="Times New Roman"/>
          <w:sz w:val="28"/>
          <w:szCs w:val="28"/>
        </w:rPr>
        <w:t>. Aseguraron que, en este evento, técnicamente, no existe cosa juzgada constitucional “porque el parámetro de comparación es dis</w:t>
      </w:r>
      <w:r w:rsidRPr="00F33E35">
        <w:rPr>
          <w:rFonts w:ascii="Times New Roman" w:hAnsi="Times New Roman" w:cs="Times New Roman"/>
          <w:sz w:val="28"/>
          <w:szCs w:val="28"/>
        </w:rPr>
        <w:t>tinto, lo que permite adelantar un nuevo juicio sobre dichas materias”</w:t>
      </w:r>
      <w:r w:rsidRPr="00F33E35">
        <w:rPr>
          <w:rStyle w:val="Refdenotaalpie"/>
          <w:rFonts w:ascii="Times New Roman" w:hAnsi="Times New Roman" w:cs="Times New Roman"/>
          <w:sz w:val="28"/>
          <w:szCs w:val="28"/>
        </w:rPr>
        <w:footnoteReference w:id="6"/>
      </w:r>
      <w:r w:rsidRPr="00F33E35">
        <w:rPr>
          <w:rFonts w:ascii="Times New Roman" w:hAnsi="Times New Roman" w:cs="Times New Roman"/>
          <w:sz w:val="28"/>
          <w:szCs w:val="28"/>
        </w:rPr>
        <w:t xml:space="preserve">. </w:t>
      </w:r>
    </w:p>
    <w:p w:rsidR="00FF5603" w:rsidRPr="00F33E35" w:rsidRDefault="00F33E35" w:rsidP="006A0CFD">
      <w:pPr>
        <w:pStyle w:val="Prrafodelista"/>
        <w:spacing w:after="0" w:line="240" w:lineRule="auto"/>
        <w:ind w:left="0" w:right="-234"/>
        <w:contextualSpacing w:val="0"/>
        <w:jc w:val="both"/>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284"/>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 xml:space="preserve">Según la demanda, en este caso la Corte Constitucional está habilitada para estudiar los apartados demandados porque se está en el escenario de </w:t>
      </w:r>
      <w:r w:rsidRPr="00F33E35">
        <w:rPr>
          <w:rFonts w:ascii="Times New Roman" w:hAnsi="Times New Roman" w:cs="Times New Roman"/>
          <w:i/>
          <w:iCs/>
          <w:sz w:val="28"/>
          <w:szCs w:val="28"/>
        </w:rPr>
        <w:t>inconstitucionalidad sobreviniente</w:t>
      </w:r>
      <w:r w:rsidRPr="00F33E35">
        <w:rPr>
          <w:rFonts w:ascii="Times New Roman" w:hAnsi="Times New Roman" w:cs="Times New Roman"/>
          <w:sz w:val="28"/>
          <w:szCs w:val="28"/>
        </w:rPr>
        <w:t>, d</w:t>
      </w:r>
      <w:r w:rsidRPr="00F33E35">
        <w:rPr>
          <w:rFonts w:ascii="Times New Roman" w:hAnsi="Times New Roman" w:cs="Times New Roman"/>
          <w:sz w:val="28"/>
          <w:szCs w:val="28"/>
        </w:rPr>
        <w:t>ado que el parámetro de constitucionalidad evolucionó en su interpretación</w:t>
      </w:r>
      <w:r w:rsidRPr="00F33E35">
        <w:rPr>
          <w:rStyle w:val="Refdenotaalpie"/>
          <w:rFonts w:ascii="Times New Roman" w:hAnsi="Times New Roman" w:cs="Times New Roman"/>
          <w:sz w:val="28"/>
          <w:szCs w:val="28"/>
        </w:rPr>
        <w:footnoteReference w:id="7"/>
      </w:r>
      <w:r w:rsidRPr="00F33E35">
        <w:rPr>
          <w:rFonts w:ascii="Times New Roman" w:hAnsi="Times New Roman" w:cs="Times New Roman"/>
          <w:sz w:val="28"/>
          <w:szCs w:val="28"/>
        </w:rPr>
        <w:t xml:space="preserve"> a partir de la sentencia del 18 de octubre de 2023 en el </w:t>
      </w:r>
      <w:r w:rsidRPr="00F33E35">
        <w:rPr>
          <w:rFonts w:ascii="Times New Roman" w:hAnsi="Times New Roman" w:cs="Times New Roman"/>
          <w:i/>
          <w:iCs/>
          <w:sz w:val="28"/>
          <w:szCs w:val="28"/>
        </w:rPr>
        <w:t>Caso miembros de la Corporación Colectivo de Abogados “José Alvear Restrepo” vs. Colombia</w:t>
      </w:r>
      <w:r w:rsidRPr="00F33E35">
        <w:rPr>
          <w:rStyle w:val="Refdenotaalpie"/>
          <w:rFonts w:ascii="Times New Roman" w:hAnsi="Times New Roman" w:cs="Times New Roman"/>
          <w:sz w:val="28"/>
          <w:szCs w:val="28"/>
        </w:rPr>
        <w:footnoteReference w:id="8"/>
      </w:r>
      <w:r w:rsidRPr="00F33E35">
        <w:rPr>
          <w:rFonts w:ascii="Times New Roman" w:hAnsi="Times New Roman" w:cs="Times New Roman"/>
          <w:sz w:val="28"/>
          <w:szCs w:val="28"/>
        </w:rPr>
        <w:t xml:space="preserve"> de la Corte Interamericana de De</w:t>
      </w:r>
      <w:r w:rsidRPr="00F33E35">
        <w:rPr>
          <w:rFonts w:ascii="Times New Roman" w:hAnsi="Times New Roman" w:cs="Times New Roman"/>
          <w:sz w:val="28"/>
          <w:szCs w:val="28"/>
        </w:rPr>
        <w:t>rechos Humanos</w:t>
      </w:r>
      <w:r w:rsidRPr="00F33E35">
        <w:rPr>
          <w:rStyle w:val="Refdenotaalpie"/>
          <w:rFonts w:ascii="Times New Roman" w:hAnsi="Times New Roman" w:cs="Times New Roman"/>
          <w:sz w:val="28"/>
          <w:szCs w:val="28"/>
        </w:rPr>
        <w:footnoteReference w:id="9"/>
      </w:r>
      <w:r w:rsidRPr="00F33E35">
        <w:rPr>
          <w:rFonts w:ascii="Times New Roman" w:hAnsi="Times New Roman" w:cs="Times New Roman"/>
          <w:sz w:val="28"/>
          <w:szCs w:val="28"/>
        </w:rPr>
        <w:t>. Para las y los ciudadanos las normas acusadas no se ajustan a los estándares interamericanos actuales en materia de vigilancia de comunicaciones a gran escala y de reserva de información de organismos de inteligencia y contrainteligencia</w:t>
      </w:r>
      <w:r w:rsidRPr="00F33E35">
        <w:rPr>
          <w:rStyle w:val="Refdenotaalpie"/>
          <w:rFonts w:ascii="Times New Roman" w:hAnsi="Times New Roman" w:cs="Times New Roman"/>
          <w:sz w:val="28"/>
          <w:szCs w:val="28"/>
        </w:rPr>
        <w:footnoteReference w:id="10"/>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 En este punto, acotaron que “cualquier disposición que resulte contraria a (…) los recientes desarrollos sobre su interpretación es</w:t>
      </w:r>
      <w:r w:rsidRPr="00F33E35">
        <w:rPr>
          <w:rFonts w:ascii="Times New Roman" w:hAnsi="Times New Roman" w:cs="Times New Roman"/>
          <w:sz w:val="28"/>
          <w:szCs w:val="28"/>
        </w:rPr>
        <w:t xml:space="preserve"> (…) </w:t>
      </w:r>
      <w:r w:rsidRPr="00F33E35">
        <w:rPr>
          <w:rFonts w:ascii="Times New Roman" w:hAnsi="Times New Roman" w:cs="Times New Roman"/>
          <w:sz w:val="28"/>
          <w:szCs w:val="28"/>
        </w:rPr>
        <w:t>contraria a la Constitución y deberá ser declarada inconstitucional”</w:t>
      </w:r>
      <w:r w:rsidRPr="00F33E35">
        <w:rPr>
          <w:rStyle w:val="Refdenotaalpie"/>
          <w:rFonts w:ascii="Times New Roman" w:hAnsi="Times New Roman" w:cs="Times New Roman"/>
          <w:sz w:val="28"/>
          <w:szCs w:val="28"/>
        </w:rPr>
        <w:footnoteReference w:id="11"/>
      </w:r>
      <w:r w:rsidRPr="00F33E35">
        <w:rPr>
          <w:rFonts w:ascii="Times New Roman" w:hAnsi="Times New Roman" w:cs="Times New Roman"/>
          <w:sz w:val="28"/>
          <w:szCs w:val="28"/>
        </w:rPr>
        <w:t>.</w:t>
      </w:r>
    </w:p>
    <w:p w:rsidR="00FF5603" w:rsidRPr="00F33E35" w:rsidRDefault="00F33E35" w:rsidP="006A0CFD">
      <w:pPr>
        <w:pStyle w:val="Prrafodelista"/>
        <w:spacing w:after="0" w:line="240" w:lineRule="auto"/>
        <w:ind w:right="-234"/>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284"/>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Para las y los actores, la decisión de la Corte</w:t>
      </w:r>
      <w:r w:rsidRPr="00F33E35">
        <w:rPr>
          <w:rFonts w:ascii="Times New Roman" w:hAnsi="Times New Roman" w:cs="Times New Roman"/>
          <w:sz w:val="28"/>
          <w:szCs w:val="28"/>
        </w:rPr>
        <w:t xml:space="preserve"> IDH -como intérprete autorizado de la</w:t>
      </w:r>
      <w:r w:rsidRPr="00F33E35">
        <w:rPr>
          <w:rFonts w:ascii="Times New Roman" w:hAnsi="Times New Roman" w:cs="Times New Roman"/>
          <w:sz w:val="28"/>
          <w:szCs w:val="28"/>
        </w:rPr>
        <w:t xml:space="preserve"> Convención Americana de Derechos Humanos</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w:t>
      </w:r>
      <w:r w:rsidRPr="00F33E35">
        <w:rPr>
          <w:rFonts w:ascii="Times New Roman" w:hAnsi="Times New Roman" w:cs="Times New Roman"/>
          <w:sz w:val="28"/>
          <w:szCs w:val="28"/>
        </w:rPr>
        <w:t>CADH</w:t>
      </w:r>
      <w:r w:rsidRPr="00F33E35">
        <w:rPr>
          <w:rFonts w:ascii="Times New Roman" w:hAnsi="Times New Roman" w:cs="Times New Roman"/>
          <w:sz w:val="28"/>
          <w:szCs w:val="28"/>
        </w:rPr>
        <w:t>)</w:t>
      </w:r>
      <w:r w:rsidRPr="00F33E35">
        <w:rPr>
          <w:rFonts w:ascii="Times New Roman" w:hAnsi="Times New Roman" w:cs="Times New Roman"/>
          <w:sz w:val="28"/>
          <w:szCs w:val="28"/>
        </w:rPr>
        <w:t>- se constituye en un criterio interpretativo que debe ser tenido en cuenta al momento de revisar la constitucionalidad de las leyes</w:t>
      </w:r>
      <w:r w:rsidRPr="00F33E35">
        <w:rPr>
          <w:rStyle w:val="Refdenotaalpie"/>
          <w:rFonts w:ascii="Times New Roman" w:hAnsi="Times New Roman" w:cs="Times New Roman"/>
          <w:sz w:val="28"/>
          <w:szCs w:val="28"/>
        </w:rPr>
        <w:footnoteReference w:id="12"/>
      </w:r>
      <w:r w:rsidRPr="00F33E35">
        <w:rPr>
          <w:rFonts w:ascii="Times New Roman" w:hAnsi="Times New Roman" w:cs="Times New Roman"/>
          <w:sz w:val="28"/>
          <w:szCs w:val="28"/>
        </w:rPr>
        <w:t>. En ese contexto, consideraron que a</w:t>
      </w:r>
      <w:r w:rsidRPr="00F33E35">
        <w:rPr>
          <w:rFonts w:ascii="Times New Roman" w:hAnsi="Times New Roman" w:cs="Times New Roman"/>
          <w:sz w:val="28"/>
          <w:szCs w:val="28"/>
        </w:rPr>
        <w:t>hora existe un nuevo criterio interpretativo que le otorgó un mayor grado de protección al derecho a la vida privada y a la libertad de pensamiento y expresión</w:t>
      </w:r>
      <w:r w:rsidRPr="00F33E35">
        <w:rPr>
          <w:rStyle w:val="Refdenotaalpie"/>
          <w:rFonts w:ascii="Times New Roman" w:hAnsi="Times New Roman" w:cs="Times New Roman"/>
          <w:sz w:val="28"/>
          <w:szCs w:val="28"/>
        </w:rPr>
        <w:footnoteReference w:id="13"/>
      </w:r>
      <w:r w:rsidRPr="00F33E35">
        <w:rPr>
          <w:rFonts w:ascii="Times New Roman" w:hAnsi="Times New Roman" w:cs="Times New Roman"/>
          <w:sz w:val="28"/>
          <w:szCs w:val="28"/>
        </w:rPr>
        <w:t>, lo cual “inhibe la existencia de la cosa juzgada constitucional y convoca a la Corte Constituc</w:t>
      </w:r>
      <w:r w:rsidRPr="00F33E35">
        <w:rPr>
          <w:rFonts w:ascii="Times New Roman" w:hAnsi="Times New Roman" w:cs="Times New Roman"/>
          <w:sz w:val="28"/>
          <w:szCs w:val="28"/>
        </w:rPr>
        <w:t>ional a revisar nuevamente las normas acusadas respecto del nuevo parámetro de comparación”</w:t>
      </w:r>
      <w:r w:rsidRPr="00F33E35">
        <w:rPr>
          <w:rStyle w:val="Refdenotaalpie"/>
          <w:rFonts w:ascii="Times New Roman" w:hAnsi="Times New Roman" w:cs="Times New Roman"/>
          <w:sz w:val="28"/>
          <w:szCs w:val="28"/>
        </w:rPr>
        <w:footnoteReference w:id="14"/>
      </w:r>
      <w:r w:rsidRPr="00F33E35">
        <w:rPr>
          <w:rFonts w:ascii="Times New Roman" w:hAnsi="Times New Roman" w:cs="Times New Roman"/>
          <w:sz w:val="28"/>
          <w:szCs w:val="28"/>
        </w:rPr>
        <w:t xml:space="preserve">. </w:t>
      </w:r>
    </w:p>
    <w:p w:rsidR="00BA5C27" w:rsidRPr="00F33E35" w:rsidRDefault="00F33E35" w:rsidP="006A0CFD">
      <w:pPr>
        <w:pStyle w:val="Prrafodelista"/>
        <w:spacing w:after="0" w:line="240" w:lineRule="auto"/>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284"/>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 xml:space="preserve">La demanda explicó el cambio que hubo en la interpretación sobre el alcance de las normas acusadas a partir de la </w:t>
      </w:r>
      <w:r w:rsidRPr="00F33E35">
        <w:rPr>
          <w:rFonts w:ascii="Times New Roman" w:hAnsi="Times New Roman" w:cs="Times New Roman"/>
          <w:i/>
          <w:iCs/>
          <w:sz w:val="28"/>
          <w:szCs w:val="28"/>
        </w:rPr>
        <w:t>ratio decidendi</w:t>
      </w:r>
      <w:r w:rsidRPr="00F33E35">
        <w:rPr>
          <w:rStyle w:val="Refdenotaalpie"/>
          <w:rFonts w:ascii="Times New Roman" w:hAnsi="Times New Roman" w:cs="Times New Roman"/>
          <w:i/>
          <w:iCs/>
          <w:sz w:val="28"/>
          <w:szCs w:val="28"/>
        </w:rPr>
        <w:footnoteReference w:id="15"/>
      </w:r>
      <w:r w:rsidRPr="00F33E35">
        <w:rPr>
          <w:rFonts w:ascii="Times New Roman" w:hAnsi="Times New Roman" w:cs="Times New Roman"/>
          <w:sz w:val="28"/>
          <w:szCs w:val="28"/>
        </w:rPr>
        <w:t xml:space="preserve"> de la sentencia del 18 de oct</w:t>
      </w:r>
      <w:r w:rsidRPr="00F33E35">
        <w:rPr>
          <w:rFonts w:ascii="Times New Roman" w:hAnsi="Times New Roman" w:cs="Times New Roman"/>
          <w:sz w:val="28"/>
          <w:szCs w:val="28"/>
        </w:rPr>
        <w:t xml:space="preserve">ubre de 2023 en el </w:t>
      </w:r>
      <w:r w:rsidRPr="00F33E35">
        <w:rPr>
          <w:rFonts w:ascii="Times New Roman" w:hAnsi="Times New Roman" w:cs="Times New Roman"/>
          <w:i/>
          <w:iCs/>
          <w:sz w:val="28"/>
          <w:szCs w:val="28"/>
        </w:rPr>
        <w:t>Caso miembros de la Corporación Colectivo de Abogados “José Alvear Restrepo” vs. Colombia</w:t>
      </w:r>
      <w:r w:rsidRPr="00F33E35">
        <w:rPr>
          <w:rFonts w:ascii="Times New Roman" w:hAnsi="Times New Roman" w:cs="Times New Roman"/>
          <w:iCs/>
          <w:sz w:val="28"/>
          <w:szCs w:val="28"/>
        </w:rPr>
        <w:t>. Para ello presentó varios argumentos.</w:t>
      </w:r>
    </w:p>
    <w:p w:rsidR="00FF5603" w:rsidRPr="00F33E35" w:rsidRDefault="00F33E35" w:rsidP="006A0CFD">
      <w:pPr>
        <w:pStyle w:val="Prrafodelista"/>
        <w:spacing w:after="0" w:line="240" w:lineRule="auto"/>
        <w:ind w:right="-234"/>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284"/>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 xml:space="preserve">En relación con el </w:t>
      </w:r>
      <w:r w:rsidRPr="00F33E35">
        <w:rPr>
          <w:rFonts w:ascii="Times New Roman" w:hAnsi="Times New Roman" w:cs="Times New Roman"/>
          <w:i/>
          <w:iCs/>
          <w:sz w:val="28"/>
          <w:szCs w:val="28"/>
        </w:rPr>
        <w:t>artículo 17 de la Ley 1621 de 2013</w:t>
      </w:r>
      <w:r w:rsidRPr="00F33E35">
        <w:rPr>
          <w:rFonts w:ascii="Times New Roman" w:hAnsi="Times New Roman" w:cs="Times New Roman"/>
          <w:sz w:val="28"/>
          <w:szCs w:val="28"/>
        </w:rPr>
        <w:t xml:space="preserve">, la Sentencia C-540 de 2012 consideró que el </w:t>
      </w:r>
      <w:r w:rsidRPr="00F33E35">
        <w:rPr>
          <w:rFonts w:ascii="Times New Roman" w:hAnsi="Times New Roman" w:cs="Times New Roman"/>
          <w:sz w:val="28"/>
          <w:szCs w:val="28"/>
        </w:rPr>
        <w:t>monitoreo del espectro electromagnético no requería orden judicial en la medida que no involucraba un seguimiento individual. Por lo que distinguió entre el monitoreo del espectro electromagnético, entendido</w:t>
      </w:r>
      <w:r w:rsidRPr="00F33E35">
        <w:rPr>
          <w:rFonts w:ascii="Times New Roman" w:hAnsi="Times New Roman" w:cs="Times New Roman"/>
          <w:sz w:val="28"/>
          <w:szCs w:val="28"/>
        </w:rPr>
        <w:t xml:space="preserve"> como</w:t>
      </w:r>
      <w:r w:rsidRPr="00F33E35">
        <w:rPr>
          <w:rFonts w:ascii="Times New Roman" w:hAnsi="Times New Roman" w:cs="Times New Roman"/>
          <w:sz w:val="28"/>
          <w:szCs w:val="28"/>
        </w:rPr>
        <w:t xml:space="preserve"> “la actividad impersonal y abstracta</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de</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los actos propios de una investigación penal que es individual y concreta, y que parte de una </w:t>
      </w:r>
      <w:r w:rsidRPr="00F33E35">
        <w:rPr>
          <w:rFonts w:ascii="Times New Roman" w:hAnsi="Times New Roman" w:cs="Times New Roman"/>
          <w:i/>
          <w:iCs/>
          <w:sz w:val="28"/>
          <w:szCs w:val="28"/>
        </w:rPr>
        <w:t>notitia criminis</w:t>
      </w:r>
      <w:r w:rsidRPr="00F33E35">
        <w:rPr>
          <w:rFonts w:ascii="Times New Roman" w:hAnsi="Times New Roman" w:cs="Times New Roman"/>
          <w:sz w:val="28"/>
          <w:szCs w:val="28"/>
        </w:rPr>
        <w:t xml:space="preserve"> (dentro de una indagación preliminar), que busca recaudar los elementos probatorios para la identificación de los autores de una conducta punible</w:t>
      </w:r>
      <w:r w:rsidRPr="00F33E35">
        <w:rPr>
          <w:rFonts w:ascii="Times New Roman" w:hAnsi="Times New Roman" w:cs="Times New Roman"/>
          <w:sz w:val="28"/>
          <w:szCs w:val="28"/>
        </w:rPr>
        <w:t>, que se desenvolverá en el marco de un proceso penal”</w:t>
      </w:r>
      <w:r w:rsidRPr="00F33E35">
        <w:rPr>
          <w:rStyle w:val="Refdenotaalpie"/>
          <w:rFonts w:ascii="Times New Roman" w:hAnsi="Times New Roman" w:cs="Times New Roman"/>
          <w:sz w:val="28"/>
          <w:szCs w:val="28"/>
        </w:rPr>
        <w:footnoteReference w:id="16"/>
      </w:r>
      <w:r w:rsidRPr="00F33E35">
        <w:rPr>
          <w:rFonts w:ascii="Times New Roman" w:hAnsi="Times New Roman" w:cs="Times New Roman"/>
          <w:sz w:val="28"/>
          <w:szCs w:val="28"/>
        </w:rPr>
        <w:t>. Por su parte, la Corte IDH planteó que la utilización de las técnicas de vigilancia de las comunicaciones, ya sea selectiva o a gran escala -lo que incluye el monitoreo del espectro electromagnético-</w:t>
      </w:r>
      <w:r w:rsidRPr="00F33E35">
        <w:rPr>
          <w:rFonts w:ascii="Times New Roman" w:hAnsi="Times New Roman" w:cs="Times New Roman"/>
          <w:sz w:val="28"/>
          <w:szCs w:val="28"/>
        </w:rPr>
        <w:t xml:space="preserve"> exige siempre control judicial</w:t>
      </w:r>
      <w:r w:rsidRPr="00F33E35">
        <w:rPr>
          <w:rStyle w:val="Refdenotaalpie"/>
          <w:rFonts w:ascii="Times New Roman" w:hAnsi="Times New Roman" w:cs="Times New Roman"/>
          <w:sz w:val="28"/>
          <w:szCs w:val="28"/>
        </w:rPr>
        <w:footnoteReference w:id="17"/>
      </w:r>
      <w:r w:rsidRPr="00F33E35">
        <w:rPr>
          <w:rFonts w:ascii="Times New Roman" w:hAnsi="Times New Roman" w:cs="Times New Roman"/>
          <w:sz w:val="28"/>
          <w:szCs w:val="28"/>
        </w:rPr>
        <w:t xml:space="preserve">. </w:t>
      </w:r>
    </w:p>
    <w:p w:rsidR="00BA5C27" w:rsidRPr="00F33E35" w:rsidRDefault="00F33E35" w:rsidP="006A0CFD">
      <w:pPr>
        <w:pStyle w:val="Prrafodelista"/>
        <w:spacing w:after="0" w:line="240" w:lineRule="auto"/>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284"/>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 xml:space="preserve">Respecto del </w:t>
      </w:r>
      <w:r w:rsidRPr="00F33E35">
        <w:rPr>
          <w:rFonts w:ascii="Times New Roman" w:hAnsi="Times New Roman" w:cs="Times New Roman"/>
          <w:i/>
          <w:iCs/>
          <w:sz w:val="28"/>
          <w:szCs w:val="28"/>
        </w:rPr>
        <w:t>artículo 33 de la Ley 1621 de 2013</w:t>
      </w:r>
      <w:r w:rsidRPr="00F33E35">
        <w:rPr>
          <w:rFonts w:ascii="Times New Roman" w:hAnsi="Times New Roman" w:cs="Times New Roman"/>
          <w:sz w:val="28"/>
          <w:szCs w:val="28"/>
        </w:rPr>
        <w:t>, las y los demandantes refirieron que en la sentencia C-540 de 201</w:t>
      </w:r>
      <w:r w:rsidRPr="00F33E35">
        <w:rPr>
          <w:rFonts w:ascii="Times New Roman" w:hAnsi="Times New Roman" w:cs="Times New Roman"/>
          <w:sz w:val="28"/>
          <w:szCs w:val="28"/>
        </w:rPr>
        <w:t>2</w:t>
      </w:r>
      <w:r w:rsidRPr="00F33E35">
        <w:rPr>
          <w:rFonts w:ascii="Times New Roman" w:hAnsi="Times New Roman" w:cs="Times New Roman"/>
          <w:sz w:val="28"/>
          <w:szCs w:val="28"/>
        </w:rPr>
        <w:t>, la Corte señaló que el legislador puede establecer límites al derecho de acceso a la información. Enton</w:t>
      </w:r>
      <w:r w:rsidRPr="00F33E35">
        <w:rPr>
          <w:rFonts w:ascii="Times New Roman" w:hAnsi="Times New Roman" w:cs="Times New Roman"/>
          <w:sz w:val="28"/>
          <w:szCs w:val="28"/>
        </w:rPr>
        <w:t>ces, la ampliación del plazo de la reserva de la información es constitucionalmente válida si persigue intereses como la seguridad y la defensa nacionales, lo que implica acreditar que la reserva es indispensable para evitar que se afecten dichos intereses</w:t>
      </w:r>
      <w:r w:rsidRPr="00F33E35">
        <w:rPr>
          <w:rFonts w:ascii="Times New Roman" w:hAnsi="Times New Roman" w:cs="Times New Roman"/>
          <w:sz w:val="28"/>
          <w:szCs w:val="28"/>
        </w:rPr>
        <w:t>. No obstante, la reserva debe ser temporal y el plazo debe ser razonable y proporcional a los bienes jurídicos constitucionales protegidos</w:t>
      </w:r>
      <w:r w:rsidRPr="00F33E35">
        <w:rPr>
          <w:rStyle w:val="Refdenotaalpie"/>
          <w:rFonts w:ascii="Times New Roman" w:hAnsi="Times New Roman" w:cs="Times New Roman"/>
          <w:sz w:val="28"/>
          <w:szCs w:val="28"/>
        </w:rPr>
        <w:footnoteReference w:id="18"/>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L</w:t>
      </w:r>
      <w:r w:rsidRPr="00F33E35">
        <w:rPr>
          <w:rFonts w:ascii="Times New Roman" w:hAnsi="Times New Roman" w:cs="Times New Roman"/>
          <w:sz w:val="28"/>
          <w:szCs w:val="28"/>
        </w:rPr>
        <w:t>a Corte IDH</w:t>
      </w:r>
      <w:r w:rsidRPr="00F33E35">
        <w:rPr>
          <w:rFonts w:ascii="Times New Roman" w:hAnsi="Times New Roman" w:cs="Times New Roman"/>
          <w:sz w:val="28"/>
          <w:szCs w:val="28"/>
        </w:rPr>
        <w:t xml:space="preserve"> estableció</w:t>
      </w:r>
      <w:r w:rsidRPr="00F33E35">
        <w:rPr>
          <w:rFonts w:ascii="Times New Roman" w:hAnsi="Times New Roman" w:cs="Times New Roman"/>
          <w:sz w:val="28"/>
          <w:szCs w:val="28"/>
        </w:rPr>
        <w:t xml:space="preserve"> mayores garantías, porque sostuvo que la reserva de la información de inteligencia “debe s</w:t>
      </w:r>
      <w:r w:rsidRPr="00F33E35">
        <w:rPr>
          <w:rFonts w:ascii="Times New Roman" w:hAnsi="Times New Roman" w:cs="Times New Roman"/>
          <w:sz w:val="28"/>
          <w:szCs w:val="28"/>
        </w:rPr>
        <w:t>er, en la mayor medida posible, clara y precisa, en el sentido de detallar qué tipo de información o documentos se consideran reservados y cuál es el límite temporal para la reserva”</w:t>
      </w:r>
      <w:r w:rsidRPr="00F33E35">
        <w:rPr>
          <w:rStyle w:val="Refdenotaalpie"/>
          <w:rFonts w:ascii="Times New Roman" w:hAnsi="Times New Roman" w:cs="Times New Roman"/>
          <w:sz w:val="28"/>
          <w:szCs w:val="28"/>
        </w:rPr>
        <w:footnoteReference w:id="19"/>
      </w:r>
      <w:r w:rsidRPr="00F33E35">
        <w:rPr>
          <w:rFonts w:ascii="Times New Roman" w:hAnsi="Times New Roman" w:cs="Times New Roman"/>
          <w:sz w:val="28"/>
          <w:szCs w:val="28"/>
        </w:rPr>
        <w:t xml:space="preserve">. Además, en cuanto a la calificación de reservados, la Corte IDH señaló </w:t>
      </w:r>
      <w:r w:rsidRPr="00F33E35">
        <w:rPr>
          <w:rFonts w:ascii="Times New Roman" w:hAnsi="Times New Roman" w:cs="Times New Roman"/>
          <w:sz w:val="28"/>
          <w:szCs w:val="28"/>
        </w:rPr>
        <w:t>que “no resulta compatible con los estándares interamericanos establecer que un documento es reservado solo por el hecho de pertenecer a un organismo de inteligencia y no con base en su contenido”</w:t>
      </w:r>
      <w:r w:rsidRPr="00F33E35">
        <w:rPr>
          <w:rStyle w:val="Refdenotaalpie"/>
          <w:rFonts w:ascii="Times New Roman" w:hAnsi="Times New Roman" w:cs="Times New Roman"/>
          <w:sz w:val="28"/>
          <w:szCs w:val="28"/>
        </w:rPr>
        <w:footnoteReference w:id="20"/>
      </w:r>
      <w:r w:rsidRPr="00F33E35">
        <w:rPr>
          <w:rFonts w:ascii="Times New Roman" w:hAnsi="Times New Roman" w:cs="Times New Roman"/>
          <w:sz w:val="28"/>
          <w:szCs w:val="28"/>
        </w:rPr>
        <w:t>.</w:t>
      </w:r>
    </w:p>
    <w:p w:rsidR="00BA5C27" w:rsidRPr="00F33E35" w:rsidRDefault="00F33E35" w:rsidP="006A0CFD">
      <w:pPr>
        <w:pStyle w:val="Prrafodelista"/>
        <w:tabs>
          <w:tab w:val="left" w:pos="284"/>
        </w:tabs>
        <w:autoSpaceDE w:val="0"/>
        <w:autoSpaceDN w:val="0"/>
        <w:spacing w:after="0" w:line="240" w:lineRule="auto"/>
        <w:ind w:left="0" w:right="-234"/>
        <w:contextualSpacing w:val="0"/>
        <w:jc w:val="both"/>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284"/>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Con base en lo anterior, formularon cuatro cargos de inc</w:t>
      </w:r>
      <w:r w:rsidRPr="00F33E35">
        <w:rPr>
          <w:rFonts w:ascii="Times New Roman" w:hAnsi="Times New Roman" w:cs="Times New Roman"/>
          <w:sz w:val="28"/>
          <w:szCs w:val="28"/>
        </w:rPr>
        <w:t xml:space="preserve">onstitucionalidad </w:t>
      </w:r>
      <w:r w:rsidRPr="00F33E35">
        <w:rPr>
          <w:rFonts w:ascii="Times New Roman" w:hAnsi="Times New Roman" w:cs="Times New Roman"/>
          <w:sz w:val="28"/>
          <w:szCs w:val="28"/>
          <w:lang w:val="es-ES_tradnl"/>
        </w:rPr>
        <w:t>que, por la similitud de los argumentos, se agruparon en dos: los cargos formulados contra los artículos 17 (parcial) que corresponden a los cargos primero y tercero, y 33 (parcial) que en la demanda se identifican como los cargos segundo</w:t>
      </w:r>
      <w:r w:rsidRPr="00F33E35">
        <w:rPr>
          <w:rFonts w:ascii="Times New Roman" w:hAnsi="Times New Roman" w:cs="Times New Roman"/>
          <w:sz w:val="28"/>
          <w:szCs w:val="28"/>
          <w:lang w:val="es-ES_tradnl"/>
        </w:rPr>
        <w:t xml:space="preserve"> y cuarto</w:t>
      </w:r>
      <w:r w:rsidRPr="00F33E35">
        <w:rPr>
          <w:rFonts w:ascii="Times New Roman" w:hAnsi="Times New Roman" w:cs="Times New Roman"/>
          <w:sz w:val="28"/>
          <w:szCs w:val="28"/>
        </w:rPr>
        <w:t>:</w:t>
      </w:r>
    </w:p>
    <w:p w:rsidR="00FF5603" w:rsidRPr="00F33E35" w:rsidRDefault="00F33E35" w:rsidP="006A0CFD">
      <w:pPr>
        <w:pStyle w:val="Prrafodelista"/>
        <w:tabs>
          <w:tab w:val="left" w:pos="426"/>
        </w:tabs>
        <w:spacing w:after="0" w:line="240" w:lineRule="auto"/>
        <w:ind w:right="-234"/>
        <w:contextualSpacing w:val="0"/>
        <w:jc w:val="both"/>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b/>
          <w:iCs/>
          <w:sz w:val="28"/>
          <w:szCs w:val="28"/>
        </w:rPr>
        <w:t xml:space="preserve">Cargo primero: </w:t>
      </w:r>
      <w:r w:rsidRPr="00F33E35">
        <w:rPr>
          <w:rFonts w:ascii="Times New Roman" w:hAnsi="Times New Roman" w:cs="Times New Roman"/>
          <w:b/>
          <w:bCs/>
          <w:sz w:val="28"/>
          <w:szCs w:val="28"/>
        </w:rPr>
        <w:t>e</w:t>
      </w:r>
      <w:r w:rsidRPr="00F33E35">
        <w:rPr>
          <w:rFonts w:ascii="Times New Roman" w:hAnsi="Times New Roman" w:cs="Times New Roman"/>
          <w:b/>
          <w:bCs/>
          <w:sz w:val="28"/>
          <w:szCs w:val="28"/>
        </w:rPr>
        <w:t>l artículo 17 (parcial) de la Ley 1621 de 2013 infringe los artículos 2, 11 y 13 de la CADH y 15 y 20 de la Constitución.</w:t>
      </w:r>
      <w:r w:rsidRPr="00F33E35">
        <w:rPr>
          <w:rFonts w:ascii="Times New Roman" w:hAnsi="Times New Roman" w:cs="Times New Roman"/>
          <w:sz w:val="28"/>
          <w:szCs w:val="28"/>
        </w:rPr>
        <w:t xml:space="preserve"> Según las y los ciudadanos</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 xml:space="preserve">las actividades de monitoreo del espectro electromagnético, conforme a la Ley 1621 de 2013, no están condicionadas a la expedición de una orden judicial. Sin embargo, en el </w:t>
      </w:r>
      <w:r w:rsidRPr="00F33E35">
        <w:rPr>
          <w:rFonts w:ascii="Times New Roman" w:hAnsi="Times New Roman" w:cs="Times New Roman"/>
          <w:i/>
          <w:iCs/>
          <w:sz w:val="28"/>
          <w:szCs w:val="28"/>
        </w:rPr>
        <w:t>Caso miembros de la Corporación Colectivo de Abogados “José Alvear Restrepo” vs. Co</w:t>
      </w:r>
      <w:r w:rsidRPr="00F33E35">
        <w:rPr>
          <w:rFonts w:ascii="Times New Roman" w:hAnsi="Times New Roman" w:cs="Times New Roman"/>
          <w:i/>
          <w:iCs/>
          <w:sz w:val="28"/>
          <w:szCs w:val="28"/>
        </w:rPr>
        <w:t>lombia</w:t>
      </w:r>
      <w:r w:rsidRPr="00F33E35">
        <w:rPr>
          <w:rFonts w:ascii="Times New Roman" w:hAnsi="Times New Roman" w:cs="Times New Roman"/>
          <w:sz w:val="28"/>
          <w:szCs w:val="28"/>
        </w:rPr>
        <w:t>, la Corte ID</w:t>
      </w:r>
      <w:r w:rsidRPr="00F33E35">
        <w:rPr>
          <w:rFonts w:ascii="Times New Roman" w:hAnsi="Times New Roman" w:cs="Times New Roman"/>
          <w:sz w:val="28"/>
          <w:szCs w:val="28"/>
        </w:rPr>
        <w:t>H</w:t>
      </w:r>
      <w:r w:rsidRPr="00F33E35">
        <w:rPr>
          <w:rStyle w:val="Refdenotaalpie"/>
          <w:rFonts w:ascii="Times New Roman" w:hAnsi="Times New Roman" w:cs="Times New Roman"/>
          <w:sz w:val="28"/>
          <w:szCs w:val="28"/>
        </w:rPr>
        <w:footnoteReference w:id="21"/>
      </w:r>
      <w:r w:rsidRPr="00F33E35">
        <w:rPr>
          <w:rFonts w:ascii="Times New Roman" w:hAnsi="Times New Roman" w:cs="Times New Roman"/>
          <w:sz w:val="28"/>
          <w:szCs w:val="28"/>
        </w:rPr>
        <w:t xml:space="preserve"> estableció que las actividades de inteligencia utilizan técnicas de vigilancia a gran escala que permiten el acceso a información sensible, por lo que deben estar delimitadas en cuanto a exigencias, requisitos y controles porque impli</w:t>
      </w:r>
      <w:r w:rsidRPr="00F33E35">
        <w:rPr>
          <w:rFonts w:ascii="Times New Roman" w:hAnsi="Times New Roman" w:cs="Times New Roman"/>
          <w:sz w:val="28"/>
          <w:szCs w:val="28"/>
        </w:rPr>
        <w:t>can una injerencia en múltiples derechos, principalmente en la vida privada y la libertad de pensamiento y expresión</w:t>
      </w:r>
      <w:r w:rsidRPr="00F33E35">
        <w:rPr>
          <w:rStyle w:val="Refdenotaalpie"/>
          <w:rFonts w:ascii="Times New Roman" w:hAnsi="Times New Roman" w:cs="Times New Roman"/>
          <w:sz w:val="28"/>
          <w:szCs w:val="28"/>
        </w:rPr>
        <w:footnoteReference w:id="22"/>
      </w:r>
      <w:r w:rsidRPr="00F33E35">
        <w:rPr>
          <w:rFonts w:ascii="Times New Roman" w:hAnsi="Times New Roman" w:cs="Times New Roman"/>
          <w:sz w:val="28"/>
          <w:szCs w:val="28"/>
        </w:rPr>
        <w:t xml:space="preserve">. </w:t>
      </w:r>
    </w:p>
    <w:p w:rsidR="00FF5603" w:rsidRPr="00F33E35" w:rsidRDefault="00F33E35" w:rsidP="006A0CFD">
      <w:pPr>
        <w:pStyle w:val="Prrafodelista"/>
        <w:spacing w:after="0" w:line="240" w:lineRule="auto"/>
        <w:ind w:right="-234"/>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L</w:t>
      </w:r>
      <w:r w:rsidRPr="00F33E35">
        <w:rPr>
          <w:rFonts w:ascii="Times New Roman" w:hAnsi="Times New Roman" w:cs="Times New Roman"/>
          <w:sz w:val="28"/>
          <w:szCs w:val="28"/>
        </w:rPr>
        <w:t>a demanda señaló que para la Corte IDH, estas actividades de monitoreo tienden a recolectar información que incluye datos personales (</w:t>
      </w:r>
      <w:r w:rsidRPr="00F33E35">
        <w:rPr>
          <w:rFonts w:ascii="Times New Roman" w:hAnsi="Times New Roman" w:cs="Times New Roman"/>
          <w:sz w:val="28"/>
          <w:szCs w:val="28"/>
        </w:rPr>
        <w:t>ya sea por teléfono, por correspondencia o por correo electrónico, entre otras herramientas de las tecnologías de la información y las comunicaciones, o el allanamiento al domicilio, lugar de trabajo u otro local privado) por lo que deben contar con autori</w:t>
      </w:r>
      <w:r w:rsidRPr="00F33E35">
        <w:rPr>
          <w:rFonts w:ascii="Times New Roman" w:hAnsi="Times New Roman" w:cs="Times New Roman"/>
          <w:sz w:val="28"/>
          <w:szCs w:val="28"/>
        </w:rPr>
        <w:t>zación judicial que defina los límites que se imponen, incluidos el modo, tiempo y alcances de la medida autorizada</w:t>
      </w:r>
      <w:r w:rsidRPr="00F33E35">
        <w:rPr>
          <w:rStyle w:val="Refdenotaalpie"/>
          <w:rFonts w:ascii="Times New Roman" w:hAnsi="Times New Roman" w:cs="Times New Roman"/>
          <w:sz w:val="28"/>
          <w:szCs w:val="28"/>
        </w:rPr>
        <w:footnoteReference w:id="23"/>
      </w:r>
      <w:r w:rsidRPr="00F33E35">
        <w:rPr>
          <w:rFonts w:ascii="Times New Roman" w:hAnsi="Times New Roman" w:cs="Times New Roman"/>
          <w:sz w:val="28"/>
          <w:szCs w:val="28"/>
        </w:rPr>
        <w:t xml:space="preserve">. </w:t>
      </w:r>
    </w:p>
    <w:p w:rsidR="00FF5603" w:rsidRPr="00F33E35" w:rsidRDefault="00F33E35" w:rsidP="006A0CFD">
      <w:pPr>
        <w:pStyle w:val="Prrafodelista"/>
        <w:spacing w:after="0" w:line="240" w:lineRule="auto"/>
        <w:ind w:right="-234"/>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L</w:t>
      </w:r>
      <w:r w:rsidRPr="00F33E35">
        <w:rPr>
          <w:rFonts w:ascii="Times New Roman" w:hAnsi="Times New Roman" w:cs="Times New Roman"/>
          <w:sz w:val="28"/>
          <w:szCs w:val="28"/>
        </w:rPr>
        <w:t>a postura de la Corte Constitucional de que el monitoreo del espectro electromagnético</w:t>
      </w:r>
      <w:r w:rsidRPr="00F33E35">
        <w:rPr>
          <w:rStyle w:val="Refdenotaalpie"/>
          <w:rFonts w:ascii="Times New Roman" w:hAnsi="Times New Roman" w:cs="Times New Roman"/>
          <w:sz w:val="28"/>
          <w:szCs w:val="28"/>
        </w:rPr>
        <w:footnoteReference w:id="24"/>
      </w:r>
      <w:r w:rsidRPr="00F33E35">
        <w:rPr>
          <w:rFonts w:ascii="Times New Roman" w:hAnsi="Times New Roman" w:cs="Times New Roman"/>
          <w:sz w:val="28"/>
          <w:szCs w:val="28"/>
        </w:rPr>
        <w:t xml:space="preserve"> no implica una interceptación de comunicaciones</w:t>
      </w:r>
      <w:r w:rsidRPr="00F33E35">
        <w:rPr>
          <w:rFonts w:ascii="Times New Roman" w:hAnsi="Times New Roman" w:cs="Times New Roman"/>
          <w:sz w:val="28"/>
          <w:szCs w:val="28"/>
        </w:rPr>
        <w:t xml:space="preserve"> resulta contrari</w:t>
      </w:r>
      <w:r w:rsidRPr="00F33E35">
        <w:rPr>
          <w:rFonts w:ascii="Times New Roman" w:hAnsi="Times New Roman" w:cs="Times New Roman"/>
          <w:sz w:val="28"/>
          <w:szCs w:val="28"/>
        </w:rPr>
        <w:t>a</w:t>
      </w:r>
      <w:r w:rsidRPr="00F33E35">
        <w:rPr>
          <w:rFonts w:ascii="Times New Roman" w:hAnsi="Times New Roman" w:cs="Times New Roman"/>
          <w:sz w:val="28"/>
          <w:szCs w:val="28"/>
        </w:rPr>
        <w:t xml:space="preserve"> a los estándares interamericanos</w:t>
      </w:r>
      <w:r w:rsidRPr="00F33E35">
        <w:rPr>
          <w:rStyle w:val="Refdenotaalpie"/>
          <w:rFonts w:ascii="Times New Roman" w:hAnsi="Times New Roman" w:cs="Times New Roman"/>
          <w:sz w:val="28"/>
          <w:szCs w:val="28"/>
        </w:rPr>
        <w:footnoteReference w:id="25"/>
      </w:r>
      <w:r w:rsidRPr="00F33E35">
        <w:rPr>
          <w:rFonts w:ascii="Times New Roman" w:hAnsi="Times New Roman" w:cs="Times New Roman"/>
          <w:sz w:val="28"/>
          <w:szCs w:val="28"/>
        </w:rPr>
        <w:t>, porque dicha actividad es una forma de interceptación de actividades “por cuanto sus ondas radioeléctricas portan diversos mensajes tanto sonoros como visuales, las cuales deben entenderse como privadas</w:t>
      </w:r>
      <w:r w:rsidRPr="00F33E35">
        <w:rPr>
          <w:rFonts w:ascii="Times New Roman" w:hAnsi="Times New Roman" w:cs="Times New Roman"/>
          <w:sz w:val="28"/>
          <w:szCs w:val="28"/>
        </w:rPr>
        <w:t xml:space="preserve"> por producirse entre ciudadanos”</w:t>
      </w:r>
      <w:r w:rsidRPr="00F33E35">
        <w:rPr>
          <w:rStyle w:val="Refdenotaalpie"/>
          <w:rFonts w:ascii="Times New Roman" w:hAnsi="Times New Roman" w:cs="Times New Roman"/>
          <w:sz w:val="28"/>
          <w:szCs w:val="28"/>
        </w:rPr>
        <w:footnoteReference w:id="26"/>
      </w:r>
      <w:r w:rsidRPr="00F33E35">
        <w:rPr>
          <w:rFonts w:ascii="Times New Roman" w:hAnsi="Times New Roman" w:cs="Times New Roman"/>
          <w:sz w:val="28"/>
          <w:szCs w:val="28"/>
        </w:rPr>
        <w:t>. En consecuencia, debe ejecutarse de forma restringida y precedida de una orden judicial</w:t>
      </w:r>
      <w:r w:rsidRPr="00F33E35">
        <w:rPr>
          <w:rStyle w:val="Refdenotaalpie"/>
          <w:rFonts w:ascii="Times New Roman" w:hAnsi="Times New Roman" w:cs="Times New Roman"/>
          <w:sz w:val="28"/>
          <w:szCs w:val="28"/>
        </w:rPr>
        <w:footnoteReference w:id="27"/>
      </w:r>
      <w:r w:rsidRPr="00F33E35">
        <w:rPr>
          <w:rFonts w:ascii="Times New Roman" w:hAnsi="Times New Roman" w:cs="Times New Roman"/>
          <w:sz w:val="28"/>
          <w:szCs w:val="28"/>
        </w:rPr>
        <w:t>.</w:t>
      </w:r>
    </w:p>
    <w:p w:rsidR="00FF5603" w:rsidRPr="00F33E35" w:rsidRDefault="00F33E35" w:rsidP="006A0CFD">
      <w:pPr>
        <w:pStyle w:val="Prrafodelista"/>
        <w:spacing w:after="0" w:line="240" w:lineRule="auto"/>
        <w:ind w:right="-234"/>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 xml:space="preserve">De lo anterior, la parte actora derivó que la hipótesis de que el monitoreo del espectro electromagnético no refiere a </w:t>
      </w:r>
      <w:r w:rsidRPr="00F33E35">
        <w:rPr>
          <w:rFonts w:ascii="Times New Roman" w:hAnsi="Times New Roman" w:cs="Times New Roman"/>
          <w:sz w:val="28"/>
          <w:szCs w:val="28"/>
        </w:rPr>
        <w:t>interceptación judicial se encuentra en contra de los estándares internacionales al no prever un control judicial efectivo sobre una actividad que constituye vigilancia a gran escala de comunicaciones.</w:t>
      </w:r>
    </w:p>
    <w:p w:rsidR="00FF5603" w:rsidRPr="00F33E35" w:rsidRDefault="00F33E35" w:rsidP="006A0CFD">
      <w:pPr>
        <w:pStyle w:val="Prrafodelista"/>
        <w:spacing w:after="0" w:line="240" w:lineRule="auto"/>
        <w:ind w:right="-234"/>
        <w:contextualSpacing w:val="0"/>
        <w:rPr>
          <w:rFonts w:ascii="Times New Roman" w:hAnsi="Times New Roman" w:cs="Times New Roman"/>
          <w:i/>
          <w:iCs/>
          <w:sz w:val="28"/>
          <w:szCs w:val="28"/>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b/>
          <w:iCs/>
          <w:sz w:val="28"/>
          <w:szCs w:val="28"/>
        </w:rPr>
        <w:t>Cargo segundo:</w:t>
      </w:r>
      <w:r w:rsidRPr="00F33E35">
        <w:rPr>
          <w:rFonts w:ascii="Times New Roman" w:hAnsi="Times New Roman" w:cs="Times New Roman"/>
          <w:b/>
          <w:bCs/>
          <w:sz w:val="28"/>
          <w:szCs w:val="28"/>
        </w:rPr>
        <w:t xml:space="preserve"> el artículo 33 (parcial) de la Ley 162</w:t>
      </w:r>
      <w:r w:rsidRPr="00F33E35">
        <w:rPr>
          <w:rFonts w:ascii="Times New Roman" w:hAnsi="Times New Roman" w:cs="Times New Roman"/>
          <w:b/>
          <w:bCs/>
          <w:sz w:val="28"/>
          <w:szCs w:val="28"/>
        </w:rPr>
        <w:t>1 de 2013 vulnera los artículos 2, 11 y 1</w:t>
      </w:r>
      <w:r w:rsidRPr="00F33E35">
        <w:rPr>
          <w:rFonts w:ascii="Times New Roman" w:hAnsi="Times New Roman" w:cs="Times New Roman"/>
          <w:b/>
          <w:bCs/>
          <w:sz w:val="28"/>
          <w:szCs w:val="28"/>
        </w:rPr>
        <w:t>3 de la CADH y 15 y 20 de la Constitución</w:t>
      </w:r>
      <w:r w:rsidRPr="00F33E35">
        <w:rPr>
          <w:rFonts w:ascii="Times New Roman" w:hAnsi="Times New Roman" w:cs="Times New Roman"/>
          <w:sz w:val="28"/>
          <w:szCs w:val="28"/>
        </w:rPr>
        <w:t>. La demanda explicó que la Corte IDH, en desarrollo del derecho a la autodeterminación informativa, planteó que la autorización general de reserva de los documentos, informa</w:t>
      </w:r>
      <w:r w:rsidRPr="00F33E35">
        <w:rPr>
          <w:rFonts w:ascii="Times New Roman" w:hAnsi="Times New Roman" w:cs="Times New Roman"/>
          <w:sz w:val="28"/>
          <w:szCs w:val="28"/>
        </w:rPr>
        <w:t>ción y elementos técnicos de organismos de inteligencia y contrainteligencia puede ser utilizada para limitar dicha garantía, por lo que resulta incompatible con los estándares convencionales.</w:t>
      </w:r>
    </w:p>
    <w:p w:rsidR="00FF5603" w:rsidRPr="00F33E35" w:rsidRDefault="00F33E35" w:rsidP="006A0CFD">
      <w:pPr>
        <w:pStyle w:val="Prrafodelista"/>
        <w:spacing w:after="0" w:line="240" w:lineRule="auto"/>
        <w:ind w:right="-234"/>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 xml:space="preserve"> En ese contexto, refirieron que la Corte IDH estableció que e</w:t>
      </w:r>
      <w:r w:rsidRPr="00F33E35">
        <w:rPr>
          <w:rFonts w:ascii="Times New Roman" w:hAnsi="Times New Roman" w:cs="Times New Roman"/>
          <w:sz w:val="28"/>
          <w:szCs w:val="28"/>
        </w:rPr>
        <w:t>s necesario que mediante ley se establezcan “las categorías específicas y estrictas que en función de la protección de la seguridad nacional pretenden protegerse”</w:t>
      </w:r>
      <w:r w:rsidRPr="00F33E35">
        <w:rPr>
          <w:rStyle w:val="Refdenotaalpie"/>
          <w:rFonts w:ascii="Times New Roman" w:hAnsi="Times New Roman" w:cs="Times New Roman"/>
          <w:sz w:val="28"/>
          <w:szCs w:val="28"/>
        </w:rPr>
        <w:footnoteReference w:id="28"/>
      </w:r>
      <w:r w:rsidRPr="00F33E35">
        <w:rPr>
          <w:rFonts w:ascii="Times New Roman" w:hAnsi="Times New Roman" w:cs="Times New Roman"/>
          <w:sz w:val="28"/>
          <w:szCs w:val="28"/>
        </w:rPr>
        <w:t>, con el propósito de que esta información no esté sometida a reserva solo por el hecho de pe</w:t>
      </w:r>
      <w:r w:rsidRPr="00F33E35">
        <w:rPr>
          <w:rFonts w:ascii="Times New Roman" w:hAnsi="Times New Roman" w:cs="Times New Roman"/>
          <w:sz w:val="28"/>
          <w:szCs w:val="28"/>
        </w:rPr>
        <w:t>rtenecer a un organismo de inteligencia, sino por razón de su contenido</w:t>
      </w:r>
      <w:r w:rsidRPr="00F33E35">
        <w:rPr>
          <w:rStyle w:val="Refdenotaalpie"/>
          <w:rFonts w:ascii="Times New Roman" w:hAnsi="Times New Roman" w:cs="Times New Roman"/>
          <w:sz w:val="28"/>
          <w:szCs w:val="28"/>
        </w:rPr>
        <w:footnoteReference w:id="29"/>
      </w:r>
      <w:r w:rsidRPr="00F33E35">
        <w:rPr>
          <w:rFonts w:ascii="Times New Roman" w:hAnsi="Times New Roman" w:cs="Times New Roman"/>
          <w:sz w:val="28"/>
          <w:szCs w:val="28"/>
        </w:rPr>
        <w:t xml:space="preserve">. En criterio de las y los demandantes, el artículo 33 autoriza la reserva de información de inteligencia solo por el hecho de provenir de entidades de inteligencia. </w:t>
      </w:r>
    </w:p>
    <w:p w:rsidR="00FF5603" w:rsidRPr="00F33E35" w:rsidRDefault="00F33E35" w:rsidP="006A0CFD">
      <w:pPr>
        <w:pStyle w:val="Prrafodelista"/>
        <w:spacing w:after="0" w:line="240" w:lineRule="auto"/>
        <w:ind w:right="-234"/>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eastAsia="Calibri" w:hAnsi="Times New Roman" w:cs="Times New Roman"/>
          <w:sz w:val="28"/>
          <w:szCs w:val="28"/>
          <w:shd w:val="clear" w:color="auto" w:fill="FFFFFF"/>
          <w:lang w:eastAsia="es-ES"/>
        </w:rPr>
      </w:pPr>
      <w:r w:rsidRPr="00F33E35">
        <w:rPr>
          <w:rFonts w:ascii="Times New Roman" w:hAnsi="Times New Roman" w:cs="Times New Roman"/>
          <w:sz w:val="28"/>
          <w:szCs w:val="28"/>
        </w:rPr>
        <w:t>Explicaron que l</w:t>
      </w:r>
      <w:r w:rsidRPr="00F33E35">
        <w:rPr>
          <w:rFonts w:ascii="Times New Roman" w:hAnsi="Times New Roman" w:cs="Times New Roman"/>
          <w:sz w:val="28"/>
          <w:szCs w:val="28"/>
        </w:rPr>
        <w:t>a Ley 1621 de 2013 contiene una clasificación general vaga y ambigua que resulta incompatible con la CADH, en tanto que: (i) no designa categorías específicas y estrictas que en función de la protección de la seguridad nacional están amparadas por la reser</w:t>
      </w:r>
      <w:r w:rsidRPr="00F33E35">
        <w:rPr>
          <w:rFonts w:ascii="Times New Roman" w:hAnsi="Times New Roman" w:cs="Times New Roman"/>
          <w:sz w:val="28"/>
          <w:szCs w:val="28"/>
        </w:rPr>
        <w:t>va; (ii) no define o delimita los conceptos de seguridad y defensa nacional; y (iii) omite cualquier mecanismo que reconozca y garantice el acceso y control de los interesados a los datos que existan sobre ellos en los archivos clasificados, lo que se cons</w:t>
      </w:r>
      <w:r w:rsidRPr="00F33E35">
        <w:rPr>
          <w:rFonts w:ascii="Times New Roman" w:hAnsi="Times New Roman" w:cs="Times New Roman"/>
          <w:sz w:val="28"/>
          <w:szCs w:val="28"/>
        </w:rPr>
        <w:t xml:space="preserve">tituye en un obstáculo para que las presuntas víctimas puedan solicitar la actualización, rectificación o modificación de esa información. </w:t>
      </w:r>
      <w:r w:rsidRPr="00F33E35">
        <w:rPr>
          <w:rFonts w:ascii="Times New Roman" w:hAnsi="Times New Roman" w:cs="Times New Roman"/>
          <w:sz w:val="28"/>
          <w:szCs w:val="28"/>
        </w:rPr>
        <w:t>E</w:t>
      </w:r>
      <w:r w:rsidRPr="00F33E35">
        <w:rPr>
          <w:rFonts w:ascii="Times New Roman" w:hAnsi="Times New Roman" w:cs="Times New Roman"/>
          <w:sz w:val="28"/>
          <w:szCs w:val="28"/>
        </w:rPr>
        <w:t>xplicaron que la indeterminación no solo afecta la legitimidad de la reserva, sino que se traduce en un amplio marge</w:t>
      </w:r>
      <w:r w:rsidRPr="00F33E35">
        <w:rPr>
          <w:rFonts w:ascii="Times New Roman" w:hAnsi="Times New Roman" w:cs="Times New Roman"/>
          <w:sz w:val="28"/>
          <w:szCs w:val="28"/>
        </w:rPr>
        <w:t xml:space="preserve">n de discrecionalidad para las autoridades en punto de establecer la información susceptible de la mencionada reserva. </w:t>
      </w:r>
    </w:p>
    <w:p w:rsidR="006A0CFD" w:rsidRPr="00F33E35" w:rsidRDefault="00F33E35" w:rsidP="006A0CFD">
      <w:pPr>
        <w:pStyle w:val="Prrafodelista"/>
        <w:tabs>
          <w:tab w:val="left" w:pos="426"/>
        </w:tabs>
        <w:autoSpaceDE w:val="0"/>
        <w:autoSpaceDN w:val="0"/>
        <w:spacing w:after="0" w:line="240" w:lineRule="auto"/>
        <w:ind w:left="0" w:right="-234"/>
        <w:contextualSpacing w:val="0"/>
        <w:jc w:val="both"/>
        <w:rPr>
          <w:rFonts w:ascii="Times New Roman" w:eastAsia="Calibri" w:hAnsi="Times New Roman" w:cs="Times New Roman"/>
          <w:sz w:val="28"/>
          <w:szCs w:val="28"/>
          <w:shd w:val="clear" w:color="auto" w:fill="FFFFFF"/>
          <w:lang w:eastAsia="es-ES"/>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La demanda señal</w:t>
      </w:r>
      <w:r w:rsidRPr="00F33E35">
        <w:rPr>
          <w:rFonts w:ascii="Times New Roman" w:hAnsi="Times New Roman" w:cs="Times New Roman"/>
          <w:sz w:val="28"/>
          <w:szCs w:val="28"/>
        </w:rPr>
        <w:t>ó</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que la Sentencia C-540 de 2012 fue proferida antes del pronunciamiento de la Corte IDH</w:t>
      </w:r>
      <w:r w:rsidRPr="00F33E35">
        <w:rPr>
          <w:rStyle w:val="Refdenotaalpie"/>
          <w:rFonts w:ascii="Times New Roman" w:hAnsi="Times New Roman" w:cs="Times New Roman"/>
          <w:sz w:val="28"/>
          <w:szCs w:val="28"/>
        </w:rPr>
        <w:footnoteReference w:id="30"/>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 sin embargo, este último otorgó una mayor protección a los derechos a la libertad de expresión y a la privacidad</w:t>
      </w:r>
      <w:r w:rsidRPr="00F33E35">
        <w:rPr>
          <w:rStyle w:val="Refdenotaalpie"/>
          <w:rFonts w:ascii="Times New Roman" w:hAnsi="Times New Roman" w:cs="Times New Roman"/>
          <w:sz w:val="28"/>
          <w:szCs w:val="28"/>
        </w:rPr>
        <w:footnoteReference w:id="31"/>
      </w:r>
      <w:r w:rsidRPr="00F33E35">
        <w:rPr>
          <w:rFonts w:ascii="Times New Roman" w:hAnsi="Times New Roman" w:cs="Times New Roman"/>
          <w:sz w:val="28"/>
          <w:szCs w:val="28"/>
        </w:rPr>
        <w:t>. En ese escenario, se estableció que las normas que pretendan imponer reservas respecto de información relacionada con actividades de intelig</w:t>
      </w:r>
      <w:r w:rsidRPr="00F33E35">
        <w:rPr>
          <w:rFonts w:ascii="Times New Roman" w:hAnsi="Times New Roman" w:cs="Times New Roman"/>
          <w:sz w:val="28"/>
          <w:szCs w:val="28"/>
        </w:rPr>
        <w:t>encia y contrainteligencia deben ser precisas, claras y detalladas en el tipo de información que se considera reservada y el límite temporal de aquella reserva. Además, insistió en que dichas limitaciones son excepcionales y deben sujetarse a los motivos e</w:t>
      </w:r>
      <w:r w:rsidRPr="00F33E35">
        <w:rPr>
          <w:rFonts w:ascii="Times New Roman" w:hAnsi="Times New Roman" w:cs="Times New Roman"/>
          <w:sz w:val="28"/>
          <w:szCs w:val="28"/>
        </w:rPr>
        <w:t>specíficos que la justifican</w:t>
      </w:r>
      <w:r w:rsidRPr="00F33E35">
        <w:rPr>
          <w:rStyle w:val="Refdenotaalpie"/>
          <w:rFonts w:ascii="Times New Roman" w:hAnsi="Times New Roman" w:cs="Times New Roman"/>
          <w:sz w:val="28"/>
          <w:szCs w:val="28"/>
        </w:rPr>
        <w:footnoteReference w:id="32"/>
      </w:r>
      <w:r w:rsidRPr="00F33E35">
        <w:rPr>
          <w:rFonts w:ascii="Times New Roman" w:hAnsi="Times New Roman" w:cs="Times New Roman"/>
          <w:sz w:val="28"/>
          <w:szCs w:val="28"/>
        </w:rPr>
        <w:t>.</w:t>
      </w:r>
    </w:p>
    <w:p w:rsidR="00FF08C6" w:rsidRPr="00F33E35" w:rsidRDefault="00F33E35" w:rsidP="006A0CFD">
      <w:pPr>
        <w:pStyle w:val="Prrafodelista"/>
        <w:spacing w:after="0" w:line="240" w:lineRule="auto"/>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De acuerdo con la demanda, la permanencia en el ordenamiento jurídico de la autorización genérica de la reserva de información de inteligencia y contrainteligencia infringe los estándares fijados por la Corte IDH, dado que “</w:t>
      </w:r>
      <w:r w:rsidRPr="00F33E35">
        <w:rPr>
          <w:rFonts w:ascii="Times New Roman" w:hAnsi="Times New Roman" w:cs="Times New Roman"/>
          <w:sz w:val="28"/>
          <w:szCs w:val="28"/>
        </w:rPr>
        <w:t>(i.) su objeto es indeterminado y omnicomprensivo, (ii</w:t>
      </w:r>
      <w:r w:rsidRPr="00F33E35">
        <w:rPr>
          <w:rFonts w:ascii="Times New Roman" w:hAnsi="Times New Roman" w:cs="Times New Roman"/>
          <w:sz w:val="28"/>
          <w:szCs w:val="28"/>
        </w:rPr>
        <w:t>.</w:t>
      </w:r>
      <w:r w:rsidRPr="00F33E35">
        <w:rPr>
          <w:rFonts w:ascii="Times New Roman" w:hAnsi="Times New Roman" w:cs="Times New Roman"/>
          <w:sz w:val="28"/>
          <w:szCs w:val="28"/>
        </w:rPr>
        <w:t>) no se orienta por el contenido del material reservado sino por quien lo produjo o lo detenta y (iii.) tampoco establece, con fundamento en los propósitos que dice atender, ‘las categorías de informac</w:t>
      </w:r>
      <w:r w:rsidRPr="00F33E35">
        <w:rPr>
          <w:rFonts w:ascii="Times New Roman" w:hAnsi="Times New Roman" w:cs="Times New Roman"/>
          <w:sz w:val="28"/>
          <w:szCs w:val="28"/>
        </w:rPr>
        <w:t xml:space="preserve">ión que, en función precisamente de la realización de tales objetivos, podría negarse su acceso, a fin de que en cada caso concreto la autoridad competente, atendiendo a los principios de idoneidad, necesidad y proporcionalidad, declare o no la reserva de </w:t>
      </w:r>
      <w:r w:rsidRPr="00F33E35">
        <w:rPr>
          <w:rFonts w:ascii="Times New Roman" w:hAnsi="Times New Roman" w:cs="Times New Roman"/>
          <w:sz w:val="28"/>
          <w:szCs w:val="28"/>
        </w:rPr>
        <w:t>determinada información’”</w:t>
      </w:r>
      <w:r w:rsidRPr="00F33E35">
        <w:rPr>
          <w:rStyle w:val="Refdenotaalpie"/>
          <w:rFonts w:ascii="Times New Roman" w:hAnsi="Times New Roman" w:cs="Times New Roman"/>
          <w:sz w:val="28"/>
          <w:szCs w:val="28"/>
        </w:rPr>
        <w:footnoteReference w:id="33"/>
      </w:r>
      <w:r w:rsidRPr="00F33E35">
        <w:rPr>
          <w:rFonts w:ascii="Times New Roman" w:hAnsi="Times New Roman" w:cs="Times New Roman"/>
          <w:sz w:val="28"/>
          <w:szCs w:val="28"/>
        </w:rPr>
        <w:t>.</w:t>
      </w:r>
    </w:p>
    <w:p w:rsidR="00FF08C6" w:rsidRPr="00F33E35" w:rsidRDefault="00F33E35" w:rsidP="006A0CFD">
      <w:pPr>
        <w:pStyle w:val="Prrafodelista"/>
        <w:spacing w:after="0" w:line="240" w:lineRule="auto"/>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De otra parte, en relación con la temporalidad de la reserva, la demanda explicó que la norma acusada establece una reserva de la información de inteligencia y contrainteligencia por el término de treinta años, contados a parti</w:t>
      </w:r>
      <w:r w:rsidRPr="00F33E35">
        <w:rPr>
          <w:rFonts w:ascii="Times New Roman" w:hAnsi="Times New Roman" w:cs="Times New Roman"/>
          <w:sz w:val="28"/>
          <w:szCs w:val="28"/>
        </w:rPr>
        <w:t>r de la recolección de la misma. Además, autoriza al presidente de la República para prorrogar el plazo inicial hasta por 15 años más cuando su difusión suponga una grave amenaza interna o externa contra la seguridad o defensa nacional.</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M</w:t>
      </w:r>
      <w:r w:rsidRPr="00F33E35">
        <w:rPr>
          <w:rFonts w:ascii="Times New Roman" w:hAnsi="Times New Roman" w:cs="Times New Roman"/>
          <w:sz w:val="28"/>
          <w:szCs w:val="28"/>
        </w:rPr>
        <w:t>encionaron que la</w:t>
      </w:r>
      <w:r w:rsidRPr="00F33E35">
        <w:rPr>
          <w:rFonts w:ascii="Times New Roman" w:hAnsi="Times New Roman" w:cs="Times New Roman"/>
          <w:sz w:val="28"/>
          <w:szCs w:val="28"/>
        </w:rPr>
        <w:t xml:space="preserve"> Sentencia C-540 de 201</w:t>
      </w:r>
      <w:r w:rsidRPr="00F33E35">
        <w:rPr>
          <w:rFonts w:ascii="Times New Roman" w:hAnsi="Times New Roman" w:cs="Times New Roman"/>
          <w:sz w:val="28"/>
          <w:szCs w:val="28"/>
        </w:rPr>
        <w:t>2</w:t>
      </w:r>
      <w:r w:rsidRPr="00F33E35">
        <w:rPr>
          <w:rFonts w:ascii="Times New Roman" w:hAnsi="Times New Roman" w:cs="Times New Roman"/>
          <w:sz w:val="28"/>
          <w:szCs w:val="28"/>
        </w:rPr>
        <w:t xml:space="preserve"> la halló ajustada a la Constitución. En contraste, explicaron que la Corte IDH precisó que la norma adolece de vaguedad en la medida que no especifica a qué se refieren con amenazas contra la seguridad o defensa nacional, ni qué cl</w:t>
      </w:r>
      <w:r w:rsidRPr="00F33E35">
        <w:rPr>
          <w:rFonts w:ascii="Times New Roman" w:hAnsi="Times New Roman" w:cs="Times New Roman"/>
          <w:sz w:val="28"/>
          <w:szCs w:val="28"/>
        </w:rPr>
        <w:t xml:space="preserve">ase de riesgos a las relaciones internacionales justificaría extender el término de reserva. </w:t>
      </w:r>
    </w:p>
    <w:p w:rsidR="00FF5603" w:rsidRPr="00F33E35" w:rsidRDefault="00F33E35" w:rsidP="006A0CFD">
      <w:pPr>
        <w:pStyle w:val="Prrafodelista"/>
        <w:spacing w:after="0" w:line="240" w:lineRule="auto"/>
        <w:ind w:right="-234"/>
        <w:contextualSpacing w:val="0"/>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284"/>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En consecuencia,</w:t>
      </w:r>
      <w:r w:rsidRPr="00F33E35">
        <w:rPr>
          <w:rFonts w:ascii="Times New Roman" w:hAnsi="Times New Roman" w:cs="Times New Roman"/>
          <w:sz w:val="28"/>
          <w:szCs w:val="28"/>
        </w:rPr>
        <w:t xml:space="preserve"> la demanda</w:t>
      </w:r>
      <w:r w:rsidRPr="00F33E35">
        <w:rPr>
          <w:rFonts w:ascii="Times New Roman" w:hAnsi="Times New Roman" w:cs="Times New Roman"/>
          <w:sz w:val="28"/>
          <w:szCs w:val="28"/>
        </w:rPr>
        <w:t xml:space="preserve"> concluy</w:t>
      </w:r>
      <w:r w:rsidRPr="00F33E35">
        <w:rPr>
          <w:rFonts w:ascii="Times New Roman" w:hAnsi="Times New Roman" w:cs="Times New Roman"/>
          <w:sz w:val="28"/>
          <w:szCs w:val="28"/>
        </w:rPr>
        <w:t>ó</w:t>
      </w:r>
      <w:r w:rsidRPr="00F33E35">
        <w:rPr>
          <w:rFonts w:ascii="Times New Roman" w:hAnsi="Times New Roman" w:cs="Times New Roman"/>
          <w:sz w:val="28"/>
          <w:szCs w:val="28"/>
        </w:rPr>
        <w:t xml:space="preserve"> que la Corte Constitucional está habilitada para adelantar un nuevo examen de constitucionalidad de la disposición acusada, debido al cambio en el significado material de la Constitución. Esto con el fin de que se establezca que el Estado puede restringir</w:t>
      </w:r>
      <w:r w:rsidRPr="00F33E35">
        <w:rPr>
          <w:rFonts w:ascii="Times New Roman" w:hAnsi="Times New Roman" w:cs="Times New Roman"/>
          <w:sz w:val="28"/>
          <w:szCs w:val="28"/>
        </w:rPr>
        <w:t xml:space="preserve"> el acceso a determinada información siempre que la ley designe categorías específicas y estrictas que ampar</w:t>
      </w:r>
      <w:r w:rsidRPr="00F33E35">
        <w:rPr>
          <w:rFonts w:ascii="Times New Roman" w:hAnsi="Times New Roman" w:cs="Times New Roman"/>
          <w:sz w:val="28"/>
          <w:szCs w:val="28"/>
        </w:rPr>
        <w:t>e</w:t>
      </w:r>
      <w:r w:rsidRPr="00F33E35">
        <w:rPr>
          <w:rFonts w:ascii="Times New Roman" w:hAnsi="Times New Roman" w:cs="Times New Roman"/>
          <w:sz w:val="28"/>
          <w:szCs w:val="28"/>
        </w:rPr>
        <w:t>n la reserva. Lo descrito, implicaría que las autoridades de inteligencia interesadas en mantener la reserva de la información, deben acudir a norm</w:t>
      </w:r>
      <w:r w:rsidRPr="00F33E35">
        <w:rPr>
          <w:rFonts w:ascii="Times New Roman" w:hAnsi="Times New Roman" w:cs="Times New Roman"/>
          <w:sz w:val="28"/>
          <w:szCs w:val="28"/>
        </w:rPr>
        <w:t>as de rango constitucional o legal que cumplan los requisitos de claridad y precisión conforme al estándar fijado por la Corte IDH. De lo contrario, la información será de carácter público en virtud del principio de máxima divulgación</w:t>
      </w:r>
      <w:r w:rsidRPr="00F33E35">
        <w:rPr>
          <w:rStyle w:val="Refdenotaalpie"/>
          <w:rFonts w:ascii="Times New Roman" w:hAnsi="Times New Roman" w:cs="Times New Roman"/>
          <w:sz w:val="28"/>
          <w:szCs w:val="28"/>
        </w:rPr>
        <w:footnoteReference w:id="34"/>
      </w:r>
      <w:r w:rsidRPr="00F33E35">
        <w:rPr>
          <w:rFonts w:ascii="Times New Roman" w:hAnsi="Times New Roman" w:cs="Times New Roman"/>
          <w:sz w:val="28"/>
          <w:szCs w:val="28"/>
        </w:rPr>
        <w:t>.</w:t>
      </w:r>
    </w:p>
    <w:p w:rsidR="00FF5603" w:rsidRPr="00F33E35" w:rsidRDefault="00F33E35" w:rsidP="006A0CFD">
      <w:pPr>
        <w:pStyle w:val="Prrafodelista"/>
        <w:autoSpaceDE w:val="0"/>
        <w:autoSpaceDN w:val="0"/>
        <w:spacing w:after="0" w:line="240" w:lineRule="auto"/>
        <w:ind w:left="0" w:right="-234"/>
        <w:contextualSpacing w:val="0"/>
        <w:jc w:val="both"/>
        <w:rPr>
          <w:rFonts w:ascii="Times New Roman" w:hAnsi="Times New Roman" w:cs="Times New Roman"/>
          <w:sz w:val="28"/>
          <w:szCs w:val="28"/>
        </w:rPr>
      </w:pPr>
    </w:p>
    <w:p w:rsidR="00FF5603" w:rsidRPr="00F33E35" w:rsidRDefault="00F33E35" w:rsidP="006A0CFD">
      <w:pPr>
        <w:pStyle w:val="Prrafodelista"/>
        <w:numPr>
          <w:ilvl w:val="0"/>
          <w:numId w:val="3"/>
        </w:numPr>
        <w:tabs>
          <w:tab w:val="left" w:pos="426"/>
        </w:tabs>
        <w:autoSpaceDE w:val="0"/>
        <w:autoSpaceDN w:val="0"/>
        <w:spacing w:after="0" w:line="240" w:lineRule="auto"/>
        <w:ind w:left="0" w:right="-234" w:firstLine="0"/>
        <w:contextualSpacing w:val="0"/>
        <w:jc w:val="both"/>
        <w:rPr>
          <w:rFonts w:ascii="Times New Roman" w:hAnsi="Times New Roman" w:cs="Times New Roman"/>
          <w:sz w:val="28"/>
          <w:szCs w:val="28"/>
        </w:rPr>
      </w:pPr>
      <w:r w:rsidRPr="00F33E35">
        <w:rPr>
          <w:rFonts w:ascii="Times New Roman" w:hAnsi="Times New Roman" w:cs="Times New Roman"/>
          <w:sz w:val="28"/>
          <w:szCs w:val="28"/>
        </w:rPr>
        <w:t>Con base en lo ant</w:t>
      </w:r>
      <w:r w:rsidRPr="00F33E35">
        <w:rPr>
          <w:rFonts w:ascii="Times New Roman" w:hAnsi="Times New Roman" w:cs="Times New Roman"/>
          <w:sz w:val="28"/>
          <w:szCs w:val="28"/>
        </w:rPr>
        <w:t>erior, las y los ciudadanos le solicitaron a la Corte declarar inexequibles con efectos inmediatos los artículos 17 (parcial) y 33 (parcial) de la Ley Estatutaria 1621 de 2013. De manera subsidiaria, pidieron la declaratoria de inexequibilidad de los apart</w:t>
      </w:r>
      <w:r w:rsidRPr="00F33E35">
        <w:rPr>
          <w:rFonts w:ascii="Times New Roman" w:hAnsi="Times New Roman" w:cs="Times New Roman"/>
          <w:sz w:val="28"/>
          <w:szCs w:val="28"/>
        </w:rPr>
        <w:t>ados acusados con efectos diferidos al término que otorgó la Corte IDH a Colombia para la modificación de la ley mencionada.</w:t>
      </w:r>
    </w:p>
    <w:p w:rsidR="00FF5603" w:rsidRPr="00F33E35" w:rsidRDefault="00F33E35" w:rsidP="006A0CFD">
      <w:pPr>
        <w:pStyle w:val="Prrafodelista"/>
        <w:shd w:val="clear" w:color="auto" w:fill="FFFFFF"/>
        <w:spacing w:after="0" w:line="240" w:lineRule="auto"/>
        <w:ind w:left="0" w:right="-234"/>
        <w:contextualSpacing w:val="0"/>
        <w:jc w:val="both"/>
        <w:rPr>
          <w:rFonts w:ascii="Times New Roman" w:eastAsia="Times New Roman" w:hAnsi="Times New Roman" w:cs="Times New Roman"/>
          <w:snapToGrid w:val="0"/>
          <w:position w:val="6"/>
          <w:sz w:val="28"/>
          <w:szCs w:val="28"/>
          <w:lang w:eastAsia="es-ES"/>
        </w:rPr>
      </w:pPr>
    </w:p>
    <w:p w:rsidR="00FF5603" w:rsidRPr="00F33E35" w:rsidRDefault="00F33E35" w:rsidP="006A0CFD">
      <w:pPr>
        <w:pStyle w:val="Ttulo1"/>
        <w:spacing w:before="0" w:after="0" w:line="240" w:lineRule="auto"/>
        <w:rPr>
          <w:rFonts w:ascii="Times New Roman" w:eastAsia="Times New Roman" w:hAnsi="Times New Roman" w:cs="Times New Roman"/>
          <w:b/>
          <w:snapToGrid w:val="0"/>
          <w:color w:val="000000" w:themeColor="text1"/>
          <w:position w:val="6"/>
          <w:sz w:val="28"/>
          <w:szCs w:val="28"/>
          <w:lang w:val="es-ES" w:eastAsia="es-ES"/>
        </w:rPr>
      </w:pPr>
      <w:bookmarkStart w:id="7" w:name="_Toc205457659"/>
      <w:bookmarkEnd w:id="4"/>
      <w:r w:rsidRPr="00F33E35">
        <w:rPr>
          <w:rFonts w:ascii="Times New Roman" w:eastAsia="Times New Roman" w:hAnsi="Times New Roman" w:cs="Times New Roman"/>
          <w:b/>
          <w:snapToGrid w:val="0"/>
          <w:color w:val="000000" w:themeColor="text1"/>
          <w:position w:val="6"/>
          <w:sz w:val="28"/>
          <w:szCs w:val="28"/>
          <w:lang w:val="es-ES" w:eastAsia="es-ES"/>
        </w:rPr>
        <w:t xml:space="preserve">III. </w:t>
      </w:r>
      <w:bookmarkStart w:id="8" w:name="_Hlk63753013"/>
      <w:r w:rsidRPr="00F33E35">
        <w:rPr>
          <w:rFonts w:ascii="Times New Roman" w:eastAsia="Times New Roman" w:hAnsi="Times New Roman" w:cs="Times New Roman"/>
          <w:b/>
          <w:snapToGrid w:val="0"/>
          <w:color w:val="000000" w:themeColor="text1"/>
          <w:position w:val="6"/>
          <w:sz w:val="28"/>
          <w:szCs w:val="28"/>
          <w:lang w:val="es-ES" w:eastAsia="es-ES"/>
        </w:rPr>
        <w:t xml:space="preserve">  INTERVENCIONES </w:t>
      </w:r>
      <w:r w:rsidRPr="00F33E35">
        <w:rPr>
          <w:rFonts w:ascii="Times New Roman" w:eastAsia="Times New Roman" w:hAnsi="Times New Roman" w:cs="Times New Roman"/>
          <w:b/>
          <w:snapToGrid w:val="0"/>
          <w:color w:val="000000" w:themeColor="text1"/>
          <w:position w:val="6"/>
          <w:sz w:val="28"/>
          <w:szCs w:val="28"/>
          <w:lang w:val="es-ES" w:eastAsia="es-ES"/>
        </w:rPr>
        <w:t>Y CONCEPTOS ESPECIALIZADOS</w:t>
      </w:r>
      <w:bookmarkEnd w:id="7"/>
    </w:p>
    <w:p w:rsidR="00FF5603" w:rsidRPr="00F33E35" w:rsidRDefault="00F33E35" w:rsidP="006A0CFD">
      <w:pPr>
        <w:shd w:val="clear" w:color="auto" w:fill="FFFFFF"/>
        <w:spacing w:after="0" w:line="240" w:lineRule="auto"/>
        <w:ind w:right="-234"/>
        <w:jc w:val="both"/>
        <w:rPr>
          <w:rFonts w:ascii="Times New Roman" w:eastAsia="Times New Roman" w:hAnsi="Times New Roman" w:cs="Times New Roman"/>
          <w:b/>
          <w:snapToGrid w:val="0"/>
          <w:position w:val="6"/>
          <w:sz w:val="28"/>
          <w:szCs w:val="28"/>
          <w:lang w:val="es-ES" w:eastAsia="es-ES"/>
        </w:rPr>
      </w:pPr>
    </w:p>
    <w:p w:rsidR="00FF5603" w:rsidRPr="00F33E35" w:rsidRDefault="00F33E35" w:rsidP="006A0CFD">
      <w:pPr>
        <w:pStyle w:val="Prrafodelista"/>
        <w:numPr>
          <w:ilvl w:val="0"/>
          <w:numId w:val="3"/>
        </w:numPr>
        <w:tabs>
          <w:tab w:val="left" w:pos="426"/>
        </w:tabs>
        <w:spacing w:after="0" w:line="240" w:lineRule="auto"/>
        <w:ind w:left="0" w:right="-234" w:firstLine="0"/>
        <w:contextualSpacing w:val="0"/>
        <w:jc w:val="both"/>
        <w:rPr>
          <w:rFonts w:ascii="Times New Roman" w:hAnsi="Times New Roman" w:cs="Times New Roman"/>
          <w:color w:val="000000" w:themeColor="text1"/>
          <w:sz w:val="28"/>
          <w:szCs w:val="28"/>
        </w:rPr>
      </w:pPr>
      <w:bookmarkStart w:id="9" w:name="_Hlk126819724"/>
      <w:bookmarkStart w:id="10" w:name="_Hlk135211765"/>
      <w:bookmarkStart w:id="11" w:name="_Hlk70576935"/>
      <w:bookmarkEnd w:id="8"/>
      <w:r w:rsidRPr="00F33E35">
        <w:rPr>
          <w:rFonts w:ascii="Times New Roman" w:hAnsi="Times New Roman" w:cs="Times New Roman"/>
          <w:color w:val="000000" w:themeColor="text1"/>
          <w:sz w:val="28"/>
          <w:szCs w:val="28"/>
        </w:rPr>
        <w:t>Durante</w:t>
      </w:r>
      <w:r w:rsidRPr="00F33E35">
        <w:rPr>
          <w:rStyle w:val="apple-converted-space"/>
          <w:rFonts w:ascii="Times New Roman" w:hAnsi="Times New Roman" w:cs="Times New Roman"/>
          <w:color w:val="000000" w:themeColor="text1"/>
          <w:sz w:val="28"/>
          <w:szCs w:val="28"/>
        </w:rPr>
        <w:t> </w:t>
      </w:r>
      <w:r w:rsidRPr="00F33E35">
        <w:rPr>
          <w:rFonts w:ascii="Times New Roman" w:hAnsi="Times New Roman" w:cs="Times New Roman"/>
          <w:color w:val="000000" w:themeColor="text1"/>
          <w:sz w:val="28"/>
          <w:szCs w:val="28"/>
        </w:rPr>
        <w:t>el período probatorio</w:t>
      </w:r>
      <w:r w:rsidRPr="00F33E35">
        <w:rPr>
          <w:rStyle w:val="apple-converted-space"/>
          <w:rFonts w:ascii="Times New Roman" w:hAnsi="Times New Roman" w:cs="Times New Roman"/>
          <w:color w:val="000000" w:themeColor="text1"/>
          <w:sz w:val="28"/>
          <w:szCs w:val="28"/>
        </w:rPr>
        <w:t> </w:t>
      </w:r>
      <w:r w:rsidRPr="00F33E35">
        <w:rPr>
          <w:rFonts w:ascii="Times New Roman" w:hAnsi="Times New Roman" w:cs="Times New Roman"/>
          <w:color w:val="000000" w:themeColor="text1"/>
          <w:sz w:val="28"/>
          <w:szCs w:val="28"/>
        </w:rPr>
        <w:t xml:space="preserve">y el término de fijación en lista, la Corte </w:t>
      </w:r>
      <w:r w:rsidRPr="00F33E35">
        <w:rPr>
          <w:rFonts w:ascii="Times New Roman" w:hAnsi="Times New Roman" w:cs="Times New Roman"/>
          <w:color w:val="000000" w:themeColor="text1"/>
          <w:sz w:val="28"/>
          <w:szCs w:val="28"/>
        </w:rPr>
        <w:t>recibió trece escritos de intervención y dos conceptos especializados de autoridades públicas. Igualmente, en el término establecido para el efecto, el procurador general de la Nación rindió el concepto correspondiente. Con el objeto de sintetizar y contra</w:t>
      </w:r>
      <w:r w:rsidRPr="00F33E35">
        <w:rPr>
          <w:rFonts w:ascii="Times New Roman" w:hAnsi="Times New Roman" w:cs="Times New Roman"/>
          <w:color w:val="000000" w:themeColor="text1"/>
          <w:sz w:val="28"/>
          <w:szCs w:val="28"/>
        </w:rPr>
        <w:t>star el sentido de las intervenciones recibidas ellas se integrarán en las siguientes tablas</w:t>
      </w:r>
      <w:r w:rsidRPr="00F33E35">
        <w:rPr>
          <w:rStyle w:val="Refdenotaalpie"/>
          <w:rFonts w:ascii="Times New Roman" w:hAnsi="Times New Roman" w:cs="Times New Roman"/>
          <w:color w:val="000000" w:themeColor="text1"/>
          <w:sz w:val="28"/>
          <w:szCs w:val="28"/>
        </w:rPr>
        <w:footnoteReference w:id="35"/>
      </w:r>
      <w:r w:rsidRPr="00F33E35">
        <w:rPr>
          <w:rFonts w:ascii="Times New Roman" w:hAnsi="Times New Roman" w:cs="Times New Roman"/>
          <w:color w:val="000000" w:themeColor="text1"/>
          <w:sz w:val="28"/>
          <w:szCs w:val="28"/>
        </w:rPr>
        <w:t>.</w:t>
      </w:r>
    </w:p>
    <w:p w:rsidR="00FF5603" w:rsidRPr="00F33E35" w:rsidRDefault="00F33E35" w:rsidP="00FA1A61">
      <w:pPr>
        <w:spacing w:after="0" w:line="240" w:lineRule="auto"/>
        <w:ind w:right="-234"/>
        <w:jc w:val="both"/>
        <w:rPr>
          <w:rFonts w:ascii="Times New Roman" w:hAnsi="Times New Roman" w:cs="Times New Roman"/>
          <w:color w:val="000000" w:themeColor="text1"/>
          <w:sz w:val="28"/>
          <w:szCs w:val="28"/>
        </w:rPr>
      </w:pPr>
    </w:p>
    <w:p w:rsidR="00FF5603" w:rsidRPr="00F33E35" w:rsidRDefault="00F33E35" w:rsidP="00721066">
      <w:pPr>
        <w:pStyle w:val="Ttulo2"/>
        <w:rPr>
          <w:rFonts w:ascii="Times New Roman" w:hAnsi="Times New Roman" w:cs="Times New Roman"/>
          <w:b/>
          <w:bCs/>
          <w:color w:val="000000" w:themeColor="text1"/>
          <w:sz w:val="28"/>
          <w:szCs w:val="28"/>
        </w:rPr>
      </w:pPr>
      <w:bookmarkStart w:id="12" w:name="_Toc205457660"/>
      <w:r w:rsidRPr="00F33E35">
        <w:rPr>
          <w:rFonts w:ascii="Times New Roman" w:hAnsi="Times New Roman" w:cs="Times New Roman"/>
          <w:b/>
          <w:bCs/>
          <w:color w:val="000000" w:themeColor="text1"/>
          <w:sz w:val="28"/>
          <w:szCs w:val="28"/>
        </w:rPr>
        <w:t>Intervenciones relacionadas con el artículo 17 de la Ley 1621 de 2013</w:t>
      </w:r>
      <w:bookmarkEnd w:id="12"/>
    </w:p>
    <w:p w:rsidR="00FF5603" w:rsidRPr="00F33E35" w:rsidRDefault="00F33E35" w:rsidP="00FA1A61">
      <w:pPr>
        <w:spacing w:after="0" w:line="240" w:lineRule="auto"/>
        <w:ind w:right="-234"/>
        <w:rPr>
          <w:rFonts w:ascii="Times New Roman" w:hAnsi="Times New Roman" w:cs="Times New Roman"/>
          <w:color w:val="000000" w:themeColor="text1"/>
          <w:sz w:val="28"/>
        </w:rPr>
      </w:pPr>
    </w:p>
    <w:tbl>
      <w:tblPr>
        <w:tblStyle w:val="Tablaconcuadrcula"/>
        <w:tblW w:w="9189" w:type="dxa"/>
        <w:tblInd w:w="20" w:type="dxa"/>
        <w:tblLook w:val="04A0" w:firstRow="1" w:lastRow="0" w:firstColumn="1" w:lastColumn="0" w:noHBand="0" w:noVBand="1"/>
      </w:tblPr>
      <w:tblGrid>
        <w:gridCol w:w="1393"/>
        <w:gridCol w:w="7796"/>
      </w:tblGrid>
      <w:tr w:rsidR="00FF5603" w:rsidRPr="00F33E35" w:rsidTr="006A0CFD">
        <w:trPr>
          <w:trHeight w:val="412"/>
        </w:trPr>
        <w:tc>
          <w:tcPr>
            <w:tcW w:w="1393" w:type="dxa"/>
            <w:shd w:val="clear" w:color="auto" w:fill="D0CECE" w:themeFill="background2" w:themeFillShade="E6"/>
            <w:vAlign w:val="center"/>
          </w:tcPr>
          <w:p w:rsidR="00FF5603" w:rsidRPr="00F33E35" w:rsidRDefault="00F33E35" w:rsidP="006A0CFD">
            <w:pPr>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Interviniente</w:t>
            </w:r>
          </w:p>
        </w:tc>
        <w:tc>
          <w:tcPr>
            <w:tcW w:w="7796" w:type="dxa"/>
            <w:shd w:val="clear" w:color="auto" w:fill="D0CECE" w:themeFill="background2" w:themeFillShade="E6"/>
            <w:vAlign w:val="center"/>
          </w:tcPr>
          <w:p w:rsidR="00FF5603" w:rsidRPr="00F33E35" w:rsidRDefault="00F33E35" w:rsidP="006A0CFD">
            <w:pPr>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Argumentos</w:t>
            </w:r>
          </w:p>
        </w:tc>
      </w:tr>
      <w:tr w:rsidR="00FF5603" w:rsidRPr="00F33E35" w:rsidTr="00901A28">
        <w:trPr>
          <w:trHeight w:val="412"/>
        </w:trPr>
        <w:tc>
          <w:tcPr>
            <w:tcW w:w="9189" w:type="dxa"/>
            <w:gridSpan w:val="2"/>
            <w:shd w:val="clear" w:color="auto" w:fill="E7E6E6" w:themeFill="background2"/>
            <w:vAlign w:val="center"/>
          </w:tcPr>
          <w:p w:rsidR="00FF5603" w:rsidRPr="00F33E35" w:rsidRDefault="00F33E35" w:rsidP="006A0CFD">
            <w:pPr>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Solicitudes de inexequibilidad</w:t>
            </w:r>
          </w:p>
        </w:tc>
      </w:tr>
      <w:tr w:rsidR="00FF5603" w:rsidRPr="00F33E35" w:rsidTr="006A0CFD">
        <w:trPr>
          <w:trHeight w:val="2450"/>
        </w:trPr>
        <w:tc>
          <w:tcPr>
            <w:tcW w:w="1393" w:type="dxa"/>
            <w:vAlign w:val="center"/>
          </w:tcPr>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Alirio Uribe Muñoz</w:t>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Sostuvo que el artículo 17 de la Ley 1621 de 2013 no distingue con claridad entre el monitoreo del espectro electromagnético y la interceptación de comunicaciones, lo que en la práctica implica que los organismos de inteligencia determinan de forma discrec</w:t>
            </w:r>
            <w:r w:rsidRPr="00F33E35">
              <w:rPr>
                <w:rFonts w:ascii="Times New Roman" w:hAnsi="Times New Roman" w:cs="Times New Roman"/>
                <w:color w:val="000000" w:themeColor="text1"/>
                <w:sz w:val="28"/>
                <w:szCs w:val="20"/>
              </w:rPr>
              <w:t>ional qué actividades están sujetas a control judicial. Ello resulta contrario a la Sentencia de la Corte IDH en el Caso Miembros de la Corporación Colectivo de Abogados “José Alvear Restrepo” (CAJAR) vs. Colombia, que exige que la regulación sobre las fac</w:t>
            </w:r>
            <w:r w:rsidRPr="00F33E35">
              <w:rPr>
                <w:rFonts w:ascii="Times New Roman" w:hAnsi="Times New Roman" w:cs="Times New Roman"/>
                <w:color w:val="000000" w:themeColor="text1"/>
                <w:sz w:val="28"/>
                <w:szCs w:val="20"/>
              </w:rPr>
              <w:t>ultades de los organismos de inteligencia sea clara y precisa. Así, para garantizar el cumplimiento de los estándares convencionales y el bloque de constitucionalidad, todas las actividades de monitoreo del espectro electromagnético deben estar sujetas a c</w:t>
            </w:r>
            <w:r w:rsidRPr="00F33E35">
              <w:rPr>
                <w:rFonts w:ascii="Times New Roman" w:hAnsi="Times New Roman" w:cs="Times New Roman"/>
                <w:color w:val="000000" w:themeColor="text1"/>
                <w:sz w:val="28"/>
                <w:szCs w:val="20"/>
              </w:rPr>
              <w:t xml:space="preserve">ontrol judicial y superar un análisis de proporcionalidad, razonabilidad y legalidad. </w:t>
            </w:r>
          </w:p>
        </w:tc>
      </w:tr>
      <w:tr w:rsidR="00FF5603" w:rsidRPr="00F33E35" w:rsidTr="006A0CFD">
        <w:trPr>
          <w:trHeight w:val="699"/>
        </w:trPr>
        <w:tc>
          <w:tcPr>
            <w:tcW w:w="1393" w:type="dxa"/>
            <w:vAlign w:val="center"/>
          </w:tcPr>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Katherine Castro Londoño y Nicole Ballesteros Giraldo</w:t>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A</w:t>
            </w:r>
            <w:r w:rsidRPr="00F33E35">
              <w:rPr>
                <w:rFonts w:ascii="Times New Roman" w:hAnsi="Times New Roman" w:cs="Times New Roman"/>
                <w:color w:val="000000" w:themeColor="text1"/>
                <w:sz w:val="28"/>
                <w:szCs w:val="20"/>
              </w:rPr>
              <w:t xml:space="preserve">rgumentaron que en este asunto se desvirtuaba la cosa juzgada constitucional porque la Sentencia de la Corte IDH </w:t>
            </w:r>
            <w:r w:rsidRPr="00F33E35">
              <w:rPr>
                <w:rFonts w:ascii="Times New Roman" w:hAnsi="Times New Roman" w:cs="Times New Roman"/>
                <w:color w:val="000000" w:themeColor="text1"/>
                <w:sz w:val="28"/>
                <w:szCs w:val="20"/>
              </w:rPr>
              <w:t xml:space="preserve">en el Caso CAJAR vs. Colombia suponía un cambio en el parámetro de control constitucional. </w:t>
            </w:r>
            <w:r w:rsidRPr="00F33E35">
              <w:rPr>
                <w:rFonts w:ascii="Times New Roman" w:hAnsi="Times New Roman" w:cs="Times New Roman"/>
                <w:color w:val="000000" w:themeColor="text1"/>
                <w:sz w:val="28"/>
                <w:szCs w:val="20"/>
              </w:rPr>
              <w:t xml:space="preserve">Indicaron </w:t>
            </w:r>
            <w:r w:rsidRPr="00F33E35">
              <w:rPr>
                <w:rFonts w:ascii="Times New Roman" w:hAnsi="Times New Roman" w:cs="Times New Roman"/>
                <w:color w:val="000000" w:themeColor="text1"/>
                <w:sz w:val="28"/>
                <w:szCs w:val="20"/>
              </w:rPr>
              <w:t>que dicha providencia exige que las medidas que interfieren con la privacidad de un individuo cumplan con los principios de legalidad, necesidad y proporci</w:t>
            </w:r>
            <w:r w:rsidRPr="00F33E35">
              <w:rPr>
                <w:rFonts w:ascii="Times New Roman" w:hAnsi="Times New Roman" w:cs="Times New Roman"/>
                <w:color w:val="000000" w:themeColor="text1"/>
                <w:sz w:val="28"/>
                <w:szCs w:val="20"/>
              </w:rPr>
              <w:t>onalidad, y que sean objeto de control judicial previo y eficaz. Como la disposición demandada no cumple esos requisitos, no puede considerarse acorde a la Constitución y a los estándares interamericanos en la materia.</w:t>
            </w:r>
          </w:p>
        </w:tc>
      </w:tr>
      <w:tr w:rsidR="00FF5603" w:rsidRPr="00F33E35" w:rsidTr="00901A28">
        <w:trPr>
          <w:trHeight w:val="415"/>
        </w:trPr>
        <w:tc>
          <w:tcPr>
            <w:tcW w:w="9189" w:type="dxa"/>
            <w:gridSpan w:val="2"/>
            <w:shd w:val="clear" w:color="auto" w:fill="E7E6E6" w:themeFill="background2"/>
            <w:vAlign w:val="center"/>
          </w:tcPr>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b/>
                <w:bCs/>
                <w:color w:val="000000" w:themeColor="text1"/>
                <w:sz w:val="28"/>
                <w:szCs w:val="20"/>
              </w:rPr>
              <w:t>Solicitudes de exequibilidad</w:t>
            </w:r>
          </w:p>
        </w:tc>
      </w:tr>
      <w:tr w:rsidR="00FF5603" w:rsidRPr="00F33E35" w:rsidTr="006A0CFD">
        <w:trPr>
          <w:trHeight w:val="1417"/>
        </w:trPr>
        <w:tc>
          <w:tcPr>
            <w:tcW w:w="1393" w:type="dxa"/>
            <w:vAlign w:val="center"/>
          </w:tcPr>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Dirección Nacional de Inteligencia</w:t>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Enfatizó en la importancia de distinguir entre las funciones de policía judicial y las de inteligencia y contrainteligencia, pues mientras la primera tiene como objetivo recaudar pruebas y definir los responsables de un p</w:t>
            </w:r>
            <w:r w:rsidRPr="00F33E35">
              <w:rPr>
                <w:rFonts w:ascii="Times New Roman" w:hAnsi="Times New Roman" w:cs="Times New Roman"/>
                <w:color w:val="000000" w:themeColor="text1"/>
                <w:sz w:val="28"/>
                <w:szCs w:val="20"/>
              </w:rPr>
              <w:t>resunto hecho delictivo, la segunda pretende recolectar, procesar y analizar información para respaldar la toma de decisiones del Estado en materia de seguridad. Así, la interceptación de comunicaciones es llevada a cabo por la Fiscalía General de la Nació</w:t>
            </w:r>
            <w:r w:rsidRPr="00F33E35">
              <w:rPr>
                <w:rFonts w:ascii="Times New Roman" w:hAnsi="Times New Roman" w:cs="Times New Roman"/>
                <w:color w:val="000000" w:themeColor="text1"/>
                <w:sz w:val="28"/>
                <w:szCs w:val="20"/>
              </w:rPr>
              <w:t xml:space="preserve">n en ejercicio de sus funciones de policía judicial y en el marco de la Ley 906 de 2004, mientras que el monitoreo del espectro electromagnético es una actividad impersonal y abstracta propia de las funciones de inteligencia y contrainteligencia y no está </w:t>
            </w:r>
            <w:r w:rsidRPr="00F33E35">
              <w:rPr>
                <w:rFonts w:ascii="Times New Roman" w:hAnsi="Times New Roman" w:cs="Times New Roman"/>
                <w:color w:val="000000" w:themeColor="text1"/>
                <w:sz w:val="28"/>
                <w:szCs w:val="20"/>
              </w:rPr>
              <w:t xml:space="preserve">consagrada en la Ley 906 de 2004. </w:t>
            </w:r>
            <w:r w:rsidRPr="00F33E35">
              <w:rPr>
                <w:rFonts w:ascii="Times New Roman" w:hAnsi="Times New Roman" w:cs="Times New Roman"/>
                <w:color w:val="000000" w:themeColor="text1"/>
                <w:sz w:val="28"/>
                <w:szCs w:val="20"/>
              </w:rPr>
              <w:t xml:space="preserve">Afirmó </w:t>
            </w:r>
            <w:r w:rsidRPr="00F33E35">
              <w:rPr>
                <w:rFonts w:ascii="Times New Roman" w:hAnsi="Times New Roman" w:cs="Times New Roman"/>
                <w:color w:val="000000" w:themeColor="text1"/>
                <w:sz w:val="28"/>
                <w:szCs w:val="20"/>
              </w:rPr>
              <w:t xml:space="preserve">que para quienes desarrollan cada una de esas actividades es evidente la diferencia, por lo que no asiste razón a los demandantes cuando afirman que ambos conceptos pueden confundirse.  </w:t>
            </w:r>
          </w:p>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Con base en ese contexto, co</w:t>
            </w:r>
            <w:r w:rsidRPr="00F33E35">
              <w:rPr>
                <w:rFonts w:ascii="Times New Roman" w:hAnsi="Times New Roman" w:cs="Times New Roman"/>
                <w:color w:val="000000" w:themeColor="text1"/>
                <w:sz w:val="28"/>
                <w:szCs w:val="20"/>
              </w:rPr>
              <w:t>ncluyó que la declaratoria de inexequibilidad del aparte demandado no obligaría a los organismos de inteligencia y contrainteligencia a acudir a una autoridad judicial para llevar a cabo el monitoreo del espectro electromagnético, pues “bajo los lineamient</w:t>
            </w:r>
            <w:r w:rsidRPr="00F33E35">
              <w:rPr>
                <w:rFonts w:ascii="Times New Roman" w:hAnsi="Times New Roman" w:cs="Times New Roman"/>
                <w:color w:val="000000" w:themeColor="text1"/>
                <w:sz w:val="28"/>
                <w:szCs w:val="20"/>
              </w:rPr>
              <w:t>os dado jurisprudencialmente por la Corte Constitucional en la sentencia C-540 de 2012 son claros los límites impuestos a esta actividad para que la misma no se desdibuje en otra actividad como la interceptación de comunicaciones”</w:t>
            </w:r>
            <w:r w:rsidRPr="00F33E35">
              <w:rPr>
                <w:rStyle w:val="Refdenotaalpie"/>
                <w:rFonts w:ascii="Times New Roman" w:hAnsi="Times New Roman" w:cs="Times New Roman"/>
                <w:color w:val="000000" w:themeColor="text1"/>
                <w:sz w:val="28"/>
                <w:szCs w:val="20"/>
              </w:rPr>
              <w:footnoteReference w:id="36"/>
            </w:r>
            <w:r w:rsidRPr="00F33E35">
              <w:rPr>
                <w:rFonts w:ascii="Times New Roman" w:hAnsi="Times New Roman" w:cs="Times New Roman"/>
                <w:color w:val="000000" w:themeColor="text1"/>
                <w:sz w:val="28"/>
                <w:szCs w:val="20"/>
              </w:rPr>
              <w:t xml:space="preserve">. </w:t>
            </w:r>
          </w:p>
        </w:tc>
      </w:tr>
      <w:tr w:rsidR="00FF5603" w:rsidRPr="00F33E35" w:rsidTr="006A0CFD">
        <w:trPr>
          <w:trHeight w:val="1266"/>
        </w:trPr>
        <w:tc>
          <w:tcPr>
            <w:tcW w:w="1393" w:type="dxa"/>
            <w:vAlign w:val="center"/>
          </w:tcPr>
          <w:p w:rsidR="00DF554B"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Ministerio </w:t>
            </w:r>
          </w:p>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de las </w:t>
            </w:r>
            <w:r w:rsidRPr="00F33E35">
              <w:rPr>
                <w:rFonts w:ascii="Times New Roman" w:hAnsi="Times New Roman" w:cs="Times New Roman"/>
                <w:color w:val="000000" w:themeColor="text1"/>
                <w:sz w:val="28"/>
                <w:szCs w:val="20"/>
              </w:rPr>
              <w:t>TIC</w:t>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Expuso que la disposición demandada no era contraria a los parámetros fijados por la Corte IDH en la Sentencia del Caso CAJAR vs. Colombia, pues el monitoreo del espectro electromagnético es diferente a la interceptación de comunicaciones. Al respecto,</w:t>
            </w:r>
            <w:r w:rsidRPr="00F33E35">
              <w:rPr>
                <w:rFonts w:ascii="Times New Roman" w:hAnsi="Times New Roman" w:cs="Times New Roman"/>
                <w:color w:val="000000" w:themeColor="text1"/>
                <w:sz w:val="28"/>
                <w:szCs w:val="20"/>
              </w:rPr>
              <w:t xml:space="preserve"> indicó que “como una metáfora simple se puede entender al monitoreo como un acto de observación por parte del vigilante sobre la vía (espectro electromagnético) y de objetos que se trasladan sobre esa vía, como si fuese una autopista en la cual el observa</w:t>
            </w:r>
            <w:r w:rsidRPr="00F33E35">
              <w:rPr>
                <w:rFonts w:ascii="Times New Roman" w:hAnsi="Times New Roman" w:cs="Times New Roman"/>
                <w:color w:val="000000" w:themeColor="text1"/>
                <w:sz w:val="28"/>
                <w:szCs w:val="20"/>
              </w:rPr>
              <w:t>nte tiene en cuenta tanto las condiciones de la vía como el flujo de objetos que se trasladan por esta. A diferencia de la interceptación, que conlleva en sí misma la intromisión en el contenido de aquello que es trasla</w:t>
            </w:r>
            <w:r w:rsidRPr="00F33E35">
              <w:rPr>
                <w:rFonts w:ascii="Times New Roman" w:hAnsi="Times New Roman" w:cs="Times New Roman"/>
                <w:color w:val="000000" w:themeColor="text1"/>
                <w:sz w:val="28"/>
                <w:szCs w:val="20"/>
              </w:rPr>
              <w:t>da</w:t>
            </w:r>
            <w:r w:rsidRPr="00F33E35">
              <w:rPr>
                <w:rFonts w:ascii="Times New Roman" w:hAnsi="Times New Roman" w:cs="Times New Roman"/>
                <w:color w:val="000000" w:themeColor="text1"/>
                <w:sz w:val="28"/>
                <w:szCs w:val="20"/>
              </w:rPr>
              <w:t>do por la vía, como si fuese una re</w:t>
            </w:r>
            <w:r w:rsidRPr="00F33E35">
              <w:rPr>
                <w:rFonts w:ascii="Times New Roman" w:hAnsi="Times New Roman" w:cs="Times New Roman"/>
                <w:color w:val="000000" w:themeColor="text1"/>
                <w:sz w:val="28"/>
                <w:szCs w:val="20"/>
              </w:rPr>
              <w:t>visión del contenido y ocupantes de un vehículo que se trasladan por esa autopista por parte del vigía”</w:t>
            </w:r>
            <w:r w:rsidRPr="00F33E35">
              <w:rPr>
                <w:rStyle w:val="Refdenotaalpie"/>
                <w:rFonts w:ascii="Times New Roman" w:hAnsi="Times New Roman" w:cs="Times New Roman"/>
                <w:color w:val="000000" w:themeColor="text1"/>
                <w:sz w:val="28"/>
                <w:szCs w:val="20"/>
              </w:rPr>
              <w:footnoteReference w:id="37"/>
            </w:r>
            <w:r w:rsidRPr="00F33E35">
              <w:rPr>
                <w:rFonts w:ascii="Times New Roman" w:hAnsi="Times New Roman" w:cs="Times New Roman"/>
                <w:color w:val="000000" w:themeColor="text1"/>
                <w:sz w:val="28"/>
                <w:szCs w:val="20"/>
              </w:rPr>
              <w:t xml:space="preserve">. </w:t>
            </w:r>
          </w:p>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Destacó que el monitoreo del espectro electromagnético es aleatorio y no genera un trato desigual frente a un grupo o individuo concretos, por lo que</w:t>
            </w:r>
            <w:r w:rsidRPr="00F33E35">
              <w:rPr>
                <w:rFonts w:ascii="Times New Roman" w:hAnsi="Times New Roman" w:cs="Times New Roman"/>
                <w:color w:val="000000" w:themeColor="text1"/>
                <w:sz w:val="28"/>
                <w:szCs w:val="20"/>
              </w:rPr>
              <w:t xml:space="preserve"> no requiere una autorización judicial previa. Exigir esa autorización implicaría que la Fuerza Pública no pudiera realizar actividades de vigilancia para garantizar la seguridad de la población. Además, si en ejercicio de la función del monitoreo se llega</w:t>
            </w:r>
            <w:r w:rsidRPr="00F33E35">
              <w:rPr>
                <w:rFonts w:ascii="Times New Roman" w:hAnsi="Times New Roman" w:cs="Times New Roman"/>
                <w:color w:val="000000" w:themeColor="text1"/>
                <w:sz w:val="28"/>
                <w:szCs w:val="20"/>
              </w:rPr>
              <w:t>ra a advertir alguna información relevante que exigiera llevar a cabo una interceptación de comunicaciones, para ello deberían cumplirse todos los requisitos legales. Agregó que la Corte no puede declarar la inexequibilidad de la disposición a partir de un</w:t>
            </w:r>
            <w:r w:rsidRPr="00F33E35">
              <w:rPr>
                <w:rFonts w:ascii="Times New Roman" w:hAnsi="Times New Roman" w:cs="Times New Roman"/>
                <w:color w:val="000000" w:themeColor="text1"/>
                <w:sz w:val="28"/>
                <w:szCs w:val="20"/>
              </w:rPr>
              <w:t xml:space="preserve">a mera suposición, como la que formulan los actores, en el sentido de que esos requisitos legales podrían incumplirse en la práctica.  </w:t>
            </w:r>
          </w:p>
        </w:tc>
      </w:tr>
      <w:tr w:rsidR="00FF5603" w:rsidRPr="00F33E35" w:rsidTr="00901A28">
        <w:trPr>
          <w:trHeight w:val="440"/>
        </w:trPr>
        <w:tc>
          <w:tcPr>
            <w:tcW w:w="9189" w:type="dxa"/>
            <w:gridSpan w:val="2"/>
            <w:shd w:val="clear" w:color="auto" w:fill="E7E6E6" w:themeFill="background2"/>
            <w:vAlign w:val="center"/>
          </w:tcPr>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b/>
                <w:bCs/>
                <w:color w:val="000000" w:themeColor="text1"/>
                <w:sz w:val="28"/>
                <w:szCs w:val="20"/>
              </w:rPr>
              <w:t>Solicitudes de exequibilidad condicionada</w:t>
            </w:r>
          </w:p>
        </w:tc>
      </w:tr>
      <w:tr w:rsidR="00FF5603" w:rsidRPr="00F33E35" w:rsidTr="006A0CFD">
        <w:trPr>
          <w:trHeight w:val="566"/>
        </w:trPr>
        <w:tc>
          <w:tcPr>
            <w:tcW w:w="1393" w:type="dxa"/>
            <w:vAlign w:val="center"/>
          </w:tcPr>
          <w:p w:rsidR="00DF554B"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Colectivo de Abogados </w:t>
            </w:r>
          </w:p>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“José Alvear Restrepo” – CAJAR</w:t>
            </w:r>
            <w:r w:rsidRPr="00F33E35">
              <w:rPr>
                <w:rStyle w:val="Refdenotaalpie"/>
                <w:rFonts w:ascii="Times New Roman" w:hAnsi="Times New Roman" w:cs="Times New Roman"/>
                <w:color w:val="000000" w:themeColor="text1"/>
                <w:sz w:val="28"/>
                <w:szCs w:val="20"/>
              </w:rPr>
              <w:t xml:space="preserve"> </w:t>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Solicitó declarar la </w:t>
            </w:r>
            <w:r w:rsidRPr="00F33E35">
              <w:rPr>
                <w:rFonts w:ascii="Times New Roman" w:hAnsi="Times New Roman" w:cs="Times New Roman"/>
                <w:color w:val="000000" w:themeColor="text1"/>
                <w:sz w:val="28"/>
                <w:szCs w:val="20"/>
              </w:rPr>
              <w:t>exequibilidad de la expresión demandada, “en el entendido en que el monitoreo incluye la identificación de accesos irregulares al espectro electromagnético, así como de transmisiones abiertas, mientras que la interceptación de comunicaciones implica aquell</w:t>
            </w:r>
            <w:r w:rsidRPr="00F33E35">
              <w:rPr>
                <w:rFonts w:ascii="Times New Roman" w:hAnsi="Times New Roman" w:cs="Times New Roman"/>
                <w:color w:val="000000" w:themeColor="text1"/>
                <w:sz w:val="28"/>
                <w:szCs w:val="20"/>
              </w:rPr>
              <w:t>as transmisiones privadas o no abiertas a través del espectro electromagnético”</w:t>
            </w:r>
            <w:r w:rsidRPr="00F33E35">
              <w:rPr>
                <w:rStyle w:val="Refdenotaalpie"/>
                <w:rFonts w:ascii="Times New Roman" w:hAnsi="Times New Roman" w:cs="Times New Roman"/>
                <w:color w:val="000000" w:themeColor="text1"/>
                <w:sz w:val="28"/>
                <w:szCs w:val="20"/>
              </w:rPr>
              <w:footnoteReference w:id="38"/>
            </w:r>
            <w:r w:rsidRPr="00F33E35">
              <w:rPr>
                <w:rFonts w:ascii="Times New Roman" w:hAnsi="Times New Roman" w:cs="Times New Roman"/>
                <w:color w:val="000000" w:themeColor="text1"/>
                <w:sz w:val="28"/>
                <w:szCs w:val="20"/>
              </w:rPr>
              <w:t>.</w:t>
            </w:r>
          </w:p>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Con fundamento en la jurisprudencia de esta Corporación</w:t>
            </w:r>
            <w:r w:rsidRPr="00F33E35">
              <w:rPr>
                <w:rStyle w:val="Refdenotaalpie"/>
                <w:rFonts w:ascii="Times New Roman" w:hAnsi="Times New Roman" w:cs="Times New Roman"/>
                <w:color w:val="000000" w:themeColor="text1"/>
                <w:sz w:val="28"/>
                <w:szCs w:val="20"/>
              </w:rPr>
              <w:footnoteReference w:id="39"/>
            </w:r>
            <w:r w:rsidRPr="00F33E35">
              <w:rPr>
                <w:rFonts w:ascii="Times New Roman" w:hAnsi="Times New Roman" w:cs="Times New Roman"/>
                <w:color w:val="000000" w:themeColor="text1"/>
                <w:sz w:val="28"/>
                <w:szCs w:val="20"/>
              </w:rPr>
              <w:t>, expuso que los siguientes criterios son útiles para distinguir entre las actividades de monitoreo del espectro elect</w:t>
            </w:r>
            <w:r w:rsidRPr="00F33E35">
              <w:rPr>
                <w:rFonts w:ascii="Times New Roman" w:hAnsi="Times New Roman" w:cs="Times New Roman"/>
                <w:color w:val="000000" w:themeColor="text1"/>
                <w:sz w:val="28"/>
                <w:szCs w:val="20"/>
              </w:rPr>
              <w:t>romagnético y la interceptación de comunicaciones: (i) el espectro electromagnético es un bien público y para su uso se requiere autorización del Estado; (ii) los usos no autorizados del espectro electromagnético “deben ser objeto de actividades de control</w:t>
            </w:r>
            <w:r w:rsidRPr="00F33E35">
              <w:rPr>
                <w:rFonts w:ascii="Times New Roman" w:hAnsi="Times New Roman" w:cs="Times New Roman"/>
                <w:color w:val="000000" w:themeColor="text1"/>
                <w:sz w:val="28"/>
                <w:szCs w:val="20"/>
              </w:rPr>
              <w:t xml:space="preserve"> por parte de las autoridades competentes sin autorización judicial, ya que es una facultad asignada a la Agencia Nacional del Espectro, en principio, y subsidiariamente a las Fuerzas Militares, a quienes se les ha encargado la función”</w:t>
            </w:r>
            <w:r w:rsidRPr="00F33E35">
              <w:rPr>
                <w:rStyle w:val="Refdenotaalpie"/>
                <w:rFonts w:ascii="Times New Roman" w:hAnsi="Times New Roman" w:cs="Times New Roman"/>
                <w:color w:val="000000" w:themeColor="text1"/>
                <w:sz w:val="28"/>
                <w:szCs w:val="20"/>
              </w:rPr>
              <w:footnoteReference w:id="40"/>
            </w:r>
            <w:r w:rsidRPr="00F33E35">
              <w:rPr>
                <w:rFonts w:ascii="Times New Roman" w:hAnsi="Times New Roman" w:cs="Times New Roman"/>
                <w:color w:val="000000" w:themeColor="text1"/>
                <w:sz w:val="28"/>
                <w:szCs w:val="20"/>
              </w:rPr>
              <w:t>; (iii) la informac</w:t>
            </w:r>
            <w:r w:rsidRPr="00F33E35">
              <w:rPr>
                <w:rFonts w:ascii="Times New Roman" w:hAnsi="Times New Roman" w:cs="Times New Roman"/>
                <w:color w:val="000000" w:themeColor="text1"/>
                <w:sz w:val="28"/>
                <w:szCs w:val="20"/>
              </w:rPr>
              <w:t xml:space="preserve">ión trasmitida a través del espectro electromagnético puede clasificarse en pública o de dominio público; semiprivada, para cuyo acceso se requiere orden de una autoridad administrativa; privada, cuyo acceso exige una autorización judicial;  y reservada o </w:t>
            </w:r>
            <w:r w:rsidRPr="00F33E35">
              <w:rPr>
                <w:rFonts w:ascii="Times New Roman" w:hAnsi="Times New Roman" w:cs="Times New Roman"/>
                <w:color w:val="000000" w:themeColor="text1"/>
                <w:sz w:val="28"/>
                <w:szCs w:val="20"/>
              </w:rPr>
              <w:t xml:space="preserve">secreta. </w:t>
            </w:r>
          </w:p>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Al respecto, precisó que las actividades de interceptación de comunicaciones constituyen “una forma particular de monitorear las señales radioeléctricas que circulan por el espectro electromagnético”</w:t>
            </w:r>
            <w:r w:rsidRPr="00F33E35">
              <w:rPr>
                <w:rStyle w:val="Refdenotaalpie"/>
                <w:rFonts w:ascii="Times New Roman" w:hAnsi="Times New Roman" w:cs="Times New Roman"/>
                <w:color w:val="000000" w:themeColor="text1"/>
                <w:sz w:val="28"/>
                <w:szCs w:val="20"/>
              </w:rPr>
              <w:footnoteReference w:id="41"/>
            </w:r>
            <w:r w:rsidRPr="00F33E35">
              <w:rPr>
                <w:rFonts w:ascii="Times New Roman" w:hAnsi="Times New Roman" w:cs="Times New Roman"/>
                <w:color w:val="000000" w:themeColor="text1"/>
                <w:sz w:val="28"/>
                <w:szCs w:val="20"/>
              </w:rPr>
              <w:t>. Debido al carácter privado de esa informació</w:t>
            </w:r>
            <w:r w:rsidRPr="00F33E35">
              <w:rPr>
                <w:rFonts w:ascii="Times New Roman" w:hAnsi="Times New Roman" w:cs="Times New Roman"/>
                <w:color w:val="000000" w:themeColor="text1"/>
                <w:sz w:val="28"/>
                <w:szCs w:val="20"/>
              </w:rPr>
              <w:t>n, para su acceso sí debe exigirse una autorización judicial. Así, concluyó que “es indispensable una definición clara de los medios autorizados para el monitoreo del espectro electromagnético, en atención a la regularidad del uso del espectro electromagné</w:t>
            </w:r>
            <w:r w:rsidRPr="00F33E35">
              <w:rPr>
                <w:rFonts w:ascii="Times New Roman" w:hAnsi="Times New Roman" w:cs="Times New Roman"/>
                <w:color w:val="000000" w:themeColor="text1"/>
                <w:sz w:val="28"/>
                <w:szCs w:val="20"/>
              </w:rPr>
              <w:t>tico que se monitorea, así como en atención al tipo de transmisión, si es pública o privada”</w:t>
            </w:r>
            <w:r w:rsidRPr="00F33E35">
              <w:rPr>
                <w:rStyle w:val="Refdenotaalpie"/>
                <w:rFonts w:ascii="Times New Roman" w:hAnsi="Times New Roman" w:cs="Times New Roman"/>
                <w:color w:val="000000" w:themeColor="text1"/>
                <w:sz w:val="28"/>
                <w:szCs w:val="20"/>
              </w:rPr>
              <w:footnoteReference w:id="42"/>
            </w:r>
            <w:r w:rsidRPr="00F33E35">
              <w:rPr>
                <w:rFonts w:ascii="Times New Roman" w:hAnsi="Times New Roman" w:cs="Times New Roman"/>
                <w:color w:val="000000" w:themeColor="text1"/>
                <w:sz w:val="28"/>
                <w:szCs w:val="20"/>
              </w:rPr>
              <w:t>.</w:t>
            </w:r>
          </w:p>
        </w:tc>
      </w:tr>
      <w:tr w:rsidR="00FF5603" w:rsidRPr="00F33E35" w:rsidTr="006A0CFD">
        <w:trPr>
          <w:trHeight w:val="712"/>
        </w:trPr>
        <w:tc>
          <w:tcPr>
            <w:tcW w:w="1393" w:type="dxa"/>
            <w:vAlign w:val="center"/>
          </w:tcPr>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Escuela de Privacidad</w:t>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Solicitó declarar la exequibilidad del artículo 17 de la Ley 1621 de 2013, en el entendido de que “su aplicación deberá estar sujeta a </w:t>
            </w:r>
            <w:r w:rsidRPr="00F33E35">
              <w:rPr>
                <w:rFonts w:ascii="Times New Roman" w:hAnsi="Times New Roman" w:cs="Times New Roman"/>
                <w:color w:val="000000" w:themeColor="text1"/>
                <w:sz w:val="28"/>
                <w:szCs w:val="20"/>
              </w:rPr>
              <w:t>estrictas garantías judiciales y técnicas que aseguren el resguardo efectivo de los derechos fundamentales, mediante orden judicial, evitando así cualquier vulneración indebida de la intimidad y garantizando que el monitoreo se efectúe exclusivamente con f</w:t>
            </w:r>
            <w:r w:rsidRPr="00F33E35">
              <w:rPr>
                <w:rFonts w:ascii="Times New Roman" w:hAnsi="Times New Roman" w:cs="Times New Roman"/>
                <w:color w:val="000000" w:themeColor="text1"/>
                <w:sz w:val="28"/>
                <w:szCs w:val="20"/>
              </w:rPr>
              <w:t>ines legítimos y bajo el control pertinente”</w:t>
            </w:r>
            <w:r w:rsidRPr="00F33E35">
              <w:rPr>
                <w:rStyle w:val="Refdenotaalpie"/>
                <w:rFonts w:ascii="Times New Roman" w:hAnsi="Times New Roman" w:cs="Times New Roman"/>
                <w:color w:val="000000" w:themeColor="text1"/>
                <w:sz w:val="28"/>
                <w:szCs w:val="20"/>
              </w:rPr>
              <w:footnoteReference w:id="43"/>
            </w:r>
            <w:r w:rsidRPr="00F33E35">
              <w:rPr>
                <w:rFonts w:ascii="Times New Roman" w:hAnsi="Times New Roman" w:cs="Times New Roman"/>
                <w:color w:val="000000" w:themeColor="text1"/>
                <w:sz w:val="28"/>
                <w:szCs w:val="20"/>
              </w:rPr>
              <w:t>.</w:t>
            </w:r>
          </w:p>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Explicó que el monitoreo del espectro electromagnético difiere de la interpretación de comunicaciones. El primero “constituye una actividad encaminada a registrar comunicaciones por la manera en que opera. Mie</w:t>
            </w:r>
            <w:r w:rsidRPr="00F33E35">
              <w:rPr>
                <w:rFonts w:ascii="Times New Roman" w:hAnsi="Times New Roman" w:cs="Times New Roman"/>
                <w:color w:val="000000" w:themeColor="text1"/>
                <w:sz w:val="28"/>
                <w:szCs w:val="20"/>
              </w:rPr>
              <w:t>ntras que la interceptación accede al contenido transmitido —voz, datos o mensajes enviados por diversos canales— el monitoreo del espectro radioeléctrico, aunque no penetra en el contenido de las comunicaciones, obtiene información privada que puede asoci</w:t>
            </w:r>
            <w:r w:rsidRPr="00F33E35">
              <w:rPr>
                <w:rFonts w:ascii="Times New Roman" w:hAnsi="Times New Roman" w:cs="Times New Roman"/>
                <w:color w:val="000000" w:themeColor="text1"/>
                <w:sz w:val="28"/>
                <w:szCs w:val="20"/>
              </w:rPr>
              <w:t>arse a personas naturales y, en consecuencia, ser determinable”</w:t>
            </w:r>
            <w:r w:rsidRPr="00F33E35">
              <w:rPr>
                <w:rStyle w:val="Refdenotaalpie"/>
                <w:rFonts w:ascii="Times New Roman" w:hAnsi="Times New Roman" w:cs="Times New Roman"/>
                <w:color w:val="000000" w:themeColor="text1"/>
                <w:sz w:val="28"/>
                <w:szCs w:val="20"/>
              </w:rPr>
              <w:footnoteReference w:id="44"/>
            </w:r>
            <w:r w:rsidRPr="00F33E35">
              <w:rPr>
                <w:rFonts w:ascii="Times New Roman" w:hAnsi="Times New Roman" w:cs="Times New Roman"/>
                <w:color w:val="000000" w:themeColor="text1"/>
                <w:sz w:val="28"/>
                <w:szCs w:val="20"/>
              </w:rPr>
              <w:t>. Así, el monitoreo del espectro electromagnético puede afectar los derechos fundamentales a la intimidad y habeas data del titular de la información, pues los avances tecnológicos actuales, c</w:t>
            </w:r>
            <w:r w:rsidRPr="00F33E35">
              <w:rPr>
                <w:rFonts w:ascii="Times New Roman" w:hAnsi="Times New Roman" w:cs="Times New Roman"/>
                <w:color w:val="000000" w:themeColor="text1"/>
                <w:sz w:val="28"/>
                <w:szCs w:val="20"/>
              </w:rPr>
              <w:t xml:space="preserve">omo el análisis estadístico avanzado y las herramientas de </w:t>
            </w:r>
            <w:r w:rsidRPr="00F33E35">
              <w:rPr>
                <w:rFonts w:ascii="Times New Roman" w:hAnsi="Times New Roman" w:cs="Times New Roman"/>
                <w:i/>
                <w:iCs/>
                <w:color w:val="000000" w:themeColor="text1"/>
                <w:sz w:val="28"/>
                <w:szCs w:val="20"/>
              </w:rPr>
              <w:t>machine learning</w:t>
            </w:r>
            <w:r w:rsidRPr="00F33E35">
              <w:rPr>
                <w:rFonts w:ascii="Times New Roman" w:hAnsi="Times New Roman" w:cs="Times New Roman"/>
                <w:color w:val="000000" w:themeColor="text1"/>
                <w:sz w:val="28"/>
                <w:szCs w:val="20"/>
              </w:rPr>
              <w:t>, permiten cruzar datos obtenidos de diferentes fuentes –públicas o no– para deducir la identidad de la persona</w:t>
            </w:r>
            <w:r w:rsidRPr="00F33E35">
              <w:rPr>
                <w:rFonts w:ascii="Times New Roman" w:hAnsi="Times New Roman" w:cs="Times New Roman"/>
                <w:color w:val="000000" w:themeColor="text1"/>
                <w:sz w:val="28"/>
                <w:szCs w:val="20"/>
              </w:rPr>
              <w:t>,</w:t>
            </w:r>
            <w:r w:rsidRPr="00F33E35">
              <w:rPr>
                <w:rFonts w:ascii="Times New Roman" w:hAnsi="Times New Roman" w:cs="Times New Roman"/>
                <w:color w:val="000000" w:themeColor="text1"/>
                <w:sz w:val="28"/>
                <w:szCs w:val="20"/>
              </w:rPr>
              <w:t xml:space="preserve"> incluso si esta no se señala de manera expresa en la información objeto del monitoreo. En otras palabras, “aunque el monitoreo del espectro electromagnético por sí solo no identifica directamente a una persona (como lo haría una base de datos con nombres </w:t>
            </w:r>
            <w:r w:rsidRPr="00F33E35">
              <w:rPr>
                <w:rFonts w:ascii="Times New Roman" w:hAnsi="Times New Roman" w:cs="Times New Roman"/>
                <w:color w:val="000000" w:themeColor="text1"/>
                <w:sz w:val="28"/>
                <w:szCs w:val="20"/>
              </w:rPr>
              <w:t>y direcciones), sí permite rastrear dispositivos y comunicaciones que pueden conducir a una identificación indirecta”</w:t>
            </w:r>
            <w:r w:rsidRPr="00F33E35">
              <w:rPr>
                <w:rStyle w:val="Refdenotaalpie"/>
                <w:rFonts w:ascii="Times New Roman" w:hAnsi="Times New Roman" w:cs="Times New Roman"/>
                <w:color w:val="000000" w:themeColor="text1"/>
                <w:sz w:val="28"/>
                <w:szCs w:val="20"/>
              </w:rPr>
              <w:footnoteReference w:id="45"/>
            </w:r>
            <w:r w:rsidRPr="00F33E35">
              <w:rPr>
                <w:rFonts w:ascii="Times New Roman" w:hAnsi="Times New Roman" w:cs="Times New Roman"/>
                <w:color w:val="000000" w:themeColor="text1"/>
                <w:sz w:val="28"/>
                <w:szCs w:val="20"/>
              </w:rPr>
              <w:t>.</w:t>
            </w:r>
          </w:p>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Lo anterior implica que el monitoreo del espectro electromagnético podría vulnerar derechos fundamentales </w:t>
            </w:r>
            <w:r w:rsidRPr="00F33E35">
              <w:rPr>
                <w:rFonts w:ascii="Times New Roman" w:hAnsi="Times New Roman" w:cs="Times New Roman"/>
                <w:color w:val="000000" w:themeColor="text1"/>
                <w:sz w:val="28"/>
                <w:szCs w:val="20"/>
              </w:rPr>
              <w:t xml:space="preserve">si </w:t>
            </w:r>
            <w:r w:rsidRPr="00F33E35">
              <w:rPr>
                <w:rFonts w:ascii="Times New Roman" w:hAnsi="Times New Roman" w:cs="Times New Roman"/>
                <w:color w:val="000000" w:themeColor="text1"/>
                <w:sz w:val="28"/>
                <w:szCs w:val="20"/>
              </w:rPr>
              <w:t>se usa con fines ilegales o</w:t>
            </w:r>
            <w:r w:rsidRPr="00F33E35">
              <w:rPr>
                <w:rFonts w:ascii="Times New Roman" w:hAnsi="Times New Roman" w:cs="Times New Roman"/>
                <w:color w:val="000000" w:themeColor="text1"/>
                <w:sz w:val="28"/>
                <w:szCs w:val="20"/>
              </w:rPr>
              <w:t xml:space="preserve"> desproporcionados. Por tanto, para su ejercicio debería exigirse una autorización judicial.</w:t>
            </w:r>
          </w:p>
        </w:tc>
      </w:tr>
      <w:tr w:rsidR="00FF5603" w:rsidRPr="00F33E35" w:rsidTr="006A0CFD">
        <w:trPr>
          <w:trHeight w:val="1942"/>
        </w:trPr>
        <w:tc>
          <w:tcPr>
            <w:tcW w:w="1393" w:type="dxa"/>
            <w:vAlign w:val="center"/>
          </w:tcPr>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Universidad Libre</w:t>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Solicitó declarar la exequibilidad del aparte demandado, “bajo el entendido de que el monitoreo constituye en todo caso una injerencia en la vid</w:t>
            </w:r>
            <w:r w:rsidRPr="00F33E35">
              <w:rPr>
                <w:rFonts w:ascii="Times New Roman" w:hAnsi="Times New Roman" w:cs="Times New Roman"/>
                <w:color w:val="000000" w:themeColor="text1"/>
                <w:sz w:val="28"/>
                <w:szCs w:val="20"/>
              </w:rPr>
              <w:t>a privada que, en cualquier caso, requiere de control judicial”</w:t>
            </w:r>
            <w:r w:rsidRPr="00F33E35">
              <w:rPr>
                <w:rStyle w:val="Refdenotaalpie"/>
                <w:rFonts w:ascii="Times New Roman" w:hAnsi="Times New Roman" w:cs="Times New Roman"/>
                <w:color w:val="000000" w:themeColor="text1"/>
                <w:sz w:val="28"/>
                <w:szCs w:val="20"/>
              </w:rPr>
              <w:footnoteReference w:id="46"/>
            </w:r>
            <w:r w:rsidRPr="00F33E35">
              <w:rPr>
                <w:rFonts w:ascii="Times New Roman" w:hAnsi="Times New Roman" w:cs="Times New Roman"/>
                <w:color w:val="000000" w:themeColor="text1"/>
                <w:sz w:val="28"/>
                <w:szCs w:val="20"/>
              </w:rPr>
              <w:t>. Destacó que la disposición acusada debe interpretarse de conformidad con la jurisprudencia de la Corte IDH y la CADH, que hace parte del bloque de constitucionalidad en sentido estricto. Pos</w:t>
            </w:r>
            <w:r w:rsidRPr="00F33E35">
              <w:rPr>
                <w:rFonts w:ascii="Times New Roman" w:hAnsi="Times New Roman" w:cs="Times New Roman"/>
                <w:color w:val="000000" w:themeColor="text1"/>
                <w:sz w:val="28"/>
                <w:szCs w:val="20"/>
              </w:rPr>
              <w:t>teriormente, indicó que el artículo 17 de la Ley 1621 de 2013 no especifica la naturaleza ni los alcances del monitoreo del espectro electromagnético, de manera que no hay suficiente protección de los derechos de los ciudadanos frente a posibles actuacione</w:t>
            </w:r>
            <w:r w:rsidRPr="00F33E35">
              <w:rPr>
                <w:rFonts w:ascii="Times New Roman" w:hAnsi="Times New Roman" w:cs="Times New Roman"/>
                <w:color w:val="000000" w:themeColor="text1"/>
                <w:sz w:val="28"/>
                <w:szCs w:val="20"/>
              </w:rPr>
              <w:t xml:space="preserve">s arbitrarias de las autoridades en ejercicio de esa actividad. </w:t>
            </w:r>
          </w:p>
        </w:tc>
      </w:tr>
      <w:tr w:rsidR="00FF5603" w:rsidRPr="00F33E35" w:rsidTr="00901A28">
        <w:trPr>
          <w:trHeight w:val="340"/>
        </w:trPr>
        <w:tc>
          <w:tcPr>
            <w:tcW w:w="9189" w:type="dxa"/>
            <w:gridSpan w:val="2"/>
            <w:shd w:val="clear" w:color="auto" w:fill="E7E6E6" w:themeFill="background2"/>
            <w:vAlign w:val="center"/>
          </w:tcPr>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b/>
                <w:bCs/>
                <w:color w:val="000000" w:themeColor="text1"/>
                <w:sz w:val="28"/>
                <w:szCs w:val="20"/>
              </w:rPr>
              <w:t>Solicitud de estarse a lo resuelto en la Sentencia C-540 de 2012</w:t>
            </w:r>
          </w:p>
        </w:tc>
      </w:tr>
      <w:tr w:rsidR="00FF5603" w:rsidRPr="00F33E35" w:rsidTr="006A0CFD">
        <w:trPr>
          <w:trHeight w:val="5811"/>
        </w:trPr>
        <w:tc>
          <w:tcPr>
            <w:tcW w:w="1393" w:type="dxa"/>
            <w:vAlign w:val="center"/>
          </w:tcPr>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Ministerio de Defensa Nacional</w:t>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Expuso que cuando la Corte Constitucional se pronuncia sobre la exequibilidad de un proyecto </w:t>
            </w:r>
            <w:r w:rsidRPr="00F33E35">
              <w:rPr>
                <w:rFonts w:ascii="Times New Roman" w:hAnsi="Times New Roman" w:cs="Times New Roman"/>
                <w:color w:val="000000" w:themeColor="text1"/>
                <w:sz w:val="28"/>
                <w:szCs w:val="20"/>
              </w:rPr>
              <w:t xml:space="preserve">de ley estatutaria esa decisión hace tránsito a cosa juzgada absoluta. Así, como se trata de un control previo, automático e integral, las disposiciones que conforman dicha ley no pueden ser objeto de una nueva demanda en el futuro. Destacó que las normas </w:t>
            </w:r>
            <w:r w:rsidRPr="00F33E35">
              <w:rPr>
                <w:rFonts w:ascii="Times New Roman" w:hAnsi="Times New Roman" w:cs="Times New Roman"/>
                <w:color w:val="000000" w:themeColor="text1"/>
                <w:sz w:val="28"/>
                <w:szCs w:val="20"/>
              </w:rPr>
              <w:t>acusadas fueron declaradas exequibles a través de la Sentencia C-540 de 2012 y que en este caso no se presentaba un vicio de constitucionalidad sobreviniente ni un cambio en el parámetro de control, por lo que se mantenía incólume la cosa juzgada. En relac</w:t>
            </w:r>
            <w:r w:rsidRPr="00F33E35">
              <w:rPr>
                <w:rFonts w:ascii="Times New Roman" w:hAnsi="Times New Roman" w:cs="Times New Roman"/>
                <w:color w:val="000000" w:themeColor="text1"/>
                <w:sz w:val="28"/>
                <w:szCs w:val="20"/>
              </w:rPr>
              <w:t>ión con la Sentencia de la Corte IDH en el Caso CAJAR vs. Colombia, advirtió que “dicho estudio fue realizado en el contexto de una situación fáctica y jurídica previo a la expedición de la Ley 1621 de 2013. Tal hecho puede suponer que, si bien existió una</w:t>
            </w:r>
            <w:r w:rsidRPr="00F33E35">
              <w:rPr>
                <w:rFonts w:ascii="Times New Roman" w:hAnsi="Times New Roman" w:cs="Times New Roman"/>
                <w:color w:val="000000" w:themeColor="text1"/>
                <w:sz w:val="28"/>
                <w:szCs w:val="20"/>
              </w:rPr>
              <w:t xml:space="preserve"> tensión entre la doctrina de las actividades de inteligencia y la Convención Americana siendo este primer instrumento parte del bloque de constitucionalidad, a la fecha fue superado tal evento; y por tanto se adecuó el ordenamiento jurídico interno a las </w:t>
            </w:r>
            <w:r w:rsidRPr="00F33E35">
              <w:rPr>
                <w:rFonts w:ascii="Times New Roman" w:hAnsi="Times New Roman" w:cs="Times New Roman"/>
                <w:color w:val="000000" w:themeColor="text1"/>
                <w:sz w:val="28"/>
                <w:szCs w:val="20"/>
              </w:rPr>
              <w:t>disposiciones que en ella se encuentran”</w:t>
            </w:r>
            <w:r w:rsidRPr="00F33E35">
              <w:rPr>
                <w:rStyle w:val="Refdenotaalpie"/>
                <w:rFonts w:ascii="Times New Roman" w:hAnsi="Times New Roman" w:cs="Times New Roman"/>
                <w:color w:val="000000" w:themeColor="text1"/>
                <w:sz w:val="28"/>
                <w:szCs w:val="20"/>
              </w:rPr>
              <w:footnoteReference w:id="47"/>
            </w:r>
            <w:r w:rsidRPr="00F33E35">
              <w:rPr>
                <w:rFonts w:ascii="Times New Roman" w:hAnsi="Times New Roman" w:cs="Times New Roman"/>
                <w:color w:val="000000" w:themeColor="text1"/>
                <w:sz w:val="28"/>
                <w:szCs w:val="20"/>
              </w:rPr>
              <w:t>. En todo caso, advirtió que si ese argumento no fuera de recibo, el plazo que la Corte IDH otorgó al Estado colombiano para adecuar su ordenamiento jurídico interno vence en el año 2026, por lo que la demanda es im</w:t>
            </w:r>
            <w:r w:rsidRPr="00F33E35">
              <w:rPr>
                <w:rFonts w:ascii="Times New Roman" w:hAnsi="Times New Roman" w:cs="Times New Roman"/>
                <w:color w:val="000000" w:themeColor="text1"/>
                <w:sz w:val="28"/>
                <w:szCs w:val="20"/>
              </w:rPr>
              <w:t xml:space="preserve">procedente. </w:t>
            </w:r>
          </w:p>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De manera subsidiaria, el Ministerio solicitó declarar la exequibilidad del artículo 17 de la Ley 1621 de 2013. Para ello, enfatizó en que el monitoreo del espectro electromagnético es diferente a la interceptación de comunicaciones, dado que </w:t>
            </w:r>
            <w:r w:rsidRPr="00F33E35">
              <w:rPr>
                <w:rFonts w:ascii="Times New Roman" w:hAnsi="Times New Roman" w:cs="Times New Roman"/>
                <w:color w:val="000000" w:themeColor="text1"/>
                <w:sz w:val="28"/>
                <w:szCs w:val="20"/>
              </w:rPr>
              <w:t>el primero “implica maniobras preventivas o de neutralización de actividades ilícitas en todo el territorio nacional y no constituyen per se un seguimiento individual y continuo de abonados telefónicos, contenido digital o cualquier otra actividad que conf</w:t>
            </w:r>
            <w:r w:rsidRPr="00F33E35">
              <w:rPr>
                <w:rFonts w:ascii="Times New Roman" w:hAnsi="Times New Roman" w:cs="Times New Roman"/>
                <w:color w:val="000000" w:themeColor="text1"/>
                <w:sz w:val="28"/>
                <w:szCs w:val="20"/>
              </w:rPr>
              <w:t>igure la vulneración a los derechos humanos o fundamentales de los ciudadanos”</w:t>
            </w:r>
            <w:r w:rsidRPr="00F33E35">
              <w:rPr>
                <w:rStyle w:val="Refdenotaalpie"/>
                <w:rFonts w:ascii="Times New Roman" w:hAnsi="Times New Roman" w:cs="Times New Roman"/>
                <w:color w:val="000000" w:themeColor="text1"/>
                <w:sz w:val="28"/>
                <w:szCs w:val="20"/>
              </w:rPr>
              <w:footnoteReference w:id="48"/>
            </w:r>
            <w:r w:rsidRPr="00F33E35">
              <w:rPr>
                <w:rFonts w:ascii="Times New Roman" w:hAnsi="Times New Roman" w:cs="Times New Roman"/>
                <w:color w:val="000000" w:themeColor="text1"/>
                <w:sz w:val="28"/>
                <w:szCs w:val="20"/>
              </w:rPr>
              <w:t>. De ahí que equiparar ambas actividades y someter el monitoreo del espectro electromagnético a un control judicial previo, como pretenden los accionantes, “conlleva[ría] a un d</w:t>
            </w:r>
            <w:r w:rsidRPr="00F33E35">
              <w:rPr>
                <w:rFonts w:ascii="Times New Roman" w:hAnsi="Times New Roman" w:cs="Times New Roman"/>
                <w:color w:val="000000" w:themeColor="text1"/>
                <w:sz w:val="28"/>
                <w:szCs w:val="20"/>
              </w:rPr>
              <w:t>ebilitamiento de las capacidades del Estado para prevenir riesgos contra la estabilidad social, económica y política del país”</w:t>
            </w:r>
            <w:r w:rsidRPr="00F33E35">
              <w:rPr>
                <w:rStyle w:val="Refdenotaalpie"/>
                <w:rFonts w:ascii="Times New Roman" w:hAnsi="Times New Roman" w:cs="Times New Roman"/>
                <w:color w:val="000000" w:themeColor="text1"/>
                <w:sz w:val="28"/>
                <w:szCs w:val="20"/>
              </w:rPr>
              <w:footnoteReference w:id="49"/>
            </w:r>
            <w:r w:rsidRPr="00F33E35">
              <w:rPr>
                <w:rFonts w:ascii="Times New Roman" w:hAnsi="Times New Roman" w:cs="Times New Roman"/>
                <w:color w:val="000000" w:themeColor="text1"/>
                <w:sz w:val="28"/>
                <w:szCs w:val="20"/>
              </w:rPr>
              <w:t>.</w:t>
            </w:r>
          </w:p>
        </w:tc>
      </w:tr>
      <w:tr w:rsidR="00FF5603" w:rsidRPr="00F33E35" w:rsidTr="00901A28">
        <w:trPr>
          <w:trHeight w:val="325"/>
        </w:trPr>
        <w:tc>
          <w:tcPr>
            <w:tcW w:w="9189" w:type="dxa"/>
            <w:gridSpan w:val="2"/>
            <w:shd w:val="clear" w:color="auto" w:fill="E7E6E6" w:themeFill="background2"/>
            <w:vAlign w:val="center"/>
          </w:tcPr>
          <w:p w:rsidR="00FF5603" w:rsidRPr="00F33E35" w:rsidRDefault="00F33E35" w:rsidP="006A0CFD">
            <w:pPr>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Solicitudes de inhibición</w:t>
            </w:r>
          </w:p>
        </w:tc>
      </w:tr>
      <w:tr w:rsidR="00FF5603" w:rsidRPr="00F33E35" w:rsidTr="008158EB">
        <w:trPr>
          <w:trHeight w:val="503"/>
        </w:trPr>
        <w:tc>
          <w:tcPr>
            <w:tcW w:w="1393" w:type="dxa"/>
            <w:vAlign w:val="center"/>
          </w:tcPr>
          <w:p w:rsidR="00DF554B"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Comisión Colombiana </w:t>
            </w:r>
          </w:p>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de Juristas</w:t>
            </w:r>
            <w:r w:rsidRPr="00F33E35">
              <w:rPr>
                <w:rStyle w:val="Refdenotaalpie"/>
                <w:rFonts w:ascii="Times New Roman" w:hAnsi="Times New Roman" w:cs="Times New Roman"/>
                <w:color w:val="000000" w:themeColor="text1"/>
                <w:sz w:val="28"/>
                <w:szCs w:val="20"/>
              </w:rPr>
              <w:footnoteReference w:id="50"/>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Sostuvo que el cargo dirigido contra el artículo 17 de la Ley </w:t>
            </w:r>
            <w:r w:rsidRPr="00F33E35">
              <w:rPr>
                <w:rFonts w:ascii="Times New Roman" w:hAnsi="Times New Roman" w:cs="Times New Roman"/>
                <w:color w:val="000000" w:themeColor="text1"/>
                <w:sz w:val="28"/>
                <w:szCs w:val="20"/>
              </w:rPr>
              <w:t>1621 de 2013 carece de certeza porque se basa en una interpretación subjetiva de la norma, en tanto el monitoreo del espectro electromagnético no constituye una forma de interceptación y así lo reconoció la Corte en la Sentencia C-540 de 2012. Además, la d</w:t>
            </w:r>
            <w:r w:rsidRPr="00F33E35">
              <w:rPr>
                <w:rFonts w:ascii="Times New Roman" w:hAnsi="Times New Roman" w:cs="Times New Roman"/>
                <w:color w:val="000000" w:themeColor="text1"/>
                <w:sz w:val="28"/>
                <w:szCs w:val="20"/>
              </w:rPr>
              <w:t>isposición acusada distingue entre las finalidades y procedimientos de ambos conceptos, y reconoce que la interpretación requiere una autorización judicial. El cargo también carece de pertinencia porque la demanda “no sustenta [su argumentación] en cuestio</w:t>
            </w:r>
            <w:r w:rsidRPr="00F33E35">
              <w:rPr>
                <w:rFonts w:ascii="Times New Roman" w:hAnsi="Times New Roman" w:cs="Times New Roman"/>
                <w:color w:val="000000" w:themeColor="text1"/>
                <w:sz w:val="28"/>
                <w:szCs w:val="20"/>
              </w:rPr>
              <w:t>namientos fundados que permitan verificar la vulneración de alguna norma Superior, así como tampoco logra demostrar que la Constitución Política obliga a considerar al monitoreo del espectro electromagnético como una interceptación de comunicaciones”</w:t>
            </w:r>
            <w:r w:rsidRPr="00F33E35">
              <w:rPr>
                <w:rStyle w:val="Refdenotaalpie"/>
                <w:rFonts w:ascii="Times New Roman" w:hAnsi="Times New Roman" w:cs="Times New Roman"/>
                <w:color w:val="000000" w:themeColor="text1"/>
                <w:sz w:val="28"/>
                <w:szCs w:val="20"/>
              </w:rPr>
              <w:footnoteReference w:id="51"/>
            </w:r>
            <w:r w:rsidRPr="00F33E35">
              <w:rPr>
                <w:rFonts w:ascii="Times New Roman" w:hAnsi="Times New Roman" w:cs="Times New Roman"/>
                <w:color w:val="000000" w:themeColor="text1"/>
                <w:sz w:val="28"/>
                <w:szCs w:val="20"/>
              </w:rPr>
              <w:t>. Así</w:t>
            </w:r>
            <w:r w:rsidRPr="00F33E35">
              <w:rPr>
                <w:rFonts w:ascii="Times New Roman" w:hAnsi="Times New Roman" w:cs="Times New Roman"/>
                <w:color w:val="000000" w:themeColor="text1"/>
                <w:sz w:val="28"/>
                <w:szCs w:val="20"/>
              </w:rPr>
              <w:t>, los actores no demostraron que la norma acusada sea contraria a la Constitución, sino que presentaron objeciones al modelo regulatorio vigente y propusieron su alineación con estándares internacionales.</w:t>
            </w:r>
            <w:r w:rsidRPr="00F33E35">
              <w:rPr>
                <w:rFonts w:ascii="Times New Roman" w:hAnsi="Times New Roman" w:cs="Times New Roman"/>
                <w:color w:val="000000" w:themeColor="text1"/>
                <w:sz w:val="28"/>
                <w:szCs w:val="20"/>
              </w:rPr>
              <w:t xml:space="preserve"> </w:t>
            </w:r>
            <w:r w:rsidRPr="00F33E35">
              <w:rPr>
                <w:rFonts w:ascii="Times New Roman" w:hAnsi="Times New Roman" w:cs="Times New Roman"/>
                <w:color w:val="000000" w:themeColor="text1"/>
                <w:sz w:val="28"/>
                <w:szCs w:val="20"/>
              </w:rPr>
              <w:t xml:space="preserve">De manera subsidiaria, solicitó a la Corte estarse </w:t>
            </w:r>
            <w:r w:rsidRPr="00F33E35">
              <w:rPr>
                <w:rFonts w:ascii="Times New Roman" w:hAnsi="Times New Roman" w:cs="Times New Roman"/>
                <w:color w:val="000000" w:themeColor="text1"/>
                <w:sz w:val="28"/>
                <w:szCs w:val="20"/>
              </w:rPr>
              <w:t>a lo resuelto en la Sentencia C-540 de 2012.</w:t>
            </w:r>
          </w:p>
        </w:tc>
      </w:tr>
      <w:tr w:rsidR="00FF5603" w:rsidRPr="00F33E35" w:rsidTr="006A0CFD">
        <w:trPr>
          <w:trHeight w:val="3757"/>
        </w:trPr>
        <w:tc>
          <w:tcPr>
            <w:tcW w:w="1393" w:type="dxa"/>
            <w:vAlign w:val="center"/>
          </w:tcPr>
          <w:p w:rsidR="00DF554B"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Fundación Karisma y Centro de Internet y Sociedad de la </w:t>
            </w:r>
          </w:p>
          <w:p w:rsidR="00DF554B"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Universidad </w:t>
            </w:r>
          </w:p>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del Rosario</w:t>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Sostuvieron que los cargos contra el artículo 17 de la Ley 1621 de 2013 no cumplen los requisitos de certeza y pertinencia. En relación con el primero, afirmaron que la demanda se fundamentó en conjeturas sobre la naturaleza del monitoreo del espectro elec</w:t>
            </w:r>
            <w:r w:rsidRPr="00F33E35">
              <w:rPr>
                <w:rFonts w:ascii="Times New Roman" w:hAnsi="Times New Roman" w:cs="Times New Roman"/>
                <w:color w:val="000000" w:themeColor="text1"/>
                <w:sz w:val="28"/>
                <w:szCs w:val="20"/>
              </w:rPr>
              <w:t>tromagnético y le otorga un alcance diferente al dispuesto en la norma y en la Sentencia C-540 de 2012. Frente al requisito de pertinencia, estimaron que los cargos formulados carecen de naturaleza constitucional y, en su lugar, se basan en una interpretac</w:t>
            </w:r>
            <w:r w:rsidRPr="00F33E35">
              <w:rPr>
                <w:rFonts w:ascii="Times New Roman" w:hAnsi="Times New Roman" w:cs="Times New Roman"/>
                <w:color w:val="000000" w:themeColor="text1"/>
                <w:sz w:val="28"/>
                <w:szCs w:val="20"/>
              </w:rPr>
              <w:t xml:space="preserve">ión subjetiva e indebida del aparte demandado. </w:t>
            </w:r>
          </w:p>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Ahora bien, en relación con el fondo del asunto, argumentaron que el monitoreo del espectro electromagnético difiere de la interceptación de comunicaciones y no necesariamente supone injerencias en la vida pr</w:t>
            </w:r>
            <w:r w:rsidRPr="00F33E35">
              <w:rPr>
                <w:rFonts w:ascii="Times New Roman" w:hAnsi="Times New Roman" w:cs="Times New Roman"/>
                <w:color w:val="000000" w:themeColor="text1"/>
                <w:sz w:val="28"/>
                <w:szCs w:val="20"/>
              </w:rPr>
              <w:t>ivada. Debido a sus diferencias, el legislador consagró un régimen de control judicial a dichas interceptaciones, el cual no resulta compatible con la naturaleza del monitoreo del espectro electromagnético. Por tanto, aplicar por analogía ese régimen no se</w:t>
            </w:r>
            <w:r w:rsidRPr="00F33E35">
              <w:rPr>
                <w:rFonts w:ascii="Times New Roman" w:hAnsi="Times New Roman" w:cs="Times New Roman"/>
                <w:color w:val="000000" w:themeColor="text1"/>
                <w:sz w:val="28"/>
                <w:szCs w:val="20"/>
              </w:rPr>
              <w:t>ría compatible con la Constitución ni la ley y, en caso de declarar la inexequibilidad de la disposición acusada, la Corte debería definir cada uno de los aspectos del control judicial al que se sometería el monitoreo. Ello desconocería la reserva de ley q</w:t>
            </w:r>
            <w:r w:rsidRPr="00F33E35">
              <w:rPr>
                <w:rFonts w:ascii="Times New Roman" w:hAnsi="Times New Roman" w:cs="Times New Roman"/>
                <w:color w:val="000000" w:themeColor="text1"/>
                <w:sz w:val="28"/>
                <w:szCs w:val="20"/>
              </w:rPr>
              <w:t xml:space="preserve">ue rige las actividades de inteligencia y contrainteligencia.  </w:t>
            </w:r>
          </w:p>
        </w:tc>
      </w:tr>
      <w:tr w:rsidR="00FF5603" w:rsidRPr="00F33E35" w:rsidTr="00901A28">
        <w:trPr>
          <w:trHeight w:val="312"/>
        </w:trPr>
        <w:tc>
          <w:tcPr>
            <w:tcW w:w="9189" w:type="dxa"/>
            <w:gridSpan w:val="2"/>
            <w:shd w:val="clear" w:color="auto" w:fill="E7E6E6" w:themeFill="background2"/>
          </w:tcPr>
          <w:p w:rsidR="00FF5603" w:rsidRPr="00F33E35" w:rsidRDefault="00F33E35" w:rsidP="006A0CFD">
            <w:pPr>
              <w:jc w:val="center"/>
              <w:rPr>
                <w:rFonts w:ascii="Times New Roman" w:hAnsi="Times New Roman" w:cs="Times New Roman"/>
                <w:b/>
                <w:bCs/>
                <w:color w:val="000000" w:themeColor="text1"/>
                <w:sz w:val="28"/>
                <w:szCs w:val="20"/>
              </w:rPr>
            </w:pPr>
            <w:r w:rsidRPr="00F33E35">
              <w:rPr>
                <w:rFonts w:ascii="Times New Roman" w:hAnsi="Times New Roman" w:cs="Times New Roman"/>
                <w:b/>
                <w:bCs/>
                <w:i/>
                <w:iCs/>
                <w:color w:val="000000" w:themeColor="text1"/>
                <w:sz w:val="28"/>
                <w:szCs w:val="20"/>
              </w:rPr>
              <w:t>Amicus curiae</w:t>
            </w:r>
            <w:r w:rsidRPr="00F33E35">
              <w:rPr>
                <w:rFonts w:ascii="Times New Roman" w:hAnsi="Times New Roman" w:cs="Times New Roman"/>
                <w:b/>
                <w:bCs/>
                <w:color w:val="000000" w:themeColor="text1"/>
                <w:sz w:val="28"/>
                <w:szCs w:val="20"/>
              </w:rPr>
              <w:t xml:space="preserve"> sin solicitud expresa</w:t>
            </w:r>
          </w:p>
        </w:tc>
      </w:tr>
      <w:tr w:rsidR="00FF5603" w:rsidRPr="00F33E35" w:rsidTr="008158EB">
        <w:trPr>
          <w:trHeight w:val="3745"/>
        </w:trPr>
        <w:tc>
          <w:tcPr>
            <w:tcW w:w="1393" w:type="dxa"/>
            <w:vAlign w:val="center"/>
          </w:tcPr>
          <w:p w:rsidR="00DF554B" w:rsidRPr="00F33E35" w:rsidRDefault="00F33E35" w:rsidP="006A0CFD">
            <w:pPr>
              <w:jc w:val="center"/>
              <w:rPr>
                <w:rFonts w:ascii="Times New Roman" w:hAnsi="Times New Roman" w:cs="Times New Roman"/>
                <w:i/>
                <w:iCs/>
                <w:color w:val="000000" w:themeColor="text1"/>
                <w:sz w:val="28"/>
                <w:szCs w:val="20"/>
              </w:rPr>
            </w:pPr>
            <w:r w:rsidRPr="00F33E35">
              <w:rPr>
                <w:rFonts w:ascii="Times New Roman" w:hAnsi="Times New Roman" w:cs="Times New Roman"/>
                <w:i/>
                <w:iCs/>
                <w:color w:val="000000" w:themeColor="text1"/>
                <w:sz w:val="28"/>
                <w:szCs w:val="20"/>
              </w:rPr>
              <w:t xml:space="preserve">Media </w:t>
            </w:r>
          </w:p>
          <w:p w:rsidR="00FF5603" w:rsidRPr="00F33E35" w:rsidRDefault="00F33E35" w:rsidP="006A0CFD">
            <w:pPr>
              <w:jc w:val="center"/>
              <w:rPr>
                <w:rFonts w:ascii="Times New Roman" w:hAnsi="Times New Roman" w:cs="Times New Roman"/>
                <w:color w:val="000000" w:themeColor="text1"/>
                <w:sz w:val="28"/>
                <w:szCs w:val="20"/>
              </w:rPr>
            </w:pPr>
            <w:r w:rsidRPr="00F33E35">
              <w:rPr>
                <w:rFonts w:ascii="Times New Roman" w:hAnsi="Times New Roman" w:cs="Times New Roman"/>
                <w:i/>
                <w:iCs/>
                <w:color w:val="000000" w:themeColor="text1"/>
                <w:sz w:val="28"/>
                <w:szCs w:val="20"/>
              </w:rPr>
              <w:t>Defence</w:t>
            </w:r>
          </w:p>
        </w:tc>
        <w:tc>
          <w:tcPr>
            <w:tcW w:w="7796" w:type="dxa"/>
            <w:vAlign w:val="center"/>
          </w:tcPr>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Expuso que, de conformidad con la regulación internacional</w:t>
            </w:r>
            <w:r w:rsidRPr="00F33E35">
              <w:rPr>
                <w:rStyle w:val="Refdenotaalpie"/>
                <w:rFonts w:ascii="Times New Roman" w:hAnsi="Times New Roman" w:cs="Times New Roman"/>
                <w:color w:val="000000" w:themeColor="text1"/>
                <w:sz w:val="28"/>
                <w:szCs w:val="20"/>
              </w:rPr>
              <w:footnoteReference w:id="52"/>
            </w:r>
            <w:r w:rsidRPr="00F33E35">
              <w:rPr>
                <w:rFonts w:ascii="Times New Roman" w:hAnsi="Times New Roman" w:cs="Times New Roman"/>
                <w:color w:val="000000" w:themeColor="text1"/>
                <w:sz w:val="28"/>
                <w:szCs w:val="20"/>
              </w:rPr>
              <w:t xml:space="preserve"> sobre la materia, la vigilancia e interceptación de comunicaciones privadas deben sujetarse a estrictos controles legales y judiciales que garanticen que las medidas sean proporcionales y necesarias. Ello con el objetivo de evitar abusos en la recopilació</w:t>
            </w:r>
            <w:r w:rsidRPr="00F33E35">
              <w:rPr>
                <w:rFonts w:ascii="Times New Roman" w:hAnsi="Times New Roman" w:cs="Times New Roman"/>
                <w:color w:val="000000" w:themeColor="text1"/>
                <w:sz w:val="28"/>
                <w:szCs w:val="20"/>
              </w:rPr>
              <w:t xml:space="preserve">n y uso de los datos y proteger los derechos a la intimidad y libertad de expresión del titular de la información, así como los derechos de terceros. </w:t>
            </w:r>
          </w:p>
          <w:p w:rsidR="00FF5603" w:rsidRPr="00F33E35" w:rsidRDefault="00F33E35" w:rsidP="006A0CFD">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Sin embargo, en Colombia la protección a esos derechos es insuficiente. Por tanto, “[l]a obtención o rece</w:t>
            </w:r>
            <w:r w:rsidRPr="00F33E35">
              <w:rPr>
                <w:rFonts w:ascii="Times New Roman" w:hAnsi="Times New Roman" w:cs="Times New Roman"/>
                <w:color w:val="000000" w:themeColor="text1"/>
                <w:sz w:val="28"/>
                <w:szCs w:val="20"/>
              </w:rPr>
              <w:t>pción, el análisis, la utilización, el almacenamiento y la eliminación de datos interceptados en el espectro electromagnético de ondas radioeléctricas por organismos estatales colombianos en el marco de la operación de vigilancia secreta constituye una inj</w:t>
            </w:r>
            <w:r w:rsidRPr="00F33E35">
              <w:rPr>
                <w:rFonts w:ascii="Times New Roman" w:hAnsi="Times New Roman" w:cs="Times New Roman"/>
                <w:color w:val="000000" w:themeColor="text1"/>
                <w:sz w:val="28"/>
                <w:szCs w:val="20"/>
              </w:rPr>
              <w:t>erencia en la vida privada de una persona. Además, si bien la obtención de estos datos es obviamente una injerencia en el derecho a la vida privada, también lo es la transmisión de datos a otras autoridades y su utilización por éstas”</w:t>
            </w:r>
            <w:r w:rsidRPr="00F33E35">
              <w:rPr>
                <w:rStyle w:val="Refdenotaalpie"/>
                <w:rFonts w:ascii="Times New Roman" w:hAnsi="Times New Roman" w:cs="Times New Roman"/>
                <w:color w:val="000000" w:themeColor="text1"/>
                <w:sz w:val="28"/>
                <w:szCs w:val="20"/>
              </w:rPr>
              <w:footnoteReference w:id="53"/>
            </w:r>
            <w:r w:rsidRPr="00F33E35">
              <w:rPr>
                <w:rFonts w:ascii="Times New Roman" w:hAnsi="Times New Roman" w:cs="Times New Roman"/>
                <w:color w:val="000000" w:themeColor="text1"/>
                <w:sz w:val="28"/>
                <w:szCs w:val="20"/>
              </w:rPr>
              <w:t>. Concluyó que la leg</w:t>
            </w:r>
            <w:r w:rsidRPr="00F33E35">
              <w:rPr>
                <w:rFonts w:ascii="Times New Roman" w:hAnsi="Times New Roman" w:cs="Times New Roman"/>
                <w:color w:val="000000" w:themeColor="text1"/>
                <w:sz w:val="28"/>
                <w:szCs w:val="20"/>
              </w:rPr>
              <w:t>islación de cada Estado debe garantizar que sus medidas de vigilancia de comunicaciones privadas superen los siguientes requisitos: (i) estar consagradas en la ley de manera clara y precisa; (ii) contemplar recursos adecuados que permitan a las personas ac</w:t>
            </w:r>
            <w:r w:rsidRPr="00F33E35">
              <w:rPr>
                <w:rFonts w:ascii="Times New Roman" w:hAnsi="Times New Roman" w:cs="Times New Roman"/>
                <w:color w:val="000000" w:themeColor="text1"/>
                <w:sz w:val="28"/>
                <w:szCs w:val="20"/>
              </w:rPr>
              <w:t>tuar frente a prácticas arbitrarias y abusivas; (ii) perseguir un objetivo legítimo; y (iv) ser necesarias y proporcionales para alcanzar ese objetivo.</w:t>
            </w:r>
          </w:p>
        </w:tc>
      </w:tr>
    </w:tbl>
    <w:p w:rsidR="00FF5603" w:rsidRPr="00F33E35" w:rsidRDefault="00F33E35" w:rsidP="00FA1A61">
      <w:pPr>
        <w:spacing w:after="0" w:line="240" w:lineRule="auto"/>
        <w:ind w:right="-234"/>
        <w:rPr>
          <w:rFonts w:ascii="Times New Roman" w:hAnsi="Times New Roman" w:cs="Times New Roman"/>
          <w:color w:val="000000" w:themeColor="text1"/>
          <w:sz w:val="28"/>
        </w:rPr>
      </w:pPr>
      <w:r w:rsidRPr="00F33E35">
        <w:rPr>
          <w:rFonts w:ascii="Times New Roman" w:hAnsi="Times New Roman" w:cs="Times New Roman"/>
          <w:i/>
          <w:iCs/>
          <w:color w:val="000000" w:themeColor="text1"/>
          <w:sz w:val="28"/>
        </w:rPr>
        <w:t>Tabla 1</w:t>
      </w:r>
      <w:r w:rsidRPr="00F33E35">
        <w:rPr>
          <w:rFonts w:ascii="Times New Roman" w:hAnsi="Times New Roman" w:cs="Times New Roman"/>
          <w:color w:val="000000" w:themeColor="text1"/>
          <w:sz w:val="28"/>
        </w:rPr>
        <w:t>.</w:t>
      </w:r>
      <w:r w:rsidRPr="00F33E35">
        <w:rPr>
          <w:rFonts w:ascii="Times New Roman" w:hAnsi="Times New Roman" w:cs="Times New Roman"/>
          <w:color w:val="000000" w:themeColor="text1"/>
          <w:sz w:val="28"/>
        </w:rPr>
        <w:t xml:space="preserve"> Síntesis</w:t>
      </w:r>
      <w:r w:rsidRPr="00F33E35">
        <w:rPr>
          <w:rFonts w:ascii="Times New Roman" w:hAnsi="Times New Roman" w:cs="Times New Roman"/>
          <w:color w:val="000000" w:themeColor="text1"/>
          <w:sz w:val="28"/>
        </w:rPr>
        <w:t xml:space="preserve"> de las intervenciones relacionadas con el artículo </w:t>
      </w:r>
      <w:r w:rsidRPr="00F33E35">
        <w:rPr>
          <w:rFonts w:ascii="Times New Roman" w:hAnsi="Times New Roman" w:cs="Times New Roman"/>
          <w:color w:val="000000" w:themeColor="text1"/>
          <w:sz w:val="28"/>
        </w:rPr>
        <w:t>17</w:t>
      </w:r>
      <w:r w:rsidRPr="00F33E35">
        <w:rPr>
          <w:rFonts w:ascii="Times New Roman" w:hAnsi="Times New Roman" w:cs="Times New Roman"/>
          <w:color w:val="000000" w:themeColor="text1"/>
          <w:sz w:val="28"/>
        </w:rPr>
        <w:t xml:space="preserve"> de la Ley 1621 de 2013.</w:t>
      </w:r>
    </w:p>
    <w:p w:rsidR="00FF5603" w:rsidRPr="00F33E35" w:rsidRDefault="00F33E35" w:rsidP="00FA1A61">
      <w:pPr>
        <w:spacing w:after="0" w:line="240" w:lineRule="auto"/>
        <w:ind w:right="-234"/>
        <w:jc w:val="both"/>
        <w:rPr>
          <w:rFonts w:ascii="Times New Roman" w:hAnsi="Times New Roman" w:cs="Times New Roman"/>
          <w:color w:val="000000" w:themeColor="text1"/>
          <w:sz w:val="28"/>
          <w:szCs w:val="28"/>
        </w:rPr>
      </w:pPr>
    </w:p>
    <w:p w:rsidR="00FF5603" w:rsidRPr="00F33E35" w:rsidRDefault="00F33E35" w:rsidP="008158EB">
      <w:pPr>
        <w:pStyle w:val="Ttulo2"/>
        <w:jc w:val="both"/>
        <w:rPr>
          <w:rFonts w:ascii="Times New Roman" w:hAnsi="Times New Roman" w:cs="Times New Roman"/>
          <w:b/>
          <w:bCs/>
          <w:color w:val="000000" w:themeColor="text1"/>
          <w:sz w:val="28"/>
          <w:szCs w:val="28"/>
        </w:rPr>
      </w:pPr>
      <w:bookmarkStart w:id="13" w:name="_Toc205457661"/>
      <w:r w:rsidRPr="00F33E35">
        <w:rPr>
          <w:rFonts w:ascii="Times New Roman" w:hAnsi="Times New Roman" w:cs="Times New Roman"/>
          <w:b/>
          <w:bCs/>
          <w:color w:val="000000" w:themeColor="text1"/>
          <w:sz w:val="28"/>
          <w:szCs w:val="28"/>
        </w:rPr>
        <w:t>Intervenciones relacionadas con el artículo 33 de la Ley 1621 de 2013</w:t>
      </w:r>
      <w:bookmarkEnd w:id="13"/>
    </w:p>
    <w:p w:rsidR="008158EB" w:rsidRPr="00F33E35" w:rsidRDefault="00F33E35" w:rsidP="008158EB">
      <w:pPr>
        <w:spacing w:after="0" w:line="240" w:lineRule="auto"/>
        <w:rPr>
          <w:rFonts w:ascii="Times New Roman" w:hAnsi="Times New Roman" w:cs="Times New Roman"/>
          <w:sz w:val="28"/>
        </w:rPr>
      </w:pPr>
    </w:p>
    <w:tbl>
      <w:tblPr>
        <w:tblStyle w:val="Tablaconcuadrcula"/>
        <w:tblW w:w="9306" w:type="dxa"/>
        <w:tblInd w:w="45" w:type="dxa"/>
        <w:tblLook w:val="04A0" w:firstRow="1" w:lastRow="0" w:firstColumn="1" w:lastColumn="0" w:noHBand="0" w:noVBand="1"/>
      </w:tblPr>
      <w:tblGrid>
        <w:gridCol w:w="1368"/>
        <w:gridCol w:w="7938"/>
      </w:tblGrid>
      <w:tr w:rsidR="00FF5603" w:rsidRPr="00F33E35" w:rsidTr="006A0CFD">
        <w:trPr>
          <w:trHeight w:val="450"/>
        </w:trPr>
        <w:tc>
          <w:tcPr>
            <w:tcW w:w="1368" w:type="dxa"/>
            <w:shd w:val="clear" w:color="auto" w:fill="D0CECE" w:themeFill="background2" w:themeFillShade="E6"/>
            <w:vAlign w:val="center"/>
          </w:tcPr>
          <w:p w:rsidR="00FF5603" w:rsidRPr="00F33E35" w:rsidRDefault="00F33E35" w:rsidP="008158EB">
            <w:pPr>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Interviniente</w:t>
            </w:r>
          </w:p>
        </w:tc>
        <w:tc>
          <w:tcPr>
            <w:tcW w:w="7938" w:type="dxa"/>
            <w:shd w:val="clear" w:color="auto" w:fill="D0CECE" w:themeFill="background2" w:themeFillShade="E6"/>
            <w:vAlign w:val="center"/>
          </w:tcPr>
          <w:p w:rsidR="00FF5603" w:rsidRPr="00F33E35" w:rsidRDefault="00F33E35" w:rsidP="008158EB">
            <w:pPr>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Argumentos</w:t>
            </w:r>
          </w:p>
        </w:tc>
      </w:tr>
      <w:tr w:rsidR="00FF5603" w:rsidRPr="00F33E35" w:rsidTr="00BA5C27">
        <w:trPr>
          <w:trHeight w:val="412"/>
        </w:trPr>
        <w:tc>
          <w:tcPr>
            <w:tcW w:w="9306" w:type="dxa"/>
            <w:gridSpan w:val="2"/>
            <w:shd w:val="clear" w:color="auto" w:fill="E7E6E6" w:themeFill="background2"/>
            <w:vAlign w:val="center"/>
          </w:tcPr>
          <w:p w:rsidR="00FF5603" w:rsidRPr="00F33E35" w:rsidRDefault="00F33E35" w:rsidP="008158EB">
            <w:pPr>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Solicitudes de inexequibilidad</w:t>
            </w:r>
          </w:p>
        </w:tc>
      </w:tr>
      <w:tr w:rsidR="00FF5603" w:rsidRPr="00F33E35" w:rsidTr="008158EB">
        <w:trPr>
          <w:trHeight w:val="1270"/>
        </w:trPr>
        <w:tc>
          <w:tcPr>
            <w:tcW w:w="1368" w:type="dxa"/>
            <w:vAlign w:val="center"/>
          </w:tcPr>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Alirio Uribe Muñoz</w:t>
            </w:r>
          </w:p>
        </w:tc>
        <w:tc>
          <w:tcPr>
            <w:tcW w:w="7938" w:type="dxa"/>
            <w:vAlign w:val="center"/>
          </w:tcPr>
          <w:p w:rsidR="00FF5603" w:rsidRPr="00F33E35" w:rsidRDefault="00F33E35" w:rsidP="008158EB">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Expuso que en la Sentencia del Caso CAJAR vs. Colombi a, la Corte IDH concluyó que el artículo 33 de la Ley </w:t>
            </w:r>
            <w:r w:rsidRPr="00F33E35">
              <w:rPr>
                <w:rFonts w:ascii="Times New Roman" w:hAnsi="Times New Roman" w:cs="Times New Roman"/>
                <w:color w:val="000000" w:themeColor="text1"/>
                <w:sz w:val="28"/>
                <w:szCs w:val="20"/>
              </w:rPr>
              <w:t>1621 de 2013 es incompatible con los artículos 11 y 13 de la CADH. En concreto, el término general de reserva al que se refiere la disposición demandada impone restricciones excesivas e indefinidas sobre el acceso a la información, restringe el derecho a l</w:t>
            </w:r>
            <w:r w:rsidRPr="00F33E35">
              <w:rPr>
                <w:rFonts w:ascii="Times New Roman" w:hAnsi="Times New Roman" w:cs="Times New Roman"/>
                <w:color w:val="000000" w:themeColor="text1"/>
                <w:sz w:val="28"/>
                <w:szCs w:val="20"/>
              </w:rPr>
              <w:t>a autodeterminación informativa y contradice la Ley 1712 de 2014.</w:t>
            </w:r>
          </w:p>
        </w:tc>
      </w:tr>
      <w:tr w:rsidR="00FF5603" w:rsidRPr="00F33E35" w:rsidTr="008158EB">
        <w:trPr>
          <w:trHeight w:val="5184"/>
        </w:trPr>
        <w:tc>
          <w:tcPr>
            <w:tcW w:w="1368" w:type="dxa"/>
            <w:vAlign w:val="center"/>
          </w:tcPr>
          <w:p w:rsidR="00DF554B"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Centro de Estudios de Derecho, </w:t>
            </w:r>
          </w:p>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Justicia y Sociedad (Dejusticia) y Corporación Ocasa</w:t>
            </w:r>
          </w:p>
        </w:tc>
        <w:tc>
          <w:tcPr>
            <w:tcW w:w="7938" w:type="dxa"/>
            <w:vAlign w:val="center"/>
          </w:tcPr>
          <w:p w:rsidR="00FF5603" w:rsidRPr="00F33E35" w:rsidRDefault="00F33E35" w:rsidP="008158EB">
            <w:pPr>
              <w:tabs>
                <w:tab w:val="left" w:pos="2129"/>
              </w:tabs>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Expusieron que la reserva contenida en el artículo 33 de la Ley 1621 de 2013 se basa</w:t>
            </w:r>
            <w:r w:rsidRPr="00F33E35">
              <w:rPr>
                <w:rFonts w:ascii="Times New Roman" w:hAnsi="Times New Roman" w:cs="Times New Roman"/>
                <w:color w:val="000000" w:themeColor="text1"/>
                <w:sz w:val="28"/>
                <w:szCs w:val="20"/>
              </w:rPr>
              <w:t>b</w:t>
            </w:r>
            <w:r w:rsidRPr="00F33E35">
              <w:rPr>
                <w:rFonts w:ascii="Times New Roman" w:hAnsi="Times New Roman" w:cs="Times New Roman"/>
                <w:color w:val="000000" w:themeColor="text1"/>
                <w:sz w:val="28"/>
                <w:szCs w:val="20"/>
              </w:rPr>
              <w:t xml:space="preserve">a únicamente en un criterio orgánico; es decir, en la calidad del sujeto que emite la información. Ello desconoce los principios de máxima divulgación y limitación de las cláusulas normativas de acceso a la información pública. </w:t>
            </w:r>
          </w:p>
          <w:p w:rsidR="00FF5603" w:rsidRPr="00F33E35" w:rsidRDefault="00F33E35" w:rsidP="008158EB">
            <w:pPr>
              <w:tabs>
                <w:tab w:val="left" w:pos="2129"/>
              </w:tabs>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Argumentaron que para que l</w:t>
            </w:r>
            <w:r w:rsidRPr="00F33E35">
              <w:rPr>
                <w:rFonts w:ascii="Times New Roman" w:hAnsi="Times New Roman" w:cs="Times New Roman"/>
                <w:color w:val="000000" w:themeColor="text1"/>
                <w:sz w:val="28"/>
                <w:szCs w:val="20"/>
              </w:rPr>
              <w:t>a reserva contemplada en la disposición acusada sea compatible con los estándares constitucionales e interamericanos en materia de acceso a la información sería necesario “(i) atender al criterio funcional, y no orgánico, de tal manera que la información s</w:t>
            </w:r>
            <w:r w:rsidRPr="00F33E35">
              <w:rPr>
                <w:rFonts w:ascii="Times New Roman" w:hAnsi="Times New Roman" w:cs="Times New Roman"/>
                <w:color w:val="000000" w:themeColor="text1"/>
                <w:sz w:val="28"/>
                <w:szCs w:val="20"/>
              </w:rPr>
              <w:t xml:space="preserve">e reserve en virtud de la naturaleza de las funciones ejercidas por los organismos de inteligencia y contrainteligencia y no en razón de los sujetos en sí mismos, (ii) adoptar una definición clara de los fines legítimos de defensa y seguridad nacional que </w:t>
            </w:r>
            <w:r w:rsidRPr="00F33E35">
              <w:rPr>
                <w:rFonts w:ascii="Times New Roman" w:hAnsi="Times New Roman" w:cs="Times New Roman"/>
                <w:color w:val="000000" w:themeColor="text1"/>
                <w:sz w:val="28"/>
                <w:szCs w:val="20"/>
              </w:rPr>
              <w:t>justifican la extensión del tiempo de reserva y que podrían delimitar mejor cuándo aplica la reserva, (iii) exigir al organismo de inteligencia que aplique la reserva que demuestre que su decisión no solo es razonable y proporcional, como ya lo exige el ar</w:t>
            </w:r>
            <w:r w:rsidRPr="00F33E35">
              <w:rPr>
                <w:rFonts w:ascii="Times New Roman" w:hAnsi="Times New Roman" w:cs="Times New Roman"/>
                <w:color w:val="000000" w:themeColor="text1"/>
                <w:sz w:val="28"/>
                <w:szCs w:val="20"/>
              </w:rPr>
              <w:t>tículo 33 de la Ley, sino además idónea como lo sugiere la Sentencia de la Corte IDH y los estándares internacionales, (iv) que la ley establezca categorías específicas que entran dentro de la reserva, para que esta no se convierta en una autorización ambi</w:t>
            </w:r>
            <w:r w:rsidRPr="00F33E35">
              <w:rPr>
                <w:rFonts w:ascii="Times New Roman" w:hAnsi="Times New Roman" w:cs="Times New Roman"/>
                <w:color w:val="000000" w:themeColor="text1"/>
                <w:sz w:val="28"/>
                <w:szCs w:val="20"/>
              </w:rPr>
              <w:t>gua y amplia de restricción de información y (v) que se adecúe la norma de tal manera que se entienda que la reserva se podrá extender por un máximo de 15 años como lo dispone la Ley 1712 de 2014”</w:t>
            </w:r>
            <w:r w:rsidRPr="00F33E35">
              <w:rPr>
                <w:rStyle w:val="Refdenotaalpie"/>
                <w:rFonts w:ascii="Times New Roman" w:hAnsi="Times New Roman" w:cs="Times New Roman"/>
                <w:color w:val="000000" w:themeColor="text1"/>
                <w:sz w:val="28"/>
                <w:szCs w:val="20"/>
              </w:rPr>
              <w:footnoteReference w:id="54"/>
            </w:r>
            <w:r w:rsidRPr="00F33E35">
              <w:rPr>
                <w:rFonts w:ascii="Times New Roman" w:hAnsi="Times New Roman" w:cs="Times New Roman"/>
                <w:color w:val="000000" w:themeColor="text1"/>
                <w:sz w:val="28"/>
                <w:szCs w:val="20"/>
              </w:rPr>
              <w:t>. Debido a que en este caso no se cumple ninguno de esos re</w:t>
            </w:r>
            <w:r w:rsidRPr="00F33E35">
              <w:rPr>
                <w:rFonts w:ascii="Times New Roman" w:hAnsi="Times New Roman" w:cs="Times New Roman"/>
                <w:color w:val="000000" w:themeColor="text1"/>
                <w:sz w:val="28"/>
                <w:szCs w:val="20"/>
              </w:rPr>
              <w:t>quisitos, el artículo 33 de la Ley 1621 de 2013 desconoce los artículos 20, 74 y 93 de la Constitución.</w:t>
            </w:r>
          </w:p>
          <w:p w:rsidR="00FF5603" w:rsidRPr="00F33E35" w:rsidRDefault="00F33E35" w:rsidP="008158EB">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Por último, destacaron que las acciones de inteligencia y contrainteligencia pueden implicar violaciones a derechos humanos, por lo que el acceso a esa </w:t>
            </w:r>
            <w:r w:rsidRPr="00F33E35">
              <w:rPr>
                <w:rFonts w:ascii="Times New Roman" w:hAnsi="Times New Roman" w:cs="Times New Roman"/>
                <w:color w:val="000000" w:themeColor="text1"/>
                <w:sz w:val="28"/>
                <w:szCs w:val="20"/>
              </w:rPr>
              <w:t xml:space="preserve">información puede ser importante para procesos judiciales y extrajudiciales de memoria y reparación a las víctimas.  </w:t>
            </w:r>
          </w:p>
        </w:tc>
      </w:tr>
      <w:tr w:rsidR="00FF5603" w:rsidRPr="00F33E35" w:rsidTr="008158EB">
        <w:trPr>
          <w:trHeight w:val="2360"/>
        </w:trPr>
        <w:tc>
          <w:tcPr>
            <w:tcW w:w="1368" w:type="dxa"/>
            <w:vAlign w:val="center"/>
          </w:tcPr>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Escuela de Privacidad</w:t>
            </w:r>
          </w:p>
        </w:tc>
        <w:tc>
          <w:tcPr>
            <w:tcW w:w="7938" w:type="dxa"/>
            <w:vAlign w:val="center"/>
          </w:tcPr>
          <w:p w:rsidR="00FF5603" w:rsidRPr="00F33E35" w:rsidRDefault="00F33E35" w:rsidP="008158EB">
            <w:pPr>
              <w:tabs>
                <w:tab w:val="left" w:pos="2129"/>
              </w:tabs>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Indicó que existe una presunción de que la información en poder del Estado es pública, y que la disposición acusada</w:t>
            </w:r>
            <w:r w:rsidRPr="00F33E35">
              <w:rPr>
                <w:rFonts w:ascii="Times New Roman" w:hAnsi="Times New Roman" w:cs="Times New Roman"/>
                <w:color w:val="000000" w:themeColor="text1"/>
                <w:sz w:val="28"/>
                <w:szCs w:val="20"/>
              </w:rPr>
              <w:t xml:space="preserve"> viola ese postulado al establecer una presunción de reserva sobre la información que tienen los organismos de inteligencia y contrainteligencia. Además, ello desconoce que la reserva de la información no depende de las características de las entidades púb</w:t>
            </w:r>
            <w:r w:rsidRPr="00F33E35">
              <w:rPr>
                <w:rFonts w:ascii="Times New Roman" w:hAnsi="Times New Roman" w:cs="Times New Roman"/>
                <w:color w:val="000000" w:themeColor="text1"/>
                <w:sz w:val="28"/>
                <w:szCs w:val="20"/>
              </w:rPr>
              <w:t>licas sino de las condiciones específicas de esa información. Es decir, los organismos de inteligencia y contrainteligencia también manejan información catalogada como pública, sobre la cual no se puede extender una presunción de reserva. Concluyó que “[c]</w:t>
            </w:r>
            <w:r w:rsidRPr="00F33E35">
              <w:rPr>
                <w:rFonts w:ascii="Times New Roman" w:hAnsi="Times New Roman" w:cs="Times New Roman"/>
                <w:color w:val="000000" w:themeColor="text1"/>
                <w:sz w:val="28"/>
                <w:szCs w:val="20"/>
              </w:rPr>
              <w:t xml:space="preserve">omo </w:t>
            </w:r>
            <w:r w:rsidRPr="00F33E35">
              <w:rPr>
                <w:rFonts w:ascii="Times New Roman" w:hAnsi="Times New Roman" w:cs="Times New Roman"/>
                <w:color w:val="000000" w:themeColor="text1"/>
                <w:sz w:val="28"/>
                <w:szCs w:val="20"/>
                <w:lang w:val="es-MX"/>
              </w:rPr>
              <w:t>entidad pública, un organismo debe rendir cuentas y garantizar la transparencia, y no se puede excluir de manera absoluta el derecho de acceso a la información que, por su naturaleza, no reúna los requisitos para ser calificada como reservada”</w:t>
            </w:r>
            <w:r w:rsidRPr="00F33E35">
              <w:rPr>
                <w:rStyle w:val="Refdenotaalpie"/>
                <w:rFonts w:ascii="Times New Roman" w:hAnsi="Times New Roman" w:cs="Times New Roman"/>
                <w:color w:val="000000" w:themeColor="text1"/>
                <w:sz w:val="28"/>
                <w:szCs w:val="20"/>
              </w:rPr>
              <w:t xml:space="preserve"> </w:t>
            </w:r>
            <w:r w:rsidRPr="00F33E35">
              <w:rPr>
                <w:rStyle w:val="Refdenotaalpie"/>
                <w:rFonts w:ascii="Times New Roman" w:hAnsi="Times New Roman" w:cs="Times New Roman"/>
                <w:color w:val="000000" w:themeColor="text1"/>
                <w:sz w:val="28"/>
                <w:szCs w:val="20"/>
              </w:rPr>
              <w:footnoteReference w:id="55"/>
            </w:r>
          </w:p>
        </w:tc>
      </w:tr>
      <w:tr w:rsidR="00FF5603" w:rsidRPr="00F33E35" w:rsidTr="00B72E11">
        <w:trPr>
          <w:trHeight w:val="1275"/>
        </w:trPr>
        <w:tc>
          <w:tcPr>
            <w:tcW w:w="1368" w:type="dxa"/>
            <w:vAlign w:val="center"/>
          </w:tcPr>
          <w:p w:rsidR="00DF554B"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Fundación Karisma y </w:t>
            </w:r>
          </w:p>
          <w:p w:rsidR="00DF554B"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Centro de </w:t>
            </w:r>
          </w:p>
          <w:p w:rsidR="00DF554B"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Internet y Sociedad de la Universidad </w:t>
            </w:r>
          </w:p>
          <w:p w:rsidR="00FF5603" w:rsidRPr="00F33E35" w:rsidRDefault="00F33E35" w:rsidP="008158EB">
            <w:pPr>
              <w:jc w:val="center"/>
              <w:rPr>
                <w:rFonts w:ascii="Times New Roman" w:hAnsi="Times New Roman" w:cs="Times New Roman"/>
                <w:color w:val="000000" w:themeColor="text1"/>
                <w:sz w:val="28"/>
                <w:szCs w:val="20"/>
                <w:highlight w:val="cyan"/>
              </w:rPr>
            </w:pPr>
            <w:r w:rsidRPr="00F33E35">
              <w:rPr>
                <w:rFonts w:ascii="Times New Roman" w:hAnsi="Times New Roman" w:cs="Times New Roman"/>
                <w:color w:val="000000" w:themeColor="text1"/>
                <w:sz w:val="28"/>
                <w:szCs w:val="20"/>
              </w:rPr>
              <w:t>del Rosario</w:t>
            </w:r>
          </w:p>
        </w:tc>
        <w:tc>
          <w:tcPr>
            <w:tcW w:w="7938" w:type="dxa"/>
            <w:vAlign w:val="center"/>
          </w:tcPr>
          <w:p w:rsidR="00FF5603" w:rsidRPr="00F33E35" w:rsidRDefault="00F33E35" w:rsidP="008158EB">
            <w:pPr>
              <w:tabs>
                <w:tab w:val="left" w:pos="2129"/>
              </w:tabs>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Expusieron que “si se eliminara la norma demandada del ordenamiento jurídico, a partir de la lectura completa del artículo y la interpretación de esta Corte en la sentencia </w:t>
            </w:r>
            <w:r w:rsidRPr="00F33E35">
              <w:rPr>
                <w:rFonts w:ascii="Times New Roman" w:hAnsi="Times New Roman" w:cs="Times New Roman"/>
                <w:color w:val="000000" w:themeColor="text1"/>
                <w:sz w:val="28"/>
                <w:szCs w:val="20"/>
              </w:rPr>
              <w:t>C-540 de 2012, el fin legítimo aplicable para fundamentar la excepción de reserva de acceso a la información en este caso es la ‘Defensa y seguridad nacional’”</w:t>
            </w:r>
            <w:r w:rsidRPr="00F33E35">
              <w:rPr>
                <w:rStyle w:val="Refdenotaalpie"/>
                <w:rFonts w:ascii="Times New Roman" w:hAnsi="Times New Roman" w:cs="Times New Roman"/>
                <w:color w:val="000000" w:themeColor="text1"/>
                <w:sz w:val="28"/>
                <w:szCs w:val="20"/>
              </w:rPr>
              <w:footnoteReference w:id="56"/>
            </w:r>
            <w:r w:rsidRPr="00F33E35">
              <w:rPr>
                <w:rFonts w:ascii="Times New Roman" w:hAnsi="Times New Roman" w:cs="Times New Roman"/>
                <w:color w:val="000000" w:themeColor="text1"/>
                <w:sz w:val="28"/>
                <w:szCs w:val="20"/>
                <w:lang w:val="es-MX"/>
              </w:rPr>
              <w:t>. Sin embargo, ese concepto carece de una definici</w:t>
            </w:r>
            <w:r w:rsidRPr="00F33E35">
              <w:rPr>
                <w:rFonts w:ascii="Times New Roman" w:hAnsi="Times New Roman" w:cs="Times New Roman"/>
                <w:color w:val="000000" w:themeColor="text1"/>
                <w:sz w:val="28"/>
                <w:szCs w:val="20"/>
                <w:lang w:val="es-MX"/>
              </w:rPr>
              <w:t>ó</w:t>
            </w:r>
            <w:r w:rsidRPr="00F33E35">
              <w:rPr>
                <w:rFonts w:ascii="Times New Roman" w:hAnsi="Times New Roman" w:cs="Times New Roman"/>
                <w:color w:val="000000" w:themeColor="text1"/>
                <w:sz w:val="28"/>
                <w:szCs w:val="20"/>
                <w:lang w:val="es-MX"/>
              </w:rPr>
              <w:t>n precisa que permita determinar si es compat</w:t>
            </w:r>
            <w:r w:rsidRPr="00F33E35">
              <w:rPr>
                <w:rFonts w:ascii="Times New Roman" w:hAnsi="Times New Roman" w:cs="Times New Roman"/>
                <w:color w:val="000000" w:themeColor="text1"/>
                <w:sz w:val="28"/>
                <w:szCs w:val="20"/>
                <w:lang w:val="es-MX"/>
              </w:rPr>
              <w:t>ible con el derecho fundamental de acceso a la información. Asimismo, la ausencia de una definición de la expresión “defensa y seguridad nacional” impide a los organismos de inteligencia justificar la reserva de un documento y puede dar lugar a usos arbitr</w:t>
            </w:r>
            <w:r w:rsidRPr="00F33E35">
              <w:rPr>
                <w:rFonts w:ascii="Times New Roman" w:hAnsi="Times New Roman" w:cs="Times New Roman"/>
                <w:color w:val="000000" w:themeColor="text1"/>
                <w:sz w:val="28"/>
                <w:szCs w:val="20"/>
                <w:lang w:val="es-MX"/>
              </w:rPr>
              <w:t>arios de esa figura. En consecuencia, afirmaron que la Sala Plena debería “aprovech[ar] esta oportunidad constitucional para dotar de contenido y pronunciarse sobre los criterios que definen cuál información puede ser objeto de reserva, y cuál no, por el f</w:t>
            </w:r>
            <w:r w:rsidRPr="00F33E35">
              <w:rPr>
                <w:rFonts w:ascii="Times New Roman" w:hAnsi="Times New Roman" w:cs="Times New Roman"/>
                <w:color w:val="000000" w:themeColor="text1"/>
                <w:sz w:val="28"/>
                <w:szCs w:val="20"/>
                <w:lang w:val="es-MX"/>
              </w:rPr>
              <w:t>in legítimo de Defensa y seguridad nacional”</w:t>
            </w:r>
            <w:r w:rsidRPr="00F33E35">
              <w:rPr>
                <w:rStyle w:val="Refdenotaalpie"/>
                <w:rFonts w:ascii="Times New Roman" w:hAnsi="Times New Roman" w:cs="Times New Roman"/>
                <w:color w:val="000000" w:themeColor="text1"/>
                <w:sz w:val="28"/>
                <w:szCs w:val="20"/>
              </w:rPr>
              <w:t xml:space="preserve"> </w:t>
            </w:r>
            <w:r w:rsidRPr="00F33E35">
              <w:rPr>
                <w:rStyle w:val="Refdenotaalpie"/>
                <w:rFonts w:ascii="Times New Roman" w:hAnsi="Times New Roman" w:cs="Times New Roman"/>
                <w:color w:val="000000" w:themeColor="text1"/>
                <w:sz w:val="28"/>
                <w:szCs w:val="20"/>
              </w:rPr>
              <w:footnoteReference w:id="57"/>
            </w:r>
            <w:r w:rsidRPr="00F33E35">
              <w:rPr>
                <w:rFonts w:ascii="Times New Roman" w:hAnsi="Times New Roman" w:cs="Times New Roman"/>
                <w:color w:val="000000" w:themeColor="text1"/>
                <w:sz w:val="28"/>
                <w:szCs w:val="20"/>
                <w:lang w:val="es-MX"/>
              </w:rPr>
              <w:t>.</w:t>
            </w:r>
          </w:p>
        </w:tc>
      </w:tr>
      <w:tr w:rsidR="00FF5603" w:rsidRPr="00F33E35" w:rsidTr="008158EB">
        <w:trPr>
          <w:trHeight w:val="2138"/>
        </w:trPr>
        <w:tc>
          <w:tcPr>
            <w:tcW w:w="1368" w:type="dxa"/>
            <w:vAlign w:val="center"/>
          </w:tcPr>
          <w:p w:rsidR="00FF5603" w:rsidRPr="00F33E35" w:rsidRDefault="00F33E35" w:rsidP="008158EB">
            <w:pPr>
              <w:jc w:val="center"/>
              <w:rPr>
                <w:rFonts w:ascii="Times New Roman" w:hAnsi="Times New Roman" w:cs="Times New Roman"/>
                <w:color w:val="000000" w:themeColor="text1"/>
                <w:sz w:val="28"/>
                <w:szCs w:val="20"/>
                <w:highlight w:val="cyan"/>
              </w:rPr>
            </w:pPr>
            <w:r w:rsidRPr="00F33E35">
              <w:rPr>
                <w:rFonts w:ascii="Times New Roman" w:hAnsi="Times New Roman" w:cs="Times New Roman"/>
                <w:color w:val="000000" w:themeColor="text1"/>
                <w:sz w:val="28"/>
                <w:szCs w:val="20"/>
              </w:rPr>
              <w:t>Fundación para la Libertad de Prensa – FLIP</w:t>
            </w:r>
          </w:p>
        </w:tc>
        <w:tc>
          <w:tcPr>
            <w:tcW w:w="7938" w:type="dxa"/>
            <w:vAlign w:val="center"/>
          </w:tcPr>
          <w:p w:rsidR="00FF5603" w:rsidRPr="00F33E35" w:rsidRDefault="00F33E35" w:rsidP="008158EB">
            <w:pPr>
              <w:tabs>
                <w:tab w:val="left" w:pos="2129"/>
              </w:tabs>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Argumentó que la disposición demandada desconoce los artículos 10, 29, 74 y 93 de la Constitución, los cuales establecen estándares sobre el acceso a la información de interés público. Una de las facetas de ese derecho consiste en que la ciudadanía pueda c</w:t>
            </w:r>
            <w:r w:rsidRPr="00F33E35">
              <w:rPr>
                <w:rFonts w:ascii="Times New Roman" w:hAnsi="Times New Roman" w:cs="Times New Roman"/>
                <w:color w:val="000000" w:themeColor="text1"/>
                <w:sz w:val="28"/>
                <w:szCs w:val="20"/>
              </w:rPr>
              <w:t>onocer la información que proviene del Estado. Además, cuando esa información tiene una marcada relevancia pública la reserva no puede ser absoluta y ambigua, incluso si aquella está relacionada con la seguridad nacional. Adicionalmente, destacó que la dec</w:t>
            </w:r>
            <w:r w:rsidRPr="00F33E35">
              <w:rPr>
                <w:rFonts w:ascii="Times New Roman" w:hAnsi="Times New Roman" w:cs="Times New Roman"/>
                <w:color w:val="000000" w:themeColor="text1"/>
                <w:sz w:val="28"/>
                <w:szCs w:val="20"/>
              </w:rPr>
              <w:t>isión de las autoridades de negar a una persona el acceso a determinada información debe garantizar el derecho al debido proceso del peticionario. Para ello, es necesario cumplir con los principios de legalidad, necesidad y proporcionalidad, aplicar una pr</w:t>
            </w:r>
            <w:r w:rsidRPr="00F33E35">
              <w:rPr>
                <w:rFonts w:ascii="Times New Roman" w:hAnsi="Times New Roman" w:cs="Times New Roman"/>
                <w:color w:val="000000" w:themeColor="text1"/>
                <w:sz w:val="28"/>
                <w:szCs w:val="20"/>
              </w:rPr>
              <w:t xml:space="preserve">ueba del daño y motivar la decisión de manera clara y suficiente. </w:t>
            </w:r>
          </w:p>
        </w:tc>
      </w:tr>
      <w:tr w:rsidR="00FF5603" w:rsidRPr="00F33E35" w:rsidTr="00BA5C27">
        <w:trPr>
          <w:trHeight w:val="408"/>
        </w:trPr>
        <w:tc>
          <w:tcPr>
            <w:tcW w:w="9306" w:type="dxa"/>
            <w:gridSpan w:val="2"/>
            <w:shd w:val="clear" w:color="auto" w:fill="E7E6E6" w:themeFill="background2"/>
            <w:vAlign w:val="center"/>
          </w:tcPr>
          <w:p w:rsidR="00FF5603" w:rsidRPr="00F33E35" w:rsidRDefault="00F33E35" w:rsidP="008158EB">
            <w:pPr>
              <w:tabs>
                <w:tab w:val="left" w:pos="2129"/>
              </w:tabs>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Solicitudes de exequibilidad</w:t>
            </w:r>
          </w:p>
        </w:tc>
      </w:tr>
      <w:tr w:rsidR="00FF5603" w:rsidRPr="00F33E35" w:rsidTr="008158EB">
        <w:trPr>
          <w:trHeight w:val="1662"/>
        </w:trPr>
        <w:tc>
          <w:tcPr>
            <w:tcW w:w="1368" w:type="dxa"/>
            <w:vAlign w:val="center"/>
          </w:tcPr>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Ministerio de las TIC</w:t>
            </w:r>
          </w:p>
        </w:tc>
        <w:tc>
          <w:tcPr>
            <w:tcW w:w="7938" w:type="dxa"/>
            <w:vAlign w:val="center"/>
          </w:tcPr>
          <w:p w:rsidR="00FF5603" w:rsidRPr="00F33E35" w:rsidRDefault="00F33E35" w:rsidP="008158EB">
            <w:pPr>
              <w:tabs>
                <w:tab w:val="left" w:pos="2129"/>
              </w:tabs>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Afirmó que la disposición demandada es compatible con los estándares convencionales, porque “no conlleva frente al individuo una </w:t>
            </w:r>
            <w:r w:rsidRPr="00F33E35">
              <w:rPr>
                <w:rFonts w:ascii="Times New Roman" w:hAnsi="Times New Roman" w:cs="Times New Roman"/>
                <w:color w:val="000000" w:themeColor="text1"/>
                <w:sz w:val="28"/>
                <w:szCs w:val="20"/>
              </w:rPr>
              <w:t>injerencia en su vida privada, honra, dignidad, libertad de pensamiento, expresión, por el contrario, sí esa información se hace pública, y sin contexto, sí se afectaría al individuo”</w:t>
            </w:r>
            <w:r w:rsidRPr="00F33E35">
              <w:rPr>
                <w:rStyle w:val="Refdenotaalpie"/>
                <w:rFonts w:ascii="Times New Roman" w:hAnsi="Times New Roman" w:cs="Times New Roman"/>
                <w:color w:val="000000" w:themeColor="text1"/>
                <w:sz w:val="28"/>
                <w:szCs w:val="20"/>
              </w:rPr>
              <w:footnoteReference w:id="58"/>
            </w:r>
            <w:r w:rsidRPr="00F33E35">
              <w:rPr>
                <w:rFonts w:ascii="Times New Roman" w:hAnsi="Times New Roman" w:cs="Times New Roman"/>
                <w:color w:val="000000" w:themeColor="text1"/>
                <w:sz w:val="28"/>
                <w:szCs w:val="20"/>
              </w:rPr>
              <w:t>. En todo caso, no toda la información perteneciente a organismos de int</w:t>
            </w:r>
            <w:r w:rsidRPr="00F33E35">
              <w:rPr>
                <w:rFonts w:ascii="Times New Roman" w:hAnsi="Times New Roman" w:cs="Times New Roman"/>
                <w:color w:val="000000" w:themeColor="text1"/>
                <w:sz w:val="28"/>
                <w:szCs w:val="20"/>
              </w:rPr>
              <w:t xml:space="preserve">eligencia y contrainteligencia está sometida a la reserva establecida en el aparte acusado, sino solo aquella que cumpla con los tres requisitos a los que se refiere el parágrafo 2 del artículo 33 de la Ley 1621 de 2013.  </w:t>
            </w:r>
          </w:p>
        </w:tc>
      </w:tr>
      <w:tr w:rsidR="00FF5603" w:rsidRPr="00F33E35" w:rsidTr="00BA5C27">
        <w:trPr>
          <w:trHeight w:val="414"/>
        </w:trPr>
        <w:tc>
          <w:tcPr>
            <w:tcW w:w="9306" w:type="dxa"/>
            <w:gridSpan w:val="2"/>
            <w:shd w:val="clear" w:color="auto" w:fill="E7E6E6" w:themeFill="background2"/>
            <w:vAlign w:val="center"/>
          </w:tcPr>
          <w:p w:rsidR="00FF5603" w:rsidRPr="00F33E35" w:rsidRDefault="00F33E35" w:rsidP="008158EB">
            <w:pPr>
              <w:tabs>
                <w:tab w:val="left" w:pos="2129"/>
              </w:tabs>
              <w:jc w:val="center"/>
              <w:rPr>
                <w:rFonts w:ascii="Times New Roman" w:hAnsi="Times New Roman" w:cs="Times New Roman"/>
                <w:color w:val="000000" w:themeColor="text1"/>
                <w:sz w:val="28"/>
                <w:szCs w:val="20"/>
              </w:rPr>
            </w:pPr>
            <w:r w:rsidRPr="00F33E35">
              <w:rPr>
                <w:rFonts w:ascii="Times New Roman" w:hAnsi="Times New Roman" w:cs="Times New Roman"/>
                <w:b/>
                <w:bCs/>
                <w:color w:val="000000" w:themeColor="text1"/>
                <w:sz w:val="28"/>
                <w:szCs w:val="20"/>
              </w:rPr>
              <w:t xml:space="preserve">Solicitudes de exequibilidad </w:t>
            </w:r>
            <w:r w:rsidRPr="00F33E35">
              <w:rPr>
                <w:rFonts w:ascii="Times New Roman" w:hAnsi="Times New Roman" w:cs="Times New Roman"/>
                <w:b/>
                <w:bCs/>
                <w:color w:val="000000" w:themeColor="text1"/>
                <w:sz w:val="28"/>
                <w:szCs w:val="20"/>
              </w:rPr>
              <w:t>condicionada</w:t>
            </w:r>
          </w:p>
        </w:tc>
      </w:tr>
      <w:tr w:rsidR="00FF5603" w:rsidRPr="00F33E35" w:rsidTr="008158EB">
        <w:trPr>
          <w:trHeight w:val="3115"/>
        </w:trPr>
        <w:tc>
          <w:tcPr>
            <w:tcW w:w="1368" w:type="dxa"/>
            <w:vAlign w:val="center"/>
          </w:tcPr>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Dirección Nacional de Inteligencia</w:t>
            </w:r>
          </w:p>
        </w:tc>
        <w:tc>
          <w:tcPr>
            <w:tcW w:w="7938" w:type="dxa"/>
            <w:vAlign w:val="center"/>
          </w:tcPr>
          <w:p w:rsidR="00FF5603" w:rsidRPr="00F33E35" w:rsidRDefault="00F33E35" w:rsidP="008158EB">
            <w:pPr>
              <w:tabs>
                <w:tab w:val="left" w:pos="2129"/>
              </w:tabs>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Solicitó declarar la exequibilidad condicionada del aparte demandado del artículo 33 de la Ley 1621 de 2013, “en el sentido de que la reserva a la que se refiere el citado artículo se circunscribe únicamente</w:t>
            </w:r>
            <w:r w:rsidRPr="00F33E35">
              <w:rPr>
                <w:rFonts w:ascii="Times New Roman" w:hAnsi="Times New Roman" w:cs="Times New Roman"/>
                <w:color w:val="000000" w:themeColor="text1"/>
                <w:sz w:val="28"/>
                <w:szCs w:val="20"/>
              </w:rPr>
              <w:t xml:space="preserve"> a la información, documentación y elementos técnicos que se encuentran directamente relacionados con el desarrollo de las labores de inteligencia y contrainteligencia”</w:t>
            </w:r>
            <w:r w:rsidRPr="00F33E35">
              <w:rPr>
                <w:rStyle w:val="Refdenotaalpie"/>
                <w:rFonts w:ascii="Times New Roman" w:hAnsi="Times New Roman" w:cs="Times New Roman"/>
                <w:color w:val="000000" w:themeColor="text1"/>
                <w:sz w:val="28"/>
                <w:szCs w:val="20"/>
              </w:rPr>
              <w:footnoteReference w:id="59"/>
            </w:r>
            <w:r w:rsidRPr="00F33E35">
              <w:rPr>
                <w:rFonts w:ascii="Times New Roman" w:hAnsi="Times New Roman" w:cs="Times New Roman"/>
                <w:color w:val="000000" w:themeColor="text1"/>
                <w:sz w:val="28"/>
                <w:szCs w:val="20"/>
              </w:rPr>
              <w:t>. Ello, en cuanto esa información busca garantizar la seguridad nacional y proteger los</w:t>
            </w:r>
            <w:r w:rsidRPr="00F33E35">
              <w:rPr>
                <w:rFonts w:ascii="Times New Roman" w:hAnsi="Times New Roman" w:cs="Times New Roman"/>
                <w:color w:val="000000" w:themeColor="text1"/>
                <w:sz w:val="28"/>
                <w:szCs w:val="20"/>
              </w:rPr>
              <w:t xml:space="preserve"> derechos fundamentales de las víctimas y de quienes intervienen en las labores de inteligencia. En todo caso, expuso que el ordenamiento jurídico contempla mecanismos para garantizar el derecho de acceso a la información de los ciudadanos: por un lado, el</w:t>
            </w:r>
            <w:r w:rsidRPr="00F33E35">
              <w:rPr>
                <w:rFonts w:ascii="Times New Roman" w:hAnsi="Times New Roman" w:cs="Times New Roman"/>
                <w:color w:val="000000" w:themeColor="text1"/>
                <w:sz w:val="28"/>
                <w:szCs w:val="20"/>
              </w:rPr>
              <w:t xml:space="preserve"> parágrafo 2 del artículo acusado establece que los organismos que invoquen la reserva objeto de estudio tienen el deber de motivar su decisión bajo criterios de proporcionalidad y razonabilidad. Por otro lado, si la persona interesada no estuviera de acue</w:t>
            </w:r>
            <w:r w:rsidRPr="00F33E35">
              <w:rPr>
                <w:rFonts w:ascii="Times New Roman" w:hAnsi="Times New Roman" w:cs="Times New Roman"/>
                <w:color w:val="000000" w:themeColor="text1"/>
                <w:sz w:val="28"/>
                <w:szCs w:val="20"/>
              </w:rPr>
              <w:t xml:space="preserve">rdo con la reserva, puede presentar un recurso de reposición o acudir a la figura de la insistencia, en los términos de los artículos 27 de la Ley 1712 de 2014 y 26 de la Ley 1437 de 2011. </w:t>
            </w:r>
          </w:p>
        </w:tc>
      </w:tr>
      <w:tr w:rsidR="00FF5603" w:rsidRPr="00F33E35" w:rsidTr="008158EB">
        <w:trPr>
          <w:trHeight w:val="1704"/>
        </w:trPr>
        <w:tc>
          <w:tcPr>
            <w:tcW w:w="1368" w:type="dxa"/>
            <w:vAlign w:val="center"/>
          </w:tcPr>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Katherine Castro Londoño y Nicole Ballesteros Giraldo</w:t>
            </w:r>
          </w:p>
        </w:tc>
        <w:tc>
          <w:tcPr>
            <w:tcW w:w="7938" w:type="dxa"/>
            <w:vAlign w:val="center"/>
          </w:tcPr>
          <w:p w:rsidR="00FF5603" w:rsidRPr="00F33E35" w:rsidRDefault="00F33E35" w:rsidP="008158EB">
            <w:pPr>
              <w:tabs>
                <w:tab w:val="left" w:pos="2129"/>
              </w:tabs>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Solicitaron</w:t>
            </w:r>
            <w:r w:rsidRPr="00F33E35">
              <w:rPr>
                <w:rFonts w:ascii="Times New Roman" w:hAnsi="Times New Roman" w:cs="Times New Roman"/>
                <w:color w:val="000000" w:themeColor="text1"/>
                <w:sz w:val="28"/>
                <w:szCs w:val="20"/>
              </w:rPr>
              <w:t xml:space="preserve"> que el artículo 33 de la Ley 1621 de 2013 “sea declarado exequible condicionalmente siempre y cuando se incluyan las definiciones de defensa y seguridad nacional, establezca categorías en la reserva de la información en el marco de dichas definiciones y q</w:t>
            </w:r>
            <w:r w:rsidRPr="00F33E35">
              <w:rPr>
                <w:rFonts w:ascii="Times New Roman" w:hAnsi="Times New Roman" w:cs="Times New Roman"/>
                <w:color w:val="000000" w:themeColor="text1"/>
                <w:sz w:val="28"/>
                <w:szCs w:val="20"/>
              </w:rPr>
              <w:t>ue lo anterior obedece [a] principios de idoneidad, necesidad y proporcionalidad”</w:t>
            </w:r>
            <w:r w:rsidRPr="00F33E35">
              <w:rPr>
                <w:rStyle w:val="Refdenotaalpie"/>
                <w:rFonts w:ascii="Times New Roman" w:hAnsi="Times New Roman" w:cs="Times New Roman"/>
                <w:color w:val="000000" w:themeColor="text1"/>
                <w:sz w:val="28"/>
                <w:szCs w:val="20"/>
              </w:rPr>
              <w:footnoteReference w:id="60"/>
            </w:r>
            <w:r w:rsidRPr="00F33E35">
              <w:rPr>
                <w:rFonts w:ascii="Times New Roman" w:hAnsi="Times New Roman" w:cs="Times New Roman"/>
                <w:color w:val="000000" w:themeColor="text1"/>
                <w:sz w:val="28"/>
                <w:szCs w:val="20"/>
              </w:rPr>
              <w:t>. Fundamentaron su petición en la necesidad de que el Estado colombiano ajuste su ordenamiento jurídico al estándar interamericano fijado en la Sentencia de la Corte IDH en e</w:t>
            </w:r>
            <w:r w:rsidRPr="00F33E35">
              <w:rPr>
                <w:rFonts w:ascii="Times New Roman" w:hAnsi="Times New Roman" w:cs="Times New Roman"/>
                <w:color w:val="000000" w:themeColor="text1"/>
                <w:sz w:val="28"/>
                <w:szCs w:val="20"/>
              </w:rPr>
              <w:t>l Caso CAJAR vs. Colombia, y en aplicación de los artículos 2 y 11 de la CADH.</w:t>
            </w:r>
          </w:p>
        </w:tc>
      </w:tr>
      <w:tr w:rsidR="00FF5603" w:rsidRPr="00F33E35" w:rsidTr="006A0CFD">
        <w:trPr>
          <w:trHeight w:val="2268"/>
        </w:trPr>
        <w:tc>
          <w:tcPr>
            <w:tcW w:w="1368" w:type="dxa"/>
            <w:vAlign w:val="center"/>
          </w:tcPr>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Universidad Libre</w:t>
            </w:r>
          </w:p>
        </w:tc>
        <w:tc>
          <w:tcPr>
            <w:tcW w:w="7938" w:type="dxa"/>
            <w:vAlign w:val="center"/>
          </w:tcPr>
          <w:p w:rsidR="00FF5603" w:rsidRPr="00F33E35" w:rsidRDefault="00F33E35" w:rsidP="008158EB">
            <w:pPr>
              <w:tabs>
                <w:tab w:val="left" w:pos="2129"/>
              </w:tabs>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Solicitó declarar la exequibilidad de los incisos primero y segundo del artículo 33 de la Ley 1621 de 2013, “bajo el entendido que no se ha desarrollado legal</w:t>
            </w:r>
            <w:r w:rsidRPr="00F33E35">
              <w:rPr>
                <w:rFonts w:ascii="Times New Roman" w:hAnsi="Times New Roman" w:cs="Times New Roman"/>
                <w:color w:val="000000" w:themeColor="text1"/>
                <w:sz w:val="28"/>
                <w:szCs w:val="20"/>
              </w:rPr>
              <w:t>mente claridad</w:t>
            </w:r>
            <w:r w:rsidRPr="00F33E35">
              <w:rPr>
                <w:rFonts w:ascii="Times New Roman" w:hAnsi="Times New Roman" w:cs="Times New Roman"/>
                <w:color w:val="000000" w:themeColor="text1"/>
                <w:sz w:val="28"/>
                <w:szCs w:val="20"/>
              </w:rPr>
              <w:t xml:space="preserve"> (sic)</w:t>
            </w:r>
            <w:r w:rsidRPr="00F33E35">
              <w:rPr>
                <w:rFonts w:ascii="Times New Roman" w:hAnsi="Times New Roman" w:cs="Times New Roman"/>
                <w:color w:val="000000" w:themeColor="text1"/>
                <w:sz w:val="28"/>
                <w:szCs w:val="20"/>
              </w:rPr>
              <w:t xml:space="preserve"> sobre los requisitos, formas y procedimientos para acceder a la documentación sujeta a reserva, más si se tiene en cuenta que existe un antecedente de la CIDH que lo ordena”</w:t>
            </w:r>
            <w:r w:rsidRPr="00F33E35">
              <w:rPr>
                <w:rStyle w:val="Refdenotaalpie"/>
                <w:rFonts w:ascii="Times New Roman" w:hAnsi="Times New Roman" w:cs="Times New Roman"/>
                <w:color w:val="000000" w:themeColor="text1"/>
                <w:sz w:val="28"/>
                <w:szCs w:val="20"/>
              </w:rPr>
              <w:footnoteReference w:id="61"/>
            </w:r>
            <w:r w:rsidRPr="00F33E35">
              <w:rPr>
                <w:rFonts w:ascii="Times New Roman" w:hAnsi="Times New Roman" w:cs="Times New Roman"/>
                <w:color w:val="000000" w:themeColor="text1"/>
                <w:sz w:val="28"/>
                <w:szCs w:val="20"/>
              </w:rPr>
              <w:t xml:space="preserve">. Después de destacar la importancia de la jurisprudencia de </w:t>
            </w:r>
            <w:r w:rsidRPr="00F33E35">
              <w:rPr>
                <w:rFonts w:ascii="Times New Roman" w:hAnsi="Times New Roman" w:cs="Times New Roman"/>
                <w:color w:val="000000" w:themeColor="text1"/>
                <w:sz w:val="28"/>
                <w:szCs w:val="20"/>
              </w:rPr>
              <w:t>la Corte IDH, afirmó que la disposición demandada no indica con claridad los requisitos para que los organismos de inteligencia y contrainteligencia invoquen la reserva de la información, lo que en la práctica permite a esas autoridades dilatar los trámite</w:t>
            </w:r>
            <w:r w:rsidRPr="00F33E35">
              <w:rPr>
                <w:rFonts w:ascii="Times New Roman" w:hAnsi="Times New Roman" w:cs="Times New Roman"/>
                <w:color w:val="000000" w:themeColor="text1"/>
                <w:sz w:val="28"/>
                <w:szCs w:val="20"/>
              </w:rPr>
              <w:t xml:space="preserve">s de manera injustificada y afectar los derechos a la verdad, privacidad y buen nombre de las personas interesadas. </w:t>
            </w:r>
          </w:p>
        </w:tc>
      </w:tr>
      <w:tr w:rsidR="00FF5603" w:rsidRPr="00F33E35" w:rsidTr="00BA5C27">
        <w:trPr>
          <w:trHeight w:val="425"/>
        </w:trPr>
        <w:tc>
          <w:tcPr>
            <w:tcW w:w="9306" w:type="dxa"/>
            <w:gridSpan w:val="2"/>
            <w:shd w:val="clear" w:color="auto" w:fill="E7E6E6" w:themeFill="background2"/>
            <w:vAlign w:val="center"/>
          </w:tcPr>
          <w:p w:rsidR="00FF5603" w:rsidRPr="00F33E35" w:rsidRDefault="00F33E35" w:rsidP="008158EB">
            <w:pPr>
              <w:tabs>
                <w:tab w:val="left" w:pos="2129"/>
              </w:tabs>
              <w:jc w:val="center"/>
              <w:rPr>
                <w:rFonts w:ascii="Times New Roman" w:hAnsi="Times New Roman" w:cs="Times New Roman"/>
                <w:color w:val="000000" w:themeColor="text1"/>
                <w:sz w:val="28"/>
                <w:szCs w:val="20"/>
              </w:rPr>
            </w:pPr>
            <w:r w:rsidRPr="00F33E35">
              <w:rPr>
                <w:rFonts w:ascii="Times New Roman" w:hAnsi="Times New Roman" w:cs="Times New Roman"/>
                <w:b/>
                <w:bCs/>
                <w:color w:val="000000" w:themeColor="text1"/>
                <w:sz w:val="28"/>
                <w:szCs w:val="20"/>
              </w:rPr>
              <w:t>Solicitud de estarse a lo resuelto en la Sentencia C-540 de 2012</w:t>
            </w:r>
          </w:p>
        </w:tc>
      </w:tr>
      <w:tr w:rsidR="00FF5603" w:rsidRPr="00F33E35" w:rsidTr="008158EB">
        <w:trPr>
          <w:trHeight w:val="1495"/>
        </w:trPr>
        <w:tc>
          <w:tcPr>
            <w:tcW w:w="1368" w:type="dxa"/>
            <w:vAlign w:val="center"/>
          </w:tcPr>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Ministerio de Defensa Nacional</w:t>
            </w:r>
          </w:p>
        </w:tc>
        <w:tc>
          <w:tcPr>
            <w:tcW w:w="7938" w:type="dxa"/>
            <w:vAlign w:val="center"/>
          </w:tcPr>
          <w:p w:rsidR="00FF5603" w:rsidRPr="00F33E35" w:rsidRDefault="00F33E35" w:rsidP="008158EB">
            <w:pPr>
              <w:tabs>
                <w:tab w:val="left" w:pos="2129"/>
              </w:tabs>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Expuso que en este caso se configuró una </w:t>
            </w:r>
            <w:r w:rsidRPr="00F33E35">
              <w:rPr>
                <w:rFonts w:ascii="Times New Roman" w:hAnsi="Times New Roman" w:cs="Times New Roman"/>
                <w:color w:val="000000" w:themeColor="text1"/>
                <w:sz w:val="28"/>
                <w:szCs w:val="20"/>
              </w:rPr>
              <w:t>cosa juzgada absoluta en relación con lo decidido en la Sentencia C-540 de 2012</w:t>
            </w:r>
            <w:r w:rsidRPr="00F33E35">
              <w:rPr>
                <w:rStyle w:val="Refdenotaalpie"/>
                <w:rFonts w:ascii="Times New Roman" w:hAnsi="Times New Roman" w:cs="Times New Roman"/>
                <w:color w:val="000000" w:themeColor="text1"/>
                <w:sz w:val="28"/>
                <w:szCs w:val="20"/>
              </w:rPr>
              <w:footnoteReference w:id="62"/>
            </w:r>
            <w:r w:rsidRPr="00F33E35">
              <w:rPr>
                <w:rFonts w:ascii="Times New Roman" w:hAnsi="Times New Roman" w:cs="Times New Roman"/>
                <w:color w:val="000000" w:themeColor="text1"/>
                <w:sz w:val="28"/>
                <w:szCs w:val="20"/>
              </w:rPr>
              <w:t>.</w:t>
            </w:r>
            <w:r w:rsidRPr="00F33E35">
              <w:rPr>
                <w:rFonts w:ascii="Times New Roman" w:hAnsi="Times New Roman" w:cs="Times New Roman"/>
                <w:color w:val="000000" w:themeColor="text1"/>
                <w:sz w:val="28"/>
                <w:szCs w:val="20"/>
              </w:rPr>
              <w:t xml:space="preserve"> </w:t>
            </w:r>
            <w:r w:rsidRPr="00F33E35">
              <w:rPr>
                <w:rFonts w:ascii="Times New Roman" w:hAnsi="Times New Roman" w:cs="Times New Roman"/>
                <w:color w:val="000000" w:themeColor="text1"/>
                <w:sz w:val="28"/>
                <w:szCs w:val="20"/>
              </w:rPr>
              <w:t xml:space="preserve">De manera subsidiaria, solicitó declarar exequible el artículo 33 de la Ley 1621 de 2013. Argumentó que ningún derecho fundamental es absoluto, por lo que es válido imponer restricciones al acceso a la información. Además, cuando esta es obtenida a través </w:t>
            </w:r>
            <w:r w:rsidRPr="00F33E35">
              <w:rPr>
                <w:rFonts w:ascii="Times New Roman" w:hAnsi="Times New Roman" w:cs="Times New Roman"/>
                <w:color w:val="000000" w:themeColor="text1"/>
                <w:sz w:val="28"/>
                <w:szCs w:val="20"/>
              </w:rPr>
              <w:t xml:space="preserve">de labores de inteligencia, la reserva cobra especial sentido porque protege bienes superiores, como la defensa nacional, la seguridad pública y la vida de fuentes, agentes y víctimas.  </w:t>
            </w:r>
          </w:p>
        </w:tc>
      </w:tr>
      <w:tr w:rsidR="00FF5603" w:rsidRPr="00F33E35" w:rsidTr="00BA5C27">
        <w:trPr>
          <w:trHeight w:val="382"/>
        </w:trPr>
        <w:tc>
          <w:tcPr>
            <w:tcW w:w="9306" w:type="dxa"/>
            <w:gridSpan w:val="2"/>
            <w:shd w:val="clear" w:color="auto" w:fill="E7E6E6" w:themeFill="background2"/>
            <w:vAlign w:val="center"/>
          </w:tcPr>
          <w:p w:rsidR="00FF5603" w:rsidRPr="00F33E35" w:rsidRDefault="00F33E35" w:rsidP="008158EB">
            <w:pPr>
              <w:tabs>
                <w:tab w:val="left" w:pos="2129"/>
              </w:tabs>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Solicitudes de inhibición</w:t>
            </w:r>
          </w:p>
        </w:tc>
      </w:tr>
      <w:tr w:rsidR="00FF5603" w:rsidRPr="00F33E35" w:rsidTr="008158EB">
        <w:trPr>
          <w:trHeight w:val="2067"/>
        </w:trPr>
        <w:tc>
          <w:tcPr>
            <w:tcW w:w="1368" w:type="dxa"/>
            <w:vAlign w:val="center"/>
          </w:tcPr>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Comisión Colombiana de Juristas</w:t>
            </w:r>
          </w:p>
        </w:tc>
        <w:tc>
          <w:tcPr>
            <w:tcW w:w="7938" w:type="dxa"/>
            <w:vAlign w:val="center"/>
          </w:tcPr>
          <w:p w:rsidR="00FF5603" w:rsidRPr="00F33E35" w:rsidRDefault="00F33E35" w:rsidP="008158EB">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Sostuvo </w:t>
            </w:r>
            <w:r w:rsidRPr="00F33E35">
              <w:rPr>
                <w:rFonts w:ascii="Times New Roman" w:hAnsi="Times New Roman" w:cs="Times New Roman"/>
                <w:color w:val="000000" w:themeColor="text1"/>
                <w:sz w:val="28"/>
                <w:szCs w:val="20"/>
              </w:rPr>
              <w:t>que el cargo dirigido contra el artículo 33 de la Ley 1621 de 2013 carece de certeza porque no demuestra la contradicción entre esa disposición y una norma constitucional concreta. Es más, los demandantes afirman que el régimen de reserva de la información</w:t>
            </w:r>
            <w:r w:rsidRPr="00F33E35">
              <w:rPr>
                <w:rFonts w:ascii="Times New Roman" w:hAnsi="Times New Roman" w:cs="Times New Roman"/>
                <w:color w:val="000000" w:themeColor="text1"/>
                <w:sz w:val="28"/>
                <w:szCs w:val="20"/>
              </w:rPr>
              <w:t xml:space="preserve"> en Colombia podría generar abusos, pero no indican qué estándar constitucional se estaría desconociendo en este caso.  El cargo también carece de pertinencia, “pues su argumentación no se fundamenta en una contradicción manifiesta con la Constitución, sin</w:t>
            </w:r>
            <w:r w:rsidRPr="00F33E35">
              <w:rPr>
                <w:rFonts w:ascii="Times New Roman" w:hAnsi="Times New Roman" w:cs="Times New Roman"/>
                <w:color w:val="000000" w:themeColor="text1"/>
                <w:sz w:val="28"/>
                <w:szCs w:val="20"/>
              </w:rPr>
              <w:t>o en la presunción de que la norma podría ser más precisa en la definición de categorías de información reservada”</w:t>
            </w:r>
            <w:r w:rsidRPr="00F33E35">
              <w:rPr>
                <w:rStyle w:val="Refdenotaalpie"/>
                <w:rFonts w:ascii="Times New Roman" w:hAnsi="Times New Roman" w:cs="Times New Roman"/>
                <w:color w:val="000000" w:themeColor="text1"/>
                <w:sz w:val="28"/>
                <w:szCs w:val="20"/>
              </w:rPr>
              <w:footnoteReference w:id="63"/>
            </w:r>
            <w:r w:rsidRPr="00F33E35">
              <w:rPr>
                <w:rFonts w:ascii="Times New Roman" w:hAnsi="Times New Roman" w:cs="Times New Roman"/>
                <w:color w:val="000000" w:themeColor="text1"/>
                <w:sz w:val="28"/>
                <w:szCs w:val="20"/>
              </w:rPr>
              <w:t>. Así, el cargo cuestiona un asunto relacionado únicamente con el diseño legislativo.</w:t>
            </w:r>
            <w:r w:rsidRPr="00F33E35">
              <w:rPr>
                <w:rFonts w:ascii="Times New Roman" w:hAnsi="Times New Roman" w:cs="Times New Roman"/>
                <w:color w:val="000000" w:themeColor="text1"/>
                <w:sz w:val="28"/>
                <w:szCs w:val="20"/>
              </w:rPr>
              <w:t xml:space="preserve"> </w:t>
            </w:r>
            <w:r w:rsidRPr="00F33E35">
              <w:rPr>
                <w:rFonts w:ascii="Times New Roman" w:hAnsi="Times New Roman" w:cs="Times New Roman"/>
                <w:color w:val="000000" w:themeColor="text1"/>
                <w:sz w:val="28"/>
                <w:szCs w:val="20"/>
              </w:rPr>
              <w:t>De manera subsidiaria, solicitó a la Corte estarse a lo</w:t>
            </w:r>
            <w:r w:rsidRPr="00F33E35">
              <w:rPr>
                <w:rFonts w:ascii="Times New Roman" w:hAnsi="Times New Roman" w:cs="Times New Roman"/>
                <w:color w:val="000000" w:themeColor="text1"/>
                <w:sz w:val="28"/>
                <w:szCs w:val="20"/>
              </w:rPr>
              <w:t xml:space="preserve"> resuelto en la Sentencia C-540 de 2012.</w:t>
            </w:r>
          </w:p>
        </w:tc>
      </w:tr>
    </w:tbl>
    <w:p w:rsidR="00FF5603" w:rsidRPr="00F33E35" w:rsidRDefault="00F33E35" w:rsidP="00FA1A61">
      <w:pPr>
        <w:spacing w:after="0" w:line="240" w:lineRule="auto"/>
        <w:ind w:right="-234"/>
        <w:rPr>
          <w:rFonts w:ascii="Times New Roman" w:hAnsi="Times New Roman" w:cs="Times New Roman"/>
          <w:color w:val="000000" w:themeColor="text1"/>
          <w:sz w:val="28"/>
        </w:rPr>
      </w:pPr>
      <w:r w:rsidRPr="00F33E35">
        <w:rPr>
          <w:rFonts w:ascii="Times New Roman" w:hAnsi="Times New Roman" w:cs="Times New Roman"/>
          <w:i/>
          <w:iCs/>
          <w:color w:val="000000" w:themeColor="text1"/>
          <w:sz w:val="28"/>
        </w:rPr>
        <w:t>Tabla 2</w:t>
      </w:r>
      <w:r w:rsidRPr="00F33E35">
        <w:rPr>
          <w:rFonts w:ascii="Times New Roman" w:hAnsi="Times New Roman" w:cs="Times New Roman"/>
          <w:color w:val="000000" w:themeColor="text1"/>
          <w:sz w:val="28"/>
        </w:rPr>
        <w:t>.</w:t>
      </w:r>
      <w:r w:rsidRPr="00F33E35">
        <w:rPr>
          <w:rFonts w:ascii="Times New Roman" w:hAnsi="Times New Roman" w:cs="Times New Roman"/>
          <w:color w:val="000000" w:themeColor="text1"/>
          <w:sz w:val="28"/>
        </w:rPr>
        <w:t xml:space="preserve"> Síntesis</w:t>
      </w:r>
      <w:r w:rsidRPr="00F33E35">
        <w:rPr>
          <w:rFonts w:ascii="Times New Roman" w:hAnsi="Times New Roman" w:cs="Times New Roman"/>
          <w:color w:val="000000" w:themeColor="text1"/>
          <w:sz w:val="28"/>
        </w:rPr>
        <w:t xml:space="preserve"> de las intervenciones relacionadas con el artículo 33 de la Ley 1621 de 2013.</w:t>
      </w:r>
    </w:p>
    <w:p w:rsidR="00FF5603" w:rsidRPr="00F33E35" w:rsidRDefault="00F33E35" w:rsidP="00FA1A61">
      <w:pPr>
        <w:spacing w:after="0" w:line="240" w:lineRule="auto"/>
        <w:ind w:right="-234"/>
        <w:rPr>
          <w:rFonts w:ascii="Times New Roman" w:hAnsi="Times New Roman" w:cs="Times New Roman"/>
          <w:color w:val="000000" w:themeColor="text1"/>
          <w:sz w:val="28"/>
        </w:rPr>
      </w:pPr>
    </w:p>
    <w:p w:rsidR="00FF5603" w:rsidRPr="00F33E35" w:rsidRDefault="00F33E35" w:rsidP="00721066">
      <w:pPr>
        <w:pStyle w:val="Ttulo2"/>
        <w:rPr>
          <w:rFonts w:ascii="Times New Roman" w:hAnsi="Times New Roman" w:cs="Times New Roman"/>
          <w:b/>
          <w:bCs/>
          <w:color w:val="000000" w:themeColor="text1"/>
          <w:sz w:val="28"/>
          <w:szCs w:val="28"/>
        </w:rPr>
      </w:pPr>
      <w:bookmarkStart w:id="14" w:name="_Toc205457662"/>
      <w:r w:rsidRPr="00F33E35">
        <w:rPr>
          <w:rFonts w:ascii="Times New Roman" w:hAnsi="Times New Roman" w:cs="Times New Roman"/>
          <w:b/>
          <w:bCs/>
          <w:color w:val="000000" w:themeColor="text1"/>
          <w:sz w:val="28"/>
          <w:szCs w:val="28"/>
        </w:rPr>
        <w:t>Conceptos especializados de autoridades públicas</w:t>
      </w:r>
      <w:bookmarkEnd w:id="14"/>
    </w:p>
    <w:p w:rsidR="00FF5603" w:rsidRPr="00F33E35" w:rsidRDefault="00F33E35" w:rsidP="00FA1A61">
      <w:pPr>
        <w:spacing w:after="0" w:line="240" w:lineRule="auto"/>
        <w:ind w:right="-234"/>
        <w:jc w:val="both"/>
        <w:rPr>
          <w:rFonts w:ascii="Times New Roman" w:hAnsi="Times New Roman" w:cs="Times New Roman"/>
          <w:color w:val="000000" w:themeColor="text1"/>
          <w:sz w:val="28"/>
          <w:szCs w:val="28"/>
        </w:rPr>
      </w:pPr>
    </w:p>
    <w:tbl>
      <w:tblPr>
        <w:tblStyle w:val="Tablaconcuadrcula"/>
        <w:tblW w:w="9351" w:type="dxa"/>
        <w:tblLook w:val="04A0" w:firstRow="1" w:lastRow="0" w:firstColumn="1" w:lastColumn="0" w:noHBand="0" w:noVBand="1"/>
      </w:tblPr>
      <w:tblGrid>
        <w:gridCol w:w="1413"/>
        <w:gridCol w:w="7938"/>
      </w:tblGrid>
      <w:tr w:rsidR="00FF5603" w:rsidRPr="00F33E35" w:rsidTr="008158EB">
        <w:trPr>
          <w:trHeight w:val="424"/>
        </w:trPr>
        <w:tc>
          <w:tcPr>
            <w:tcW w:w="1413" w:type="dxa"/>
            <w:shd w:val="clear" w:color="auto" w:fill="D0CECE" w:themeFill="background2" w:themeFillShade="E6"/>
            <w:vAlign w:val="center"/>
          </w:tcPr>
          <w:p w:rsidR="00FF5603" w:rsidRPr="00F33E35" w:rsidRDefault="00F33E35" w:rsidP="008158EB">
            <w:pPr>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Interviniente</w:t>
            </w:r>
          </w:p>
        </w:tc>
        <w:tc>
          <w:tcPr>
            <w:tcW w:w="7938" w:type="dxa"/>
            <w:shd w:val="clear" w:color="auto" w:fill="D0CECE" w:themeFill="background2" w:themeFillShade="E6"/>
            <w:vAlign w:val="center"/>
          </w:tcPr>
          <w:p w:rsidR="00FF5603" w:rsidRPr="00F33E35" w:rsidRDefault="00F33E35" w:rsidP="008158EB">
            <w:pPr>
              <w:jc w:val="center"/>
              <w:rPr>
                <w:rFonts w:ascii="Times New Roman" w:hAnsi="Times New Roman" w:cs="Times New Roman"/>
                <w:b/>
                <w:bCs/>
                <w:color w:val="000000" w:themeColor="text1"/>
                <w:sz w:val="28"/>
                <w:szCs w:val="20"/>
              </w:rPr>
            </w:pPr>
            <w:r w:rsidRPr="00F33E35">
              <w:rPr>
                <w:rFonts w:ascii="Times New Roman" w:hAnsi="Times New Roman" w:cs="Times New Roman"/>
                <w:b/>
                <w:bCs/>
                <w:color w:val="000000" w:themeColor="text1"/>
                <w:sz w:val="28"/>
                <w:szCs w:val="20"/>
              </w:rPr>
              <w:t>Argumentos</w:t>
            </w:r>
          </w:p>
        </w:tc>
      </w:tr>
      <w:tr w:rsidR="00FF5603" w:rsidRPr="00F33E35" w:rsidTr="008158EB">
        <w:trPr>
          <w:trHeight w:val="566"/>
        </w:trPr>
        <w:tc>
          <w:tcPr>
            <w:tcW w:w="1413" w:type="dxa"/>
            <w:vAlign w:val="center"/>
          </w:tcPr>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Agencia Nacional del Espectro – ANE</w:t>
            </w:r>
          </w:p>
        </w:tc>
        <w:tc>
          <w:tcPr>
            <w:tcW w:w="7938" w:type="dxa"/>
            <w:vAlign w:val="center"/>
          </w:tcPr>
          <w:p w:rsidR="00FF5603" w:rsidRPr="00F33E35" w:rsidRDefault="00F33E35" w:rsidP="008158EB">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 xml:space="preserve">De </w:t>
            </w:r>
            <w:r w:rsidRPr="00F33E35">
              <w:rPr>
                <w:rFonts w:ascii="Times New Roman" w:hAnsi="Times New Roman" w:cs="Times New Roman"/>
                <w:color w:val="000000" w:themeColor="text1"/>
                <w:sz w:val="28"/>
                <w:szCs w:val="20"/>
              </w:rPr>
              <w:t>conformidad con la Ley 1341 de 2009, la ANE tiene el objetivo de garantizar el uso eficiente y ordenado del espectro radioeléctrico</w:t>
            </w:r>
            <w:r w:rsidRPr="00F33E35">
              <w:rPr>
                <w:rStyle w:val="Refdenotaalpie"/>
                <w:rFonts w:ascii="Times New Roman" w:hAnsi="Times New Roman" w:cs="Times New Roman"/>
                <w:color w:val="000000" w:themeColor="text1"/>
                <w:sz w:val="28"/>
                <w:szCs w:val="20"/>
              </w:rPr>
              <w:footnoteReference w:id="64"/>
            </w:r>
            <w:r w:rsidRPr="00F33E35">
              <w:rPr>
                <w:rFonts w:ascii="Times New Roman" w:hAnsi="Times New Roman" w:cs="Times New Roman"/>
                <w:color w:val="000000" w:themeColor="text1"/>
                <w:sz w:val="28"/>
                <w:szCs w:val="20"/>
              </w:rPr>
              <w:t>, para lo cual ejerce labores de monitoreo. La entidad destacó la importancia de “diferenciar el monitoreo de la interceptac</w:t>
            </w:r>
            <w:r w:rsidRPr="00F33E35">
              <w:rPr>
                <w:rFonts w:ascii="Times New Roman" w:hAnsi="Times New Roman" w:cs="Times New Roman"/>
                <w:color w:val="000000" w:themeColor="text1"/>
                <w:sz w:val="28"/>
                <w:szCs w:val="20"/>
              </w:rPr>
              <w:t>ión de las telecomunicaciones que llevan a cabo los destinatarios de la ley de inteligencia, ya que sus finalidades, métodos y procedimientos son evidentemente distintos. Por ejemplo, la interceptación de comunicaciones se realiza para obtener el contenido</w:t>
            </w:r>
            <w:r w:rsidRPr="00F33E35">
              <w:rPr>
                <w:rFonts w:ascii="Times New Roman" w:hAnsi="Times New Roman" w:cs="Times New Roman"/>
                <w:color w:val="000000" w:themeColor="text1"/>
                <w:sz w:val="28"/>
                <w:szCs w:val="20"/>
              </w:rPr>
              <w:t xml:space="preserve"> de las comunicaciones privadas, generalmente con fines de inteligencia, seguridad nacional o investigaciones criminales, actividad que (…) requiere de procesos de demodulación y/o decodificación. Ello implica la captura y análisis del contenido de las com</w:t>
            </w:r>
            <w:r w:rsidRPr="00F33E35">
              <w:rPr>
                <w:rFonts w:ascii="Times New Roman" w:hAnsi="Times New Roman" w:cs="Times New Roman"/>
                <w:color w:val="000000" w:themeColor="text1"/>
                <w:sz w:val="28"/>
                <w:szCs w:val="20"/>
              </w:rPr>
              <w:t xml:space="preserve">unicaciones, ya sean telefónicas, electrónicas o de datos. Esto puede incluir conversaciones telefónicas, correos electrónicos, mensajes de texto, entre otros. El monitoreo del espectro realizado por la ANE (…) es un mecanismo de comprobación técnica y ha </w:t>
            </w:r>
            <w:r w:rsidRPr="00F33E35">
              <w:rPr>
                <w:rFonts w:ascii="Times New Roman" w:hAnsi="Times New Roman" w:cs="Times New Roman"/>
                <w:color w:val="000000" w:themeColor="text1"/>
                <w:sz w:val="28"/>
                <w:szCs w:val="20"/>
              </w:rPr>
              <w:t>sido desarrollado para asegurar la conformidad del uso del espectro con los parámetros y normas técnicas establecidas para los sistemas de radiocomunicaciones y no da acceso a la información contenida en las emisiones”</w:t>
            </w:r>
            <w:r w:rsidRPr="00F33E35">
              <w:rPr>
                <w:rStyle w:val="Refdenotaalpie"/>
                <w:rFonts w:ascii="Times New Roman" w:hAnsi="Times New Roman" w:cs="Times New Roman"/>
                <w:color w:val="000000" w:themeColor="text1"/>
                <w:sz w:val="28"/>
                <w:szCs w:val="20"/>
              </w:rPr>
              <w:footnoteReference w:id="65"/>
            </w:r>
            <w:r w:rsidRPr="00F33E35">
              <w:rPr>
                <w:rFonts w:ascii="Times New Roman" w:hAnsi="Times New Roman" w:cs="Times New Roman"/>
                <w:color w:val="000000" w:themeColor="text1"/>
                <w:sz w:val="28"/>
                <w:szCs w:val="20"/>
              </w:rPr>
              <w:t>.</w:t>
            </w:r>
          </w:p>
        </w:tc>
      </w:tr>
      <w:tr w:rsidR="00FF5603" w:rsidRPr="00F33E35" w:rsidTr="008158EB">
        <w:trPr>
          <w:trHeight w:val="2528"/>
        </w:trPr>
        <w:tc>
          <w:tcPr>
            <w:tcW w:w="1413" w:type="dxa"/>
            <w:vAlign w:val="center"/>
          </w:tcPr>
          <w:p w:rsidR="00FF5603" w:rsidRPr="00F33E35" w:rsidRDefault="00F33E35" w:rsidP="008158EB">
            <w:pPr>
              <w:jc w:val="center"/>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Fiscalía General de la Nación</w:t>
            </w:r>
          </w:p>
        </w:tc>
        <w:tc>
          <w:tcPr>
            <w:tcW w:w="7938" w:type="dxa"/>
            <w:vAlign w:val="center"/>
          </w:tcPr>
          <w:p w:rsidR="00FF5603" w:rsidRPr="00F33E35" w:rsidRDefault="00F33E35" w:rsidP="008158EB">
            <w:pPr>
              <w:jc w:val="both"/>
              <w:rPr>
                <w:rFonts w:ascii="Times New Roman" w:hAnsi="Times New Roman" w:cs="Times New Roman"/>
                <w:color w:val="000000" w:themeColor="text1"/>
                <w:sz w:val="28"/>
                <w:szCs w:val="20"/>
              </w:rPr>
            </w:pPr>
            <w:r w:rsidRPr="00F33E35">
              <w:rPr>
                <w:rFonts w:ascii="Times New Roman" w:hAnsi="Times New Roman" w:cs="Times New Roman"/>
                <w:color w:val="000000" w:themeColor="text1"/>
                <w:sz w:val="28"/>
                <w:szCs w:val="20"/>
              </w:rPr>
              <w:t>Info</w:t>
            </w:r>
            <w:r w:rsidRPr="00F33E35">
              <w:rPr>
                <w:rFonts w:ascii="Times New Roman" w:hAnsi="Times New Roman" w:cs="Times New Roman"/>
                <w:color w:val="000000" w:themeColor="text1"/>
                <w:sz w:val="28"/>
                <w:szCs w:val="20"/>
              </w:rPr>
              <w:t xml:space="preserve">rmó que no lleva a cabo actividades de inteligencia o contrainteligencia, por lo que no realiza monitoreos del espectro electromagnético ni cuenta con información que, en virtud de las disposiciones demandadas, estén sometidas a reserva. Precisó que en la </w:t>
            </w:r>
            <w:r w:rsidRPr="00F33E35">
              <w:rPr>
                <w:rFonts w:ascii="Times New Roman" w:hAnsi="Times New Roman" w:cs="Times New Roman"/>
                <w:color w:val="000000" w:themeColor="text1"/>
                <w:sz w:val="28"/>
                <w:szCs w:val="20"/>
              </w:rPr>
              <w:t>Sentencia C-540 de 2012 la Corte indicó que no puede confundirse dicho monitoreo con los actos propios de una investigación penal. Por un lado, el Código de Procedimiento Penal faculta a la Fiscalía para interceptar comunicaciones en el marco de un proceso</w:t>
            </w:r>
            <w:r w:rsidRPr="00F33E35">
              <w:rPr>
                <w:rFonts w:ascii="Times New Roman" w:hAnsi="Times New Roman" w:cs="Times New Roman"/>
                <w:color w:val="000000" w:themeColor="text1"/>
                <w:sz w:val="28"/>
                <w:szCs w:val="20"/>
              </w:rPr>
              <w:t xml:space="preserve"> penal concreto con el propósito de recaudar elementos materiales probatorios y evidencia física para demostrar la ocurrencia de la conducta objeto de investigación. Esas actuaciones de policía judicial se diferencian del monitoreo del espectro electromagn</w:t>
            </w:r>
            <w:r w:rsidRPr="00F33E35">
              <w:rPr>
                <w:rFonts w:ascii="Times New Roman" w:hAnsi="Times New Roman" w:cs="Times New Roman"/>
                <w:color w:val="000000" w:themeColor="text1"/>
                <w:sz w:val="28"/>
                <w:szCs w:val="20"/>
              </w:rPr>
              <w:t>ético porque este no consiste en un rastreo selectivo sobre sujetos individualizados ni puede implicar el registro de comunicaciones privadas, para lo cual se requeriría una orden judicial.</w:t>
            </w:r>
          </w:p>
        </w:tc>
      </w:tr>
    </w:tbl>
    <w:p w:rsidR="00FF5603" w:rsidRPr="00F33E35" w:rsidRDefault="00F33E35" w:rsidP="00FA1A61">
      <w:pPr>
        <w:spacing w:after="0" w:line="240" w:lineRule="auto"/>
        <w:ind w:right="-234"/>
        <w:rPr>
          <w:rFonts w:ascii="Times New Roman" w:hAnsi="Times New Roman" w:cs="Times New Roman"/>
          <w:color w:val="000000" w:themeColor="text1"/>
          <w:sz w:val="28"/>
        </w:rPr>
      </w:pPr>
      <w:r w:rsidRPr="00F33E35">
        <w:rPr>
          <w:rFonts w:ascii="Times New Roman" w:hAnsi="Times New Roman" w:cs="Times New Roman"/>
          <w:i/>
          <w:iCs/>
          <w:color w:val="000000" w:themeColor="text1"/>
          <w:sz w:val="28"/>
        </w:rPr>
        <w:t>Tabla 3</w:t>
      </w:r>
      <w:r w:rsidRPr="00F33E35">
        <w:rPr>
          <w:rFonts w:ascii="Times New Roman" w:hAnsi="Times New Roman" w:cs="Times New Roman"/>
          <w:color w:val="000000" w:themeColor="text1"/>
          <w:sz w:val="28"/>
        </w:rPr>
        <w:t>.</w:t>
      </w:r>
      <w:r w:rsidRPr="00F33E35">
        <w:rPr>
          <w:rFonts w:ascii="Times New Roman" w:hAnsi="Times New Roman" w:cs="Times New Roman"/>
          <w:color w:val="000000" w:themeColor="text1"/>
          <w:sz w:val="28"/>
        </w:rPr>
        <w:t xml:space="preserve"> Síntesis</w:t>
      </w:r>
      <w:r w:rsidRPr="00F33E35">
        <w:rPr>
          <w:rFonts w:ascii="Times New Roman" w:hAnsi="Times New Roman" w:cs="Times New Roman"/>
          <w:color w:val="000000" w:themeColor="text1"/>
          <w:sz w:val="28"/>
        </w:rPr>
        <w:t xml:space="preserve"> de los conceptos especializados de autoridades públicas.</w:t>
      </w:r>
    </w:p>
    <w:p w:rsidR="00FF5603" w:rsidRPr="00F33E35" w:rsidRDefault="00F33E35" w:rsidP="00FA1A61">
      <w:pPr>
        <w:spacing w:after="0" w:line="240" w:lineRule="auto"/>
        <w:ind w:right="-234"/>
        <w:jc w:val="both"/>
        <w:rPr>
          <w:rFonts w:ascii="Times New Roman" w:eastAsia="Times New Roman" w:hAnsi="Times New Roman" w:cs="Times New Roman"/>
          <w:snapToGrid w:val="0"/>
          <w:position w:val="6"/>
          <w:sz w:val="28"/>
          <w:szCs w:val="28"/>
          <w:lang w:val="es-ES" w:eastAsia="es-ES"/>
        </w:rPr>
      </w:pPr>
    </w:p>
    <w:p w:rsidR="00FF5603" w:rsidRPr="00F33E35" w:rsidRDefault="00F33E35" w:rsidP="008158EB">
      <w:pPr>
        <w:pStyle w:val="Prrafodelista"/>
        <w:numPr>
          <w:ilvl w:val="0"/>
          <w:numId w:val="4"/>
        </w:numPr>
        <w:shd w:val="clear" w:color="auto" w:fill="FFFFFF"/>
        <w:spacing w:after="0" w:line="240" w:lineRule="auto"/>
        <w:ind w:left="0" w:firstLine="0"/>
        <w:contextualSpacing w:val="0"/>
        <w:jc w:val="both"/>
        <w:outlineLvl w:val="0"/>
        <w:rPr>
          <w:rFonts w:ascii="Times New Roman" w:eastAsia="Times New Roman" w:hAnsi="Times New Roman" w:cs="Times New Roman"/>
          <w:b/>
          <w:bCs/>
          <w:iCs/>
          <w:snapToGrid w:val="0"/>
          <w:color w:val="000000" w:themeColor="text1"/>
          <w:position w:val="6"/>
          <w:sz w:val="28"/>
          <w:szCs w:val="28"/>
          <w:lang w:eastAsia="es-ES"/>
        </w:rPr>
      </w:pPr>
      <w:bookmarkStart w:id="15" w:name="_Toc205457663"/>
      <w:bookmarkStart w:id="16" w:name="_Hlk126762944"/>
      <w:bookmarkEnd w:id="9"/>
      <w:r w:rsidRPr="00F33E35">
        <w:rPr>
          <w:rFonts w:ascii="Times New Roman" w:eastAsia="Times New Roman" w:hAnsi="Times New Roman" w:cs="Times New Roman"/>
          <w:b/>
          <w:bCs/>
          <w:iCs/>
          <w:snapToGrid w:val="0"/>
          <w:color w:val="000000" w:themeColor="text1"/>
          <w:position w:val="6"/>
          <w:sz w:val="28"/>
          <w:szCs w:val="28"/>
          <w:lang w:eastAsia="es-ES"/>
        </w:rPr>
        <w:t>CONCEPTO DE LA PROCURADURÍA GENERAL DE LA NACIÓN</w:t>
      </w:r>
      <w:bookmarkEnd w:id="15"/>
    </w:p>
    <w:p w:rsidR="00FF5603" w:rsidRPr="00F33E35" w:rsidRDefault="00F33E35" w:rsidP="008158EB">
      <w:pPr>
        <w:pStyle w:val="Prrafodelista"/>
        <w:shd w:val="clear" w:color="auto" w:fill="FFFFFF"/>
        <w:spacing w:after="0" w:line="240" w:lineRule="auto"/>
        <w:ind w:left="0"/>
        <w:contextualSpacing w:val="0"/>
        <w:jc w:val="both"/>
        <w:rPr>
          <w:rFonts w:ascii="Times New Roman" w:eastAsia="Times New Roman" w:hAnsi="Times New Roman" w:cs="Times New Roman"/>
          <w:i/>
          <w:snapToGrid w:val="0"/>
          <w:color w:val="000000" w:themeColor="text1"/>
          <w:position w:val="6"/>
          <w:sz w:val="28"/>
          <w:szCs w:val="28"/>
          <w:lang w:eastAsia="es-ES"/>
        </w:rPr>
      </w:pPr>
    </w:p>
    <w:p w:rsidR="00FF5603" w:rsidRPr="00F33E35" w:rsidRDefault="00F33E35" w:rsidP="008158EB">
      <w:pPr>
        <w:pStyle w:val="Prrafodelista"/>
        <w:numPr>
          <w:ilvl w:val="0"/>
          <w:numId w:val="3"/>
        </w:numPr>
        <w:shd w:val="clear" w:color="auto" w:fill="FFFFFF"/>
        <w:tabs>
          <w:tab w:val="left" w:pos="426"/>
        </w:tabs>
        <w:spacing w:after="0" w:line="240" w:lineRule="auto"/>
        <w:ind w:left="0" w:firstLine="0"/>
        <w:contextualSpacing w:val="0"/>
        <w:jc w:val="both"/>
        <w:rPr>
          <w:rFonts w:ascii="Times New Roman" w:eastAsia="Times New Roman" w:hAnsi="Times New Roman" w:cs="Times New Roman"/>
          <w:i/>
          <w:snapToGrid w:val="0"/>
          <w:color w:val="000000" w:themeColor="text1"/>
          <w:sz w:val="28"/>
          <w:szCs w:val="28"/>
          <w:lang w:eastAsia="es-ES"/>
        </w:rPr>
      </w:pPr>
      <w:r w:rsidRPr="00F33E35">
        <w:rPr>
          <w:rFonts w:ascii="Times New Roman" w:eastAsia="Times New Roman" w:hAnsi="Times New Roman" w:cs="Times New Roman"/>
          <w:iCs/>
          <w:snapToGrid w:val="0"/>
          <w:color w:val="000000" w:themeColor="text1"/>
          <w:sz w:val="28"/>
          <w:szCs w:val="28"/>
          <w:lang w:eastAsia="es-ES"/>
        </w:rPr>
        <w:t xml:space="preserve">El Ministerio Público le solicitó a la Corte que se declare inhibida para decidir el asunto. En esa dirección, explicó que le </w:t>
      </w:r>
      <w:r w:rsidRPr="00F33E35">
        <w:rPr>
          <w:rFonts w:ascii="Times New Roman" w:hAnsi="Times New Roman" w:cs="Times New Roman"/>
          <w:color w:val="000000" w:themeColor="text1"/>
          <w:sz w:val="28"/>
          <w:szCs w:val="28"/>
        </w:rPr>
        <w:t xml:space="preserve">corresponde al </w:t>
      </w:r>
      <w:r w:rsidRPr="00F33E35">
        <w:rPr>
          <w:rFonts w:ascii="Times New Roman" w:hAnsi="Times New Roman" w:cs="Times New Roman"/>
          <w:color w:val="000000" w:themeColor="text1"/>
          <w:sz w:val="28"/>
          <w:szCs w:val="28"/>
        </w:rPr>
        <w:t>legislador, y no a la Corte Constitucional,</w:t>
      </w:r>
      <w:r w:rsidRPr="00F33E35">
        <w:rPr>
          <w:rFonts w:ascii="Times New Roman" w:hAnsi="Times New Roman" w:cs="Times New Roman"/>
          <w:i/>
          <w:iCs/>
          <w:color w:val="000000" w:themeColor="text1"/>
          <w:sz w:val="28"/>
          <w:szCs w:val="28"/>
        </w:rPr>
        <w:t xml:space="preserve"> corregir el ordenamiento jurídico interno para que se ajuste a los estándares interamericanos de protección de derechos humanos</w:t>
      </w:r>
      <w:r w:rsidRPr="00F33E35">
        <w:rPr>
          <w:rFonts w:ascii="Times New Roman" w:hAnsi="Times New Roman" w:cs="Times New Roman"/>
          <w:color w:val="000000" w:themeColor="text1"/>
          <w:sz w:val="28"/>
          <w:szCs w:val="28"/>
        </w:rPr>
        <w:t>. Así, en virtud del principio de separación de poderes, concluyó que la Corte carece</w:t>
      </w:r>
      <w:r w:rsidRPr="00F33E35">
        <w:rPr>
          <w:rFonts w:ascii="Times New Roman" w:hAnsi="Times New Roman" w:cs="Times New Roman"/>
          <w:color w:val="000000" w:themeColor="text1"/>
          <w:sz w:val="28"/>
          <w:szCs w:val="28"/>
        </w:rPr>
        <w:t xml:space="preserve"> de competencia para emitir un pronunciamiento de fondo sobre los cargos de la demanda</w:t>
      </w:r>
      <w:r w:rsidRPr="00F33E35">
        <w:rPr>
          <w:rStyle w:val="Refdenotaalpie"/>
          <w:rFonts w:ascii="Times New Roman" w:hAnsi="Times New Roman" w:cs="Times New Roman"/>
          <w:color w:val="000000" w:themeColor="text1"/>
          <w:sz w:val="28"/>
          <w:szCs w:val="28"/>
        </w:rPr>
        <w:footnoteReference w:id="66"/>
      </w:r>
      <w:r w:rsidRPr="00F33E35">
        <w:rPr>
          <w:rFonts w:ascii="Times New Roman" w:hAnsi="Times New Roman" w:cs="Times New Roman"/>
          <w:color w:val="000000" w:themeColor="text1"/>
          <w:sz w:val="28"/>
          <w:szCs w:val="28"/>
        </w:rPr>
        <w:t xml:space="preserve">.  </w:t>
      </w:r>
    </w:p>
    <w:p w:rsidR="00FF5603" w:rsidRPr="00F33E35" w:rsidRDefault="00F33E35" w:rsidP="008158EB">
      <w:pPr>
        <w:pStyle w:val="Prrafodelista"/>
        <w:shd w:val="clear" w:color="auto" w:fill="FFFFFF"/>
        <w:spacing w:after="0" w:line="240" w:lineRule="auto"/>
        <w:ind w:left="0"/>
        <w:contextualSpacing w:val="0"/>
        <w:jc w:val="both"/>
        <w:rPr>
          <w:rFonts w:ascii="Times New Roman" w:eastAsia="Times New Roman" w:hAnsi="Times New Roman" w:cs="Times New Roman"/>
          <w:i/>
          <w:snapToGrid w:val="0"/>
          <w:color w:val="000000" w:themeColor="text1"/>
          <w:sz w:val="28"/>
          <w:szCs w:val="28"/>
          <w:lang w:eastAsia="es-ES"/>
        </w:rPr>
      </w:pPr>
    </w:p>
    <w:p w:rsidR="00EE72D5" w:rsidRPr="00F33E35" w:rsidRDefault="00F33E35" w:rsidP="008158EB">
      <w:pPr>
        <w:pStyle w:val="Prrafodelista"/>
        <w:numPr>
          <w:ilvl w:val="0"/>
          <w:numId w:val="3"/>
        </w:numPr>
        <w:shd w:val="clear" w:color="auto" w:fill="FFFFFF"/>
        <w:tabs>
          <w:tab w:val="left" w:pos="426"/>
        </w:tabs>
        <w:spacing w:after="0" w:line="240" w:lineRule="auto"/>
        <w:ind w:left="0" w:firstLine="0"/>
        <w:contextualSpacing w:val="0"/>
        <w:jc w:val="both"/>
        <w:rPr>
          <w:rFonts w:ascii="Times New Roman" w:eastAsia="Times New Roman" w:hAnsi="Times New Roman" w:cs="Times New Roman"/>
          <w:i/>
          <w:snapToGrid w:val="0"/>
          <w:color w:val="000000" w:themeColor="text1"/>
          <w:sz w:val="28"/>
          <w:szCs w:val="28"/>
          <w:lang w:eastAsia="es-ES"/>
        </w:rPr>
      </w:pPr>
      <w:r w:rsidRPr="00F33E35">
        <w:rPr>
          <w:rFonts w:ascii="Times New Roman" w:hAnsi="Times New Roman" w:cs="Times New Roman"/>
          <w:color w:val="000000" w:themeColor="text1"/>
          <w:sz w:val="28"/>
          <w:szCs w:val="28"/>
        </w:rPr>
        <w:t xml:space="preserve">Para el procurador general de la Nación, el </w:t>
      </w:r>
      <w:r w:rsidRPr="00F33E35">
        <w:rPr>
          <w:rFonts w:ascii="Times New Roman" w:hAnsi="Times New Roman" w:cs="Times New Roman"/>
          <w:i/>
          <w:iCs/>
          <w:color w:val="000000" w:themeColor="text1"/>
          <w:sz w:val="28"/>
          <w:szCs w:val="28"/>
        </w:rPr>
        <w:t>Caso miembros de la Corporación Colectivo de Abogados “José Alvear Restrepo” vs. Colombia,</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themeColor="text1"/>
          <w:sz w:val="28"/>
          <w:szCs w:val="28"/>
        </w:rPr>
        <w:t xml:space="preserve">modificó el parámetro de </w:t>
      </w:r>
      <w:r w:rsidRPr="00F33E35">
        <w:rPr>
          <w:rFonts w:ascii="Times New Roman" w:hAnsi="Times New Roman" w:cs="Times New Roman"/>
          <w:color w:val="000000" w:themeColor="text1"/>
          <w:sz w:val="28"/>
          <w:szCs w:val="28"/>
        </w:rPr>
        <w:t>control del artículo 17 de la Ley 1621 de 2013, en tanto aumentó el estándar de protección de los derechos a la expresión y a la privacidad en relación con las funciones de inteligencia y contrainteligencia. Según ese estándar, “cualquier acción relacionad</w:t>
      </w:r>
      <w:r w:rsidRPr="00F33E35">
        <w:rPr>
          <w:rFonts w:ascii="Times New Roman" w:hAnsi="Times New Roman" w:cs="Times New Roman"/>
          <w:color w:val="000000" w:themeColor="text1"/>
          <w:sz w:val="28"/>
          <w:szCs w:val="28"/>
        </w:rPr>
        <w:t>a con la interceptación, vigilancia y seguimiento de cualquier tipo de comunicación necesita un control previo o posterior por parte del juez competente”</w:t>
      </w:r>
      <w:r w:rsidRPr="00F33E35">
        <w:rPr>
          <w:rStyle w:val="Refdenotaalpie"/>
          <w:rFonts w:ascii="Times New Roman" w:hAnsi="Times New Roman" w:cs="Times New Roman"/>
          <w:color w:val="000000" w:themeColor="text1"/>
          <w:sz w:val="28"/>
          <w:szCs w:val="28"/>
        </w:rPr>
        <w:footnoteReference w:id="67"/>
      </w:r>
      <w:r w:rsidRPr="00F33E35">
        <w:rPr>
          <w:rFonts w:ascii="Times New Roman" w:hAnsi="Times New Roman" w:cs="Times New Roman"/>
          <w:color w:val="000000" w:themeColor="text1"/>
          <w:sz w:val="28"/>
          <w:szCs w:val="28"/>
        </w:rPr>
        <w:t>, incluyendo las actividades de monitoreo del espectro electromagnético. Por ese motivo, no existe cos</w:t>
      </w:r>
      <w:r w:rsidRPr="00F33E35">
        <w:rPr>
          <w:rFonts w:ascii="Times New Roman" w:hAnsi="Times New Roman" w:cs="Times New Roman"/>
          <w:color w:val="000000" w:themeColor="text1"/>
          <w:sz w:val="28"/>
          <w:szCs w:val="28"/>
        </w:rPr>
        <w:t xml:space="preserve">a juzgada en el presente asunto. </w:t>
      </w:r>
    </w:p>
    <w:p w:rsidR="00EE72D5" w:rsidRPr="00F33E35" w:rsidRDefault="00F33E35" w:rsidP="008158EB">
      <w:pPr>
        <w:pStyle w:val="Prrafodelista"/>
        <w:shd w:val="clear" w:color="auto" w:fill="FFFFFF"/>
        <w:tabs>
          <w:tab w:val="left" w:pos="426"/>
        </w:tabs>
        <w:spacing w:after="0" w:line="240" w:lineRule="auto"/>
        <w:ind w:left="0"/>
        <w:contextualSpacing w:val="0"/>
        <w:jc w:val="both"/>
        <w:rPr>
          <w:rFonts w:ascii="Times New Roman" w:eastAsia="Times New Roman" w:hAnsi="Times New Roman" w:cs="Times New Roman"/>
          <w:i/>
          <w:snapToGrid w:val="0"/>
          <w:color w:val="000000" w:themeColor="text1"/>
          <w:sz w:val="28"/>
          <w:szCs w:val="28"/>
          <w:lang w:eastAsia="es-ES"/>
        </w:rPr>
      </w:pPr>
    </w:p>
    <w:p w:rsidR="00106240" w:rsidRPr="00F33E35" w:rsidRDefault="00F33E35" w:rsidP="008158EB">
      <w:pPr>
        <w:spacing w:after="0" w:line="240" w:lineRule="auto"/>
        <w:jc w:val="both"/>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Sobre el artículo 33 de la Ley 1621 de 2013, el procurador general de la Nación explicó que no hay cosa juzgada en este caso. Señaló que la Corte IDH elevó el estándar de protección del derecho a la información y que la l</w:t>
      </w:r>
      <w:r w:rsidRPr="00F33E35">
        <w:rPr>
          <w:rFonts w:ascii="Times New Roman" w:hAnsi="Times New Roman" w:cs="Times New Roman"/>
          <w:color w:val="000000" w:themeColor="text1"/>
          <w:sz w:val="28"/>
          <w:szCs w:val="28"/>
        </w:rPr>
        <w:t>ey colombiana limita este derecho sin justificación, pues declara reservada toda la información de organismos de inteligencia o contrainteligencia, sin precisar criterios para decidir qué información debe ser reservada ni cómo justificar su entrega o no.</w:t>
      </w:r>
    </w:p>
    <w:p w:rsidR="00DD3B58" w:rsidRPr="00F33E35" w:rsidRDefault="00F33E35" w:rsidP="008158EB">
      <w:pPr>
        <w:spacing w:after="0" w:line="240" w:lineRule="auto"/>
        <w:jc w:val="both"/>
        <w:rPr>
          <w:rFonts w:ascii="Times New Roman" w:hAnsi="Times New Roman" w:cs="Times New Roman"/>
          <w:color w:val="000000" w:themeColor="text1"/>
          <w:sz w:val="28"/>
          <w:szCs w:val="28"/>
        </w:rPr>
      </w:pPr>
    </w:p>
    <w:p w:rsidR="00EE72D5" w:rsidRPr="00F33E35" w:rsidRDefault="00F33E35" w:rsidP="008158EB">
      <w:pPr>
        <w:spacing w:after="0" w:line="240" w:lineRule="auto"/>
        <w:jc w:val="both"/>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Por eso, el Ministerio Público consideró que le toca al Congreso, y no a la Corte Constitucional, ajustar la ley para cumplir con los estándares internacionales de derechos humanos. Declarar inconstitucionales las normas demandadas llevaría no solo a elimi</w:t>
      </w:r>
      <w:r w:rsidRPr="00F33E35">
        <w:rPr>
          <w:rFonts w:ascii="Times New Roman" w:hAnsi="Times New Roman" w:cs="Times New Roman"/>
          <w:color w:val="000000" w:themeColor="text1"/>
          <w:sz w:val="28"/>
          <w:szCs w:val="28"/>
        </w:rPr>
        <w:t>narlas, sino también a crear una nueva regulación para aplicar la sentencia de la Corte IDH. En otras palabras, la política de seguridad nacional debe definirla el Congreso, que tiene la responsabilidad de proteger al Estado y los derechos humanos. Así, po</w:t>
      </w:r>
      <w:r w:rsidRPr="00F33E35">
        <w:rPr>
          <w:rFonts w:ascii="Times New Roman" w:hAnsi="Times New Roman" w:cs="Times New Roman"/>
          <w:color w:val="000000" w:themeColor="text1"/>
          <w:sz w:val="28"/>
          <w:szCs w:val="28"/>
        </w:rPr>
        <w:t>r el principio de separación de poderes, concluyó que la Corte no tiene competencia para decidir el fondo de la demanda.</w:t>
      </w:r>
    </w:p>
    <w:p w:rsidR="00FF5603" w:rsidRPr="00F33E35" w:rsidRDefault="00F33E35" w:rsidP="008158EB">
      <w:pPr>
        <w:spacing w:after="0" w:line="240" w:lineRule="auto"/>
        <w:jc w:val="both"/>
        <w:rPr>
          <w:rFonts w:ascii="Times New Roman" w:hAnsi="Times New Roman" w:cs="Times New Roman"/>
          <w:color w:val="000000" w:themeColor="text1"/>
          <w:sz w:val="28"/>
          <w:szCs w:val="28"/>
        </w:rPr>
      </w:pPr>
    </w:p>
    <w:p w:rsidR="00FF5603" w:rsidRPr="00F33E35" w:rsidRDefault="00F33E35" w:rsidP="008158EB">
      <w:pPr>
        <w:pStyle w:val="Ttulo1"/>
        <w:spacing w:before="0" w:after="0" w:line="240" w:lineRule="auto"/>
        <w:rPr>
          <w:rFonts w:ascii="Times New Roman" w:eastAsia="Times New Roman" w:hAnsi="Times New Roman" w:cs="Times New Roman"/>
          <w:b/>
          <w:snapToGrid w:val="0"/>
          <w:color w:val="000000" w:themeColor="text1"/>
          <w:position w:val="6"/>
          <w:sz w:val="28"/>
          <w:szCs w:val="28"/>
          <w:lang w:val="es-ES" w:eastAsia="es-ES"/>
        </w:rPr>
      </w:pPr>
      <w:bookmarkStart w:id="17" w:name="_Toc205457664"/>
      <w:bookmarkEnd w:id="10"/>
      <w:bookmarkEnd w:id="11"/>
      <w:bookmarkEnd w:id="16"/>
      <w:r w:rsidRPr="00F33E35">
        <w:rPr>
          <w:rFonts w:ascii="Times New Roman" w:eastAsia="Times New Roman" w:hAnsi="Times New Roman" w:cs="Times New Roman"/>
          <w:b/>
          <w:snapToGrid w:val="0"/>
          <w:color w:val="000000" w:themeColor="text1"/>
          <w:position w:val="6"/>
          <w:sz w:val="28"/>
          <w:szCs w:val="28"/>
          <w:lang w:val="es-ES" w:eastAsia="es-ES"/>
        </w:rPr>
        <w:t>IV.    CONSIDERACIONES</w:t>
      </w:r>
      <w:bookmarkEnd w:id="17"/>
      <w:r w:rsidRPr="00F33E35">
        <w:rPr>
          <w:rFonts w:ascii="Times New Roman" w:eastAsia="Times New Roman" w:hAnsi="Times New Roman" w:cs="Times New Roman"/>
          <w:b/>
          <w:snapToGrid w:val="0"/>
          <w:color w:val="000000" w:themeColor="text1"/>
          <w:position w:val="6"/>
          <w:sz w:val="28"/>
          <w:szCs w:val="28"/>
          <w:lang w:val="es-ES" w:eastAsia="es-ES"/>
        </w:rPr>
        <w:t xml:space="preserve"> </w:t>
      </w:r>
    </w:p>
    <w:p w:rsidR="00FF5603" w:rsidRPr="00F33E35" w:rsidRDefault="00F33E35" w:rsidP="00FA1A61">
      <w:pPr>
        <w:shd w:val="clear" w:color="auto" w:fill="FFFFFF"/>
        <w:tabs>
          <w:tab w:val="left" w:pos="284"/>
        </w:tabs>
        <w:spacing w:after="0" w:line="240" w:lineRule="auto"/>
        <w:ind w:right="-234"/>
        <w:jc w:val="both"/>
        <w:rPr>
          <w:rFonts w:ascii="Times New Roman" w:eastAsia="Times New Roman" w:hAnsi="Times New Roman" w:cs="Times New Roman"/>
          <w:b/>
          <w:snapToGrid w:val="0"/>
          <w:position w:val="6"/>
          <w:sz w:val="28"/>
          <w:szCs w:val="28"/>
          <w:lang w:val="es-ES" w:eastAsia="es-ES"/>
        </w:rPr>
      </w:pPr>
    </w:p>
    <w:p w:rsidR="00FF5603" w:rsidRPr="00F33E35" w:rsidRDefault="00F33E35" w:rsidP="0085769B">
      <w:pPr>
        <w:pStyle w:val="Prrafodelista"/>
        <w:numPr>
          <w:ilvl w:val="0"/>
          <w:numId w:val="5"/>
        </w:numPr>
        <w:shd w:val="clear" w:color="auto" w:fill="FFFFFF"/>
        <w:tabs>
          <w:tab w:val="left" w:pos="284"/>
        </w:tabs>
        <w:spacing w:after="0" w:line="240" w:lineRule="auto"/>
        <w:ind w:right="-234"/>
        <w:contextualSpacing w:val="0"/>
        <w:jc w:val="both"/>
        <w:outlineLvl w:val="1"/>
        <w:rPr>
          <w:rFonts w:ascii="Times New Roman" w:eastAsia="Times New Roman" w:hAnsi="Times New Roman" w:cs="Times New Roman"/>
          <w:b/>
          <w:snapToGrid w:val="0"/>
          <w:position w:val="6"/>
          <w:sz w:val="28"/>
          <w:szCs w:val="28"/>
          <w:lang w:val="es-ES" w:eastAsia="es-ES"/>
        </w:rPr>
      </w:pPr>
      <w:bookmarkStart w:id="18" w:name="_Toc205457665"/>
      <w:r w:rsidRPr="00F33E35">
        <w:rPr>
          <w:rFonts w:ascii="Times New Roman" w:eastAsia="Times New Roman" w:hAnsi="Times New Roman" w:cs="Times New Roman"/>
          <w:b/>
          <w:snapToGrid w:val="0"/>
          <w:position w:val="6"/>
          <w:sz w:val="28"/>
          <w:szCs w:val="28"/>
          <w:lang w:val="es-ES" w:eastAsia="es-ES"/>
        </w:rPr>
        <w:t>Competencia</w:t>
      </w:r>
      <w:bookmarkEnd w:id="18"/>
    </w:p>
    <w:p w:rsidR="00FF5603" w:rsidRPr="00F33E35" w:rsidRDefault="00F33E35" w:rsidP="008158E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FF5603" w:rsidRPr="00F33E35" w:rsidRDefault="00F33E35" w:rsidP="008158EB">
      <w:pPr>
        <w:pStyle w:val="Prrafodelista"/>
        <w:numPr>
          <w:ilvl w:val="0"/>
          <w:numId w:val="3"/>
        </w:numPr>
        <w:shd w:val="clear" w:color="auto" w:fill="FFFFFF"/>
        <w:tabs>
          <w:tab w:val="left" w:pos="426"/>
        </w:tabs>
        <w:spacing w:after="0" w:line="240" w:lineRule="auto"/>
        <w:ind w:left="0" w:firstLine="0"/>
        <w:contextualSpacing w:val="0"/>
        <w:jc w:val="both"/>
        <w:rPr>
          <w:rFonts w:ascii="Times New Roman" w:eastAsia="Times New Roman" w:hAnsi="Times New Roman" w:cs="Times New Roman"/>
          <w:snapToGrid w:val="0"/>
          <w:position w:val="6"/>
          <w:sz w:val="28"/>
          <w:szCs w:val="28"/>
          <w:lang w:eastAsia="es-ES"/>
        </w:rPr>
      </w:pPr>
      <w:r w:rsidRPr="00F33E35">
        <w:rPr>
          <w:rFonts w:ascii="Times New Roman" w:eastAsia="Times New Roman" w:hAnsi="Times New Roman" w:cs="Times New Roman"/>
          <w:snapToGrid w:val="0"/>
          <w:position w:val="6"/>
          <w:sz w:val="28"/>
          <w:szCs w:val="28"/>
          <w:lang w:eastAsia="es-ES"/>
        </w:rPr>
        <w:t>Con fundamento en lo dispuesto en el artículo 241.</w:t>
      </w:r>
      <w:r w:rsidRPr="00F33E35">
        <w:rPr>
          <w:rFonts w:ascii="Times New Roman" w:eastAsia="Times New Roman" w:hAnsi="Times New Roman" w:cs="Times New Roman"/>
          <w:snapToGrid w:val="0"/>
          <w:position w:val="6"/>
          <w:sz w:val="28"/>
          <w:szCs w:val="28"/>
          <w:lang w:eastAsia="es-ES"/>
        </w:rPr>
        <w:t>4</w:t>
      </w:r>
      <w:r w:rsidRPr="00F33E35">
        <w:rPr>
          <w:rFonts w:ascii="Times New Roman" w:eastAsia="Times New Roman" w:hAnsi="Times New Roman" w:cs="Times New Roman"/>
          <w:snapToGrid w:val="0"/>
          <w:position w:val="6"/>
          <w:sz w:val="28"/>
          <w:szCs w:val="28"/>
          <w:lang w:eastAsia="es-ES"/>
        </w:rPr>
        <w:t xml:space="preserve"> de la Constitución</w:t>
      </w:r>
      <w:r w:rsidRPr="00F33E35">
        <w:rPr>
          <w:rFonts w:ascii="Times New Roman" w:eastAsia="Times New Roman" w:hAnsi="Times New Roman" w:cs="Times New Roman"/>
          <w:snapToGrid w:val="0"/>
          <w:position w:val="6"/>
          <w:sz w:val="28"/>
          <w:szCs w:val="28"/>
          <w:lang w:eastAsia="es-ES"/>
        </w:rPr>
        <w:t>,</w:t>
      </w:r>
      <w:r w:rsidRPr="00F33E35">
        <w:rPr>
          <w:rFonts w:ascii="Times New Roman" w:eastAsia="Times New Roman" w:hAnsi="Times New Roman" w:cs="Times New Roman"/>
          <w:snapToGrid w:val="0"/>
          <w:position w:val="6"/>
          <w:sz w:val="28"/>
          <w:szCs w:val="28"/>
          <w:lang w:eastAsia="es-ES"/>
        </w:rPr>
        <w:t xml:space="preserve"> </w:t>
      </w:r>
      <w:r w:rsidRPr="00F33E35">
        <w:rPr>
          <w:rFonts w:ascii="Times New Roman" w:eastAsia="Times New Roman" w:hAnsi="Times New Roman" w:cs="Times New Roman"/>
          <w:snapToGrid w:val="0"/>
          <w:position w:val="6"/>
          <w:sz w:val="28"/>
          <w:szCs w:val="28"/>
          <w:lang w:eastAsia="es-ES"/>
        </w:rPr>
        <w:t>l</w:t>
      </w:r>
      <w:r w:rsidRPr="00F33E35">
        <w:rPr>
          <w:rFonts w:ascii="Times New Roman" w:eastAsia="Times New Roman" w:hAnsi="Times New Roman" w:cs="Times New Roman"/>
          <w:snapToGrid w:val="0"/>
          <w:position w:val="6"/>
          <w:sz w:val="28"/>
          <w:szCs w:val="28"/>
          <w:lang w:eastAsia="es-ES"/>
        </w:rPr>
        <w:t xml:space="preserve">a Corte Constitucional </w:t>
      </w:r>
      <w:r w:rsidRPr="00F33E35">
        <w:rPr>
          <w:rFonts w:ascii="Times New Roman" w:eastAsia="Times New Roman" w:hAnsi="Times New Roman" w:cs="Times New Roman"/>
          <w:snapToGrid w:val="0"/>
          <w:position w:val="6"/>
          <w:sz w:val="28"/>
          <w:szCs w:val="28"/>
          <w:lang w:eastAsia="es-ES"/>
        </w:rPr>
        <w:t>es competente para conocer de la demanda de inconstitucionalidad presentada en contra los artículos</w:t>
      </w:r>
      <w:r w:rsidRPr="00F33E35">
        <w:rPr>
          <w:rFonts w:ascii="Times New Roman" w:hAnsi="Times New Roman" w:cs="Times New Roman"/>
          <w:sz w:val="28"/>
        </w:rPr>
        <w:t xml:space="preserve"> </w:t>
      </w:r>
      <w:r w:rsidRPr="00F33E35">
        <w:rPr>
          <w:rFonts w:ascii="Times New Roman" w:eastAsia="Times New Roman" w:hAnsi="Times New Roman" w:cs="Times New Roman"/>
          <w:snapToGrid w:val="0"/>
          <w:position w:val="6"/>
          <w:sz w:val="28"/>
          <w:szCs w:val="28"/>
          <w:lang w:eastAsia="es-ES"/>
        </w:rPr>
        <w:t xml:space="preserve">13 (parcial) y 17 (parcial) de la Ley 1621 de 2013. </w:t>
      </w:r>
      <w:r w:rsidRPr="00F33E35">
        <w:rPr>
          <w:rFonts w:ascii="Times New Roman" w:eastAsia="Times New Roman" w:hAnsi="Times New Roman" w:cs="Times New Roman"/>
          <w:snapToGrid w:val="0"/>
          <w:position w:val="6"/>
          <w:sz w:val="28"/>
          <w:szCs w:val="28"/>
          <w:lang w:eastAsia="es-ES"/>
        </w:rPr>
        <w:t>A pesar de que la regulación tiene naturaleza estatutaria, la fuente de la competencia de la Corte se en</w:t>
      </w:r>
      <w:r w:rsidRPr="00F33E35">
        <w:rPr>
          <w:rFonts w:ascii="Times New Roman" w:eastAsia="Times New Roman" w:hAnsi="Times New Roman" w:cs="Times New Roman"/>
          <w:snapToGrid w:val="0"/>
          <w:position w:val="6"/>
          <w:sz w:val="28"/>
          <w:szCs w:val="28"/>
          <w:lang w:eastAsia="es-ES"/>
        </w:rPr>
        <w:t xml:space="preserve">cuentra en el numeral 4 del artículo 241, en tanto la solicitud de pronunciamiento se origina en una demanda de inconstitucionalidad en contra de la ley promulgada.  </w:t>
      </w:r>
    </w:p>
    <w:p w:rsidR="00FF5603" w:rsidRPr="00F33E35" w:rsidRDefault="00F33E35" w:rsidP="008158EB">
      <w:pPr>
        <w:tabs>
          <w:tab w:val="left" w:pos="284"/>
        </w:tabs>
        <w:spacing w:after="0" w:line="240" w:lineRule="auto"/>
        <w:jc w:val="both"/>
        <w:rPr>
          <w:rFonts w:ascii="Times New Roman" w:hAnsi="Times New Roman" w:cs="Times New Roman"/>
          <w:b/>
          <w:sz w:val="28"/>
          <w:szCs w:val="28"/>
        </w:rPr>
      </w:pPr>
    </w:p>
    <w:p w:rsidR="00FF5603" w:rsidRPr="00F33E35" w:rsidRDefault="00F33E35" w:rsidP="008158EB">
      <w:pPr>
        <w:pStyle w:val="Prrafodelista"/>
        <w:numPr>
          <w:ilvl w:val="0"/>
          <w:numId w:val="5"/>
        </w:numPr>
        <w:tabs>
          <w:tab w:val="left" w:pos="284"/>
        </w:tabs>
        <w:spacing w:after="0" w:line="240" w:lineRule="auto"/>
        <w:ind w:left="0"/>
        <w:contextualSpacing w:val="0"/>
        <w:jc w:val="both"/>
        <w:rPr>
          <w:rFonts w:ascii="Times New Roman" w:hAnsi="Times New Roman" w:cs="Times New Roman"/>
          <w:b/>
          <w:sz w:val="28"/>
          <w:szCs w:val="28"/>
        </w:rPr>
      </w:pPr>
      <w:bookmarkStart w:id="19" w:name="_Toc205457666"/>
      <w:r w:rsidRPr="00F33E35">
        <w:rPr>
          <w:rFonts w:ascii="Times New Roman" w:hAnsi="Times New Roman" w:cs="Times New Roman"/>
          <w:b/>
          <w:bCs/>
          <w:sz w:val="28"/>
          <w:szCs w:val="28"/>
        </w:rPr>
        <w:t>C</w:t>
      </w:r>
      <w:r w:rsidRPr="00F33E35">
        <w:rPr>
          <w:rFonts w:ascii="Times New Roman" w:hAnsi="Times New Roman" w:cs="Times New Roman"/>
          <w:b/>
          <w:bCs/>
          <w:sz w:val="28"/>
          <w:szCs w:val="28"/>
        </w:rPr>
        <w:t>uestión</w:t>
      </w:r>
      <w:r w:rsidRPr="00F33E35">
        <w:rPr>
          <w:rFonts w:ascii="Times New Roman" w:hAnsi="Times New Roman" w:cs="Times New Roman"/>
          <w:b/>
          <w:bCs/>
          <w:sz w:val="28"/>
          <w:szCs w:val="28"/>
        </w:rPr>
        <w:t xml:space="preserve"> preliminar</w:t>
      </w:r>
      <w:r w:rsidRPr="00F33E35">
        <w:rPr>
          <w:rFonts w:ascii="Times New Roman" w:hAnsi="Times New Roman" w:cs="Times New Roman"/>
          <w:b/>
          <w:bCs/>
          <w:sz w:val="28"/>
          <w:szCs w:val="28"/>
        </w:rPr>
        <w:t>:</w:t>
      </w:r>
      <w:r w:rsidRPr="00F33E35">
        <w:rPr>
          <w:rFonts w:ascii="Times New Roman" w:hAnsi="Times New Roman" w:cs="Times New Roman"/>
          <w:b/>
          <w:bCs/>
          <w:sz w:val="28"/>
          <w:szCs w:val="28"/>
        </w:rPr>
        <w:t xml:space="preserve"> </w:t>
      </w:r>
      <w:r w:rsidRPr="00F33E35">
        <w:rPr>
          <w:rFonts w:ascii="Times New Roman" w:hAnsi="Times New Roman" w:cs="Times New Roman"/>
          <w:b/>
          <w:bCs/>
          <w:sz w:val="28"/>
          <w:szCs w:val="28"/>
        </w:rPr>
        <w:t>verificación</w:t>
      </w:r>
      <w:r w:rsidRPr="00F33E35">
        <w:rPr>
          <w:rFonts w:ascii="Times New Roman" w:hAnsi="Times New Roman" w:cs="Times New Roman"/>
          <w:b/>
          <w:bCs/>
          <w:sz w:val="28"/>
          <w:szCs w:val="28"/>
        </w:rPr>
        <w:t xml:space="preserve"> de</w:t>
      </w:r>
      <w:r w:rsidRPr="00F33E35">
        <w:rPr>
          <w:rFonts w:ascii="Times New Roman" w:hAnsi="Times New Roman" w:cs="Times New Roman"/>
          <w:b/>
          <w:bCs/>
          <w:sz w:val="28"/>
          <w:szCs w:val="28"/>
        </w:rPr>
        <w:t xml:space="preserve"> los requisitos </w:t>
      </w:r>
      <w:r w:rsidRPr="00F33E35">
        <w:rPr>
          <w:rFonts w:ascii="Times New Roman" w:hAnsi="Times New Roman" w:cs="Times New Roman"/>
          <w:b/>
          <w:bCs/>
          <w:sz w:val="28"/>
          <w:szCs w:val="28"/>
        </w:rPr>
        <w:t>aptitud sustantiva de la demanda</w:t>
      </w:r>
      <w:r w:rsidRPr="00F33E35">
        <w:rPr>
          <w:rStyle w:val="Refdenotaalpie"/>
          <w:rFonts w:ascii="Times New Roman" w:hAnsi="Times New Roman" w:cs="Times New Roman"/>
          <w:b/>
          <w:bCs/>
          <w:sz w:val="28"/>
          <w:szCs w:val="28"/>
        </w:rPr>
        <w:footnoteReference w:id="68"/>
      </w:r>
      <w:bookmarkEnd w:id="19"/>
    </w:p>
    <w:p w:rsidR="00FF5603" w:rsidRPr="00F33E35" w:rsidRDefault="00F33E35" w:rsidP="008158EB">
      <w:pPr>
        <w:pStyle w:val="Prrafodelista"/>
        <w:spacing w:after="0" w:line="240" w:lineRule="auto"/>
        <w:ind w:left="0"/>
        <w:contextualSpacing w:val="0"/>
        <w:jc w:val="both"/>
        <w:rPr>
          <w:rFonts w:ascii="Times New Roman" w:hAnsi="Times New Roman" w:cs="Times New Roman"/>
          <w:b/>
          <w:bCs/>
          <w:sz w:val="28"/>
          <w:szCs w:val="28"/>
        </w:rPr>
      </w:pPr>
    </w:p>
    <w:p w:rsidR="00FF5603" w:rsidRPr="00F33E35" w:rsidRDefault="00F33E35" w:rsidP="008158EB">
      <w:pPr>
        <w:pStyle w:val="Sinespaciado"/>
        <w:numPr>
          <w:ilvl w:val="0"/>
          <w:numId w:val="3"/>
        </w:numPr>
        <w:tabs>
          <w:tab w:val="left" w:pos="0"/>
          <w:tab w:val="left" w:pos="426"/>
        </w:tabs>
        <w:ind w:left="0" w:firstLine="0"/>
        <w:jc w:val="both"/>
        <w:rPr>
          <w:rFonts w:ascii="Times New Roman" w:hAnsi="Times New Roman" w:cs="Times New Roman"/>
          <w:snapToGrid w:val="0"/>
          <w:sz w:val="28"/>
          <w:szCs w:val="28"/>
          <w:lang w:val="es-ES" w:eastAsia="es-ES"/>
        </w:rPr>
      </w:pPr>
      <w:r w:rsidRPr="00F33E35">
        <w:rPr>
          <w:rFonts w:ascii="Times New Roman" w:hAnsi="Times New Roman" w:cs="Times New Roman"/>
          <w:snapToGrid w:val="0"/>
          <w:sz w:val="28"/>
          <w:szCs w:val="28"/>
          <w:lang w:val="es-ES" w:eastAsia="es-ES"/>
        </w:rPr>
        <w:t>La acción de inconstitucionalidad se caracteriza por ser una herramienta judicial de naturaleza pública e informal. Esto significa que su admisibilidad, trámite y decisión no está sujeto al cumplimiento de formalismos técnicos ni de rigorismos procesales e</w:t>
      </w:r>
      <w:r w:rsidRPr="00F33E35">
        <w:rPr>
          <w:rFonts w:ascii="Times New Roman" w:hAnsi="Times New Roman" w:cs="Times New Roman"/>
          <w:snapToGrid w:val="0"/>
          <w:sz w:val="28"/>
          <w:szCs w:val="28"/>
          <w:lang w:val="es-ES" w:eastAsia="es-ES"/>
        </w:rPr>
        <w:t>xcesivos, sino que su ejercicio está guiado por la prevalencia del derecho de los ciudadanos a interponer acciones en defensa de la Constitución, del derecho sustancial y del interés general</w:t>
      </w:r>
      <w:r w:rsidRPr="00F33E35">
        <w:rPr>
          <w:rStyle w:val="Refdenotaalpie"/>
          <w:rFonts w:ascii="Times New Roman" w:hAnsi="Times New Roman" w:cs="Times New Roman"/>
          <w:snapToGrid w:val="0"/>
          <w:sz w:val="28"/>
          <w:szCs w:val="28"/>
          <w:lang w:val="es-ES" w:eastAsia="es-ES"/>
        </w:rPr>
        <w:footnoteReference w:id="69"/>
      </w:r>
      <w:r w:rsidRPr="00F33E35">
        <w:rPr>
          <w:rFonts w:ascii="Times New Roman" w:hAnsi="Times New Roman" w:cs="Times New Roman"/>
          <w:snapToGrid w:val="0"/>
          <w:sz w:val="28"/>
          <w:szCs w:val="28"/>
          <w:lang w:val="es-ES" w:eastAsia="es-ES"/>
        </w:rPr>
        <w:t xml:space="preserve">. </w:t>
      </w:r>
    </w:p>
    <w:p w:rsidR="00FF5603" w:rsidRPr="00F33E35" w:rsidRDefault="00F33E35" w:rsidP="008158EB">
      <w:pPr>
        <w:pStyle w:val="Sinespaciado"/>
        <w:tabs>
          <w:tab w:val="left" w:pos="0"/>
        </w:tabs>
        <w:jc w:val="both"/>
        <w:rPr>
          <w:rFonts w:ascii="Times New Roman" w:hAnsi="Times New Roman" w:cs="Times New Roman"/>
          <w:snapToGrid w:val="0"/>
          <w:sz w:val="28"/>
          <w:szCs w:val="28"/>
          <w:lang w:val="es-ES" w:eastAsia="es-ES"/>
        </w:rPr>
      </w:pPr>
    </w:p>
    <w:p w:rsidR="00F34598" w:rsidRPr="00F33E35" w:rsidRDefault="00F33E35" w:rsidP="00A82BA4">
      <w:pPr>
        <w:pStyle w:val="Sinespaciado"/>
        <w:numPr>
          <w:ilvl w:val="0"/>
          <w:numId w:val="3"/>
        </w:numPr>
        <w:tabs>
          <w:tab w:val="left" w:pos="0"/>
          <w:tab w:val="left" w:pos="426"/>
        </w:tabs>
        <w:ind w:left="0" w:firstLine="0"/>
        <w:mirrorIndents/>
        <w:jc w:val="both"/>
        <w:rPr>
          <w:rFonts w:ascii="Times New Roman" w:hAnsi="Times New Roman" w:cs="Times New Roman"/>
          <w:snapToGrid w:val="0"/>
          <w:sz w:val="28"/>
          <w:szCs w:val="28"/>
          <w:lang w:val="es-ES" w:eastAsia="es-ES"/>
        </w:rPr>
      </w:pPr>
      <w:r w:rsidRPr="00F33E35">
        <w:rPr>
          <w:rFonts w:ascii="Times New Roman" w:hAnsi="Times New Roman" w:cs="Times New Roman"/>
          <w:snapToGrid w:val="0"/>
          <w:sz w:val="28"/>
          <w:szCs w:val="28"/>
          <w:lang w:val="es-ES" w:eastAsia="es-ES"/>
        </w:rPr>
        <w:t>No obstante, la Corte ha establecido que el acceso a la justi</w:t>
      </w:r>
      <w:r w:rsidRPr="00F33E35">
        <w:rPr>
          <w:rFonts w:ascii="Times New Roman" w:hAnsi="Times New Roman" w:cs="Times New Roman"/>
          <w:snapToGrid w:val="0"/>
          <w:sz w:val="28"/>
          <w:szCs w:val="28"/>
          <w:lang w:val="es-ES" w:eastAsia="es-ES"/>
        </w:rPr>
        <w:t>cia constitucional, en sede de control abstracto, exige que la demanda satisfaga unas condiciones mínimas razonables que se encuentran previstas en el Decreto 2067 de 1991 y en la jurisprudencia de este Tribunal</w:t>
      </w:r>
      <w:r w:rsidRPr="00F33E35">
        <w:rPr>
          <w:rStyle w:val="Refdenotaalpie"/>
          <w:rFonts w:ascii="Times New Roman" w:hAnsi="Times New Roman" w:cs="Times New Roman"/>
          <w:snapToGrid w:val="0"/>
          <w:sz w:val="28"/>
          <w:szCs w:val="28"/>
          <w:lang w:val="es-ES" w:eastAsia="es-ES"/>
        </w:rPr>
        <w:footnoteReference w:id="70"/>
      </w:r>
      <w:r w:rsidRPr="00F33E35">
        <w:rPr>
          <w:rFonts w:ascii="Times New Roman" w:hAnsi="Times New Roman" w:cs="Times New Roman"/>
          <w:snapToGrid w:val="0"/>
          <w:sz w:val="28"/>
          <w:szCs w:val="28"/>
          <w:lang w:val="es-ES" w:eastAsia="es-ES"/>
        </w:rPr>
        <w:t xml:space="preserve">. De este modo, los filtros de </w:t>
      </w:r>
      <w:r w:rsidRPr="00F33E35">
        <w:rPr>
          <w:rFonts w:ascii="Times New Roman" w:hAnsi="Times New Roman" w:cs="Times New Roman"/>
          <w:snapToGrid w:val="0"/>
          <w:sz w:val="28"/>
          <w:szCs w:val="28"/>
          <w:lang w:val="es-ES" w:eastAsia="es-ES"/>
        </w:rPr>
        <w:t>acceso exigid</w:t>
      </w:r>
      <w:r w:rsidRPr="00F33E35">
        <w:rPr>
          <w:rFonts w:ascii="Times New Roman" w:hAnsi="Times New Roman" w:cs="Times New Roman"/>
          <w:snapToGrid w:val="0"/>
          <w:sz w:val="28"/>
          <w:szCs w:val="28"/>
          <w:lang w:val="es-ES" w:eastAsia="es-ES"/>
        </w:rPr>
        <w:t>os otorgan un equilibrio entre la presunción de constitucionalidad de las leyes -que deriva del principio democrático- y el derecho político a proteger la supremacía constitucional</w:t>
      </w:r>
      <w:r w:rsidRPr="00F33E35">
        <w:rPr>
          <w:rStyle w:val="Refdenotaalpie"/>
          <w:rFonts w:ascii="Times New Roman" w:hAnsi="Times New Roman" w:cs="Times New Roman"/>
          <w:snapToGrid w:val="0"/>
          <w:sz w:val="28"/>
          <w:szCs w:val="28"/>
          <w:lang w:val="es-ES" w:eastAsia="es-ES"/>
        </w:rPr>
        <w:footnoteReference w:id="71"/>
      </w:r>
      <w:r w:rsidRPr="00F33E35">
        <w:rPr>
          <w:rFonts w:ascii="Times New Roman" w:hAnsi="Times New Roman" w:cs="Times New Roman"/>
          <w:snapToGrid w:val="0"/>
          <w:sz w:val="28"/>
          <w:szCs w:val="28"/>
          <w:lang w:val="es-ES" w:eastAsia="es-ES"/>
        </w:rPr>
        <w:t xml:space="preserve">. </w:t>
      </w:r>
    </w:p>
    <w:p w:rsidR="00F34598" w:rsidRPr="00F33E35" w:rsidRDefault="00F33E35" w:rsidP="00A82BA4">
      <w:pPr>
        <w:pStyle w:val="Prrafodelista"/>
        <w:spacing w:after="0" w:line="240" w:lineRule="auto"/>
        <w:ind w:left="0"/>
        <w:contextualSpacing w:val="0"/>
        <w:mirrorIndents/>
        <w:jc w:val="both"/>
        <w:rPr>
          <w:rFonts w:ascii="Times New Roman" w:eastAsia="Times New Roman" w:hAnsi="Times New Roman" w:cs="Times New Roman"/>
          <w:sz w:val="28"/>
          <w:szCs w:val="28"/>
          <w:lang w:eastAsia="es-ES"/>
        </w:rPr>
      </w:pPr>
    </w:p>
    <w:p w:rsidR="00A82BA4" w:rsidRPr="00F33E35" w:rsidRDefault="00F33E35" w:rsidP="00A82BA4">
      <w:pPr>
        <w:pStyle w:val="Sinespaciado"/>
        <w:numPr>
          <w:ilvl w:val="0"/>
          <w:numId w:val="3"/>
        </w:numPr>
        <w:tabs>
          <w:tab w:val="left" w:pos="0"/>
          <w:tab w:val="left" w:pos="426"/>
        </w:tabs>
        <w:ind w:left="0" w:firstLine="0"/>
        <w:mirrorIndents/>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En cuanto a l</w:t>
      </w:r>
      <w:r w:rsidRPr="00F33E35">
        <w:rPr>
          <w:rFonts w:ascii="Times New Roman" w:eastAsia="Times New Roman" w:hAnsi="Times New Roman" w:cs="Times New Roman"/>
          <w:sz w:val="28"/>
          <w:szCs w:val="28"/>
          <w:lang w:eastAsia="es-ES"/>
        </w:rPr>
        <w:t>os filtros de acceso</w:t>
      </w:r>
      <w:r w:rsidRPr="00F33E35">
        <w:rPr>
          <w:rFonts w:ascii="Times New Roman" w:eastAsia="Times New Roman" w:hAnsi="Times New Roman" w:cs="Times New Roman"/>
          <w:sz w:val="28"/>
          <w:szCs w:val="28"/>
          <w:lang w:eastAsia="es-ES"/>
        </w:rPr>
        <w:t>,</w:t>
      </w:r>
      <w:r w:rsidRPr="00F33E35">
        <w:rPr>
          <w:rFonts w:ascii="Times New Roman" w:eastAsia="Times New Roman" w:hAnsi="Times New Roman" w:cs="Times New Roman"/>
          <w:sz w:val="28"/>
          <w:szCs w:val="28"/>
          <w:lang w:eastAsia="es-ES"/>
        </w:rPr>
        <w:t xml:space="preserve"> la Sala Plena se ha fundado en una premisa: la impugnación de una ley no puede sujetarse a estándares tan complejos que impliquen reservar la acción solo a ciudadanos con especial formación en métodos de interpretación legal y constitucional</w:t>
      </w:r>
      <w:r w:rsidRPr="00F33E35">
        <w:rPr>
          <w:rFonts w:ascii="Times New Roman" w:eastAsia="Times New Roman" w:hAnsi="Times New Roman" w:cs="Times New Roman"/>
          <w:sz w:val="28"/>
          <w:szCs w:val="28"/>
          <w:lang w:eastAsia="es-ES"/>
        </w:rPr>
        <w:t>. Esto encuent</w:t>
      </w:r>
      <w:r w:rsidRPr="00F33E35">
        <w:rPr>
          <w:rFonts w:ascii="Times New Roman" w:eastAsia="Times New Roman" w:hAnsi="Times New Roman" w:cs="Times New Roman"/>
          <w:sz w:val="28"/>
          <w:szCs w:val="28"/>
          <w:lang w:eastAsia="es-ES"/>
        </w:rPr>
        <w:t>ra justificación en la</w:t>
      </w:r>
      <w:r w:rsidRPr="00F33E35">
        <w:rPr>
          <w:rFonts w:ascii="Times New Roman" w:eastAsia="Times New Roman" w:hAnsi="Times New Roman" w:cs="Times New Roman"/>
          <w:sz w:val="28"/>
          <w:szCs w:val="28"/>
          <w:lang w:eastAsia="es-ES"/>
        </w:rPr>
        <w:t xml:space="preserve"> naturaleza pública</w:t>
      </w:r>
      <w:r w:rsidRPr="00F33E35">
        <w:rPr>
          <w:rFonts w:ascii="Times New Roman" w:eastAsia="Times New Roman" w:hAnsi="Times New Roman" w:cs="Times New Roman"/>
          <w:sz w:val="28"/>
          <w:szCs w:val="28"/>
          <w:lang w:eastAsia="es-ES"/>
        </w:rPr>
        <w:t xml:space="preserve"> de la acción y en la garantía </w:t>
      </w:r>
      <w:r w:rsidRPr="00F33E35">
        <w:rPr>
          <w:rFonts w:ascii="Times New Roman" w:eastAsia="Times New Roman" w:hAnsi="Times New Roman" w:cs="Times New Roman"/>
          <w:sz w:val="28"/>
          <w:szCs w:val="28"/>
          <w:lang w:eastAsia="es-ES"/>
        </w:rPr>
        <w:t>de</w:t>
      </w:r>
      <w:r w:rsidRPr="00F33E35">
        <w:rPr>
          <w:rFonts w:ascii="Times New Roman" w:eastAsia="Times New Roman" w:hAnsi="Times New Roman" w:cs="Times New Roman"/>
          <w:sz w:val="28"/>
          <w:szCs w:val="28"/>
          <w:lang w:eastAsia="es-ES"/>
        </w:rPr>
        <w:t xml:space="preserve"> los ciudadanos de</w:t>
      </w:r>
      <w:r w:rsidRPr="00F33E35">
        <w:rPr>
          <w:rFonts w:ascii="Times New Roman" w:eastAsia="Times New Roman" w:hAnsi="Times New Roman" w:cs="Times New Roman"/>
          <w:sz w:val="28"/>
          <w:szCs w:val="28"/>
          <w:lang w:eastAsia="es-ES"/>
        </w:rPr>
        <w:t xml:space="preserve"> participar en el control del poder político (art. 40.6) y de acceder a la administración de justicia (art. 229)</w:t>
      </w:r>
      <w:r w:rsidRPr="00F33E35">
        <w:rPr>
          <w:rStyle w:val="Refdenotaalpie"/>
          <w:rFonts w:ascii="Times New Roman" w:eastAsia="Times New Roman" w:hAnsi="Times New Roman" w:cs="Times New Roman"/>
          <w:sz w:val="28"/>
          <w:szCs w:val="28"/>
          <w:lang w:eastAsia="es-ES"/>
        </w:rPr>
        <w:footnoteReference w:id="72"/>
      </w:r>
      <w:r w:rsidRPr="00F33E35">
        <w:rPr>
          <w:rFonts w:ascii="Times New Roman" w:eastAsia="Times New Roman" w:hAnsi="Times New Roman" w:cs="Times New Roman"/>
          <w:sz w:val="28"/>
          <w:szCs w:val="28"/>
          <w:lang w:eastAsia="es-ES"/>
        </w:rPr>
        <w:t>. En</w:t>
      </w:r>
      <w:r w:rsidRPr="00F33E35">
        <w:rPr>
          <w:rFonts w:ascii="Times New Roman" w:eastAsia="Times New Roman" w:hAnsi="Times New Roman" w:cs="Times New Roman"/>
          <w:sz w:val="28"/>
          <w:szCs w:val="28"/>
          <w:lang w:eastAsia="es-ES"/>
        </w:rPr>
        <w:t>tonces,</w:t>
      </w:r>
      <w:r w:rsidRPr="00F33E35">
        <w:rPr>
          <w:rFonts w:ascii="Times New Roman" w:eastAsia="Times New Roman" w:hAnsi="Times New Roman" w:cs="Times New Roman"/>
          <w:sz w:val="28"/>
          <w:szCs w:val="28"/>
          <w:lang w:eastAsia="es-ES"/>
        </w:rPr>
        <w:t xml:space="preserve"> </w:t>
      </w:r>
      <w:r w:rsidRPr="00F33E35">
        <w:rPr>
          <w:rFonts w:ascii="Times New Roman" w:eastAsia="Times New Roman" w:hAnsi="Times New Roman" w:cs="Times New Roman"/>
          <w:sz w:val="28"/>
          <w:szCs w:val="28"/>
          <w:lang w:eastAsia="es-ES"/>
        </w:rPr>
        <w:t>para armonizar los intereses superiores</w:t>
      </w:r>
      <w:r w:rsidRPr="00F33E35">
        <w:rPr>
          <w:rFonts w:ascii="Times New Roman" w:eastAsia="Times New Roman" w:hAnsi="Times New Roman" w:cs="Times New Roman"/>
          <w:sz w:val="28"/>
          <w:szCs w:val="28"/>
          <w:lang w:eastAsia="es-ES"/>
        </w:rPr>
        <w:t xml:space="preserve"> en juego, es necesario que </w:t>
      </w:r>
      <w:r w:rsidRPr="00F33E35">
        <w:rPr>
          <w:rFonts w:ascii="Times New Roman" w:eastAsia="Times New Roman" w:hAnsi="Times New Roman" w:cs="Times New Roman"/>
          <w:sz w:val="28"/>
          <w:szCs w:val="28"/>
          <w:lang w:eastAsia="es-ES"/>
        </w:rPr>
        <w:t>las acusaciones en contra de normas adoptadas por órganos representativos</w:t>
      </w:r>
      <w:r w:rsidRPr="00F33E35">
        <w:rPr>
          <w:rFonts w:ascii="Times New Roman" w:eastAsia="Times New Roman" w:hAnsi="Times New Roman" w:cs="Times New Roman"/>
          <w:sz w:val="28"/>
          <w:szCs w:val="28"/>
          <w:lang w:eastAsia="es-ES"/>
        </w:rPr>
        <w:t xml:space="preserve"> est</w:t>
      </w:r>
      <w:r w:rsidRPr="00F33E35">
        <w:rPr>
          <w:rFonts w:ascii="Times New Roman" w:eastAsia="Times New Roman" w:hAnsi="Times New Roman" w:cs="Times New Roman"/>
          <w:sz w:val="28"/>
          <w:szCs w:val="28"/>
          <w:lang w:eastAsia="es-ES"/>
        </w:rPr>
        <w:t>én</w:t>
      </w:r>
      <w:r w:rsidRPr="00F33E35">
        <w:rPr>
          <w:rFonts w:ascii="Times New Roman" w:eastAsia="Times New Roman" w:hAnsi="Times New Roman" w:cs="Times New Roman"/>
          <w:sz w:val="28"/>
          <w:szCs w:val="28"/>
          <w:lang w:eastAsia="es-ES"/>
        </w:rPr>
        <w:t xml:space="preserve"> soportadas en razones</w:t>
      </w:r>
      <w:r w:rsidRPr="00F33E35">
        <w:rPr>
          <w:rFonts w:ascii="Times New Roman" w:eastAsia="Times New Roman" w:hAnsi="Times New Roman" w:cs="Times New Roman"/>
          <w:sz w:val="28"/>
          <w:szCs w:val="28"/>
          <w:lang w:eastAsia="es-ES"/>
        </w:rPr>
        <w:t xml:space="preserve"> </w:t>
      </w:r>
      <w:r w:rsidRPr="00F33E35">
        <w:rPr>
          <w:rFonts w:ascii="Times New Roman" w:eastAsia="Times New Roman" w:hAnsi="Times New Roman" w:cs="Times New Roman"/>
          <w:sz w:val="28"/>
          <w:szCs w:val="28"/>
          <w:lang w:eastAsia="es-ES"/>
        </w:rPr>
        <w:t>aptas</w:t>
      </w:r>
      <w:r w:rsidRPr="00F33E35">
        <w:rPr>
          <w:rFonts w:ascii="Times New Roman" w:eastAsia="Times New Roman" w:hAnsi="Times New Roman" w:cs="Times New Roman"/>
          <w:sz w:val="28"/>
          <w:szCs w:val="28"/>
          <w:lang w:eastAsia="es-ES"/>
        </w:rPr>
        <w:t xml:space="preserve"> para poner en duda la validez constitucional de la regulación, de modo que pueda apreciarse, al menos </w:t>
      </w:r>
      <w:r w:rsidRPr="00F33E35">
        <w:rPr>
          <w:rFonts w:ascii="Times New Roman" w:eastAsia="Times New Roman" w:hAnsi="Times New Roman" w:cs="Times New Roman"/>
          <w:i/>
          <w:iCs/>
          <w:sz w:val="28"/>
          <w:szCs w:val="28"/>
          <w:lang w:eastAsia="es-ES"/>
        </w:rPr>
        <w:t>prima facie</w:t>
      </w:r>
      <w:r w:rsidRPr="00F33E35">
        <w:rPr>
          <w:rFonts w:ascii="Times New Roman" w:eastAsia="Times New Roman" w:hAnsi="Times New Roman" w:cs="Times New Roman"/>
          <w:sz w:val="28"/>
          <w:szCs w:val="28"/>
          <w:lang w:eastAsia="es-ES"/>
        </w:rPr>
        <w:t xml:space="preserve">, un </w:t>
      </w:r>
      <w:r w:rsidRPr="00F33E35">
        <w:rPr>
          <w:rFonts w:ascii="Times New Roman" w:eastAsia="Times New Roman" w:hAnsi="Times New Roman" w:cs="Times New Roman"/>
          <w:sz w:val="28"/>
          <w:szCs w:val="28"/>
          <w:lang w:eastAsia="es-ES"/>
        </w:rPr>
        <w:t>riesgo para la supremacía de la Constitución</w:t>
      </w:r>
      <w:r w:rsidRPr="00F33E35">
        <w:rPr>
          <w:rStyle w:val="Refdenotaalpie"/>
          <w:rFonts w:ascii="Times New Roman" w:eastAsia="Times New Roman" w:hAnsi="Times New Roman" w:cs="Times New Roman"/>
          <w:sz w:val="28"/>
          <w:szCs w:val="28"/>
          <w:lang w:eastAsia="es-ES"/>
        </w:rPr>
        <w:footnoteReference w:id="73"/>
      </w:r>
      <w:r w:rsidRPr="00F33E35">
        <w:rPr>
          <w:rFonts w:ascii="Times New Roman" w:eastAsia="Times New Roman" w:hAnsi="Times New Roman" w:cs="Times New Roman"/>
          <w:sz w:val="28"/>
          <w:szCs w:val="28"/>
          <w:lang w:eastAsia="es-ES"/>
        </w:rPr>
        <w:t xml:space="preserve">.  </w:t>
      </w:r>
    </w:p>
    <w:p w:rsidR="00A82BA4" w:rsidRPr="00F33E35" w:rsidRDefault="00F33E35" w:rsidP="00A82BA4">
      <w:pPr>
        <w:pStyle w:val="Prrafodelista"/>
        <w:spacing w:line="240" w:lineRule="auto"/>
        <w:rPr>
          <w:rFonts w:ascii="Times New Roman" w:eastAsia="Times New Roman" w:hAnsi="Times New Roman" w:cs="Times New Roman"/>
          <w:sz w:val="28"/>
          <w:szCs w:val="28"/>
          <w:lang w:eastAsia="es-ES"/>
        </w:rPr>
      </w:pPr>
    </w:p>
    <w:p w:rsidR="003A682F" w:rsidRPr="00F33E35" w:rsidRDefault="00F33E35" w:rsidP="00E44760">
      <w:pPr>
        <w:pStyle w:val="Sinespaciado"/>
        <w:numPr>
          <w:ilvl w:val="0"/>
          <w:numId w:val="3"/>
        </w:numPr>
        <w:tabs>
          <w:tab w:val="left" w:pos="0"/>
          <w:tab w:val="left" w:pos="426"/>
        </w:tabs>
        <w:ind w:left="0" w:firstLine="0"/>
        <w:mirrorIndents/>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Desde esa óptica,</w:t>
      </w:r>
      <w:r w:rsidRPr="00F33E35">
        <w:rPr>
          <w:rFonts w:ascii="Times New Roman" w:eastAsia="Times New Roman" w:hAnsi="Times New Roman" w:cs="Times New Roman"/>
          <w:sz w:val="28"/>
          <w:szCs w:val="28"/>
          <w:lang w:eastAsia="es-ES"/>
        </w:rPr>
        <w:t xml:space="preserve"> la </w:t>
      </w:r>
      <w:r w:rsidRPr="00F33E35">
        <w:rPr>
          <w:rFonts w:ascii="Times New Roman" w:eastAsia="Times New Roman" w:hAnsi="Times New Roman" w:cs="Times New Roman"/>
          <w:sz w:val="28"/>
          <w:szCs w:val="28"/>
          <w:lang w:eastAsia="es-ES"/>
        </w:rPr>
        <w:t>exigencia de unas</w:t>
      </w:r>
      <w:r w:rsidRPr="00F33E35">
        <w:rPr>
          <w:rFonts w:ascii="Times New Roman" w:eastAsia="Times New Roman" w:hAnsi="Times New Roman" w:cs="Times New Roman"/>
          <w:sz w:val="28"/>
          <w:szCs w:val="28"/>
          <w:lang w:eastAsia="es-ES"/>
        </w:rPr>
        <w:t xml:space="preserve"> “</w:t>
      </w:r>
      <w:r w:rsidRPr="00F33E35">
        <w:rPr>
          <w:rFonts w:ascii="Times New Roman" w:hAnsi="Times New Roman" w:cs="Times New Roman"/>
          <w:sz w:val="28"/>
          <w:szCs w:val="28"/>
          <w:shd w:val="clear" w:color="auto" w:fill="FFFFFF"/>
        </w:rPr>
        <w:t>condiciones argumentativas mínimas”</w:t>
      </w:r>
      <w:r w:rsidRPr="00F33E35">
        <w:rPr>
          <w:rStyle w:val="Refdenotaalpie"/>
          <w:rFonts w:ascii="Times New Roman" w:hAnsi="Times New Roman" w:cs="Times New Roman"/>
          <w:sz w:val="28"/>
          <w:szCs w:val="28"/>
          <w:shd w:val="clear" w:color="auto" w:fill="FFFFFF"/>
        </w:rPr>
        <w:footnoteReference w:id="74"/>
      </w:r>
      <w:r w:rsidRPr="00F33E35">
        <w:rPr>
          <w:rFonts w:ascii="Times New Roman" w:hAnsi="Times New Roman" w:cs="Times New Roman"/>
          <w:sz w:val="28"/>
          <w:szCs w:val="28"/>
          <w:shd w:val="clear" w:color="auto" w:fill="FFFFFF"/>
        </w:rPr>
        <w:t xml:space="preserve"> para activar la competencia de </w:t>
      </w:r>
      <w:r w:rsidRPr="00F33E35">
        <w:rPr>
          <w:rFonts w:ascii="Times New Roman" w:hAnsi="Times New Roman" w:cs="Times New Roman"/>
          <w:sz w:val="28"/>
          <w:szCs w:val="28"/>
          <w:shd w:val="clear" w:color="auto" w:fill="FFFFFF"/>
        </w:rPr>
        <w:t>este Tribunal</w:t>
      </w:r>
      <w:r w:rsidRPr="00F33E35">
        <w:rPr>
          <w:rFonts w:ascii="Times New Roman" w:hAnsi="Times New Roman" w:cs="Times New Roman"/>
          <w:sz w:val="28"/>
          <w:szCs w:val="28"/>
          <w:shd w:val="clear" w:color="auto" w:fill="FFFFFF"/>
        </w:rPr>
        <w:t xml:space="preserve">, </w:t>
      </w:r>
      <w:r w:rsidRPr="00F33E35">
        <w:rPr>
          <w:rFonts w:ascii="Times New Roman" w:eastAsia="Times New Roman" w:hAnsi="Times New Roman" w:cs="Times New Roman"/>
          <w:sz w:val="28"/>
          <w:szCs w:val="28"/>
          <w:lang w:eastAsia="es-ES"/>
        </w:rPr>
        <w:t xml:space="preserve">cristaliza </w:t>
      </w:r>
      <w:r w:rsidRPr="00F33E35">
        <w:rPr>
          <w:rFonts w:ascii="Times New Roman" w:eastAsia="Times New Roman" w:hAnsi="Times New Roman" w:cs="Times New Roman"/>
          <w:sz w:val="28"/>
          <w:szCs w:val="28"/>
          <w:lang w:eastAsia="es-ES"/>
        </w:rPr>
        <w:t>al menos dos</w:t>
      </w:r>
      <w:r w:rsidRPr="00F33E35">
        <w:rPr>
          <w:rFonts w:ascii="Times New Roman" w:eastAsia="Times New Roman" w:hAnsi="Times New Roman" w:cs="Times New Roman"/>
          <w:sz w:val="28"/>
          <w:szCs w:val="28"/>
          <w:lang w:eastAsia="es-ES"/>
        </w:rPr>
        <w:t xml:space="preserve"> finalidades del proceso constitucional.</w:t>
      </w:r>
      <w:r w:rsidRPr="00F33E35">
        <w:rPr>
          <w:rFonts w:ascii="Times New Roman" w:eastAsia="Times New Roman" w:hAnsi="Times New Roman" w:cs="Times New Roman"/>
          <w:sz w:val="28"/>
          <w:szCs w:val="28"/>
          <w:lang w:eastAsia="es-ES"/>
        </w:rPr>
        <w:t xml:space="preserve"> Por un lado,</w:t>
      </w:r>
      <w:r w:rsidRPr="00F33E35">
        <w:rPr>
          <w:rFonts w:ascii="Times New Roman" w:eastAsia="Times New Roman" w:hAnsi="Times New Roman" w:cs="Times New Roman"/>
          <w:sz w:val="28"/>
          <w:szCs w:val="28"/>
          <w:lang w:eastAsia="es-ES"/>
        </w:rPr>
        <w:t xml:space="preserve"> concreta el derecho de los intervinientes a participar en las decisiones que los afectan, puesto que -desde el principio- se delimita la materia alrededor de la cual tendrá lugar la discusión  constitucional favoreciendo así la calidad del diálogo público</w:t>
      </w:r>
      <w:r w:rsidRPr="00F33E35">
        <w:rPr>
          <w:rFonts w:ascii="Times New Roman" w:eastAsia="Times New Roman" w:hAnsi="Times New Roman" w:cs="Times New Roman"/>
          <w:sz w:val="28"/>
          <w:szCs w:val="28"/>
          <w:lang w:eastAsia="es-ES"/>
        </w:rPr>
        <w:t xml:space="preserve"> que la demanda propone</w:t>
      </w:r>
      <w:r w:rsidRPr="00F33E35">
        <w:rPr>
          <w:rStyle w:val="Refdenotaalpie"/>
          <w:rFonts w:ascii="Times New Roman" w:eastAsia="Times New Roman" w:hAnsi="Times New Roman" w:cs="Times New Roman"/>
          <w:sz w:val="28"/>
          <w:szCs w:val="28"/>
          <w:lang w:eastAsia="es-ES"/>
        </w:rPr>
        <w:footnoteReference w:id="75"/>
      </w:r>
      <w:r w:rsidRPr="00F33E35">
        <w:rPr>
          <w:rFonts w:ascii="Times New Roman" w:eastAsia="Times New Roman" w:hAnsi="Times New Roman" w:cs="Times New Roman"/>
          <w:sz w:val="28"/>
          <w:szCs w:val="28"/>
          <w:lang w:eastAsia="es-ES"/>
        </w:rPr>
        <w:t>.</w:t>
      </w:r>
    </w:p>
    <w:p w:rsidR="003A682F" w:rsidRPr="00F33E35" w:rsidRDefault="00F33E35" w:rsidP="00E44760">
      <w:pPr>
        <w:pStyle w:val="Prrafodelista"/>
        <w:spacing w:after="0" w:line="240" w:lineRule="auto"/>
        <w:ind w:left="0"/>
        <w:jc w:val="both"/>
        <w:rPr>
          <w:rFonts w:ascii="Times New Roman" w:eastAsia="Times New Roman" w:hAnsi="Times New Roman" w:cs="Times New Roman"/>
          <w:sz w:val="28"/>
          <w:szCs w:val="28"/>
          <w:lang w:eastAsia="es-ES"/>
        </w:rPr>
      </w:pPr>
    </w:p>
    <w:p w:rsidR="00A82BA4" w:rsidRPr="00F33E35" w:rsidRDefault="00F33E35" w:rsidP="00E44760">
      <w:pPr>
        <w:pStyle w:val="Sinespaciado"/>
        <w:numPr>
          <w:ilvl w:val="0"/>
          <w:numId w:val="3"/>
        </w:numPr>
        <w:tabs>
          <w:tab w:val="left" w:pos="0"/>
          <w:tab w:val="left" w:pos="426"/>
        </w:tabs>
        <w:ind w:left="0" w:firstLine="0"/>
        <w:mirrorIndents/>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 xml:space="preserve">Por el otro, la Corte ha considerado que la </w:t>
      </w:r>
      <w:r w:rsidRPr="00F33E35">
        <w:rPr>
          <w:rFonts w:ascii="Times New Roman" w:eastAsia="Times New Roman" w:hAnsi="Times New Roman" w:cs="Times New Roman"/>
          <w:sz w:val="28"/>
          <w:szCs w:val="28"/>
          <w:lang w:eastAsia="es-ES"/>
        </w:rPr>
        <w:t xml:space="preserve">correcta precisión del debate a partir del cumplimiento de tales requerimientos, </w:t>
      </w:r>
      <w:r w:rsidRPr="00F33E35">
        <w:rPr>
          <w:rFonts w:ascii="Times New Roman" w:eastAsia="Times New Roman" w:hAnsi="Times New Roman" w:cs="Times New Roman"/>
          <w:sz w:val="28"/>
          <w:szCs w:val="28"/>
          <w:lang w:eastAsia="es-ES"/>
        </w:rPr>
        <w:t xml:space="preserve">favorece una reflexión calificada que permite superar las dificultades asociadas a la interpretación constitucional. Esta Corporación ha señalado </w:t>
      </w:r>
      <w:r w:rsidRPr="00F33E35">
        <w:rPr>
          <w:rFonts w:ascii="Times New Roman" w:hAnsi="Times New Roman" w:cs="Times New Roman"/>
          <w:sz w:val="28"/>
          <w:szCs w:val="28"/>
          <w:shd w:val="clear" w:color="auto" w:fill="FFFFFF"/>
        </w:rPr>
        <w:t>que las normas vigentes ponen de presente “un modelo específico de control constitucional en el que los proces</w:t>
      </w:r>
      <w:r w:rsidRPr="00F33E35">
        <w:rPr>
          <w:rFonts w:ascii="Times New Roman" w:hAnsi="Times New Roman" w:cs="Times New Roman"/>
          <w:sz w:val="28"/>
          <w:szCs w:val="28"/>
          <w:shd w:val="clear" w:color="auto" w:fill="FFFFFF"/>
        </w:rPr>
        <w:t>os deliberativos, abiertos, democráticos y participativos confieren legitimidad, racionalidad, validez y justicia material a las decisiones judiciales”</w:t>
      </w:r>
      <w:r w:rsidRPr="00F33E35">
        <w:rPr>
          <w:rStyle w:val="Refdenotaalpie"/>
          <w:rFonts w:ascii="Times New Roman" w:hAnsi="Times New Roman" w:cs="Times New Roman"/>
          <w:sz w:val="28"/>
          <w:szCs w:val="28"/>
          <w:shd w:val="clear" w:color="auto" w:fill="FFFFFF"/>
        </w:rPr>
        <w:footnoteReference w:id="76"/>
      </w:r>
      <w:r w:rsidRPr="00F33E35">
        <w:rPr>
          <w:rFonts w:ascii="Times New Roman" w:hAnsi="Times New Roman" w:cs="Times New Roman"/>
          <w:sz w:val="28"/>
          <w:szCs w:val="28"/>
          <w:shd w:val="clear" w:color="auto" w:fill="FFFFFF"/>
        </w:rPr>
        <w:t xml:space="preserve">. En dicho modelo la tarea de </w:t>
      </w:r>
      <w:r w:rsidRPr="00F33E35">
        <w:rPr>
          <w:rFonts w:ascii="Times New Roman" w:hAnsi="Times New Roman" w:cs="Times New Roman"/>
          <w:sz w:val="28"/>
          <w:szCs w:val="28"/>
          <w:shd w:val="clear" w:color="auto" w:fill="FFFFFF"/>
        </w:rPr>
        <w:t>este Tribunal</w:t>
      </w:r>
      <w:r w:rsidRPr="00F33E35">
        <w:rPr>
          <w:rFonts w:ascii="Times New Roman" w:hAnsi="Times New Roman" w:cs="Times New Roman"/>
          <w:sz w:val="28"/>
          <w:szCs w:val="28"/>
          <w:shd w:val="clear" w:color="auto" w:fill="FFFFFF"/>
        </w:rPr>
        <w:t xml:space="preserve"> “no consiste en construir oficiosa, aislada y unilateralmente las decisiones sobre la constitucionalidad del sistema jurídico, sino en liderar un proceso de construcción colectiva en un asunto esencialmente público, precisando y orientando el debate y la </w:t>
      </w:r>
      <w:r w:rsidRPr="00F33E35">
        <w:rPr>
          <w:rFonts w:ascii="Times New Roman" w:hAnsi="Times New Roman" w:cs="Times New Roman"/>
          <w:sz w:val="28"/>
          <w:szCs w:val="28"/>
          <w:shd w:val="clear" w:color="auto" w:fill="FFFFFF"/>
        </w:rPr>
        <w:t>deliberación pública, organizando y sistematizando los insumos que resulten de este proceso de reflexión colectiva, valorando y sopesando las distintas opciones y alternativas que surgen de este mismo proceso, y finalmente, adoptando una decisión”</w:t>
      </w:r>
      <w:r w:rsidRPr="00F33E35">
        <w:rPr>
          <w:rStyle w:val="Refdenotaalpie"/>
          <w:rFonts w:ascii="Times New Roman" w:hAnsi="Times New Roman" w:cs="Times New Roman"/>
          <w:sz w:val="28"/>
          <w:szCs w:val="28"/>
          <w:shd w:val="clear" w:color="auto" w:fill="FFFFFF"/>
        </w:rPr>
        <w:footnoteReference w:id="77"/>
      </w:r>
      <w:r w:rsidRPr="00F33E35">
        <w:rPr>
          <w:rFonts w:ascii="Times New Roman" w:hAnsi="Times New Roman" w:cs="Times New Roman"/>
          <w:sz w:val="28"/>
          <w:szCs w:val="28"/>
          <w:shd w:val="clear" w:color="auto" w:fill="FFFFFF"/>
        </w:rPr>
        <w:t>.</w:t>
      </w:r>
    </w:p>
    <w:p w:rsidR="00A82BA4" w:rsidRPr="00F33E35" w:rsidRDefault="00F33E35" w:rsidP="00A82BA4">
      <w:pPr>
        <w:pStyle w:val="Sinespaciado"/>
        <w:tabs>
          <w:tab w:val="left" w:pos="0"/>
          <w:tab w:val="left" w:pos="426"/>
        </w:tabs>
        <w:mirrorIndents/>
        <w:jc w:val="both"/>
        <w:rPr>
          <w:rFonts w:ascii="Times New Roman" w:hAnsi="Times New Roman" w:cs="Times New Roman"/>
          <w:snapToGrid w:val="0"/>
          <w:sz w:val="28"/>
          <w:szCs w:val="28"/>
          <w:lang w:val="es-ES" w:eastAsia="es-ES"/>
        </w:rPr>
      </w:pPr>
    </w:p>
    <w:p w:rsidR="00825365" w:rsidRPr="00F33E35" w:rsidRDefault="00F33E35" w:rsidP="00A82BA4">
      <w:pPr>
        <w:pStyle w:val="Sinespaciado"/>
        <w:numPr>
          <w:ilvl w:val="0"/>
          <w:numId w:val="3"/>
        </w:numPr>
        <w:tabs>
          <w:tab w:val="left" w:pos="0"/>
          <w:tab w:val="left" w:pos="426"/>
        </w:tabs>
        <w:ind w:left="0" w:firstLine="0"/>
        <w:mirrorIndents/>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Compr</w:t>
      </w:r>
      <w:r w:rsidRPr="00F33E35">
        <w:rPr>
          <w:rFonts w:ascii="Times New Roman" w:eastAsia="Times New Roman" w:hAnsi="Times New Roman" w:cs="Times New Roman"/>
          <w:sz w:val="28"/>
          <w:szCs w:val="28"/>
          <w:lang w:eastAsia="es-ES"/>
        </w:rPr>
        <w:t xml:space="preserve">ender el </w:t>
      </w:r>
      <w:r w:rsidRPr="00F33E35">
        <w:rPr>
          <w:rFonts w:ascii="Times New Roman" w:eastAsia="Times New Roman" w:hAnsi="Times New Roman" w:cs="Times New Roman"/>
          <w:sz w:val="28"/>
          <w:szCs w:val="28"/>
          <w:lang w:eastAsia="es-ES"/>
        </w:rPr>
        <w:t>proceso de constitucionalidad como un verdadero foro para el diálogo público encaminado a establecer si la Constitución fue vulnerada por alguno de los órganos del Estado, implica que se trata de la expresión de una forma de democracia deliberativ</w:t>
      </w:r>
      <w:r w:rsidRPr="00F33E35">
        <w:rPr>
          <w:rFonts w:ascii="Times New Roman" w:eastAsia="Times New Roman" w:hAnsi="Times New Roman" w:cs="Times New Roman"/>
          <w:sz w:val="28"/>
          <w:szCs w:val="28"/>
          <w:lang w:eastAsia="es-ES"/>
        </w:rPr>
        <w:t xml:space="preserve">a. Tal circunstancia exige </w:t>
      </w:r>
      <w:r w:rsidRPr="00F33E35">
        <w:rPr>
          <w:rFonts w:ascii="Times New Roman" w:eastAsia="Times New Roman" w:hAnsi="Times New Roman" w:cs="Times New Roman"/>
          <w:sz w:val="28"/>
          <w:szCs w:val="28"/>
          <w:lang w:eastAsia="es-ES"/>
        </w:rPr>
        <w:t xml:space="preserve">que las </w:t>
      </w:r>
      <w:r w:rsidRPr="00F33E35">
        <w:rPr>
          <w:rFonts w:ascii="Times New Roman" w:eastAsia="Times New Roman" w:hAnsi="Times New Roman" w:cs="Times New Roman"/>
          <w:sz w:val="28"/>
          <w:szCs w:val="28"/>
          <w:lang w:eastAsia="es-ES"/>
        </w:rPr>
        <w:t xml:space="preserve">razones </w:t>
      </w:r>
      <w:r w:rsidRPr="00F33E35">
        <w:rPr>
          <w:rFonts w:ascii="Times New Roman" w:eastAsia="Times New Roman" w:hAnsi="Times New Roman" w:cs="Times New Roman"/>
          <w:sz w:val="28"/>
          <w:szCs w:val="28"/>
          <w:lang w:eastAsia="es-ES"/>
        </w:rPr>
        <w:t>propuestas</w:t>
      </w:r>
      <w:r w:rsidRPr="00F33E35">
        <w:rPr>
          <w:rFonts w:ascii="Times New Roman" w:eastAsia="Times New Roman" w:hAnsi="Times New Roman" w:cs="Times New Roman"/>
          <w:sz w:val="28"/>
          <w:szCs w:val="28"/>
          <w:lang w:eastAsia="es-ES"/>
        </w:rPr>
        <w:t xml:space="preserve"> para juzgar la validez constitucional de</w:t>
      </w:r>
      <w:r w:rsidRPr="00F33E35">
        <w:rPr>
          <w:rFonts w:ascii="Times New Roman" w:eastAsia="Times New Roman" w:hAnsi="Times New Roman" w:cs="Times New Roman"/>
          <w:sz w:val="28"/>
          <w:szCs w:val="28"/>
          <w:lang w:eastAsia="es-ES"/>
        </w:rPr>
        <w:t xml:space="preserve"> una norma sean</w:t>
      </w:r>
      <w:r w:rsidRPr="00F33E35">
        <w:rPr>
          <w:rFonts w:ascii="Times New Roman" w:eastAsia="Times New Roman" w:hAnsi="Times New Roman" w:cs="Times New Roman"/>
          <w:sz w:val="28"/>
          <w:szCs w:val="28"/>
          <w:lang w:eastAsia="es-ES"/>
        </w:rPr>
        <w:t xml:space="preserve"> relevantes para que </w:t>
      </w:r>
      <w:r w:rsidRPr="00F33E35">
        <w:rPr>
          <w:rFonts w:ascii="Times New Roman" w:eastAsia="Times New Roman" w:hAnsi="Times New Roman" w:cs="Times New Roman"/>
          <w:sz w:val="28"/>
          <w:szCs w:val="28"/>
          <w:lang w:eastAsia="es-ES"/>
        </w:rPr>
        <w:t>este Tribunal</w:t>
      </w:r>
      <w:r w:rsidRPr="00F33E35">
        <w:rPr>
          <w:rFonts w:ascii="Times New Roman" w:eastAsia="Times New Roman" w:hAnsi="Times New Roman" w:cs="Times New Roman"/>
          <w:sz w:val="28"/>
          <w:szCs w:val="28"/>
          <w:lang w:eastAsia="es-ES"/>
        </w:rPr>
        <w:t xml:space="preserve"> cumpla esta tarea. </w:t>
      </w:r>
      <w:r w:rsidRPr="00F33E35">
        <w:rPr>
          <w:rFonts w:ascii="Times New Roman" w:eastAsia="Times New Roman" w:hAnsi="Times New Roman" w:cs="Times New Roman"/>
          <w:sz w:val="28"/>
          <w:szCs w:val="28"/>
          <w:lang w:eastAsia="es-ES"/>
        </w:rPr>
        <w:t>Es decir,</w:t>
      </w:r>
      <w:r w:rsidRPr="00F33E35">
        <w:rPr>
          <w:rFonts w:ascii="Times New Roman" w:eastAsia="Times New Roman" w:hAnsi="Times New Roman" w:cs="Times New Roman"/>
          <w:sz w:val="28"/>
          <w:szCs w:val="28"/>
          <w:lang w:eastAsia="es-ES"/>
        </w:rPr>
        <w:t xml:space="preserve"> </w:t>
      </w:r>
      <w:r w:rsidRPr="00F33E35">
        <w:rPr>
          <w:rFonts w:ascii="Times New Roman" w:eastAsia="Times New Roman" w:hAnsi="Times New Roman" w:cs="Times New Roman"/>
          <w:sz w:val="28"/>
          <w:szCs w:val="28"/>
          <w:lang w:eastAsia="es-ES"/>
        </w:rPr>
        <w:t xml:space="preserve">su admisibilidad </w:t>
      </w:r>
      <w:r w:rsidRPr="00F33E35">
        <w:rPr>
          <w:rFonts w:ascii="Times New Roman" w:eastAsia="Times New Roman" w:hAnsi="Times New Roman" w:cs="Times New Roman"/>
          <w:sz w:val="28"/>
          <w:szCs w:val="28"/>
          <w:lang w:eastAsia="es-ES"/>
        </w:rPr>
        <w:t>de</w:t>
      </w:r>
      <w:r w:rsidRPr="00F33E35">
        <w:rPr>
          <w:rFonts w:ascii="Times New Roman" w:eastAsia="Times New Roman" w:hAnsi="Times New Roman" w:cs="Times New Roman"/>
          <w:sz w:val="28"/>
          <w:szCs w:val="28"/>
          <w:lang w:eastAsia="es-ES"/>
        </w:rPr>
        <w:t>pende de</w:t>
      </w:r>
      <w:r w:rsidRPr="00F33E35">
        <w:rPr>
          <w:rFonts w:ascii="Times New Roman" w:eastAsia="Times New Roman" w:hAnsi="Times New Roman" w:cs="Times New Roman"/>
          <w:sz w:val="28"/>
          <w:szCs w:val="28"/>
          <w:lang w:eastAsia="es-ES"/>
        </w:rPr>
        <w:t xml:space="preserve"> la contribución que puedan prestar para (i) definir el significado del objeto de control e (ii) identificar lo que la Constitución ordena, prohíbe o permite</w:t>
      </w:r>
      <w:r w:rsidRPr="00F33E35">
        <w:rPr>
          <w:rStyle w:val="Refdenotaalpie"/>
          <w:rFonts w:ascii="Times New Roman" w:eastAsia="Times New Roman" w:hAnsi="Times New Roman" w:cs="Times New Roman"/>
          <w:sz w:val="28"/>
          <w:szCs w:val="28"/>
          <w:lang w:eastAsia="es-ES"/>
        </w:rPr>
        <w:footnoteReference w:id="78"/>
      </w:r>
      <w:r w:rsidRPr="00F33E35">
        <w:rPr>
          <w:rFonts w:ascii="Times New Roman" w:eastAsia="Times New Roman" w:hAnsi="Times New Roman" w:cs="Times New Roman"/>
          <w:sz w:val="28"/>
          <w:szCs w:val="28"/>
          <w:lang w:eastAsia="es-ES"/>
        </w:rPr>
        <w:t xml:space="preserve">. </w:t>
      </w:r>
    </w:p>
    <w:p w:rsidR="00FF5603" w:rsidRPr="00F33E35" w:rsidRDefault="00F33E35" w:rsidP="008158EB">
      <w:pPr>
        <w:pStyle w:val="Prrafodelista"/>
        <w:spacing w:after="0" w:line="240" w:lineRule="auto"/>
        <w:ind w:left="0"/>
        <w:contextualSpacing w:val="0"/>
        <w:rPr>
          <w:rFonts w:ascii="Times New Roman" w:hAnsi="Times New Roman" w:cs="Times New Roman"/>
          <w:snapToGrid w:val="0"/>
          <w:sz w:val="28"/>
          <w:szCs w:val="28"/>
          <w:lang w:val="es-ES" w:eastAsia="es-ES"/>
        </w:rPr>
      </w:pPr>
    </w:p>
    <w:p w:rsidR="00E44760" w:rsidRPr="00F33E35" w:rsidRDefault="00F33E35" w:rsidP="00AA50F3">
      <w:pPr>
        <w:pStyle w:val="Sinespaciado"/>
        <w:numPr>
          <w:ilvl w:val="0"/>
          <w:numId w:val="3"/>
        </w:numPr>
        <w:tabs>
          <w:tab w:val="left" w:pos="426"/>
        </w:tabs>
        <w:ind w:left="0" w:firstLine="0"/>
        <w:jc w:val="both"/>
        <w:rPr>
          <w:rFonts w:ascii="Times New Roman" w:hAnsi="Times New Roman" w:cs="Times New Roman"/>
          <w:snapToGrid w:val="0"/>
          <w:sz w:val="28"/>
          <w:szCs w:val="28"/>
          <w:lang w:val="es-ES" w:eastAsia="es-ES"/>
        </w:rPr>
      </w:pPr>
      <w:r w:rsidRPr="00F33E35">
        <w:rPr>
          <w:rFonts w:ascii="Times New Roman" w:hAnsi="Times New Roman" w:cs="Times New Roman"/>
          <w:snapToGrid w:val="0"/>
          <w:sz w:val="28"/>
          <w:szCs w:val="28"/>
          <w:lang w:val="es-ES" w:eastAsia="es-ES"/>
        </w:rPr>
        <w:t xml:space="preserve">De acuerdo con el </w:t>
      </w:r>
      <w:r w:rsidRPr="00F33E35">
        <w:rPr>
          <w:rFonts w:ascii="Times New Roman" w:hAnsi="Times New Roman" w:cs="Times New Roman"/>
          <w:color w:val="000000"/>
          <w:sz w:val="28"/>
          <w:szCs w:val="28"/>
          <w:lang w:val="es-ES_tradnl"/>
        </w:rPr>
        <w:t xml:space="preserve">artículo 2 del Decreto 2067 de 1991, el escrito </w:t>
      </w:r>
      <w:r w:rsidRPr="00F33E35">
        <w:rPr>
          <w:rFonts w:ascii="Times New Roman" w:hAnsi="Times New Roman" w:cs="Times New Roman"/>
          <w:color w:val="000000"/>
          <w:sz w:val="28"/>
          <w:szCs w:val="28"/>
          <w:lang w:val="es-ES_tradnl"/>
        </w:rPr>
        <w:t xml:space="preserve">mediante el cual se ejerce </w:t>
      </w:r>
      <w:r w:rsidRPr="00F33E35">
        <w:rPr>
          <w:rFonts w:ascii="Times New Roman" w:hAnsi="Times New Roman" w:cs="Times New Roman"/>
          <w:color w:val="000000"/>
          <w:sz w:val="28"/>
          <w:szCs w:val="28"/>
          <w:lang w:val="es-ES_tradnl"/>
        </w:rPr>
        <w:t>l</w:t>
      </w:r>
      <w:r w:rsidRPr="00F33E35">
        <w:rPr>
          <w:rFonts w:ascii="Times New Roman" w:hAnsi="Times New Roman" w:cs="Times New Roman"/>
          <w:color w:val="000000"/>
          <w:sz w:val="28"/>
          <w:szCs w:val="28"/>
          <w:lang w:val="es-ES_tradnl"/>
        </w:rPr>
        <w:t>a acción pública de inconstitucionalidad debe, por lo menos: i) identificar las disposiciones de la Constitución que se consideran infringidas; ii) describir el contenido normativo de las disposiciones constitucionales que riñen con las normas demandadas y</w:t>
      </w:r>
      <w:r w:rsidRPr="00F33E35">
        <w:rPr>
          <w:rFonts w:ascii="Times New Roman" w:hAnsi="Times New Roman" w:cs="Times New Roman"/>
          <w:color w:val="000000"/>
          <w:sz w:val="28"/>
          <w:szCs w:val="28"/>
          <w:lang w:val="es-ES_tradnl"/>
        </w:rPr>
        <w:t xml:space="preserve"> iii) exponer las razones por los cuales se considera que las disposiciones normativas acusadas son contrarias al texto superior. De acuerdo con la jurisprudencia, esta última condición supone que los argumentos que conforman el concepto de violación sean </w:t>
      </w:r>
      <w:r w:rsidRPr="00F33E35">
        <w:rPr>
          <w:rFonts w:ascii="Times New Roman" w:hAnsi="Times New Roman" w:cs="Times New Roman"/>
          <w:color w:val="000000"/>
          <w:sz w:val="28"/>
          <w:szCs w:val="28"/>
          <w:lang w:val="es-ES_tradnl"/>
        </w:rPr>
        <w:t>claros, ciertos, específicos, pertinentes y suficientes</w:t>
      </w:r>
      <w:r w:rsidRPr="00F33E35">
        <w:rPr>
          <w:rFonts w:ascii="Times New Roman" w:hAnsi="Times New Roman" w:cs="Times New Roman"/>
          <w:sz w:val="28"/>
          <w:szCs w:val="28"/>
          <w:vertAlign w:val="superscript"/>
          <w:lang w:val="es-ES_tradnl"/>
        </w:rPr>
        <w:footnoteReference w:id="79"/>
      </w:r>
      <w:r w:rsidRPr="00F33E35">
        <w:rPr>
          <w:rFonts w:ascii="Times New Roman" w:hAnsi="Times New Roman" w:cs="Times New Roman"/>
          <w:color w:val="000000"/>
          <w:sz w:val="28"/>
          <w:szCs w:val="28"/>
          <w:lang w:val="es-ES_tradnl"/>
        </w:rPr>
        <w:t xml:space="preserve">. Lo anterior, sin perjuicio de que la verificación del cumplimiento de las exigencias descritas se efectúe a la luz del principio </w:t>
      </w:r>
      <w:r w:rsidRPr="00F33E35">
        <w:rPr>
          <w:rFonts w:ascii="Times New Roman" w:hAnsi="Times New Roman" w:cs="Times New Roman"/>
          <w:i/>
          <w:iCs/>
          <w:color w:val="000000"/>
          <w:sz w:val="28"/>
          <w:szCs w:val="28"/>
          <w:lang w:val="es-ES_tradnl"/>
        </w:rPr>
        <w:t>pro actione</w:t>
      </w:r>
      <w:r w:rsidRPr="00F33E35">
        <w:rPr>
          <w:rStyle w:val="Refdenotaalpie"/>
          <w:rFonts w:ascii="Times New Roman" w:hAnsi="Times New Roman" w:cs="Times New Roman"/>
          <w:i/>
          <w:iCs/>
          <w:color w:val="000000"/>
          <w:sz w:val="28"/>
          <w:szCs w:val="28"/>
          <w:lang w:val="es-ES_tradnl"/>
        </w:rPr>
        <w:footnoteReference w:id="80"/>
      </w:r>
      <w:r w:rsidRPr="00F33E35">
        <w:rPr>
          <w:rFonts w:ascii="Times New Roman" w:hAnsi="Times New Roman" w:cs="Times New Roman"/>
          <w:color w:val="000000"/>
          <w:sz w:val="28"/>
          <w:szCs w:val="28"/>
          <w:lang w:val="es-ES_tradnl"/>
        </w:rPr>
        <w:t>.</w:t>
      </w:r>
    </w:p>
    <w:p w:rsidR="00E44760" w:rsidRPr="00F33E35" w:rsidRDefault="00F33E35" w:rsidP="00AA50F3">
      <w:pPr>
        <w:pStyle w:val="Prrafodelista"/>
        <w:spacing w:after="0" w:line="240" w:lineRule="auto"/>
        <w:ind w:left="0"/>
        <w:jc w:val="both"/>
        <w:rPr>
          <w:rFonts w:ascii="Times New Roman" w:eastAsia="Times New Roman" w:hAnsi="Times New Roman" w:cs="Times New Roman"/>
          <w:sz w:val="28"/>
          <w:szCs w:val="28"/>
          <w:lang w:eastAsia="es-ES"/>
        </w:rPr>
      </w:pPr>
    </w:p>
    <w:p w:rsidR="00E44760" w:rsidRPr="00F33E35" w:rsidRDefault="00F33E35" w:rsidP="00AA50F3">
      <w:pPr>
        <w:pStyle w:val="Sinespaciado"/>
        <w:numPr>
          <w:ilvl w:val="0"/>
          <w:numId w:val="3"/>
        </w:numPr>
        <w:tabs>
          <w:tab w:val="left" w:pos="426"/>
        </w:tabs>
        <w:ind w:left="0" w:firstLine="0"/>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Las</w:t>
      </w:r>
      <w:r w:rsidRPr="00F33E35">
        <w:rPr>
          <w:rFonts w:ascii="Times New Roman" w:eastAsia="Times New Roman" w:hAnsi="Times New Roman" w:cs="Times New Roman"/>
          <w:sz w:val="28"/>
          <w:szCs w:val="28"/>
          <w:lang w:eastAsia="es-ES"/>
        </w:rPr>
        <w:t xml:space="preserve"> exigencias de claridad, certeza, pertinencia, especificidad y suficiencia como presupuestos de admisibilidad</w:t>
      </w:r>
      <w:r w:rsidRPr="00F33E35">
        <w:rPr>
          <w:rFonts w:ascii="Times New Roman" w:eastAsia="Times New Roman" w:hAnsi="Times New Roman" w:cs="Times New Roman"/>
          <w:sz w:val="28"/>
          <w:szCs w:val="28"/>
          <w:lang w:eastAsia="es-ES"/>
        </w:rPr>
        <w:t xml:space="preserve"> son el punto de</w:t>
      </w:r>
      <w:r w:rsidRPr="00F33E35">
        <w:rPr>
          <w:rFonts w:ascii="Times New Roman" w:eastAsia="Times New Roman" w:hAnsi="Times New Roman" w:cs="Times New Roman"/>
          <w:sz w:val="28"/>
          <w:szCs w:val="28"/>
          <w:lang w:eastAsia="es-ES"/>
        </w:rPr>
        <w:t xml:space="preserve"> partida del proceso</w:t>
      </w:r>
      <w:r w:rsidRPr="00F33E35">
        <w:rPr>
          <w:rFonts w:ascii="Times New Roman" w:eastAsia="Times New Roman" w:hAnsi="Times New Roman" w:cs="Times New Roman"/>
          <w:sz w:val="28"/>
          <w:szCs w:val="28"/>
          <w:lang w:eastAsia="es-ES"/>
        </w:rPr>
        <w:t xml:space="preserve"> de constitucionalidad, porque</w:t>
      </w:r>
      <w:r w:rsidRPr="00F33E35">
        <w:rPr>
          <w:rFonts w:ascii="Times New Roman" w:eastAsia="Times New Roman" w:hAnsi="Times New Roman" w:cs="Times New Roman"/>
          <w:sz w:val="28"/>
          <w:szCs w:val="28"/>
          <w:lang w:eastAsia="es-ES"/>
        </w:rPr>
        <w:t xml:space="preserve"> permite</w:t>
      </w:r>
      <w:r w:rsidRPr="00F33E35">
        <w:rPr>
          <w:rFonts w:ascii="Times New Roman" w:eastAsia="Times New Roman" w:hAnsi="Times New Roman" w:cs="Times New Roman"/>
          <w:sz w:val="28"/>
          <w:szCs w:val="28"/>
          <w:lang w:eastAsia="es-ES"/>
        </w:rPr>
        <w:t>n</w:t>
      </w:r>
      <w:r w:rsidRPr="00F33E35">
        <w:rPr>
          <w:rFonts w:ascii="Times New Roman" w:eastAsia="Times New Roman" w:hAnsi="Times New Roman" w:cs="Times New Roman"/>
          <w:sz w:val="28"/>
          <w:szCs w:val="28"/>
          <w:lang w:eastAsia="es-ES"/>
        </w:rPr>
        <w:t xml:space="preserve"> iniciar un diálogo público y razonable entre el demandante, los ciudada</w:t>
      </w:r>
      <w:r w:rsidRPr="00F33E35">
        <w:rPr>
          <w:rFonts w:ascii="Times New Roman" w:eastAsia="Times New Roman" w:hAnsi="Times New Roman" w:cs="Times New Roman"/>
          <w:sz w:val="28"/>
          <w:szCs w:val="28"/>
          <w:lang w:eastAsia="es-ES"/>
        </w:rPr>
        <w:t xml:space="preserve">nos interesados, las autoridades responsables y </w:t>
      </w:r>
      <w:r w:rsidRPr="00F33E35">
        <w:rPr>
          <w:rFonts w:ascii="Times New Roman" w:eastAsia="Times New Roman" w:hAnsi="Times New Roman" w:cs="Times New Roman"/>
          <w:sz w:val="28"/>
          <w:szCs w:val="28"/>
          <w:lang w:eastAsia="es-ES"/>
        </w:rPr>
        <w:t>este Tribunal</w:t>
      </w:r>
      <w:r w:rsidRPr="00F33E35">
        <w:rPr>
          <w:rFonts w:ascii="Times New Roman" w:eastAsia="Times New Roman" w:hAnsi="Times New Roman" w:cs="Times New Roman"/>
          <w:sz w:val="28"/>
          <w:szCs w:val="28"/>
          <w:lang w:eastAsia="es-ES"/>
        </w:rPr>
        <w:t xml:space="preserve">. </w:t>
      </w:r>
      <w:r w:rsidRPr="00F33E35">
        <w:rPr>
          <w:rFonts w:ascii="Times New Roman" w:eastAsia="Times New Roman" w:hAnsi="Times New Roman" w:cs="Times New Roman"/>
          <w:sz w:val="28"/>
          <w:szCs w:val="28"/>
          <w:lang w:eastAsia="es-ES"/>
        </w:rPr>
        <w:t>Además, el cumplimiento de dichas</w:t>
      </w:r>
      <w:r w:rsidRPr="00F33E35">
        <w:rPr>
          <w:rFonts w:ascii="Times New Roman" w:hAnsi="Times New Roman" w:cs="Times New Roman"/>
          <w:sz w:val="28"/>
          <w:szCs w:val="28"/>
          <w:bdr w:val="none" w:sz="0" w:space="0" w:color="auto" w:frame="1"/>
          <w:shd w:val="clear" w:color="auto" w:fill="FFFFFF"/>
        </w:rPr>
        <w:t xml:space="preserve"> cargas mínimas </w:t>
      </w:r>
      <w:r w:rsidRPr="00F33E35">
        <w:rPr>
          <w:rFonts w:ascii="Times New Roman" w:eastAsia="Times New Roman" w:hAnsi="Times New Roman" w:cs="Times New Roman"/>
          <w:sz w:val="28"/>
          <w:szCs w:val="28"/>
          <w:lang w:eastAsia="es-ES"/>
        </w:rPr>
        <w:t>tanto en</w:t>
      </w:r>
      <w:r w:rsidRPr="00F33E35">
        <w:rPr>
          <w:rFonts w:ascii="Times New Roman" w:eastAsia="Times New Roman" w:hAnsi="Times New Roman" w:cs="Times New Roman"/>
          <w:sz w:val="28"/>
          <w:szCs w:val="28"/>
          <w:lang w:eastAsia="es-ES"/>
        </w:rPr>
        <w:t xml:space="preserve"> la acusación </w:t>
      </w:r>
      <w:r w:rsidRPr="00F33E35">
        <w:rPr>
          <w:rFonts w:ascii="Times New Roman" w:eastAsia="Times New Roman" w:hAnsi="Times New Roman" w:cs="Times New Roman"/>
          <w:sz w:val="28"/>
          <w:szCs w:val="28"/>
          <w:lang w:eastAsia="es-ES"/>
        </w:rPr>
        <w:t>como en</w:t>
      </w:r>
      <w:r w:rsidRPr="00F33E35">
        <w:rPr>
          <w:rFonts w:ascii="Times New Roman" w:eastAsia="Times New Roman" w:hAnsi="Times New Roman" w:cs="Times New Roman"/>
          <w:sz w:val="28"/>
          <w:szCs w:val="28"/>
          <w:lang w:eastAsia="es-ES"/>
        </w:rPr>
        <w:t xml:space="preserve"> las intervenciones que le siguen, cumple una doble función epistémica y de legitimación: incrementan las posibilid</w:t>
      </w:r>
      <w:r w:rsidRPr="00F33E35">
        <w:rPr>
          <w:rFonts w:ascii="Times New Roman" w:eastAsia="Times New Roman" w:hAnsi="Times New Roman" w:cs="Times New Roman"/>
          <w:sz w:val="28"/>
          <w:szCs w:val="28"/>
          <w:lang w:eastAsia="es-ES"/>
        </w:rPr>
        <w:t>ades de que la Corte adopte la mejor decisión y ofrecen un adicional respaldo democrático a su pronunciamiento</w:t>
      </w:r>
      <w:r w:rsidRPr="00F33E35">
        <w:rPr>
          <w:rStyle w:val="Refdenotaalpie"/>
          <w:rFonts w:ascii="Times New Roman" w:eastAsia="Times New Roman" w:hAnsi="Times New Roman" w:cs="Times New Roman"/>
          <w:sz w:val="28"/>
          <w:szCs w:val="28"/>
          <w:lang w:eastAsia="es-ES"/>
        </w:rPr>
        <w:footnoteReference w:id="81"/>
      </w:r>
      <w:r w:rsidRPr="00F33E35">
        <w:rPr>
          <w:rFonts w:ascii="Times New Roman" w:eastAsia="Times New Roman" w:hAnsi="Times New Roman" w:cs="Times New Roman"/>
          <w:sz w:val="28"/>
          <w:szCs w:val="28"/>
          <w:lang w:eastAsia="es-ES"/>
        </w:rPr>
        <w:t xml:space="preserve">.    </w:t>
      </w:r>
    </w:p>
    <w:p w:rsidR="00E44760" w:rsidRPr="00F33E35" w:rsidRDefault="00F33E35" w:rsidP="00AA50F3">
      <w:pPr>
        <w:pStyle w:val="Prrafodelista"/>
        <w:spacing w:after="0" w:line="240" w:lineRule="auto"/>
        <w:ind w:left="0"/>
        <w:jc w:val="both"/>
        <w:rPr>
          <w:rFonts w:ascii="Times New Roman" w:eastAsia="Times New Roman" w:hAnsi="Times New Roman" w:cs="Times New Roman"/>
          <w:sz w:val="28"/>
          <w:szCs w:val="28"/>
          <w:lang w:eastAsia="es-ES"/>
        </w:rPr>
      </w:pPr>
    </w:p>
    <w:p w:rsidR="00E44760" w:rsidRPr="00F33E35" w:rsidRDefault="00F33E35" w:rsidP="00AA50F3">
      <w:pPr>
        <w:pStyle w:val="Sinespaciado"/>
        <w:numPr>
          <w:ilvl w:val="0"/>
          <w:numId w:val="3"/>
        </w:numPr>
        <w:tabs>
          <w:tab w:val="left" w:pos="426"/>
        </w:tabs>
        <w:ind w:left="0" w:firstLine="0"/>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 xml:space="preserve">La jurisprudencia ha </w:t>
      </w:r>
      <w:r w:rsidRPr="00F33E35">
        <w:rPr>
          <w:rFonts w:ascii="Times New Roman" w:eastAsia="Times New Roman" w:hAnsi="Times New Roman" w:cs="Times New Roman"/>
          <w:sz w:val="28"/>
          <w:szCs w:val="28"/>
          <w:lang w:eastAsia="es-ES"/>
        </w:rPr>
        <w:t>sostenido</w:t>
      </w:r>
      <w:r w:rsidRPr="00F33E35">
        <w:rPr>
          <w:rFonts w:ascii="Times New Roman" w:eastAsia="Times New Roman" w:hAnsi="Times New Roman" w:cs="Times New Roman"/>
          <w:sz w:val="28"/>
          <w:szCs w:val="28"/>
          <w:lang w:eastAsia="es-ES"/>
        </w:rPr>
        <w:t xml:space="preserve"> que es legítimo imponer tales exigencias dado que el derecho a ejercer la acción pública -como otros derechos de participación- puede ser objeto de limitaciones.</w:t>
      </w:r>
      <w:r w:rsidRPr="00F33E35">
        <w:rPr>
          <w:rFonts w:ascii="Times New Roman" w:hAnsi="Times New Roman" w:cs="Times New Roman"/>
          <w:sz w:val="28"/>
          <w:szCs w:val="28"/>
          <w:bdr w:val="none" w:sz="0" w:space="0" w:color="auto" w:frame="1"/>
          <w:shd w:val="clear" w:color="auto" w:fill="FFFFFF"/>
        </w:rPr>
        <w:t xml:space="preserve"> La validez de esta restricción obedece a que, de </w:t>
      </w:r>
      <w:r w:rsidRPr="00F33E35">
        <w:rPr>
          <w:rFonts w:ascii="Times New Roman" w:hAnsi="Times New Roman" w:cs="Times New Roman"/>
          <w:sz w:val="28"/>
          <w:szCs w:val="28"/>
          <w:bdr w:val="none" w:sz="0" w:space="0" w:color="auto" w:frame="1"/>
          <w:shd w:val="clear" w:color="auto" w:fill="FFFFFF"/>
        </w:rPr>
        <w:t xml:space="preserve">una parte, “el impacto sobre el acceso a la </w:t>
      </w:r>
      <w:r w:rsidRPr="00F33E35">
        <w:rPr>
          <w:rFonts w:ascii="Times New Roman" w:hAnsi="Times New Roman" w:cs="Times New Roman"/>
          <w:sz w:val="28"/>
          <w:szCs w:val="28"/>
          <w:bdr w:val="none" w:sz="0" w:space="0" w:color="auto" w:frame="1"/>
          <w:shd w:val="clear" w:color="auto" w:fill="FFFFFF"/>
        </w:rPr>
        <w:t>justicia no es grave en la medida en que la persona puede presentar otra demanda de constitucionalidad teniendo en cuenta que la decisión de inadmisión o inhibición no tiene efectos de cosa juzgada”</w:t>
      </w:r>
      <w:r w:rsidRPr="00F33E35">
        <w:rPr>
          <w:rStyle w:val="Refdenotaalpie"/>
          <w:rFonts w:ascii="Times New Roman" w:hAnsi="Times New Roman" w:cs="Times New Roman"/>
          <w:sz w:val="28"/>
          <w:szCs w:val="28"/>
          <w:bdr w:val="none" w:sz="0" w:space="0" w:color="auto" w:frame="1"/>
          <w:shd w:val="clear" w:color="auto" w:fill="FFFFFF"/>
        </w:rPr>
        <w:footnoteReference w:id="82"/>
      </w:r>
      <w:r w:rsidRPr="00F33E35">
        <w:rPr>
          <w:rFonts w:ascii="Times New Roman" w:hAnsi="Times New Roman" w:cs="Times New Roman"/>
          <w:sz w:val="28"/>
          <w:szCs w:val="28"/>
          <w:bdr w:val="none" w:sz="0" w:space="0" w:color="auto" w:frame="1"/>
          <w:shd w:val="clear" w:color="auto" w:fill="FFFFFF"/>
        </w:rPr>
        <w:t xml:space="preserve"> y, de otra, protege “el derecho a la administración de j</w:t>
      </w:r>
      <w:r w:rsidRPr="00F33E35">
        <w:rPr>
          <w:rFonts w:ascii="Times New Roman" w:hAnsi="Times New Roman" w:cs="Times New Roman"/>
          <w:sz w:val="28"/>
          <w:szCs w:val="28"/>
          <w:bdr w:val="none" w:sz="0" w:space="0" w:color="auto" w:frame="1"/>
          <w:shd w:val="clear" w:color="auto" w:fill="FFFFFF"/>
        </w:rPr>
        <w:t>usticia de otras personas que deseen presentar otra demanda contra las mismas normas disposiciones”</w:t>
      </w:r>
      <w:r w:rsidRPr="00F33E35">
        <w:rPr>
          <w:rStyle w:val="Refdenotaalpie"/>
          <w:rFonts w:ascii="Times New Roman" w:hAnsi="Times New Roman" w:cs="Times New Roman"/>
          <w:sz w:val="28"/>
          <w:szCs w:val="28"/>
          <w:bdr w:val="none" w:sz="0" w:space="0" w:color="auto" w:frame="1"/>
          <w:shd w:val="clear" w:color="auto" w:fill="FFFFFF"/>
        </w:rPr>
        <w:footnoteReference w:id="83"/>
      </w:r>
      <w:r w:rsidRPr="00F33E35">
        <w:rPr>
          <w:rFonts w:ascii="Times New Roman" w:hAnsi="Times New Roman" w:cs="Times New Roman"/>
          <w:sz w:val="28"/>
          <w:szCs w:val="28"/>
          <w:bdr w:val="none" w:sz="0" w:space="0" w:color="auto" w:frame="1"/>
          <w:shd w:val="clear" w:color="auto" w:fill="FFFFFF"/>
        </w:rPr>
        <w:t>.</w:t>
      </w:r>
      <w:r w:rsidRPr="00F33E35">
        <w:rPr>
          <w:rFonts w:ascii="Times New Roman" w:eastAsia="Times New Roman" w:hAnsi="Times New Roman" w:cs="Times New Roman"/>
          <w:sz w:val="28"/>
          <w:szCs w:val="28"/>
          <w:lang w:eastAsia="es-ES"/>
        </w:rPr>
        <w:t xml:space="preserve">  </w:t>
      </w:r>
    </w:p>
    <w:p w:rsidR="00E44760" w:rsidRPr="00F33E35" w:rsidRDefault="00F33E35" w:rsidP="00DA5A9F">
      <w:pPr>
        <w:pStyle w:val="Prrafodelista"/>
        <w:spacing w:after="0" w:line="240" w:lineRule="auto"/>
        <w:ind w:left="0"/>
        <w:contextualSpacing w:val="0"/>
        <w:mirrorIndents/>
        <w:jc w:val="both"/>
        <w:rPr>
          <w:rFonts w:ascii="Times New Roman" w:eastAsia="Times New Roman" w:hAnsi="Times New Roman" w:cs="Times New Roman"/>
          <w:sz w:val="28"/>
          <w:szCs w:val="28"/>
          <w:lang w:eastAsia="es-ES"/>
        </w:rPr>
      </w:pPr>
    </w:p>
    <w:p w:rsidR="00E44760" w:rsidRPr="00F33E35" w:rsidRDefault="00F33E35" w:rsidP="00DA5A9F">
      <w:pPr>
        <w:pStyle w:val="Sinespaciado"/>
        <w:numPr>
          <w:ilvl w:val="0"/>
          <w:numId w:val="3"/>
        </w:numPr>
        <w:tabs>
          <w:tab w:val="left" w:pos="426"/>
        </w:tabs>
        <w:ind w:left="0" w:firstLine="0"/>
        <w:mirrorIndents/>
        <w:jc w:val="both"/>
        <w:rPr>
          <w:rFonts w:ascii="Times New Roman" w:hAnsi="Times New Roman" w:cs="Times New Roman"/>
          <w:sz w:val="28"/>
          <w:szCs w:val="28"/>
        </w:rPr>
      </w:pPr>
      <w:r w:rsidRPr="00F33E35">
        <w:rPr>
          <w:rFonts w:ascii="Times New Roman" w:eastAsia="Times New Roman" w:hAnsi="Times New Roman" w:cs="Times New Roman"/>
          <w:sz w:val="28"/>
          <w:szCs w:val="28"/>
          <w:lang w:eastAsia="es-ES"/>
        </w:rPr>
        <w:t xml:space="preserve">En correspondencia con lo expuesto, quien pretenda activar plenamente las competencias de este Tribunal debe manifestar un interés real por </w:t>
      </w:r>
      <w:r w:rsidRPr="00F33E35">
        <w:rPr>
          <w:rFonts w:ascii="Times New Roman" w:eastAsia="Times New Roman" w:hAnsi="Times New Roman" w:cs="Times New Roman"/>
          <w:sz w:val="28"/>
          <w:szCs w:val="28"/>
          <w:lang w:eastAsia="es-ES"/>
        </w:rPr>
        <w:t>salvaguardar la supremacía e integridad de la Constitución</w:t>
      </w:r>
      <w:r w:rsidRPr="00F33E35">
        <w:rPr>
          <w:rStyle w:val="Refdenotaalpie"/>
          <w:rFonts w:ascii="Times New Roman" w:eastAsia="Times New Roman" w:hAnsi="Times New Roman" w:cs="Times New Roman"/>
          <w:sz w:val="28"/>
          <w:szCs w:val="28"/>
          <w:lang w:eastAsia="es-ES"/>
        </w:rPr>
        <w:footnoteReference w:id="84"/>
      </w:r>
      <w:r w:rsidRPr="00F33E35">
        <w:rPr>
          <w:rFonts w:ascii="Times New Roman" w:eastAsia="Times New Roman" w:hAnsi="Times New Roman" w:cs="Times New Roman"/>
          <w:sz w:val="28"/>
          <w:szCs w:val="28"/>
          <w:lang w:eastAsia="es-ES"/>
        </w:rPr>
        <w:t>. La seriedad de ese interés se revela cuando, al cuestionar una ley, el demandante presenta</w:t>
      </w:r>
      <w:r w:rsidRPr="00F33E35">
        <w:rPr>
          <w:rFonts w:ascii="Times New Roman" w:hAnsi="Times New Roman" w:cs="Times New Roman"/>
          <w:sz w:val="28"/>
          <w:szCs w:val="28"/>
        </w:rPr>
        <w:t xml:space="preserve"> un </w:t>
      </w:r>
      <w:r w:rsidRPr="00F33E35">
        <w:rPr>
          <w:rFonts w:ascii="Times New Roman" w:hAnsi="Times New Roman" w:cs="Times New Roman"/>
          <w:sz w:val="28"/>
          <w:szCs w:val="28"/>
        </w:rPr>
        <w:t xml:space="preserve">concepto de violación: (i) </w:t>
      </w:r>
      <w:r w:rsidRPr="00F33E35">
        <w:rPr>
          <w:rFonts w:ascii="Times New Roman" w:hAnsi="Times New Roman" w:cs="Times New Roman"/>
          <w:i/>
          <w:iCs/>
          <w:sz w:val="28"/>
          <w:szCs w:val="28"/>
        </w:rPr>
        <w:t>claro:</w:t>
      </w:r>
      <w:r w:rsidRPr="00F33E35">
        <w:rPr>
          <w:rFonts w:ascii="Times New Roman" w:hAnsi="Times New Roman" w:cs="Times New Roman"/>
          <w:sz w:val="28"/>
          <w:szCs w:val="28"/>
        </w:rPr>
        <w:t xml:space="preserve"> cuando la exposición de</w:t>
      </w:r>
      <w:r w:rsidRPr="00F33E35">
        <w:rPr>
          <w:rFonts w:ascii="Times New Roman" w:hAnsi="Times New Roman" w:cs="Times New Roman"/>
          <w:snapToGrid w:val="0"/>
          <w:sz w:val="28"/>
          <w:szCs w:val="28"/>
          <w:lang w:val="es-ES" w:eastAsia="es-ES"/>
        </w:rPr>
        <w:t xml:space="preserve"> </w:t>
      </w:r>
      <w:r w:rsidRPr="00F33E35">
        <w:rPr>
          <w:rFonts w:ascii="Times New Roman" w:hAnsi="Times New Roman" w:cs="Times New Roman"/>
          <w:sz w:val="28"/>
          <w:szCs w:val="28"/>
        </w:rPr>
        <w:t>las razones de la inconstitucionalidad sigu</w:t>
      </w:r>
      <w:r w:rsidRPr="00F33E35">
        <w:rPr>
          <w:rFonts w:ascii="Times New Roman" w:hAnsi="Times New Roman" w:cs="Times New Roman"/>
          <w:sz w:val="28"/>
          <w:szCs w:val="28"/>
        </w:rPr>
        <w:t>e un hilo conductor y pued</w:t>
      </w:r>
      <w:r w:rsidRPr="00F33E35">
        <w:rPr>
          <w:rFonts w:ascii="Times New Roman" w:hAnsi="Times New Roman" w:cs="Times New Roman"/>
          <w:sz w:val="28"/>
          <w:szCs w:val="28"/>
        </w:rPr>
        <w:t>e</w:t>
      </w:r>
      <w:r w:rsidRPr="00F33E35">
        <w:rPr>
          <w:rFonts w:ascii="Times New Roman" w:hAnsi="Times New Roman" w:cs="Times New Roman"/>
          <w:sz w:val="28"/>
          <w:szCs w:val="28"/>
        </w:rPr>
        <w:t xml:space="preserve"> ser entendida por cualquier ciudadano; </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ii) </w:t>
      </w:r>
      <w:r w:rsidRPr="00F33E35">
        <w:rPr>
          <w:rFonts w:ascii="Times New Roman" w:hAnsi="Times New Roman" w:cs="Times New Roman"/>
          <w:i/>
          <w:iCs/>
          <w:sz w:val="28"/>
          <w:szCs w:val="28"/>
        </w:rPr>
        <w:t>cierto:</w:t>
      </w:r>
      <w:r w:rsidRPr="00F33E35">
        <w:rPr>
          <w:rFonts w:ascii="Times New Roman" w:hAnsi="Times New Roman" w:cs="Times New Roman"/>
          <w:sz w:val="28"/>
          <w:szCs w:val="28"/>
        </w:rPr>
        <w:t xml:space="preserve"> cuando se cuestiona el significado de la norma legal vigente; </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iii) </w:t>
      </w:r>
      <w:r w:rsidRPr="00F33E35">
        <w:rPr>
          <w:rFonts w:ascii="Times New Roman" w:hAnsi="Times New Roman" w:cs="Times New Roman"/>
          <w:i/>
          <w:iCs/>
          <w:sz w:val="28"/>
          <w:szCs w:val="28"/>
        </w:rPr>
        <w:t>pertinente:</w:t>
      </w:r>
      <w:r w:rsidRPr="00F33E35">
        <w:rPr>
          <w:rFonts w:ascii="Times New Roman" w:hAnsi="Times New Roman" w:cs="Times New Roman"/>
          <w:sz w:val="28"/>
          <w:szCs w:val="28"/>
        </w:rPr>
        <w:t xml:space="preserve"> cuando los fundamentos correspondan a cuestiones constitucionales, esto es, que tengan por objet</w:t>
      </w:r>
      <w:r w:rsidRPr="00F33E35">
        <w:rPr>
          <w:rFonts w:ascii="Times New Roman" w:hAnsi="Times New Roman" w:cs="Times New Roman"/>
          <w:sz w:val="28"/>
          <w:szCs w:val="28"/>
        </w:rPr>
        <w:t xml:space="preserve">o preservar la vigencia de la Constitución; </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iv) </w:t>
      </w:r>
      <w:r w:rsidRPr="00F33E35">
        <w:rPr>
          <w:rFonts w:ascii="Times New Roman" w:hAnsi="Times New Roman" w:cs="Times New Roman"/>
          <w:i/>
          <w:iCs/>
          <w:sz w:val="28"/>
          <w:szCs w:val="28"/>
        </w:rPr>
        <w:t>específico</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 xml:space="preserve">cuando </w:t>
      </w:r>
      <w:r w:rsidRPr="00F33E35">
        <w:rPr>
          <w:rFonts w:ascii="Times New Roman" w:hAnsi="Times New Roman" w:cs="Times New Roman"/>
          <w:sz w:val="28"/>
          <w:szCs w:val="28"/>
        </w:rPr>
        <w:t xml:space="preserve">plantea la contradicción que existe entre la disposición legal acusada y la norma constitucional infringida; y (v) </w:t>
      </w:r>
      <w:r w:rsidRPr="00F33E35">
        <w:rPr>
          <w:rFonts w:ascii="Times New Roman" w:hAnsi="Times New Roman" w:cs="Times New Roman"/>
          <w:i/>
          <w:iCs/>
          <w:sz w:val="28"/>
          <w:szCs w:val="28"/>
        </w:rPr>
        <w:t>suficiente</w:t>
      </w:r>
      <w:r w:rsidRPr="00F33E35">
        <w:rPr>
          <w:rFonts w:ascii="Times New Roman" w:hAnsi="Times New Roman" w:cs="Times New Roman"/>
          <w:sz w:val="28"/>
          <w:szCs w:val="28"/>
        </w:rPr>
        <w:t>: cuando los fundamentos propuestos son relevantes para el juic</w:t>
      </w:r>
      <w:r w:rsidRPr="00F33E35">
        <w:rPr>
          <w:rFonts w:ascii="Times New Roman" w:hAnsi="Times New Roman" w:cs="Times New Roman"/>
          <w:sz w:val="28"/>
          <w:szCs w:val="28"/>
        </w:rPr>
        <w:t>io de constitucionalidad, al punto de suscitar una duda mínima sobre la validez de la ley</w:t>
      </w:r>
      <w:r w:rsidRPr="00F33E35">
        <w:rPr>
          <w:rStyle w:val="Refdenotaalpie"/>
          <w:rFonts w:ascii="Times New Roman" w:hAnsi="Times New Roman" w:cs="Times New Roman"/>
          <w:sz w:val="28"/>
          <w:szCs w:val="28"/>
        </w:rPr>
        <w:footnoteReference w:id="85"/>
      </w:r>
      <w:r w:rsidRPr="00F33E35">
        <w:rPr>
          <w:rFonts w:ascii="Times New Roman" w:hAnsi="Times New Roman" w:cs="Times New Roman"/>
          <w:sz w:val="28"/>
          <w:szCs w:val="28"/>
        </w:rPr>
        <w:t>.</w:t>
      </w:r>
    </w:p>
    <w:p w:rsidR="00E44760" w:rsidRPr="00F33E35" w:rsidRDefault="00F33E35" w:rsidP="00DA5A9F">
      <w:pPr>
        <w:pStyle w:val="Prrafodelista"/>
        <w:spacing w:after="0" w:line="240" w:lineRule="auto"/>
        <w:ind w:left="0"/>
        <w:contextualSpacing w:val="0"/>
        <w:mirrorIndents/>
        <w:jc w:val="both"/>
        <w:rPr>
          <w:rFonts w:ascii="Times New Roman" w:eastAsia="Times New Roman" w:hAnsi="Times New Roman" w:cs="Times New Roman"/>
          <w:sz w:val="28"/>
          <w:szCs w:val="28"/>
          <w:lang w:eastAsia="es-ES"/>
        </w:rPr>
      </w:pPr>
    </w:p>
    <w:p w:rsidR="00E44760" w:rsidRPr="00F33E35" w:rsidRDefault="00F33E35" w:rsidP="0040768B">
      <w:pPr>
        <w:pStyle w:val="Sinespaciado"/>
        <w:numPr>
          <w:ilvl w:val="0"/>
          <w:numId w:val="3"/>
        </w:numPr>
        <w:tabs>
          <w:tab w:val="left" w:pos="426"/>
        </w:tabs>
        <w:ind w:left="0" w:firstLine="0"/>
        <w:mirrorIndents/>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Las anteriores</w:t>
      </w:r>
      <w:r w:rsidRPr="00F33E35">
        <w:rPr>
          <w:rFonts w:ascii="Times New Roman" w:eastAsia="Times New Roman" w:hAnsi="Times New Roman" w:cs="Times New Roman"/>
          <w:sz w:val="28"/>
          <w:szCs w:val="28"/>
          <w:lang w:eastAsia="es-ES"/>
        </w:rPr>
        <w:t xml:space="preserve"> condiciones </w:t>
      </w:r>
      <w:r w:rsidRPr="00F33E35">
        <w:rPr>
          <w:rFonts w:ascii="Times New Roman" w:eastAsia="Times New Roman" w:hAnsi="Times New Roman" w:cs="Times New Roman"/>
          <w:sz w:val="28"/>
          <w:szCs w:val="28"/>
          <w:lang w:eastAsia="es-ES"/>
        </w:rPr>
        <w:t xml:space="preserve">son </w:t>
      </w:r>
      <w:r w:rsidRPr="00F33E35">
        <w:rPr>
          <w:rFonts w:ascii="Times New Roman" w:eastAsia="Times New Roman" w:hAnsi="Times New Roman" w:cs="Times New Roman"/>
          <w:sz w:val="28"/>
          <w:szCs w:val="28"/>
          <w:lang w:eastAsia="es-ES"/>
        </w:rPr>
        <w:t xml:space="preserve">indispensables para que el proceso </w:t>
      </w:r>
      <w:r w:rsidRPr="00F33E35">
        <w:rPr>
          <w:rFonts w:ascii="Times New Roman" w:eastAsia="Times New Roman" w:hAnsi="Times New Roman" w:cs="Times New Roman"/>
          <w:sz w:val="28"/>
          <w:szCs w:val="28"/>
          <w:lang w:eastAsia="es-ES"/>
        </w:rPr>
        <w:t xml:space="preserve">de constitucionalidad </w:t>
      </w:r>
      <w:r w:rsidRPr="00F33E35">
        <w:rPr>
          <w:rFonts w:ascii="Times New Roman" w:eastAsia="Times New Roman" w:hAnsi="Times New Roman" w:cs="Times New Roman"/>
          <w:sz w:val="28"/>
          <w:szCs w:val="28"/>
          <w:lang w:eastAsia="es-ES"/>
        </w:rPr>
        <w:t xml:space="preserve">constituya un foro en el que la decisión sea el resultado de la </w:t>
      </w:r>
      <w:r w:rsidRPr="00F33E35">
        <w:rPr>
          <w:rFonts w:ascii="Times New Roman" w:eastAsia="Times New Roman" w:hAnsi="Times New Roman" w:cs="Times New Roman"/>
          <w:sz w:val="28"/>
          <w:szCs w:val="28"/>
          <w:lang w:eastAsia="es-ES"/>
        </w:rPr>
        <w:t>comprensión, valoración y ponderación de las mejores razones para hacer efectivo el principio de supremacía de la Constitución.</w:t>
      </w:r>
      <w:r w:rsidRPr="00F33E35">
        <w:rPr>
          <w:rFonts w:ascii="Times New Roman" w:eastAsia="Times New Roman" w:hAnsi="Times New Roman" w:cs="Times New Roman"/>
          <w:sz w:val="28"/>
          <w:szCs w:val="28"/>
          <w:lang w:eastAsia="es-ES"/>
        </w:rPr>
        <w:t xml:space="preserve"> Sin embargo, como se advirtió líneas atrás, dichas exigencias</w:t>
      </w:r>
      <w:r w:rsidRPr="00F33E35">
        <w:rPr>
          <w:rFonts w:ascii="Times New Roman" w:eastAsia="Times New Roman" w:hAnsi="Times New Roman" w:cs="Times New Roman"/>
          <w:sz w:val="28"/>
          <w:szCs w:val="28"/>
          <w:lang w:eastAsia="es-ES"/>
        </w:rPr>
        <w:t xml:space="preserve"> no apuntan a establecer estándares complejos que impidan </w:t>
      </w:r>
      <w:r w:rsidRPr="00F33E35">
        <w:rPr>
          <w:rFonts w:ascii="Times New Roman" w:eastAsia="Times New Roman" w:hAnsi="Times New Roman" w:cs="Times New Roman"/>
          <w:sz w:val="28"/>
          <w:szCs w:val="28"/>
          <w:lang w:eastAsia="es-ES"/>
        </w:rPr>
        <w:t>que cualq</w:t>
      </w:r>
      <w:r w:rsidRPr="00F33E35">
        <w:rPr>
          <w:rFonts w:ascii="Times New Roman" w:eastAsia="Times New Roman" w:hAnsi="Times New Roman" w:cs="Times New Roman"/>
          <w:sz w:val="28"/>
          <w:szCs w:val="28"/>
          <w:lang w:eastAsia="es-ES"/>
        </w:rPr>
        <w:t>uier ciudadano haga propia la Constitución</w:t>
      </w:r>
      <w:r w:rsidRPr="00F33E35">
        <w:rPr>
          <w:rFonts w:ascii="Times New Roman" w:eastAsia="Times New Roman" w:hAnsi="Times New Roman" w:cs="Times New Roman"/>
          <w:sz w:val="28"/>
          <w:szCs w:val="28"/>
          <w:lang w:eastAsia="es-ES"/>
        </w:rPr>
        <w:t xml:space="preserve"> y, a través de </w:t>
      </w:r>
      <w:r w:rsidRPr="00F33E35">
        <w:rPr>
          <w:rFonts w:ascii="Times New Roman" w:eastAsia="Times New Roman" w:hAnsi="Times New Roman" w:cs="Times New Roman"/>
          <w:sz w:val="28"/>
          <w:szCs w:val="28"/>
          <w:lang w:eastAsia="es-ES"/>
        </w:rPr>
        <w:t xml:space="preserve">este mecanismo, controle </w:t>
      </w:r>
      <w:r w:rsidRPr="00F33E35">
        <w:rPr>
          <w:rFonts w:ascii="Times New Roman" w:eastAsia="Times New Roman" w:hAnsi="Times New Roman" w:cs="Times New Roman"/>
          <w:sz w:val="28"/>
          <w:szCs w:val="28"/>
          <w:lang w:eastAsia="es-ES"/>
        </w:rPr>
        <w:t>los excesos o defectos de los órganos que conforman el poder público.</w:t>
      </w:r>
      <w:r w:rsidRPr="00F33E35">
        <w:rPr>
          <w:rFonts w:ascii="Times New Roman" w:eastAsia="Times New Roman" w:hAnsi="Times New Roman" w:cs="Times New Roman"/>
          <w:sz w:val="28"/>
          <w:szCs w:val="28"/>
          <w:lang w:eastAsia="es-ES"/>
        </w:rPr>
        <w:t xml:space="preserve"> Pero tampoco</w:t>
      </w:r>
      <w:r w:rsidRPr="00F33E35">
        <w:rPr>
          <w:rFonts w:ascii="Times New Roman" w:eastAsia="Times New Roman" w:hAnsi="Times New Roman" w:cs="Times New Roman"/>
          <w:sz w:val="28"/>
          <w:szCs w:val="28"/>
          <w:lang w:eastAsia="es-ES"/>
        </w:rPr>
        <w:t xml:space="preserve"> es aceptable una aplicación extremadamente flexible de tales criterios al punto que </w:t>
      </w:r>
      <w:r w:rsidRPr="00F33E35">
        <w:rPr>
          <w:rFonts w:ascii="Times New Roman" w:eastAsia="Times New Roman" w:hAnsi="Times New Roman" w:cs="Times New Roman"/>
          <w:sz w:val="28"/>
          <w:szCs w:val="28"/>
          <w:lang w:eastAsia="es-ES"/>
        </w:rPr>
        <w:t>esta a</w:t>
      </w:r>
      <w:r w:rsidRPr="00F33E35">
        <w:rPr>
          <w:rFonts w:ascii="Times New Roman" w:eastAsia="Times New Roman" w:hAnsi="Times New Roman" w:cs="Times New Roman"/>
          <w:sz w:val="28"/>
          <w:szCs w:val="28"/>
          <w:lang w:eastAsia="es-ES"/>
        </w:rPr>
        <w:t xml:space="preserve">cción </w:t>
      </w:r>
      <w:r w:rsidRPr="00F33E35">
        <w:rPr>
          <w:rFonts w:ascii="Times New Roman" w:eastAsia="Times New Roman" w:hAnsi="Times New Roman" w:cs="Times New Roman"/>
          <w:sz w:val="28"/>
          <w:szCs w:val="28"/>
          <w:lang w:eastAsia="es-ES"/>
        </w:rPr>
        <w:t xml:space="preserve">pierda todo sentido como referente de la deliberación y esta termine delimitándose por los intervinientes o, en su caso, por la propia Corte. </w:t>
      </w:r>
      <w:r w:rsidRPr="00F33E35">
        <w:rPr>
          <w:rFonts w:ascii="Times New Roman" w:eastAsia="Times New Roman" w:hAnsi="Times New Roman" w:cs="Times New Roman"/>
          <w:sz w:val="28"/>
          <w:szCs w:val="28"/>
          <w:lang w:eastAsia="es-ES"/>
        </w:rPr>
        <w:t>En este sentido,</w:t>
      </w:r>
      <w:r w:rsidRPr="00F33E35">
        <w:rPr>
          <w:rFonts w:ascii="Times New Roman" w:eastAsia="Times New Roman" w:hAnsi="Times New Roman" w:cs="Times New Roman"/>
          <w:sz w:val="28"/>
          <w:szCs w:val="28"/>
          <w:lang w:eastAsia="es-ES"/>
        </w:rPr>
        <w:t xml:space="preserve"> Sala Plena</w:t>
      </w:r>
      <w:r w:rsidRPr="00F33E35">
        <w:rPr>
          <w:rFonts w:ascii="Times New Roman" w:eastAsia="Times New Roman" w:hAnsi="Times New Roman" w:cs="Times New Roman"/>
          <w:sz w:val="28"/>
          <w:szCs w:val="28"/>
          <w:lang w:eastAsia="es-ES"/>
        </w:rPr>
        <w:t xml:space="preserve"> ha sostenido</w:t>
      </w:r>
      <w:r w:rsidRPr="00F33E35">
        <w:rPr>
          <w:rFonts w:ascii="Times New Roman" w:eastAsia="Times New Roman" w:hAnsi="Times New Roman" w:cs="Times New Roman"/>
          <w:sz w:val="28"/>
          <w:szCs w:val="28"/>
          <w:lang w:eastAsia="es-ES"/>
        </w:rPr>
        <w:t xml:space="preserve"> que </w:t>
      </w:r>
      <w:r w:rsidRPr="00F33E35">
        <w:rPr>
          <w:rFonts w:ascii="Times New Roman" w:hAnsi="Times New Roman" w:cs="Times New Roman"/>
          <w:sz w:val="28"/>
          <w:szCs w:val="28"/>
          <w:shd w:val="clear" w:color="auto" w:fill="FFFFFF"/>
        </w:rPr>
        <w:t>está fuera de su alcance “tratar de reconducir el alegato del a</w:t>
      </w:r>
      <w:r w:rsidRPr="00F33E35">
        <w:rPr>
          <w:rFonts w:ascii="Times New Roman" w:hAnsi="Times New Roman" w:cs="Times New Roman"/>
          <w:sz w:val="28"/>
          <w:szCs w:val="28"/>
          <w:shd w:val="clear" w:color="auto" w:fill="FFFFFF"/>
        </w:rPr>
        <w:t>ccionante hasta lograr estructurar un cargo dotado de la suficiente idoneidad para provocar un pronunciamiento de fondo”</w:t>
      </w:r>
      <w:r w:rsidRPr="00F33E35">
        <w:rPr>
          <w:rStyle w:val="Refdenotaalpie"/>
          <w:rFonts w:ascii="Times New Roman" w:hAnsi="Times New Roman" w:cs="Times New Roman"/>
          <w:sz w:val="28"/>
          <w:szCs w:val="28"/>
          <w:shd w:val="clear" w:color="auto" w:fill="FFFFFF"/>
        </w:rPr>
        <w:footnoteReference w:id="86"/>
      </w:r>
      <w:r w:rsidRPr="00F33E35">
        <w:rPr>
          <w:rFonts w:ascii="Times New Roman" w:hAnsi="Times New Roman" w:cs="Times New Roman"/>
          <w:sz w:val="28"/>
          <w:szCs w:val="28"/>
          <w:shd w:val="clear" w:color="auto" w:fill="FFFFFF"/>
        </w:rPr>
        <w:t xml:space="preserve"> y, </w:t>
      </w:r>
      <w:r w:rsidRPr="00F33E35">
        <w:rPr>
          <w:rFonts w:ascii="Times New Roman" w:hAnsi="Times New Roman" w:cs="Times New Roman"/>
          <w:sz w:val="28"/>
          <w:szCs w:val="28"/>
          <w:shd w:val="clear" w:color="auto" w:fill="FFFFFF"/>
        </w:rPr>
        <w:t>por tanto</w:t>
      </w:r>
      <w:r w:rsidRPr="00F33E35">
        <w:rPr>
          <w:rFonts w:ascii="Times New Roman" w:hAnsi="Times New Roman" w:cs="Times New Roman"/>
          <w:sz w:val="28"/>
          <w:szCs w:val="28"/>
          <w:shd w:val="clear" w:color="auto" w:fill="FFFFFF"/>
        </w:rPr>
        <w:t>,</w:t>
      </w:r>
      <w:r w:rsidRPr="00F33E35">
        <w:rPr>
          <w:rFonts w:ascii="Times New Roman" w:eastAsia="Times New Roman" w:hAnsi="Times New Roman" w:cs="Times New Roman"/>
          <w:sz w:val="28"/>
          <w:szCs w:val="28"/>
          <w:lang w:eastAsia="es-ES"/>
        </w:rPr>
        <w:t xml:space="preserve"> no puede “</w:t>
      </w:r>
      <w:r w:rsidRPr="00F33E35">
        <w:rPr>
          <w:rFonts w:ascii="Times New Roman" w:hAnsi="Times New Roman" w:cs="Times New Roman"/>
          <w:sz w:val="28"/>
          <w:szCs w:val="28"/>
          <w:shd w:val="clear" w:color="auto" w:fill="FFFFFF"/>
        </w:rPr>
        <w:t xml:space="preserve">reelaborar, transformar, confeccionar o construir los planteamientos esbozados en la demanda con el propósito </w:t>
      </w:r>
      <w:r w:rsidRPr="00F33E35">
        <w:rPr>
          <w:rFonts w:ascii="Times New Roman" w:hAnsi="Times New Roman" w:cs="Times New Roman"/>
          <w:sz w:val="28"/>
          <w:szCs w:val="28"/>
          <w:shd w:val="clear" w:color="auto" w:fill="FFFFFF"/>
        </w:rPr>
        <w:t>de que cumplan con los requisitos mínimos exigidos por la jurisprudencia constitucional para que la misma Corte se pronuncie de fondo”</w:t>
      </w:r>
      <w:r w:rsidRPr="00F33E35">
        <w:rPr>
          <w:rStyle w:val="Refdenotaalpie"/>
          <w:rFonts w:ascii="Times New Roman" w:eastAsia="Times New Roman" w:hAnsi="Times New Roman" w:cs="Times New Roman"/>
          <w:sz w:val="28"/>
          <w:szCs w:val="28"/>
          <w:lang w:eastAsia="es-ES"/>
        </w:rPr>
        <w:footnoteReference w:id="87"/>
      </w:r>
      <w:r w:rsidRPr="00F33E35">
        <w:rPr>
          <w:rFonts w:ascii="Times New Roman" w:eastAsia="Times New Roman" w:hAnsi="Times New Roman" w:cs="Times New Roman"/>
          <w:sz w:val="28"/>
          <w:szCs w:val="28"/>
          <w:lang w:eastAsia="es-ES"/>
        </w:rPr>
        <w:t xml:space="preserve">. </w:t>
      </w:r>
    </w:p>
    <w:p w:rsidR="00E44760" w:rsidRPr="00F33E35" w:rsidRDefault="00F33E35" w:rsidP="00E44760">
      <w:pPr>
        <w:pStyle w:val="Sinespaciado"/>
        <w:tabs>
          <w:tab w:val="left" w:pos="426"/>
        </w:tabs>
        <w:jc w:val="both"/>
        <w:rPr>
          <w:rFonts w:ascii="Times New Roman" w:hAnsi="Times New Roman" w:cs="Times New Roman"/>
          <w:snapToGrid w:val="0"/>
          <w:sz w:val="28"/>
          <w:szCs w:val="28"/>
          <w:lang w:val="es-ES" w:eastAsia="es-ES"/>
        </w:rPr>
      </w:pPr>
    </w:p>
    <w:p w:rsidR="00E44760" w:rsidRPr="00F33E35" w:rsidRDefault="00F33E35" w:rsidP="0040768B">
      <w:pPr>
        <w:pStyle w:val="Sinespaciado"/>
        <w:numPr>
          <w:ilvl w:val="0"/>
          <w:numId w:val="3"/>
        </w:numPr>
        <w:tabs>
          <w:tab w:val="left" w:pos="426"/>
        </w:tabs>
        <w:ind w:left="0" w:firstLine="0"/>
        <w:mirrorIndents/>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 xml:space="preserve">El punto en el que debe trazarse la línea para definir </w:t>
      </w:r>
      <w:r w:rsidRPr="00F33E35">
        <w:rPr>
          <w:rFonts w:ascii="Times New Roman" w:eastAsia="Times New Roman" w:hAnsi="Times New Roman" w:cs="Times New Roman"/>
          <w:sz w:val="28"/>
          <w:szCs w:val="28"/>
          <w:lang w:eastAsia="es-ES"/>
        </w:rPr>
        <w:t xml:space="preserve">si la demanda cumple </w:t>
      </w:r>
      <w:r w:rsidRPr="00F33E35">
        <w:rPr>
          <w:rFonts w:ascii="Times New Roman" w:eastAsia="Times New Roman" w:hAnsi="Times New Roman" w:cs="Times New Roman"/>
          <w:sz w:val="28"/>
          <w:szCs w:val="28"/>
          <w:lang w:eastAsia="es-ES"/>
        </w:rPr>
        <w:t>las condiciones de admisibilidad no es un</w:t>
      </w:r>
      <w:r w:rsidRPr="00F33E35">
        <w:rPr>
          <w:rFonts w:ascii="Times New Roman" w:eastAsia="Times New Roman" w:hAnsi="Times New Roman" w:cs="Times New Roman"/>
          <w:sz w:val="28"/>
          <w:szCs w:val="28"/>
          <w:lang w:eastAsia="es-ES"/>
        </w:rPr>
        <w:t>a materia exenta de dificultades. Ello se refleja no solo en la posibilidad de adoptar una decisión inhibitoria respecto de una demanda previamente admitida</w:t>
      </w:r>
      <w:r w:rsidRPr="00F33E35">
        <w:rPr>
          <w:rStyle w:val="Refdenotaalpie"/>
          <w:rFonts w:ascii="Times New Roman" w:eastAsia="Times New Roman" w:hAnsi="Times New Roman" w:cs="Times New Roman"/>
          <w:sz w:val="28"/>
          <w:szCs w:val="28"/>
          <w:lang w:eastAsia="es-ES"/>
        </w:rPr>
        <w:footnoteReference w:id="88"/>
      </w:r>
      <w:r w:rsidRPr="00F33E35">
        <w:rPr>
          <w:rFonts w:ascii="Times New Roman" w:eastAsia="Times New Roman" w:hAnsi="Times New Roman" w:cs="Times New Roman"/>
          <w:sz w:val="28"/>
          <w:szCs w:val="28"/>
          <w:lang w:eastAsia="es-ES"/>
        </w:rPr>
        <w:t>, sino también en las discrepancias que se suscitan en el seno de la Sala Plena al momento de pronu</w:t>
      </w:r>
      <w:r w:rsidRPr="00F33E35">
        <w:rPr>
          <w:rFonts w:ascii="Times New Roman" w:eastAsia="Times New Roman" w:hAnsi="Times New Roman" w:cs="Times New Roman"/>
          <w:sz w:val="28"/>
          <w:szCs w:val="28"/>
          <w:lang w:eastAsia="es-ES"/>
        </w:rPr>
        <w:t xml:space="preserve">nciarse al respecto. En todo caso, fijar y aplicar estándares argumentativos relativamente uniformes es una exigencia que encuentra sólido fundamento en la calificación del derecho a activar la jurisdicción constitucional como </w:t>
      </w:r>
      <w:r w:rsidRPr="00F33E35">
        <w:rPr>
          <w:rFonts w:ascii="Times New Roman" w:eastAsia="Times New Roman" w:hAnsi="Times New Roman" w:cs="Times New Roman"/>
          <w:i/>
          <w:sz w:val="28"/>
          <w:szCs w:val="28"/>
          <w:lang w:eastAsia="es-ES"/>
        </w:rPr>
        <w:t xml:space="preserve">un derecho igual para todos </w:t>
      </w:r>
      <w:r w:rsidRPr="00F33E35">
        <w:rPr>
          <w:rFonts w:ascii="Times New Roman" w:eastAsia="Times New Roman" w:hAnsi="Times New Roman" w:cs="Times New Roman"/>
          <w:i/>
          <w:sz w:val="28"/>
          <w:szCs w:val="28"/>
          <w:lang w:eastAsia="es-ES"/>
        </w:rPr>
        <w:t>los ciudadanos</w:t>
      </w:r>
      <w:r w:rsidRPr="00F33E35">
        <w:rPr>
          <w:rFonts w:ascii="Times New Roman" w:eastAsia="Times New Roman" w:hAnsi="Times New Roman" w:cs="Times New Roman"/>
          <w:sz w:val="28"/>
          <w:szCs w:val="28"/>
          <w:lang w:eastAsia="es-ES"/>
        </w:rPr>
        <w:t xml:space="preserve">. Por ello, </w:t>
      </w:r>
      <w:r w:rsidRPr="00F33E35">
        <w:rPr>
          <w:rFonts w:ascii="Times New Roman" w:eastAsia="Times New Roman" w:hAnsi="Times New Roman" w:cs="Times New Roman"/>
          <w:sz w:val="28"/>
          <w:szCs w:val="28"/>
          <w:lang w:eastAsia="es-ES"/>
        </w:rPr>
        <w:t xml:space="preserve">se itera que el demandante debe cumplir unas cargas </w:t>
      </w:r>
      <w:r w:rsidRPr="00F33E35">
        <w:rPr>
          <w:rFonts w:ascii="Times New Roman" w:eastAsia="Times New Roman" w:hAnsi="Times New Roman" w:cs="Times New Roman"/>
          <w:sz w:val="28"/>
          <w:szCs w:val="28"/>
          <w:lang w:eastAsia="es-ES"/>
        </w:rPr>
        <w:t xml:space="preserve">argumentativas mínimas razonables para activar </w:t>
      </w:r>
      <w:r w:rsidRPr="00F33E35">
        <w:rPr>
          <w:rFonts w:ascii="Times New Roman" w:eastAsia="Times New Roman" w:hAnsi="Times New Roman" w:cs="Times New Roman"/>
          <w:sz w:val="28"/>
          <w:szCs w:val="28"/>
          <w:lang w:eastAsia="es-ES"/>
        </w:rPr>
        <w:t>las competencias de este Tribunal</w:t>
      </w:r>
      <w:r w:rsidRPr="00F33E35">
        <w:rPr>
          <w:rFonts w:ascii="Times New Roman" w:eastAsia="Times New Roman" w:hAnsi="Times New Roman" w:cs="Times New Roman"/>
          <w:sz w:val="28"/>
          <w:szCs w:val="28"/>
          <w:lang w:eastAsia="es-ES"/>
        </w:rPr>
        <w:t xml:space="preserve">, las cuales </w:t>
      </w:r>
      <w:r w:rsidRPr="00F33E35">
        <w:rPr>
          <w:rFonts w:ascii="Times New Roman" w:eastAsia="Times New Roman" w:hAnsi="Times New Roman" w:cs="Times New Roman"/>
          <w:sz w:val="28"/>
          <w:szCs w:val="28"/>
          <w:lang w:eastAsia="es-ES"/>
        </w:rPr>
        <w:t>no puede</w:t>
      </w:r>
      <w:r w:rsidRPr="00F33E35">
        <w:rPr>
          <w:rFonts w:ascii="Times New Roman" w:eastAsia="Times New Roman" w:hAnsi="Times New Roman" w:cs="Times New Roman"/>
          <w:sz w:val="28"/>
          <w:szCs w:val="28"/>
          <w:lang w:eastAsia="es-ES"/>
        </w:rPr>
        <w:t>n</w:t>
      </w:r>
      <w:r w:rsidRPr="00F33E35">
        <w:rPr>
          <w:rFonts w:ascii="Times New Roman" w:eastAsia="Times New Roman" w:hAnsi="Times New Roman" w:cs="Times New Roman"/>
          <w:sz w:val="28"/>
          <w:szCs w:val="28"/>
          <w:lang w:eastAsia="es-ES"/>
        </w:rPr>
        <w:t xml:space="preserve"> ser equivalente a las condiciones de motivación que debe cumplir </w:t>
      </w:r>
      <w:r w:rsidRPr="00F33E35">
        <w:rPr>
          <w:rFonts w:ascii="Times New Roman" w:eastAsia="Times New Roman" w:hAnsi="Times New Roman" w:cs="Times New Roman"/>
          <w:sz w:val="28"/>
          <w:szCs w:val="28"/>
          <w:lang w:eastAsia="es-ES"/>
        </w:rPr>
        <w:t>esta Corte</w:t>
      </w:r>
      <w:r w:rsidRPr="00F33E35">
        <w:rPr>
          <w:rFonts w:ascii="Times New Roman" w:eastAsia="Times New Roman" w:hAnsi="Times New Roman" w:cs="Times New Roman"/>
          <w:sz w:val="28"/>
          <w:szCs w:val="28"/>
          <w:lang w:eastAsia="es-ES"/>
        </w:rPr>
        <w:t xml:space="preserve"> al momento de tomar una decisión de fondo</w:t>
      </w:r>
      <w:r w:rsidRPr="00F33E35">
        <w:rPr>
          <w:rStyle w:val="Refdenotaalpie"/>
          <w:rFonts w:ascii="Times New Roman" w:eastAsia="Times New Roman" w:hAnsi="Times New Roman" w:cs="Times New Roman"/>
          <w:sz w:val="28"/>
          <w:szCs w:val="28"/>
          <w:lang w:eastAsia="es-ES"/>
        </w:rPr>
        <w:footnoteReference w:id="89"/>
      </w:r>
      <w:r w:rsidRPr="00F33E35">
        <w:rPr>
          <w:rFonts w:ascii="Times New Roman" w:eastAsia="Times New Roman" w:hAnsi="Times New Roman" w:cs="Times New Roman"/>
          <w:sz w:val="28"/>
          <w:szCs w:val="28"/>
          <w:lang w:eastAsia="es-ES"/>
        </w:rPr>
        <w:t xml:space="preserve">.   </w:t>
      </w:r>
    </w:p>
    <w:p w:rsidR="00E44760" w:rsidRPr="00F33E35" w:rsidRDefault="00F33E35" w:rsidP="0040768B">
      <w:pPr>
        <w:pStyle w:val="Prrafodelista"/>
        <w:spacing w:after="0" w:line="240" w:lineRule="auto"/>
        <w:ind w:left="0"/>
        <w:contextualSpacing w:val="0"/>
        <w:mirrorIndents/>
        <w:jc w:val="both"/>
        <w:rPr>
          <w:rFonts w:ascii="Times New Roman" w:eastAsia="Times New Roman" w:hAnsi="Times New Roman" w:cs="Times New Roman"/>
          <w:sz w:val="28"/>
          <w:szCs w:val="28"/>
          <w:lang w:eastAsia="es-ES"/>
        </w:rPr>
      </w:pPr>
    </w:p>
    <w:p w:rsidR="00E44760" w:rsidRPr="00F33E35" w:rsidRDefault="00F33E35" w:rsidP="0040768B">
      <w:pPr>
        <w:pStyle w:val="Sinespaciado"/>
        <w:numPr>
          <w:ilvl w:val="0"/>
          <w:numId w:val="3"/>
        </w:numPr>
        <w:tabs>
          <w:tab w:val="left" w:pos="426"/>
        </w:tabs>
        <w:ind w:left="0" w:firstLine="0"/>
        <w:mirrorIndents/>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 xml:space="preserve">Uno de los criterios para definir si un cargo cuyo análisis se encuentra a consideración de la Sala Plena debe dar lugar a un pronunciamiento de fondo es el principio </w:t>
      </w:r>
      <w:r w:rsidRPr="00F33E35">
        <w:rPr>
          <w:rFonts w:ascii="Times New Roman" w:eastAsia="Times New Roman" w:hAnsi="Times New Roman" w:cs="Times New Roman"/>
          <w:i/>
          <w:iCs/>
          <w:sz w:val="28"/>
          <w:szCs w:val="28"/>
          <w:lang w:eastAsia="es-ES"/>
        </w:rPr>
        <w:t>pro actione</w:t>
      </w:r>
      <w:r w:rsidRPr="00F33E35">
        <w:rPr>
          <w:rFonts w:ascii="Times New Roman" w:eastAsia="Times New Roman" w:hAnsi="Times New Roman" w:cs="Times New Roman"/>
          <w:sz w:val="28"/>
          <w:szCs w:val="28"/>
          <w:lang w:eastAsia="es-ES"/>
        </w:rPr>
        <w:t>. Según ha señalado la jurisp</w:t>
      </w:r>
      <w:r w:rsidRPr="00F33E35">
        <w:rPr>
          <w:rFonts w:ascii="Times New Roman" w:eastAsia="Times New Roman" w:hAnsi="Times New Roman" w:cs="Times New Roman"/>
          <w:sz w:val="28"/>
          <w:szCs w:val="28"/>
          <w:lang w:eastAsia="es-ES"/>
        </w:rPr>
        <w:t xml:space="preserve">rudencia refiriéndose a su contenido </w:t>
      </w:r>
      <w:r w:rsidRPr="00F33E35">
        <w:rPr>
          <w:rFonts w:ascii="Times New Roman" w:hAnsi="Times New Roman" w:cs="Times New Roman"/>
          <w:sz w:val="28"/>
          <w:szCs w:val="28"/>
        </w:rPr>
        <w:t>“el rigor en el juicio que aplica la Corte al examinar la demanda no puede convertirse en un método de apreciación tan estricto que haga nugatorio el derecho reconocido al actor y que la duda habrá de interpretarse a fa</w:t>
      </w:r>
      <w:r w:rsidRPr="00F33E35">
        <w:rPr>
          <w:rFonts w:ascii="Times New Roman" w:hAnsi="Times New Roman" w:cs="Times New Roman"/>
          <w:sz w:val="28"/>
          <w:szCs w:val="28"/>
        </w:rPr>
        <w:t>vor del demandante, es decir, admitiendo la demanda y fallando de fondo”</w:t>
      </w:r>
      <w:r w:rsidRPr="00F33E35">
        <w:rPr>
          <w:rStyle w:val="Refdenotaalpie"/>
          <w:rFonts w:ascii="Times New Roman" w:hAnsi="Times New Roman" w:cs="Times New Roman"/>
          <w:sz w:val="28"/>
          <w:szCs w:val="28"/>
        </w:rPr>
        <w:footnoteReference w:id="90"/>
      </w:r>
      <w:r w:rsidRPr="00F33E35">
        <w:rPr>
          <w:rFonts w:ascii="Times New Roman" w:hAnsi="Times New Roman" w:cs="Times New Roman"/>
          <w:sz w:val="28"/>
          <w:szCs w:val="28"/>
        </w:rPr>
        <w:t xml:space="preserve">. </w:t>
      </w:r>
    </w:p>
    <w:p w:rsidR="00E44760" w:rsidRPr="00F33E35" w:rsidRDefault="00F33E35" w:rsidP="0040768B">
      <w:pPr>
        <w:pStyle w:val="Prrafodelista"/>
        <w:spacing w:after="0" w:line="240" w:lineRule="auto"/>
        <w:ind w:left="0"/>
        <w:contextualSpacing w:val="0"/>
        <w:mirrorIndents/>
        <w:jc w:val="both"/>
        <w:rPr>
          <w:rFonts w:ascii="Times New Roman" w:eastAsia="Times New Roman" w:hAnsi="Times New Roman" w:cs="Times New Roman"/>
          <w:sz w:val="28"/>
          <w:szCs w:val="28"/>
          <w:lang w:eastAsia="es-ES"/>
        </w:rPr>
      </w:pPr>
    </w:p>
    <w:p w:rsidR="00E44760" w:rsidRPr="00F33E35" w:rsidRDefault="00F33E35" w:rsidP="0040768B">
      <w:pPr>
        <w:pStyle w:val="Sinespaciado"/>
        <w:numPr>
          <w:ilvl w:val="0"/>
          <w:numId w:val="3"/>
        </w:numPr>
        <w:tabs>
          <w:tab w:val="left" w:pos="426"/>
        </w:tabs>
        <w:ind w:left="0" w:firstLine="0"/>
        <w:mirrorIndents/>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A este principio se le adscriben</w:t>
      </w:r>
      <w:r w:rsidRPr="00F33E35">
        <w:rPr>
          <w:rFonts w:ascii="Times New Roman" w:eastAsia="Times New Roman" w:hAnsi="Times New Roman" w:cs="Times New Roman"/>
          <w:sz w:val="28"/>
          <w:szCs w:val="28"/>
          <w:lang w:eastAsia="es-ES"/>
        </w:rPr>
        <w:t xml:space="preserve"> dos exigencias</w:t>
      </w:r>
      <w:r w:rsidRPr="00F33E35">
        <w:rPr>
          <w:rFonts w:ascii="Times New Roman" w:eastAsia="Times New Roman" w:hAnsi="Times New Roman" w:cs="Times New Roman"/>
          <w:sz w:val="28"/>
          <w:szCs w:val="28"/>
          <w:lang w:eastAsia="es-ES"/>
        </w:rPr>
        <w:t>: La primera,</w:t>
      </w:r>
      <w:r w:rsidRPr="00F33E35">
        <w:rPr>
          <w:rFonts w:ascii="Times New Roman" w:eastAsia="Times New Roman" w:hAnsi="Times New Roman" w:cs="Times New Roman"/>
          <w:sz w:val="28"/>
          <w:szCs w:val="28"/>
          <w:lang w:eastAsia="es-ES"/>
        </w:rPr>
        <w:t xml:space="preserve"> prohíbe una aproximación a la demanda que tenga por objeto o como efecto un incremento en los requerimientos técnicos de la acusación, al punto de privilegiarlos sobre el debate sustantivo que puede derivarse razonablemente de la misma. La segunda</w:t>
      </w:r>
      <w:r w:rsidRPr="00F33E35">
        <w:rPr>
          <w:rFonts w:ascii="Times New Roman" w:eastAsia="Times New Roman" w:hAnsi="Times New Roman" w:cs="Times New Roman"/>
          <w:sz w:val="28"/>
          <w:szCs w:val="28"/>
          <w:lang w:eastAsia="es-ES"/>
        </w:rPr>
        <w:t>,</w:t>
      </w:r>
      <w:r w:rsidRPr="00F33E35">
        <w:rPr>
          <w:rFonts w:ascii="Times New Roman" w:eastAsia="Times New Roman" w:hAnsi="Times New Roman" w:cs="Times New Roman"/>
          <w:sz w:val="28"/>
          <w:szCs w:val="28"/>
          <w:lang w:eastAsia="es-ES"/>
        </w:rPr>
        <w:t xml:space="preserve"> ordena</w:t>
      </w:r>
      <w:r w:rsidRPr="00F33E35">
        <w:rPr>
          <w:rFonts w:ascii="Times New Roman" w:eastAsia="Times New Roman" w:hAnsi="Times New Roman" w:cs="Times New Roman"/>
          <w:sz w:val="28"/>
          <w:szCs w:val="28"/>
          <w:lang w:eastAsia="es-ES"/>
        </w:rPr>
        <w:t xml:space="preserve"> que en aquellos casos en los que exista una duda sobre el cumplimiento de las </w:t>
      </w:r>
      <w:r w:rsidRPr="00F33E35">
        <w:rPr>
          <w:rFonts w:ascii="Times New Roman" w:eastAsia="Times New Roman" w:hAnsi="Times New Roman" w:cs="Times New Roman"/>
          <w:i/>
          <w:sz w:val="28"/>
          <w:szCs w:val="28"/>
          <w:lang w:eastAsia="es-ES"/>
        </w:rPr>
        <w:t>condiciones mínimas de argumentación</w:t>
      </w:r>
      <w:r w:rsidRPr="00F33E35">
        <w:rPr>
          <w:rFonts w:ascii="Times New Roman" w:eastAsia="Times New Roman" w:hAnsi="Times New Roman" w:cs="Times New Roman"/>
          <w:sz w:val="28"/>
          <w:szCs w:val="28"/>
          <w:lang w:eastAsia="es-ES"/>
        </w:rPr>
        <w:t>, la Corte se esfuerce, en la medida de sus posibilidades, por adoptar una decisión de fondo. Según la jurisprudencia, también es expresión d</w:t>
      </w:r>
      <w:r w:rsidRPr="00F33E35">
        <w:rPr>
          <w:rFonts w:ascii="Times New Roman" w:eastAsia="Times New Roman" w:hAnsi="Times New Roman" w:cs="Times New Roman"/>
          <w:sz w:val="28"/>
          <w:szCs w:val="28"/>
          <w:lang w:eastAsia="es-ES"/>
        </w:rPr>
        <w:t>el principio la integración de la unidad normativa “[</w:t>
      </w:r>
      <w:r w:rsidRPr="00F33E35">
        <w:rPr>
          <w:rFonts w:ascii="Times New Roman" w:hAnsi="Times New Roman" w:cs="Times New Roman"/>
          <w:sz w:val="28"/>
          <w:szCs w:val="28"/>
          <w:shd w:val="clear" w:color="auto" w:fill="FFFFFF"/>
        </w:rPr>
        <w:t>c]uando la norma acusada ha sido modificada por otra posterior, pero subsisten, a pesar de la reforma, los contenidos normativos acusados”</w:t>
      </w:r>
      <w:r w:rsidRPr="00F33E35">
        <w:rPr>
          <w:rStyle w:val="Refdenotaalpie"/>
          <w:rFonts w:ascii="Times New Roman" w:hAnsi="Times New Roman" w:cs="Times New Roman"/>
          <w:sz w:val="28"/>
          <w:szCs w:val="28"/>
          <w:shd w:val="clear" w:color="auto" w:fill="FFFFFF"/>
        </w:rPr>
        <w:footnoteReference w:id="91"/>
      </w:r>
      <w:r w:rsidRPr="00F33E35">
        <w:rPr>
          <w:rFonts w:ascii="Times New Roman" w:hAnsi="Times New Roman" w:cs="Times New Roman"/>
          <w:sz w:val="28"/>
          <w:szCs w:val="28"/>
          <w:shd w:val="clear" w:color="auto" w:fill="FFFFFF"/>
        </w:rPr>
        <w:t>.</w:t>
      </w:r>
    </w:p>
    <w:p w:rsidR="00E44760" w:rsidRPr="00F33E35" w:rsidRDefault="00F33E35" w:rsidP="0040768B">
      <w:pPr>
        <w:pStyle w:val="Prrafodelista"/>
        <w:spacing w:after="0" w:line="240" w:lineRule="auto"/>
        <w:ind w:left="0"/>
        <w:contextualSpacing w:val="0"/>
        <w:mirrorIndents/>
        <w:jc w:val="both"/>
        <w:rPr>
          <w:rFonts w:ascii="Times New Roman" w:eastAsia="Times New Roman" w:hAnsi="Times New Roman" w:cs="Times New Roman"/>
          <w:sz w:val="28"/>
          <w:szCs w:val="28"/>
          <w:lang w:eastAsia="es-ES"/>
        </w:rPr>
      </w:pPr>
    </w:p>
    <w:p w:rsidR="00E44760" w:rsidRPr="00F33E35" w:rsidRDefault="00F33E35" w:rsidP="0040768B">
      <w:pPr>
        <w:pStyle w:val="Sinespaciado"/>
        <w:numPr>
          <w:ilvl w:val="0"/>
          <w:numId w:val="3"/>
        </w:numPr>
        <w:tabs>
          <w:tab w:val="left" w:pos="426"/>
        </w:tabs>
        <w:ind w:left="0" w:firstLine="0"/>
        <w:mirrorIndents/>
        <w:jc w:val="both"/>
        <w:rPr>
          <w:rFonts w:ascii="Times New Roman" w:hAnsi="Times New Roman" w:cs="Times New Roman"/>
          <w:iCs/>
          <w:snapToGrid w:val="0"/>
          <w:sz w:val="28"/>
          <w:szCs w:val="28"/>
          <w:lang w:val="es-ES" w:eastAsia="es-ES"/>
        </w:rPr>
      </w:pPr>
      <w:r w:rsidRPr="00F33E35">
        <w:rPr>
          <w:rFonts w:ascii="Times New Roman" w:eastAsia="Times New Roman" w:hAnsi="Times New Roman" w:cs="Times New Roman"/>
          <w:sz w:val="28"/>
          <w:szCs w:val="28"/>
          <w:lang w:eastAsia="es-ES"/>
        </w:rPr>
        <w:t xml:space="preserve">Sin embargo, la aplicación del principio </w:t>
      </w:r>
      <w:r w:rsidRPr="00F33E35">
        <w:rPr>
          <w:rFonts w:ascii="Times New Roman" w:eastAsia="Times New Roman" w:hAnsi="Times New Roman" w:cs="Times New Roman"/>
          <w:i/>
          <w:iCs/>
          <w:sz w:val="28"/>
          <w:szCs w:val="28"/>
          <w:lang w:eastAsia="es-ES"/>
        </w:rPr>
        <w:t>pro actione</w:t>
      </w:r>
      <w:r w:rsidRPr="00F33E35">
        <w:rPr>
          <w:rFonts w:ascii="Times New Roman" w:eastAsia="Times New Roman" w:hAnsi="Times New Roman" w:cs="Times New Roman"/>
          <w:sz w:val="28"/>
          <w:szCs w:val="28"/>
          <w:lang w:eastAsia="es-ES"/>
        </w:rPr>
        <w:t xml:space="preserve"> </w:t>
      </w:r>
      <w:r w:rsidRPr="00F33E35">
        <w:rPr>
          <w:rFonts w:ascii="Times New Roman" w:eastAsia="Times New Roman" w:hAnsi="Times New Roman" w:cs="Times New Roman"/>
          <w:sz w:val="28"/>
          <w:szCs w:val="28"/>
          <w:lang w:eastAsia="es-ES"/>
        </w:rPr>
        <w:t xml:space="preserve">no habilita a la Corte para </w:t>
      </w:r>
      <w:r w:rsidRPr="00F33E35">
        <w:rPr>
          <w:rFonts w:ascii="Times New Roman" w:hAnsi="Times New Roman" w:cs="Times New Roman"/>
          <w:sz w:val="28"/>
          <w:szCs w:val="28"/>
          <w:shd w:val="clear" w:color="auto" w:fill="FFFFFF"/>
        </w:rPr>
        <w:t>corregir o aclarar equívocos, aspectos confusos o ambigüedades que surjan de las demandas</w:t>
      </w:r>
      <w:r w:rsidRPr="00F33E35">
        <w:rPr>
          <w:rStyle w:val="Refdenotaalpie"/>
          <w:rFonts w:ascii="Times New Roman" w:hAnsi="Times New Roman" w:cs="Times New Roman"/>
          <w:sz w:val="28"/>
          <w:szCs w:val="28"/>
          <w:shd w:val="clear" w:color="auto" w:fill="FFFFFF"/>
        </w:rPr>
        <w:footnoteReference w:id="92"/>
      </w:r>
      <w:r w:rsidRPr="00F33E35">
        <w:rPr>
          <w:rFonts w:ascii="Times New Roman" w:hAnsi="Times New Roman" w:cs="Times New Roman"/>
          <w:sz w:val="28"/>
          <w:szCs w:val="28"/>
          <w:shd w:val="clear" w:color="auto" w:fill="FFFFFF"/>
        </w:rPr>
        <w:t xml:space="preserve">. </w:t>
      </w:r>
      <w:r w:rsidRPr="00F33E35">
        <w:rPr>
          <w:rFonts w:ascii="Times New Roman" w:hAnsi="Times New Roman" w:cs="Times New Roman"/>
          <w:sz w:val="28"/>
          <w:szCs w:val="28"/>
          <w:shd w:val="clear" w:color="auto" w:fill="FFFFFF"/>
        </w:rPr>
        <w:t>La observancia de este principio</w:t>
      </w:r>
      <w:r w:rsidRPr="00F33E35">
        <w:rPr>
          <w:rFonts w:ascii="Times New Roman" w:hAnsi="Times New Roman" w:cs="Times New Roman"/>
          <w:sz w:val="28"/>
          <w:szCs w:val="28"/>
          <w:shd w:val="clear" w:color="auto" w:fill="FFFFFF"/>
        </w:rPr>
        <w:t xml:space="preserve"> </w:t>
      </w:r>
      <w:r w:rsidRPr="00F33E35">
        <w:rPr>
          <w:rFonts w:ascii="Times New Roman" w:hAnsi="Times New Roman" w:cs="Times New Roman"/>
          <w:sz w:val="28"/>
          <w:szCs w:val="28"/>
          <w:bdr w:val="none" w:sz="0" w:space="0" w:color="auto" w:frame="1"/>
          <w:shd w:val="clear" w:color="auto" w:fill="FFFFFF"/>
        </w:rPr>
        <w:t>“</w:t>
      </w:r>
      <w:r w:rsidRPr="00F33E35">
        <w:rPr>
          <w:rFonts w:ascii="Times New Roman" w:hAnsi="Times New Roman" w:cs="Times New Roman"/>
          <w:iCs/>
          <w:sz w:val="28"/>
          <w:szCs w:val="28"/>
          <w:bdr w:val="none" w:sz="0" w:space="0" w:color="auto" w:frame="1"/>
          <w:shd w:val="clear" w:color="auto" w:fill="FFFFFF"/>
        </w:rPr>
        <w:t>no puede llevar a que se declare la exequibilidad ante una demanda que no presente suficientes argumen</w:t>
      </w:r>
      <w:r w:rsidRPr="00F33E35">
        <w:rPr>
          <w:rFonts w:ascii="Times New Roman" w:hAnsi="Times New Roman" w:cs="Times New Roman"/>
          <w:iCs/>
          <w:sz w:val="28"/>
          <w:szCs w:val="28"/>
          <w:bdr w:val="none" w:sz="0" w:space="0" w:color="auto" w:frame="1"/>
          <w:shd w:val="clear" w:color="auto" w:fill="FFFFFF"/>
        </w:rPr>
        <w:t>tos, cerrando la puerta para que otro ciudadano presente una acción que sí cumpla con las condiciones para revisarla”</w:t>
      </w:r>
      <w:r w:rsidRPr="00F33E35">
        <w:rPr>
          <w:rStyle w:val="Refdenotaalpie"/>
          <w:rFonts w:ascii="Times New Roman" w:hAnsi="Times New Roman" w:cs="Times New Roman"/>
          <w:iCs/>
          <w:sz w:val="28"/>
          <w:szCs w:val="28"/>
          <w:bdr w:val="none" w:sz="0" w:space="0" w:color="auto" w:frame="1"/>
          <w:shd w:val="clear" w:color="auto" w:fill="FFFFFF"/>
        </w:rPr>
        <w:footnoteReference w:id="93"/>
      </w:r>
      <w:r w:rsidRPr="00F33E35">
        <w:rPr>
          <w:rFonts w:ascii="Times New Roman" w:hAnsi="Times New Roman" w:cs="Times New Roman"/>
          <w:iCs/>
          <w:sz w:val="28"/>
          <w:szCs w:val="28"/>
          <w:bdr w:val="none" w:sz="0" w:space="0" w:color="auto" w:frame="1"/>
          <w:shd w:val="clear" w:color="auto" w:fill="FFFFFF"/>
        </w:rPr>
        <w:t xml:space="preserve">. </w:t>
      </w:r>
      <w:r w:rsidRPr="00F33E35">
        <w:rPr>
          <w:rFonts w:ascii="Times New Roman" w:hAnsi="Times New Roman" w:cs="Times New Roman"/>
          <w:iCs/>
          <w:sz w:val="28"/>
          <w:szCs w:val="28"/>
          <w:shd w:val="clear" w:color="auto" w:fill="FFFFFF"/>
        </w:rPr>
        <w:t xml:space="preserve">No es posible sustituir al demandante como si se tratara de un control de oficio y, en esa medida, la aplicación </w:t>
      </w:r>
      <w:r w:rsidRPr="00F33E35">
        <w:rPr>
          <w:rFonts w:ascii="Times New Roman" w:hAnsi="Times New Roman" w:cs="Times New Roman"/>
          <w:iCs/>
          <w:sz w:val="28"/>
          <w:szCs w:val="28"/>
          <w:shd w:val="clear" w:color="auto" w:fill="FFFFFF"/>
        </w:rPr>
        <w:t>de aquel</w:t>
      </w:r>
      <w:r w:rsidRPr="00F33E35">
        <w:rPr>
          <w:rFonts w:ascii="Times New Roman" w:hAnsi="Times New Roman" w:cs="Times New Roman"/>
          <w:iCs/>
          <w:sz w:val="28"/>
          <w:szCs w:val="28"/>
          <w:shd w:val="clear" w:color="auto" w:fill="FFFFFF"/>
        </w:rPr>
        <w:t xml:space="preserve"> exige </w:t>
      </w:r>
      <w:r w:rsidRPr="00F33E35">
        <w:rPr>
          <w:rFonts w:ascii="Times New Roman" w:hAnsi="Times New Roman" w:cs="Times New Roman"/>
          <w:iCs/>
          <w:sz w:val="28"/>
          <w:szCs w:val="28"/>
          <w:shd w:val="clear" w:color="auto" w:fill="FFFFFF"/>
        </w:rPr>
        <w:t xml:space="preserve">que la </w:t>
      </w:r>
      <w:r w:rsidRPr="00F33E35">
        <w:rPr>
          <w:rFonts w:ascii="Times New Roman" w:hAnsi="Times New Roman" w:cs="Times New Roman"/>
          <w:iCs/>
          <w:sz w:val="28"/>
          <w:szCs w:val="28"/>
          <w:shd w:val="clear" w:color="auto" w:fill="FFFFFF"/>
        </w:rPr>
        <w:t>demanda proponga</w:t>
      </w:r>
      <w:r w:rsidRPr="00F33E35">
        <w:rPr>
          <w:rFonts w:ascii="Times New Roman" w:hAnsi="Times New Roman" w:cs="Times New Roman"/>
          <w:b/>
          <w:iCs/>
          <w:sz w:val="28"/>
          <w:szCs w:val="28"/>
          <w:shd w:val="clear" w:color="auto" w:fill="FFFFFF"/>
        </w:rPr>
        <w:t xml:space="preserve"> un núcleo argumentativo básico y preciso</w:t>
      </w:r>
      <w:r w:rsidRPr="00F33E35">
        <w:rPr>
          <w:rFonts w:ascii="Times New Roman" w:hAnsi="Times New Roman" w:cs="Times New Roman"/>
          <w:iCs/>
          <w:sz w:val="28"/>
          <w:szCs w:val="28"/>
          <w:shd w:val="clear" w:color="auto" w:fill="FFFFFF"/>
        </w:rPr>
        <w:t>, aunque existan algunas reservas o inquietudes. Dicho de otro modo, la Corte “no puede llegar al extremo de suplantar al actor en la formulación de los cargos, ni de determinar por sí misma (…) el c</w:t>
      </w:r>
      <w:r w:rsidRPr="00F33E35">
        <w:rPr>
          <w:rFonts w:ascii="Times New Roman" w:hAnsi="Times New Roman" w:cs="Times New Roman"/>
          <w:iCs/>
          <w:sz w:val="28"/>
          <w:szCs w:val="28"/>
          <w:shd w:val="clear" w:color="auto" w:fill="FFFFFF"/>
        </w:rPr>
        <w:t>oncepto de la violación de las normas que ante ella se acusan como infringidas, pues ésta es una carga mínima que se le impone al ciudadano para hacer uso de su derecho político a ejercer la acción de inconstitucionalidad”</w:t>
      </w:r>
      <w:r w:rsidRPr="00F33E35">
        <w:rPr>
          <w:rStyle w:val="Refdenotaalpie"/>
          <w:rFonts w:ascii="Times New Roman" w:hAnsi="Times New Roman" w:cs="Times New Roman"/>
          <w:iCs/>
          <w:sz w:val="28"/>
          <w:szCs w:val="28"/>
          <w:shd w:val="clear" w:color="auto" w:fill="FFFFFF"/>
        </w:rPr>
        <w:footnoteReference w:id="94"/>
      </w:r>
      <w:r w:rsidRPr="00F33E35">
        <w:rPr>
          <w:rFonts w:ascii="Times New Roman" w:hAnsi="Times New Roman" w:cs="Times New Roman"/>
          <w:iCs/>
          <w:sz w:val="28"/>
          <w:szCs w:val="28"/>
          <w:shd w:val="clear" w:color="auto" w:fill="FFFFFF"/>
        </w:rPr>
        <w:t>.</w:t>
      </w:r>
    </w:p>
    <w:p w:rsidR="00E44760" w:rsidRPr="00F33E35" w:rsidRDefault="00F33E35" w:rsidP="0040768B">
      <w:pPr>
        <w:pStyle w:val="Prrafodelista"/>
        <w:spacing w:after="0" w:line="240" w:lineRule="auto"/>
        <w:ind w:left="0"/>
        <w:contextualSpacing w:val="0"/>
        <w:mirrorIndents/>
        <w:jc w:val="both"/>
        <w:rPr>
          <w:rFonts w:ascii="Times New Roman" w:eastAsia="Times New Roman" w:hAnsi="Times New Roman" w:cs="Times New Roman"/>
          <w:sz w:val="28"/>
          <w:szCs w:val="28"/>
          <w:lang w:eastAsia="es-ES"/>
        </w:rPr>
      </w:pPr>
    </w:p>
    <w:p w:rsidR="00E44760" w:rsidRPr="00F33E35" w:rsidRDefault="00F33E35" w:rsidP="0040768B">
      <w:pPr>
        <w:pStyle w:val="Sinespaciado"/>
        <w:numPr>
          <w:ilvl w:val="0"/>
          <w:numId w:val="3"/>
        </w:numPr>
        <w:tabs>
          <w:tab w:val="left" w:pos="426"/>
        </w:tabs>
        <w:ind w:left="0" w:firstLine="0"/>
        <w:mirrorIndents/>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 xml:space="preserve">La imposibilidad de emprender </w:t>
      </w:r>
      <w:r w:rsidRPr="00F33E35">
        <w:rPr>
          <w:rFonts w:ascii="Times New Roman" w:eastAsia="Times New Roman" w:hAnsi="Times New Roman" w:cs="Times New Roman"/>
          <w:sz w:val="28"/>
          <w:szCs w:val="28"/>
          <w:lang w:eastAsia="es-ES"/>
        </w:rPr>
        <w:t>un control a partir de acusaciones diferentes a las de los demandantes se apoya en la naturaleza excepcional del control automático de constitucionalidad y se ha reflejado en el carácter también excepcional de la integración de la unidad normativa</w:t>
      </w:r>
      <w:r w:rsidRPr="00F33E35">
        <w:rPr>
          <w:rStyle w:val="Refdenotaalpie"/>
          <w:rFonts w:ascii="Times New Roman" w:eastAsia="Times New Roman" w:hAnsi="Times New Roman" w:cs="Times New Roman"/>
          <w:sz w:val="28"/>
          <w:szCs w:val="28"/>
          <w:lang w:eastAsia="es-ES"/>
        </w:rPr>
        <w:footnoteReference w:id="95"/>
      </w:r>
      <w:r w:rsidRPr="00F33E35">
        <w:rPr>
          <w:rFonts w:ascii="Times New Roman" w:eastAsia="Times New Roman" w:hAnsi="Times New Roman" w:cs="Times New Roman"/>
          <w:sz w:val="28"/>
          <w:szCs w:val="28"/>
          <w:lang w:eastAsia="es-ES"/>
        </w:rPr>
        <w:t xml:space="preserve">, así </w:t>
      </w:r>
      <w:r w:rsidRPr="00F33E35">
        <w:rPr>
          <w:rFonts w:ascii="Times New Roman" w:eastAsia="Times New Roman" w:hAnsi="Times New Roman" w:cs="Times New Roman"/>
          <w:sz w:val="28"/>
          <w:szCs w:val="28"/>
          <w:lang w:eastAsia="es-ES"/>
        </w:rPr>
        <w:t>como en la imposibilidad de realizar un juicio a partir de cargos autónomos o independientes propuestos en los escritos de los intervinientes en el proceso</w:t>
      </w:r>
      <w:r w:rsidRPr="00F33E35">
        <w:rPr>
          <w:rStyle w:val="Refdenotaalpie"/>
          <w:rFonts w:ascii="Times New Roman" w:eastAsia="Times New Roman" w:hAnsi="Times New Roman" w:cs="Times New Roman"/>
          <w:sz w:val="28"/>
          <w:szCs w:val="28"/>
          <w:lang w:eastAsia="es-ES"/>
        </w:rPr>
        <w:footnoteReference w:id="96"/>
      </w:r>
      <w:r w:rsidRPr="00F33E35">
        <w:rPr>
          <w:rFonts w:ascii="Times New Roman" w:eastAsia="Times New Roman" w:hAnsi="Times New Roman" w:cs="Times New Roman"/>
          <w:sz w:val="28"/>
          <w:szCs w:val="28"/>
          <w:lang w:eastAsia="es-ES"/>
        </w:rPr>
        <w:t xml:space="preserve">.     </w:t>
      </w:r>
    </w:p>
    <w:p w:rsidR="00E44760" w:rsidRPr="00F33E35" w:rsidRDefault="00F33E35" w:rsidP="0040768B">
      <w:pPr>
        <w:pStyle w:val="Prrafodelista"/>
        <w:spacing w:after="0" w:line="240" w:lineRule="auto"/>
        <w:ind w:left="0"/>
        <w:contextualSpacing w:val="0"/>
        <w:mirrorIndents/>
        <w:jc w:val="both"/>
        <w:rPr>
          <w:rFonts w:ascii="Times New Roman" w:eastAsia="Times New Roman" w:hAnsi="Times New Roman" w:cs="Times New Roman"/>
          <w:sz w:val="28"/>
          <w:szCs w:val="28"/>
          <w:lang w:eastAsia="es-ES"/>
        </w:rPr>
      </w:pPr>
    </w:p>
    <w:p w:rsidR="00E44760" w:rsidRPr="00F33E35" w:rsidRDefault="00F33E35" w:rsidP="00B15C50">
      <w:pPr>
        <w:pStyle w:val="Sinespaciado"/>
        <w:numPr>
          <w:ilvl w:val="0"/>
          <w:numId w:val="3"/>
        </w:numPr>
        <w:tabs>
          <w:tab w:val="left" w:pos="426"/>
        </w:tabs>
        <w:ind w:left="0" w:firstLine="0"/>
        <w:mirrorIndents/>
        <w:jc w:val="both"/>
        <w:rPr>
          <w:rFonts w:ascii="Times New Roman" w:eastAsia="Times New Roman" w:hAnsi="Times New Roman" w:cs="Times New Roman"/>
          <w:sz w:val="28"/>
          <w:szCs w:val="28"/>
          <w:lang w:eastAsia="es-ES"/>
        </w:rPr>
      </w:pPr>
      <w:r w:rsidRPr="00F33E35">
        <w:rPr>
          <w:rFonts w:ascii="Times New Roman" w:eastAsia="Times New Roman" w:hAnsi="Times New Roman" w:cs="Times New Roman"/>
          <w:sz w:val="28"/>
          <w:szCs w:val="28"/>
          <w:lang w:eastAsia="es-ES"/>
        </w:rPr>
        <w:t>Así cada una de las condiciones mínimas que debe cumplir el concepto de violación</w:t>
      </w:r>
      <w:r w:rsidRPr="00F33E35">
        <w:rPr>
          <w:rFonts w:ascii="Times New Roman" w:eastAsia="Times New Roman" w:hAnsi="Times New Roman" w:cs="Times New Roman"/>
          <w:sz w:val="28"/>
          <w:szCs w:val="28"/>
          <w:lang w:eastAsia="es-ES"/>
        </w:rPr>
        <w:t xml:space="preserve"> tienen como propósito asegurar un debate constitucional adecuado</w:t>
      </w:r>
      <w:r w:rsidRPr="00F33E35">
        <w:rPr>
          <w:rFonts w:ascii="Times New Roman" w:eastAsia="Times New Roman" w:hAnsi="Times New Roman" w:cs="Times New Roman"/>
          <w:sz w:val="28"/>
          <w:szCs w:val="28"/>
          <w:lang w:eastAsia="es-ES"/>
        </w:rPr>
        <w:t xml:space="preserve"> y</w:t>
      </w:r>
      <w:r w:rsidRPr="00F33E35">
        <w:rPr>
          <w:rFonts w:ascii="Times New Roman" w:eastAsia="Times New Roman" w:hAnsi="Times New Roman" w:cs="Times New Roman"/>
          <w:sz w:val="28"/>
          <w:szCs w:val="28"/>
          <w:lang w:eastAsia="es-ES"/>
        </w:rPr>
        <w:t xml:space="preserve"> cumplen funciones diferentes: (i) la </w:t>
      </w:r>
      <w:r w:rsidRPr="00F33E35">
        <w:rPr>
          <w:rFonts w:ascii="Times New Roman" w:eastAsia="Times New Roman" w:hAnsi="Times New Roman" w:cs="Times New Roman"/>
          <w:i/>
          <w:sz w:val="28"/>
          <w:szCs w:val="28"/>
          <w:lang w:eastAsia="es-ES"/>
        </w:rPr>
        <w:t>claridad</w:t>
      </w:r>
      <w:r w:rsidRPr="00F33E35">
        <w:rPr>
          <w:rFonts w:ascii="Times New Roman" w:eastAsia="Times New Roman" w:hAnsi="Times New Roman" w:cs="Times New Roman"/>
          <w:sz w:val="28"/>
          <w:szCs w:val="28"/>
          <w:lang w:eastAsia="es-ES"/>
        </w:rPr>
        <w:t xml:space="preserve"> hace posible un diálogo público; (ii) la </w:t>
      </w:r>
      <w:r w:rsidRPr="00F33E35">
        <w:rPr>
          <w:rFonts w:ascii="Times New Roman" w:eastAsia="Times New Roman" w:hAnsi="Times New Roman" w:cs="Times New Roman"/>
          <w:i/>
          <w:sz w:val="28"/>
          <w:szCs w:val="28"/>
          <w:lang w:eastAsia="es-ES"/>
        </w:rPr>
        <w:t>certeza</w:t>
      </w:r>
      <w:r w:rsidRPr="00F33E35">
        <w:rPr>
          <w:rFonts w:ascii="Times New Roman" w:eastAsia="Times New Roman" w:hAnsi="Times New Roman" w:cs="Times New Roman"/>
          <w:sz w:val="28"/>
          <w:szCs w:val="28"/>
          <w:lang w:eastAsia="es-ES"/>
        </w:rPr>
        <w:t xml:space="preserve"> permite identificar un objeto real susceptible de ser sometido a control; y (iii) la </w:t>
      </w:r>
      <w:r w:rsidRPr="00F33E35">
        <w:rPr>
          <w:rFonts w:ascii="Times New Roman" w:eastAsia="Times New Roman" w:hAnsi="Times New Roman" w:cs="Times New Roman"/>
          <w:i/>
          <w:sz w:val="28"/>
          <w:szCs w:val="28"/>
          <w:lang w:eastAsia="es-ES"/>
        </w:rPr>
        <w:t>pertinen</w:t>
      </w:r>
      <w:r w:rsidRPr="00F33E35">
        <w:rPr>
          <w:rFonts w:ascii="Times New Roman" w:eastAsia="Times New Roman" w:hAnsi="Times New Roman" w:cs="Times New Roman"/>
          <w:i/>
          <w:sz w:val="28"/>
          <w:szCs w:val="28"/>
          <w:lang w:eastAsia="es-ES"/>
        </w:rPr>
        <w:t>cia</w:t>
      </w:r>
      <w:r w:rsidRPr="00F33E35">
        <w:rPr>
          <w:rFonts w:ascii="Times New Roman" w:eastAsia="Times New Roman" w:hAnsi="Times New Roman" w:cs="Times New Roman"/>
          <w:sz w:val="28"/>
          <w:szCs w:val="28"/>
          <w:lang w:eastAsia="es-ES"/>
        </w:rPr>
        <w:t xml:space="preserve">, la </w:t>
      </w:r>
      <w:r w:rsidRPr="00F33E35">
        <w:rPr>
          <w:rFonts w:ascii="Times New Roman" w:eastAsia="Times New Roman" w:hAnsi="Times New Roman" w:cs="Times New Roman"/>
          <w:i/>
          <w:sz w:val="28"/>
          <w:szCs w:val="28"/>
          <w:lang w:eastAsia="es-ES"/>
        </w:rPr>
        <w:t>especificidad</w:t>
      </w:r>
      <w:r w:rsidRPr="00F33E35">
        <w:rPr>
          <w:rFonts w:ascii="Times New Roman" w:eastAsia="Times New Roman" w:hAnsi="Times New Roman" w:cs="Times New Roman"/>
          <w:sz w:val="28"/>
          <w:szCs w:val="28"/>
          <w:lang w:eastAsia="es-ES"/>
        </w:rPr>
        <w:t xml:space="preserve"> y la </w:t>
      </w:r>
      <w:r w:rsidRPr="00F33E35">
        <w:rPr>
          <w:rFonts w:ascii="Times New Roman" w:eastAsia="Times New Roman" w:hAnsi="Times New Roman" w:cs="Times New Roman"/>
          <w:i/>
          <w:sz w:val="28"/>
          <w:szCs w:val="28"/>
          <w:lang w:eastAsia="es-ES"/>
        </w:rPr>
        <w:t>suficiencia</w:t>
      </w:r>
      <w:r w:rsidRPr="00F33E35">
        <w:rPr>
          <w:rFonts w:ascii="Times New Roman" w:eastAsia="Times New Roman" w:hAnsi="Times New Roman" w:cs="Times New Roman"/>
          <w:sz w:val="28"/>
          <w:szCs w:val="28"/>
          <w:lang w:eastAsia="es-ES"/>
        </w:rPr>
        <w:t xml:space="preserve"> delimitan la controversia en un sentido constitucional</w:t>
      </w:r>
      <w:r w:rsidRPr="00F33E35">
        <w:rPr>
          <w:rStyle w:val="Refdenotaalpie"/>
          <w:rFonts w:ascii="Times New Roman" w:eastAsia="Times New Roman" w:hAnsi="Times New Roman" w:cs="Times New Roman"/>
          <w:sz w:val="28"/>
          <w:szCs w:val="28"/>
          <w:lang w:eastAsia="es-ES"/>
        </w:rPr>
        <w:footnoteReference w:id="97"/>
      </w:r>
      <w:r w:rsidRPr="00F33E35">
        <w:rPr>
          <w:rFonts w:ascii="Times New Roman" w:eastAsia="Times New Roman" w:hAnsi="Times New Roman" w:cs="Times New Roman"/>
          <w:sz w:val="28"/>
          <w:szCs w:val="28"/>
          <w:lang w:eastAsia="es-ES"/>
        </w:rPr>
        <w:t xml:space="preserve">. Con el propósito de reiterar el alcance y presentar algunas precisiones sobre su aplicación, a continuación la Corte </w:t>
      </w:r>
      <w:r w:rsidRPr="00F33E35">
        <w:rPr>
          <w:rFonts w:ascii="Times New Roman" w:eastAsia="Times New Roman" w:hAnsi="Times New Roman" w:cs="Times New Roman"/>
          <w:sz w:val="28"/>
          <w:szCs w:val="28"/>
          <w:lang w:eastAsia="es-ES"/>
        </w:rPr>
        <w:t>reitera</w:t>
      </w:r>
      <w:r w:rsidRPr="00F33E35">
        <w:rPr>
          <w:rFonts w:ascii="Times New Roman" w:eastAsia="Times New Roman" w:hAnsi="Times New Roman" w:cs="Times New Roman"/>
          <w:sz w:val="28"/>
          <w:szCs w:val="28"/>
          <w:lang w:eastAsia="es-ES"/>
        </w:rPr>
        <w:t xml:space="preserve"> </w:t>
      </w:r>
      <w:r w:rsidRPr="00F33E35">
        <w:rPr>
          <w:rFonts w:ascii="Times New Roman" w:eastAsia="Times New Roman" w:hAnsi="Times New Roman" w:cs="Times New Roman"/>
          <w:sz w:val="28"/>
          <w:szCs w:val="28"/>
          <w:lang w:eastAsia="es-ES"/>
        </w:rPr>
        <w:t xml:space="preserve">la caracterización de cada una de </w:t>
      </w:r>
      <w:r w:rsidRPr="00F33E35">
        <w:rPr>
          <w:rFonts w:ascii="Times New Roman" w:eastAsia="Times New Roman" w:hAnsi="Times New Roman" w:cs="Times New Roman"/>
          <w:sz w:val="28"/>
          <w:szCs w:val="28"/>
          <w:lang w:eastAsia="es-ES"/>
        </w:rPr>
        <w:t>las</w:t>
      </w:r>
      <w:r w:rsidRPr="00F33E35">
        <w:rPr>
          <w:rFonts w:ascii="Times New Roman" w:eastAsia="Times New Roman" w:hAnsi="Times New Roman" w:cs="Times New Roman"/>
          <w:sz w:val="28"/>
          <w:szCs w:val="28"/>
          <w:lang w:eastAsia="es-ES"/>
        </w:rPr>
        <w:t xml:space="preserve"> exigencias</w:t>
      </w:r>
      <w:r w:rsidRPr="00F33E35">
        <w:rPr>
          <w:rFonts w:ascii="Times New Roman" w:eastAsia="Times New Roman" w:hAnsi="Times New Roman" w:cs="Times New Roman"/>
          <w:sz w:val="28"/>
          <w:szCs w:val="28"/>
          <w:lang w:eastAsia="es-ES"/>
        </w:rPr>
        <w:t xml:space="preserve">, en los mismos términos </w:t>
      </w:r>
      <w:r w:rsidRPr="00F33E35">
        <w:rPr>
          <w:rFonts w:ascii="Times New Roman" w:eastAsia="Times New Roman" w:hAnsi="Times New Roman" w:cs="Times New Roman"/>
          <w:sz w:val="28"/>
          <w:szCs w:val="28"/>
          <w:lang w:eastAsia="es-ES"/>
        </w:rPr>
        <w:t xml:space="preserve">expresados por </w:t>
      </w:r>
      <w:r w:rsidRPr="00F33E35">
        <w:rPr>
          <w:rFonts w:ascii="Times New Roman" w:eastAsia="Times New Roman" w:hAnsi="Times New Roman" w:cs="Times New Roman"/>
          <w:sz w:val="28"/>
          <w:szCs w:val="28"/>
          <w:lang w:eastAsia="es-ES"/>
        </w:rPr>
        <w:t>la Sentencia C-292 de 2019.</w:t>
      </w:r>
    </w:p>
    <w:p w:rsidR="004B0800" w:rsidRPr="00F33E35" w:rsidRDefault="00F33E35" w:rsidP="004B0800">
      <w:pPr>
        <w:pStyle w:val="Sinespaciado"/>
        <w:tabs>
          <w:tab w:val="left" w:pos="426"/>
        </w:tabs>
        <w:mirrorIndents/>
        <w:jc w:val="both"/>
        <w:rPr>
          <w:rFonts w:ascii="Times New Roman" w:eastAsia="Times New Roman" w:hAnsi="Times New Roman" w:cs="Times New Roman"/>
          <w:sz w:val="28"/>
          <w:szCs w:val="28"/>
          <w:lang w:eastAsia="es-ES"/>
        </w:rPr>
      </w:pPr>
    </w:p>
    <w:p w:rsidR="004B0800" w:rsidRPr="00F33E35" w:rsidRDefault="00F33E35" w:rsidP="004B0800">
      <w:pPr>
        <w:pStyle w:val="Sinespaciado"/>
        <w:numPr>
          <w:ilvl w:val="0"/>
          <w:numId w:val="3"/>
        </w:numPr>
        <w:tabs>
          <w:tab w:val="left" w:pos="426"/>
        </w:tabs>
        <w:ind w:left="0" w:firstLine="0"/>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 xml:space="preserve">La </w:t>
      </w:r>
      <w:r w:rsidRPr="00F33E35">
        <w:rPr>
          <w:rFonts w:ascii="Times New Roman" w:eastAsia="Times New Roman" w:hAnsi="Times New Roman" w:cs="Times New Roman"/>
          <w:b/>
          <w:bCs/>
          <w:i/>
          <w:iCs/>
          <w:sz w:val="28"/>
          <w:szCs w:val="28"/>
          <w:lang w:eastAsia="es-ES"/>
        </w:rPr>
        <w:t>claridad</w:t>
      </w:r>
      <w:r w:rsidRPr="00F33E35">
        <w:rPr>
          <w:rFonts w:ascii="Times New Roman" w:eastAsia="Times New Roman" w:hAnsi="Times New Roman" w:cs="Times New Roman"/>
          <w:sz w:val="28"/>
          <w:szCs w:val="28"/>
          <w:lang w:eastAsia="es-ES"/>
        </w:rPr>
        <w:t xml:space="preserve"> c</w:t>
      </w:r>
      <w:r w:rsidRPr="00F33E35">
        <w:rPr>
          <w:rFonts w:ascii="Times New Roman" w:eastAsia="Times New Roman" w:hAnsi="Times New Roman" w:cs="Times New Roman"/>
          <w:sz w:val="28"/>
          <w:szCs w:val="28"/>
          <w:lang w:eastAsia="es-ES"/>
        </w:rPr>
        <w:t>onstituye una condición indispensable del debate público que se impulsa con la presentación de una demanda de inconstitucionalidad. Tal adjetivo comprende, prim</w:t>
      </w:r>
      <w:r w:rsidRPr="00F33E35">
        <w:rPr>
          <w:rFonts w:ascii="Times New Roman" w:eastAsia="Times New Roman" w:hAnsi="Times New Roman" w:cs="Times New Roman"/>
          <w:sz w:val="28"/>
          <w:szCs w:val="28"/>
          <w:lang w:eastAsia="es-ES"/>
        </w:rPr>
        <w:t xml:space="preserve">ero, el uso del lenguaje y, segundo, el modo en que se presentan los argumentos. Exige entonces (i) que las palabras empleadas para formular los argumentos sean </w:t>
      </w:r>
      <w:r w:rsidRPr="00F33E35">
        <w:rPr>
          <w:rFonts w:ascii="Times New Roman" w:hAnsi="Times New Roman" w:cs="Times New Roman"/>
          <w:sz w:val="28"/>
          <w:szCs w:val="28"/>
        </w:rPr>
        <w:t xml:space="preserve">inteligibles o comprensibles y (ii) que la </w:t>
      </w:r>
      <w:r w:rsidRPr="00F33E35">
        <w:rPr>
          <w:rFonts w:ascii="Times New Roman" w:hAnsi="Times New Roman" w:cs="Times New Roman"/>
          <w:sz w:val="28"/>
          <w:szCs w:val="28"/>
        </w:rPr>
        <w:t>presentación de los argumentos tenga un orden que ha</w:t>
      </w:r>
      <w:r w:rsidRPr="00F33E35">
        <w:rPr>
          <w:rFonts w:ascii="Times New Roman" w:hAnsi="Times New Roman" w:cs="Times New Roman"/>
          <w:sz w:val="28"/>
          <w:szCs w:val="28"/>
        </w:rPr>
        <w:t>ga posible identificar su alcance y propósito. En esa dirección, la Corte ha destacado que si bien no se requiere una exposición erudita o técnica, la impugnación si debe</w:t>
      </w:r>
      <w:r w:rsidRPr="00F33E35">
        <w:rPr>
          <w:rFonts w:ascii="Times New Roman" w:hAnsi="Times New Roman" w:cs="Times New Roman"/>
          <w:sz w:val="28"/>
          <w:szCs w:val="28"/>
          <w:shd w:val="clear" w:color="auto" w:fill="FFFFFF"/>
        </w:rPr>
        <w:t xml:space="preserve"> “seguir un hilo conductor en la argumentación que permita al lector comprender el contenido de su demanda y las justificaciones en las que se basa”</w:t>
      </w:r>
      <w:r w:rsidRPr="00F33E35">
        <w:rPr>
          <w:rStyle w:val="Refdenotaalpie"/>
          <w:rFonts w:ascii="Times New Roman" w:hAnsi="Times New Roman" w:cs="Times New Roman"/>
          <w:sz w:val="28"/>
          <w:szCs w:val="28"/>
          <w:shd w:val="clear" w:color="auto" w:fill="FFFFFF"/>
        </w:rPr>
        <w:footnoteReference w:id="98"/>
      </w:r>
      <w:r w:rsidRPr="00F33E35">
        <w:rPr>
          <w:rFonts w:ascii="Times New Roman" w:hAnsi="Times New Roman" w:cs="Times New Roman"/>
          <w:sz w:val="28"/>
          <w:szCs w:val="28"/>
          <w:shd w:val="clear" w:color="auto" w:fill="FFFFFF"/>
        </w:rPr>
        <w:t>. Este requisito se incumple, por ejemplo, cuando (a) el lenguaje de la demanda es incomprensible por razon</w:t>
      </w:r>
      <w:r w:rsidRPr="00F33E35">
        <w:rPr>
          <w:rFonts w:ascii="Times New Roman" w:hAnsi="Times New Roman" w:cs="Times New Roman"/>
          <w:sz w:val="28"/>
          <w:szCs w:val="28"/>
          <w:shd w:val="clear" w:color="auto" w:fill="FFFFFF"/>
        </w:rPr>
        <w:t>es semánticas</w:t>
      </w:r>
      <w:r w:rsidRPr="00F33E35">
        <w:rPr>
          <w:rFonts w:ascii="Times New Roman" w:hAnsi="Times New Roman" w:cs="Times New Roman"/>
          <w:sz w:val="28"/>
          <w:szCs w:val="28"/>
          <w:shd w:val="clear" w:color="auto" w:fill="FFFFFF"/>
        </w:rPr>
        <w:t xml:space="preserve"> o sintácticas; (b) los argumentos presentados son circulares</w:t>
      </w:r>
      <w:r w:rsidRPr="00F33E35">
        <w:rPr>
          <w:rStyle w:val="Refdenotaalpie"/>
          <w:rFonts w:ascii="Times New Roman" w:hAnsi="Times New Roman" w:cs="Times New Roman"/>
          <w:sz w:val="28"/>
          <w:szCs w:val="28"/>
          <w:shd w:val="clear" w:color="auto" w:fill="FFFFFF"/>
        </w:rPr>
        <w:footnoteReference w:id="99"/>
      </w:r>
      <w:r w:rsidRPr="00F33E35">
        <w:rPr>
          <w:rFonts w:ascii="Times New Roman" w:hAnsi="Times New Roman" w:cs="Times New Roman"/>
          <w:sz w:val="28"/>
          <w:szCs w:val="28"/>
          <w:shd w:val="clear" w:color="auto" w:fill="FFFFFF"/>
        </w:rPr>
        <w:t xml:space="preserve"> o contradictorios</w:t>
      </w:r>
      <w:r w:rsidRPr="00F33E35">
        <w:rPr>
          <w:rStyle w:val="Refdenotaalpie"/>
          <w:rFonts w:ascii="Times New Roman" w:hAnsi="Times New Roman" w:cs="Times New Roman"/>
          <w:sz w:val="28"/>
          <w:szCs w:val="28"/>
          <w:shd w:val="clear" w:color="auto" w:fill="FFFFFF"/>
        </w:rPr>
        <w:footnoteReference w:id="100"/>
      </w:r>
      <w:r w:rsidRPr="00F33E35">
        <w:rPr>
          <w:rFonts w:ascii="Times New Roman" w:hAnsi="Times New Roman" w:cs="Times New Roman"/>
          <w:sz w:val="28"/>
          <w:szCs w:val="28"/>
          <w:shd w:val="clear" w:color="auto" w:fill="FFFFFF"/>
        </w:rPr>
        <w:t>; o (c) no es posible identificar exactamente el alcance o el sentido de lo pretendido</w:t>
      </w:r>
      <w:r w:rsidRPr="00F33E35">
        <w:rPr>
          <w:rStyle w:val="Refdenotaalpie"/>
          <w:rFonts w:ascii="Times New Roman" w:hAnsi="Times New Roman" w:cs="Times New Roman"/>
          <w:sz w:val="28"/>
          <w:szCs w:val="28"/>
          <w:shd w:val="clear" w:color="auto" w:fill="FFFFFF"/>
        </w:rPr>
        <w:footnoteReference w:id="101"/>
      </w:r>
      <w:r w:rsidRPr="00F33E35">
        <w:rPr>
          <w:rFonts w:ascii="Times New Roman" w:hAnsi="Times New Roman" w:cs="Times New Roman"/>
          <w:sz w:val="28"/>
          <w:szCs w:val="28"/>
          <w:shd w:val="clear" w:color="auto" w:fill="FFFFFF"/>
        </w:rPr>
        <w:t xml:space="preserve">.   </w:t>
      </w:r>
    </w:p>
    <w:p w:rsidR="004B0800" w:rsidRPr="00F33E35" w:rsidRDefault="00F33E35" w:rsidP="004B0800">
      <w:pPr>
        <w:pStyle w:val="Sinespaciado"/>
        <w:tabs>
          <w:tab w:val="left" w:pos="426"/>
        </w:tabs>
        <w:jc w:val="both"/>
        <w:rPr>
          <w:rFonts w:ascii="Times New Roman" w:hAnsi="Times New Roman" w:cs="Times New Roman"/>
          <w:snapToGrid w:val="0"/>
          <w:sz w:val="28"/>
          <w:szCs w:val="28"/>
          <w:lang w:val="es-ES" w:eastAsia="es-ES"/>
        </w:rPr>
      </w:pPr>
    </w:p>
    <w:p w:rsidR="00A60F6C" w:rsidRPr="00F33E35" w:rsidRDefault="00F33E35" w:rsidP="00884855">
      <w:pPr>
        <w:pStyle w:val="Sinespaciado"/>
        <w:numPr>
          <w:ilvl w:val="0"/>
          <w:numId w:val="3"/>
        </w:numPr>
        <w:tabs>
          <w:tab w:val="left" w:pos="426"/>
        </w:tabs>
        <w:ind w:left="0" w:firstLine="0"/>
        <w:jc w:val="both"/>
        <w:rPr>
          <w:rFonts w:ascii="Times New Roman" w:hAnsi="Times New Roman" w:cs="Times New Roman"/>
          <w:snapToGrid w:val="0"/>
          <w:sz w:val="28"/>
          <w:szCs w:val="28"/>
          <w:lang w:val="es-ES" w:eastAsia="es-ES"/>
        </w:rPr>
      </w:pPr>
      <w:r w:rsidRPr="00F33E35">
        <w:rPr>
          <w:rFonts w:ascii="Times New Roman" w:eastAsia="Times New Roman" w:hAnsi="Times New Roman" w:cs="Times New Roman"/>
          <w:sz w:val="28"/>
          <w:szCs w:val="28"/>
          <w:lang w:eastAsia="es-ES"/>
        </w:rPr>
        <w:t xml:space="preserve">La </w:t>
      </w:r>
      <w:r w:rsidRPr="00F33E35">
        <w:rPr>
          <w:rFonts w:ascii="Times New Roman" w:eastAsia="Times New Roman" w:hAnsi="Times New Roman" w:cs="Times New Roman"/>
          <w:b/>
          <w:i/>
          <w:sz w:val="28"/>
          <w:szCs w:val="28"/>
          <w:lang w:eastAsia="es-ES"/>
        </w:rPr>
        <w:t>certeza</w:t>
      </w:r>
      <w:r w:rsidRPr="00F33E35">
        <w:rPr>
          <w:rFonts w:ascii="Times New Roman" w:eastAsia="Times New Roman" w:hAnsi="Times New Roman" w:cs="Times New Roman"/>
          <w:sz w:val="28"/>
          <w:szCs w:val="28"/>
          <w:lang w:eastAsia="es-ES"/>
        </w:rPr>
        <w:t xml:space="preserve"> tiene como propósito establecer si, en realidad, pertenece</w:t>
      </w:r>
      <w:r w:rsidRPr="00F33E35">
        <w:rPr>
          <w:rFonts w:ascii="Times New Roman" w:eastAsia="Times New Roman" w:hAnsi="Times New Roman" w:cs="Times New Roman"/>
          <w:sz w:val="28"/>
          <w:szCs w:val="28"/>
          <w:lang w:eastAsia="es-ES"/>
        </w:rPr>
        <w:t xml:space="preserve"> al ordenamiento jurídico el objeto respecto del cual el demandante le solicita a la Corte un pronunciamiento. A este requerimiento se anuda la carga de demostrar que es razonable -a partir de estándares básicos de interpretación- derivar de una disposició</w:t>
      </w:r>
      <w:r w:rsidRPr="00F33E35">
        <w:rPr>
          <w:rFonts w:ascii="Times New Roman" w:eastAsia="Times New Roman" w:hAnsi="Times New Roman" w:cs="Times New Roman"/>
          <w:sz w:val="28"/>
          <w:szCs w:val="28"/>
          <w:lang w:eastAsia="es-ES"/>
        </w:rPr>
        <w:t>n vigente, el significado normativo -norma- cuya constitucionalidad se cuestiona, de modo que “</w:t>
      </w:r>
      <w:r w:rsidRPr="00F33E35">
        <w:rPr>
          <w:rFonts w:ascii="Times New Roman" w:eastAsia="Times New Roman" w:hAnsi="Times New Roman" w:cs="Times New Roman"/>
          <w:sz w:val="28"/>
          <w:szCs w:val="28"/>
          <w:bdr w:val="none" w:sz="0" w:space="0" w:color="auto" w:frame="1"/>
        </w:rPr>
        <w:t>la interpretación que se acusa debe ser plausible y además debe desprenderse del enunciado normativo acusado”</w:t>
      </w:r>
      <w:r w:rsidRPr="00F33E35">
        <w:rPr>
          <w:rStyle w:val="Refdenotaalpie"/>
          <w:rFonts w:ascii="Times New Roman" w:eastAsia="Times New Roman" w:hAnsi="Times New Roman" w:cs="Times New Roman"/>
          <w:sz w:val="28"/>
          <w:szCs w:val="28"/>
          <w:bdr w:val="none" w:sz="0" w:space="0" w:color="auto" w:frame="1"/>
        </w:rPr>
        <w:footnoteReference w:id="102"/>
      </w:r>
      <w:r w:rsidRPr="00F33E35">
        <w:rPr>
          <w:rFonts w:ascii="Times New Roman" w:eastAsia="Times New Roman" w:hAnsi="Times New Roman" w:cs="Times New Roman"/>
          <w:sz w:val="28"/>
          <w:szCs w:val="28"/>
          <w:bdr w:val="none" w:sz="0" w:space="0" w:color="auto" w:frame="1"/>
        </w:rPr>
        <w:t>.</w:t>
      </w:r>
      <w:r w:rsidRPr="00F33E35">
        <w:rPr>
          <w:rFonts w:ascii="Times New Roman" w:eastAsia="Times New Roman" w:hAnsi="Times New Roman" w:cs="Times New Roman"/>
          <w:sz w:val="28"/>
          <w:szCs w:val="28"/>
          <w:lang w:eastAsia="es-ES"/>
        </w:rPr>
        <w:t xml:space="preserve"> En ese sentido es indispensable </w:t>
      </w:r>
      <w:r w:rsidRPr="00F33E35">
        <w:rPr>
          <w:rFonts w:ascii="Times New Roman" w:hAnsi="Times New Roman" w:cs="Times New Roman"/>
          <w:sz w:val="28"/>
          <w:szCs w:val="28"/>
          <w:shd w:val="clear" w:color="auto" w:fill="FFFFFF"/>
        </w:rPr>
        <w:t xml:space="preserve">“que la demanda </w:t>
      </w:r>
      <w:r w:rsidRPr="00F33E35">
        <w:rPr>
          <w:rFonts w:ascii="Times New Roman" w:hAnsi="Times New Roman" w:cs="Times New Roman"/>
          <w:sz w:val="28"/>
          <w:szCs w:val="28"/>
          <w:shd w:val="clear" w:color="auto" w:fill="FFFFFF"/>
        </w:rPr>
        <w:t>recaiga sobre una proposición jurídica real y existente</w:t>
      </w:r>
      <w:r w:rsidRPr="00F33E35">
        <w:rPr>
          <w:rFonts w:ascii="Times New Roman" w:hAnsi="Times New Roman" w:cs="Times New Roman"/>
          <w:sz w:val="28"/>
          <w:szCs w:val="28"/>
        </w:rPr>
        <w:t xml:space="preserve"> (…)”</w:t>
      </w:r>
      <w:r w:rsidRPr="00F33E35">
        <w:rPr>
          <w:rStyle w:val="Refdenotaalpie"/>
          <w:rFonts w:ascii="Times New Roman" w:hAnsi="Times New Roman" w:cs="Times New Roman"/>
          <w:sz w:val="28"/>
          <w:szCs w:val="28"/>
        </w:rPr>
        <w:footnoteReference w:id="103"/>
      </w:r>
      <w:r w:rsidRPr="00F33E35">
        <w:rPr>
          <w:rFonts w:ascii="Times New Roman" w:hAnsi="Times New Roman" w:cs="Times New Roman"/>
          <w:sz w:val="28"/>
          <w:szCs w:val="28"/>
          <w:shd w:val="clear" w:color="auto" w:fill="FFFFFF"/>
        </w:rPr>
        <w:t> “y no simplemente [sobre una] deducida por el actor, o implícita</w:t>
      </w:r>
      <w:r w:rsidRPr="00F33E35">
        <w:rPr>
          <w:rFonts w:ascii="Times New Roman" w:hAnsi="Times New Roman" w:cs="Times New Roman"/>
          <w:sz w:val="28"/>
          <w:szCs w:val="28"/>
        </w:rPr>
        <w:t xml:space="preserve"> (…)</w:t>
      </w:r>
      <w:r w:rsidRPr="00F33E35">
        <w:rPr>
          <w:rFonts w:ascii="Times New Roman" w:hAnsi="Times New Roman" w:cs="Times New Roman"/>
          <w:sz w:val="28"/>
          <w:szCs w:val="28"/>
          <w:shd w:val="clear" w:color="auto" w:fill="FFFFFF"/>
        </w:rPr>
        <w:t> e incluso sobre otras normas vigentes que, en todo caso, no son el objeto concreto de la demanda</w:t>
      </w:r>
      <w:r w:rsidRPr="00F33E35">
        <w:rPr>
          <w:rFonts w:ascii="Times New Roman" w:hAnsi="Times New Roman" w:cs="Times New Roman"/>
          <w:sz w:val="28"/>
          <w:szCs w:val="28"/>
        </w:rPr>
        <w:t>”</w:t>
      </w:r>
      <w:r w:rsidRPr="00F33E35">
        <w:rPr>
          <w:rStyle w:val="Refdenotaalpie"/>
          <w:rFonts w:ascii="Times New Roman" w:hAnsi="Times New Roman" w:cs="Times New Roman"/>
          <w:sz w:val="28"/>
          <w:szCs w:val="28"/>
        </w:rPr>
        <w:footnoteReference w:id="104"/>
      </w:r>
      <w:r w:rsidRPr="00F33E35">
        <w:rPr>
          <w:rFonts w:ascii="Times New Roman" w:hAnsi="Times New Roman" w:cs="Times New Roman"/>
          <w:sz w:val="28"/>
          <w:szCs w:val="28"/>
          <w:shd w:val="clear" w:color="auto" w:fill="FFFFFF"/>
        </w:rPr>
        <w:t>.</w:t>
      </w:r>
    </w:p>
    <w:p w:rsidR="00884855" w:rsidRPr="00F33E35" w:rsidRDefault="00F33E35" w:rsidP="00B72E11">
      <w:pPr>
        <w:pStyle w:val="Sinespaciado"/>
        <w:tabs>
          <w:tab w:val="left" w:pos="426"/>
        </w:tabs>
        <w:jc w:val="both"/>
        <w:rPr>
          <w:rFonts w:ascii="Times New Roman" w:hAnsi="Times New Roman" w:cs="Times New Roman"/>
          <w:sz w:val="28"/>
          <w:szCs w:val="28"/>
          <w:shd w:val="clear" w:color="auto" w:fill="FFFFFF"/>
        </w:rPr>
      </w:pPr>
    </w:p>
    <w:p w:rsidR="004B0800" w:rsidRPr="00F33E35" w:rsidRDefault="00F33E35" w:rsidP="00884855">
      <w:pPr>
        <w:pStyle w:val="Sinespaciado"/>
        <w:numPr>
          <w:ilvl w:val="0"/>
          <w:numId w:val="3"/>
        </w:numPr>
        <w:tabs>
          <w:tab w:val="left" w:pos="426"/>
        </w:tabs>
        <w:ind w:left="0" w:firstLine="0"/>
        <w:jc w:val="both"/>
        <w:rPr>
          <w:rFonts w:ascii="Times New Roman" w:hAnsi="Times New Roman" w:cs="Times New Roman"/>
          <w:snapToGrid w:val="0"/>
          <w:sz w:val="28"/>
          <w:szCs w:val="28"/>
          <w:lang w:val="es-ES" w:eastAsia="es-ES"/>
        </w:rPr>
      </w:pPr>
      <w:r w:rsidRPr="00F33E35">
        <w:rPr>
          <w:rFonts w:ascii="Times New Roman" w:hAnsi="Times New Roman" w:cs="Times New Roman"/>
          <w:sz w:val="28"/>
          <w:szCs w:val="28"/>
          <w:shd w:val="clear" w:color="auto" w:fill="FFFFFF"/>
        </w:rPr>
        <w:t>Además de los casos gene</w:t>
      </w:r>
      <w:r w:rsidRPr="00F33E35">
        <w:rPr>
          <w:rFonts w:ascii="Times New Roman" w:hAnsi="Times New Roman" w:cs="Times New Roman"/>
          <w:sz w:val="28"/>
          <w:szCs w:val="28"/>
          <w:shd w:val="clear" w:color="auto" w:fill="FFFFFF"/>
        </w:rPr>
        <w:t>rales en los que la Corte constata que la interpretación del demandante es el resultado de una interpretación subjetiva o carente de cualquier apoyo hermenéutico</w:t>
      </w:r>
      <w:r w:rsidRPr="00F33E35">
        <w:rPr>
          <w:rStyle w:val="Refdenotaalpie"/>
          <w:rFonts w:ascii="Times New Roman" w:hAnsi="Times New Roman" w:cs="Times New Roman"/>
          <w:sz w:val="28"/>
          <w:szCs w:val="28"/>
          <w:shd w:val="clear" w:color="auto" w:fill="FFFFFF"/>
        </w:rPr>
        <w:footnoteReference w:id="105"/>
      </w:r>
      <w:r w:rsidRPr="00F33E35">
        <w:rPr>
          <w:rFonts w:ascii="Times New Roman" w:hAnsi="Times New Roman" w:cs="Times New Roman"/>
          <w:sz w:val="28"/>
          <w:szCs w:val="28"/>
          <w:shd w:val="clear" w:color="auto" w:fill="FFFFFF"/>
        </w:rPr>
        <w:t>, ha encontrado insatisfecho este requisito cuando</w:t>
      </w:r>
      <w:r w:rsidRPr="00F33E35">
        <w:rPr>
          <w:rFonts w:ascii="Times New Roman" w:hAnsi="Times New Roman" w:cs="Times New Roman"/>
          <w:sz w:val="28"/>
          <w:szCs w:val="28"/>
          <w:shd w:val="clear" w:color="auto" w:fill="FFFFFF"/>
        </w:rPr>
        <w:t>:</w:t>
      </w:r>
    </w:p>
    <w:p w:rsidR="004B0800" w:rsidRPr="00F33E35" w:rsidRDefault="00F33E35" w:rsidP="004B0800">
      <w:pPr>
        <w:pStyle w:val="Prrafodelista"/>
        <w:rPr>
          <w:rFonts w:ascii="Times New Roman" w:hAnsi="Times New Roman" w:cs="Times New Roman"/>
          <w:sz w:val="28"/>
          <w:szCs w:val="28"/>
          <w:shd w:val="clear" w:color="auto" w:fill="FFFFFF"/>
        </w:rPr>
      </w:pPr>
    </w:p>
    <w:p w:rsidR="004B0800" w:rsidRPr="00F33E35" w:rsidRDefault="00F33E35" w:rsidP="004B0800">
      <w:pPr>
        <w:pStyle w:val="Prrafodelista"/>
        <w:numPr>
          <w:ilvl w:val="0"/>
          <w:numId w:val="6"/>
        </w:numPr>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 </w:t>
      </w:r>
      <w:r w:rsidRPr="00F33E35">
        <w:rPr>
          <w:rFonts w:ascii="Times New Roman" w:hAnsi="Times New Roman" w:cs="Times New Roman"/>
          <w:sz w:val="28"/>
          <w:szCs w:val="28"/>
          <w:shd w:val="clear" w:color="auto" w:fill="FFFFFF"/>
        </w:rPr>
        <w:t>S</w:t>
      </w:r>
      <w:r w:rsidRPr="00F33E35">
        <w:rPr>
          <w:rFonts w:ascii="Times New Roman" w:hAnsi="Times New Roman" w:cs="Times New Roman"/>
          <w:sz w:val="28"/>
          <w:szCs w:val="28"/>
          <w:shd w:val="clear" w:color="auto" w:fill="FFFFFF"/>
        </w:rPr>
        <w:t xml:space="preserve">e indica que un enunciado limita un </w:t>
      </w:r>
      <w:r w:rsidRPr="00F33E35">
        <w:rPr>
          <w:rFonts w:ascii="Times New Roman" w:hAnsi="Times New Roman" w:cs="Times New Roman"/>
          <w:sz w:val="28"/>
          <w:szCs w:val="28"/>
          <w:shd w:val="clear" w:color="auto" w:fill="FFFFFF"/>
        </w:rPr>
        <w:t>derecho a pesar de que la disposición únicamente regula un aspecto adjetivo del mismo (C-088 de 2014)</w:t>
      </w:r>
      <w:r w:rsidRPr="00F33E35">
        <w:rPr>
          <w:rFonts w:ascii="Times New Roman" w:hAnsi="Times New Roman" w:cs="Times New Roman"/>
          <w:sz w:val="28"/>
          <w:szCs w:val="28"/>
          <w:shd w:val="clear" w:color="auto" w:fill="FFFFFF"/>
        </w:rPr>
        <w:t>.</w:t>
      </w:r>
    </w:p>
    <w:p w:rsidR="004B0800" w:rsidRPr="00F33E35" w:rsidRDefault="00F33E35" w:rsidP="004B0800">
      <w:pPr>
        <w:pStyle w:val="Prrafodelista"/>
        <w:spacing w:after="0" w:line="240" w:lineRule="auto"/>
        <w:ind w:left="284"/>
        <w:jc w:val="both"/>
        <w:rPr>
          <w:rFonts w:ascii="Times New Roman" w:hAnsi="Times New Roman" w:cs="Times New Roman"/>
          <w:sz w:val="28"/>
          <w:szCs w:val="28"/>
          <w:shd w:val="clear" w:color="auto" w:fill="FFFFFF"/>
        </w:rPr>
      </w:pPr>
    </w:p>
    <w:p w:rsidR="004B0800" w:rsidRPr="00F33E35" w:rsidRDefault="00F33E35" w:rsidP="004B0800">
      <w:pPr>
        <w:pStyle w:val="Prrafodelista"/>
        <w:numPr>
          <w:ilvl w:val="0"/>
          <w:numId w:val="6"/>
        </w:numPr>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S</w:t>
      </w:r>
      <w:r w:rsidRPr="00F33E35">
        <w:rPr>
          <w:rFonts w:ascii="Times New Roman" w:hAnsi="Times New Roman" w:cs="Times New Roman"/>
          <w:sz w:val="28"/>
          <w:szCs w:val="28"/>
          <w:shd w:val="clear" w:color="auto" w:fill="FFFFFF"/>
        </w:rPr>
        <w:t>e afirma que una disposición establece un trato diferente sin que ello resulte así (C-1002 de 2004 y C-247 de 2017) o se afirma que ella iguala a los g</w:t>
      </w:r>
      <w:r w:rsidRPr="00F33E35">
        <w:rPr>
          <w:rFonts w:ascii="Times New Roman" w:hAnsi="Times New Roman" w:cs="Times New Roman"/>
          <w:sz w:val="28"/>
          <w:szCs w:val="28"/>
          <w:shd w:val="clear" w:color="auto" w:fill="FFFFFF"/>
        </w:rPr>
        <w:t>rupos objetos de comparación sin así desprenderse del artículo (C-343 de 2017)</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4B0800" w:rsidRPr="00F33E35" w:rsidRDefault="00F33E35" w:rsidP="004B0800">
      <w:pPr>
        <w:spacing w:after="0" w:line="240" w:lineRule="auto"/>
        <w:jc w:val="both"/>
        <w:rPr>
          <w:rFonts w:ascii="Times New Roman" w:hAnsi="Times New Roman" w:cs="Times New Roman"/>
          <w:sz w:val="28"/>
          <w:szCs w:val="28"/>
          <w:shd w:val="clear" w:color="auto" w:fill="FFFFFF"/>
        </w:rPr>
      </w:pPr>
    </w:p>
    <w:p w:rsidR="004B0800" w:rsidRPr="00F33E35" w:rsidRDefault="00F33E35" w:rsidP="004B0800">
      <w:pPr>
        <w:pStyle w:val="Prrafodelista"/>
        <w:numPr>
          <w:ilvl w:val="0"/>
          <w:numId w:val="6"/>
        </w:numPr>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 S</w:t>
      </w:r>
      <w:r w:rsidRPr="00F33E35">
        <w:rPr>
          <w:rFonts w:ascii="Times New Roman" w:hAnsi="Times New Roman" w:cs="Times New Roman"/>
          <w:sz w:val="28"/>
          <w:szCs w:val="28"/>
          <w:shd w:val="clear" w:color="auto" w:fill="FFFFFF"/>
        </w:rPr>
        <w:t>e sostiene la ocurrencia de un hecho que es contradicho a partir de información pública (C-309 de 2017)</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4B0800" w:rsidRPr="00F33E35" w:rsidRDefault="00F33E35" w:rsidP="004B0800">
      <w:pPr>
        <w:spacing w:after="0" w:line="240" w:lineRule="auto"/>
        <w:jc w:val="both"/>
        <w:rPr>
          <w:rFonts w:ascii="Times New Roman" w:hAnsi="Times New Roman" w:cs="Times New Roman"/>
          <w:sz w:val="28"/>
          <w:szCs w:val="28"/>
          <w:shd w:val="clear" w:color="auto" w:fill="FFFFFF"/>
        </w:rPr>
      </w:pPr>
    </w:p>
    <w:p w:rsidR="004B0800" w:rsidRPr="00F33E35" w:rsidRDefault="00F33E35" w:rsidP="004B0800">
      <w:pPr>
        <w:pStyle w:val="Prrafodelista"/>
        <w:numPr>
          <w:ilvl w:val="0"/>
          <w:numId w:val="6"/>
        </w:numPr>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S</w:t>
      </w:r>
      <w:r w:rsidRPr="00F33E35">
        <w:rPr>
          <w:rFonts w:ascii="Times New Roman" w:hAnsi="Times New Roman" w:cs="Times New Roman"/>
          <w:sz w:val="28"/>
          <w:szCs w:val="28"/>
          <w:shd w:val="clear" w:color="auto" w:fill="FFFFFF"/>
        </w:rPr>
        <w:t xml:space="preserve">e atribuye a una reforma constitucional un contenido normativo </w:t>
      </w:r>
      <w:r w:rsidRPr="00F33E35">
        <w:rPr>
          <w:rFonts w:ascii="Times New Roman" w:hAnsi="Times New Roman" w:cs="Times New Roman"/>
          <w:sz w:val="28"/>
          <w:szCs w:val="28"/>
          <w:shd w:val="clear" w:color="auto" w:fill="FFFFFF"/>
        </w:rPr>
        <w:t>que no tiene y a partir de ello se afirma la posible sustitución de un eje definitorio de la Carta (C-470 de 2013)</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4B0800" w:rsidRPr="00F33E35" w:rsidRDefault="00F33E35" w:rsidP="004B0800">
      <w:pPr>
        <w:spacing w:after="0" w:line="240" w:lineRule="auto"/>
        <w:jc w:val="both"/>
        <w:rPr>
          <w:rFonts w:ascii="Times New Roman" w:hAnsi="Times New Roman" w:cs="Times New Roman"/>
          <w:sz w:val="28"/>
          <w:szCs w:val="28"/>
          <w:shd w:val="clear" w:color="auto" w:fill="FFFFFF"/>
        </w:rPr>
      </w:pPr>
    </w:p>
    <w:p w:rsidR="004B0800" w:rsidRPr="00F33E35" w:rsidRDefault="00F33E35" w:rsidP="004B0800">
      <w:pPr>
        <w:pStyle w:val="Prrafodelista"/>
        <w:numPr>
          <w:ilvl w:val="0"/>
          <w:numId w:val="6"/>
        </w:numPr>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S</w:t>
      </w:r>
      <w:r w:rsidRPr="00F33E35">
        <w:rPr>
          <w:rFonts w:ascii="Times New Roman" w:hAnsi="Times New Roman" w:cs="Times New Roman"/>
          <w:sz w:val="28"/>
          <w:szCs w:val="28"/>
          <w:shd w:val="clear" w:color="auto" w:fill="FFFFFF"/>
        </w:rPr>
        <w:t xml:space="preserve">e alega la ocurrencia de un defecto en el trámite de aprobación de una ley pero no se acredita el hecho que lo constituye (C-076 de 2012 </w:t>
      </w:r>
      <w:r w:rsidRPr="00F33E35">
        <w:rPr>
          <w:rFonts w:ascii="Times New Roman" w:hAnsi="Times New Roman" w:cs="Times New Roman"/>
          <w:sz w:val="28"/>
          <w:szCs w:val="28"/>
          <w:shd w:val="clear" w:color="auto" w:fill="FFFFFF"/>
        </w:rPr>
        <w:t>y C-044 de 2017)</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884855" w:rsidRPr="00F33E35" w:rsidRDefault="00F33E35" w:rsidP="00884855">
      <w:pPr>
        <w:spacing w:after="0" w:line="240" w:lineRule="auto"/>
        <w:jc w:val="both"/>
        <w:rPr>
          <w:rFonts w:ascii="Times New Roman" w:hAnsi="Times New Roman" w:cs="Times New Roman"/>
          <w:sz w:val="28"/>
          <w:szCs w:val="28"/>
          <w:shd w:val="clear" w:color="auto" w:fill="FFFFFF"/>
        </w:rPr>
      </w:pPr>
    </w:p>
    <w:p w:rsidR="004B0800" w:rsidRPr="00F33E35" w:rsidRDefault="00F33E35" w:rsidP="004B0800">
      <w:pPr>
        <w:pStyle w:val="Prrafodelista"/>
        <w:numPr>
          <w:ilvl w:val="0"/>
          <w:numId w:val="6"/>
        </w:numPr>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 S</w:t>
      </w:r>
      <w:r w:rsidRPr="00F33E35">
        <w:rPr>
          <w:rFonts w:ascii="Times New Roman" w:hAnsi="Times New Roman" w:cs="Times New Roman"/>
          <w:sz w:val="28"/>
          <w:szCs w:val="28"/>
          <w:shd w:val="clear" w:color="auto" w:fill="FFFFFF"/>
        </w:rPr>
        <w:t>e atribuye al título de una ley una función deóntica de la que carece (C-752 de 2015)</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884855" w:rsidRPr="00F33E35" w:rsidRDefault="00F33E35" w:rsidP="00884855">
      <w:pPr>
        <w:spacing w:after="0" w:line="240" w:lineRule="auto"/>
        <w:jc w:val="both"/>
        <w:rPr>
          <w:rFonts w:ascii="Times New Roman" w:hAnsi="Times New Roman" w:cs="Times New Roman"/>
          <w:sz w:val="28"/>
          <w:szCs w:val="28"/>
          <w:shd w:val="clear" w:color="auto" w:fill="FFFFFF"/>
        </w:rPr>
      </w:pPr>
    </w:p>
    <w:p w:rsidR="004B0800" w:rsidRPr="00F33E35" w:rsidRDefault="00F33E35" w:rsidP="00884855">
      <w:pPr>
        <w:pStyle w:val="Prrafodelista"/>
        <w:numPr>
          <w:ilvl w:val="0"/>
          <w:numId w:val="6"/>
        </w:numPr>
        <w:tabs>
          <w:tab w:val="left" w:pos="993"/>
        </w:tabs>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S</w:t>
      </w:r>
      <w:r w:rsidRPr="00F33E35">
        <w:rPr>
          <w:rFonts w:ascii="Times New Roman" w:hAnsi="Times New Roman" w:cs="Times New Roman"/>
          <w:sz w:val="28"/>
          <w:szCs w:val="28"/>
          <w:shd w:val="clear" w:color="auto" w:fill="FFFFFF"/>
        </w:rPr>
        <w:t xml:space="preserve">e cuestiona la interpretación de una autoridad administrativa -apoyándose en la doctrina del derecho viviente- a pesar de que dicha </w:t>
      </w:r>
      <w:r w:rsidRPr="00F33E35">
        <w:rPr>
          <w:rFonts w:ascii="Times New Roman" w:hAnsi="Times New Roman" w:cs="Times New Roman"/>
          <w:sz w:val="28"/>
          <w:szCs w:val="28"/>
          <w:shd w:val="clear" w:color="auto" w:fill="FFFFFF"/>
        </w:rPr>
        <w:t>interpretación tiene su origen en una disposición cuyo control no es competencia de la Corte (C-136 de 2017)</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884855" w:rsidRPr="00F33E35" w:rsidRDefault="00F33E35" w:rsidP="00884855">
      <w:pPr>
        <w:tabs>
          <w:tab w:val="left" w:pos="993"/>
        </w:tabs>
        <w:spacing w:after="0" w:line="240" w:lineRule="auto"/>
        <w:jc w:val="both"/>
        <w:rPr>
          <w:rFonts w:ascii="Times New Roman" w:hAnsi="Times New Roman" w:cs="Times New Roman"/>
          <w:sz w:val="28"/>
          <w:szCs w:val="28"/>
          <w:shd w:val="clear" w:color="auto" w:fill="FFFFFF"/>
        </w:rPr>
      </w:pPr>
    </w:p>
    <w:p w:rsidR="00884855" w:rsidRPr="00F33E35" w:rsidRDefault="00F33E35" w:rsidP="00884855">
      <w:pPr>
        <w:pStyle w:val="Prrafodelista"/>
        <w:numPr>
          <w:ilvl w:val="0"/>
          <w:numId w:val="6"/>
        </w:numPr>
        <w:tabs>
          <w:tab w:val="left" w:pos="1134"/>
        </w:tabs>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L</w:t>
      </w:r>
      <w:r w:rsidRPr="00F33E35">
        <w:rPr>
          <w:rFonts w:ascii="Times New Roman" w:hAnsi="Times New Roman" w:cs="Times New Roman"/>
          <w:sz w:val="28"/>
          <w:szCs w:val="28"/>
          <w:shd w:val="clear" w:color="auto" w:fill="FFFFFF"/>
        </w:rPr>
        <w:t>a acusación se apoya en una inferencia del demandante acerca de los efectos que a lo largo del tiempo ha tenido una disposición (C-087 de 2018)</w:t>
      </w:r>
      <w:r w:rsidRPr="00F33E35">
        <w:rPr>
          <w:rFonts w:ascii="Times New Roman" w:hAnsi="Times New Roman" w:cs="Times New Roman"/>
          <w:sz w:val="28"/>
          <w:szCs w:val="28"/>
          <w:shd w:val="clear" w:color="auto" w:fill="FFFFFF"/>
        </w:rPr>
        <w:t>.</w:t>
      </w:r>
    </w:p>
    <w:p w:rsidR="00884855" w:rsidRPr="00F33E35" w:rsidRDefault="00F33E35" w:rsidP="00884855">
      <w:pPr>
        <w:pStyle w:val="Prrafodelista"/>
        <w:rPr>
          <w:rFonts w:ascii="Times New Roman" w:hAnsi="Times New Roman" w:cs="Times New Roman"/>
          <w:sz w:val="28"/>
          <w:szCs w:val="28"/>
          <w:shd w:val="clear" w:color="auto" w:fill="FFFFFF"/>
        </w:rPr>
      </w:pPr>
    </w:p>
    <w:p w:rsidR="00884855" w:rsidRPr="00F33E35" w:rsidRDefault="00F33E35" w:rsidP="00884855">
      <w:pPr>
        <w:pStyle w:val="Prrafodelista"/>
        <w:numPr>
          <w:ilvl w:val="0"/>
          <w:numId w:val="6"/>
        </w:numPr>
        <w:tabs>
          <w:tab w:val="left" w:pos="851"/>
        </w:tabs>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S</w:t>
      </w:r>
      <w:r w:rsidRPr="00F33E35">
        <w:rPr>
          <w:rFonts w:ascii="Times New Roman" w:hAnsi="Times New Roman" w:cs="Times New Roman"/>
          <w:sz w:val="28"/>
          <w:szCs w:val="28"/>
          <w:shd w:val="clear" w:color="auto" w:fill="FFFFFF"/>
        </w:rPr>
        <w:t>e plantea una interpretación aislada de la expresión acusada que no tiene en cuenta el contexto normativo en el que se inserta (C-231 de 2016)</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884855" w:rsidRPr="00F33E35" w:rsidRDefault="00F33E35" w:rsidP="00884855">
      <w:pPr>
        <w:pStyle w:val="Prrafodelista"/>
        <w:rPr>
          <w:rFonts w:ascii="Times New Roman" w:hAnsi="Times New Roman" w:cs="Times New Roman"/>
          <w:sz w:val="28"/>
          <w:szCs w:val="28"/>
          <w:shd w:val="clear" w:color="auto" w:fill="FFFFFF"/>
        </w:rPr>
      </w:pPr>
    </w:p>
    <w:p w:rsidR="004B0800" w:rsidRPr="00F33E35" w:rsidRDefault="00F33E35" w:rsidP="00884855">
      <w:pPr>
        <w:pStyle w:val="Prrafodelista"/>
        <w:numPr>
          <w:ilvl w:val="0"/>
          <w:numId w:val="6"/>
        </w:numPr>
        <w:tabs>
          <w:tab w:val="left" w:pos="851"/>
          <w:tab w:val="left" w:pos="1134"/>
        </w:tabs>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S</w:t>
      </w:r>
      <w:r w:rsidRPr="00F33E35">
        <w:rPr>
          <w:rFonts w:ascii="Times New Roman" w:hAnsi="Times New Roman" w:cs="Times New Roman"/>
          <w:sz w:val="28"/>
          <w:szCs w:val="28"/>
          <w:shd w:val="clear" w:color="auto" w:fill="FFFFFF"/>
        </w:rPr>
        <w:t xml:space="preserve">e deriva de la disposición que establece un régimen de protección para un grupo, una regla que excluye a </w:t>
      </w:r>
      <w:r w:rsidRPr="00F33E35">
        <w:rPr>
          <w:rFonts w:ascii="Times New Roman" w:hAnsi="Times New Roman" w:cs="Times New Roman"/>
          <w:sz w:val="28"/>
          <w:szCs w:val="28"/>
          <w:shd w:val="clear" w:color="auto" w:fill="FFFFFF"/>
        </w:rPr>
        <w:t>los demás grupos de cualquier protección (C-694 de 2015)</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884855" w:rsidRPr="00F33E35" w:rsidRDefault="00F33E35" w:rsidP="00884855">
      <w:pPr>
        <w:tabs>
          <w:tab w:val="left" w:pos="1134"/>
        </w:tabs>
        <w:spacing w:after="0" w:line="240" w:lineRule="auto"/>
        <w:jc w:val="both"/>
        <w:rPr>
          <w:rFonts w:ascii="Times New Roman" w:hAnsi="Times New Roman" w:cs="Times New Roman"/>
          <w:sz w:val="28"/>
          <w:szCs w:val="28"/>
          <w:shd w:val="clear" w:color="auto" w:fill="FFFFFF"/>
        </w:rPr>
      </w:pPr>
    </w:p>
    <w:p w:rsidR="00884855" w:rsidRPr="00F33E35" w:rsidRDefault="00F33E35" w:rsidP="004B0800">
      <w:pPr>
        <w:pStyle w:val="Prrafodelista"/>
        <w:numPr>
          <w:ilvl w:val="0"/>
          <w:numId w:val="6"/>
        </w:numPr>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 S</w:t>
      </w:r>
      <w:r w:rsidRPr="00F33E35">
        <w:rPr>
          <w:rFonts w:ascii="Times New Roman" w:hAnsi="Times New Roman" w:cs="Times New Roman"/>
          <w:sz w:val="28"/>
          <w:szCs w:val="28"/>
          <w:shd w:val="clear" w:color="auto" w:fill="FFFFFF"/>
        </w:rPr>
        <w:t>e asigna a una expresión indeterminada consecuencias jurídicas que no se siguen de ella, sino que tienen origen en otras disposiciones (C-710 de 2012)</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884855" w:rsidRPr="00F33E35" w:rsidRDefault="00F33E35" w:rsidP="00884855">
      <w:pPr>
        <w:pStyle w:val="Prrafodelista"/>
        <w:rPr>
          <w:rFonts w:ascii="Times New Roman" w:hAnsi="Times New Roman" w:cs="Times New Roman"/>
          <w:sz w:val="28"/>
          <w:szCs w:val="28"/>
          <w:shd w:val="clear" w:color="auto" w:fill="FFFFFF"/>
        </w:rPr>
      </w:pPr>
    </w:p>
    <w:p w:rsidR="004B0800" w:rsidRPr="00F33E35" w:rsidRDefault="00F33E35" w:rsidP="00B72E11">
      <w:pPr>
        <w:pStyle w:val="Prrafodelista"/>
        <w:numPr>
          <w:ilvl w:val="0"/>
          <w:numId w:val="6"/>
        </w:numPr>
        <w:tabs>
          <w:tab w:val="left" w:pos="851"/>
        </w:tabs>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S</w:t>
      </w:r>
      <w:r w:rsidRPr="00F33E35">
        <w:rPr>
          <w:rFonts w:ascii="Times New Roman" w:hAnsi="Times New Roman" w:cs="Times New Roman"/>
          <w:sz w:val="28"/>
          <w:szCs w:val="28"/>
          <w:shd w:val="clear" w:color="auto" w:fill="FFFFFF"/>
        </w:rPr>
        <w:t>e interpretan ampliamente las atribucio</w:t>
      </w:r>
      <w:r w:rsidRPr="00F33E35">
        <w:rPr>
          <w:rFonts w:ascii="Times New Roman" w:hAnsi="Times New Roman" w:cs="Times New Roman"/>
          <w:sz w:val="28"/>
          <w:szCs w:val="28"/>
          <w:shd w:val="clear" w:color="auto" w:fill="FFFFFF"/>
        </w:rPr>
        <w:t>nes conferidas al Presidente de la República en una ley habilitante, sin que exista una razón que respalde esa comprensión (C-922 de 2007)</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884855" w:rsidRPr="00F33E35" w:rsidRDefault="00F33E35" w:rsidP="00884855">
      <w:pPr>
        <w:tabs>
          <w:tab w:val="left" w:pos="1134"/>
        </w:tabs>
        <w:spacing w:after="0" w:line="240" w:lineRule="auto"/>
        <w:jc w:val="both"/>
        <w:rPr>
          <w:rFonts w:ascii="Times New Roman" w:hAnsi="Times New Roman" w:cs="Times New Roman"/>
          <w:sz w:val="28"/>
          <w:szCs w:val="28"/>
          <w:shd w:val="clear" w:color="auto" w:fill="FFFFFF"/>
        </w:rPr>
      </w:pPr>
    </w:p>
    <w:p w:rsidR="00A82BA4" w:rsidRPr="00F33E35" w:rsidRDefault="00F33E35" w:rsidP="00884855">
      <w:pPr>
        <w:pStyle w:val="Prrafodelista"/>
        <w:numPr>
          <w:ilvl w:val="0"/>
          <w:numId w:val="6"/>
        </w:numPr>
        <w:tabs>
          <w:tab w:val="left" w:pos="851"/>
        </w:tabs>
        <w:spacing w:after="0" w:line="240" w:lineRule="auto"/>
        <w:ind w:left="284"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 </w:t>
      </w:r>
      <w:r w:rsidRPr="00F33E35">
        <w:rPr>
          <w:rFonts w:ascii="Times New Roman" w:hAnsi="Times New Roman" w:cs="Times New Roman"/>
          <w:sz w:val="28"/>
          <w:szCs w:val="28"/>
          <w:shd w:val="clear" w:color="auto" w:fill="FFFFFF"/>
        </w:rPr>
        <w:t>S</w:t>
      </w:r>
      <w:r w:rsidRPr="00F33E35">
        <w:rPr>
          <w:rFonts w:ascii="Times New Roman" w:hAnsi="Times New Roman" w:cs="Times New Roman"/>
          <w:sz w:val="28"/>
          <w:szCs w:val="28"/>
          <w:shd w:val="clear" w:color="auto" w:fill="FFFFFF"/>
        </w:rPr>
        <w:t xml:space="preserve">e presupone un silencio en el ordenamiento jurídico que en realidad no existe (C-121 de 2018 y C-156 de 2017); o se le asigna una condición jurídica equivocada a una disposición y, a partir de ello, se pretende que se le apliquen exigencias reservada a un </w:t>
      </w:r>
      <w:r w:rsidRPr="00F33E35">
        <w:rPr>
          <w:rFonts w:ascii="Times New Roman" w:hAnsi="Times New Roman" w:cs="Times New Roman"/>
          <w:sz w:val="28"/>
          <w:szCs w:val="28"/>
          <w:shd w:val="clear" w:color="auto" w:fill="FFFFFF"/>
        </w:rPr>
        <w:t xml:space="preserve">tipo específico de ley (C-316 de 2010).  </w:t>
      </w:r>
    </w:p>
    <w:p w:rsidR="00A82BA4" w:rsidRPr="00F33E35" w:rsidRDefault="00F33E35" w:rsidP="00A82BA4">
      <w:pPr>
        <w:spacing w:after="0" w:line="240" w:lineRule="auto"/>
        <w:jc w:val="both"/>
        <w:rPr>
          <w:rFonts w:ascii="Times New Roman" w:hAnsi="Times New Roman" w:cs="Times New Roman"/>
          <w:sz w:val="28"/>
          <w:szCs w:val="28"/>
          <w:shd w:val="clear" w:color="auto" w:fill="FFFFFF"/>
        </w:rPr>
      </w:pPr>
    </w:p>
    <w:p w:rsidR="00884855" w:rsidRPr="00F33E35" w:rsidRDefault="00F33E35" w:rsidP="00B72E11">
      <w:pPr>
        <w:pStyle w:val="Prrafodelista"/>
        <w:numPr>
          <w:ilvl w:val="0"/>
          <w:numId w:val="3"/>
        </w:numPr>
        <w:tabs>
          <w:tab w:val="left" w:pos="426"/>
        </w:tabs>
        <w:spacing w:after="0" w:line="240" w:lineRule="auto"/>
        <w:ind w:left="0"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Según la jurisprudencia,</w:t>
      </w:r>
      <w:r w:rsidRPr="00F33E35">
        <w:rPr>
          <w:rFonts w:ascii="Times New Roman" w:hAnsi="Times New Roman" w:cs="Times New Roman"/>
          <w:sz w:val="28"/>
          <w:szCs w:val="28"/>
          <w:shd w:val="clear" w:color="auto" w:fill="FFFFFF"/>
        </w:rPr>
        <w:t xml:space="preserve"> algunos eventos radicales de ausencia de objeto de control merecen un tratamiento diferente. En efecto, aquellos eventos en los cuales es absolutamente claro que la disposición cuestionada fue derogada -y no produce efectos- o declarada inexequible, la Co</w:t>
      </w:r>
      <w:r w:rsidRPr="00F33E35">
        <w:rPr>
          <w:rFonts w:ascii="Times New Roman" w:hAnsi="Times New Roman" w:cs="Times New Roman"/>
          <w:sz w:val="28"/>
          <w:szCs w:val="28"/>
          <w:shd w:val="clear" w:color="auto" w:fill="FFFFFF"/>
        </w:rPr>
        <w:t xml:space="preserve">rte carece –en principio- de competencia para cualquier pronunciamiento dado que no existe objeto sobre el cual pueda recaer, en el primer caso, o se ha configurado cosa juzgada formal en el segundo. </w:t>
      </w:r>
    </w:p>
    <w:p w:rsidR="00884855" w:rsidRPr="00F33E35" w:rsidRDefault="00F33E35" w:rsidP="00884855">
      <w:pPr>
        <w:pStyle w:val="Prrafodelista"/>
        <w:spacing w:after="0" w:line="240" w:lineRule="auto"/>
        <w:ind w:left="0"/>
        <w:jc w:val="both"/>
        <w:rPr>
          <w:rFonts w:ascii="Times New Roman" w:hAnsi="Times New Roman" w:cs="Times New Roman"/>
          <w:sz w:val="28"/>
          <w:szCs w:val="28"/>
          <w:shd w:val="clear" w:color="auto" w:fill="FFFFFF"/>
        </w:rPr>
      </w:pPr>
    </w:p>
    <w:p w:rsidR="00884855" w:rsidRPr="00F33E35" w:rsidRDefault="00F33E35" w:rsidP="00B72E11">
      <w:pPr>
        <w:pStyle w:val="Prrafodelista"/>
        <w:numPr>
          <w:ilvl w:val="0"/>
          <w:numId w:val="3"/>
        </w:numPr>
        <w:tabs>
          <w:tab w:val="left" w:pos="426"/>
        </w:tabs>
        <w:spacing w:after="0" w:line="240" w:lineRule="auto"/>
        <w:ind w:left="0"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La </w:t>
      </w:r>
      <w:r w:rsidRPr="00F33E35">
        <w:rPr>
          <w:rFonts w:ascii="Times New Roman" w:hAnsi="Times New Roman" w:cs="Times New Roman"/>
          <w:b/>
          <w:i/>
          <w:sz w:val="28"/>
          <w:szCs w:val="28"/>
          <w:shd w:val="clear" w:color="auto" w:fill="FFFFFF"/>
        </w:rPr>
        <w:t>pertinencia</w:t>
      </w:r>
      <w:r w:rsidRPr="00F33E35">
        <w:rPr>
          <w:rFonts w:ascii="Times New Roman" w:hAnsi="Times New Roman" w:cs="Times New Roman"/>
          <w:sz w:val="28"/>
          <w:szCs w:val="28"/>
          <w:shd w:val="clear" w:color="auto" w:fill="FFFFFF"/>
        </w:rPr>
        <w:t xml:space="preserve"> </w:t>
      </w:r>
      <w:r w:rsidRPr="00F33E35">
        <w:rPr>
          <w:rFonts w:ascii="Times New Roman" w:hAnsi="Times New Roman" w:cs="Times New Roman"/>
          <w:sz w:val="28"/>
          <w:szCs w:val="28"/>
          <w:shd w:val="clear" w:color="auto" w:fill="FFFFFF"/>
        </w:rPr>
        <w:t>e</w:t>
      </w:r>
      <w:r w:rsidRPr="00F33E35">
        <w:rPr>
          <w:rFonts w:ascii="Times New Roman" w:hAnsi="Times New Roman" w:cs="Times New Roman"/>
          <w:sz w:val="28"/>
          <w:szCs w:val="28"/>
          <w:shd w:val="clear" w:color="auto" w:fill="FFFFFF"/>
        </w:rPr>
        <w:t>s</w:t>
      </w:r>
      <w:r w:rsidRPr="00F33E35">
        <w:rPr>
          <w:rFonts w:ascii="Times New Roman" w:hAnsi="Times New Roman" w:cs="Times New Roman"/>
          <w:sz w:val="28"/>
          <w:szCs w:val="28"/>
          <w:shd w:val="clear" w:color="auto" w:fill="FFFFFF"/>
        </w:rPr>
        <w:t xml:space="preserve"> un rasgo especial de la argumentación cuando tiene por objeto alegar la invalidez constitucional de una </w:t>
      </w:r>
      <w:r w:rsidRPr="00F33E35">
        <w:rPr>
          <w:rFonts w:ascii="Times New Roman" w:hAnsi="Times New Roman" w:cs="Times New Roman"/>
          <w:sz w:val="28"/>
          <w:szCs w:val="28"/>
          <w:shd w:val="clear" w:color="auto" w:fill="FFFFFF"/>
        </w:rPr>
        <w:t>norma legal</w:t>
      </w:r>
      <w:r w:rsidRPr="00F33E35">
        <w:rPr>
          <w:rFonts w:ascii="Times New Roman" w:hAnsi="Times New Roman" w:cs="Times New Roman"/>
          <w:sz w:val="28"/>
          <w:szCs w:val="28"/>
          <w:shd w:val="clear" w:color="auto" w:fill="FFFFFF"/>
        </w:rPr>
        <w:t>. En esa dirección, los planteamientos ante la Corte deben estar signados por los contenidos de la Carta y, en esa medida, el cuestionamient</w:t>
      </w:r>
      <w:r w:rsidRPr="00F33E35">
        <w:rPr>
          <w:rFonts w:ascii="Times New Roman" w:hAnsi="Times New Roman" w:cs="Times New Roman"/>
          <w:sz w:val="28"/>
          <w:szCs w:val="28"/>
          <w:shd w:val="clear" w:color="auto" w:fill="FFFFFF"/>
        </w:rPr>
        <w:t xml:space="preserve">o debe encontrarse </w:t>
      </w:r>
      <w:r w:rsidRPr="00F33E35">
        <w:rPr>
          <w:rFonts w:ascii="Times New Roman" w:hAnsi="Times New Roman" w:cs="Times New Roman"/>
          <w:sz w:val="28"/>
          <w:szCs w:val="28"/>
          <w:shd w:val="clear" w:color="auto" w:fill="FFFFFF"/>
        </w:rPr>
        <w:t xml:space="preserve">“fundado en la apreciación del contenido de una norma Superior que se expone”. Ello excluye, argumentos </w:t>
      </w:r>
      <w:r w:rsidRPr="00F33E35">
        <w:rPr>
          <w:rFonts w:ascii="Times New Roman" w:hAnsi="Times New Roman" w:cs="Times New Roman"/>
          <w:sz w:val="28"/>
          <w:szCs w:val="28"/>
          <w:shd w:val="clear" w:color="auto" w:fill="FFFFFF"/>
        </w:rPr>
        <w:t>apoyados</w:t>
      </w:r>
      <w:r w:rsidRPr="00F33E35">
        <w:rPr>
          <w:rFonts w:ascii="Times New Roman" w:hAnsi="Times New Roman" w:cs="Times New Roman"/>
          <w:sz w:val="28"/>
          <w:szCs w:val="28"/>
          <w:shd w:val="clear" w:color="auto" w:fill="FFFFFF"/>
        </w:rPr>
        <w:t xml:space="preserve"> en “consideraciones puramente legales</w:t>
      </w:r>
      <w:r w:rsidRPr="00F33E35">
        <w:rPr>
          <w:rFonts w:ascii="Times New Roman" w:hAnsi="Times New Roman" w:cs="Times New Roman"/>
          <w:sz w:val="28"/>
          <w:szCs w:val="28"/>
        </w:rPr>
        <w:t xml:space="preserve"> (…)</w:t>
      </w:r>
      <w:r w:rsidRPr="00F33E35">
        <w:rPr>
          <w:rFonts w:ascii="Times New Roman" w:hAnsi="Times New Roman" w:cs="Times New Roman"/>
          <w:sz w:val="28"/>
          <w:szCs w:val="28"/>
          <w:shd w:val="clear" w:color="auto" w:fill="FFFFFF"/>
        </w:rPr>
        <w:t> y doctrinarias”</w:t>
      </w:r>
      <w:r w:rsidRPr="00F33E35">
        <w:rPr>
          <w:rStyle w:val="Refdenotaalpie"/>
          <w:rFonts w:ascii="Times New Roman" w:hAnsi="Times New Roman" w:cs="Times New Roman"/>
          <w:sz w:val="28"/>
          <w:szCs w:val="28"/>
          <w:shd w:val="clear" w:color="auto" w:fill="FFFFFF"/>
        </w:rPr>
        <w:footnoteReference w:id="106"/>
      </w:r>
      <w:r w:rsidRPr="00F33E35">
        <w:rPr>
          <w:rFonts w:ascii="Times New Roman" w:hAnsi="Times New Roman" w:cs="Times New Roman"/>
          <w:sz w:val="28"/>
          <w:szCs w:val="28"/>
          <w:shd w:val="clear" w:color="auto" w:fill="FFFFFF"/>
        </w:rPr>
        <w:t xml:space="preserve"> o los que se limitan a expresar “puntos de vista subjetivos”</w:t>
      </w:r>
      <w:r w:rsidRPr="00F33E35">
        <w:rPr>
          <w:rStyle w:val="Refdenotaalpie"/>
          <w:rFonts w:ascii="Times New Roman" w:hAnsi="Times New Roman" w:cs="Times New Roman"/>
          <w:sz w:val="28"/>
          <w:szCs w:val="28"/>
          <w:shd w:val="clear" w:color="auto" w:fill="FFFFFF"/>
        </w:rPr>
        <w:footnoteReference w:id="107"/>
      </w:r>
      <w:r w:rsidRPr="00F33E35">
        <w:rPr>
          <w:rFonts w:ascii="Times New Roman" w:hAnsi="Times New Roman" w:cs="Times New Roman"/>
          <w:sz w:val="28"/>
          <w:szCs w:val="28"/>
          <w:shd w:val="clear" w:color="auto" w:fill="FFFFFF"/>
        </w:rPr>
        <w:t>, de</w:t>
      </w:r>
      <w:r w:rsidRPr="00F33E35">
        <w:rPr>
          <w:rFonts w:ascii="Times New Roman" w:hAnsi="Times New Roman" w:cs="Times New Roman"/>
          <w:sz w:val="28"/>
          <w:szCs w:val="28"/>
          <w:shd w:val="clear" w:color="auto" w:fill="FFFFFF"/>
        </w:rPr>
        <w:t xml:space="preserve"> manera que </w:t>
      </w:r>
      <w:r w:rsidRPr="00F33E35">
        <w:rPr>
          <w:rFonts w:ascii="Times New Roman" w:hAnsi="Times New Roman" w:cs="Times New Roman"/>
          <w:sz w:val="28"/>
          <w:szCs w:val="28"/>
          <w:shd w:val="clear" w:color="auto" w:fill="FFFFFF"/>
        </w:rPr>
        <w:t>pretenda</w:t>
      </w:r>
      <w:r w:rsidRPr="00F33E35">
        <w:rPr>
          <w:rFonts w:ascii="Times New Roman" w:hAnsi="Times New Roman" w:cs="Times New Roman"/>
          <w:sz w:val="28"/>
          <w:szCs w:val="28"/>
          <w:shd w:val="clear" w:color="auto" w:fill="FFFFFF"/>
        </w:rPr>
        <w:t xml:space="preserve"> emplear</w:t>
      </w:r>
      <w:r w:rsidRPr="00F33E35">
        <w:rPr>
          <w:rFonts w:ascii="Times New Roman" w:hAnsi="Times New Roman" w:cs="Times New Roman"/>
          <w:sz w:val="28"/>
          <w:szCs w:val="28"/>
          <w:shd w:val="clear" w:color="auto" w:fill="FFFFFF"/>
        </w:rPr>
        <w:t>se esta</w:t>
      </w:r>
      <w:r w:rsidRPr="00F33E35">
        <w:rPr>
          <w:rFonts w:ascii="Times New Roman" w:hAnsi="Times New Roman" w:cs="Times New Roman"/>
          <w:sz w:val="28"/>
          <w:szCs w:val="28"/>
          <w:shd w:val="clear" w:color="auto" w:fill="FFFFFF"/>
        </w:rPr>
        <w:t xml:space="preserve"> acción “para resolver un problema</w:t>
      </w:r>
      <w:r w:rsidRPr="00F33E35">
        <w:rPr>
          <w:rFonts w:ascii="Times New Roman" w:hAnsi="Times New Roman" w:cs="Times New Roman"/>
          <w:i/>
          <w:sz w:val="28"/>
          <w:szCs w:val="28"/>
          <w:shd w:val="clear" w:color="auto" w:fill="FFFFFF"/>
        </w:rPr>
        <w:t xml:space="preserve"> </w:t>
      </w:r>
      <w:r w:rsidRPr="00F33E35">
        <w:rPr>
          <w:rFonts w:ascii="Times New Roman" w:hAnsi="Times New Roman" w:cs="Times New Roman"/>
          <w:iCs/>
          <w:sz w:val="28"/>
          <w:szCs w:val="28"/>
          <w:shd w:val="clear" w:color="auto" w:fill="FFFFFF"/>
        </w:rPr>
        <w:t>particular”</w:t>
      </w:r>
      <w:r w:rsidRPr="00F33E35">
        <w:rPr>
          <w:rStyle w:val="Refdenotaalpie"/>
          <w:rFonts w:ascii="Times New Roman" w:hAnsi="Times New Roman" w:cs="Times New Roman"/>
          <w:iCs/>
          <w:sz w:val="28"/>
          <w:szCs w:val="28"/>
          <w:shd w:val="clear" w:color="auto" w:fill="FFFFFF"/>
        </w:rPr>
        <w:footnoteReference w:id="108"/>
      </w:r>
      <w:r w:rsidRPr="00F33E35">
        <w:rPr>
          <w:rFonts w:ascii="Times New Roman" w:hAnsi="Times New Roman" w:cs="Times New Roman"/>
          <w:iCs/>
          <w:sz w:val="28"/>
          <w:szCs w:val="28"/>
          <w:shd w:val="clear" w:color="auto" w:fill="FFFFFF"/>
        </w:rPr>
        <w:t>. Por ello, a menos que la Constitución directamente lo exija, no son pertinentes “acusaciones que fundan el reparo contra la norma demandada en un análisis de conveniencia</w:t>
      </w:r>
      <w:bookmarkStart w:id="21" w:name="_ftnref35"/>
      <w:r w:rsidRPr="00F33E35">
        <w:rPr>
          <w:rFonts w:ascii="Times New Roman" w:hAnsi="Times New Roman" w:cs="Times New Roman"/>
          <w:iCs/>
          <w:sz w:val="28"/>
          <w:szCs w:val="28"/>
          <w:shd w:val="clear" w:color="auto" w:fill="FFFFFF"/>
        </w:rPr>
        <w:t>”</w:t>
      </w:r>
      <w:bookmarkEnd w:id="21"/>
      <w:r w:rsidRPr="00F33E35">
        <w:rPr>
          <w:rStyle w:val="Refdenotaalpie"/>
          <w:rFonts w:ascii="Times New Roman" w:hAnsi="Times New Roman" w:cs="Times New Roman"/>
          <w:iCs/>
          <w:sz w:val="28"/>
          <w:szCs w:val="28"/>
          <w:shd w:val="clear" w:color="auto" w:fill="FFFFFF"/>
        </w:rPr>
        <w:footnoteReference w:id="109"/>
      </w:r>
      <w:r w:rsidRPr="00F33E35">
        <w:rPr>
          <w:rFonts w:ascii="Times New Roman" w:hAnsi="Times New Roman" w:cs="Times New Roman"/>
          <w:iCs/>
          <w:sz w:val="28"/>
          <w:szCs w:val="28"/>
        </w:rPr>
        <w:t>.</w:t>
      </w:r>
    </w:p>
    <w:p w:rsidR="00884855" w:rsidRPr="00F33E35" w:rsidRDefault="00F33E35" w:rsidP="00884855">
      <w:pPr>
        <w:pStyle w:val="Prrafodelista"/>
        <w:rPr>
          <w:rFonts w:ascii="Times New Roman" w:hAnsi="Times New Roman" w:cs="Times New Roman"/>
          <w:sz w:val="28"/>
          <w:szCs w:val="28"/>
          <w:shd w:val="clear" w:color="auto" w:fill="FFFFFF"/>
        </w:rPr>
      </w:pPr>
    </w:p>
    <w:p w:rsidR="00884855" w:rsidRPr="00F33E35" w:rsidRDefault="00F33E35" w:rsidP="0064698A">
      <w:pPr>
        <w:pStyle w:val="Prrafodelista"/>
        <w:numPr>
          <w:ilvl w:val="0"/>
          <w:numId w:val="3"/>
        </w:numPr>
        <w:tabs>
          <w:tab w:val="left" w:pos="426"/>
        </w:tabs>
        <w:spacing w:after="0" w:line="240" w:lineRule="auto"/>
        <w:ind w:left="0"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La</w:t>
      </w:r>
      <w:r w:rsidRPr="00F33E35">
        <w:rPr>
          <w:rFonts w:ascii="Times New Roman" w:hAnsi="Times New Roman" w:cs="Times New Roman"/>
          <w:sz w:val="28"/>
          <w:szCs w:val="28"/>
          <w:shd w:val="clear" w:color="auto" w:fill="FFFFFF"/>
        </w:rPr>
        <w:t xml:space="preserve"> jurisprudencia ha </w:t>
      </w:r>
      <w:r w:rsidRPr="00F33E35">
        <w:rPr>
          <w:rFonts w:ascii="Times New Roman" w:hAnsi="Times New Roman" w:cs="Times New Roman"/>
          <w:sz w:val="28"/>
          <w:szCs w:val="28"/>
          <w:shd w:val="clear" w:color="auto" w:fill="FFFFFF"/>
        </w:rPr>
        <w:t>identificado</w:t>
      </w:r>
      <w:r w:rsidRPr="00F33E35">
        <w:rPr>
          <w:rFonts w:ascii="Times New Roman" w:hAnsi="Times New Roman" w:cs="Times New Roman"/>
          <w:sz w:val="28"/>
          <w:szCs w:val="28"/>
          <w:shd w:val="clear" w:color="auto" w:fill="FFFFFF"/>
        </w:rPr>
        <w:t xml:space="preserve"> que carecen de pertinencia</w:t>
      </w:r>
      <w:r w:rsidRPr="00F33E35">
        <w:rPr>
          <w:rFonts w:ascii="Times New Roman" w:hAnsi="Times New Roman" w:cs="Times New Roman"/>
          <w:sz w:val="28"/>
          <w:szCs w:val="28"/>
          <w:shd w:val="clear" w:color="auto" w:fill="FFFFFF"/>
        </w:rPr>
        <w:t xml:space="preserve"> </w:t>
      </w:r>
      <w:r w:rsidRPr="00F33E35">
        <w:rPr>
          <w:rFonts w:ascii="Times New Roman" w:hAnsi="Times New Roman" w:cs="Times New Roman"/>
          <w:sz w:val="28"/>
          <w:szCs w:val="28"/>
          <w:shd w:val="clear" w:color="auto" w:fill="FFFFFF"/>
        </w:rPr>
        <w:t>acusaciones que se fundamenten</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(i) en el provecho o utilidad que una norma puede traer (C-1059 de 2008); (ii) en la oposición de la norma con disposiciones que no puedan ser parámetro de cont</w:t>
      </w:r>
      <w:r w:rsidRPr="00F33E35">
        <w:rPr>
          <w:rFonts w:ascii="Times New Roman" w:hAnsi="Times New Roman" w:cs="Times New Roman"/>
          <w:sz w:val="28"/>
          <w:szCs w:val="28"/>
          <w:shd w:val="clear" w:color="auto" w:fill="FFFFFF"/>
        </w:rPr>
        <w:t>rol (C-1059 de 2008); (iii) en las consecuencias que una medida puede tener en el desfinanciamiento de otras inversiones del Estado (C-1059 de 2008); o (iv) en la aplicación de una norma por parte de una autoridad administrativa a situaciones específicas (</w:t>
      </w:r>
      <w:r w:rsidRPr="00F33E35">
        <w:rPr>
          <w:rFonts w:ascii="Times New Roman" w:hAnsi="Times New Roman" w:cs="Times New Roman"/>
          <w:sz w:val="28"/>
          <w:szCs w:val="28"/>
          <w:shd w:val="clear" w:color="auto" w:fill="FFFFFF"/>
        </w:rPr>
        <w:t xml:space="preserve">C-987 de 2005). Igualmente ha descartado el cargo cuando se pretende (v) corregir la interpretación que en casos particulares han efectuado las personas o los jueces de la República (C-785 de 2014); (vi) obtener declaraciones específicas respecto de actos </w:t>
      </w:r>
      <w:r w:rsidRPr="00F33E35">
        <w:rPr>
          <w:rFonts w:ascii="Times New Roman" w:hAnsi="Times New Roman" w:cs="Times New Roman"/>
          <w:sz w:val="28"/>
          <w:szCs w:val="28"/>
          <w:shd w:val="clear" w:color="auto" w:fill="FFFFFF"/>
        </w:rPr>
        <w:t xml:space="preserve">o contratos (C-785 de 2014); o (v) resolver una antinomia constitucional o declarar la inconstitucionalidad de una disposición de la Carta, por entrar en una eventual contradicción con otro mandato de la misma Constitución (C-433 de 2013). </w:t>
      </w:r>
    </w:p>
    <w:p w:rsidR="0064698A" w:rsidRPr="00F33E35" w:rsidRDefault="00F33E35" w:rsidP="00B72E11">
      <w:pPr>
        <w:pStyle w:val="Prrafodelista"/>
        <w:rPr>
          <w:rFonts w:ascii="Times New Roman" w:hAnsi="Times New Roman" w:cs="Times New Roman"/>
          <w:sz w:val="28"/>
          <w:szCs w:val="28"/>
          <w:shd w:val="clear" w:color="auto" w:fill="FFFFFF"/>
        </w:rPr>
      </w:pPr>
    </w:p>
    <w:p w:rsidR="00884855" w:rsidRPr="00F33E35" w:rsidRDefault="00F33E35" w:rsidP="0064698A">
      <w:pPr>
        <w:pStyle w:val="Prrafodelista"/>
        <w:numPr>
          <w:ilvl w:val="0"/>
          <w:numId w:val="3"/>
        </w:numPr>
        <w:tabs>
          <w:tab w:val="left" w:pos="426"/>
        </w:tabs>
        <w:spacing w:after="0" w:line="240" w:lineRule="auto"/>
        <w:ind w:left="0"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La </w:t>
      </w:r>
      <w:r w:rsidRPr="00F33E35">
        <w:rPr>
          <w:rFonts w:ascii="Times New Roman" w:hAnsi="Times New Roman" w:cs="Times New Roman"/>
          <w:b/>
          <w:i/>
          <w:sz w:val="28"/>
          <w:szCs w:val="28"/>
          <w:shd w:val="clear" w:color="auto" w:fill="FFFFFF"/>
        </w:rPr>
        <w:t>especificid</w:t>
      </w:r>
      <w:r w:rsidRPr="00F33E35">
        <w:rPr>
          <w:rFonts w:ascii="Times New Roman" w:hAnsi="Times New Roman" w:cs="Times New Roman"/>
          <w:b/>
          <w:i/>
          <w:sz w:val="28"/>
          <w:szCs w:val="28"/>
          <w:shd w:val="clear" w:color="auto" w:fill="FFFFFF"/>
        </w:rPr>
        <w:t>ad</w:t>
      </w:r>
      <w:r w:rsidRPr="00F33E35">
        <w:rPr>
          <w:rFonts w:ascii="Times New Roman" w:hAnsi="Times New Roman" w:cs="Times New Roman"/>
          <w:sz w:val="28"/>
          <w:szCs w:val="28"/>
          <w:shd w:val="clear" w:color="auto" w:fill="FFFFFF"/>
        </w:rPr>
        <w:t xml:space="preserve"> impone que el demandante exponga razones que evidencien la existencia de una oposición objetiva entre la disposición demandada y el texto constitucional. Es una de las exigencias de mayor relevancia al momento de formular la impugnación y exige que, más</w:t>
      </w:r>
      <w:r w:rsidRPr="00F33E35">
        <w:rPr>
          <w:rFonts w:ascii="Times New Roman" w:hAnsi="Times New Roman" w:cs="Times New Roman"/>
          <w:sz w:val="28"/>
          <w:szCs w:val="28"/>
          <w:shd w:val="clear" w:color="auto" w:fill="FFFFFF"/>
        </w:rPr>
        <w:t xml:space="preserve"> allá de afirmaciones genéricas, se desarrolle un argumento puntual que pueda demostrar una violación. Según ha señalado la Corte no cumplen el requisito de especificidad los argumentos “</w:t>
      </w:r>
      <w:r w:rsidRPr="00F33E35">
        <w:rPr>
          <w:rFonts w:ascii="Times New Roman" w:hAnsi="Times New Roman" w:cs="Times New Roman"/>
          <w:i/>
          <w:sz w:val="28"/>
          <w:szCs w:val="28"/>
          <w:shd w:val="clear" w:color="auto" w:fill="FFFFFF"/>
        </w:rPr>
        <w:t>vagos, indeterminados, indirectos, abstractos y globales</w:t>
      </w:r>
      <w:r w:rsidRPr="00F33E35">
        <w:rPr>
          <w:rFonts w:ascii="Times New Roman" w:hAnsi="Times New Roman" w:cs="Times New Roman"/>
          <w:i/>
          <w:sz w:val="28"/>
          <w:szCs w:val="28"/>
        </w:rPr>
        <w:t xml:space="preserve"> </w:t>
      </w:r>
      <w:r w:rsidRPr="00F33E35">
        <w:rPr>
          <w:rFonts w:ascii="Times New Roman" w:hAnsi="Times New Roman" w:cs="Times New Roman"/>
          <w:sz w:val="28"/>
          <w:szCs w:val="28"/>
        </w:rPr>
        <w:t>(…)</w:t>
      </w:r>
      <w:r w:rsidRPr="00F33E35">
        <w:rPr>
          <w:rFonts w:ascii="Times New Roman" w:hAnsi="Times New Roman" w:cs="Times New Roman"/>
          <w:i/>
          <w:sz w:val="28"/>
          <w:szCs w:val="28"/>
          <w:shd w:val="clear" w:color="auto" w:fill="FFFFFF"/>
        </w:rPr>
        <w:t xml:space="preserve"> que no </w:t>
      </w:r>
      <w:r w:rsidRPr="00F33E35">
        <w:rPr>
          <w:rFonts w:ascii="Times New Roman" w:hAnsi="Times New Roman" w:cs="Times New Roman"/>
          <w:i/>
          <w:sz w:val="28"/>
          <w:szCs w:val="28"/>
          <w:shd w:val="clear" w:color="auto" w:fill="FFFFFF"/>
        </w:rPr>
        <w:t>se relacionan concreta y directamente con las disposiciones que se acusan</w:t>
      </w:r>
      <w:r w:rsidRPr="00F33E35">
        <w:rPr>
          <w:rFonts w:ascii="Times New Roman" w:hAnsi="Times New Roman" w:cs="Times New Roman"/>
          <w:sz w:val="28"/>
          <w:szCs w:val="28"/>
          <w:shd w:val="clear" w:color="auto" w:fill="FFFFFF"/>
        </w:rPr>
        <w:t>”</w:t>
      </w:r>
      <w:r w:rsidRPr="00F33E35">
        <w:rPr>
          <w:rStyle w:val="Refdenotaalpie"/>
          <w:rFonts w:ascii="Times New Roman" w:hAnsi="Times New Roman" w:cs="Times New Roman"/>
          <w:sz w:val="28"/>
          <w:szCs w:val="28"/>
          <w:shd w:val="clear" w:color="auto" w:fill="FFFFFF"/>
        </w:rPr>
        <w:footnoteReference w:id="110"/>
      </w:r>
      <w:r w:rsidRPr="00F33E35">
        <w:rPr>
          <w:rFonts w:ascii="Times New Roman" w:hAnsi="Times New Roman" w:cs="Times New Roman"/>
          <w:sz w:val="28"/>
          <w:szCs w:val="28"/>
          <w:shd w:val="clear" w:color="auto" w:fill="FFFFFF"/>
        </w:rPr>
        <w:t xml:space="preserve">.   </w:t>
      </w:r>
    </w:p>
    <w:p w:rsidR="0064698A" w:rsidRPr="00F33E35" w:rsidRDefault="00F33E35" w:rsidP="00B72E11">
      <w:pPr>
        <w:pStyle w:val="Prrafodelista"/>
        <w:tabs>
          <w:tab w:val="left" w:pos="426"/>
        </w:tabs>
        <w:spacing w:after="0" w:line="240" w:lineRule="auto"/>
        <w:ind w:left="0"/>
        <w:jc w:val="both"/>
        <w:rPr>
          <w:rFonts w:ascii="Times New Roman" w:hAnsi="Times New Roman" w:cs="Times New Roman"/>
          <w:sz w:val="28"/>
          <w:szCs w:val="28"/>
          <w:shd w:val="clear" w:color="auto" w:fill="FFFFFF"/>
        </w:rPr>
      </w:pPr>
    </w:p>
    <w:p w:rsidR="00884855" w:rsidRPr="00F33E35" w:rsidRDefault="00F33E35" w:rsidP="0064698A">
      <w:pPr>
        <w:pStyle w:val="Prrafodelista"/>
        <w:numPr>
          <w:ilvl w:val="0"/>
          <w:numId w:val="3"/>
        </w:numPr>
        <w:tabs>
          <w:tab w:val="left" w:pos="426"/>
        </w:tabs>
        <w:spacing w:after="0" w:line="240" w:lineRule="auto"/>
        <w:ind w:left="0"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Este requerimiento exige responder la pregunta relativa a cómo se demuestra la violación de la Constitución. Una vez que el demandante identifica la norma constitucional que a</w:t>
      </w:r>
      <w:r w:rsidRPr="00F33E35">
        <w:rPr>
          <w:rFonts w:ascii="Times New Roman" w:hAnsi="Times New Roman" w:cs="Times New Roman"/>
          <w:sz w:val="28"/>
          <w:szCs w:val="28"/>
          <w:shd w:val="clear" w:color="auto" w:fill="FFFFFF"/>
        </w:rPr>
        <w:t xml:space="preserve"> su juicio ha sido desconocida, tiene la tarea de argumentar la violación. Esa demostración debe tomar en consideración los contenidos, la naturaleza y la estructura de las diferentes disposiciones de la Carta. En efecto, será relevante considerar, por eje</w:t>
      </w:r>
      <w:r w:rsidRPr="00F33E35">
        <w:rPr>
          <w:rFonts w:ascii="Times New Roman" w:hAnsi="Times New Roman" w:cs="Times New Roman"/>
          <w:sz w:val="28"/>
          <w:szCs w:val="28"/>
          <w:shd w:val="clear" w:color="auto" w:fill="FFFFFF"/>
        </w:rPr>
        <w:t>mplo, las diferencias que existen entre las normas (i) que distribuyen competencias entre los órganos del poder o que reconocen derechos; (ii) que amparan un derecho relacional como la igualdad o un derecho que no lo es como la libertad; (iii) que tienen e</w:t>
      </w:r>
      <w:r w:rsidRPr="00F33E35">
        <w:rPr>
          <w:rFonts w:ascii="Times New Roman" w:hAnsi="Times New Roman" w:cs="Times New Roman"/>
          <w:sz w:val="28"/>
          <w:szCs w:val="28"/>
          <w:shd w:val="clear" w:color="auto" w:fill="FFFFFF"/>
        </w:rPr>
        <w:t>structura de regla o de principio; (iv) que imponen obligaciones de omitir o mandatos de actuación; o (v) que tienen contenidos sustantivos o procedimentales.</w:t>
      </w:r>
    </w:p>
    <w:p w:rsidR="0064698A" w:rsidRPr="00F33E35" w:rsidRDefault="00F33E35" w:rsidP="00B72E11">
      <w:pPr>
        <w:pStyle w:val="Prrafodelista"/>
        <w:tabs>
          <w:tab w:val="left" w:pos="426"/>
        </w:tabs>
        <w:spacing w:after="0" w:line="240" w:lineRule="auto"/>
        <w:ind w:left="0"/>
        <w:jc w:val="both"/>
        <w:rPr>
          <w:rFonts w:ascii="Times New Roman" w:hAnsi="Times New Roman" w:cs="Times New Roman"/>
          <w:sz w:val="28"/>
          <w:szCs w:val="28"/>
          <w:shd w:val="clear" w:color="auto" w:fill="FFFFFF"/>
        </w:rPr>
      </w:pPr>
    </w:p>
    <w:p w:rsidR="00884855" w:rsidRPr="00F33E35" w:rsidRDefault="00F33E35" w:rsidP="0064698A">
      <w:pPr>
        <w:pStyle w:val="Prrafodelista"/>
        <w:numPr>
          <w:ilvl w:val="0"/>
          <w:numId w:val="3"/>
        </w:numPr>
        <w:tabs>
          <w:tab w:val="left" w:pos="426"/>
        </w:tabs>
        <w:spacing w:after="0" w:line="240" w:lineRule="auto"/>
        <w:ind w:left="0"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No es posible establecer un catálogo de las </w:t>
      </w:r>
      <w:r w:rsidRPr="00F33E35">
        <w:rPr>
          <w:rFonts w:ascii="Times New Roman" w:hAnsi="Times New Roman" w:cs="Times New Roman"/>
          <w:i/>
          <w:sz w:val="28"/>
          <w:szCs w:val="28"/>
          <w:shd w:val="clear" w:color="auto" w:fill="FFFFFF"/>
        </w:rPr>
        <w:t>cuestiones interpretativas</w:t>
      </w:r>
      <w:r w:rsidRPr="00F33E35">
        <w:rPr>
          <w:rFonts w:ascii="Times New Roman" w:hAnsi="Times New Roman" w:cs="Times New Roman"/>
          <w:sz w:val="28"/>
          <w:szCs w:val="28"/>
          <w:shd w:val="clear" w:color="auto" w:fill="FFFFFF"/>
        </w:rPr>
        <w:t xml:space="preserve"> que se suscitan al moment</w:t>
      </w:r>
      <w:r w:rsidRPr="00F33E35">
        <w:rPr>
          <w:rFonts w:ascii="Times New Roman" w:hAnsi="Times New Roman" w:cs="Times New Roman"/>
          <w:sz w:val="28"/>
          <w:szCs w:val="28"/>
          <w:shd w:val="clear" w:color="auto" w:fill="FFFFFF"/>
        </w:rPr>
        <w:t>o de verificar el requisito de especificidad. La Corte ha ido identificando algunas condiciones que resultan útiles con el fin de cumplir esta carga. En tal sentido, ha fijado métodos posibles para proponer la vulneración del mandato de trato igual o de tr</w:t>
      </w:r>
      <w:r w:rsidRPr="00F33E35">
        <w:rPr>
          <w:rFonts w:ascii="Times New Roman" w:hAnsi="Times New Roman" w:cs="Times New Roman"/>
          <w:sz w:val="28"/>
          <w:szCs w:val="28"/>
          <w:shd w:val="clear" w:color="auto" w:fill="FFFFFF"/>
        </w:rPr>
        <w:t>ato desigual</w:t>
      </w:r>
      <w:r w:rsidRPr="00F33E35">
        <w:rPr>
          <w:rStyle w:val="Refdenotaalpie"/>
          <w:rFonts w:ascii="Times New Roman" w:hAnsi="Times New Roman" w:cs="Times New Roman"/>
          <w:sz w:val="28"/>
          <w:szCs w:val="28"/>
          <w:shd w:val="clear" w:color="auto" w:fill="FFFFFF"/>
        </w:rPr>
        <w:footnoteReference w:id="111"/>
      </w:r>
      <w:r w:rsidRPr="00F33E35">
        <w:rPr>
          <w:rFonts w:ascii="Times New Roman" w:hAnsi="Times New Roman" w:cs="Times New Roman"/>
          <w:sz w:val="28"/>
          <w:szCs w:val="28"/>
          <w:shd w:val="clear" w:color="auto" w:fill="FFFFFF"/>
        </w:rPr>
        <w:t>, de los derechos de libertad</w:t>
      </w:r>
      <w:r w:rsidRPr="00F33E35">
        <w:rPr>
          <w:rStyle w:val="Refdenotaalpie"/>
          <w:rFonts w:ascii="Times New Roman" w:hAnsi="Times New Roman" w:cs="Times New Roman"/>
          <w:sz w:val="28"/>
          <w:szCs w:val="28"/>
          <w:shd w:val="clear" w:color="auto" w:fill="FFFFFF"/>
        </w:rPr>
        <w:footnoteReference w:id="112"/>
      </w:r>
      <w:r w:rsidRPr="00F33E35">
        <w:rPr>
          <w:rFonts w:ascii="Times New Roman" w:hAnsi="Times New Roman" w:cs="Times New Roman"/>
          <w:sz w:val="28"/>
          <w:szCs w:val="28"/>
          <w:shd w:val="clear" w:color="auto" w:fill="FFFFFF"/>
        </w:rPr>
        <w:t xml:space="preserve"> o del principio de unidad de materia</w:t>
      </w:r>
      <w:r w:rsidRPr="00F33E35">
        <w:rPr>
          <w:rStyle w:val="Refdenotaalpie"/>
          <w:rFonts w:ascii="Times New Roman" w:hAnsi="Times New Roman" w:cs="Times New Roman"/>
          <w:sz w:val="28"/>
          <w:szCs w:val="28"/>
          <w:shd w:val="clear" w:color="auto" w:fill="FFFFFF"/>
        </w:rPr>
        <w:footnoteReference w:id="113"/>
      </w:r>
      <w:r w:rsidRPr="00F33E35">
        <w:rPr>
          <w:rFonts w:ascii="Times New Roman" w:hAnsi="Times New Roman" w:cs="Times New Roman"/>
          <w:sz w:val="28"/>
          <w:szCs w:val="28"/>
          <w:shd w:val="clear" w:color="auto" w:fill="FFFFFF"/>
        </w:rPr>
        <w:t>. También ha identificado criterios para demostrar vicios competenciales en las reformas constitucionales</w:t>
      </w:r>
      <w:r w:rsidRPr="00F33E35">
        <w:rPr>
          <w:rStyle w:val="Refdenotaalpie"/>
          <w:rFonts w:ascii="Times New Roman" w:hAnsi="Times New Roman" w:cs="Times New Roman"/>
          <w:sz w:val="28"/>
          <w:szCs w:val="28"/>
          <w:shd w:val="clear" w:color="auto" w:fill="FFFFFF"/>
        </w:rPr>
        <w:footnoteReference w:id="114"/>
      </w:r>
      <w:r w:rsidRPr="00F33E35">
        <w:rPr>
          <w:rFonts w:ascii="Times New Roman" w:hAnsi="Times New Roman" w:cs="Times New Roman"/>
          <w:sz w:val="28"/>
          <w:szCs w:val="28"/>
          <w:shd w:val="clear" w:color="auto" w:fill="FFFFFF"/>
        </w:rPr>
        <w:t xml:space="preserve"> o infracciones al principio de identidad flexible y consecutividad</w:t>
      </w:r>
      <w:r w:rsidRPr="00F33E35">
        <w:rPr>
          <w:rStyle w:val="Refdenotaalpie"/>
          <w:rFonts w:ascii="Times New Roman" w:hAnsi="Times New Roman" w:cs="Times New Roman"/>
          <w:sz w:val="28"/>
          <w:szCs w:val="28"/>
          <w:shd w:val="clear" w:color="auto" w:fill="FFFFFF"/>
        </w:rPr>
        <w:footnoteReference w:id="115"/>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Igualmente ha establecido criterios relevantes al momento de formular, por ejemplo, un cargo de omisión legislativa relativa</w:t>
      </w:r>
      <w:r w:rsidRPr="00F33E35">
        <w:rPr>
          <w:rStyle w:val="Refdenotaalpie"/>
          <w:rFonts w:ascii="Times New Roman" w:hAnsi="Times New Roman" w:cs="Times New Roman"/>
          <w:sz w:val="28"/>
          <w:szCs w:val="28"/>
          <w:shd w:val="clear" w:color="auto" w:fill="FFFFFF"/>
        </w:rPr>
        <w:footnoteReference w:id="116"/>
      </w:r>
      <w:r w:rsidRPr="00F33E35">
        <w:rPr>
          <w:rFonts w:ascii="Times New Roman" w:hAnsi="Times New Roman" w:cs="Times New Roman"/>
          <w:sz w:val="28"/>
          <w:szCs w:val="28"/>
          <w:shd w:val="clear" w:color="auto" w:fill="FFFFFF"/>
        </w:rPr>
        <w:t xml:space="preserve">. </w:t>
      </w:r>
    </w:p>
    <w:p w:rsidR="0064698A" w:rsidRPr="00F33E35" w:rsidRDefault="00F33E35" w:rsidP="00B72E11">
      <w:pPr>
        <w:pStyle w:val="Prrafodelista"/>
        <w:tabs>
          <w:tab w:val="left" w:pos="426"/>
        </w:tabs>
        <w:spacing w:after="0" w:line="240" w:lineRule="auto"/>
        <w:ind w:left="0"/>
        <w:jc w:val="both"/>
        <w:rPr>
          <w:rFonts w:ascii="Times New Roman" w:hAnsi="Times New Roman" w:cs="Times New Roman"/>
          <w:sz w:val="28"/>
          <w:szCs w:val="28"/>
          <w:shd w:val="clear" w:color="auto" w:fill="FFFFFF"/>
        </w:rPr>
      </w:pPr>
    </w:p>
    <w:p w:rsidR="00884855" w:rsidRPr="00F33E35" w:rsidRDefault="00F33E35" w:rsidP="00B72E11">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sz w:val="28"/>
          <w:szCs w:val="24"/>
        </w:rPr>
      </w:pPr>
      <w:r w:rsidRPr="00F33E35">
        <w:rPr>
          <w:rFonts w:ascii="Times New Roman" w:hAnsi="Times New Roman" w:cs="Times New Roman"/>
          <w:sz w:val="28"/>
          <w:szCs w:val="28"/>
          <w:shd w:val="clear" w:color="auto" w:fill="FFFFFF"/>
        </w:rPr>
        <w:t>Asimismo, ha destacado que en algunos casos pueden distribuirse cargas de argumentación respecto de la violación de la Constit</w:t>
      </w:r>
      <w:r w:rsidRPr="00F33E35">
        <w:rPr>
          <w:rFonts w:ascii="Times New Roman" w:hAnsi="Times New Roman" w:cs="Times New Roman"/>
          <w:sz w:val="28"/>
          <w:szCs w:val="28"/>
          <w:shd w:val="clear" w:color="auto" w:fill="FFFFFF"/>
        </w:rPr>
        <w:t xml:space="preserve">ución. Por ejemplo, ha señalado que cuando se controla la constitucionalidad de una norma </w:t>
      </w:r>
      <w:r w:rsidRPr="00F33E35">
        <w:rPr>
          <w:rFonts w:ascii="Times New Roman" w:hAnsi="Times New Roman" w:cs="Times New Roman"/>
          <w:sz w:val="28"/>
          <w:szCs w:val="28"/>
          <w:shd w:val="clear" w:color="auto" w:fill="FFFFFF"/>
        </w:rPr>
        <w:t xml:space="preserve">(i) </w:t>
      </w:r>
      <w:r w:rsidRPr="00F33E35">
        <w:rPr>
          <w:rFonts w:ascii="Times New Roman" w:hAnsi="Times New Roman" w:cs="Times New Roman"/>
          <w:sz w:val="28"/>
          <w:szCs w:val="28"/>
          <w:shd w:val="clear" w:color="auto" w:fill="FFFFFF"/>
        </w:rPr>
        <w:t>que utiliza una categoría sospechosa</w:t>
      </w:r>
      <w:r w:rsidRPr="00F33E35">
        <w:rPr>
          <w:rFonts w:ascii="Times New Roman" w:hAnsi="Times New Roman" w:cs="Times New Roman"/>
          <w:sz w:val="28"/>
          <w:szCs w:val="28"/>
          <w:shd w:val="clear" w:color="auto" w:fill="FFFFFF"/>
        </w:rPr>
        <w:t xml:space="preserve"> o afecta el goce de un derecho constitucional fundamental</w:t>
      </w:r>
      <w:r w:rsidRPr="00F33E35">
        <w:rPr>
          <w:rStyle w:val="Refdenotaalpie"/>
          <w:rFonts w:ascii="Times New Roman" w:hAnsi="Times New Roman" w:cs="Times New Roman"/>
          <w:sz w:val="28"/>
          <w:szCs w:val="28"/>
        </w:rPr>
        <w:t xml:space="preserve"> </w:t>
      </w:r>
      <w:r w:rsidRPr="00F33E35">
        <w:rPr>
          <w:rStyle w:val="Refdenotaalpie"/>
          <w:rFonts w:ascii="Times New Roman" w:hAnsi="Times New Roman" w:cs="Times New Roman"/>
          <w:sz w:val="28"/>
          <w:szCs w:val="28"/>
        </w:rPr>
        <w:footnoteReference w:id="117"/>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 xml:space="preserve">o (ii) que retrocede en el grado de protección de un derecho </w:t>
      </w:r>
      <w:r w:rsidRPr="00F33E35">
        <w:rPr>
          <w:rFonts w:ascii="Times New Roman" w:hAnsi="Times New Roman" w:cs="Times New Roman"/>
          <w:sz w:val="28"/>
          <w:szCs w:val="28"/>
        </w:rPr>
        <w:t>fundamental afectando la prohibición de retroceso injustificado</w:t>
      </w:r>
      <w:r w:rsidRPr="00F33E35">
        <w:rPr>
          <w:rStyle w:val="Refdenotaalpie"/>
          <w:rFonts w:ascii="Times New Roman" w:hAnsi="Times New Roman" w:cs="Times New Roman"/>
          <w:sz w:val="28"/>
          <w:szCs w:val="28"/>
        </w:rPr>
        <w:footnoteReference w:id="118"/>
      </w:r>
      <w:r w:rsidRPr="00F33E35">
        <w:rPr>
          <w:rFonts w:ascii="Times New Roman" w:hAnsi="Times New Roman" w:cs="Times New Roman"/>
          <w:sz w:val="28"/>
          <w:szCs w:val="28"/>
          <w:shd w:val="clear" w:color="auto" w:fill="FFFFFF"/>
        </w:rPr>
        <w:t xml:space="preserve"> puede presumirse </w:t>
      </w:r>
      <w:r w:rsidRPr="00F33E35">
        <w:rPr>
          <w:rFonts w:ascii="Times New Roman" w:hAnsi="Times New Roman" w:cs="Times New Roman"/>
          <w:sz w:val="28"/>
          <w:szCs w:val="28"/>
          <w:shd w:val="clear" w:color="auto" w:fill="FFFFFF"/>
        </w:rPr>
        <w:t>su</w:t>
      </w:r>
      <w:r w:rsidRPr="00F33E35">
        <w:rPr>
          <w:rFonts w:ascii="Times New Roman" w:hAnsi="Times New Roman" w:cs="Times New Roman"/>
          <w:sz w:val="28"/>
          <w:szCs w:val="28"/>
          <w:shd w:val="clear" w:color="auto" w:fill="FFFFFF"/>
        </w:rPr>
        <w:t xml:space="preserve"> inconstitucionalida</w:t>
      </w:r>
      <w:r w:rsidRPr="00F33E35">
        <w:rPr>
          <w:rFonts w:ascii="Times New Roman" w:hAnsi="Times New Roman" w:cs="Times New Roman"/>
          <w:sz w:val="28"/>
          <w:szCs w:val="28"/>
          <w:shd w:val="clear" w:color="auto" w:fill="FFFFFF"/>
        </w:rPr>
        <w:t>d</w:t>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lo que traslada a quien la defiende la obligación de aportar razones p</w:t>
      </w:r>
      <w:r w:rsidRPr="00F33E35">
        <w:rPr>
          <w:rFonts w:ascii="Times New Roman" w:hAnsi="Times New Roman" w:cs="Times New Roman"/>
          <w:sz w:val="28"/>
          <w:szCs w:val="28"/>
          <w:shd w:val="clear" w:color="auto" w:fill="FFFFFF"/>
        </w:rPr>
        <w:t>oderosas para ello. Ocurre lo contrario y en consecuencia le corresponde al dem</w:t>
      </w:r>
      <w:r w:rsidRPr="00F33E35">
        <w:rPr>
          <w:rFonts w:ascii="Times New Roman" w:hAnsi="Times New Roman" w:cs="Times New Roman"/>
          <w:sz w:val="28"/>
          <w:szCs w:val="28"/>
          <w:shd w:val="clear" w:color="auto" w:fill="FFFFFF"/>
        </w:rPr>
        <w:t>andante realizar un mayor esfuerzo argumentativo en aquellos casos en los cuales la disposición adoptada corresponde a la regulación de una materia en la que el legislador dispone, en general, de un amplio margen de configuración</w:t>
      </w:r>
      <w:r w:rsidRPr="00F33E35">
        <w:rPr>
          <w:rStyle w:val="Refdenotaalpie"/>
          <w:rFonts w:ascii="Times New Roman" w:hAnsi="Times New Roman" w:cs="Times New Roman"/>
          <w:sz w:val="28"/>
          <w:szCs w:val="28"/>
          <w:shd w:val="clear" w:color="auto" w:fill="FFFFFF"/>
        </w:rPr>
        <w:footnoteReference w:id="119"/>
      </w:r>
      <w:r w:rsidRPr="00F33E35">
        <w:rPr>
          <w:rFonts w:ascii="Times New Roman" w:hAnsi="Times New Roman" w:cs="Times New Roman"/>
          <w:sz w:val="28"/>
          <w:szCs w:val="28"/>
          <w:shd w:val="clear" w:color="auto" w:fill="FFFFFF"/>
        </w:rPr>
        <w:t>. En adición a ello, algun</w:t>
      </w:r>
      <w:r w:rsidRPr="00F33E35">
        <w:rPr>
          <w:rFonts w:ascii="Times New Roman" w:hAnsi="Times New Roman" w:cs="Times New Roman"/>
          <w:sz w:val="28"/>
          <w:szCs w:val="28"/>
          <w:shd w:val="clear" w:color="auto" w:fill="FFFFFF"/>
        </w:rPr>
        <w:t>os casos imponen una carga especial, tal y como ocurre cuando se cuestiona una disposición amparada por la cosa juzgada constitucional</w:t>
      </w:r>
      <w:r w:rsidRPr="00F33E35">
        <w:rPr>
          <w:rStyle w:val="Refdenotaalpie"/>
          <w:rFonts w:ascii="Times New Roman" w:hAnsi="Times New Roman" w:cs="Times New Roman"/>
          <w:sz w:val="28"/>
          <w:szCs w:val="28"/>
          <w:shd w:val="clear" w:color="auto" w:fill="FFFFFF"/>
        </w:rPr>
        <w:footnoteReference w:id="120"/>
      </w:r>
      <w:r w:rsidRPr="00F33E35">
        <w:rPr>
          <w:rFonts w:ascii="Times New Roman" w:hAnsi="Times New Roman" w:cs="Times New Roman"/>
          <w:sz w:val="28"/>
          <w:szCs w:val="28"/>
          <w:shd w:val="clear" w:color="auto" w:fill="FFFFFF"/>
        </w:rPr>
        <w:t>.</w:t>
      </w:r>
      <w:r w:rsidRPr="00F33E35">
        <w:rPr>
          <w:rFonts w:ascii="Times New Roman" w:hAnsi="Times New Roman" w:cs="Times New Roman"/>
          <w:sz w:val="28"/>
          <w:szCs w:val="28"/>
          <w:shd w:val="clear" w:color="auto" w:fill="FFFFFF"/>
        </w:rPr>
        <w:t xml:space="preserve">   </w:t>
      </w:r>
    </w:p>
    <w:p w:rsidR="0064698A" w:rsidRPr="00F33E35" w:rsidRDefault="00F33E35" w:rsidP="00B72E11">
      <w:pPr>
        <w:pStyle w:val="Prrafodelista"/>
        <w:tabs>
          <w:tab w:val="left" w:pos="426"/>
        </w:tabs>
        <w:spacing w:after="0" w:line="240" w:lineRule="auto"/>
        <w:ind w:left="0"/>
        <w:jc w:val="both"/>
        <w:rPr>
          <w:rFonts w:ascii="Times New Roman" w:hAnsi="Times New Roman" w:cs="Times New Roman"/>
          <w:sz w:val="28"/>
          <w:szCs w:val="28"/>
          <w:shd w:val="clear" w:color="auto" w:fill="FFFFFF"/>
        </w:rPr>
      </w:pPr>
    </w:p>
    <w:p w:rsidR="00884855" w:rsidRPr="00F33E35" w:rsidRDefault="00F33E35" w:rsidP="0064698A">
      <w:pPr>
        <w:pStyle w:val="Prrafodelista"/>
        <w:numPr>
          <w:ilvl w:val="0"/>
          <w:numId w:val="3"/>
        </w:numPr>
        <w:tabs>
          <w:tab w:val="left" w:pos="426"/>
        </w:tabs>
        <w:spacing w:after="0" w:line="240" w:lineRule="auto"/>
        <w:ind w:left="0"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Las </w:t>
      </w:r>
      <w:r w:rsidRPr="00F33E35">
        <w:rPr>
          <w:rFonts w:ascii="Times New Roman" w:hAnsi="Times New Roman" w:cs="Times New Roman"/>
          <w:i/>
          <w:sz w:val="28"/>
          <w:szCs w:val="28"/>
          <w:shd w:val="clear" w:color="auto" w:fill="FFFFFF"/>
        </w:rPr>
        <w:t>metodologías</w:t>
      </w:r>
      <w:r w:rsidRPr="00F33E35">
        <w:rPr>
          <w:rFonts w:ascii="Times New Roman" w:hAnsi="Times New Roman" w:cs="Times New Roman"/>
          <w:sz w:val="28"/>
          <w:szCs w:val="28"/>
          <w:shd w:val="clear" w:color="auto" w:fill="FFFFFF"/>
        </w:rPr>
        <w:t xml:space="preserve"> o </w:t>
      </w:r>
      <w:r w:rsidRPr="00F33E35">
        <w:rPr>
          <w:rFonts w:ascii="Times New Roman" w:hAnsi="Times New Roman" w:cs="Times New Roman"/>
          <w:i/>
          <w:sz w:val="28"/>
          <w:szCs w:val="28"/>
          <w:shd w:val="clear" w:color="auto" w:fill="FFFFFF"/>
        </w:rPr>
        <w:t>juicios</w:t>
      </w:r>
      <w:r w:rsidRPr="00F33E35">
        <w:rPr>
          <w:rFonts w:ascii="Times New Roman" w:hAnsi="Times New Roman" w:cs="Times New Roman"/>
          <w:sz w:val="28"/>
          <w:szCs w:val="28"/>
          <w:shd w:val="clear" w:color="auto" w:fill="FFFFFF"/>
        </w:rPr>
        <w:t xml:space="preserve"> que ha desarrollado en su jurisprudencia no agotan, naturalmente, las formas o estrategias que las personas y organizaciones -intérpretes cotidianos de la Constitución en los ámbitos en los que se desenvuelve la vida pública y privada- pueden emplear para</w:t>
      </w:r>
      <w:r w:rsidRPr="00F33E35">
        <w:rPr>
          <w:rFonts w:ascii="Times New Roman" w:hAnsi="Times New Roman" w:cs="Times New Roman"/>
          <w:sz w:val="28"/>
          <w:szCs w:val="28"/>
          <w:shd w:val="clear" w:color="auto" w:fill="FFFFFF"/>
        </w:rPr>
        <w:t xml:space="preserve"> demostrar la infracción de la Constitución. Sin embargo, para cumplir la carga de especificidad no es suficiente que presenten planteamientos genéricos puesto que deben desarrollar una actividad interpretativa que sugiera seriamente una oposición real ent</w:t>
      </w:r>
      <w:r w:rsidRPr="00F33E35">
        <w:rPr>
          <w:rFonts w:ascii="Times New Roman" w:hAnsi="Times New Roman" w:cs="Times New Roman"/>
          <w:sz w:val="28"/>
          <w:szCs w:val="28"/>
          <w:shd w:val="clear" w:color="auto" w:fill="FFFFFF"/>
        </w:rPr>
        <w:t xml:space="preserve">re la Constitución y la norma demandada.  </w:t>
      </w:r>
    </w:p>
    <w:p w:rsidR="00124A61" w:rsidRPr="00F33E35" w:rsidRDefault="00F33E35" w:rsidP="00B72E11">
      <w:pPr>
        <w:pStyle w:val="Prrafodelista"/>
        <w:tabs>
          <w:tab w:val="left" w:pos="426"/>
        </w:tabs>
        <w:spacing w:after="0" w:line="240" w:lineRule="auto"/>
        <w:ind w:left="0"/>
        <w:jc w:val="both"/>
        <w:rPr>
          <w:rFonts w:ascii="Times New Roman" w:hAnsi="Times New Roman" w:cs="Times New Roman"/>
          <w:sz w:val="28"/>
          <w:szCs w:val="28"/>
          <w:shd w:val="clear" w:color="auto" w:fill="FFFFFF"/>
        </w:rPr>
      </w:pPr>
    </w:p>
    <w:p w:rsidR="00884855" w:rsidRPr="00F33E35" w:rsidRDefault="00F33E35" w:rsidP="00124A61">
      <w:pPr>
        <w:pStyle w:val="Prrafodelista"/>
        <w:numPr>
          <w:ilvl w:val="0"/>
          <w:numId w:val="3"/>
        </w:numPr>
        <w:tabs>
          <w:tab w:val="left" w:pos="426"/>
        </w:tabs>
        <w:spacing w:after="0" w:line="240" w:lineRule="auto"/>
        <w:ind w:left="0"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La </w:t>
      </w:r>
      <w:r w:rsidRPr="00F33E35">
        <w:rPr>
          <w:rFonts w:ascii="Times New Roman" w:hAnsi="Times New Roman" w:cs="Times New Roman"/>
          <w:b/>
          <w:i/>
          <w:sz w:val="28"/>
          <w:szCs w:val="28"/>
          <w:shd w:val="clear" w:color="auto" w:fill="FFFFFF"/>
        </w:rPr>
        <w:t>suficiencia</w:t>
      </w:r>
      <w:r w:rsidRPr="00F33E35">
        <w:rPr>
          <w:rFonts w:ascii="Times New Roman" w:hAnsi="Times New Roman" w:cs="Times New Roman"/>
          <w:sz w:val="28"/>
          <w:szCs w:val="28"/>
          <w:shd w:val="clear" w:color="auto" w:fill="FFFFFF"/>
        </w:rPr>
        <w:t xml:space="preserve"> tiene</w:t>
      </w:r>
      <w:r w:rsidRPr="00F33E35">
        <w:rPr>
          <w:rFonts w:ascii="Times New Roman" w:hAnsi="Times New Roman" w:cs="Times New Roman"/>
          <w:sz w:val="28"/>
          <w:szCs w:val="28"/>
          <w:shd w:val="clear" w:color="auto" w:fill="FFFFFF"/>
        </w:rPr>
        <w:t>, en general,</w:t>
      </w:r>
      <w:r w:rsidRPr="00F33E35">
        <w:rPr>
          <w:rFonts w:ascii="Times New Roman" w:hAnsi="Times New Roman" w:cs="Times New Roman"/>
          <w:sz w:val="28"/>
          <w:szCs w:val="28"/>
          <w:shd w:val="clear" w:color="auto" w:fill="FFFFFF"/>
        </w:rPr>
        <w:t xml:space="preserve"> la condición de criterio de cierre para definir la aptitud del cargo. Según este Tribunal, su configuración se produce cuando la demanda consigue generar en la Corte una duda mínima sobre su constitucionalidad. Para ello será necesario analizar conjuntame</w:t>
      </w:r>
      <w:r w:rsidRPr="00F33E35">
        <w:rPr>
          <w:rFonts w:ascii="Times New Roman" w:hAnsi="Times New Roman" w:cs="Times New Roman"/>
          <w:sz w:val="28"/>
          <w:szCs w:val="28"/>
          <w:shd w:val="clear" w:color="auto" w:fill="FFFFFF"/>
        </w:rPr>
        <w:t>nte el cumplimiento de los demás requisitos a fin de identificar si la acusación logra persuadir a la Corte sobre la posible infracción de la Carta, de manera que pueda iniciarse “</w:t>
      </w:r>
      <w:r w:rsidRPr="00F33E35">
        <w:rPr>
          <w:rFonts w:ascii="Times New Roman" w:hAnsi="Times New Roman" w:cs="Times New Roman"/>
          <w:i/>
          <w:sz w:val="28"/>
          <w:szCs w:val="28"/>
          <w:shd w:val="clear" w:color="auto" w:fill="FFFFFF"/>
        </w:rPr>
        <w:t>un proceso dirigido a desvirtuar la presunción de constitucionalidad que amp</w:t>
      </w:r>
      <w:r w:rsidRPr="00F33E35">
        <w:rPr>
          <w:rFonts w:ascii="Times New Roman" w:hAnsi="Times New Roman" w:cs="Times New Roman"/>
          <w:i/>
          <w:sz w:val="28"/>
          <w:szCs w:val="28"/>
          <w:shd w:val="clear" w:color="auto" w:fill="FFFFFF"/>
        </w:rPr>
        <w:t>ara a toda norma legal y hace necesario un pronunciamiento por parte de la Corte Constitucional</w:t>
      </w:r>
      <w:r w:rsidRPr="00F33E35">
        <w:rPr>
          <w:rFonts w:ascii="Times New Roman" w:hAnsi="Times New Roman" w:cs="Times New Roman"/>
          <w:sz w:val="28"/>
          <w:szCs w:val="28"/>
          <w:shd w:val="clear" w:color="auto" w:fill="FFFFFF"/>
        </w:rPr>
        <w:t>”</w:t>
      </w:r>
      <w:r w:rsidRPr="00F33E35">
        <w:rPr>
          <w:rStyle w:val="Refdenotaalpie"/>
          <w:rFonts w:ascii="Times New Roman" w:hAnsi="Times New Roman" w:cs="Times New Roman"/>
          <w:sz w:val="28"/>
          <w:szCs w:val="28"/>
          <w:shd w:val="clear" w:color="auto" w:fill="FFFFFF"/>
        </w:rPr>
        <w:footnoteReference w:id="121"/>
      </w:r>
      <w:r w:rsidRPr="00F33E35">
        <w:rPr>
          <w:rFonts w:ascii="Times New Roman" w:hAnsi="Times New Roman" w:cs="Times New Roman"/>
          <w:sz w:val="28"/>
          <w:szCs w:val="28"/>
          <w:shd w:val="clear" w:color="auto" w:fill="FFFFFF"/>
        </w:rPr>
        <w:t>.</w:t>
      </w:r>
    </w:p>
    <w:p w:rsidR="00124A61" w:rsidRPr="00F33E35" w:rsidRDefault="00F33E35" w:rsidP="00B72E11">
      <w:pPr>
        <w:pStyle w:val="Prrafodelista"/>
        <w:tabs>
          <w:tab w:val="left" w:pos="426"/>
        </w:tabs>
        <w:spacing w:after="0" w:line="240" w:lineRule="auto"/>
        <w:ind w:left="0"/>
        <w:jc w:val="both"/>
        <w:rPr>
          <w:rFonts w:ascii="Times New Roman" w:hAnsi="Times New Roman" w:cs="Times New Roman"/>
          <w:sz w:val="28"/>
          <w:szCs w:val="28"/>
          <w:shd w:val="clear" w:color="auto" w:fill="FFFFFF"/>
        </w:rPr>
      </w:pPr>
    </w:p>
    <w:p w:rsidR="00A82BA4" w:rsidRPr="00F33E35" w:rsidRDefault="00F33E35" w:rsidP="00B72E11">
      <w:pPr>
        <w:pStyle w:val="Prrafodelista"/>
        <w:numPr>
          <w:ilvl w:val="0"/>
          <w:numId w:val="3"/>
        </w:numPr>
        <w:tabs>
          <w:tab w:val="left" w:pos="426"/>
        </w:tabs>
        <w:spacing w:after="0" w:line="240" w:lineRule="auto"/>
        <w:ind w:left="0" w:firstLine="0"/>
        <w:jc w:val="both"/>
        <w:rPr>
          <w:rFonts w:ascii="Times New Roman" w:hAnsi="Times New Roman" w:cs="Times New Roman"/>
          <w:sz w:val="28"/>
          <w:szCs w:val="28"/>
          <w:shd w:val="clear" w:color="auto" w:fill="FFFFFF"/>
        </w:rPr>
      </w:pPr>
      <w:r w:rsidRPr="00F33E35">
        <w:rPr>
          <w:rFonts w:ascii="Times New Roman" w:hAnsi="Times New Roman" w:cs="Times New Roman"/>
          <w:sz w:val="28"/>
          <w:szCs w:val="28"/>
          <w:shd w:val="clear" w:color="auto" w:fill="FFFFFF"/>
        </w:rPr>
        <w:t xml:space="preserve">Como síntesis de lo expuesto la </w:t>
      </w:r>
      <w:r w:rsidRPr="00F33E35">
        <w:rPr>
          <w:rFonts w:ascii="Times New Roman" w:hAnsi="Times New Roman" w:cs="Times New Roman"/>
          <w:sz w:val="28"/>
          <w:szCs w:val="28"/>
          <w:shd w:val="clear" w:color="auto" w:fill="FFFFFF"/>
        </w:rPr>
        <w:t>Sala Pl</w:t>
      </w:r>
      <w:r w:rsidRPr="00F33E35">
        <w:rPr>
          <w:rFonts w:ascii="Times New Roman" w:hAnsi="Times New Roman" w:cs="Times New Roman"/>
          <w:sz w:val="28"/>
          <w:szCs w:val="28"/>
          <w:shd w:val="clear" w:color="auto" w:fill="FFFFFF"/>
        </w:rPr>
        <w:t>e</w:t>
      </w:r>
      <w:r w:rsidRPr="00F33E35">
        <w:rPr>
          <w:rFonts w:ascii="Times New Roman" w:hAnsi="Times New Roman" w:cs="Times New Roman"/>
          <w:sz w:val="28"/>
          <w:szCs w:val="28"/>
          <w:shd w:val="clear" w:color="auto" w:fill="FFFFFF"/>
        </w:rPr>
        <w:t>na</w:t>
      </w:r>
      <w:r w:rsidRPr="00F33E35">
        <w:rPr>
          <w:rFonts w:ascii="Times New Roman" w:hAnsi="Times New Roman" w:cs="Times New Roman"/>
          <w:sz w:val="28"/>
          <w:szCs w:val="28"/>
          <w:shd w:val="clear" w:color="auto" w:fill="FFFFFF"/>
        </w:rPr>
        <w:t xml:space="preserve"> estima necesario destacar las siguientes premisas</w:t>
      </w:r>
      <w:r w:rsidRPr="00F33E35">
        <w:rPr>
          <w:rStyle w:val="Refdenotaalpie"/>
          <w:rFonts w:ascii="Times New Roman" w:hAnsi="Times New Roman" w:cs="Times New Roman"/>
          <w:sz w:val="28"/>
          <w:szCs w:val="28"/>
          <w:shd w:val="clear" w:color="auto" w:fill="FFFFFF"/>
        </w:rPr>
        <w:footnoteReference w:id="122"/>
      </w:r>
      <w:r w:rsidRPr="00F33E35">
        <w:rPr>
          <w:rFonts w:ascii="Times New Roman" w:hAnsi="Times New Roman" w:cs="Times New Roman"/>
          <w:sz w:val="28"/>
          <w:szCs w:val="28"/>
          <w:shd w:val="clear" w:color="auto" w:fill="FFFFFF"/>
        </w:rPr>
        <w:t xml:space="preserve">:    </w:t>
      </w:r>
    </w:p>
    <w:p w:rsidR="00A82BA4" w:rsidRPr="00F33E35" w:rsidRDefault="00F33E35" w:rsidP="00A82BA4">
      <w:pPr>
        <w:spacing w:after="0" w:line="240" w:lineRule="auto"/>
        <w:ind w:left="709"/>
        <w:jc w:val="both"/>
        <w:rPr>
          <w:rFonts w:ascii="Times New Roman" w:hAnsi="Times New Roman" w:cs="Times New Roman"/>
          <w:sz w:val="28"/>
          <w:szCs w:val="28"/>
          <w:shd w:val="clear" w:color="auto" w:fill="FFFFFF"/>
        </w:rPr>
      </w:pPr>
    </w:p>
    <w:p w:rsidR="00A82BA4" w:rsidRPr="00F33E35" w:rsidRDefault="00F33E35" w:rsidP="00A82BA4">
      <w:pPr>
        <w:numPr>
          <w:ilvl w:val="0"/>
          <w:numId w:val="7"/>
        </w:numPr>
        <w:spacing w:after="0" w:line="240" w:lineRule="auto"/>
        <w:ind w:left="709"/>
        <w:jc w:val="both"/>
        <w:rPr>
          <w:rFonts w:ascii="Times New Roman" w:eastAsia="Times New Roman" w:hAnsi="Times New Roman" w:cs="Times New Roman"/>
          <w:sz w:val="28"/>
          <w:szCs w:val="28"/>
          <w:lang w:eastAsia="es-ES"/>
        </w:rPr>
      </w:pPr>
      <w:r w:rsidRPr="00F33E35">
        <w:rPr>
          <w:rFonts w:ascii="Times New Roman" w:eastAsia="Times New Roman" w:hAnsi="Times New Roman" w:cs="Times New Roman"/>
          <w:sz w:val="28"/>
          <w:szCs w:val="28"/>
          <w:lang w:eastAsia="es-ES"/>
        </w:rPr>
        <w:t xml:space="preserve">Las </w:t>
      </w:r>
      <w:r w:rsidRPr="00F33E35">
        <w:rPr>
          <w:rFonts w:ascii="Times New Roman" w:eastAsia="Times New Roman" w:hAnsi="Times New Roman" w:cs="Times New Roman"/>
          <w:i/>
          <w:sz w:val="28"/>
          <w:szCs w:val="28"/>
          <w:lang w:eastAsia="es-ES"/>
        </w:rPr>
        <w:t>condiciones mínimas de argumentación</w:t>
      </w:r>
      <w:r w:rsidRPr="00F33E35">
        <w:rPr>
          <w:rFonts w:ascii="Times New Roman" w:eastAsia="Times New Roman" w:hAnsi="Times New Roman" w:cs="Times New Roman"/>
          <w:sz w:val="28"/>
          <w:szCs w:val="28"/>
          <w:lang w:eastAsia="es-ES"/>
        </w:rPr>
        <w:t>,</w:t>
      </w:r>
      <w:r w:rsidRPr="00F33E35">
        <w:rPr>
          <w:rFonts w:ascii="Times New Roman" w:eastAsia="Times New Roman" w:hAnsi="Times New Roman" w:cs="Times New Roman"/>
          <w:i/>
          <w:sz w:val="28"/>
          <w:szCs w:val="28"/>
          <w:lang w:eastAsia="es-ES"/>
        </w:rPr>
        <w:t xml:space="preserve"> </w:t>
      </w:r>
      <w:r w:rsidRPr="00F33E35">
        <w:rPr>
          <w:rFonts w:ascii="Times New Roman" w:eastAsia="Times New Roman" w:hAnsi="Times New Roman" w:cs="Times New Roman"/>
          <w:sz w:val="28"/>
          <w:szCs w:val="28"/>
          <w:lang w:eastAsia="es-ES"/>
        </w:rPr>
        <w:t>indispensables</w:t>
      </w:r>
      <w:r w:rsidRPr="00F33E35">
        <w:rPr>
          <w:rFonts w:ascii="Times New Roman" w:eastAsia="Times New Roman" w:hAnsi="Times New Roman" w:cs="Times New Roman"/>
          <w:sz w:val="28"/>
          <w:szCs w:val="28"/>
          <w:lang w:eastAsia="es-ES"/>
        </w:rPr>
        <w:t xml:space="preserve"> para que la Corte adopte un pronunciamiento de fondo, toman nota de la tensión que el ejercicio de dicha acción puede provocar con el principio democrático y el carácter rogado que, por regla general, tiene el ejercicio del control de constitucionalidad</w:t>
      </w:r>
      <w:r w:rsidRPr="00F33E35">
        <w:rPr>
          <w:rFonts w:ascii="Times New Roman" w:eastAsia="Times New Roman" w:hAnsi="Times New Roman" w:cs="Times New Roman"/>
          <w:sz w:val="28"/>
          <w:szCs w:val="28"/>
          <w:lang w:eastAsia="es-ES"/>
        </w:rPr>
        <w:t>.</w:t>
      </w:r>
      <w:r w:rsidRPr="00F33E35">
        <w:rPr>
          <w:rFonts w:ascii="Times New Roman" w:eastAsia="Times New Roman" w:hAnsi="Times New Roman" w:cs="Times New Roman"/>
          <w:sz w:val="28"/>
          <w:szCs w:val="28"/>
          <w:lang w:eastAsia="es-ES"/>
        </w:rPr>
        <w:t xml:space="preserve"> </w:t>
      </w:r>
    </w:p>
    <w:p w:rsidR="00A82BA4" w:rsidRPr="00F33E35" w:rsidRDefault="00F33E35" w:rsidP="00A82BA4">
      <w:pPr>
        <w:spacing w:after="0" w:line="240" w:lineRule="auto"/>
        <w:ind w:left="709"/>
        <w:jc w:val="both"/>
        <w:rPr>
          <w:rFonts w:ascii="Times New Roman" w:eastAsia="Times New Roman" w:hAnsi="Times New Roman" w:cs="Times New Roman"/>
          <w:sz w:val="28"/>
          <w:szCs w:val="28"/>
          <w:lang w:eastAsia="es-ES"/>
        </w:rPr>
      </w:pPr>
    </w:p>
    <w:p w:rsidR="00A82BA4" w:rsidRPr="00F33E35" w:rsidRDefault="00F33E35" w:rsidP="00A82BA4">
      <w:pPr>
        <w:numPr>
          <w:ilvl w:val="0"/>
          <w:numId w:val="7"/>
        </w:numPr>
        <w:spacing w:after="0" w:line="240" w:lineRule="auto"/>
        <w:ind w:left="709"/>
        <w:jc w:val="both"/>
        <w:rPr>
          <w:rFonts w:ascii="Times New Roman" w:eastAsia="Times New Roman" w:hAnsi="Times New Roman" w:cs="Times New Roman"/>
          <w:sz w:val="28"/>
          <w:szCs w:val="28"/>
          <w:lang w:eastAsia="es-ES"/>
        </w:rPr>
      </w:pPr>
      <w:r w:rsidRPr="00F33E35">
        <w:rPr>
          <w:rFonts w:ascii="Times New Roman" w:eastAsia="Times New Roman" w:hAnsi="Times New Roman" w:cs="Times New Roman"/>
          <w:sz w:val="28"/>
          <w:szCs w:val="28"/>
          <w:lang w:eastAsia="es-ES"/>
        </w:rPr>
        <w:t>La aplicación de esas condiciones no puede ocurrir de un modo que fije estándares de tal grado de complejidad que demanden más de aquello que la razonabilidad exige para el inicio del diálogo constituciona</w:t>
      </w:r>
      <w:r w:rsidRPr="00F33E35">
        <w:rPr>
          <w:rFonts w:ascii="Times New Roman" w:eastAsia="Times New Roman" w:hAnsi="Times New Roman" w:cs="Times New Roman"/>
          <w:sz w:val="28"/>
          <w:szCs w:val="28"/>
          <w:lang w:eastAsia="es-ES"/>
        </w:rPr>
        <w:t>l</w:t>
      </w:r>
      <w:r w:rsidRPr="00F33E35">
        <w:rPr>
          <w:rFonts w:ascii="Times New Roman" w:eastAsia="Times New Roman" w:hAnsi="Times New Roman" w:cs="Times New Roman"/>
          <w:sz w:val="28"/>
          <w:szCs w:val="28"/>
          <w:lang w:eastAsia="es-ES"/>
        </w:rPr>
        <w:t>.</w:t>
      </w:r>
      <w:r w:rsidRPr="00F33E35">
        <w:rPr>
          <w:rFonts w:ascii="Times New Roman" w:eastAsia="Times New Roman" w:hAnsi="Times New Roman" w:cs="Times New Roman"/>
          <w:sz w:val="28"/>
          <w:szCs w:val="28"/>
          <w:lang w:eastAsia="es-ES"/>
        </w:rPr>
        <w:t xml:space="preserve"> </w:t>
      </w:r>
    </w:p>
    <w:p w:rsidR="00A82BA4" w:rsidRPr="00F33E35" w:rsidRDefault="00F33E35" w:rsidP="00A82BA4">
      <w:pPr>
        <w:pStyle w:val="Prrafodelista"/>
        <w:spacing w:after="0" w:line="240" w:lineRule="auto"/>
        <w:ind w:left="709"/>
        <w:rPr>
          <w:rFonts w:ascii="Times New Roman" w:eastAsia="Times New Roman" w:hAnsi="Times New Roman" w:cs="Times New Roman"/>
          <w:sz w:val="28"/>
          <w:szCs w:val="28"/>
          <w:lang w:eastAsia="es-ES"/>
        </w:rPr>
      </w:pPr>
    </w:p>
    <w:p w:rsidR="00A82BA4" w:rsidRPr="00F33E35" w:rsidRDefault="00F33E35" w:rsidP="00A82BA4">
      <w:pPr>
        <w:numPr>
          <w:ilvl w:val="0"/>
          <w:numId w:val="7"/>
        </w:numPr>
        <w:spacing w:after="0" w:line="240" w:lineRule="auto"/>
        <w:ind w:left="709"/>
        <w:jc w:val="both"/>
        <w:rPr>
          <w:rFonts w:ascii="Times New Roman" w:eastAsia="Times New Roman" w:hAnsi="Times New Roman" w:cs="Times New Roman"/>
          <w:sz w:val="28"/>
          <w:szCs w:val="28"/>
          <w:lang w:eastAsia="es-ES"/>
        </w:rPr>
      </w:pPr>
      <w:r w:rsidRPr="00F33E35">
        <w:rPr>
          <w:rFonts w:ascii="Times New Roman" w:eastAsia="Times New Roman" w:hAnsi="Times New Roman" w:cs="Times New Roman"/>
          <w:sz w:val="28"/>
          <w:szCs w:val="28"/>
          <w:lang w:eastAsia="es-ES"/>
        </w:rPr>
        <w:t>No es admisible tampoco una aplicación extre</w:t>
      </w:r>
      <w:r w:rsidRPr="00F33E35">
        <w:rPr>
          <w:rFonts w:ascii="Times New Roman" w:eastAsia="Times New Roman" w:hAnsi="Times New Roman" w:cs="Times New Roman"/>
          <w:sz w:val="28"/>
          <w:szCs w:val="28"/>
          <w:lang w:eastAsia="es-ES"/>
        </w:rPr>
        <w:t>madamente flexible al punto que la demanda de inconstitucionalidad pierda todo sentido como referente del diálogo y termine delimitándose por los intervinientes o, en su caso, por la propia Corte</w:t>
      </w:r>
      <w:r w:rsidRPr="00F33E35">
        <w:rPr>
          <w:rFonts w:ascii="Times New Roman" w:eastAsia="Times New Roman" w:hAnsi="Times New Roman" w:cs="Times New Roman"/>
          <w:sz w:val="28"/>
          <w:szCs w:val="28"/>
          <w:lang w:eastAsia="es-ES"/>
        </w:rPr>
        <w:t>.</w:t>
      </w:r>
      <w:r w:rsidRPr="00F33E35">
        <w:rPr>
          <w:rFonts w:ascii="Times New Roman" w:eastAsia="Times New Roman" w:hAnsi="Times New Roman" w:cs="Times New Roman"/>
          <w:sz w:val="28"/>
          <w:szCs w:val="28"/>
          <w:lang w:eastAsia="es-ES"/>
        </w:rPr>
        <w:t xml:space="preserve"> </w:t>
      </w:r>
    </w:p>
    <w:p w:rsidR="00A82BA4" w:rsidRPr="00F33E35" w:rsidRDefault="00F33E35" w:rsidP="00A82BA4">
      <w:pPr>
        <w:pStyle w:val="Prrafodelista"/>
        <w:spacing w:after="0" w:line="240" w:lineRule="auto"/>
        <w:ind w:left="709"/>
        <w:rPr>
          <w:rFonts w:ascii="Times New Roman" w:eastAsia="Times New Roman" w:hAnsi="Times New Roman" w:cs="Times New Roman"/>
          <w:sz w:val="28"/>
          <w:szCs w:val="28"/>
          <w:lang w:eastAsia="es-ES"/>
        </w:rPr>
      </w:pPr>
    </w:p>
    <w:p w:rsidR="00A82BA4" w:rsidRPr="00F33E35" w:rsidRDefault="00F33E35" w:rsidP="00A82BA4">
      <w:pPr>
        <w:numPr>
          <w:ilvl w:val="0"/>
          <w:numId w:val="7"/>
        </w:numPr>
        <w:spacing w:after="0" w:line="240" w:lineRule="auto"/>
        <w:ind w:left="709"/>
        <w:jc w:val="both"/>
        <w:rPr>
          <w:rFonts w:ascii="Times New Roman" w:eastAsia="Times New Roman" w:hAnsi="Times New Roman" w:cs="Times New Roman"/>
          <w:sz w:val="28"/>
          <w:szCs w:val="28"/>
          <w:lang w:eastAsia="es-ES"/>
        </w:rPr>
      </w:pPr>
      <w:r w:rsidRPr="00F33E35">
        <w:rPr>
          <w:rFonts w:ascii="Times New Roman" w:eastAsia="Times New Roman" w:hAnsi="Times New Roman" w:cs="Times New Roman"/>
          <w:sz w:val="28"/>
          <w:szCs w:val="28"/>
          <w:lang w:eastAsia="es-ES"/>
        </w:rPr>
        <w:t xml:space="preserve">El ciudadano que pretenda activar las competencias de este Tribunal debe manifestar un interés real por salvaguardar la supremacía e integridad de la Constitución que se materializa cuando, al impugnar la ley, presenta razones que (a) </w:t>
      </w:r>
      <w:r w:rsidRPr="00F33E35">
        <w:rPr>
          <w:rFonts w:ascii="Times New Roman" w:eastAsia="Times New Roman" w:hAnsi="Times New Roman" w:cs="Times New Roman"/>
          <w:sz w:val="28"/>
          <w:szCs w:val="28"/>
          <w:lang w:eastAsia="es-ES"/>
        </w:rPr>
        <w:t>sean inteligibles o c</w:t>
      </w:r>
      <w:r w:rsidRPr="00F33E35">
        <w:rPr>
          <w:rFonts w:ascii="Times New Roman" w:eastAsia="Times New Roman" w:hAnsi="Times New Roman" w:cs="Times New Roman"/>
          <w:sz w:val="28"/>
          <w:szCs w:val="28"/>
          <w:lang w:eastAsia="es-ES"/>
        </w:rPr>
        <w:t>omprensibles</w:t>
      </w:r>
      <w:r w:rsidRPr="00F33E35">
        <w:rPr>
          <w:rFonts w:ascii="Times New Roman" w:eastAsia="Times New Roman" w:hAnsi="Times New Roman" w:cs="Times New Roman"/>
          <w:sz w:val="28"/>
          <w:szCs w:val="28"/>
          <w:lang w:eastAsia="es-ES"/>
        </w:rPr>
        <w:t xml:space="preserve"> (claridad); (b) se encami</w:t>
      </w:r>
      <w:r w:rsidRPr="00F33E35">
        <w:rPr>
          <w:rFonts w:ascii="Times New Roman" w:eastAsia="Times New Roman" w:hAnsi="Times New Roman" w:cs="Times New Roman"/>
          <w:sz w:val="28"/>
          <w:szCs w:val="28"/>
          <w:lang w:eastAsia="es-ES"/>
        </w:rPr>
        <w:t>e</w:t>
      </w:r>
      <w:r w:rsidRPr="00F33E35">
        <w:rPr>
          <w:rFonts w:ascii="Times New Roman" w:eastAsia="Times New Roman" w:hAnsi="Times New Roman" w:cs="Times New Roman"/>
          <w:sz w:val="28"/>
          <w:szCs w:val="28"/>
          <w:lang w:eastAsia="es-ES"/>
        </w:rPr>
        <w:t>n a cuestionar los significados de la ley vigente (certeza); (c) correspondan a cuestiones constitucionales, esto es, que tengan por objeto preservar la vigencia de la Carta (pertinencia); y (d) planteen en qué sentid</w:t>
      </w:r>
      <w:r w:rsidRPr="00F33E35">
        <w:rPr>
          <w:rFonts w:ascii="Times New Roman" w:eastAsia="Times New Roman" w:hAnsi="Times New Roman" w:cs="Times New Roman"/>
          <w:sz w:val="28"/>
          <w:szCs w:val="28"/>
          <w:lang w:eastAsia="es-ES"/>
        </w:rPr>
        <w:t xml:space="preserve">o específico se produjo la infracción de la Constitución (especificidad). Solo así reunidos los elementos relevantes para el juicio (d) se suscitará una duda mínima sobre la validez de la ley (suficiencia). </w:t>
      </w:r>
    </w:p>
    <w:p w:rsidR="00A82BA4" w:rsidRPr="00F33E35" w:rsidRDefault="00F33E35" w:rsidP="00A82BA4">
      <w:pPr>
        <w:spacing w:after="0" w:line="240" w:lineRule="auto"/>
        <w:jc w:val="both"/>
        <w:rPr>
          <w:rFonts w:ascii="Times New Roman" w:eastAsia="Times New Roman" w:hAnsi="Times New Roman" w:cs="Times New Roman"/>
          <w:sz w:val="28"/>
          <w:szCs w:val="28"/>
          <w:lang w:eastAsia="es-ES"/>
        </w:rPr>
      </w:pPr>
    </w:p>
    <w:p w:rsidR="00A82BA4" w:rsidRPr="00F33E35" w:rsidRDefault="00F33E35" w:rsidP="00A82BA4">
      <w:pPr>
        <w:numPr>
          <w:ilvl w:val="0"/>
          <w:numId w:val="7"/>
        </w:numPr>
        <w:spacing w:after="0" w:line="240" w:lineRule="auto"/>
        <w:ind w:left="709"/>
        <w:jc w:val="both"/>
        <w:rPr>
          <w:rFonts w:ascii="Times New Roman" w:eastAsia="Times New Roman" w:hAnsi="Times New Roman" w:cs="Times New Roman"/>
          <w:sz w:val="28"/>
          <w:szCs w:val="28"/>
          <w:lang w:eastAsia="es-ES"/>
        </w:rPr>
      </w:pPr>
      <w:r w:rsidRPr="00F33E35">
        <w:rPr>
          <w:rFonts w:ascii="Times New Roman" w:eastAsia="Times New Roman" w:hAnsi="Times New Roman" w:cs="Times New Roman"/>
          <w:sz w:val="28"/>
          <w:szCs w:val="28"/>
          <w:lang w:eastAsia="es-ES"/>
        </w:rPr>
        <w:t xml:space="preserve">El punto en el que debe trazarse la línea para </w:t>
      </w:r>
      <w:r w:rsidRPr="00F33E35">
        <w:rPr>
          <w:rFonts w:ascii="Times New Roman" w:eastAsia="Times New Roman" w:hAnsi="Times New Roman" w:cs="Times New Roman"/>
          <w:sz w:val="28"/>
          <w:szCs w:val="28"/>
          <w:lang w:eastAsia="es-ES"/>
        </w:rPr>
        <w:t>definir el cumplimiento o no de las condiciones de la admisibilidad de la demanda no es una materia exenta de dificultades, siendo deber de este Tribunal (i) fijar y aplicar estándares argumentativos relativamente uniformes que aseguren el carácter univers</w:t>
      </w:r>
      <w:r w:rsidRPr="00F33E35">
        <w:rPr>
          <w:rFonts w:ascii="Times New Roman" w:eastAsia="Times New Roman" w:hAnsi="Times New Roman" w:cs="Times New Roman"/>
          <w:sz w:val="28"/>
          <w:szCs w:val="28"/>
          <w:lang w:eastAsia="es-ES"/>
        </w:rPr>
        <w:t xml:space="preserve">al del derecho a impugnar la validez de las leyes y (ii) no requerir del demandante el cumplimiento de cargas equivalentes a las condiciones de motivación que debe cumplir la Corte Constitucional al momento de tomar una decisión de fondo.   </w:t>
      </w:r>
    </w:p>
    <w:p w:rsidR="00A82BA4" w:rsidRPr="00F33E35" w:rsidRDefault="00F33E35" w:rsidP="00A82BA4">
      <w:pPr>
        <w:spacing w:after="0" w:line="240" w:lineRule="auto"/>
        <w:jc w:val="both"/>
        <w:rPr>
          <w:rFonts w:ascii="Times New Roman" w:hAnsi="Times New Roman" w:cs="Times New Roman"/>
          <w:b/>
          <w:sz w:val="28"/>
          <w:szCs w:val="28"/>
          <w:shd w:val="clear" w:color="auto" w:fill="FFFFFF"/>
        </w:rPr>
      </w:pPr>
    </w:p>
    <w:p w:rsidR="00A82BA4" w:rsidRPr="00F33E35" w:rsidRDefault="00F33E35" w:rsidP="00A82BA4">
      <w:pPr>
        <w:spacing w:after="0" w:line="240" w:lineRule="auto"/>
        <w:jc w:val="both"/>
        <w:rPr>
          <w:rFonts w:ascii="Times New Roman" w:hAnsi="Times New Roman" w:cs="Times New Roman"/>
          <w:b/>
          <w:sz w:val="28"/>
          <w:szCs w:val="28"/>
          <w:shd w:val="clear" w:color="auto" w:fill="FFFFFF"/>
        </w:rPr>
      </w:pPr>
      <w:r w:rsidRPr="00F33E35">
        <w:rPr>
          <w:rFonts w:ascii="Times New Roman" w:hAnsi="Times New Roman" w:cs="Times New Roman"/>
          <w:b/>
          <w:sz w:val="28"/>
          <w:szCs w:val="28"/>
          <w:shd w:val="clear" w:color="auto" w:fill="FFFFFF"/>
        </w:rPr>
        <w:t xml:space="preserve">La demanda </w:t>
      </w:r>
      <w:r w:rsidRPr="00F33E35">
        <w:rPr>
          <w:rFonts w:ascii="Times New Roman" w:hAnsi="Times New Roman" w:cs="Times New Roman"/>
          <w:b/>
          <w:sz w:val="28"/>
          <w:szCs w:val="28"/>
          <w:shd w:val="clear" w:color="auto" w:fill="FFFFFF"/>
        </w:rPr>
        <w:t>presentada no cumple las condiciones mínimas para provocar una decisión de fondo</w:t>
      </w:r>
    </w:p>
    <w:p w:rsidR="00FF5603" w:rsidRPr="00F33E35" w:rsidRDefault="00F33E35" w:rsidP="008158EB">
      <w:pPr>
        <w:pStyle w:val="Prrafodelista"/>
        <w:spacing w:after="0" w:line="240" w:lineRule="auto"/>
        <w:ind w:left="0"/>
        <w:contextualSpacing w:val="0"/>
        <w:rPr>
          <w:rFonts w:ascii="Times New Roman" w:hAnsi="Times New Roman" w:cs="Times New Roman"/>
          <w:sz w:val="28"/>
          <w:szCs w:val="28"/>
        </w:rPr>
      </w:pPr>
    </w:p>
    <w:p w:rsidR="00FF5603" w:rsidRPr="00F33E35" w:rsidRDefault="00F33E35" w:rsidP="00AB0CC5">
      <w:pPr>
        <w:pStyle w:val="Sinespaciado"/>
        <w:numPr>
          <w:ilvl w:val="0"/>
          <w:numId w:val="3"/>
        </w:numPr>
        <w:tabs>
          <w:tab w:val="left" w:pos="426"/>
        </w:tabs>
        <w:ind w:left="0" w:firstLine="0"/>
        <w:jc w:val="both"/>
        <w:rPr>
          <w:rFonts w:ascii="Times New Roman" w:hAnsi="Times New Roman" w:cs="Times New Roman"/>
          <w:snapToGrid w:val="0"/>
          <w:sz w:val="28"/>
          <w:szCs w:val="28"/>
          <w:lang w:val="es-ES" w:eastAsia="es-ES"/>
        </w:rPr>
      </w:pPr>
      <w:r w:rsidRPr="00F33E35">
        <w:rPr>
          <w:rFonts w:ascii="Times New Roman" w:hAnsi="Times New Roman" w:cs="Times New Roman"/>
          <w:sz w:val="28"/>
          <w:szCs w:val="28"/>
        </w:rPr>
        <w:t xml:space="preserve">En las intervenciones presentadas por la Comisión Colombiana de Juristas y, de manera conjunta, por la Fundación Karisma y el Centro de Internet y Sociedad de la Universidad </w:t>
      </w:r>
      <w:r w:rsidRPr="00F33E35">
        <w:rPr>
          <w:rFonts w:ascii="Times New Roman" w:hAnsi="Times New Roman" w:cs="Times New Roman"/>
          <w:sz w:val="28"/>
          <w:szCs w:val="28"/>
        </w:rPr>
        <w:t xml:space="preserve">del Rosario, se </w:t>
      </w:r>
      <w:r w:rsidRPr="00F33E35">
        <w:rPr>
          <w:rFonts w:ascii="Times New Roman" w:hAnsi="Times New Roman" w:cs="Times New Roman"/>
          <w:sz w:val="28"/>
          <w:szCs w:val="28"/>
        </w:rPr>
        <w:t xml:space="preserve">le </w:t>
      </w:r>
      <w:r w:rsidRPr="00F33E35">
        <w:rPr>
          <w:rFonts w:ascii="Times New Roman" w:hAnsi="Times New Roman" w:cs="Times New Roman"/>
          <w:sz w:val="28"/>
          <w:szCs w:val="28"/>
        </w:rPr>
        <w:t>solici</w:t>
      </w:r>
      <w:r w:rsidRPr="00F33E35">
        <w:rPr>
          <w:rFonts w:ascii="Times New Roman" w:hAnsi="Times New Roman" w:cs="Times New Roman"/>
          <w:sz w:val="28"/>
          <w:szCs w:val="28"/>
        </w:rPr>
        <w:t>tó</w:t>
      </w:r>
      <w:r w:rsidRPr="00F33E35">
        <w:rPr>
          <w:rFonts w:ascii="Times New Roman" w:hAnsi="Times New Roman" w:cs="Times New Roman"/>
          <w:sz w:val="28"/>
          <w:szCs w:val="28"/>
        </w:rPr>
        <w:t xml:space="preserve"> a la Corte </w:t>
      </w:r>
      <w:r w:rsidRPr="00F33E35">
        <w:rPr>
          <w:rFonts w:ascii="Times New Roman" w:hAnsi="Times New Roman" w:cs="Times New Roman"/>
          <w:i/>
          <w:iCs/>
          <w:sz w:val="28"/>
          <w:szCs w:val="28"/>
        </w:rPr>
        <w:t>inhibi</w:t>
      </w:r>
      <w:r w:rsidRPr="00F33E35">
        <w:rPr>
          <w:rFonts w:ascii="Times New Roman" w:hAnsi="Times New Roman" w:cs="Times New Roman"/>
          <w:i/>
          <w:iCs/>
          <w:sz w:val="28"/>
          <w:szCs w:val="28"/>
        </w:rPr>
        <w:t>rse</w:t>
      </w:r>
      <w:r w:rsidRPr="00F33E35">
        <w:rPr>
          <w:rFonts w:ascii="Times New Roman" w:hAnsi="Times New Roman" w:cs="Times New Roman"/>
          <w:sz w:val="28"/>
          <w:szCs w:val="28"/>
        </w:rPr>
        <w:t>, dado que la carga argumentativa presentada en la demanda no re</w:t>
      </w:r>
      <w:r w:rsidRPr="00F33E35">
        <w:rPr>
          <w:rFonts w:ascii="Times New Roman" w:hAnsi="Times New Roman" w:cs="Times New Roman"/>
          <w:sz w:val="28"/>
          <w:szCs w:val="28"/>
        </w:rPr>
        <w:t>u</w:t>
      </w:r>
      <w:r w:rsidRPr="00F33E35">
        <w:rPr>
          <w:rFonts w:ascii="Times New Roman" w:hAnsi="Times New Roman" w:cs="Times New Roman"/>
          <w:sz w:val="28"/>
          <w:szCs w:val="28"/>
        </w:rPr>
        <w:t>n</w:t>
      </w:r>
      <w:r w:rsidRPr="00F33E35">
        <w:rPr>
          <w:rFonts w:ascii="Times New Roman" w:hAnsi="Times New Roman" w:cs="Times New Roman"/>
          <w:sz w:val="28"/>
          <w:szCs w:val="28"/>
        </w:rPr>
        <w:t>ía</w:t>
      </w:r>
      <w:r w:rsidRPr="00F33E35">
        <w:rPr>
          <w:rFonts w:ascii="Times New Roman" w:hAnsi="Times New Roman" w:cs="Times New Roman"/>
          <w:sz w:val="28"/>
          <w:szCs w:val="28"/>
        </w:rPr>
        <w:t xml:space="preserve"> los mínimos de </w:t>
      </w:r>
      <w:r w:rsidRPr="00F33E35">
        <w:rPr>
          <w:rFonts w:ascii="Times New Roman" w:hAnsi="Times New Roman" w:cs="Times New Roman"/>
          <w:i/>
          <w:iCs/>
          <w:sz w:val="28"/>
          <w:szCs w:val="28"/>
        </w:rPr>
        <w:t>certeza</w:t>
      </w:r>
      <w:r w:rsidRPr="00F33E35">
        <w:rPr>
          <w:rFonts w:ascii="Times New Roman" w:hAnsi="Times New Roman" w:cs="Times New Roman"/>
          <w:sz w:val="28"/>
          <w:szCs w:val="28"/>
        </w:rPr>
        <w:t xml:space="preserve"> y </w:t>
      </w:r>
      <w:r w:rsidRPr="00F33E35">
        <w:rPr>
          <w:rFonts w:ascii="Times New Roman" w:hAnsi="Times New Roman" w:cs="Times New Roman"/>
          <w:i/>
          <w:iCs/>
          <w:sz w:val="28"/>
          <w:szCs w:val="28"/>
        </w:rPr>
        <w:t>pertinencia</w:t>
      </w:r>
      <w:r w:rsidRPr="00F33E35">
        <w:rPr>
          <w:rFonts w:ascii="Times New Roman" w:hAnsi="Times New Roman" w:cs="Times New Roman"/>
          <w:sz w:val="28"/>
          <w:szCs w:val="28"/>
        </w:rPr>
        <w:t>.</w:t>
      </w:r>
    </w:p>
    <w:p w:rsidR="00FF5603" w:rsidRPr="00F33E35" w:rsidRDefault="00F33E35" w:rsidP="008158EB">
      <w:pPr>
        <w:pStyle w:val="Prrafodelista"/>
        <w:spacing w:after="0" w:line="240" w:lineRule="auto"/>
        <w:ind w:left="0"/>
        <w:contextualSpacing w:val="0"/>
        <w:rPr>
          <w:rFonts w:ascii="Times New Roman" w:hAnsi="Times New Roman" w:cs="Times New Roman"/>
          <w:sz w:val="28"/>
          <w:szCs w:val="28"/>
        </w:rPr>
      </w:pPr>
    </w:p>
    <w:p w:rsidR="00FF5603" w:rsidRPr="00F33E35" w:rsidRDefault="00F33E35" w:rsidP="008158EB">
      <w:pPr>
        <w:pStyle w:val="Sinespaciado"/>
        <w:numPr>
          <w:ilvl w:val="0"/>
          <w:numId w:val="3"/>
        </w:numPr>
        <w:tabs>
          <w:tab w:val="left" w:pos="426"/>
        </w:tabs>
        <w:ind w:left="0" w:firstLine="0"/>
        <w:jc w:val="both"/>
        <w:rPr>
          <w:rFonts w:ascii="Times New Roman" w:hAnsi="Times New Roman" w:cs="Times New Roman"/>
          <w:snapToGrid w:val="0"/>
          <w:sz w:val="28"/>
          <w:szCs w:val="28"/>
          <w:lang w:val="es-ES" w:eastAsia="es-ES"/>
        </w:rPr>
      </w:pPr>
      <w:r w:rsidRPr="00F33E35">
        <w:rPr>
          <w:rFonts w:ascii="Times New Roman" w:hAnsi="Times New Roman" w:cs="Times New Roman"/>
          <w:sz w:val="28"/>
          <w:szCs w:val="28"/>
        </w:rPr>
        <w:t xml:space="preserve">Frente al </w:t>
      </w:r>
      <w:r w:rsidRPr="00F33E35">
        <w:rPr>
          <w:rFonts w:ascii="Times New Roman" w:hAnsi="Times New Roman" w:cs="Times New Roman"/>
          <w:b/>
          <w:bCs/>
          <w:sz w:val="28"/>
          <w:szCs w:val="28"/>
        </w:rPr>
        <w:t xml:space="preserve">artículo 17 (parcial) </w:t>
      </w:r>
      <w:r w:rsidRPr="00F33E35">
        <w:rPr>
          <w:rFonts w:ascii="Times New Roman" w:hAnsi="Times New Roman" w:cs="Times New Roman"/>
          <w:sz w:val="28"/>
          <w:szCs w:val="28"/>
        </w:rPr>
        <w:t xml:space="preserve">de la Ley 1621 de 2013, sobre el requisito de </w:t>
      </w:r>
      <w:r w:rsidRPr="00F33E35">
        <w:rPr>
          <w:rFonts w:ascii="Times New Roman" w:hAnsi="Times New Roman" w:cs="Times New Roman"/>
          <w:i/>
          <w:iCs/>
          <w:sz w:val="28"/>
          <w:szCs w:val="28"/>
        </w:rPr>
        <w:t>certeza</w:t>
      </w:r>
      <w:r w:rsidRPr="00F33E35">
        <w:rPr>
          <w:rFonts w:ascii="Times New Roman" w:hAnsi="Times New Roman" w:cs="Times New Roman"/>
          <w:sz w:val="28"/>
          <w:szCs w:val="28"/>
        </w:rPr>
        <w:t xml:space="preserve">, los intervinientes manifestaron que el cargo no cuestiona una norma real y existente, sino que parte de conjeturas y en la deducción propia de las y los demandantes sobre la naturaleza del monitoreo del espectro electromagnético. </w:t>
      </w:r>
      <w:r w:rsidRPr="00F33E35">
        <w:rPr>
          <w:rFonts w:ascii="Times New Roman" w:hAnsi="Times New Roman" w:cs="Times New Roman"/>
          <w:sz w:val="28"/>
          <w:szCs w:val="28"/>
        </w:rPr>
        <w:t>Según las intervinientes</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 xml:space="preserve">la demanda supone que el texto demandado permite la interceptación de comunicaciones sin autorización judicial previa, </w:t>
      </w:r>
      <w:r w:rsidRPr="00F33E35">
        <w:rPr>
          <w:rFonts w:ascii="Times New Roman" w:hAnsi="Times New Roman" w:cs="Times New Roman"/>
          <w:sz w:val="28"/>
          <w:szCs w:val="28"/>
        </w:rPr>
        <w:t xml:space="preserve">lo que no es concordante con </w:t>
      </w:r>
      <w:r w:rsidRPr="00F33E35">
        <w:rPr>
          <w:rFonts w:ascii="Times New Roman" w:hAnsi="Times New Roman" w:cs="Times New Roman"/>
          <w:sz w:val="28"/>
          <w:szCs w:val="28"/>
        </w:rPr>
        <w:t>el significado y alcance que la Sentencia C-540 de 201</w:t>
      </w:r>
      <w:r w:rsidRPr="00F33E35">
        <w:rPr>
          <w:rFonts w:ascii="Times New Roman" w:hAnsi="Times New Roman" w:cs="Times New Roman"/>
          <w:sz w:val="28"/>
          <w:szCs w:val="28"/>
        </w:rPr>
        <w:t>2</w:t>
      </w:r>
      <w:r w:rsidRPr="00F33E35">
        <w:rPr>
          <w:rFonts w:ascii="Times New Roman" w:hAnsi="Times New Roman" w:cs="Times New Roman"/>
          <w:sz w:val="28"/>
          <w:szCs w:val="28"/>
        </w:rPr>
        <w:t xml:space="preserve"> le dio a dicho monitoreo. En concreto</w:t>
      </w:r>
      <w:r w:rsidRPr="00F33E35">
        <w:rPr>
          <w:rFonts w:ascii="Times New Roman" w:hAnsi="Times New Roman" w:cs="Times New Roman"/>
          <w:sz w:val="28"/>
          <w:szCs w:val="28"/>
        </w:rPr>
        <w:t xml:space="preserve"> y a su juici</w:t>
      </w:r>
      <w:r w:rsidRPr="00F33E35">
        <w:rPr>
          <w:rFonts w:ascii="Times New Roman" w:hAnsi="Times New Roman" w:cs="Times New Roman"/>
          <w:sz w:val="28"/>
          <w:szCs w:val="28"/>
        </w:rPr>
        <w:t xml:space="preserve">o, </w:t>
      </w:r>
      <w:r w:rsidRPr="00F33E35">
        <w:rPr>
          <w:rFonts w:ascii="Times New Roman" w:hAnsi="Times New Roman" w:cs="Times New Roman"/>
          <w:sz w:val="28"/>
          <w:szCs w:val="28"/>
        </w:rPr>
        <w:t>perdieron de vista que la Corte Constitucional determinó que esa actividad no es una interceptación de comunicaciones.</w:t>
      </w:r>
    </w:p>
    <w:p w:rsidR="00FF5603" w:rsidRPr="00F33E35" w:rsidRDefault="00F33E35" w:rsidP="008158EB">
      <w:pPr>
        <w:pStyle w:val="Prrafodelista"/>
        <w:spacing w:after="0" w:line="240" w:lineRule="auto"/>
        <w:ind w:left="0"/>
        <w:contextualSpacing w:val="0"/>
        <w:rPr>
          <w:rFonts w:ascii="Times New Roman" w:hAnsi="Times New Roman" w:cs="Times New Roman"/>
          <w:sz w:val="28"/>
          <w:szCs w:val="28"/>
        </w:rPr>
      </w:pPr>
    </w:p>
    <w:p w:rsidR="00FF5603" w:rsidRPr="00F33E35" w:rsidRDefault="00F33E35" w:rsidP="008158EB">
      <w:pPr>
        <w:pStyle w:val="Sinespaciado"/>
        <w:numPr>
          <w:ilvl w:val="0"/>
          <w:numId w:val="3"/>
        </w:numPr>
        <w:tabs>
          <w:tab w:val="left" w:pos="426"/>
        </w:tabs>
        <w:ind w:left="0" w:firstLine="0"/>
        <w:jc w:val="both"/>
        <w:rPr>
          <w:rFonts w:ascii="Times New Roman" w:hAnsi="Times New Roman" w:cs="Times New Roman"/>
          <w:snapToGrid w:val="0"/>
          <w:sz w:val="28"/>
          <w:szCs w:val="28"/>
          <w:lang w:val="es-ES" w:eastAsia="es-ES"/>
        </w:rPr>
      </w:pPr>
      <w:r w:rsidRPr="00F33E35">
        <w:rPr>
          <w:rFonts w:ascii="Times New Roman" w:hAnsi="Times New Roman" w:cs="Times New Roman"/>
          <w:sz w:val="28"/>
          <w:szCs w:val="28"/>
        </w:rPr>
        <w:t xml:space="preserve">Respecto del presupuesto de </w:t>
      </w:r>
      <w:r w:rsidRPr="00F33E35">
        <w:rPr>
          <w:rFonts w:ascii="Times New Roman" w:hAnsi="Times New Roman" w:cs="Times New Roman"/>
          <w:i/>
          <w:iCs/>
          <w:sz w:val="28"/>
          <w:szCs w:val="28"/>
        </w:rPr>
        <w:t>pertinencia</w:t>
      </w:r>
      <w:r w:rsidRPr="00F33E35">
        <w:rPr>
          <w:rFonts w:ascii="Times New Roman" w:hAnsi="Times New Roman" w:cs="Times New Roman"/>
          <w:sz w:val="28"/>
          <w:szCs w:val="28"/>
        </w:rPr>
        <w:t>, las intervinientes señalaron que el cargo no partió del “sentido autorizado de la disposició</w:t>
      </w:r>
      <w:r w:rsidRPr="00F33E35">
        <w:rPr>
          <w:rFonts w:ascii="Times New Roman" w:hAnsi="Times New Roman" w:cs="Times New Roman"/>
          <w:sz w:val="28"/>
          <w:szCs w:val="28"/>
        </w:rPr>
        <w:t>n legal en cuestión”</w:t>
      </w:r>
      <w:r w:rsidRPr="00F33E35">
        <w:rPr>
          <w:rStyle w:val="Refdenotaalpie"/>
          <w:rFonts w:ascii="Times New Roman" w:hAnsi="Times New Roman" w:cs="Times New Roman"/>
          <w:sz w:val="28"/>
          <w:szCs w:val="28"/>
        </w:rPr>
        <w:footnoteReference w:id="123"/>
      </w:r>
      <w:r w:rsidRPr="00F33E35">
        <w:rPr>
          <w:rFonts w:ascii="Times New Roman" w:hAnsi="Times New Roman" w:cs="Times New Roman"/>
          <w:sz w:val="28"/>
          <w:szCs w:val="28"/>
        </w:rPr>
        <w:t xml:space="preserve"> desarrollado por la Corte Constitucional en la Sentencia C-540 de 201</w:t>
      </w:r>
      <w:r w:rsidRPr="00F33E35">
        <w:rPr>
          <w:rFonts w:ascii="Times New Roman" w:hAnsi="Times New Roman" w:cs="Times New Roman"/>
          <w:sz w:val="28"/>
          <w:szCs w:val="28"/>
        </w:rPr>
        <w:t>2</w:t>
      </w:r>
      <w:r w:rsidRPr="00F33E35">
        <w:rPr>
          <w:rFonts w:ascii="Times New Roman" w:hAnsi="Times New Roman" w:cs="Times New Roman"/>
          <w:sz w:val="28"/>
          <w:szCs w:val="28"/>
        </w:rPr>
        <w:t xml:space="preserve">, sino que se fundamentó en una interpretación subjetiva de la norma y en los posibles abusos que podrían cometerse en su aplicación práctica. </w:t>
      </w:r>
      <w:r w:rsidRPr="00F33E35">
        <w:rPr>
          <w:rFonts w:ascii="Times New Roman" w:hAnsi="Times New Roman" w:cs="Times New Roman"/>
          <w:sz w:val="28"/>
          <w:szCs w:val="28"/>
        </w:rPr>
        <w:t>Según las intervencio</w:t>
      </w:r>
      <w:r w:rsidRPr="00F33E35">
        <w:rPr>
          <w:rFonts w:ascii="Times New Roman" w:hAnsi="Times New Roman" w:cs="Times New Roman"/>
          <w:sz w:val="28"/>
          <w:szCs w:val="28"/>
        </w:rPr>
        <w:t>nes aludidas, e</w:t>
      </w:r>
      <w:r w:rsidRPr="00F33E35">
        <w:rPr>
          <w:rFonts w:ascii="Times New Roman" w:hAnsi="Times New Roman" w:cs="Times New Roman"/>
          <w:sz w:val="28"/>
          <w:szCs w:val="28"/>
        </w:rPr>
        <w:t>sto evidencia que</w:t>
      </w:r>
      <w:r w:rsidRPr="00F33E35">
        <w:rPr>
          <w:rFonts w:ascii="Times New Roman" w:hAnsi="Times New Roman" w:cs="Times New Roman"/>
          <w:sz w:val="28"/>
          <w:szCs w:val="28"/>
        </w:rPr>
        <w:t xml:space="preserve"> la demanda hizo</w:t>
      </w:r>
      <w:r w:rsidRPr="00F33E35">
        <w:rPr>
          <w:rFonts w:ascii="Times New Roman" w:hAnsi="Times New Roman" w:cs="Times New Roman"/>
          <w:sz w:val="28"/>
          <w:szCs w:val="28"/>
        </w:rPr>
        <w:t xml:space="preserve"> una aproximación parcial al problema</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 xml:space="preserve">lo que </w:t>
      </w:r>
      <w:r w:rsidRPr="00F33E35">
        <w:rPr>
          <w:rFonts w:ascii="Times New Roman" w:hAnsi="Times New Roman" w:cs="Times New Roman"/>
          <w:sz w:val="28"/>
          <w:szCs w:val="28"/>
        </w:rPr>
        <w:t xml:space="preserve">supone </w:t>
      </w:r>
      <w:r w:rsidRPr="00F33E35">
        <w:rPr>
          <w:rFonts w:ascii="Times New Roman" w:hAnsi="Times New Roman" w:cs="Times New Roman"/>
          <w:sz w:val="28"/>
          <w:szCs w:val="28"/>
        </w:rPr>
        <w:t>un reproche</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que no tiene naturaleza constitucional</w:t>
      </w:r>
      <w:r w:rsidRPr="00F33E35">
        <w:rPr>
          <w:rFonts w:ascii="Times New Roman" w:hAnsi="Times New Roman" w:cs="Times New Roman"/>
          <w:sz w:val="28"/>
          <w:szCs w:val="28"/>
        </w:rPr>
        <w:t xml:space="preserve">. Adicionalmente, </w:t>
      </w:r>
      <w:r w:rsidRPr="00F33E35">
        <w:rPr>
          <w:rFonts w:ascii="Times New Roman" w:hAnsi="Times New Roman" w:cs="Times New Roman"/>
          <w:sz w:val="28"/>
          <w:szCs w:val="28"/>
        </w:rPr>
        <w:t>afirma</w:t>
      </w:r>
      <w:r w:rsidRPr="00F33E35">
        <w:rPr>
          <w:rFonts w:ascii="Times New Roman" w:hAnsi="Times New Roman" w:cs="Times New Roman"/>
          <w:sz w:val="28"/>
          <w:szCs w:val="28"/>
        </w:rPr>
        <w:t>ron</w:t>
      </w:r>
      <w:r w:rsidRPr="00F33E35">
        <w:rPr>
          <w:rFonts w:ascii="Times New Roman" w:hAnsi="Times New Roman" w:cs="Times New Roman"/>
          <w:sz w:val="28"/>
          <w:szCs w:val="28"/>
        </w:rPr>
        <w:t xml:space="preserve"> que </w:t>
      </w:r>
      <w:r w:rsidRPr="00F33E35">
        <w:rPr>
          <w:rFonts w:ascii="Times New Roman" w:hAnsi="Times New Roman" w:cs="Times New Roman"/>
          <w:sz w:val="28"/>
          <w:szCs w:val="28"/>
        </w:rPr>
        <w:t xml:space="preserve">la demanda no precisó a qué autoridad le correspondería cumplir “esta </w:t>
      </w:r>
      <w:r w:rsidRPr="00F33E35">
        <w:rPr>
          <w:rFonts w:ascii="Times New Roman" w:hAnsi="Times New Roman" w:cs="Times New Roman"/>
          <w:sz w:val="28"/>
          <w:szCs w:val="28"/>
        </w:rPr>
        <w:t>función”</w:t>
      </w:r>
      <w:r w:rsidRPr="00F33E35">
        <w:rPr>
          <w:rStyle w:val="Refdenotaalpie"/>
          <w:rFonts w:ascii="Times New Roman" w:hAnsi="Times New Roman" w:cs="Times New Roman"/>
          <w:sz w:val="28"/>
          <w:szCs w:val="28"/>
        </w:rPr>
        <w:footnoteReference w:id="124"/>
      </w:r>
      <w:r w:rsidRPr="00F33E35">
        <w:rPr>
          <w:rFonts w:ascii="Times New Roman" w:hAnsi="Times New Roman" w:cs="Times New Roman"/>
          <w:sz w:val="28"/>
          <w:szCs w:val="28"/>
        </w:rPr>
        <w:t>, lo que evidencia que busca modificar el diseño normativo sin ofrecer una solución clara para las consecuencias jurídicas de la inexequibilidad.</w:t>
      </w:r>
    </w:p>
    <w:p w:rsidR="00FF5603" w:rsidRPr="00F33E35" w:rsidRDefault="00F33E35" w:rsidP="008158EB">
      <w:pPr>
        <w:pStyle w:val="Prrafodelista"/>
        <w:spacing w:after="0" w:line="240" w:lineRule="auto"/>
        <w:ind w:left="0"/>
        <w:contextualSpacing w:val="0"/>
        <w:rPr>
          <w:rFonts w:ascii="Times New Roman" w:hAnsi="Times New Roman" w:cs="Times New Roman"/>
          <w:sz w:val="28"/>
          <w:szCs w:val="28"/>
        </w:rPr>
      </w:pPr>
    </w:p>
    <w:p w:rsidR="00FF5603" w:rsidRPr="00F33E35" w:rsidRDefault="00F33E35" w:rsidP="008158EB">
      <w:pPr>
        <w:pStyle w:val="Prrafodelista"/>
        <w:numPr>
          <w:ilvl w:val="0"/>
          <w:numId w:val="3"/>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 xml:space="preserve">La Sala Plena encuentra que el requisito de </w:t>
      </w:r>
      <w:r w:rsidRPr="00F33E35">
        <w:rPr>
          <w:rFonts w:ascii="Times New Roman" w:hAnsi="Times New Roman" w:cs="Times New Roman"/>
          <w:i/>
          <w:iCs/>
          <w:color w:val="000000" w:themeColor="text1"/>
          <w:sz w:val="28"/>
          <w:szCs w:val="28"/>
        </w:rPr>
        <w:t>certeza</w:t>
      </w:r>
      <w:r w:rsidRPr="00F33E35">
        <w:rPr>
          <w:rFonts w:ascii="Times New Roman" w:hAnsi="Times New Roman" w:cs="Times New Roman"/>
          <w:color w:val="000000" w:themeColor="text1"/>
          <w:sz w:val="28"/>
          <w:szCs w:val="28"/>
        </w:rPr>
        <w:t xml:space="preserve"> implica que las pretensiones recaigan sobre un contenido normativo vigente. Además, este presupuesto supone que el cargo de inconstitucionalidad: (i) no deseche “la mención a ingredientes que, si bien se encuentran regulados en otros apartes normativos de</w:t>
      </w:r>
      <w:r w:rsidRPr="00F33E35">
        <w:rPr>
          <w:rFonts w:ascii="Times New Roman" w:hAnsi="Times New Roman" w:cs="Times New Roman"/>
          <w:color w:val="000000" w:themeColor="text1"/>
          <w:sz w:val="28"/>
          <w:szCs w:val="28"/>
        </w:rPr>
        <w:t xml:space="preserve"> la ley acusada, son indispensables para entender su alcance objetivo”</w:t>
      </w:r>
      <w:r w:rsidRPr="00F33E35">
        <w:rPr>
          <w:rStyle w:val="Refdenotaalpie"/>
          <w:rFonts w:ascii="Times New Roman" w:hAnsi="Times New Roman" w:cs="Times New Roman"/>
          <w:color w:val="000000" w:themeColor="text1"/>
          <w:sz w:val="28"/>
          <w:szCs w:val="28"/>
        </w:rPr>
        <w:footnoteReference w:id="125"/>
      </w:r>
      <w:r w:rsidRPr="00F33E35">
        <w:rPr>
          <w:rFonts w:ascii="Times New Roman" w:hAnsi="Times New Roman" w:cs="Times New Roman"/>
          <w:color w:val="000000" w:themeColor="text1"/>
          <w:sz w:val="28"/>
          <w:szCs w:val="28"/>
        </w:rPr>
        <w:t>; (ii) parta de una interpretación sistemática y armonizada con el conjunto de disposiciones legales y principios que conforman el marco normativo</w:t>
      </w:r>
      <w:r w:rsidRPr="00F33E35">
        <w:rPr>
          <w:rStyle w:val="Refdenotaalpie"/>
          <w:rFonts w:ascii="Times New Roman" w:hAnsi="Times New Roman" w:cs="Times New Roman"/>
          <w:color w:val="000000" w:themeColor="text1"/>
          <w:sz w:val="28"/>
          <w:szCs w:val="28"/>
        </w:rPr>
        <w:footnoteReference w:id="126"/>
      </w:r>
      <w:r w:rsidRPr="00F33E35">
        <w:rPr>
          <w:rFonts w:ascii="Times New Roman" w:hAnsi="Times New Roman" w:cs="Times New Roman"/>
          <w:color w:val="000000" w:themeColor="text1"/>
          <w:sz w:val="28"/>
          <w:szCs w:val="28"/>
        </w:rPr>
        <w:t>; y (iii) de ser relevante,</w:t>
      </w:r>
      <w:r w:rsidRPr="00F33E35">
        <w:rPr>
          <w:rFonts w:ascii="Times New Roman" w:hAnsi="Times New Roman" w:cs="Times New Roman"/>
          <w:color w:val="000000" w:themeColor="text1"/>
          <w:sz w:val="28"/>
          <w:szCs w:val="28"/>
        </w:rPr>
        <w:t xml:space="preserve"> tome en co</w:t>
      </w:r>
      <w:r w:rsidRPr="00F33E35">
        <w:rPr>
          <w:rFonts w:ascii="Times New Roman" w:hAnsi="Times New Roman" w:cs="Times New Roman"/>
          <w:color w:val="000000" w:themeColor="text1"/>
          <w:sz w:val="28"/>
          <w:szCs w:val="28"/>
        </w:rPr>
        <w:t>nsideración</w:t>
      </w:r>
      <w:r w:rsidRPr="00F33E35">
        <w:rPr>
          <w:rFonts w:ascii="Times New Roman" w:hAnsi="Times New Roman" w:cs="Times New Roman"/>
          <w:color w:val="000000" w:themeColor="text1"/>
          <w:sz w:val="28"/>
          <w:szCs w:val="28"/>
        </w:rPr>
        <w:t xml:space="preserve"> los pronunciamientos de esta Corte sobre el alcance de las normas demandadas</w:t>
      </w:r>
      <w:r w:rsidRPr="00F33E35">
        <w:rPr>
          <w:rStyle w:val="Refdenotaalpie"/>
          <w:rFonts w:ascii="Times New Roman" w:hAnsi="Times New Roman" w:cs="Times New Roman"/>
          <w:color w:val="000000" w:themeColor="text1"/>
          <w:sz w:val="28"/>
          <w:szCs w:val="28"/>
        </w:rPr>
        <w:footnoteReference w:id="127"/>
      </w:r>
      <w:r w:rsidRPr="00F33E35">
        <w:rPr>
          <w:rFonts w:ascii="Times New Roman" w:hAnsi="Times New Roman" w:cs="Times New Roman"/>
          <w:color w:val="000000" w:themeColor="text1"/>
          <w:sz w:val="28"/>
          <w:szCs w:val="28"/>
        </w:rPr>
        <w:t xml:space="preserve">. </w:t>
      </w:r>
    </w:p>
    <w:p w:rsidR="00FF5603" w:rsidRPr="00F33E35" w:rsidRDefault="00F33E35" w:rsidP="008158EB">
      <w:pPr>
        <w:pStyle w:val="Prrafodelista"/>
        <w:tabs>
          <w:tab w:val="left" w:pos="0"/>
        </w:tabs>
        <w:overflowPunct w:val="0"/>
        <w:autoSpaceDE w:val="0"/>
        <w:autoSpaceDN w:val="0"/>
        <w:spacing w:after="0" w:line="240" w:lineRule="auto"/>
        <w:ind w:left="0"/>
        <w:contextualSpacing w:val="0"/>
        <w:jc w:val="both"/>
        <w:textAlignment w:val="baseline"/>
        <w:rPr>
          <w:rFonts w:ascii="Times New Roman" w:hAnsi="Times New Roman" w:cs="Times New Roman"/>
          <w:color w:val="000000" w:themeColor="text1"/>
          <w:sz w:val="28"/>
          <w:szCs w:val="28"/>
        </w:rPr>
      </w:pPr>
    </w:p>
    <w:p w:rsidR="00A05FD6" w:rsidRPr="00F33E35" w:rsidRDefault="00F33E35" w:rsidP="00A05FD6">
      <w:pPr>
        <w:pStyle w:val="Prrafodelista"/>
        <w:numPr>
          <w:ilvl w:val="0"/>
          <w:numId w:val="3"/>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 xml:space="preserve">En ese contexto, la Corte encuentra que el cargo por infracción </w:t>
      </w:r>
      <w:r w:rsidRPr="00F33E35">
        <w:rPr>
          <w:rFonts w:ascii="Times New Roman" w:hAnsi="Times New Roman" w:cs="Times New Roman"/>
          <w:sz w:val="28"/>
          <w:szCs w:val="28"/>
        </w:rPr>
        <w:t>de los artículos 2, 11 y 13 de la CADH y 15 y 20 de la Constitución</w:t>
      </w:r>
      <w:r w:rsidRPr="00F33E35">
        <w:rPr>
          <w:rFonts w:ascii="Times New Roman" w:hAnsi="Times New Roman" w:cs="Times New Roman"/>
          <w:sz w:val="28"/>
          <w:szCs w:val="28"/>
        </w:rPr>
        <w:t xml:space="preserve"> sostuvo tres tesis centrales. Primero,</w:t>
      </w:r>
      <w:r w:rsidRPr="00F33E35">
        <w:rPr>
          <w:rFonts w:ascii="Times New Roman" w:hAnsi="Times New Roman" w:cs="Times New Roman"/>
          <w:sz w:val="28"/>
          <w:szCs w:val="28"/>
        </w:rPr>
        <w:t xml:space="preserve"> la Sentencia C-540 de 201</w:t>
      </w:r>
      <w:r w:rsidRPr="00F33E35">
        <w:rPr>
          <w:rFonts w:ascii="Times New Roman" w:hAnsi="Times New Roman" w:cs="Times New Roman"/>
          <w:sz w:val="28"/>
          <w:szCs w:val="28"/>
        </w:rPr>
        <w:t>2</w:t>
      </w:r>
      <w:r w:rsidRPr="00F33E35">
        <w:rPr>
          <w:rFonts w:ascii="Times New Roman" w:hAnsi="Times New Roman" w:cs="Times New Roman"/>
          <w:sz w:val="28"/>
          <w:szCs w:val="28"/>
        </w:rPr>
        <w:t xml:space="preserve"> declaró la exequibilidad del apartado acusado, bajo la tesis de que el monitoreo del espectro electromagnético no involucraba un seguimiento individual, sino una actividad impersonal y abst</w:t>
      </w:r>
      <w:r w:rsidRPr="00F33E35">
        <w:rPr>
          <w:rFonts w:ascii="Times New Roman" w:hAnsi="Times New Roman" w:cs="Times New Roman"/>
          <w:sz w:val="28"/>
          <w:szCs w:val="28"/>
        </w:rPr>
        <w:t>racta; luego no era asimilable a la interceptación de comunicaciones y, en esa medida, no requería autorización judicial.</w:t>
      </w:r>
      <w:r w:rsidRPr="00F33E35">
        <w:rPr>
          <w:rFonts w:ascii="Times New Roman" w:hAnsi="Times New Roman" w:cs="Times New Roman"/>
          <w:sz w:val="28"/>
          <w:szCs w:val="28"/>
        </w:rPr>
        <w:t xml:space="preserve"> Segundo,</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 xml:space="preserve">en el caso </w:t>
      </w:r>
      <w:r w:rsidRPr="00F33E35">
        <w:rPr>
          <w:rFonts w:ascii="Times New Roman" w:hAnsi="Times New Roman" w:cs="Times New Roman"/>
          <w:i/>
          <w:iCs/>
          <w:sz w:val="28"/>
          <w:szCs w:val="28"/>
        </w:rPr>
        <w:t>Miembros de la Corporación Colectivo de Abogados José Alvear Restrepo vs. Colombia,</w:t>
      </w:r>
      <w:r w:rsidRPr="00F33E35">
        <w:rPr>
          <w:rFonts w:ascii="Times New Roman" w:hAnsi="Times New Roman" w:cs="Times New Roman"/>
          <w:sz w:val="28"/>
          <w:szCs w:val="28"/>
        </w:rPr>
        <w:t xml:space="preserve"> la Corte IDH estableció que la</w:t>
      </w:r>
      <w:r w:rsidRPr="00F33E35">
        <w:rPr>
          <w:rFonts w:ascii="Times New Roman" w:hAnsi="Times New Roman" w:cs="Times New Roman"/>
          <w:sz w:val="28"/>
          <w:szCs w:val="28"/>
        </w:rPr>
        <w:t xml:space="preserve">s actividades de vigilancia a gran escala, en todo caso, permiten la recolección de datos sensibles, lo que constituye una injerencia a la vida privada y la libertad de expresión y pensamiento de las personas. </w:t>
      </w:r>
      <w:r w:rsidRPr="00F33E35">
        <w:rPr>
          <w:rFonts w:ascii="Times New Roman" w:hAnsi="Times New Roman" w:cs="Times New Roman"/>
          <w:sz w:val="28"/>
          <w:szCs w:val="28"/>
        </w:rPr>
        <w:t>Tercero</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 el estándar fijado por la Corte IDH i</w:t>
      </w:r>
      <w:r w:rsidRPr="00F33E35">
        <w:rPr>
          <w:rFonts w:ascii="Times New Roman" w:hAnsi="Times New Roman" w:cs="Times New Roman"/>
          <w:sz w:val="28"/>
          <w:szCs w:val="28"/>
        </w:rPr>
        <w:t>mplica que toda actividad de monitoreo del espectro electromagnético constituye una interceptación de comunicaciones, luego debe estar precedido de una orden judicial que establezca las condiciones de tiempo, modo y alcances de la medida autorizada.</w:t>
      </w:r>
    </w:p>
    <w:p w:rsidR="00A05FD6" w:rsidRPr="00F33E35" w:rsidRDefault="00F33E35" w:rsidP="00A05FD6">
      <w:pPr>
        <w:pStyle w:val="Prrafodelista"/>
        <w:tabs>
          <w:tab w:val="left" w:pos="0"/>
          <w:tab w:val="left" w:pos="426"/>
        </w:tabs>
        <w:overflowPunct w:val="0"/>
        <w:autoSpaceDE w:val="0"/>
        <w:autoSpaceDN w:val="0"/>
        <w:spacing w:after="0" w:line="240" w:lineRule="auto"/>
        <w:ind w:left="0"/>
        <w:contextualSpacing w:val="0"/>
        <w:jc w:val="both"/>
        <w:textAlignment w:val="baseline"/>
        <w:rPr>
          <w:rFonts w:ascii="Times New Roman" w:hAnsi="Times New Roman" w:cs="Times New Roman"/>
          <w:color w:val="000000" w:themeColor="text1"/>
          <w:sz w:val="28"/>
          <w:szCs w:val="28"/>
        </w:rPr>
      </w:pPr>
    </w:p>
    <w:p w:rsidR="00A05FD6" w:rsidRPr="00F33E35" w:rsidRDefault="00F33E35" w:rsidP="00A05FD6">
      <w:pPr>
        <w:pStyle w:val="Prrafodelista"/>
        <w:numPr>
          <w:ilvl w:val="0"/>
          <w:numId w:val="3"/>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Puntu</w:t>
      </w:r>
      <w:r w:rsidRPr="00F33E35">
        <w:rPr>
          <w:rFonts w:ascii="Times New Roman" w:hAnsi="Times New Roman" w:cs="Times New Roman"/>
          <w:color w:val="000000" w:themeColor="text1"/>
          <w:sz w:val="28"/>
          <w:szCs w:val="28"/>
        </w:rPr>
        <w:t>almente, la demanda sostuvo que “[e]</w:t>
      </w:r>
      <w:r w:rsidRPr="00F33E35">
        <w:rPr>
          <w:rFonts w:ascii="Times New Roman" w:hAnsi="Times New Roman" w:cs="Times New Roman"/>
          <w:color w:val="000000"/>
          <w:sz w:val="28"/>
          <w:szCs w:val="28"/>
          <w:lang w:val="es-MX"/>
        </w:rPr>
        <w:t>l monitoreo del espectro electromagnético debe ser considerada como una forma de interceptación de comunicaciones en tanto su objeto recae sobre comunicaciones privadas y es, en consecuencia, una intervención, intercepta</w:t>
      </w:r>
      <w:r w:rsidRPr="00F33E35">
        <w:rPr>
          <w:rFonts w:ascii="Times New Roman" w:hAnsi="Times New Roman" w:cs="Times New Roman"/>
          <w:color w:val="000000"/>
          <w:sz w:val="28"/>
          <w:szCs w:val="28"/>
          <w:lang w:val="es-MX"/>
        </w:rPr>
        <w:t>ción o intromisión que en la actualidad se encuentra</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sz w:val="28"/>
          <w:szCs w:val="28"/>
          <w:lang w:val="es-MX"/>
        </w:rPr>
        <w:t>sustraída de control judicial”</w:t>
      </w:r>
      <w:r w:rsidRPr="00F33E35">
        <w:rPr>
          <w:rStyle w:val="Refdenotaalpie"/>
          <w:rFonts w:ascii="Times New Roman" w:hAnsi="Times New Roman" w:cs="Times New Roman"/>
          <w:color w:val="000000"/>
          <w:sz w:val="28"/>
          <w:szCs w:val="28"/>
          <w:lang w:val="es-MX"/>
        </w:rPr>
        <w:footnoteReference w:id="128"/>
      </w:r>
      <w:r w:rsidRPr="00F33E35">
        <w:rPr>
          <w:rFonts w:ascii="Times New Roman" w:hAnsi="Times New Roman" w:cs="Times New Roman"/>
          <w:color w:val="000000"/>
          <w:sz w:val="28"/>
          <w:szCs w:val="28"/>
          <w:lang w:val="es-MX"/>
        </w:rPr>
        <w:t>.</w:t>
      </w:r>
    </w:p>
    <w:p w:rsidR="00FF5603" w:rsidRPr="00F33E35" w:rsidRDefault="00F33E35" w:rsidP="008158EB">
      <w:pPr>
        <w:pStyle w:val="Prrafodelista"/>
        <w:tabs>
          <w:tab w:val="left" w:pos="0"/>
        </w:tabs>
        <w:overflowPunct w:val="0"/>
        <w:autoSpaceDE w:val="0"/>
        <w:autoSpaceDN w:val="0"/>
        <w:spacing w:after="0" w:line="240" w:lineRule="auto"/>
        <w:ind w:left="0"/>
        <w:contextualSpacing w:val="0"/>
        <w:jc w:val="both"/>
        <w:textAlignment w:val="baseline"/>
        <w:rPr>
          <w:rFonts w:ascii="Times New Roman" w:hAnsi="Times New Roman" w:cs="Times New Roman"/>
          <w:color w:val="000000" w:themeColor="text1"/>
          <w:sz w:val="28"/>
          <w:szCs w:val="28"/>
        </w:rPr>
      </w:pPr>
    </w:p>
    <w:p w:rsidR="00A05FD6" w:rsidRPr="00F33E35" w:rsidRDefault="00F33E35" w:rsidP="00A05FD6">
      <w:pPr>
        <w:pStyle w:val="Prrafodelista"/>
        <w:numPr>
          <w:ilvl w:val="0"/>
          <w:numId w:val="3"/>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sz w:val="28"/>
          <w:szCs w:val="28"/>
        </w:rPr>
        <w:t>L</w:t>
      </w:r>
      <w:r w:rsidRPr="00F33E35">
        <w:rPr>
          <w:rFonts w:ascii="Times New Roman" w:hAnsi="Times New Roman" w:cs="Times New Roman"/>
          <w:sz w:val="28"/>
          <w:szCs w:val="28"/>
        </w:rPr>
        <w:t>a Sala Plena encuentra que la demanda</w:t>
      </w:r>
      <w:r w:rsidRPr="00F33E35">
        <w:rPr>
          <w:rFonts w:ascii="Times New Roman" w:hAnsi="Times New Roman" w:cs="Times New Roman"/>
          <w:sz w:val="28"/>
          <w:szCs w:val="28"/>
        </w:rPr>
        <w:t xml:space="preserve"> no partió</w:t>
      </w:r>
      <w:r w:rsidRPr="00F33E35">
        <w:rPr>
          <w:rFonts w:ascii="Times New Roman" w:hAnsi="Times New Roman" w:cs="Times New Roman"/>
          <w:sz w:val="28"/>
          <w:szCs w:val="28"/>
        </w:rPr>
        <w:t xml:space="preserve"> del contenido vigente, real y existente del artículo 17 acusado, </w:t>
      </w:r>
      <w:r w:rsidRPr="00F33E35">
        <w:rPr>
          <w:rFonts w:ascii="Times New Roman" w:hAnsi="Times New Roman" w:cs="Times New Roman"/>
          <w:sz w:val="28"/>
          <w:szCs w:val="28"/>
        </w:rPr>
        <w:t>porque en primer lugar no corresponde al contenido lite</w:t>
      </w:r>
      <w:r w:rsidRPr="00F33E35">
        <w:rPr>
          <w:rFonts w:ascii="Times New Roman" w:hAnsi="Times New Roman" w:cs="Times New Roman"/>
          <w:sz w:val="28"/>
          <w:szCs w:val="28"/>
        </w:rPr>
        <w:t xml:space="preserve">ral de la disposición acusada que expresamente excluye del ámbito del monitoreo del espectro electromagnético la interceptación de comunicaciones. De hecho, una lectura integral del inciso demandado </w:t>
      </w:r>
      <w:r w:rsidRPr="00F33E35">
        <w:rPr>
          <w:rFonts w:ascii="Times New Roman" w:hAnsi="Times New Roman" w:cs="Times New Roman"/>
          <w:sz w:val="28"/>
          <w:szCs w:val="28"/>
        </w:rPr>
        <w:t>permite comprender</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 xml:space="preserve">que, </w:t>
      </w:r>
      <w:r w:rsidRPr="00F33E35">
        <w:rPr>
          <w:rFonts w:ascii="Times New Roman" w:hAnsi="Times New Roman" w:cs="Times New Roman"/>
          <w:sz w:val="28"/>
          <w:szCs w:val="28"/>
        </w:rPr>
        <w:t xml:space="preserve">en el ordenamiento estatutario </w:t>
      </w:r>
      <w:r w:rsidRPr="00F33E35">
        <w:rPr>
          <w:rFonts w:ascii="Times New Roman" w:hAnsi="Times New Roman" w:cs="Times New Roman"/>
          <w:sz w:val="28"/>
          <w:szCs w:val="28"/>
        </w:rPr>
        <w:t>colombiano</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 el monitoreo del espectro electromagnético es diferente de la interceptación de comunicaciones.</w:t>
      </w:r>
    </w:p>
    <w:p w:rsidR="00A05FD6" w:rsidRPr="00F33E35" w:rsidRDefault="00F33E35" w:rsidP="00A05FD6">
      <w:pPr>
        <w:pStyle w:val="Prrafodelista"/>
        <w:rPr>
          <w:rFonts w:ascii="Times New Roman" w:hAnsi="Times New Roman" w:cs="Times New Roman"/>
          <w:color w:val="000000" w:themeColor="text1"/>
          <w:sz w:val="28"/>
          <w:szCs w:val="28"/>
        </w:rPr>
      </w:pPr>
    </w:p>
    <w:p w:rsidR="00E876C8" w:rsidRPr="00F33E35" w:rsidRDefault="00F33E35" w:rsidP="00E876C8">
      <w:pPr>
        <w:pStyle w:val="Prrafodelista"/>
        <w:numPr>
          <w:ilvl w:val="0"/>
          <w:numId w:val="3"/>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En segundo lugar, las personas demandantes</w:t>
      </w:r>
      <w:r w:rsidRPr="00F33E35">
        <w:rPr>
          <w:rFonts w:ascii="Times New Roman" w:hAnsi="Times New Roman" w:cs="Times New Roman"/>
          <w:color w:val="000000" w:themeColor="text1"/>
          <w:sz w:val="28"/>
          <w:szCs w:val="28"/>
        </w:rPr>
        <w:t xml:space="preserve"> tenían la carga de</w:t>
      </w:r>
      <w:r w:rsidRPr="00F33E35">
        <w:rPr>
          <w:rFonts w:ascii="Times New Roman" w:hAnsi="Times New Roman" w:cs="Times New Roman"/>
          <w:color w:val="000000" w:themeColor="text1"/>
          <w:sz w:val="28"/>
          <w:szCs w:val="28"/>
        </w:rPr>
        <w:t xml:space="preserve"> considerar</w:t>
      </w:r>
      <w:r w:rsidRPr="00F33E35">
        <w:rPr>
          <w:rFonts w:ascii="Times New Roman" w:hAnsi="Times New Roman" w:cs="Times New Roman"/>
          <w:color w:val="000000" w:themeColor="text1"/>
          <w:sz w:val="28"/>
          <w:szCs w:val="28"/>
        </w:rPr>
        <w:t xml:space="preserve"> no solo el texto legal de la disposición acusada, sino el alcance fijado por la Corte. Esto es particularmente relevante si se tiene en consideración que</w:t>
      </w:r>
      <w:r w:rsidRPr="00F33E35">
        <w:rPr>
          <w:rFonts w:ascii="Times New Roman" w:hAnsi="Times New Roman" w:cs="Times New Roman"/>
          <w:color w:val="000000" w:themeColor="text1"/>
          <w:sz w:val="28"/>
          <w:szCs w:val="28"/>
        </w:rPr>
        <w:t xml:space="preserve"> la Ley 1621 de 2013 es una norma estatutaria que fue objeto de un control previo y automático por par</w:t>
      </w:r>
      <w:r w:rsidRPr="00F33E35">
        <w:rPr>
          <w:rFonts w:ascii="Times New Roman" w:hAnsi="Times New Roman" w:cs="Times New Roman"/>
          <w:color w:val="000000" w:themeColor="text1"/>
          <w:sz w:val="28"/>
          <w:szCs w:val="28"/>
        </w:rPr>
        <w:t xml:space="preserve">te de este Tribunal. </w:t>
      </w:r>
    </w:p>
    <w:p w:rsidR="00E876C8" w:rsidRPr="00F33E35" w:rsidRDefault="00F33E35" w:rsidP="00E876C8">
      <w:pPr>
        <w:pStyle w:val="Prrafodelista"/>
        <w:rPr>
          <w:rFonts w:ascii="Times New Roman" w:hAnsi="Times New Roman" w:cs="Times New Roman"/>
          <w:color w:val="000000" w:themeColor="text1"/>
          <w:sz w:val="28"/>
          <w:szCs w:val="28"/>
        </w:rPr>
      </w:pPr>
    </w:p>
    <w:p w:rsidR="00E876C8" w:rsidRPr="00F33E35" w:rsidRDefault="00F33E35" w:rsidP="00E876C8">
      <w:pPr>
        <w:pStyle w:val="Prrafodelista"/>
        <w:numPr>
          <w:ilvl w:val="0"/>
          <w:numId w:val="3"/>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Precisamente, e</w:t>
      </w:r>
      <w:r w:rsidRPr="00F33E35">
        <w:rPr>
          <w:rFonts w:ascii="Times New Roman" w:hAnsi="Times New Roman" w:cs="Times New Roman"/>
          <w:color w:val="000000" w:themeColor="text1"/>
          <w:sz w:val="28"/>
          <w:szCs w:val="28"/>
        </w:rPr>
        <w:t xml:space="preserve">n la Sentencia C-540 de 2013, esta Corporación señaló que </w:t>
      </w:r>
      <w:r w:rsidRPr="00F33E35">
        <w:rPr>
          <w:rFonts w:ascii="Times New Roman" w:hAnsi="Times New Roman" w:cs="Times New Roman"/>
          <w:bCs/>
          <w:color w:val="000000"/>
          <w:sz w:val="28"/>
          <w:szCs w:val="28"/>
          <w:lang w:val="es-ES_tradnl"/>
        </w:rPr>
        <w:t>en el</w:t>
      </w:r>
      <w:r w:rsidRPr="00F33E35">
        <w:rPr>
          <w:rFonts w:ascii="Times New Roman" w:hAnsi="Times New Roman" w:cs="Times New Roman"/>
          <w:sz w:val="28"/>
          <w:szCs w:val="28"/>
          <w:lang w:val="es-ES_tradnl"/>
        </w:rPr>
        <w:t xml:space="preserve"> ámbito de la inteligencia y contrainteligencia, el monitoreo “consiste en llevar a cabo una labor de rastreo de forma aleatoria e indiscriminada”</w:t>
      </w:r>
      <w:r w:rsidRPr="00F33E35">
        <w:rPr>
          <w:rStyle w:val="Refdenotaalpie"/>
          <w:rFonts w:ascii="Times New Roman" w:hAnsi="Times New Roman" w:cs="Times New Roman"/>
          <w:sz w:val="28"/>
          <w:szCs w:val="28"/>
          <w:lang w:val="es-ES_tradnl"/>
        </w:rPr>
        <w:footnoteReference w:id="129"/>
      </w:r>
      <w:r w:rsidRPr="00F33E35">
        <w:rPr>
          <w:rFonts w:ascii="Times New Roman" w:hAnsi="Times New Roman" w:cs="Times New Roman"/>
          <w:sz w:val="28"/>
          <w:szCs w:val="28"/>
          <w:lang w:val="es-ES_tradnl"/>
        </w:rPr>
        <w:t>.</w:t>
      </w:r>
      <w:r w:rsidRPr="00F33E35">
        <w:rPr>
          <w:rStyle w:val="Refdenotaalpie"/>
          <w:rFonts w:ascii="Times New Roman" w:hAnsi="Times New Roman" w:cs="Times New Roman"/>
          <w:sz w:val="28"/>
          <w:szCs w:val="28"/>
          <w:lang w:val="es-ES_tradnl"/>
        </w:rPr>
        <w:t xml:space="preserve"> </w:t>
      </w:r>
      <w:r w:rsidRPr="00F33E35">
        <w:rPr>
          <w:rFonts w:ascii="Times New Roman" w:hAnsi="Times New Roman" w:cs="Times New Roman"/>
          <w:sz w:val="28"/>
          <w:szCs w:val="28"/>
          <w:lang w:val="es-ES_tradnl"/>
        </w:rPr>
        <w:t xml:space="preserve">Esto </w:t>
      </w:r>
      <w:r w:rsidRPr="00F33E35">
        <w:rPr>
          <w:rFonts w:ascii="Times New Roman" w:hAnsi="Times New Roman" w:cs="Times New Roman"/>
          <w:sz w:val="28"/>
          <w:szCs w:val="28"/>
          <w:lang w:val="es-ES_tradnl"/>
        </w:rPr>
        <w:t>implica “la captación incidental de comunicaciones en las que se revelan circunstancias que permiten evitar atentados y controlar riesgos para la defensa y seguridad de la Nación”. Por ello precisó que, técnicamente, “se estaría ante una especie de rastreo</w:t>
      </w:r>
      <w:r w:rsidRPr="00F33E35">
        <w:rPr>
          <w:rFonts w:ascii="Times New Roman" w:hAnsi="Times New Roman" w:cs="Times New Roman"/>
          <w:sz w:val="28"/>
          <w:szCs w:val="28"/>
          <w:lang w:val="es-ES_tradnl"/>
        </w:rPr>
        <w:t xml:space="preserve"> de sombras, imágenes y sonidos representados en frecuencias de radiación electromagnética y ondas radioeléctricas”</w:t>
      </w:r>
      <w:r w:rsidRPr="00F33E35">
        <w:rPr>
          <w:rStyle w:val="Refdenotaalpie"/>
          <w:rFonts w:ascii="Times New Roman" w:hAnsi="Times New Roman" w:cs="Times New Roman"/>
          <w:sz w:val="28"/>
          <w:szCs w:val="28"/>
          <w:lang w:val="es-ES_tradnl"/>
        </w:rPr>
        <w:footnoteReference w:id="130"/>
      </w:r>
      <w:r w:rsidRPr="00F33E35">
        <w:rPr>
          <w:rFonts w:ascii="Times New Roman" w:hAnsi="Times New Roman" w:cs="Times New Roman"/>
          <w:sz w:val="28"/>
          <w:szCs w:val="28"/>
          <w:lang w:val="es-ES_tradnl"/>
        </w:rPr>
        <w:t xml:space="preserve">. </w:t>
      </w:r>
    </w:p>
    <w:p w:rsidR="00E876C8" w:rsidRPr="00F33E35" w:rsidRDefault="00F33E35" w:rsidP="00E876C8">
      <w:pPr>
        <w:pStyle w:val="Prrafodelista"/>
        <w:spacing w:after="0" w:line="240" w:lineRule="auto"/>
        <w:contextualSpacing w:val="0"/>
        <w:rPr>
          <w:rFonts w:ascii="Times New Roman" w:hAnsi="Times New Roman" w:cs="Times New Roman"/>
          <w:sz w:val="28"/>
          <w:szCs w:val="28"/>
          <w:lang w:val="es-ES_tradnl"/>
        </w:rPr>
      </w:pPr>
    </w:p>
    <w:p w:rsidR="00E876C8" w:rsidRPr="00F33E35" w:rsidRDefault="00F33E35" w:rsidP="00E876C8">
      <w:pPr>
        <w:pStyle w:val="Prrafodelista"/>
        <w:numPr>
          <w:ilvl w:val="0"/>
          <w:numId w:val="3"/>
        </w:numPr>
        <w:tabs>
          <w:tab w:val="left" w:pos="284"/>
          <w:tab w:val="left" w:pos="426"/>
        </w:tabs>
        <w:spacing w:after="0" w:line="240" w:lineRule="auto"/>
        <w:ind w:left="0" w:right="-234" w:firstLine="0"/>
        <w:contextualSpacing w:val="0"/>
        <w:jc w:val="both"/>
        <w:rPr>
          <w:rFonts w:ascii="Times New Roman" w:hAnsi="Times New Roman" w:cs="Times New Roman"/>
          <w:sz w:val="28"/>
          <w:szCs w:val="28"/>
          <w:lang w:val="es-ES"/>
        </w:rPr>
      </w:pPr>
      <w:r w:rsidRPr="00F33E35">
        <w:rPr>
          <w:rFonts w:ascii="Times New Roman" w:hAnsi="Times New Roman" w:cs="Times New Roman"/>
          <w:sz w:val="28"/>
          <w:szCs w:val="28"/>
          <w:lang w:val="es-ES_tradnl"/>
        </w:rPr>
        <w:t>A continuación</w:t>
      </w:r>
      <w:r w:rsidRPr="00F33E35">
        <w:rPr>
          <w:rFonts w:ascii="Times New Roman" w:hAnsi="Times New Roman" w:cs="Times New Roman"/>
          <w:sz w:val="28"/>
          <w:szCs w:val="28"/>
          <w:lang w:val="es-ES_tradnl"/>
        </w:rPr>
        <w:t>, en el mismo fallo,</w:t>
      </w:r>
      <w:r w:rsidRPr="00F33E35">
        <w:rPr>
          <w:rFonts w:ascii="Times New Roman" w:hAnsi="Times New Roman" w:cs="Times New Roman"/>
          <w:sz w:val="28"/>
          <w:szCs w:val="28"/>
          <w:lang w:val="es-ES_tradnl"/>
        </w:rPr>
        <w:t xml:space="preserve"> </w:t>
      </w:r>
      <w:r w:rsidRPr="00F33E35">
        <w:rPr>
          <w:rFonts w:ascii="Times New Roman" w:hAnsi="Times New Roman" w:cs="Times New Roman"/>
          <w:sz w:val="28"/>
          <w:szCs w:val="28"/>
          <w:lang w:val="es-ES_tradnl"/>
        </w:rPr>
        <w:t>este Tribunal</w:t>
      </w:r>
      <w:r w:rsidRPr="00F33E35">
        <w:rPr>
          <w:rFonts w:ascii="Times New Roman" w:hAnsi="Times New Roman" w:cs="Times New Roman"/>
          <w:sz w:val="28"/>
          <w:szCs w:val="28"/>
          <w:lang w:val="es-ES_tradnl"/>
        </w:rPr>
        <w:t xml:space="preserve"> señaló que el monitoreo del espectro electromagnético “</w:t>
      </w:r>
      <w:r w:rsidRPr="00F33E35">
        <w:rPr>
          <w:rFonts w:ascii="Times New Roman" w:hAnsi="Times New Roman" w:cs="Times New Roman"/>
          <w:bCs/>
          <w:color w:val="000000"/>
          <w:sz w:val="28"/>
          <w:szCs w:val="28"/>
          <w:lang w:val="es-ES_tradnl"/>
        </w:rPr>
        <w:t>como actividad impersonal y abst</w:t>
      </w:r>
      <w:r w:rsidRPr="00F33E35">
        <w:rPr>
          <w:rFonts w:ascii="Times New Roman" w:hAnsi="Times New Roman" w:cs="Times New Roman"/>
          <w:bCs/>
          <w:color w:val="000000"/>
          <w:sz w:val="28"/>
          <w:szCs w:val="28"/>
          <w:lang w:val="es-ES_tradnl"/>
        </w:rPr>
        <w:t xml:space="preserve">racta” no puede confundirse con “los actos propios de una investigación penal que es individual y concreta, y que parte de una </w:t>
      </w:r>
      <w:r w:rsidRPr="00F33E35">
        <w:rPr>
          <w:rFonts w:ascii="Times New Roman" w:hAnsi="Times New Roman" w:cs="Times New Roman"/>
          <w:bCs/>
          <w:i/>
          <w:color w:val="000000"/>
          <w:sz w:val="28"/>
          <w:szCs w:val="28"/>
          <w:lang w:val="es-ES_tradnl"/>
        </w:rPr>
        <w:t xml:space="preserve">notitia criminis </w:t>
      </w:r>
      <w:r w:rsidRPr="00F33E35">
        <w:rPr>
          <w:rFonts w:ascii="Times New Roman" w:hAnsi="Times New Roman" w:cs="Times New Roman"/>
          <w:bCs/>
          <w:color w:val="000000"/>
          <w:sz w:val="28"/>
          <w:szCs w:val="28"/>
          <w:lang w:val="es-ES_tradnl"/>
        </w:rPr>
        <w:t>(dentro de una indagación preliminar) (…)”. De este modo, la Corte enfatizó en que la “actividad de monitoreo de</w:t>
      </w:r>
      <w:r w:rsidRPr="00F33E35">
        <w:rPr>
          <w:rFonts w:ascii="Times New Roman" w:hAnsi="Times New Roman" w:cs="Times New Roman"/>
          <w:bCs/>
          <w:color w:val="000000"/>
          <w:sz w:val="28"/>
          <w:szCs w:val="28"/>
          <w:lang w:val="es-ES_tradnl"/>
        </w:rPr>
        <w:t>l espectro electromagnético no puede implicar interceptación o registro de las comunicaciones privadas</w:t>
      </w:r>
      <w:r w:rsidRPr="00F33E35">
        <w:rPr>
          <w:rStyle w:val="Refdenotaalpie"/>
          <w:rFonts w:ascii="Times New Roman" w:hAnsi="Times New Roman" w:cs="Times New Roman"/>
          <w:bCs/>
          <w:color w:val="000000"/>
          <w:sz w:val="28"/>
          <w:szCs w:val="28"/>
          <w:lang w:val="es-ES_tradnl"/>
        </w:rPr>
        <w:footnoteReference w:id="131"/>
      </w:r>
      <w:r w:rsidRPr="00F33E35">
        <w:rPr>
          <w:rFonts w:ascii="Times New Roman" w:hAnsi="Times New Roman" w:cs="Times New Roman"/>
          <w:bCs/>
          <w:color w:val="000000"/>
          <w:sz w:val="28"/>
          <w:szCs w:val="28"/>
          <w:lang w:val="es-ES_tradnl"/>
        </w:rPr>
        <w:t xml:space="preserve">, toda vez que para ello se requiere </w:t>
      </w:r>
      <w:r w:rsidRPr="00F33E35">
        <w:rPr>
          <w:rFonts w:ascii="Times New Roman" w:hAnsi="Times New Roman" w:cs="Times New Roman"/>
          <w:bCs/>
          <w:iCs/>
          <w:color w:val="000000"/>
          <w:sz w:val="28"/>
          <w:szCs w:val="28"/>
          <w:lang w:val="es-ES_tradnl"/>
        </w:rPr>
        <w:t>‘orden judicial, en los casos y con las formalidades que establezca la ley’”.</w:t>
      </w:r>
      <w:r w:rsidRPr="00F33E35">
        <w:rPr>
          <w:rFonts w:ascii="Times New Roman" w:hAnsi="Times New Roman" w:cs="Times New Roman"/>
          <w:bCs/>
          <w:color w:val="000000"/>
          <w:sz w:val="28"/>
          <w:szCs w:val="28"/>
          <w:lang w:val="es-ES_tradnl"/>
        </w:rPr>
        <w:t xml:space="preserve"> </w:t>
      </w:r>
    </w:p>
    <w:p w:rsidR="00E876C8" w:rsidRPr="00F33E35" w:rsidRDefault="00F33E35" w:rsidP="00E876C8">
      <w:pPr>
        <w:pStyle w:val="Prrafodelista"/>
        <w:rPr>
          <w:rFonts w:ascii="Times New Roman" w:hAnsi="Times New Roman" w:cs="Times New Roman"/>
          <w:sz w:val="28"/>
          <w:szCs w:val="28"/>
          <w:lang w:val="es-ES"/>
        </w:rPr>
      </w:pPr>
    </w:p>
    <w:p w:rsidR="00E876C8" w:rsidRPr="00F33E35" w:rsidRDefault="00F33E35" w:rsidP="00E876C8">
      <w:pPr>
        <w:pStyle w:val="Prrafodelista"/>
        <w:numPr>
          <w:ilvl w:val="0"/>
          <w:numId w:val="3"/>
        </w:numPr>
        <w:tabs>
          <w:tab w:val="left" w:pos="284"/>
          <w:tab w:val="left" w:pos="426"/>
        </w:tabs>
        <w:spacing w:after="0" w:line="240" w:lineRule="auto"/>
        <w:ind w:left="0" w:right="-234" w:firstLine="0"/>
        <w:contextualSpacing w:val="0"/>
        <w:jc w:val="both"/>
        <w:rPr>
          <w:rFonts w:ascii="Times New Roman" w:hAnsi="Times New Roman" w:cs="Times New Roman"/>
          <w:sz w:val="28"/>
          <w:szCs w:val="28"/>
          <w:lang w:val="es-ES"/>
        </w:rPr>
      </w:pPr>
      <w:r w:rsidRPr="00F33E35">
        <w:rPr>
          <w:rFonts w:ascii="Times New Roman" w:hAnsi="Times New Roman" w:cs="Times New Roman"/>
          <w:sz w:val="28"/>
          <w:szCs w:val="28"/>
          <w:lang w:val="es-ES"/>
        </w:rPr>
        <w:t xml:space="preserve">Luego </w:t>
      </w:r>
      <w:r w:rsidRPr="00F33E35">
        <w:rPr>
          <w:rFonts w:ascii="Times New Roman" w:hAnsi="Times New Roman" w:cs="Times New Roman"/>
          <w:sz w:val="28"/>
          <w:szCs w:val="28"/>
        </w:rPr>
        <w:t xml:space="preserve">concluyó que, en todo caso, </w:t>
      </w:r>
      <w:r w:rsidRPr="00F33E35">
        <w:rPr>
          <w:rFonts w:ascii="Times New Roman" w:hAnsi="Times New Roman" w:cs="Times New Roman"/>
          <w:sz w:val="28"/>
          <w:szCs w:val="28"/>
        </w:rPr>
        <w:t>las actividades de monitoreo están limitadas por (i) la Constitución Política, arts. 15 y 28; (ii) la Declaración Universal de Derechos Humanos, art. 12; (iii) el Pacto Internacional de Derechos Civiles y Políticos, art. 17.1; (iv) el Convenio para la prot</w:t>
      </w:r>
      <w:r w:rsidRPr="00F33E35">
        <w:rPr>
          <w:rFonts w:ascii="Times New Roman" w:hAnsi="Times New Roman" w:cs="Times New Roman"/>
          <w:sz w:val="28"/>
          <w:szCs w:val="28"/>
        </w:rPr>
        <w:t>ección de los Derechos Humanos y las Libertades Fundamentales, art. 8.1; y (v) la CADH, art. 11.2. Igualmente destacó que la aplicación e interpretación de esa disposición debía tener en consideración lo establecido (vi) en la Ley 1621 de 2013, arts. 2, 3,</w:t>
      </w:r>
      <w:r w:rsidRPr="00F33E35">
        <w:rPr>
          <w:rFonts w:ascii="Times New Roman" w:hAnsi="Times New Roman" w:cs="Times New Roman"/>
          <w:sz w:val="28"/>
          <w:szCs w:val="28"/>
        </w:rPr>
        <w:t xml:space="preserve"> 4, 5, 7, 8 9, 10, 11, 12, 13, 14, 15, 16, 18, 19, 28 y 33.</w:t>
      </w:r>
      <w:r w:rsidRPr="00F33E35">
        <w:rPr>
          <w:rFonts w:ascii="Times New Roman" w:hAnsi="Times New Roman" w:cs="Times New Roman"/>
          <w:sz w:val="28"/>
          <w:szCs w:val="28"/>
          <w:lang w:val="es-ES"/>
        </w:rPr>
        <w:t xml:space="preserve">     </w:t>
      </w:r>
    </w:p>
    <w:p w:rsidR="00A05FD6" w:rsidRPr="00F33E35" w:rsidRDefault="00F33E35" w:rsidP="00A05FD6">
      <w:pPr>
        <w:pStyle w:val="Prrafodelista"/>
        <w:rPr>
          <w:rFonts w:ascii="Times New Roman" w:hAnsi="Times New Roman" w:cs="Times New Roman"/>
          <w:sz w:val="28"/>
          <w:szCs w:val="28"/>
        </w:rPr>
      </w:pPr>
    </w:p>
    <w:p w:rsidR="001971B7" w:rsidRPr="00F33E35" w:rsidRDefault="00F33E35" w:rsidP="0055301E">
      <w:pPr>
        <w:pStyle w:val="Prrafodelista"/>
        <w:numPr>
          <w:ilvl w:val="0"/>
          <w:numId w:val="3"/>
        </w:numPr>
        <w:tabs>
          <w:tab w:val="left" w:pos="284"/>
          <w:tab w:val="left" w:pos="426"/>
        </w:tabs>
        <w:spacing w:after="0" w:line="240" w:lineRule="auto"/>
        <w:ind w:left="0" w:right="-234" w:firstLine="0"/>
        <w:contextualSpacing w:val="0"/>
        <w:jc w:val="both"/>
        <w:rPr>
          <w:rFonts w:ascii="Times New Roman" w:hAnsi="Times New Roman" w:cs="Times New Roman"/>
          <w:sz w:val="28"/>
          <w:szCs w:val="28"/>
          <w:lang w:val="es-ES_tradnl"/>
        </w:rPr>
      </w:pPr>
      <w:r w:rsidRPr="00F33E35">
        <w:rPr>
          <w:rFonts w:ascii="Times New Roman" w:hAnsi="Times New Roman" w:cs="Times New Roman"/>
          <w:sz w:val="28"/>
          <w:szCs w:val="28"/>
        </w:rPr>
        <w:t xml:space="preserve">Al contrastar los argumentos de la demanda con el alcance que </w:t>
      </w:r>
      <w:r w:rsidRPr="00F33E35">
        <w:rPr>
          <w:rFonts w:ascii="Times New Roman" w:hAnsi="Times New Roman" w:cs="Times New Roman"/>
          <w:sz w:val="28"/>
          <w:szCs w:val="28"/>
        </w:rPr>
        <w:t>la Corte Constitucional</w:t>
      </w:r>
      <w:r w:rsidRPr="00F33E35">
        <w:rPr>
          <w:rFonts w:ascii="Times New Roman" w:hAnsi="Times New Roman" w:cs="Times New Roman"/>
          <w:sz w:val="28"/>
          <w:szCs w:val="28"/>
        </w:rPr>
        <w:t xml:space="preserve"> le dio a la norma acusada, la Sala Plena concluye que</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themeColor="text1"/>
          <w:sz w:val="28"/>
          <w:szCs w:val="28"/>
        </w:rPr>
        <w:t xml:space="preserve">los reproches de inconstitucionalidad </w:t>
      </w:r>
      <w:r w:rsidRPr="00F33E35">
        <w:rPr>
          <w:rFonts w:ascii="Times New Roman" w:hAnsi="Times New Roman" w:cs="Times New Roman"/>
          <w:color w:val="000000" w:themeColor="text1"/>
          <w:sz w:val="28"/>
          <w:szCs w:val="28"/>
        </w:rPr>
        <w:t xml:space="preserve">no </w:t>
      </w:r>
      <w:r w:rsidRPr="00F33E35">
        <w:rPr>
          <w:rFonts w:ascii="Times New Roman" w:hAnsi="Times New Roman" w:cs="Times New Roman"/>
          <w:color w:val="000000" w:themeColor="text1"/>
          <w:sz w:val="28"/>
          <w:szCs w:val="28"/>
        </w:rPr>
        <w:t xml:space="preserve">se </w:t>
      </w:r>
      <w:r w:rsidRPr="00F33E35">
        <w:rPr>
          <w:rFonts w:ascii="Times New Roman" w:hAnsi="Times New Roman" w:cs="Times New Roman"/>
          <w:color w:val="000000" w:themeColor="text1"/>
          <w:sz w:val="28"/>
          <w:szCs w:val="28"/>
        </w:rPr>
        <w:t>construyeron a partir del contenido normativo</w:t>
      </w:r>
      <w:r w:rsidRPr="00F33E35">
        <w:rPr>
          <w:rFonts w:ascii="Times New Roman" w:hAnsi="Times New Roman" w:cs="Times New Roman"/>
          <w:color w:val="000000" w:themeColor="text1"/>
          <w:sz w:val="28"/>
          <w:szCs w:val="28"/>
        </w:rPr>
        <w:t xml:space="preserve"> de la disp</w:t>
      </w:r>
      <w:r w:rsidRPr="00F33E35">
        <w:rPr>
          <w:rFonts w:ascii="Times New Roman" w:hAnsi="Times New Roman" w:cs="Times New Roman"/>
          <w:color w:val="000000" w:themeColor="text1"/>
          <w:sz w:val="28"/>
          <w:szCs w:val="28"/>
        </w:rPr>
        <w:t xml:space="preserve">osición acusada, ni </w:t>
      </w:r>
      <w:r w:rsidRPr="00F33E35">
        <w:rPr>
          <w:rFonts w:ascii="Times New Roman" w:hAnsi="Times New Roman" w:cs="Times New Roman"/>
          <w:color w:val="000000" w:themeColor="text1"/>
          <w:sz w:val="28"/>
          <w:szCs w:val="28"/>
        </w:rPr>
        <w:t>de la interpretación</w:t>
      </w:r>
      <w:r w:rsidRPr="00F33E35">
        <w:rPr>
          <w:rFonts w:ascii="Times New Roman" w:hAnsi="Times New Roman" w:cs="Times New Roman"/>
          <w:color w:val="000000" w:themeColor="text1"/>
          <w:sz w:val="28"/>
          <w:szCs w:val="28"/>
        </w:rPr>
        <w:t>,</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themeColor="text1"/>
          <w:sz w:val="28"/>
          <w:szCs w:val="28"/>
        </w:rPr>
        <w:t>ni del</w:t>
      </w:r>
      <w:r w:rsidRPr="00F33E35">
        <w:rPr>
          <w:rFonts w:ascii="Times New Roman" w:hAnsi="Times New Roman" w:cs="Times New Roman"/>
          <w:color w:val="000000" w:themeColor="text1"/>
          <w:sz w:val="28"/>
          <w:szCs w:val="28"/>
        </w:rPr>
        <w:t xml:space="preserve"> alcance que le otorgó este Tribunal. Por el contrario, las y los actores omitieron plantear el cargo con observancia </w:t>
      </w:r>
      <w:r w:rsidRPr="00F33E35">
        <w:rPr>
          <w:rFonts w:ascii="Times New Roman" w:hAnsi="Times New Roman" w:cs="Times New Roman"/>
          <w:color w:val="000000" w:themeColor="text1"/>
          <w:sz w:val="28"/>
          <w:szCs w:val="28"/>
        </w:rPr>
        <w:t xml:space="preserve">precisa </w:t>
      </w:r>
      <w:r w:rsidRPr="00F33E35">
        <w:rPr>
          <w:rFonts w:ascii="Times New Roman" w:hAnsi="Times New Roman" w:cs="Times New Roman"/>
          <w:color w:val="000000" w:themeColor="text1"/>
          <w:sz w:val="28"/>
          <w:szCs w:val="28"/>
        </w:rPr>
        <w:t xml:space="preserve">de </w:t>
      </w:r>
      <w:r w:rsidRPr="00F33E35">
        <w:rPr>
          <w:rFonts w:ascii="Times New Roman" w:hAnsi="Times New Roman" w:cs="Times New Roman"/>
          <w:sz w:val="28"/>
          <w:szCs w:val="28"/>
          <w:lang w:val="es-ES_tradnl"/>
        </w:rPr>
        <w:t>la definición y las dis</w:t>
      </w:r>
      <w:r w:rsidRPr="00F33E35">
        <w:rPr>
          <w:rFonts w:ascii="Times New Roman" w:hAnsi="Times New Roman" w:cs="Times New Roman"/>
          <w:sz w:val="28"/>
          <w:szCs w:val="28"/>
          <w:lang w:val="es-ES_tradnl"/>
        </w:rPr>
        <w:t xml:space="preserve">tinciones expresas contenidas en la Sentencia C-540 de 2012. </w:t>
      </w:r>
      <w:r w:rsidRPr="00F33E35">
        <w:rPr>
          <w:rFonts w:ascii="Times New Roman" w:hAnsi="Times New Roman" w:cs="Times New Roman"/>
          <w:sz w:val="28"/>
          <w:szCs w:val="28"/>
          <w:lang w:val="es-ES_tradnl"/>
        </w:rPr>
        <w:t xml:space="preserve">Dicho de otra forma, </w:t>
      </w:r>
      <w:r w:rsidRPr="00F33E35">
        <w:rPr>
          <w:rFonts w:ascii="Times New Roman" w:hAnsi="Times New Roman" w:cs="Times New Roman"/>
          <w:sz w:val="28"/>
          <w:szCs w:val="28"/>
        </w:rPr>
        <w:t>p</w:t>
      </w:r>
      <w:r w:rsidRPr="00F33E35">
        <w:rPr>
          <w:rFonts w:ascii="Times New Roman" w:hAnsi="Times New Roman" w:cs="Times New Roman"/>
          <w:sz w:val="28"/>
          <w:szCs w:val="28"/>
        </w:rPr>
        <w:t xml:space="preserve">ara esta Corporación, una lectura sistemática de la Sentencia C-540 de 2012, que delimitó el monitoreo como actividad impersonal y no un seguimiento individualizado, y </w:t>
      </w:r>
      <w:r w:rsidRPr="00F33E35">
        <w:rPr>
          <w:rFonts w:ascii="Times New Roman" w:hAnsi="Times New Roman" w:cs="Times New Roman"/>
          <w:sz w:val="28"/>
          <w:szCs w:val="28"/>
        </w:rPr>
        <w:t xml:space="preserve">la </w:t>
      </w:r>
      <w:r w:rsidRPr="00F33E35">
        <w:rPr>
          <w:rFonts w:ascii="Times New Roman" w:hAnsi="Times New Roman" w:cs="Times New Roman"/>
          <w:sz w:val="28"/>
          <w:szCs w:val="28"/>
        </w:rPr>
        <w:t>sentencia correspondiente al</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 xml:space="preserve">caso </w:t>
      </w:r>
      <w:r w:rsidRPr="00F33E35">
        <w:rPr>
          <w:rFonts w:ascii="Times New Roman" w:hAnsi="Times New Roman" w:cs="Times New Roman"/>
          <w:i/>
          <w:iCs/>
          <w:sz w:val="28"/>
          <w:szCs w:val="28"/>
        </w:rPr>
        <w:t>Miembros de la Corporación Colectivo de Abogados José Alvear Restrepo vs. Colombia</w:t>
      </w:r>
      <w:r w:rsidRPr="00F33E35">
        <w:rPr>
          <w:rFonts w:ascii="Times New Roman" w:hAnsi="Times New Roman" w:cs="Times New Roman"/>
          <w:sz w:val="28"/>
          <w:szCs w:val="28"/>
        </w:rPr>
        <w:t xml:space="preserve">, exigía demostrar cómo el estándar interamericano impactaba directamente la interpretación vigente de la norma. </w:t>
      </w:r>
      <w:r w:rsidRPr="00F33E35">
        <w:rPr>
          <w:rFonts w:ascii="Times New Roman" w:hAnsi="Times New Roman" w:cs="Times New Roman"/>
          <w:sz w:val="28"/>
          <w:szCs w:val="28"/>
          <w:lang w:val="es-ES_tradnl"/>
        </w:rPr>
        <w:t>E</w:t>
      </w:r>
      <w:r w:rsidRPr="00F33E35">
        <w:rPr>
          <w:rFonts w:ascii="Times New Roman" w:hAnsi="Times New Roman" w:cs="Times New Roman"/>
          <w:sz w:val="28"/>
          <w:szCs w:val="28"/>
          <w:lang w:val="es-ES_tradnl"/>
        </w:rPr>
        <w:t>ste limitado contraste</w:t>
      </w:r>
      <w:r w:rsidRPr="00F33E35">
        <w:rPr>
          <w:rFonts w:ascii="Times New Roman" w:hAnsi="Times New Roman" w:cs="Times New Roman"/>
          <w:sz w:val="28"/>
          <w:szCs w:val="28"/>
          <w:lang w:val="es-ES_tradnl"/>
        </w:rPr>
        <w:t xml:space="preserve"> en </w:t>
      </w:r>
      <w:r w:rsidRPr="00F33E35">
        <w:rPr>
          <w:rFonts w:ascii="Times New Roman" w:hAnsi="Times New Roman" w:cs="Times New Roman"/>
          <w:sz w:val="28"/>
          <w:szCs w:val="28"/>
          <w:lang w:val="es-ES_tradnl"/>
        </w:rPr>
        <w:t>la revisión del alcance otorgado por el intérprete autorizado de la Constitución Política de Colombia</w:t>
      </w:r>
      <w:r w:rsidRPr="00F33E35">
        <w:rPr>
          <w:rFonts w:ascii="Times New Roman" w:hAnsi="Times New Roman" w:cs="Times New Roman"/>
          <w:sz w:val="28"/>
          <w:szCs w:val="28"/>
          <w:lang w:val="es-ES_tradnl"/>
        </w:rPr>
        <w:t>,</w:t>
      </w:r>
      <w:r w:rsidRPr="00F33E35">
        <w:rPr>
          <w:rFonts w:ascii="Times New Roman" w:hAnsi="Times New Roman" w:cs="Times New Roman"/>
          <w:sz w:val="28"/>
          <w:szCs w:val="28"/>
          <w:lang w:val="es-ES_tradnl"/>
        </w:rPr>
        <w:t xml:space="preserve"> dio lugar a que la </w:t>
      </w:r>
      <w:r w:rsidRPr="00F33E35">
        <w:rPr>
          <w:rFonts w:ascii="Times New Roman" w:hAnsi="Times New Roman" w:cs="Times New Roman"/>
          <w:sz w:val="28"/>
          <w:szCs w:val="28"/>
          <w:lang w:val="es-ES_tradnl"/>
        </w:rPr>
        <w:t>demanda</w:t>
      </w:r>
      <w:r w:rsidRPr="00F33E35">
        <w:rPr>
          <w:rFonts w:ascii="Times New Roman" w:hAnsi="Times New Roman" w:cs="Times New Roman"/>
          <w:sz w:val="28"/>
          <w:szCs w:val="28"/>
          <w:lang w:val="es-ES_tradnl"/>
        </w:rPr>
        <w:t xml:space="preserve"> concluyera que el artículo 17 (parcial) resultaba incompatible con la</w:t>
      </w:r>
      <w:r w:rsidRPr="00F33E35">
        <w:rPr>
          <w:rFonts w:ascii="Times New Roman" w:hAnsi="Times New Roman" w:cs="Times New Roman"/>
          <w:sz w:val="28"/>
          <w:szCs w:val="28"/>
          <w:lang w:val="es-ES_tradnl"/>
        </w:rPr>
        <w:t>s normas superiores.</w:t>
      </w:r>
      <w:r w:rsidRPr="00F33E35">
        <w:rPr>
          <w:rFonts w:ascii="Times New Roman" w:hAnsi="Times New Roman" w:cs="Times New Roman"/>
          <w:sz w:val="28"/>
          <w:szCs w:val="28"/>
          <w:lang w:val="es-ES_tradnl"/>
        </w:rPr>
        <w:t xml:space="preserve"> </w:t>
      </w:r>
      <w:r w:rsidRPr="00F33E35">
        <w:rPr>
          <w:rFonts w:ascii="Times New Roman" w:hAnsi="Times New Roman" w:cs="Times New Roman"/>
          <w:color w:val="000000" w:themeColor="text1"/>
          <w:sz w:val="28"/>
          <w:szCs w:val="28"/>
        </w:rPr>
        <w:t>Tal omisión evidencia que el cargo s</w:t>
      </w:r>
      <w:r w:rsidRPr="00F33E35">
        <w:rPr>
          <w:rFonts w:ascii="Times New Roman" w:hAnsi="Times New Roman" w:cs="Times New Roman"/>
          <w:color w:val="000000" w:themeColor="text1"/>
          <w:sz w:val="28"/>
          <w:szCs w:val="28"/>
        </w:rPr>
        <w:t>e edificó</w:t>
      </w:r>
      <w:r w:rsidRPr="00F33E35">
        <w:rPr>
          <w:rFonts w:ascii="Times New Roman" w:hAnsi="Times New Roman" w:cs="Times New Roman"/>
          <w:color w:val="000000" w:themeColor="text1"/>
          <w:sz w:val="28"/>
          <w:szCs w:val="28"/>
        </w:rPr>
        <w:t xml:space="preserve"> a partir de la interpretación </w:t>
      </w:r>
      <w:r w:rsidRPr="00F33E35">
        <w:rPr>
          <w:rFonts w:ascii="Times New Roman" w:hAnsi="Times New Roman" w:cs="Times New Roman"/>
          <w:color w:val="000000" w:themeColor="text1"/>
          <w:sz w:val="28"/>
          <w:szCs w:val="28"/>
        </w:rPr>
        <w:t xml:space="preserve">parcial e incompleta de la norma legal demandada. </w:t>
      </w:r>
    </w:p>
    <w:p w:rsidR="001971B7" w:rsidRPr="00F33E35" w:rsidRDefault="00F33E35" w:rsidP="001971B7">
      <w:pPr>
        <w:pStyle w:val="Prrafodelista"/>
        <w:rPr>
          <w:rFonts w:ascii="Times New Roman" w:hAnsi="Times New Roman" w:cs="Times New Roman"/>
          <w:color w:val="000000" w:themeColor="text1"/>
          <w:sz w:val="28"/>
          <w:szCs w:val="28"/>
        </w:rPr>
      </w:pPr>
    </w:p>
    <w:p w:rsidR="00FF5603" w:rsidRPr="00F33E35" w:rsidRDefault="00F33E35" w:rsidP="001971B7">
      <w:pPr>
        <w:pStyle w:val="Prrafodelista"/>
        <w:numPr>
          <w:ilvl w:val="0"/>
          <w:numId w:val="3"/>
        </w:numPr>
        <w:tabs>
          <w:tab w:val="left" w:pos="0"/>
          <w:tab w:val="left" w:pos="284"/>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 xml:space="preserve">Dicho de otro modo, el cargo se basó en una interpretación </w:t>
      </w:r>
      <w:r w:rsidRPr="00F33E35">
        <w:rPr>
          <w:rFonts w:ascii="Times New Roman" w:hAnsi="Times New Roman" w:cs="Times New Roman"/>
          <w:color w:val="000000" w:themeColor="text1"/>
          <w:sz w:val="28"/>
          <w:szCs w:val="28"/>
        </w:rPr>
        <w:t>personal y subjetiva</w:t>
      </w:r>
      <w:r w:rsidRPr="00F33E35">
        <w:rPr>
          <w:rFonts w:ascii="Times New Roman" w:hAnsi="Times New Roman" w:cs="Times New Roman"/>
          <w:color w:val="000000" w:themeColor="text1"/>
          <w:sz w:val="28"/>
          <w:szCs w:val="28"/>
        </w:rPr>
        <w:t xml:space="preserve"> de las personas accionantes</w:t>
      </w:r>
      <w:r w:rsidRPr="00F33E35">
        <w:rPr>
          <w:rFonts w:ascii="Times New Roman" w:hAnsi="Times New Roman" w:cs="Times New Roman"/>
          <w:color w:val="000000" w:themeColor="text1"/>
          <w:sz w:val="28"/>
          <w:szCs w:val="28"/>
        </w:rPr>
        <w:t xml:space="preserve">, ello porque omitieron incluir en su análisis lo dicho en la Sentencia C-540 de 2012, de manera que sustituyeron el contenido normativo del artículo 17 en lugar de controvertirlo. </w:t>
      </w:r>
      <w:r w:rsidRPr="00F33E35">
        <w:rPr>
          <w:rFonts w:ascii="Times New Roman" w:hAnsi="Times New Roman" w:cs="Times New Roman"/>
          <w:color w:val="000000" w:themeColor="text1"/>
          <w:sz w:val="28"/>
          <w:szCs w:val="28"/>
        </w:rPr>
        <w:t xml:space="preserve">Esto significa que </w:t>
      </w:r>
      <w:r w:rsidRPr="00F33E35">
        <w:rPr>
          <w:rFonts w:ascii="Times New Roman" w:hAnsi="Times New Roman" w:cs="Times New Roman"/>
          <w:color w:val="000000" w:themeColor="text1"/>
          <w:sz w:val="28"/>
          <w:szCs w:val="28"/>
        </w:rPr>
        <w:t>incumplieron</w:t>
      </w:r>
      <w:r w:rsidRPr="00F33E35">
        <w:rPr>
          <w:rFonts w:ascii="Times New Roman" w:hAnsi="Times New Roman" w:cs="Times New Roman"/>
          <w:color w:val="000000" w:themeColor="text1"/>
          <w:sz w:val="28"/>
          <w:szCs w:val="28"/>
        </w:rPr>
        <w:t xml:space="preserve"> el requisito de </w:t>
      </w:r>
      <w:r w:rsidRPr="00F33E35">
        <w:rPr>
          <w:rFonts w:ascii="Times New Roman" w:hAnsi="Times New Roman" w:cs="Times New Roman"/>
          <w:i/>
          <w:iCs/>
          <w:color w:val="000000" w:themeColor="text1"/>
          <w:sz w:val="28"/>
          <w:szCs w:val="28"/>
        </w:rPr>
        <w:t>certeza</w:t>
      </w:r>
      <w:r w:rsidRPr="00F33E35">
        <w:rPr>
          <w:rFonts w:ascii="Times New Roman" w:hAnsi="Times New Roman" w:cs="Times New Roman"/>
          <w:color w:val="000000" w:themeColor="text1"/>
          <w:sz w:val="28"/>
          <w:szCs w:val="28"/>
        </w:rPr>
        <w:t xml:space="preserve">. </w:t>
      </w:r>
    </w:p>
    <w:p w:rsidR="00FF5603" w:rsidRPr="00F33E35" w:rsidRDefault="00F33E35" w:rsidP="008158EB">
      <w:pPr>
        <w:pStyle w:val="Prrafodelista"/>
        <w:spacing w:after="0" w:line="240" w:lineRule="auto"/>
        <w:ind w:left="0"/>
        <w:contextualSpacing w:val="0"/>
        <w:rPr>
          <w:rFonts w:ascii="Times New Roman" w:hAnsi="Times New Roman" w:cs="Times New Roman"/>
          <w:color w:val="000000" w:themeColor="text1"/>
          <w:sz w:val="28"/>
          <w:szCs w:val="28"/>
        </w:rPr>
      </w:pPr>
    </w:p>
    <w:p w:rsidR="0055301E" w:rsidRPr="00F33E35" w:rsidRDefault="00F33E35" w:rsidP="008158EB">
      <w:pPr>
        <w:pStyle w:val="Prrafodelista"/>
        <w:numPr>
          <w:ilvl w:val="0"/>
          <w:numId w:val="3"/>
        </w:numPr>
        <w:tabs>
          <w:tab w:val="left" w:pos="0"/>
          <w:tab w:val="left" w:pos="284"/>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Lo anterior, gua</w:t>
      </w:r>
      <w:r w:rsidRPr="00F33E35">
        <w:rPr>
          <w:rFonts w:ascii="Times New Roman" w:hAnsi="Times New Roman" w:cs="Times New Roman"/>
          <w:color w:val="000000" w:themeColor="text1"/>
          <w:sz w:val="28"/>
          <w:szCs w:val="28"/>
        </w:rPr>
        <w:t>rda estrecha relación con el requisito de</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i/>
          <w:color w:val="000000" w:themeColor="text1"/>
          <w:sz w:val="28"/>
          <w:szCs w:val="28"/>
        </w:rPr>
        <w:t>especificidad</w:t>
      </w:r>
      <w:r w:rsidRPr="00F33E35">
        <w:rPr>
          <w:rFonts w:ascii="Times New Roman" w:hAnsi="Times New Roman" w:cs="Times New Roman"/>
          <w:color w:val="000000" w:themeColor="text1"/>
          <w:sz w:val="28"/>
          <w:szCs w:val="28"/>
        </w:rPr>
        <w:t>. En efecto,</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themeColor="text1"/>
          <w:sz w:val="28"/>
          <w:szCs w:val="28"/>
        </w:rPr>
        <w:t xml:space="preserve">la acusación destaca que la disposición demandada implica una infracción de normas integradas al bloque de constitucionalidad tal y como han sido interpretadas por la Corte IDH. </w:t>
      </w:r>
      <w:r w:rsidRPr="00F33E35">
        <w:rPr>
          <w:rFonts w:ascii="Times New Roman" w:hAnsi="Times New Roman" w:cs="Times New Roman"/>
          <w:color w:val="000000" w:themeColor="text1"/>
          <w:sz w:val="28"/>
          <w:szCs w:val="28"/>
        </w:rPr>
        <w:t xml:space="preserve">En </w:t>
      </w:r>
      <w:r w:rsidRPr="00F33E35">
        <w:rPr>
          <w:rFonts w:ascii="Times New Roman" w:hAnsi="Times New Roman" w:cs="Times New Roman"/>
          <w:color w:val="000000" w:themeColor="text1"/>
          <w:sz w:val="28"/>
          <w:szCs w:val="28"/>
        </w:rPr>
        <w:t>criterio de las y los demandantes,</w:t>
      </w:r>
      <w:r w:rsidRPr="00F33E35">
        <w:rPr>
          <w:rFonts w:ascii="Times New Roman" w:hAnsi="Times New Roman" w:cs="Times New Roman"/>
          <w:color w:val="000000" w:themeColor="text1"/>
          <w:sz w:val="28"/>
          <w:szCs w:val="28"/>
        </w:rPr>
        <w:t xml:space="preserve"> la disposición autoriza interferencias en la vida privada de las personas a través del monitoreo del espectro electromagnético, sin requerir autorización judicial.</w:t>
      </w:r>
    </w:p>
    <w:p w:rsidR="0055301E" w:rsidRPr="00F33E35" w:rsidRDefault="00F33E35" w:rsidP="0055301E">
      <w:pPr>
        <w:pStyle w:val="Prrafodelista"/>
        <w:rPr>
          <w:rFonts w:ascii="Times New Roman" w:hAnsi="Times New Roman" w:cs="Times New Roman"/>
          <w:color w:val="000000" w:themeColor="text1"/>
          <w:sz w:val="28"/>
          <w:szCs w:val="28"/>
        </w:rPr>
      </w:pPr>
    </w:p>
    <w:p w:rsidR="0055301E" w:rsidRPr="00F33E35" w:rsidRDefault="00F33E35" w:rsidP="0055301E">
      <w:pPr>
        <w:pStyle w:val="Prrafodelista"/>
        <w:numPr>
          <w:ilvl w:val="0"/>
          <w:numId w:val="3"/>
        </w:numPr>
        <w:tabs>
          <w:tab w:val="left" w:pos="0"/>
          <w:tab w:val="left" w:pos="284"/>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Sin embargo, se itera que dichas apreciaciones no consul</w:t>
      </w:r>
      <w:r w:rsidRPr="00F33E35">
        <w:rPr>
          <w:rFonts w:ascii="Times New Roman" w:hAnsi="Times New Roman" w:cs="Times New Roman"/>
          <w:color w:val="000000" w:themeColor="text1"/>
          <w:sz w:val="28"/>
          <w:szCs w:val="28"/>
        </w:rPr>
        <w:t xml:space="preserve">tan el contenido de la Sentencia C-540 de 2012, que después de abordar aspectos </w:t>
      </w:r>
      <w:r w:rsidRPr="00F33E35">
        <w:rPr>
          <w:rFonts w:ascii="Times New Roman" w:hAnsi="Times New Roman" w:cs="Times New Roman"/>
          <w:sz w:val="28"/>
          <w:szCs w:val="28"/>
          <w:lang w:val="es-ES_tradnl"/>
        </w:rPr>
        <w:t>relativos al ámbito de protección del derecho a la vida privada y a sus limitaciones excepcionales</w:t>
      </w:r>
      <w:r w:rsidRPr="00F33E35">
        <w:rPr>
          <w:rFonts w:ascii="Times New Roman" w:hAnsi="Times New Roman" w:cs="Times New Roman"/>
          <w:sz w:val="28"/>
          <w:szCs w:val="28"/>
          <w:lang w:val="es-ES_tradnl"/>
        </w:rPr>
        <w:t>,</w:t>
      </w:r>
      <w:r w:rsidRPr="00F33E35">
        <w:rPr>
          <w:rFonts w:ascii="Times New Roman" w:hAnsi="Times New Roman" w:cs="Times New Roman"/>
          <w:sz w:val="28"/>
          <w:szCs w:val="28"/>
          <w:lang w:val="es-ES_tradnl"/>
        </w:rPr>
        <w:t xml:space="preserve"> </w:t>
      </w:r>
      <w:r w:rsidRPr="00F33E35">
        <w:rPr>
          <w:rFonts w:ascii="Times New Roman" w:hAnsi="Times New Roman" w:cs="Times New Roman"/>
          <w:sz w:val="28"/>
          <w:szCs w:val="28"/>
          <w:lang w:val="es-ES_tradnl"/>
        </w:rPr>
        <w:t>e</w:t>
      </w:r>
      <w:r w:rsidRPr="00F33E35">
        <w:rPr>
          <w:rFonts w:ascii="Times New Roman" w:hAnsi="Times New Roman" w:cs="Times New Roman"/>
          <w:sz w:val="28"/>
          <w:szCs w:val="28"/>
          <w:lang w:val="es-ES_tradnl"/>
        </w:rPr>
        <w:t>stableció</w:t>
      </w:r>
      <w:r w:rsidRPr="00F33E35">
        <w:rPr>
          <w:rFonts w:ascii="Times New Roman" w:hAnsi="Times New Roman" w:cs="Times New Roman"/>
          <w:sz w:val="28"/>
          <w:szCs w:val="28"/>
          <w:lang w:val="es-ES_tradnl"/>
        </w:rPr>
        <w:t xml:space="preserve"> las condiciones mínimas que deben cumplir las actividades legítim</w:t>
      </w:r>
      <w:r w:rsidRPr="00F33E35">
        <w:rPr>
          <w:rFonts w:ascii="Times New Roman" w:hAnsi="Times New Roman" w:cs="Times New Roman"/>
          <w:sz w:val="28"/>
          <w:szCs w:val="28"/>
          <w:lang w:val="es-ES_tradnl"/>
        </w:rPr>
        <w:t xml:space="preserve">as de inteligencia y contrainteligencia del Estado para desarrollar las políticas en materia de seguridad y proteger los derechos de los habitantes. </w:t>
      </w:r>
      <w:r w:rsidRPr="00F33E35">
        <w:rPr>
          <w:rFonts w:ascii="Times New Roman" w:hAnsi="Times New Roman" w:cs="Times New Roman"/>
          <w:sz w:val="28"/>
          <w:szCs w:val="28"/>
          <w:lang w:val="es-ES_tradnl"/>
        </w:rPr>
        <w:t xml:space="preserve">En ese contexto, </w:t>
      </w:r>
      <w:r w:rsidRPr="00F33E35">
        <w:rPr>
          <w:rFonts w:ascii="Times New Roman" w:hAnsi="Times New Roman" w:cs="Times New Roman"/>
          <w:color w:val="000000" w:themeColor="text1"/>
          <w:sz w:val="28"/>
          <w:szCs w:val="28"/>
        </w:rPr>
        <w:t xml:space="preserve">esta Corte precisó </w:t>
      </w:r>
      <w:r w:rsidRPr="00F33E35">
        <w:rPr>
          <w:rFonts w:ascii="Times New Roman" w:hAnsi="Times New Roman" w:cs="Times New Roman"/>
          <w:sz w:val="28"/>
          <w:szCs w:val="28"/>
          <w:lang w:val="es-ES_tradnl"/>
        </w:rPr>
        <w:t>que estas actividades se circunscriben a una “labor de rastreo de forma</w:t>
      </w:r>
      <w:r w:rsidRPr="00F33E35">
        <w:rPr>
          <w:rFonts w:ascii="Times New Roman" w:hAnsi="Times New Roman" w:cs="Times New Roman"/>
          <w:sz w:val="28"/>
          <w:szCs w:val="28"/>
          <w:lang w:val="es-ES_tradnl"/>
        </w:rPr>
        <w:t xml:space="preserve"> aleatoria e indiscriminada”</w:t>
      </w:r>
      <w:r w:rsidRPr="00F33E35">
        <w:rPr>
          <w:rStyle w:val="Refdenotaalpie"/>
          <w:rFonts w:ascii="Times New Roman" w:hAnsi="Times New Roman" w:cs="Times New Roman"/>
          <w:sz w:val="28"/>
          <w:szCs w:val="28"/>
          <w:lang w:val="es-ES_tradnl"/>
        </w:rPr>
        <w:footnoteReference w:id="132"/>
      </w:r>
      <w:r w:rsidRPr="00F33E35">
        <w:rPr>
          <w:rFonts w:ascii="Times New Roman" w:hAnsi="Times New Roman" w:cs="Times New Roman"/>
          <w:sz w:val="28"/>
          <w:szCs w:val="28"/>
          <w:lang w:val="es-ES_tradnl"/>
        </w:rPr>
        <w:t>.</w:t>
      </w:r>
      <w:r w:rsidRPr="00F33E35">
        <w:rPr>
          <w:rFonts w:ascii="Times New Roman" w:hAnsi="Times New Roman" w:cs="Times New Roman"/>
          <w:sz w:val="28"/>
          <w:szCs w:val="28"/>
          <w:lang w:val="es-ES"/>
        </w:rPr>
        <w:t xml:space="preserve"> </w:t>
      </w:r>
    </w:p>
    <w:p w:rsidR="004501DF" w:rsidRPr="00F33E35" w:rsidRDefault="00F33E35" w:rsidP="004501DF">
      <w:pPr>
        <w:pStyle w:val="Prrafodelista"/>
        <w:rPr>
          <w:rFonts w:ascii="Times New Roman" w:hAnsi="Times New Roman" w:cs="Times New Roman"/>
          <w:color w:val="000000" w:themeColor="text1"/>
          <w:sz w:val="28"/>
          <w:szCs w:val="28"/>
        </w:rPr>
      </w:pPr>
    </w:p>
    <w:p w:rsidR="006A27C3" w:rsidRPr="00F33E35" w:rsidRDefault="00F33E35" w:rsidP="001971B7">
      <w:pPr>
        <w:pStyle w:val="Prrafodelista"/>
        <w:numPr>
          <w:ilvl w:val="0"/>
          <w:numId w:val="3"/>
        </w:numPr>
        <w:tabs>
          <w:tab w:val="left" w:pos="0"/>
          <w:tab w:val="left" w:pos="284"/>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 xml:space="preserve">En ese orden de ideas, la </w:t>
      </w:r>
      <w:r w:rsidRPr="00F33E35">
        <w:rPr>
          <w:rFonts w:ascii="Times New Roman" w:hAnsi="Times New Roman" w:cs="Times New Roman"/>
          <w:color w:val="000000" w:themeColor="text1"/>
          <w:sz w:val="28"/>
          <w:szCs w:val="28"/>
        </w:rPr>
        <w:t>Sala Plena</w:t>
      </w:r>
      <w:r w:rsidRPr="00F33E35">
        <w:rPr>
          <w:rFonts w:ascii="Times New Roman" w:hAnsi="Times New Roman" w:cs="Times New Roman"/>
          <w:sz w:val="28"/>
          <w:szCs w:val="28"/>
        </w:rPr>
        <w:t xml:space="preserve"> observa que la demanda no evidenció la contradicción específica entre la norma demandada -incluyendo al alcance establecido por esta Corte en el control automático y previo- y la Constitución</w:t>
      </w:r>
      <w:r w:rsidRPr="00F33E35">
        <w:rPr>
          <w:rFonts w:ascii="Times New Roman" w:hAnsi="Times New Roman" w:cs="Times New Roman"/>
          <w:sz w:val="28"/>
          <w:szCs w:val="28"/>
        </w:rPr>
        <w:t xml:space="preserve"> y las normas de la CADH</w:t>
      </w:r>
      <w:r w:rsidRPr="00F33E35">
        <w:rPr>
          <w:rFonts w:ascii="Times New Roman" w:hAnsi="Times New Roman" w:cs="Times New Roman"/>
          <w:sz w:val="28"/>
          <w:szCs w:val="28"/>
        </w:rPr>
        <w:t>, puesto que el escrito presentado se li</w:t>
      </w:r>
      <w:r w:rsidRPr="00F33E35">
        <w:rPr>
          <w:rFonts w:ascii="Times New Roman" w:hAnsi="Times New Roman" w:cs="Times New Roman"/>
          <w:sz w:val="28"/>
          <w:szCs w:val="28"/>
        </w:rPr>
        <w:t>mitó a calificar el monitoreo como una práctica invasiva de las comunicaciones contraria a los derechos fundamentales, sin demostrar cómo, a partir del texto literal del artículo 17 y de la interpretación vinculante fijada en la sentencia C-540 de 2012, se</w:t>
      </w:r>
      <w:r w:rsidRPr="00F33E35">
        <w:rPr>
          <w:rFonts w:ascii="Times New Roman" w:hAnsi="Times New Roman" w:cs="Times New Roman"/>
          <w:sz w:val="28"/>
          <w:szCs w:val="28"/>
        </w:rPr>
        <w:t xml:space="preserve"> produce una contradicción normativa con los artículos superiores invocados. </w:t>
      </w:r>
    </w:p>
    <w:p w:rsidR="001971B7" w:rsidRPr="00F33E35" w:rsidRDefault="00F33E35" w:rsidP="00B72E11">
      <w:pPr>
        <w:pStyle w:val="Prrafodelista"/>
        <w:tabs>
          <w:tab w:val="left" w:pos="0"/>
          <w:tab w:val="left" w:pos="284"/>
          <w:tab w:val="left" w:pos="426"/>
        </w:tabs>
        <w:overflowPunct w:val="0"/>
        <w:autoSpaceDE w:val="0"/>
        <w:autoSpaceDN w:val="0"/>
        <w:spacing w:after="0" w:line="240" w:lineRule="auto"/>
        <w:ind w:left="0"/>
        <w:contextualSpacing w:val="0"/>
        <w:jc w:val="both"/>
        <w:textAlignment w:val="baseline"/>
        <w:rPr>
          <w:rFonts w:ascii="Times New Roman" w:hAnsi="Times New Roman" w:cs="Times New Roman"/>
          <w:sz w:val="28"/>
          <w:szCs w:val="28"/>
        </w:rPr>
      </w:pPr>
    </w:p>
    <w:p w:rsidR="001971B7" w:rsidRPr="00F33E35" w:rsidRDefault="00F33E35" w:rsidP="001971B7">
      <w:pPr>
        <w:pStyle w:val="Prrafodelista"/>
        <w:numPr>
          <w:ilvl w:val="0"/>
          <w:numId w:val="3"/>
        </w:numPr>
        <w:tabs>
          <w:tab w:val="left" w:pos="0"/>
          <w:tab w:val="left" w:pos="284"/>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sz w:val="28"/>
          <w:szCs w:val="28"/>
        </w:rPr>
        <w:t>Como consecuencia del incumplimiento de los requisitos de certeza y</w:t>
      </w:r>
      <w:r w:rsidRPr="00F33E35">
        <w:rPr>
          <w:rFonts w:ascii="Times New Roman" w:hAnsi="Times New Roman" w:cs="Times New Roman"/>
          <w:sz w:val="28"/>
          <w:szCs w:val="28"/>
        </w:rPr>
        <w:t xml:space="preserve"> especificidad</w:t>
      </w:r>
      <w:r w:rsidRPr="00F33E35">
        <w:rPr>
          <w:rFonts w:ascii="Times New Roman" w:hAnsi="Times New Roman" w:cs="Times New Roman"/>
          <w:sz w:val="28"/>
          <w:szCs w:val="28"/>
        </w:rPr>
        <w:t xml:space="preserve">, es decir, al haberse acusado el artículo 17 (parcial) de la Ley 1621 de 2013 sin consultar el </w:t>
      </w:r>
      <w:r w:rsidRPr="00F33E35">
        <w:rPr>
          <w:rFonts w:ascii="Times New Roman" w:hAnsi="Times New Roman" w:cs="Times New Roman"/>
          <w:sz w:val="28"/>
          <w:szCs w:val="28"/>
        </w:rPr>
        <w:t>alcance otorgado por la Corte Constitucional</w:t>
      </w:r>
      <w:r w:rsidRPr="00F33E35">
        <w:rPr>
          <w:rFonts w:ascii="Times New Roman" w:hAnsi="Times New Roman" w:cs="Times New Roman"/>
          <w:sz w:val="28"/>
          <w:szCs w:val="28"/>
        </w:rPr>
        <w:t xml:space="preserve"> ni efectuar el</w:t>
      </w:r>
      <w:r w:rsidRPr="00F33E35">
        <w:rPr>
          <w:rFonts w:ascii="Times New Roman" w:hAnsi="Times New Roman" w:cs="Times New Roman"/>
          <w:sz w:val="28"/>
          <w:szCs w:val="28"/>
        </w:rPr>
        <w:t xml:space="preserve"> contraste indispensable</w:t>
      </w:r>
      <w:r w:rsidRPr="00F33E35">
        <w:rPr>
          <w:rFonts w:ascii="Times New Roman" w:hAnsi="Times New Roman" w:cs="Times New Roman"/>
          <w:sz w:val="28"/>
          <w:szCs w:val="28"/>
        </w:rPr>
        <w:t xml:space="preserve"> entre aquel y el texto superior</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 la Sala Plena concluye que</w:t>
      </w:r>
      <w:r w:rsidRPr="00F33E35">
        <w:rPr>
          <w:rFonts w:ascii="Times New Roman" w:hAnsi="Times New Roman" w:cs="Times New Roman"/>
          <w:sz w:val="28"/>
          <w:szCs w:val="28"/>
        </w:rPr>
        <w:t xml:space="preserve"> no se generó tampoco la duda mínima requerida para activar el juicio de fondo, por lo que </w:t>
      </w:r>
      <w:r w:rsidRPr="00F33E35">
        <w:rPr>
          <w:rFonts w:ascii="Times New Roman" w:hAnsi="Times New Roman" w:cs="Times New Roman"/>
          <w:sz w:val="28"/>
          <w:szCs w:val="28"/>
        </w:rPr>
        <w:t>este cargo tampoco</w:t>
      </w:r>
      <w:r w:rsidRPr="00F33E35">
        <w:rPr>
          <w:rFonts w:ascii="Times New Roman" w:hAnsi="Times New Roman" w:cs="Times New Roman"/>
          <w:sz w:val="28"/>
          <w:szCs w:val="28"/>
        </w:rPr>
        <w:t xml:space="preserve"> cumpl</w:t>
      </w:r>
      <w:r w:rsidRPr="00F33E35">
        <w:rPr>
          <w:rFonts w:ascii="Times New Roman" w:hAnsi="Times New Roman" w:cs="Times New Roman"/>
          <w:sz w:val="28"/>
          <w:szCs w:val="28"/>
        </w:rPr>
        <w:t>e</w:t>
      </w:r>
      <w:r w:rsidRPr="00F33E35">
        <w:rPr>
          <w:rFonts w:ascii="Times New Roman" w:hAnsi="Times New Roman" w:cs="Times New Roman"/>
          <w:sz w:val="28"/>
          <w:szCs w:val="28"/>
        </w:rPr>
        <w:t xml:space="preserve"> el requisito de </w:t>
      </w:r>
      <w:r w:rsidRPr="00F33E35">
        <w:rPr>
          <w:rFonts w:ascii="Times New Roman" w:hAnsi="Times New Roman" w:cs="Times New Roman"/>
          <w:i/>
          <w:iCs/>
          <w:sz w:val="28"/>
          <w:szCs w:val="28"/>
        </w:rPr>
        <w:t>suficiencia</w:t>
      </w:r>
      <w:r w:rsidRPr="00F33E35">
        <w:rPr>
          <w:rFonts w:ascii="Times New Roman" w:hAnsi="Times New Roman" w:cs="Times New Roman"/>
          <w:sz w:val="28"/>
          <w:szCs w:val="28"/>
        </w:rPr>
        <w:t xml:space="preserve">. </w:t>
      </w:r>
    </w:p>
    <w:p w:rsidR="00FF5603" w:rsidRPr="00F33E35" w:rsidRDefault="00F33E35" w:rsidP="0055301E">
      <w:pPr>
        <w:pStyle w:val="Prrafodelista"/>
        <w:tabs>
          <w:tab w:val="left" w:pos="0"/>
        </w:tabs>
        <w:overflowPunct w:val="0"/>
        <w:autoSpaceDE w:val="0"/>
        <w:autoSpaceDN w:val="0"/>
        <w:spacing w:after="0" w:line="240" w:lineRule="auto"/>
        <w:ind w:left="0"/>
        <w:contextualSpacing w:val="0"/>
        <w:jc w:val="both"/>
        <w:textAlignment w:val="baseline"/>
        <w:rPr>
          <w:rFonts w:ascii="Times New Roman" w:hAnsi="Times New Roman" w:cs="Times New Roman"/>
          <w:color w:val="000000" w:themeColor="text1"/>
          <w:sz w:val="28"/>
          <w:szCs w:val="28"/>
        </w:rPr>
      </w:pPr>
    </w:p>
    <w:p w:rsidR="00875E6B" w:rsidRPr="00F33E35" w:rsidRDefault="00F33E35" w:rsidP="00875E6B">
      <w:pPr>
        <w:pStyle w:val="Prrafodelista"/>
        <w:numPr>
          <w:ilvl w:val="0"/>
          <w:numId w:val="3"/>
        </w:numPr>
        <w:tabs>
          <w:tab w:val="left" w:pos="0"/>
          <w:tab w:val="left" w:pos="284"/>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sz w:val="28"/>
          <w:szCs w:val="28"/>
        </w:rPr>
        <w:t xml:space="preserve">En cuanto al </w:t>
      </w:r>
      <w:r w:rsidRPr="00F33E35">
        <w:rPr>
          <w:rFonts w:ascii="Times New Roman" w:hAnsi="Times New Roman" w:cs="Times New Roman"/>
          <w:b/>
          <w:bCs/>
          <w:sz w:val="28"/>
          <w:szCs w:val="28"/>
        </w:rPr>
        <w:t xml:space="preserve">artículo 33 (parcial), </w:t>
      </w:r>
      <w:r w:rsidRPr="00F33E35">
        <w:rPr>
          <w:rFonts w:ascii="Times New Roman" w:hAnsi="Times New Roman" w:cs="Times New Roman"/>
          <w:sz w:val="28"/>
          <w:szCs w:val="28"/>
        </w:rPr>
        <w:t xml:space="preserve">la Comisión Colombiana de Juristas sostuvo que el cargo carece de </w:t>
      </w:r>
      <w:r w:rsidRPr="00F33E35">
        <w:rPr>
          <w:rFonts w:ascii="Times New Roman" w:hAnsi="Times New Roman" w:cs="Times New Roman"/>
          <w:i/>
          <w:iCs/>
          <w:sz w:val="28"/>
          <w:szCs w:val="28"/>
        </w:rPr>
        <w:t>certeza,</w:t>
      </w:r>
      <w:r w:rsidRPr="00F33E35">
        <w:rPr>
          <w:rFonts w:ascii="Times New Roman" w:hAnsi="Times New Roman" w:cs="Times New Roman"/>
          <w:sz w:val="28"/>
          <w:szCs w:val="28"/>
        </w:rPr>
        <w:t xml:space="preserve"> porque la demanda asume que la reserva de información de inteligencia debería estar establecida en determinadas categorías específicas, pero no identifica cuál es el estándar ni como debería hacerse. </w:t>
      </w:r>
      <w:r w:rsidRPr="00F33E35">
        <w:rPr>
          <w:rFonts w:ascii="Times New Roman" w:hAnsi="Times New Roman" w:cs="Times New Roman"/>
          <w:sz w:val="28"/>
          <w:szCs w:val="28"/>
        </w:rPr>
        <w:t xml:space="preserve">Destacaron que </w:t>
      </w:r>
      <w:r w:rsidRPr="00F33E35">
        <w:rPr>
          <w:rFonts w:ascii="Times New Roman" w:hAnsi="Times New Roman" w:cs="Times New Roman"/>
          <w:sz w:val="28"/>
          <w:szCs w:val="28"/>
        </w:rPr>
        <w:t xml:space="preserve">la clasificación general podría generar </w:t>
      </w:r>
      <w:r w:rsidRPr="00F33E35">
        <w:rPr>
          <w:rFonts w:ascii="Times New Roman" w:hAnsi="Times New Roman" w:cs="Times New Roman"/>
          <w:sz w:val="28"/>
          <w:szCs w:val="28"/>
        </w:rPr>
        <w:t>abusos, lo que no equivale a una “inconstitucionalidad directa”</w:t>
      </w:r>
      <w:r w:rsidRPr="00F33E35">
        <w:rPr>
          <w:rStyle w:val="Refdenotaalpie"/>
          <w:rFonts w:ascii="Times New Roman" w:hAnsi="Times New Roman" w:cs="Times New Roman"/>
          <w:sz w:val="28"/>
          <w:szCs w:val="28"/>
        </w:rPr>
        <w:footnoteReference w:id="133"/>
      </w:r>
      <w:r w:rsidRPr="00F33E35">
        <w:rPr>
          <w:rFonts w:ascii="Times New Roman" w:hAnsi="Times New Roman" w:cs="Times New Roman"/>
          <w:sz w:val="28"/>
          <w:szCs w:val="28"/>
        </w:rPr>
        <w:t xml:space="preserve">. Para la interviniente, el cargo también adolece de </w:t>
      </w:r>
      <w:r w:rsidRPr="00F33E35">
        <w:rPr>
          <w:rFonts w:ascii="Times New Roman" w:hAnsi="Times New Roman" w:cs="Times New Roman"/>
          <w:i/>
          <w:iCs/>
          <w:sz w:val="28"/>
          <w:szCs w:val="28"/>
        </w:rPr>
        <w:t>pertinencia</w:t>
      </w:r>
      <w:r w:rsidRPr="00F33E35">
        <w:rPr>
          <w:rFonts w:ascii="Times New Roman" w:hAnsi="Times New Roman" w:cs="Times New Roman"/>
          <w:sz w:val="28"/>
          <w:szCs w:val="28"/>
        </w:rPr>
        <w:t>, en la medida que su argumentación no se fundó en una contradicción manifiesta con la Constitución, sino en la hipótesis de que</w:t>
      </w:r>
      <w:r w:rsidRPr="00F33E35">
        <w:rPr>
          <w:rFonts w:ascii="Times New Roman" w:hAnsi="Times New Roman" w:cs="Times New Roman"/>
          <w:sz w:val="28"/>
          <w:szCs w:val="28"/>
        </w:rPr>
        <w:t xml:space="preserve"> la norma podría ser más precisa en la definición de categorías de información reservada.</w:t>
      </w:r>
    </w:p>
    <w:p w:rsidR="00875E6B" w:rsidRPr="00F33E35" w:rsidRDefault="00F33E35" w:rsidP="00875E6B">
      <w:pPr>
        <w:pStyle w:val="Prrafodelista"/>
        <w:rPr>
          <w:rFonts w:ascii="Times New Roman" w:hAnsi="Times New Roman" w:cs="Times New Roman"/>
          <w:color w:val="000000" w:themeColor="text1"/>
          <w:sz w:val="28"/>
          <w:szCs w:val="28"/>
        </w:rPr>
      </w:pPr>
    </w:p>
    <w:p w:rsidR="001318E4" w:rsidRPr="00F33E35" w:rsidRDefault="00F33E35" w:rsidP="001318E4">
      <w:pPr>
        <w:pStyle w:val="Prrafodelista"/>
        <w:numPr>
          <w:ilvl w:val="0"/>
          <w:numId w:val="3"/>
        </w:numPr>
        <w:tabs>
          <w:tab w:val="left" w:pos="0"/>
          <w:tab w:val="left" w:pos="284"/>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 xml:space="preserve">La Corte observa que </w:t>
      </w:r>
      <w:r w:rsidRPr="00F33E35">
        <w:rPr>
          <w:rFonts w:ascii="Times New Roman" w:hAnsi="Times New Roman" w:cs="Times New Roman"/>
          <w:color w:val="000000" w:themeColor="text1"/>
          <w:sz w:val="28"/>
          <w:szCs w:val="28"/>
        </w:rPr>
        <w:t>según l</w:t>
      </w:r>
      <w:r w:rsidRPr="00F33E35">
        <w:rPr>
          <w:rFonts w:ascii="Times New Roman" w:hAnsi="Times New Roman" w:cs="Times New Roman"/>
          <w:color w:val="000000" w:themeColor="text1"/>
          <w:sz w:val="28"/>
          <w:szCs w:val="28"/>
        </w:rPr>
        <w:t>as y l</w:t>
      </w:r>
      <w:r w:rsidRPr="00F33E35">
        <w:rPr>
          <w:rFonts w:ascii="Times New Roman" w:hAnsi="Times New Roman" w:cs="Times New Roman"/>
          <w:color w:val="000000" w:themeColor="text1"/>
          <w:sz w:val="28"/>
          <w:szCs w:val="28"/>
        </w:rPr>
        <w:t xml:space="preserve">os demandantes </w:t>
      </w:r>
      <w:r w:rsidRPr="00F33E35">
        <w:rPr>
          <w:rFonts w:ascii="Times New Roman" w:hAnsi="Times New Roman" w:cs="Times New Roman"/>
          <w:color w:val="000000"/>
          <w:sz w:val="28"/>
          <w:szCs w:val="28"/>
          <w:lang w:val="es-MX"/>
        </w:rPr>
        <w:t>la regulación interna</w:t>
      </w:r>
      <w:r w:rsidRPr="00F33E35">
        <w:rPr>
          <w:rFonts w:ascii="Times New Roman" w:hAnsi="Times New Roman" w:cs="Times New Roman"/>
          <w:color w:val="000000"/>
          <w:sz w:val="28"/>
          <w:szCs w:val="28"/>
          <w:lang w:val="es-MX"/>
        </w:rPr>
        <w:t xml:space="preserve"> autoriza la reserva de la información de inteligencia </w:t>
      </w:r>
      <w:r w:rsidRPr="00F33E35">
        <w:rPr>
          <w:rFonts w:ascii="Times New Roman" w:hAnsi="Times New Roman" w:cs="Times New Roman"/>
          <w:color w:val="000000"/>
          <w:sz w:val="28"/>
          <w:szCs w:val="28"/>
          <w:lang w:val="es-MX"/>
        </w:rPr>
        <w:t>por razón del</w:t>
      </w:r>
      <w:r w:rsidRPr="00F33E35">
        <w:rPr>
          <w:rFonts w:ascii="Times New Roman" w:hAnsi="Times New Roman" w:cs="Times New Roman"/>
          <w:color w:val="000000"/>
          <w:sz w:val="28"/>
          <w:szCs w:val="28"/>
          <w:lang w:val="es-MX"/>
        </w:rPr>
        <w:t xml:space="preserve"> </w:t>
      </w:r>
      <w:r w:rsidRPr="00F33E35">
        <w:rPr>
          <w:rFonts w:ascii="Times New Roman" w:hAnsi="Times New Roman" w:cs="Times New Roman"/>
          <w:color w:val="000000"/>
          <w:sz w:val="28"/>
          <w:szCs w:val="28"/>
          <w:lang w:val="es-MX"/>
        </w:rPr>
        <w:t>“origen o pertenencia del</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sz w:val="28"/>
          <w:szCs w:val="28"/>
          <w:lang w:val="es-MX"/>
        </w:rPr>
        <w:t>documento, información y elemento técnico, y no en su objeto o contenido materia</w:t>
      </w:r>
      <w:r w:rsidRPr="00F33E35">
        <w:rPr>
          <w:rFonts w:ascii="Times New Roman" w:hAnsi="Times New Roman" w:cs="Times New Roman"/>
          <w:color w:val="000000"/>
          <w:sz w:val="28"/>
          <w:szCs w:val="28"/>
          <w:lang w:val="es-MX"/>
        </w:rPr>
        <w:t>l</w:t>
      </w:r>
      <w:r w:rsidRPr="00F33E35">
        <w:rPr>
          <w:rFonts w:ascii="Times New Roman" w:hAnsi="Times New Roman" w:cs="Times New Roman"/>
          <w:color w:val="000000"/>
          <w:sz w:val="28"/>
          <w:szCs w:val="28"/>
          <w:lang w:val="es-MX"/>
        </w:rPr>
        <w:t>”</w:t>
      </w:r>
      <w:r w:rsidRPr="00F33E35">
        <w:rPr>
          <w:rStyle w:val="Refdenotaalpie"/>
          <w:rFonts w:ascii="Times New Roman" w:hAnsi="Times New Roman" w:cs="Times New Roman"/>
          <w:color w:val="000000"/>
          <w:sz w:val="28"/>
          <w:szCs w:val="28"/>
          <w:lang w:val="es-MX"/>
        </w:rPr>
        <w:footnoteReference w:id="134"/>
      </w:r>
      <w:r w:rsidRPr="00F33E35">
        <w:rPr>
          <w:rFonts w:ascii="Times New Roman" w:hAnsi="Times New Roman" w:cs="Times New Roman"/>
          <w:color w:val="000000"/>
          <w:sz w:val="28"/>
          <w:szCs w:val="28"/>
          <w:lang w:val="es-MX"/>
        </w:rPr>
        <w:t xml:space="preserve">. Además, aseguraron que la regulación existente </w:t>
      </w:r>
      <w:r w:rsidRPr="00F33E35">
        <w:rPr>
          <w:rFonts w:ascii="Times New Roman" w:hAnsi="Times New Roman" w:cs="Times New Roman"/>
          <w:color w:val="000000"/>
          <w:sz w:val="28"/>
          <w:szCs w:val="28"/>
          <w:lang w:val="es-MX"/>
        </w:rPr>
        <w:t xml:space="preserve">no prevé “los tipos de medidas y acciones de obtención y recopilación de información autorizadas en materia de inteligencia </w:t>
      </w:r>
      <w:r w:rsidRPr="00F33E35">
        <w:rPr>
          <w:rFonts w:ascii="Times New Roman" w:hAnsi="Times New Roman" w:cs="Times New Roman"/>
          <w:color w:val="000000"/>
          <w:sz w:val="28"/>
          <w:szCs w:val="28"/>
          <w:lang w:val="es-MX"/>
        </w:rPr>
        <w:t xml:space="preserve">y en consecuencia la función de inteligencia y contrainteligencia admitiría </w:t>
      </w:r>
      <w:r w:rsidRPr="00F33E35">
        <w:rPr>
          <w:rFonts w:ascii="Times New Roman" w:hAnsi="Times New Roman" w:cs="Times New Roman"/>
          <w:color w:val="000000"/>
          <w:sz w:val="28"/>
          <w:szCs w:val="28"/>
          <w:lang w:val="es-MX"/>
        </w:rPr>
        <w:t xml:space="preserve">(…) </w:t>
      </w:r>
      <w:r w:rsidRPr="00F33E35">
        <w:rPr>
          <w:rFonts w:ascii="Times New Roman" w:hAnsi="Times New Roman" w:cs="Times New Roman"/>
          <w:color w:val="000000"/>
          <w:sz w:val="28"/>
          <w:szCs w:val="28"/>
          <w:lang w:val="es-MX"/>
        </w:rPr>
        <w:t>la reserva legal originada en la naturaleza de las funciones que cumplen los organismos de inteligencia y</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sz w:val="28"/>
          <w:szCs w:val="28"/>
          <w:lang w:val="es-MX"/>
        </w:rPr>
        <w:t xml:space="preserve">contrainteligencia </w:t>
      </w:r>
      <w:r w:rsidRPr="00F33E35">
        <w:rPr>
          <w:rFonts w:ascii="Times New Roman" w:hAnsi="Times New Roman" w:cs="Times New Roman"/>
          <w:color w:val="000000"/>
          <w:sz w:val="28"/>
          <w:szCs w:val="28"/>
          <w:lang w:val="es-MX"/>
        </w:rPr>
        <w:t xml:space="preserve">[por lo cual, la norma] </w:t>
      </w:r>
      <w:r w:rsidRPr="00F33E35">
        <w:rPr>
          <w:rFonts w:ascii="Times New Roman" w:hAnsi="Times New Roman" w:cs="Times New Roman"/>
          <w:color w:val="000000"/>
          <w:sz w:val="28"/>
          <w:szCs w:val="28"/>
          <w:lang w:val="es-MX"/>
        </w:rPr>
        <w:t xml:space="preserve">se ofrece indeterminada y </w:t>
      </w:r>
      <w:r w:rsidRPr="00F33E35">
        <w:rPr>
          <w:rFonts w:ascii="Times New Roman" w:hAnsi="Times New Roman" w:cs="Times New Roman"/>
          <w:color w:val="000000"/>
          <w:sz w:val="28"/>
          <w:szCs w:val="28"/>
          <w:lang w:val="es-MX"/>
        </w:rPr>
        <w:t>de aplicación omnímoda”</w:t>
      </w:r>
      <w:r w:rsidRPr="00F33E35">
        <w:rPr>
          <w:rStyle w:val="Refdenotaalpie"/>
          <w:rFonts w:ascii="Times New Roman" w:hAnsi="Times New Roman" w:cs="Times New Roman"/>
          <w:color w:val="000000"/>
          <w:sz w:val="28"/>
          <w:szCs w:val="28"/>
          <w:lang w:val="es-MX"/>
        </w:rPr>
        <w:footnoteReference w:id="135"/>
      </w:r>
      <w:r w:rsidRPr="00F33E35">
        <w:rPr>
          <w:rFonts w:ascii="Times New Roman" w:hAnsi="Times New Roman" w:cs="Times New Roman"/>
          <w:color w:val="000000"/>
          <w:sz w:val="28"/>
          <w:szCs w:val="28"/>
          <w:lang w:val="es-MX"/>
        </w:rPr>
        <w:t>.</w:t>
      </w:r>
      <w:r w:rsidRPr="00F33E35">
        <w:rPr>
          <w:rFonts w:ascii="Times New Roman" w:hAnsi="Times New Roman" w:cs="Times New Roman"/>
          <w:color w:val="000000"/>
          <w:sz w:val="28"/>
          <w:szCs w:val="28"/>
          <w:lang w:val="es-MX"/>
        </w:rPr>
        <w:t xml:space="preserve"> </w:t>
      </w:r>
    </w:p>
    <w:p w:rsidR="001318E4" w:rsidRPr="00F33E35" w:rsidRDefault="00F33E35" w:rsidP="001318E4">
      <w:pPr>
        <w:pStyle w:val="Prrafodelista"/>
        <w:rPr>
          <w:rFonts w:ascii="Times New Roman" w:hAnsi="Times New Roman" w:cs="Times New Roman"/>
          <w:color w:val="000000"/>
          <w:sz w:val="28"/>
          <w:szCs w:val="28"/>
          <w:lang w:val="es-MX"/>
        </w:rPr>
      </w:pPr>
    </w:p>
    <w:p w:rsidR="00875E6B" w:rsidRPr="00F33E35" w:rsidRDefault="00F33E35" w:rsidP="001318E4">
      <w:pPr>
        <w:pStyle w:val="Prrafodelista"/>
        <w:numPr>
          <w:ilvl w:val="0"/>
          <w:numId w:val="3"/>
        </w:numPr>
        <w:tabs>
          <w:tab w:val="left" w:pos="0"/>
          <w:tab w:val="left" w:pos="284"/>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sz w:val="28"/>
          <w:szCs w:val="28"/>
          <w:lang w:val="es-MX"/>
        </w:rPr>
        <w:t xml:space="preserve">En ese contexto, las y los ciudadanos aseguraron que </w:t>
      </w:r>
      <w:r w:rsidRPr="00F33E35">
        <w:rPr>
          <w:rFonts w:ascii="Times New Roman" w:hAnsi="Times New Roman" w:cs="Times New Roman"/>
          <w:color w:val="000000"/>
          <w:sz w:val="28"/>
          <w:szCs w:val="28"/>
          <w:lang w:val="es-MX"/>
        </w:rPr>
        <w:t>la “</w:t>
      </w:r>
      <w:r w:rsidRPr="00F33E35">
        <w:rPr>
          <w:rFonts w:ascii="Times New Roman" w:hAnsi="Times New Roman" w:cs="Times New Roman"/>
          <w:color w:val="000000"/>
          <w:sz w:val="28"/>
          <w:szCs w:val="28"/>
          <w:lang w:val="es-MX"/>
        </w:rPr>
        <w:t>indeterminación en las características, calidades o condiciones de los</w:t>
      </w:r>
      <w:r w:rsidRPr="00F33E35">
        <w:rPr>
          <w:rFonts w:ascii="Times New Roman" w:hAnsi="Times New Roman" w:cs="Times New Roman"/>
          <w:color w:val="000000"/>
          <w:sz w:val="28"/>
          <w:szCs w:val="28"/>
          <w:lang w:val="es-MX"/>
        </w:rPr>
        <w:t xml:space="preserve"> </w:t>
      </w:r>
      <w:r w:rsidRPr="00F33E35">
        <w:rPr>
          <w:rFonts w:ascii="Times New Roman" w:hAnsi="Times New Roman" w:cs="Times New Roman"/>
          <w:color w:val="000000"/>
          <w:sz w:val="28"/>
          <w:szCs w:val="28"/>
          <w:lang w:val="es-MX"/>
        </w:rPr>
        <w:t>documentos, informaciones y elementos técnicos que ameritan su reserva hacen posible que</w:t>
      </w:r>
      <w:r w:rsidRPr="00F33E35">
        <w:rPr>
          <w:rFonts w:ascii="Times New Roman" w:hAnsi="Times New Roman" w:cs="Times New Roman"/>
          <w:color w:val="000000"/>
          <w:sz w:val="28"/>
          <w:szCs w:val="28"/>
          <w:lang w:val="es-MX"/>
        </w:rPr>
        <w:t xml:space="preserve"> </w:t>
      </w:r>
      <w:r w:rsidRPr="00F33E35">
        <w:rPr>
          <w:rFonts w:ascii="Times New Roman" w:hAnsi="Times New Roman" w:cs="Times New Roman"/>
          <w:color w:val="000000"/>
          <w:sz w:val="28"/>
          <w:szCs w:val="28"/>
          <w:lang w:val="es-MX"/>
        </w:rPr>
        <w:t>entidades q</w:t>
      </w:r>
      <w:r w:rsidRPr="00F33E35">
        <w:rPr>
          <w:rFonts w:ascii="Times New Roman" w:hAnsi="Times New Roman" w:cs="Times New Roman"/>
          <w:color w:val="000000"/>
          <w:sz w:val="28"/>
          <w:szCs w:val="28"/>
          <w:lang w:val="es-MX"/>
        </w:rPr>
        <w:t>ue detentan funciones de inteligencia y contrainteligencia no satisfagan el lleno de</w:t>
      </w:r>
      <w:r w:rsidRPr="00F33E35">
        <w:rPr>
          <w:rFonts w:ascii="Times New Roman" w:hAnsi="Times New Roman" w:cs="Times New Roman"/>
          <w:color w:val="000000"/>
          <w:sz w:val="28"/>
          <w:szCs w:val="28"/>
          <w:lang w:val="es-MX"/>
        </w:rPr>
        <w:t xml:space="preserve"> </w:t>
      </w:r>
      <w:r w:rsidRPr="00F33E35">
        <w:rPr>
          <w:rFonts w:ascii="Times New Roman" w:hAnsi="Times New Roman" w:cs="Times New Roman"/>
          <w:color w:val="000000"/>
          <w:sz w:val="28"/>
          <w:szCs w:val="28"/>
          <w:lang w:val="es-MX"/>
        </w:rPr>
        <w:t>sus</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sz w:val="28"/>
          <w:szCs w:val="28"/>
          <w:lang w:val="es-MX"/>
        </w:rPr>
        <w:t>obligaciones de divulgación proactiva y mínima información disponible</w:t>
      </w:r>
      <w:r w:rsidRPr="00F33E35">
        <w:rPr>
          <w:rFonts w:ascii="Times New Roman" w:hAnsi="Times New Roman" w:cs="Times New Roman"/>
          <w:color w:val="000000"/>
          <w:sz w:val="28"/>
          <w:szCs w:val="28"/>
          <w:lang w:val="es-MX"/>
        </w:rPr>
        <w:t>”</w:t>
      </w:r>
      <w:r w:rsidRPr="00F33E35">
        <w:rPr>
          <w:rStyle w:val="Refdenotaalpie"/>
          <w:rFonts w:ascii="Times New Roman" w:hAnsi="Times New Roman" w:cs="Times New Roman"/>
          <w:color w:val="000000"/>
          <w:sz w:val="28"/>
          <w:szCs w:val="28"/>
          <w:lang w:val="es-MX"/>
        </w:rPr>
        <w:footnoteReference w:id="136"/>
      </w:r>
      <w:r w:rsidRPr="00F33E35">
        <w:rPr>
          <w:rFonts w:ascii="Times New Roman" w:hAnsi="Times New Roman" w:cs="Times New Roman"/>
          <w:color w:val="000000"/>
          <w:sz w:val="28"/>
          <w:szCs w:val="28"/>
          <w:lang w:val="es-MX"/>
        </w:rPr>
        <w:t>. Así, concluyeron, por ejemplo, que</w:t>
      </w:r>
      <w:r w:rsidRPr="00F33E35">
        <w:rPr>
          <w:rFonts w:ascii="Times New Roman" w:hAnsi="Times New Roman" w:cs="Times New Roman"/>
          <w:color w:val="000000"/>
          <w:sz w:val="28"/>
          <w:szCs w:val="28"/>
          <w:lang w:val="es-MX"/>
        </w:rPr>
        <w:t xml:space="preserve"> </w:t>
      </w:r>
      <w:r w:rsidRPr="00F33E35">
        <w:rPr>
          <w:rFonts w:ascii="Times New Roman" w:hAnsi="Times New Roman" w:cs="Times New Roman"/>
          <w:color w:val="000000"/>
          <w:sz w:val="28"/>
          <w:szCs w:val="28"/>
          <w:lang w:val="es-MX"/>
        </w:rPr>
        <w:t xml:space="preserve">la </w:t>
      </w:r>
      <w:r w:rsidRPr="00F33E35">
        <w:rPr>
          <w:rFonts w:ascii="Times New Roman" w:hAnsi="Times New Roman" w:cs="Times New Roman"/>
          <w:color w:val="000000"/>
          <w:sz w:val="28"/>
          <w:szCs w:val="28"/>
          <w:lang w:val="es-MX"/>
        </w:rPr>
        <w:t xml:space="preserve">ambigüedad identificada podría dar lugar a que se le </w:t>
      </w:r>
      <w:r w:rsidRPr="00F33E35">
        <w:rPr>
          <w:rFonts w:ascii="Times New Roman" w:hAnsi="Times New Roman" w:cs="Times New Roman"/>
          <w:color w:val="000000"/>
          <w:sz w:val="28"/>
          <w:szCs w:val="28"/>
          <w:lang w:val="es-MX"/>
        </w:rPr>
        <w:t>niegue a un ciudadano el acceso a información relacionada con horarios de atención, al público, la escala salarial de los empleados, las sedes de la entidad, la política de ge</w:t>
      </w:r>
      <w:r w:rsidRPr="00F33E35">
        <w:rPr>
          <w:rFonts w:ascii="Times New Roman" w:hAnsi="Times New Roman" w:cs="Times New Roman"/>
          <w:color w:val="000000"/>
          <w:sz w:val="28"/>
          <w:szCs w:val="28"/>
          <w:lang w:val="es-MX"/>
        </w:rPr>
        <w:t>st</w:t>
      </w:r>
      <w:r w:rsidRPr="00F33E35">
        <w:rPr>
          <w:rFonts w:ascii="Times New Roman" w:hAnsi="Times New Roman" w:cs="Times New Roman"/>
          <w:color w:val="000000"/>
          <w:sz w:val="28"/>
          <w:szCs w:val="28"/>
          <w:lang w:val="es-MX"/>
        </w:rPr>
        <w:t>ión de conflictos laborales, entre otros.</w:t>
      </w:r>
    </w:p>
    <w:p w:rsidR="00FF5603" w:rsidRPr="00F33E35" w:rsidRDefault="00F33E35" w:rsidP="008158EB">
      <w:pPr>
        <w:pStyle w:val="Prrafodelista"/>
        <w:spacing w:after="0" w:line="240" w:lineRule="auto"/>
        <w:ind w:left="0"/>
        <w:contextualSpacing w:val="0"/>
        <w:rPr>
          <w:rFonts w:ascii="Times New Roman" w:hAnsi="Times New Roman" w:cs="Times New Roman"/>
          <w:color w:val="000000" w:themeColor="text1"/>
          <w:sz w:val="28"/>
          <w:szCs w:val="28"/>
        </w:rPr>
      </w:pPr>
    </w:p>
    <w:p w:rsidR="00B72E11" w:rsidRPr="00F33E35" w:rsidRDefault="00F33E35" w:rsidP="00AB7717">
      <w:pPr>
        <w:pStyle w:val="Prrafodelista"/>
        <w:numPr>
          <w:ilvl w:val="0"/>
          <w:numId w:val="3"/>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 xml:space="preserve">Para la Corte, </w:t>
      </w:r>
      <w:r w:rsidRPr="00F33E35">
        <w:rPr>
          <w:rFonts w:ascii="Times New Roman" w:hAnsi="Times New Roman" w:cs="Times New Roman"/>
          <w:color w:val="000000" w:themeColor="text1"/>
          <w:sz w:val="28"/>
          <w:szCs w:val="28"/>
        </w:rPr>
        <w:t>este cargo no</w:t>
      </w:r>
      <w:r w:rsidRPr="00F33E35">
        <w:rPr>
          <w:rFonts w:ascii="Times New Roman" w:hAnsi="Times New Roman" w:cs="Times New Roman"/>
          <w:color w:val="000000" w:themeColor="text1"/>
          <w:sz w:val="28"/>
          <w:szCs w:val="28"/>
        </w:rPr>
        <w:t xml:space="preserve"> satisfa</w:t>
      </w:r>
      <w:r w:rsidRPr="00F33E35">
        <w:rPr>
          <w:rFonts w:ascii="Times New Roman" w:hAnsi="Times New Roman" w:cs="Times New Roman"/>
          <w:color w:val="000000" w:themeColor="text1"/>
          <w:sz w:val="28"/>
          <w:szCs w:val="28"/>
        </w:rPr>
        <w:t xml:space="preserve">ce </w:t>
      </w:r>
      <w:r w:rsidRPr="00F33E35">
        <w:rPr>
          <w:rFonts w:ascii="Times New Roman" w:hAnsi="Times New Roman" w:cs="Times New Roman"/>
          <w:color w:val="000000" w:themeColor="text1"/>
          <w:sz w:val="28"/>
          <w:szCs w:val="28"/>
        </w:rPr>
        <w:t xml:space="preserve">el </w:t>
      </w:r>
      <w:r w:rsidRPr="00F33E35">
        <w:rPr>
          <w:rFonts w:ascii="Times New Roman" w:hAnsi="Times New Roman" w:cs="Times New Roman"/>
          <w:color w:val="000000" w:themeColor="text1"/>
          <w:sz w:val="28"/>
          <w:szCs w:val="28"/>
        </w:rPr>
        <w:t xml:space="preserve">requisito de </w:t>
      </w:r>
      <w:r w:rsidRPr="00F33E35">
        <w:rPr>
          <w:rFonts w:ascii="Times New Roman" w:hAnsi="Times New Roman" w:cs="Times New Roman"/>
          <w:i/>
          <w:iCs/>
          <w:color w:val="000000" w:themeColor="text1"/>
          <w:sz w:val="28"/>
          <w:szCs w:val="28"/>
        </w:rPr>
        <w:t>certeza</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themeColor="text1"/>
          <w:sz w:val="28"/>
          <w:szCs w:val="28"/>
        </w:rPr>
        <w:t xml:space="preserve">porque si bien </w:t>
      </w:r>
      <w:r w:rsidRPr="00F33E35">
        <w:rPr>
          <w:rFonts w:ascii="Times New Roman" w:hAnsi="Times New Roman" w:cs="Times New Roman"/>
          <w:color w:val="000000" w:themeColor="text1"/>
          <w:sz w:val="28"/>
          <w:szCs w:val="28"/>
        </w:rPr>
        <w:t>se construyó a partir del</w:t>
      </w:r>
      <w:r w:rsidRPr="00F33E35">
        <w:rPr>
          <w:rFonts w:ascii="Times New Roman" w:hAnsi="Times New Roman" w:cs="Times New Roman"/>
          <w:color w:val="000000" w:themeColor="text1"/>
          <w:sz w:val="28"/>
          <w:szCs w:val="28"/>
        </w:rPr>
        <w:t xml:space="preserve"> texto</w:t>
      </w:r>
      <w:r w:rsidRPr="00F33E35">
        <w:rPr>
          <w:rFonts w:ascii="Times New Roman" w:hAnsi="Times New Roman" w:cs="Times New Roman"/>
          <w:color w:val="000000" w:themeColor="text1"/>
          <w:sz w:val="28"/>
          <w:szCs w:val="28"/>
        </w:rPr>
        <w:t xml:space="preserve"> legal</w:t>
      </w:r>
      <w:r w:rsidRPr="00F33E35">
        <w:rPr>
          <w:rFonts w:ascii="Times New Roman" w:hAnsi="Times New Roman" w:cs="Times New Roman"/>
          <w:color w:val="000000" w:themeColor="text1"/>
          <w:sz w:val="28"/>
          <w:szCs w:val="28"/>
        </w:rPr>
        <w:t xml:space="preserve"> que prevé la reserva</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themeColor="text1"/>
          <w:sz w:val="28"/>
          <w:szCs w:val="28"/>
        </w:rPr>
        <w:t>no consultó</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color w:val="000000" w:themeColor="text1"/>
          <w:sz w:val="28"/>
          <w:szCs w:val="28"/>
        </w:rPr>
        <w:t xml:space="preserve">ni aludió al </w:t>
      </w:r>
      <w:r w:rsidRPr="00F33E35">
        <w:rPr>
          <w:rFonts w:ascii="Times New Roman" w:hAnsi="Times New Roman" w:cs="Times New Roman"/>
          <w:color w:val="000000" w:themeColor="text1"/>
          <w:sz w:val="28"/>
          <w:szCs w:val="28"/>
        </w:rPr>
        <w:t>alcance que, en su momento, le otorgó la Sentencia C-540 de 201</w:t>
      </w:r>
      <w:r w:rsidRPr="00F33E35">
        <w:rPr>
          <w:rFonts w:ascii="Times New Roman" w:hAnsi="Times New Roman" w:cs="Times New Roman"/>
          <w:color w:val="000000" w:themeColor="text1"/>
          <w:sz w:val="28"/>
          <w:szCs w:val="28"/>
        </w:rPr>
        <w:t>2</w:t>
      </w:r>
      <w:r w:rsidRPr="00F33E35">
        <w:rPr>
          <w:rFonts w:ascii="Times New Roman" w:hAnsi="Times New Roman" w:cs="Times New Roman"/>
          <w:color w:val="000000" w:themeColor="text1"/>
          <w:sz w:val="28"/>
          <w:szCs w:val="28"/>
        </w:rPr>
        <w:t>. En dicho fallo, este Tribunal</w:t>
      </w:r>
      <w:r w:rsidRPr="00F33E35">
        <w:rPr>
          <w:rFonts w:ascii="Times New Roman" w:hAnsi="Times New Roman" w:cs="Times New Roman"/>
          <w:color w:val="000000" w:themeColor="text1"/>
          <w:sz w:val="28"/>
          <w:szCs w:val="28"/>
        </w:rPr>
        <w:t xml:space="preserve"> </w:t>
      </w:r>
      <w:r w:rsidRPr="00F33E35">
        <w:rPr>
          <w:rFonts w:ascii="Times New Roman" w:hAnsi="Times New Roman" w:cs="Times New Roman"/>
          <w:sz w:val="28"/>
          <w:szCs w:val="28"/>
          <w:lang w:val="es-ES_tradnl"/>
        </w:rPr>
        <w:t xml:space="preserve">se refirió, inicialmente, al principio de máxima divulgación y </w:t>
      </w:r>
      <w:r w:rsidRPr="00F33E35">
        <w:rPr>
          <w:rFonts w:ascii="Times New Roman" w:hAnsi="Times New Roman" w:cs="Times New Roman"/>
          <w:sz w:val="28"/>
          <w:szCs w:val="28"/>
          <w:lang w:val="es-ES_tradnl"/>
        </w:rPr>
        <w:t xml:space="preserve">a </w:t>
      </w:r>
      <w:r w:rsidRPr="00F33E35">
        <w:rPr>
          <w:rFonts w:ascii="Times New Roman" w:hAnsi="Times New Roman" w:cs="Times New Roman"/>
          <w:sz w:val="28"/>
          <w:szCs w:val="28"/>
          <w:lang w:val="es-ES_tradnl"/>
        </w:rPr>
        <w:t>las excepciones admisibles</w:t>
      </w:r>
      <w:r w:rsidRPr="00F33E35">
        <w:rPr>
          <w:rFonts w:ascii="Times New Roman" w:hAnsi="Times New Roman" w:cs="Times New Roman"/>
          <w:bCs/>
          <w:sz w:val="28"/>
          <w:szCs w:val="28"/>
          <w:lang w:val="es-ES_tradnl"/>
        </w:rPr>
        <w:t xml:space="preserve"> señalando que, por regla general, las personas tienen derecho a acceder a la información que reposa en las instituciones del </w:t>
      </w:r>
      <w:r w:rsidRPr="00F33E35">
        <w:rPr>
          <w:rFonts w:ascii="Times New Roman" w:hAnsi="Times New Roman" w:cs="Times New Roman"/>
          <w:bCs/>
          <w:color w:val="000000" w:themeColor="text1"/>
          <w:sz w:val="28"/>
          <w:szCs w:val="28"/>
          <w:lang w:val="es-ES_tradnl"/>
        </w:rPr>
        <w:t>Estado. Precisó, en todo caso, que es p</w:t>
      </w:r>
      <w:r w:rsidRPr="00F33E35">
        <w:rPr>
          <w:rFonts w:ascii="Times New Roman" w:hAnsi="Times New Roman" w:cs="Times New Roman"/>
          <w:bCs/>
          <w:color w:val="000000" w:themeColor="text1"/>
          <w:sz w:val="28"/>
          <w:szCs w:val="28"/>
          <w:lang w:val="es-ES_tradnl"/>
        </w:rPr>
        <w:t xml:space="preserve">osible establecer límites, que deben ser interpretados de manera restrictiva y bajo los </w:t>
      </w:r>
      <w:r w:rsidRPr="00F33E35">
        <w:rPr>
          <w:rFonts w:ascii="Times New Roman" w:hAnsi="Times New Roman" w:cs="Times New Roman"/>
          <w:color w:val="000000" w:themeColor="text1"/>
          <w:sz w:val="28"/>
          <w:szCs w:val="28"/>
          <w:lang w:val="es-ES_tradnl"/>
        </w:rPr>
        <w:t xml:space="preserve">límites constitucionales y convencionales. </w:t>
      </w:r>
    </w:p>
    <w:p w:rsidR="00B72E11" w:rsidRPr="00F33E35" w:rsidRDefault="00F33E35" w:rsidP="00B72E11">
      <w:pPr>
        <w:pStyle w:val="Prrafodelista"/>
        <w:tabs>
          <w:tab w:val="left" w:pos="0"/>
          <w:tab w:val="left" w:pos="426"/>
        </w:tabs>
        <w:overflowPunct w:val="0"/>
        <w:autoSpaceDE w:val="0"/>
        <w:autoSpaceDN w:val="0"/>
        <w:spacing w:after="0" w:line="240" w:lineRule="auto"/>
        <w:ind w:left="0"/>
        <w:contextualSpacing w:val="0"/>
        <w:jc w:val="both"/>
        <w:textAlignment w:val="baseline"/>
        <w:rPr>
          <w:rFonts w:ascii="Times New Roman" w:hAnsi="Times New Roman" w:cs="Times New Roman"/>
          <w:color w:val="000000" w:themeColor="text1"/>
          <w:sz w:val="28"/>
          <w:szCs w:val="28"/>
        </w:rPr>
      </w:pPr>
    </w:p>
    <w:p w:rsidR="0066407E" w:rsidRPr="00F33E35" w:rsidRDefault="00F33E35" w:rsidP="00AB7717">
      <w:pPr>
        <w:pStyle w:val="Prrafodelista"/>
        <w:numPr>
          <w:ilvl w:val="0"/>
          <w:numId w:val="3"/>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lang w:val="es-ES_tradnl"/>
        </w:rPr>
        <w:t>En esa oportunidad, l</w:t>
      </w:r>
      <w:r w:rsidRPr="00F33E35">
        <w:rPr>
          <w:rFonts w:ascii="Times New Roman" w:hAnsi="Times New Roman" w:cs="Times New Roman"/>
          <w:color w:val="000000" w:themeColor="text1"/>
          <w:sz w:val="28"/>
          <w:szCs w:val="28"/>
          <w:lang w:val="es-ES_tradnl"/>
        </w:rPr>
        <w:t>a</w:t>
      </w:r>
      <w:r w:rsidRPr="00F33E35">
        <w:rPr>
          <w:rFonts w:ascii="Times New Roman" w:hAnsi="Times New Roman" w:cs="Times New Roman"/>
          <w:color w:val="000000" w:themeColor="text1"/>
          <w:sz w:val="28"/>
          <w:szCs w:val="28"/>
          <w:lang w:val="es-ES_tradnl"/>
        </w:rPr>
        <w:t xml:space="preserve"> Sala Plena </w:t>
      </w:r>
      <w:r w:rsidRPr="00F33E35">
        <w:rPr>
          <w:rFonts w:ascii="Times New Roman" w:hAnsi="Times New Roman" w:cs="Times New Roman"/>
          <w:color w:val="000000" w:themeColor="text1"/>
          <w:sz w:val="28"/>
          <w:szCs w:val="28"/>
          <w:lang w:val="es-ES_tradnl"/>
        </w:rPr>
        <w:t>indicó que</w:t>
      </w:r>
      <w:r w:rsidRPr="00F33E35">
        <w:rPr>
          <w:rFonts w:ascii="Times New Roman" w:hAnsi="Times New Roman" w:cs="Times New Roman"/>
          <w:bCs/>
          <w:color w:val="000000" w:themeColor="text1"/>
          <w:sz w:val="28"/>
          <w:szCs w:val="28"/>
          <w:lang w:val="es-ES_tradnl"/>
        </w:rPr>
        <w:t>, en términos generales, la</w:t>
      </w:r>
      <w:r w:rsidRPr="00F33E35">
        <w:rPr>
          <w:rFonts w:ascii="Times New Roman" w:hAnsi="Times New Roman" w:cs="Times New Roman"/>
          <w:bCs/>
          <w:i/>
          <w:color w:val="000000" w:themeColor="text1"/>
          <w:sz w:val="28"/>
          <w:szCs w:val="28"/>
          <w:lang w:val="es-ES_tradnl"/>
        </w:rPr>
        <w:t xml:space="preserve"> reserva o secreto</w:t>
      </w:r>
      <w:r w:rsidRPr="00F33E35">
        <w:rPr>
          <w:rFonts w:ascii="Times New Roman" w:hAnsi="Times New Roman" w:cs="Times New Roman"/>
          <w:bCs/>
          <w:color w:val="000000" w:themeColor="text1"/>
          <w:sz w:val="28"/>
          <w:szCs w:val="28"/>
          <w:lang w:val="es-ES_tradnl"/>
        </w:rPr>
        <w:t xml:space="preserve"> de un documento público: i) opera sobre el contenido mas no sobre su existencia; ii) es temporal, estando el plazo sujeto a límites de razonabilidad y proporcionalidad; iii) cubre a los servidores públicos, no comprendiendo a los periodistas y, en princip</w:t>
      </w:r>
      <w:r w:rsidRPr="00F33E35">
        <w:rPr>
          <w:rFonts w:ascii="Times New Roman" w:hAnsi="Times New Roman" w:cs="Times New Roman"/>
          <w:bCs/>
          <w:color w:val="000000" w:themeColor="text1"/>
          <w:sz w:val="28"/>
          <w:szCs w:val="28"/>
          <w:lang w:val="es-ES_tradnl"/>
        </w:rPr>
        <w:t xml:space="preserve">io, no autoriza al Estado para impedir la publicación de la información por la prensa; iv) aplica a las peticiones ciudadanas; v) es admitida en el caso de las informaciones sobre </w:t>
      </w:r>
      <w:r w:rsidRPr="00F33E35">
        <w:rPr>
          <w:rFonts w:ascii="Times New Roman" w:hAnsi="Times New Roman" w:cs="Times New Roman"/>
          <w:bCs/>
          <w:i/>
          <w:color w:val="000000" w:themeColor="text1"/>
          <w:sz w:val="28"/>
          <w:szCs w:val="28"/>
          <w:lang w:val="es-ES_tradnl"/>
        </w:rPr>
        <w:t>defensa y seguridad nacionales</w:t>
      </w:r>
      <w:r w:rsidRPr="00F33E35">
        <w:rPr>
          <w:rFonts w:ascii="Times New Roman" w:hAnsi="Times New Roman" w:cs="Times New Roman"/>
          <w:bCs/>
          <w:color w:val="000000" w:themeColor="text1"/>
          <w:sz w:val="28"/>
          <w:szCs w:val="28"/>
          <w:lang w:val="es-ES_tradnl"/>
        </w:rPr>
        <w:t>, siempre que se ajuste a los principios de ra</w:t>
      </w:r>
      <w:r w:rsidRPr="00F33E35">
        <w:rPr>
          <w:rFonts w:ascii="Times New Roman" w:hAnsi="Times New Roman" w:cs="Times New Roman"/>
          <w:bCs/>
          <w:color w:val="000000" w:themeColor="text1"/>
          <w:sz w:val="28"/>
          <w:szCs w:val="28"/>
          <w:lang w:val="es-ES_tradnl"/>
        </w:rPr>
        <w:t>zonabilidad y proporcionalidad; vi) conlleva</w:t>
      </w:r>
      <w:r w:rsidRPr="00F33E35">
        <w:rPr>
          <w:rFonts w:ascii="Times New Roman" w:hAnsi="Times New Roman" w:cs="Times New Roman"/>
          <w:color w:val="000000" w:themeColor="text1"/>
          <w:sz w:val="28"/>
          <w:szCs w:val="28"/>
        </w:rPr>
        <w:t xml:space="preserve"> el deber de motivar la decisión que ha de reunir los requisitos constitucionales y legales, en particular indicar la norma en la cual se funda la reserva. Por esta vía el asunto puede ser sometido a controles di</w:t>
      </w:r>
      <w:r w:rsidRPr="00F33E35">
        <w:rPr>
          <w:rFonts w:ascii="Times New Roman" w:hAnsi="Times New Roman" w:cs="Times New Roman"/>
          <w:color w:val="000000" w:themeColor="text1"/>
          <w:sz w:val="28"/>
          <w:szCs w:val="28"/>
        </w:rPr>
        <w:t>sciplinarios, administrativos e incluso judiciales; y vii) opera sobre la información que compromete derechos fundamentales o bienes constitucionales, pero no sobre todo el proceso público dentro del cual dicha información se inserta.</w:t>
      </w:r>
      <w:r w:rsidRPr="00F33E35">
        <w:rPr>
          <w:rStyle w:val="Refdenotaalpie"/>
          <w:rFonts w:ascii="Times New Roman" w:hAnsi="Times New Roman" w:cs="Times New Roman"/>
          <w:color w:val="000000" w:themeColor="text1"/>
          <w:sz w:val="28"/>
          <w:szCs w:val="28"/>
        </w:rPr>
        <w:footnoteReference w:id="137"/>
      </w:r>
      <w:r w:rsidRPr="00F33E35">
        <w:rPr>
          <w:rFonts w:ascii="Times New Roman" w:hAnsi="Times New Roman" w:cs="Times New Roman"/>
          <w:color w:val="000000" w:themeColor="text1"/>
          <w:sz w:val="28"/>
          <w:szCs w:val="28"/>
        </w:rPr>
        <w:t xml:space="preserve"> </w:t>
      </w:r>
    </w:p>
    <w:p w:rsidR="001318E4" w:rsidRPr="00F33E35" w:rsidRDefault="00F33E35" w:rsidP="001318E4">
      <w:pPr>
        <w:pStyle w:val="Prrafodelista"/>
        <w:tabs>
          <w:tab w:val="left" w:pos="284"/>
          <w:tab w:val="left" w:pos="426"/>
        </w:tabs>
        <w:spacing w:after="0" w:line="240" w:lineRule="auto"/>
        <w:ind w:left="0" w:right="-234"/>
        <w:contextualSpacing w:val="0"/>
        <w:jc w:val="both"/>
        <w:rPr>
          <w:rFonts w:ascii="Times New Roman" w:hAnsi="Times New Roman" w:cs="Times New Roman"/>
          <w:sz w:val="28"/>
          <w:szCs w:val="28"/>
          <w:lang w:val="es-ES"/>
        </w:rPr>
      </w:pPr>
    </w:p>
    <w:p w:rsidR="001318E4" w:rsidRPr="00F33E35" w:rsidRDefault="00F33E35" w:rsidP="001318E4">
      <w:pPr>
        <w:pStyle w:val="Prrafodelista"/>
        <w:numPr>
          <w:ilvl w:val="0"/>
          <w:numId w:val="3"/>
        </w:numPr>
        <w:tabs>
          <w:tab w:val="left" w:pos="284"/>
          <w:tab w:val="left" w:pos="426"/>
        </w:tabs>
        <w:spacing w:after="0" w:line="240" w:lineRule="auto"/>
        <w:ind w:left="0" w:right="-234" w:firstLine="0"/>
        <w:contextualSpacing w:val="0"/>
        <w:jc w:val="both"/>
        <w:rPr>
          <w:rFonts w:ascii="Times New Roman" w:hAnsi="Times New Roman" w:cs="Times New Roman"/>
          <w:sz w:val="28"/>
          <w:szCs w:val="28"/>
          <w:lang w:val="es-ES"/>
        </w:rPr>
      </w:pPr>
      <w:r w:rsidRPr="00F33E35">
        <w:rPr>
          <w:rFonts w:ascii="Times New Roman" w:hAnsi="Times New Roman" w:cs="Times New Roman"/>
          <w:sz w:val="28"/>
          <w:szCs w:val="28"/>
          <w:lang w:val="es-ES_tradnl"/>
        </w:rPr>
        <w:t>En la Sentencia C-</w:t>
      </w:r>
      <w:r w:rsidRPr="00F33E35">
        <w:rPr>
          <w:rFonts w:ascii="Times New Roman" w:hAnsi="Times New Roman" w:cs="Times New Roman"/>
          <w:sz w:val="28"/>
          <w:szCs w:val="28"/>
          <w:lang w:val="es-ES_tradnl"/>
        </w:rPr>
        <w:t>540 de 2012, l</w:t>
      </w:r>
      <w:r w:rsidRPr="00F33E35">
        <w:rPr>
          <w:rFonts w:ascii="Times New Roman" w:hAnsi="Times New Roman" w:cs="Times New Roman"/>
          <w:sz w:val="28"/>
          <w:szCs w:val="28"/>
          <w:lang w:val="es-ES_tradnl"/>
        </w:rPr>
        <w:t>a</w:t>
      </w:r>
      <w:r w:rsidRPr="00F33E35">
        <w:rPr>
          <w:rFonts w:ascii="Times New Roman" w:hAnsi="Times New Roman" w:cs="Times New Roman"/>
          <w:sz w:val="28"/>
          <w:szCs w:val="28"/>
          <w:lang w:val="es-ES_tradnl"/>
        </w:rPr>
        <w:t xml:space="preserve"> Sala Plena</w:t>
      </w:r>
      <w:r w:rsidRPr="00F33E35">
        <w:rPr>
          <w:rFonts w:ascii="Times New Roman" w:hAnsi="Times New Roman" w:cs="Times New Roman"/>
          <w:sz w:val="28"/>
          <w:szCs w:val="28"/>
          <w:lang w:val="es-ES_tradnl"/>
        </w:rPr>
        <w:t xml:space="preserve"> indicó, igualmente “que la ley que regule las restricciones de este derecho debe precisar: (i) el tipo de información objeto de reserva, (ii) las condiciones bajo las cuales la reserva puede oponerse a los ciudadanos, (iii) las autoridades que pueden apli</w:t>
      </w:r>
      <w:r w:rsidRPr="00F33E35">
        <w:rPr>
          <w:rFonts w:ascii="Times New Roman" w:hAnsi="Times New Roman" w:cs="Times New Roman"/>
          <w:sz w:val="28"/>
          <w:szCs w:val="28"/>
          <w:lang w:val="es-ES_tradnl"/>
        </w:rPr>
        <w:t>carla, y (iv) los sistemas de control que operan sobre las actuaciones que por tal razón permanecen reservadas</w:t>
      </w:r>
      <w:r w:rsidRPr="00F33E35">
        <w:rPr>
          <w:rFonts w:ascii="Times New Roman" w:hAnsi="Times New Roman" w:cs="Times New Roman"/>
          <w:sz w:val="28"/>
          <w:szCs w:val="28"/>
          <w:lang w:val="es-ES_tradnl"/>
        </w:rPr>
        <w:t>”</w:t>
      </w:r>
      <w:r w:rsidRPr="00F33E35">
        <w:rPr>
          <w:rStyle w:val="Refdenotaalpie"/>
          <w:rFonts w:ascii="Times New Roman" w:hAnsi="Times New Roman" w:cs="Times New Roman"/>
          <w:sz w:val="28"/>
          <w:szCs w:val="28"/>
          <w:lang w:val="es-ES_tradnl"/>
        </w:rPr>
        <w:footnoteReference w:id="138"/>
      </w:r>
      <w:r w:rsidRPr="00F33E35">
        <w:rPr>
          <w:rFonts w:ascii="Times New Roman" w:hAnsi="Times New Roman" w:cs="Times New Roman"/>
          <w:sz w:val="28"/>
          <w:szCs w:val="28"/>
          <w:lang w:val="es-ES_tradnl"/>
        </w:rPr>
        <w:t>.</w:t>
      </w:r>
      <w:r w:rsidRPr="00F33E35">
        <w:rPr>
          <w:rFonts w:ascii="Times New Roman" w:hAnsi="Times New Roman" w:cs="Times New Roman"/>
          <w:sz w:val="28"/>
          <w:szCs w:val="28"/>
        </w:rPr>
        <w:t xml:space="preserve"> </w:t>
      </w:r>
      <w:r w:rsidRPr="00F33E35">
        <w:rPr>
          <w:rFonts w:ascii="Times New Roman" w:hAnsi="Times New Roman" w:cs="Times New Roman"/>
          <w:sz w:val="28"/>
          <w:szCs w:val="28"/>
          <w:lang w:val="es-ES"/>
        </w:rPr>
        <w:t xml:space="preserve">Destacó además la Corte </w:t>
      </w:r>
      <w:r w:rsidRPr="00F33E35">
        <w:rPr>
          <w:rFonts w:ascii="Times New Roman" w:hAnsi="Times New Roman" w:cs="Times New Roman"/>
          <w:bCs/>
          <w:sz w:val="28"/>
          <w:szCs w:val="28"/>
          <w:lang w:val="es-ES_tradnl"/>
        </w:rPr>
        <w:t xml:space="preserve">que la reserva </w:t>
      </w:r>
      <w:r w:rsidRPr="00F33E35">
        <w:rPr>
          <w:rFonts w:ascii="Times New Roman" w:hAnsi="Times New Roman" w:cs="Times New Roman"/>
          <w:sz w:val="28"/>
          <w:szCs w:val="28"/>
          <w:lang w:val="es-ES_tradnl"/>
        </w:rPr>
        <w:t xml:space="preserve">opera sobre el contenido y es temporal, lo que implica que el plazo debe sujetarse </w:t>
      </w:r>
      <w:r w:rsidRPr="00F33E35">
        <w:rPr>
          <w:rFonts w:ascii="Times New Roman" w:hAnsi="Times New Roman" w:cs="Times New Roman"/>
          <w:bCs/>
          <w:sz w:val="28"/>
          <w:szCs w:val="28"/>
          <w:lang w:val="es-ES_tradnl"/>
        </w:rPr>
        <w:t>a límites de razonab</w:t>
      </w:r>
      <w:r w:rsidRPr="00F33E35">
        <w:rPr>
          <w:rFonts w:ascii="Times New Roman" w:hAnsi="Times New Roman" w:cs="Times New Roman"/>
          <w:bCs/>
          <w:sz w:val="28"/>
          <w:szCs w:val="28"/>
          <w:lang w:val="es-ES_tradnl"/>
        </w:rPr>
        <w:t xml:space="preserve">ilidad y proporcionalidad y debe estar motivada. Ello se traduce en que </w:t>
      </w:r>
      <w:r w:rsidRPr="00F33E35">
        <w:rPr>
          <w:rFonts w:ascii="Times New Roman" w:hAnsi="Times New Roman" w:cs="Times New Roman"/>
          <w:sz w:val="28"/>
          <w:szCs w:val="28"/>
        </w:rPr>
        <w:t>el Estado tiene la carga de probar que la información solicitada no puede ser revelada</w:t>
      </w:r>
      <w:r w:rsidRPr="00F33E35">
        <w:rPr>
          <w:rFonts w:ascii="Times New Roman" w:hAnsi="Times New Roman" w:cs="Times New Roman"/>
          <w:sz w:val="28"/>
          <w:szCs w:val="28"/>
        </w:rPr>
        <w:t xml:space="preserve"> y, </w:t>
      </w:r>
      <w:r w:rsidRPr="00F33E35">
        <w:rPr>
          <w:rFonts w:ascii="Times New Roman" w:hAnsi="Times New Roman" w:cs="Times New Roman"/>
          <w:sz w:val="28"/>
          <w:szCs w:val="28"/>
        </w:rPr>
        <w:t>ante una duda o un vacío legal, debe primar el derecho de acceso a la información.</w:t>
      </w:r>
    </w:p>
    <w:p w:rsidR="001318E4" w:rsidRPr="00F33E35" w:rsidRDefault="00F33E35" w:rsidP="001318E4">
      <w:pPr>
        <w:pStyle w:val="Prrafodelista"/>
        <w:spacing w:after="0" w:line="240" w:lineRule="auto"/>
        <w:contextualSpacing w:val="0"/>
        <w:rPr>
          <w:rFonts w:ascii="Times New Roman" w:hAnsi="Times New Roman" w:cs="Times New Roman"/>
          <w:sz w:val="28"/>
          <w:szCs w:val="28"/>
          <w:lang w:val="es-ES"/>
        </w:rPr>
      </w:pPr>
    </w:p>
    <w:p w:rsidR="001318E4" w:rsidRPr="00F33E35" w:rsidRDefault="00F33E35" w:rsidP="001318E4">
      <w:pPr>
        <w:pStyle w:val="Prrafodelista"/>
        <w:numPr>
          <w:ilvl w:val="0"/>
          <w:numId w:val="3"/>
        </w:numPr>
        <w:tabs>
          <w:tab w:val="left" w:pos="284"/>
          <w:tab w:val="left" w:pos="426"/>
        </w:tabs>
        <w:spacing w:after="0" w:line="240" w:lineRule="auto"/>
        <w:ind w:left="0" w:right="-234" w:firstLine="0"/>
        <w:contextualSpacing w:val="0"/>
        <w:jc w:val="both"/>
        <w:rPr>
          <w:rFonts w:ascii="Times New Roman" w:hAnsi="Times New Roman" w:cs="Times New Roman"/>
          <w:sz w:val="28"/>
          <w:szCs w:val="28"/>
          <w:lang w:val="es-ES"/>
        </w:rPr>
      </w:pPr>
      <w:r w:rsidRPr="00F33E35">
        <w:rPr>
          <w:rFonts w:ascii="Times New Roman" w:hAnsi="Times New Roman" w:cs="Times New Roman"/>
          <w:sz w:val="28"/>
          <w:szCs w:val="28"/>
          <w:lang w:val="es-ES"/>
        </w:rPr>
        <w:t xml:space="preserve">Además de </w:t>
      </w:r>
      <w:r w:rsidRPr="00F33E35">
        <w:rPr>
          <w:rFonts w:ascii="Times New Roman" w:hAnsi="Times New Roman" w:cs="Times New Roman"/>
          <w:sz w:val="28"/>
          <w:szCs w:val="28"/>
          <w:lang w:val="es-ES"/>
        </w:rPr>
        <w:t>dicha circunstancia</w:t>
      </w:r>
      <w:r w:rsidRPr="00F33E35">
        <w:rPr>
          <w:rFonts w:ascii="Times New Roman" w:hAnsi="Times New Roman" w:cs="Times New Roman"/>
          <w:sz w:val="28"/>
          <w:szCs w:val="28"/>
          <w:lang w:val="es-ES"/>
        </w:rPr>
        <w:t>,</w:t>
      </w:r>
      <w:r w:rsidRPr="00F33E35">
        <w:rPr>
          <w:rFonts w:ascii="Times New Roman" w:hAnsi="Times New Roman" w:cs="Times New Roman"/>
          <w:sz w:val="28"/>
          <w:szCs w:val="28"/>
          <w:lang w:val="es-ES"/>
        </w:rPr>
        <w:t xml:space="preserve"> </w:t>
      </w:r>
      <w:r w:rsidRPr="00F33E35">
        <w:rPr>
          <w:rFonts w:ascii="Times New Roman" w:hAnsi="Times New Roman" w:cs="Times New Roman"/>
          <w:bCs/>
          <w:color w:val="000000"/>
          <w:sz w:val="28"/>
          <w:szCs w:val="28"/>
          <w:lang w:val="es-ES_tradnl"/>
        </w:rPr>
        <w:t xml:space="preserve">este </w:t>
      </w:r>
      <w:r w:rsidRPr="00F33E35">
        <w:rPr>
          <w:rFonts w:ascii="Times New Roman" w:hAnsi="Times New Roman" w:cs="Times New Roman"/>
          <w:bCs/>
          <w:color w:val="000000"/>
          <w:sz w:val="28"/>
          <w:szCs w:val="28"/>
          <w:lang w:val="es-ES_tradnl"/>
        </w:rPr>
        <w:t>T</w:t>
      </w:r>
      <w:r w:rsidRPr="00F33E35">
        <w:rPr>
          <w:rFonts w:ascii="Times New Roman" w:hAnsi="Times New Roman" w:cs="Times New Roman"/>
          <w:bCs/>
          <w:color w:val="000000"/>
          <w:sz w:val="28"/>
          <w:szCs w:val="28"/>
          <w:lang w:val="es-ES_tradnl"/>
        </w:rPr>
        <w:t xml:space="preserve">ribunal precisó que tampoco puede alegarse la reserva cuando se trata de </w:t>
      </w:r>
      <w:r w:rsidRPr="00F33E35">
        <w:rPr>
          <w:rFonts w:ascii="Times New Roman" w:hAnsi="Times New Roman" w:cs="Times New Roman"/>
          <w:sz w:val="28"/>
          <w:szCs w:val="28"/>
        </w:rPr>
        <w:t>violaciones a los derechos humanos ni puede usarse para “no aportar la información requerida por las autoridades judiciales o administrativas”</w:t>
      </w:r>
      <w:r w:rsidRPr="00F33E35">
        <w:rPr>
          <w:rFonts w:ascii="Times New Roman" w:hAnsi="Times New Roman" w:cs="Times New Roman"/>
          <w:iCs/>
          <w:sz w:val="28"/>
          <w:szCs w:val="28"/>
          <w:vertAlign w:val="superscript"/>
        </w:rPr>
        <w:footnoteReference w:id="139"/>
      </w:r>
      <w:r w:rsidRPr="00F33E35">
        <w:rPr>
          <w:rFonts w:ascii="Times New Roman" w:hAnsi="Times New Roman" w:cs="Times New Roman"/>
          <w:iCs/>
          <w:sz w:val="28"/>
          <w:szCs w:val="28"/>
        </w:rPr>
        <w:t>.</w:t>
      </w:r>
      <w:r w:rsidRPr="00F33E35">
        <w:rPr>
          <w:rFonts w:ascii="Times New Roman" w:hAnsi="Times New Roman" w:cs="Times New Roman"/>
          <w:sz w:val="28"/>
          <w:szCs w:val="28"/>
        </w:rPr>
        <w:t xml:space="preserve"> Además, </w:t>
      </w:r>
      <w:r w:rsidRPr="00F33E35">
        <w:rPr>
          <w:rFonts w:ascii="Times New Roman" w:hAnsi="Times New Roman" w:cs="Times New Roman"/>
          <w:sz w:val="28"/>
          <w:szCs w:val="28"/>
        </w:rPr>
        <w:t xml:space="preserve">dijo la Corte, </w:t>
      </w:r>
      <w:r w:rsidRPr="00F33E35">
        <w:rPr>
          <w:rFonts w:ascii="Times New Roman" w:hAnsi="Times New Roman" w:cs="Times New Roman"/>
          <w:sz w:val="28"/>
          <w:szCs w:val="28"/>
        </w:rPr>
        <w:t>es necesario que exista un</w:t>
      </w:r>
      <w:r w:rsidRPr="00F33E35">
        <w:rPr>
          <w:rFonts w:ascii="Times New Roman" w:hAnsi="Times New Roman" w:cs="Times New Roman"/>
          <w:sz w:val="28"/>
          <w:szCs w:val="28"/>
        </w:rPr>
        <w:t xml:space="preserve"> procedimiento que garantice la revisión </w:t>
      </w:r>
      <w:r w:rsidRPr="00F33E35">
        <w:rPr>
          <w:rFonts w:ascii="Times New Roman" w:hAnsi="Times New Roman" w:cs="Times New Roman"/>
          <w:sz w:val="28"/>
          <w:szCs w:val="28"/>
        </w:rPr>
        <w:t xml:space="preserve">de </w:t>
      </w:r>
      <w:r w:rsidRPr="00F33E35">
        <w:rPr>
          <w:rFonts w:ascii="Times New Roman" w:hAnsi="Times New Roman" w:cs="Times New Roman"/>
          <w:sz w:val="28"/>
          <w:szCs w:val="28"/>
        </w:rPr>
        <w:t>la nega</w:t>
      </w:r>
      <w:r w:rsidRPr="00F33E35">
        <w:rPr>
          <w:rFonts w:ascii="Times New Roman" w:hAnsi="Times New Roman" w:cs="Times New Roman"/>
          <w:sz w:val="28"/>
          <w:szCs w:val="28"/>
        </w:rPr>
        <w:t>ción</w:t>
      </w:r>
      <w:r w:rsidRPr="00F33E35">
        <w:rPr>
          <w:rFonts w:ascii="Times New Roman" w:hAnsi="Times New Roman" w:cs="Times New Roman"/>
          <w:sz w:val="28"/>
          <w:szCs w:val="28"/>
        </w:rPr>
        <w:t xml:space="preserve"> de acceso a información requerida</w:t>
      </w:r>
      <w:r w:rsidRPr="00F33E35">
        <w:rPr>
          <w:rFonts w:ascii="Times New Roman" w:hAnsi="Times New Roman" w:cs="Times New Roman"/>
          <w:sz w:val="28"/>
          <w:szCs w:val="28"/>
        </w:rPr>
        <w:t>,</w:t>
      </w:r>
      <w:r w:rsidRPr="00F33E35">
        <w:rPr>
          <w:rFonts w:ascii="Times New Roman" w:hAnsi="Times New Roman" w:cs="Times New Roman"/>
          <w:sz w:val="28"/>
          <w:szCs w:val="28"/>
        </w:rPr>
        <w:t xml:space="preserve"> </w:t>
      </w:r>
      <w:r w:rsidRPr="00F33E35">
        <w:rPr>
          <w:rFonts w:ascii="Times New Roman" w:hAnsi="Times New Roman" w:cs="Times New Roman"/>
          <w:sz w:val="28"/>
          <w:szCs w:val="28"/>
        </w:rPr>
        <w:t>por una segunda instancia, a trav</w:t>
      </w:r>
      <w:r w:rsidRPr="00F33E35">
        <w:rPr>
          <w:rFonts w:ascii="Times New Roman" w:hAnsi="Times New Roman" w:cs="Times New Roman"/>
          <w:sz w:val="28"/>
          <w:szCs w:val="28"/>
        </w:rPr>
        <w:t xml:space="preserve">és de un recurso sencillo, rápido y efectivo. Sobre el </w:t>
      </w:r>
      <w:r w:rsidRPr="00F33E35">
        <w:rPr>
          <w:rFonts w:ascii="Times New Roman" w:hAnsi="Times New Roman" w:cs="Times New Roman"/>
          <w:bCs/>
          <w:sz w:val="28"/>
          <w:szCs w:val="28"/>
        </w:rPr>
        <w:t>derecho de las víctimas a conocer la</w:t>
      </w:r>
      <w:r w:rsidRPr="00F33E35">
        <w:rPr>
          <w:rFonts w:ascii="Times New Roman" w:hAnsi="Times New Roman" w:cs="Times New Roman"/>
          <w:bCs/>
          <w:sz w:val="28"/>
          <w:szCs w:val="28"/>
        </w:rPr>
        <w:t xml:space="preserve"> verdad</w:t>
      </w:r>
      <w:r w:rsidRPr="00F33E35">
        <w:rPr>
          <w:rFonts w:ascii="Times New Roman" w:hAnsi="Times New Roman" w:cs="Times New Roman"/>
          <w:bCs/>
          <w:sz w:val="28"/>
          <w:szCs w:val="28"/>
        </w:rPr>
        <w:t>,</w:t>
      </w:r>
      <w:r w:rsidRPr="00F33E35">
        <w:rPr>
          <w:rFonts w:ascii="Times New Roman" w:hAnsi="Times New Roman" w:cs="Times New Roman"/>
          <w:bCs/>
          <w:sz w:val="28"/>
          <w:szCs w:val="28"/>
        </w:rPr>
        <w:t xml:space="preserve"> la Corte</w:t>
      </w:r>
      <w:r w:rsidRPr="00F33E35">
        <w:rPr>
          <w:rFonts w:ascii="Times New Roman" w:hAnsi="Times New Roman" w:cs="Times New Roman"/>
          <w:bCs/>
          <w:sz w:val="28"/>
          <w:szCs w:val="28"/>
        </w:rPr>
        <w:t xml:space="preserve"> Constitucional</w:t>
      </w:r>
      <w:r w:rsidRPr="00F33E35">
        <w:rPr>
          <w:rFonts w:ascii="Times New Roman" w:hAnsi="Times New Roman" w:cs="Times New Roman"/>
          <w:bCs/>
          <w:sz w:val="28"/>
          <w:szCs w:val="28"/>
        </w:rPr>
        <w:t>,</w:t>
      </w:r>
      <w:r w:rsidRPr="00F33E35">
        <w:rPr>
          <w:rFonts w:ascii="Times New Roman" w:hAnsi="Times New Roman" w:cs="Times New Roman"/>
          <w:sz w:val="28"/>
          <w:szCs w:val="28"/>
        </w:rPr>
        <w:t xml:space="preserve"> refiriéndose </w:t>
      </w:r>
      <w:r w:rsidRPr="00F33E35">
        <w:rPr>
          <w:rFonts w:ascii="Times New Roman" w:hAnsi="Times New Roman" w:cs="Times New Roman"/>
          <w:sz w:val="28"/>
          <w:szCs w:val="28"/>
          <w:lang w:val="es-ES"/>
        </w:rPr>
        <w:t xml:space="preserve">a la confidencialidad de archivos oficiales o por razones de defensa nacional, </w:t>
      </w:r>
      <w:r w:rsidRPr="00F33E35">
        <w:rPr>
          <w:rFonts w:ascii="Times New Roman" w:hAnsi="Times New Roman" w:cs="Times New Roman"/>
          <w:sz w:val="28"/>
          <w:szCs w:val="28"/>
          <w:lang w:val="es-ES"/>
        </w:rPr>
        <w:t xml:space="preserve">indicó </w:t>
      </w:r>
      <w:r w:rsidRPr="00F33E35">
        <w:rPr>
          <w:rFonts w:ascii="Times New Roman" w:hAnsi="Times New Roman" w:cs="Times New Roman"/>
          <w:sz w:val="28"/>
          <w:szCs w:val="28"/>
          <w:lang w:val="es-ES"/>
        </w:rPr>
        <w:t xml:space="preserve">que es </w:t>
      </w:r>
      <w:r w:rsidRPr="00F33E35">
        <w:rPr>
          <w:rFonts w:ascii="Times New Roman" w:hAnsi="Times New Roman" w:cs="Times New Roman"/>
          <w:sz w:val="28"/>
          <w:szCs w:val="28"/>
          <w:lang w:val="es-ES"/>
        </w:rPr>
        <w:t>“</w:t>
      </w:r>
      <w:r w:rsidRPr="00F33E35">
        <w:rPr>
          <w:rFonts w:ascii="Times New Roman" w:hAnsi="Times New Roman" w:cs="Times New Roman"/>
          <w:sz w:val="28"/>
          <w:szCs w:val="28"/>
          <w:lang w:val="es-ES"/>
        </w:rPr>
        <w:t>indispensable tomar medidas cautelares para impedir la destrucción, adulteración o falsificación de los archivos en</w:t>
      </w:r>
      <w:r w:rsidRPr="00F33E35">
        <w:rPr>
          <w:rFonts w:ascii="Times New Roman" w:hAnsi="Times New Roman" w:cs="Times New Roman"/>
          <w:sz w:val="28"/>
          <w:szCs w:val="28"/>
          <w:lang w:val="es-ES"/>
        </w:rPr>
        <w:t xml:space="preserve"> que se recogen las violaciones cometidas. Además, indicó que no podrá invocarse confidencialidad o razones de defensa nacional para evitar su consulta por las instancias judiciales o las víctimas”</w:t>
      </w:r>
      <w:r w:rsidRPr="00F33E35">
        <w:rPr>
          <w:rStyle w:val="Refdenotaalpie"/>
          <w:rFonts w:ascii="Times New Roman" w:hAnsi="Times New Roman" w:cs="Times New Roman"/>
          <w:sz w:val="28"/>
          <w:szCs w:val="28"/>
          <w:lang w:val="es-ES"/>
        </w:rPr>
        <w:footnoteReference w:id="140"/>
      </w:r>
      <w:r w:rsidRPr="00F33E35">
        <w:rPr>
          <w:rFonts w:ascii="Times New Roman" w:hAnsi="Times New Roman" w:cs="Times New Roman"/>
          <w:sz w:val="28"/>
          <w:szCs w:val="28"/>
          <w:lang w:val="es-ES"/>
        </w:rPr>
        <w:t>.</w:t>
      </w:r>
    </w:p>
    <w:p w:rsidR="001318E4" w:rsidRPr="00F33E35" w:rsidRDefault="00F33E35" w:rsidP="001318E4">
      <w:pPr>
        <w:pStyle w:val="Prrafodelista"/>
        <w:spacing w:after="0" w:line="240" w:lineRule="auto"/>
        <w:contextualSpacing w:val="0"/>
        <w:rPr>
          <w:rFonts w:ascii="Times New Roman" w:hAnsi="Times New Roman" w:cs="Times New Roman"/>
          <w:sz w:val="28"/>
          <w:szCs w:val="28"/>
          <w:lang w:val="es-ES"/>
        </w:rPr>
      </w:pPr>
    </w:p>
    <w:p w:rsidR="001318E4" w:rsidRPr="00F33E35" w:rsidRDefault="00F33E35" w:rsidP="001318E4">
      <w:pPr>
        <w:pStyle w:val="Prrafodelista"/>
        <w:numPr>
          <w:ilvl w:val="0"/>
          <w:numId w:val="3"/>
        </w:numPr>
        <w:tabs>
          <w:tab w:val="left" w:pos="284"/>
          <w:tab w:val="left" w:pos="426"/>
        </w:tabs>
        <w:spacing w:after="0" w:line="240" w:lineRule="auto"/>
        <w:ind w:left="0" w:right="-234" w:firstLine="0"/>
        <w:contextualSpacing w:val="0"/>
        <w:jc w:val="both"/>
        <w:rPr>
          <w:rFonts w:ascii="Times New Roman" w:hAnsi="Times New Roman" w:cs="Times New Roman"/>
          <w:sz w:val="28"/>
          <w:szCs w:val="28"/>
          <w:lang w:val="es-ES"/>
        </w:rPr>
      </w:pPr>
      <w:r w:rsidRPr="00F33E35">
        <w:rPr>
          <w:rFonts w:ascii="Times New Roman" w:hAnsi="Times New Roman" w:cs="Times New Roman"/>
          <w:sz w:val="28"/>
          <w:szCs w:val="28"/>
          <w:lang w:val="es-ES"/>
        </w:rPr>
        <w:t>Sobre el término de la reserva</w:t>
      </w:r>
      <w:r w:rsidRPr="00F33E35">
        <w:rPr>
          <w:rFonts w:ascii="Times New Roman" w:hAnsi="Times New Roman" w:cs="Times New Roman"/>
          <w:sz w:val="28"/>
          <w:szCs w:val="28"/>
          <w:lang w:val="es-ES"/>
        </w:rPr>
        <w:t>,</w:t>
      </w:r>
      <w:r w:rsidRPr="00F33E35">
        <w:rPr>
          <w:rFonts w:ascii="Times New Roman" w:hAnsi="Times New Roman" w:cs="Times New Roman"/>
          <w:sz w:val="28"/>
          <w:szCs w:val="28"/>
          <w:lang w:val="es-ES"/>
        </w:rPr>
        <w:t xml:space="preserve"> </w:t>
      </w:r>
      <w:r w:rsidRPr="00F33E35">
        <w:rPr>
          <w:rFonts w:ascii="Times New Roman" w:hAnsi="Times New Roman" w:cs="Times New Roman"/>
          <w:sz w:val="28"/>
          <w:szCs w:val="28"/>
        </w:rPr>
        <w:t>la Corte concluyó que e</w:t>
      </w:r>
      <w:r w:rsidRPr="00F33E35">
        <w:rPr>
          <w:rFonts w:ascii="Times New Roman" w:hAnsi="Times New Roman" w:cs="Times New Roman"/>
          <w:sz w:val="28"/>
          <w:szCs w:val="28"/>
        </w:rPr>
        <w:t xml:space="preserve">l término legal de 30 años </w:t>
      </w:r>
      <w:r w:rsidRPr="00F33E35">
        <w:rPr>
          <w:rFonts w:ascii="Times New Roman" w:hAnsi="Times New Roman" w:cs="Times New Roman"/>
          <w:bCs/>
          <w:color w:val="000000"/>
          <w:sz w:val="28"/>
          <w:szCs w:val="28"/>
          <w:lang w:val="es-ES_tradnl"/>
        </w:rPr>
        <w:t xml:space="preserve">resulta razonable y proporcionado. </w:t>
      </w:r>
      <w:r w:rsidRPr="00F33E35">
        <w:rPr>
          <w:rFonts w:ascii="Times New Roman" w:hAnsi="Times New Roman" w:cs="Times New Roman"/>
          <w:bCs/>
          <w:color w:val="000000"/>
          <w:sz w:val="28"/>
          <w:szCs w:val="28"/>
          <w:lang w:val="es-ES_tradnl"/>
        </w:rPr>
        <w:t>En tal sentido, indicó</w:t>
      </w:r>
      <w:r w:rsidRPr="00F33E35">
        <w:rPr>
          <w:rFonts w:ascii="Times New Roman" w:hAnsi="Times New Roman" w:cs="Times New Roman"/>
          <w:bCs/>
          <w:color w:val="000000"/>
          <w:sz w:val="28"/>
          <w:szCs w:val="28"/>
          <w:lang w:val="es-ES_tradnl"/>
        </w:rPr>
        <w:t xml:space="preserve"> que</w:t>
      </w:r>
      <w:r w:rsidRPr="00F33E35">
        <w:rPr>
          <w:rFonts w:ascii="Times New Roman" w:hAnsi="Times New Roman" w:cs="Times New Roman"/>
          <w:bCs/>
          <w:color w:val="000000"/>
          <w:sz w:val="28"/>
          <w:szCs w:val="28"/>
          <w:lang w:val="es-ES_tradnl"/>
        </w:rPr>
        <w:t xml:space="preserve"> </w:t>
      </w:r>
      <w:r w:rsidRPr="00F33E35">
        <w:rPr>
          <w:rFonts w:ascii="Times New Roman" w:hAnsi="Times New Roman" w:cs="Times New Roman"/>
          <w:bCs/>
          <w:color w:val="000000"/>
          <w:sz w:val="28"/>
          <w:szCs w:val="28"/>
          <w:lang w:val="es-ES_tradnl"/>
        </w:rPr>
        <w:t>dicho plazo puede ser ampliado hasta por 15 años más, bajo la condición de que se cumplieran varias condiciones: (i) exista una recomendación presentada por un organismo de inteligencia y contrainteligencia; (ii) atienda a casos específicos; y (iii) bajo l</w:t>
      </w:r>
      <w:r w:rsidRPr="00F33E35">
        <w:rPr>
          <w:rFonts w:ascii="Times New Roman" w:hAnsi="Times New Roman" w:cs="Times New Roman"/>
          <w:bCs/>
          <w:color w:val="000000"/>
          <w:sz w:val="28"/>
          <w:szCs w:val="28"/>
          <w:lang w:val="es-ES_tradnl"/>
        </w:rPr>
        <w:t xml:space="preserve">a posibilidad que el presidente de la República acoja la recomendación y se trate de </w:t>
      </w:r>
      <w:r w:rsidRPr="00F33E35">
        <w:rPr>
          <w:rFonts w:ascii="Times New Roman" w:hAnsi="Times New Roman" w:cs="Times New Roman"/>
          <w:bCs/>
          <w:color w:val="000000"/>
          <w:sz w:val="28"/>
          <w:szCs w:val="28"/>
          <w:lang w:val="es-ES_tradnl"/>
        </w:rPr>
        <w:t xml:space="preserve">i) </w:t>
      </w:r>
      <w:r w:rsidRPr="00F33E35">
        <w:rPr>
          <w:rFonts w:ascii="Times New Roman" w:hAnsi="Times New Roman" w:cs="Times New Roman"/>
          <w:bCs/>
          <w:color w:val="000000"/>
          <w:sz w:val="28"/>
          <w:szCs w:val="28"/>
          <w:lang w:val="es-ES_tradnl"/>
        </w:rPr>
        <w:t>una amenaza grave interna o externa contra la seguridad o la defensa nacional; ii) información que ponga en riesgo las relaciones internacionales, iii) esté relacionada</w:t>
      </w:r>
      <w:r w:rsidRPr="00F33E35">
        <w:rPr>
          <w:rFonts w:ascii="Times New Roman" w:hAnsi="Times New Roman" w:cs="Times New Roman"/>
          <w:bCs/>
          <w:color w:val="000000"/>
          <w:sz w:val="28"/>
          <w:szCs w:val="28"/>
          <w:lang w:val="es-ES_tradnl"/>
        </w:rPr>
        <w:t xml:space="preserve"> con grupos armados al margen de la ley, o iv) atente contra la integridad personal de los agentes o las fuentes. En todo caso, la decisión de ampliación del plazo debe estar suficiente y razonablemente fundada.</w:t>
      </w:r>
    </w:p>
    <w:p w:rsidR="001318E4" w:rsidRPr="00F33E35" w:rsidRDefault="00F33E35" w:rsidP="001318E4">
      <w:pPr>
        <w:pStyle w:val="Prrafodelista"/>
        <w:spacing w:after="0" w:line="240" w:lineRule="auto"/>
        <w:contextualSpacing w:val="0"/>
        <w:rPr>
          <w:rFonts w:ascii="Times New Roman" w:hAnsi="Times New Roman" w:cs="Times New Roman"/>
          <w:sz w:val="28"/>
          <w:szCs w:val="28"/>
          <w:lang w:val="es-ES"/>
        </w:rPr>
      </w:pPr>
    </w:p>
    <w:p w:rsidR="00C402CC" w:rsidRPr="00F33E35" w:rsidRDefault="00F33E35" w:rsidP="001318E4">
      <w:pPr>
        <w:pStyle w:val="Prrafodelista"/>
        <w:numPr>
          <w:ilvl w:val="0"/>
          <w:numId w:val="3"/>
        </w:numPr>
        <w:tabs>
          <w:tab w:val="left" w:pos="284"/>
          <w:tab w:val="left" w:pos="426"/>
        </w:tabs>
        <w:spacing w:after="0" w:line="240" w:lineRule="auto"/>
        <w:ind w:left="0" w:right="-234" w:firstLine="0"/>
        <w:contextualSpacing w:val="0"/>
        <w:jc w:val="both"/>
        <w:rPr>
          <w:rFonts w:ascii="Times New Roman" w:hAnsi="Times New Roman" w:cs="Times New Roman"/>
          <w:sz w:val="28"/>
          <w:szCs w:val="28"/>
          <w:lang w:val="es-ES"/>
        </w:rPr>
      </w:pPr>
      <w:r w:rsidRPr="00F33E35">
        <w:rPr>
          <w:rFonts w:ascii="Times New Roman" w:hAnsi="Times New Roman" w:cs="Times New Roman"/>
          <w:sz w:val="28"/>
          <w:szCs w:val="28"/>
          <w:lang w:val="es-ES"/>
        </w:rPr>
        <w:t>Además de lo anterior, para edificar el car</w:t>
      </w:r>
      <w:r w:rsidRPr="00F33E35">
        <w:rPr>
          <w:rFonts w:ascii="Times New Roman" w:hAnsi="Times New Roman" w:cs="Times New Roman"/>
          <w:sz w:val="28"/>
          <w:szCs w:val="28"/>
          <w:lang w:val="es-ES"/>
        </w:rPr>
        <w:t>go por infracción del derecho a la información, a las y los demandantes les correspondía consultar el contexto legal y jurisprudencial en el que se encuentra inserto el artículo 33 acusado. Esto exigía que tuvieran en cuenta, incluso, las regulaciones post</w:t>
      </w:r>
      <w:r w:rsidRPr="00F33E35">
        <w:rPr>
          <w:rFonts w:ascii="Times New Roman" w:hAnsi="Times New Roman" w:cs="Times New Roman"/>
          <w:sz w:val="28"/>
          <w:szCs w:val="28"/>
          <w:lang w:val="es-ES"/>
        </w:rPr>
        <w:t>eriores y los pronunciamientos del intérprete autorizado de la Constitución en la materia</w:t>
      </w:r>
      <w:r w:rsidRPr="00F33E35">
        <w:rPr>
          <w:rFonts w:ascii="Times New Roman" w:hAnsi="Times New Roman" w:cs="Times New Roman"/>
          <w:sz w:val="28"/>
          <w:szCs w:val="28"/>
          <w:lang w:val="es-ES"/>
        </w:rPr>
        <w:t>. En ese sentido era relevante considerar</w:t>
      </w:r>
      <w:r w:rsidRPr="00F33E35">
        <w:rPr>
          <w:rFonts w:ascii="Times New Roman" w:hAnsi="Times New Roman" w:cs="Times New Roman"/>
          <w:sz w:val="28"/>
          <w:szCs w:val="28"/>
          <w:lang w:val="es-ES"/>
        </w:rPr>
        <w:t xml:space="preserve"> </w:t>
      </w:r>
      <w:r w:rsidRPr="00F33E35">
        <w:rPr>
          <w:rFonts w:ascii="Times New Roman" w:hAnsi="Times New Roman" w:cs="Times New Roman"/>
          <w:sz w:val="28"/>
          <w:szCs w:val="28"/>
          <w:lang w:val="es-ES"/>
        </w:rPr>
        <w:t>las fuentes que se enuncian a continuación.</w:t>
      </w:r>
    </w:p>
    <w:p w:rsidR="00C402CC" w:rsidRPr="00F33E35" w:rsidRDefault="00F33E35" w:rsidP="00C402CC">
      <w:pPr>
        <w:pStyle w:val="Prrafodelista"/>
        <w:tabs>
          <w:tab w:val="left" w:pos="284"/>
          <w:tab w:val="left" w:pos="426"/>
        </w:tabs>
        <w:spacing w:after="0" w:line="240" w:lineRule="auto"/>
        <w:ind w:left="0" w:right="-234"/>
        <w:contextualSpacing w:val="0"/>
        <w:jc w:val="both"/>
        <w:rPr>
          <w:rFonts w:ascii="Times New Roman" w:hAnsi="Times New Roman" w:cs="Times New Roman"/>
          <w:sz w:val="28"/>
          <w:szCs w:val="28"/>
          <w:lang w:val="es-ES"/>
        </w:rPr>
      </w:pPr>
    </w:p>
    <w:p w:rsidR="00C402CC" w:rsidRPr="00F33E35" w:rsidRDefault="00F33E35" w:rsidP="00B72E11">
      <w:pPr>
        <w:pStyle w:val="Prrafodelista"/>
        <w:numPr>
          <w:ilvl w:val="1"/>
          <w:numId w:val="8"/>
        </w:numPr>
        <w:tabs>
          <w:tab w:val="left" w:pos="142"/>
          <w:tab w:val="left" w:pos="426"/>
        </w:tabs>
        <w:spacing w:after="0" w:line="240" w:lineRule="auto"/>
        <w:ind w:left="0" w:right="-234" w:firstLine="0"/>
        <w:jc w:val="both"/>
        <w:rPr>
          <w:rFonts w:ascii="Times New Roman" w:hAnsi="Times New Roman" w:cs="Times New Roman"/>
          <w:sz w:val="28"/>
          <w:szCs w:val="28"/>
        </w:rPr>
      </w:pPr>
      <w:r w:rsidRPr="00F33E35">
        <w:rPr>
          <w:rFonts w:ascii="Times New Roman" w:hAnsi="Times New Roman" w:cs="Times New Roman"/>
          <w:sz w:val="28"/>
          <w:szCs w:val="28"/>
          <w:lang w:val="es-ES"/>
        </w:rPr>
        <w:t>E</w:t>
      </w:r>
      <w:r w:rsidRPr="00F33E35">
        <w:rPr>
          <w:rFonts w:ascii="Times New Roman" w:hAnsi="Times New Roman" w:cs="Times New Roman"/>
          <w:sz w:val="28"/>
          <w:szCs w:val="28"/>
          <w:lang w:val="es-ES"/>
        </w:rPr>
        <w:t xml:space="preserve">n la </w:t>
      </w:r>
      <w:r w:rsidRPr="00F33E35">
        <w:rPr>
          <w:rFonts w:ascii="Times New Roman" w:hAnsi="Times New Roman" w:cs="Times New Roman"/>
          <w:bCs/>
          <w:sz w:val="28"/>
          <w:szCs w:val="28"/>
          <w:lang w:val="es-ES_tradnl"/>
        </w:rPr>
        <w:t>Sentencia C-274 de 2013</w:t>
      </w:r>
      <w:r w:rsidRPr="00F33E35">
        <w:rPr>
          <w:rFonts w:ascii="Times New Roman" w:hAnsi="Times New Roman" w:cs="Times New Roman"/>
          <w:bCs/>
          <w:sz w:val="28"/>
          <w:szCs w:val="28"/>
          <w:lang w:val="es-ES_tradnl"/>
        </w:rPr>
        <w:t>, la Corte Constitucional</w:t>
      </w:r>
      <w:r w:rsidRPr="00F33E35">
        <w:rPr>
          <w:rFonts w:ascii="Times New Roman" w:hAnsi="Times New Roman" w:cs="Times New Roman"/>
          <w:bCs/>
          <w:sz w:val="28"/>
          <w:szCs w:val="28"/>
          <w:lang w:val="es-ES_tradnl"/>
        </w:rPr>
        <w:t xml:space="preserve"> adelantó el control de constitucionalidad del proyecto de ley estatutaria de transparencia y del derecho de acceso a la información pública nacional, que luego sería aprobada como la Ley 1712 de 2014. En esa oportunidad </w:t>
      </w:r>
      <w:r w:rsidRPr="00F33E35">
        <w:rPr>
          <w:rFonts w:ascii="Times New Roman" w:hAnsi="Times New Roman" w:cs="Times New Roman"/>
          <w:bCs/>
          <w:color w:val="000000"/>
          <w:sz w:val="28"/>
          <w:szCs w:val="28"/>
          <w:lang w:val="es-ES_tradnl"/>
        </w:rPr>
        <w:t>en cuanto</w:t>
      </w:r>
      <w:r w:rsidRPr="00F33E35">
        <w:rPr>
          <w:rFonts w:ascii="Times New Roman" w:hAnsi="Times New Roman" w:cs="Times New Roman"/>
          <w:color w:val="000000"/>
          <w:sz w:val="28"/>
          <w:szCs w:val="28"/>
          <w:lang w:val="es-ES_tradnl"/>
        </w:rPr>
        <w:t xml:space="preserve"> (i) al principio de máxim</w:t>
      </w:r>
      <w:r w:rsidRPr="00F33E35">
        <w:rPr>
          <w:rFonts w:ascii="Times New Roman" w:hAnsi="Times New Roman" w:cs="Times New Roman"/>
          <w:color w:val="000000"/>
          <w:sz w:val="28"/>
          <w:szCs w:val="28"/>
          <w:lang w:val="es-ES_tradnl"/>
        </w:rPr>
        <w:t>a divulgación y las excepciones admisibles; y (ii) a las condiciones de la reserva,</w:t>
      </w:r>
      <w:r w:rsidRPr="00F33E35">
        <w:rPr>
          <w:rFonts w:ascii="Times New Roman" w:hAnsi="Times New Roman" w:cs="Times New Roman"/>
          <w:sz w:val="28"/>
          <w:szCs w:val="28"/>
        </w:rPr>
        <w:t xml:space="preserve"> este Tribunal reiteró la Sentencia C-540 de 2012. Insistió además en que la reserva legal no puede cobijar información que por decisión constitucional debe ser pública.</w:t>
      </w:r>
    </w:p>
    <w:p w:rsidR="00C402CC" w:rsidRPr="00F33E35" w:rsidRDefault="00F33E35" w:rsidP="00C402CC">
      <w:pPr>
        <w:pStyle w:val="Prrafodelista"/>
        <w:tabs>
          <w:tab w:val="left" w:pos="142"/>
          <w:tab w:val="left" w:pos="426"/>
        </w:tabs>
        <w:spacing w:after="0" w:line="240" w:lineRule="auto"/>
        <w:ind w:left="284" w:right="-234"/>
        <w:contextualSpacing w:val="0"/>
        <w:jc w:val="both"/>
        <w:rPr>
          <w:rFonts w:ascii="Times New Roman" w:hAnsi="Times New Roman" w:cs="Times New Roman"/>
          <w:sz w:val="28"/>
          <w:szCs w:val="28"/>
        </w:rPr>
      </w:pPr>
    </w:p>
    <w:p w:rsidR="00C402CC" w:rsidRPr="00F33E35" w:rsidRDefault="00F33E35" w:rsidP="00B72E11">
      <w:pPr>
        <w:tabs>
          <w:tab w:val="left" w:pos="142"/>
          <w:tab w:val="left" w:pos="426"/>
        </w:tabs>
        <w:spacing w:after="0" w:line="240" w:lineRule="auto"/>
        <w:ind w:right="-234"/>
        <w:jc w:val="both"/>
        <w:rPr>
          <w:rFonts w:ascii="Times New Roman" w:hAnsi="Times New Roman" w:cs="Times New Roman"/>
          <w:sz w:val="28"/>
          <w:szCs w:val="28"/>
        </w:rPr>
      </w:pPr>
      <w:r w:rsidRPr="00F33E35">
        <w:rPr>
          <w:rFonts w:ascii="Times New Roman" w:hAnsi="Times New Roman" w:cs="Times New Roman"/>
          <w:sz w:val="28"/>
          <w:szCs w:val="28"/>
          <w:lang w:val="es-ES"/>
        </w:rPr>
        <w:t>De</w:t>
      </w:r>
      <w:r w:rsidRPr="00F33E35">
        <w:rPr>
          <w:rFonts w:ascii="Times New Roman" w:hAnsi="Times New Roman" w:cs="Times New Roman"/>
          <w:sz w:val="28"/>
          <w:szCs w:val="28"/>
          <w:lang w:val="es-ES"/>
        </w:rPr>
        <w:t xml:space="preserve"> manera particular al ocuparse de </w:t>
      </w:r>
      <w:r w:rsidRPr="00F33E35">
        <w:rPr>
          <w:rFonts w:ascii="Times New Roman" w:hAnsi="Times New Roman" w:cs="Times New Roman"/>
          <w:bCs/>
          <w:sz w:val="28"/>
          <w:szCs w:val="28"/>
        </w:rPr>
        <w:t>la excepción al acceso a documentos públicos por razones de seguridad y defensa nacional</w:t>
      </w:r>
      <w:r w:rsidRPr="00F33E35">
        <w:rPr>
          <w:rFonts w:ascii="Times New Roman" w:hAnsi="Times New Roman" w:cs="Times New Roman"/>
          <w:sz w:val="28"/>
          <w:szCs w:val="28"/>
        </w:rPr>
        <w:t xml:space="preserve"> (num. 3 del art. 19 de la Ley Estatutaria 1712 de 2014), este tribunal precisó que para negar el acceso a dicha información: “(i) sól</w:t>
      </w:r>
      <w:r w:rsidRPr="00F33E35">
        <w:rPr>
          <w:rFonts w:ascii="Times New Roman" w:hAnsi="Times New Roman" w:cs="Times New Roman"/>
          <w:sz w:val="28"/>
          <w:szCs w:val="28"/>
        </w:rPr>
        <w:t>o puede hacerlo si ese acceso está expresamente prohibido por la Constitución o por una norma de carácter legal; y (ii) debe manifestarlo por escrito y de manera motivada”</w:t>
      </w:r>
      <w:r w:rsidRPr="00F33E35">
        <w:rPr>
          <w:rStyle w:val="Refdenotaalpie"/>
          <w:rFonts w:ascii="Times New Roman" w:hAnsi="Times New Roman" w:cs="Times New Roman"/>
          <w:sz w:val="28"/>
          <w:szCs w:val="28"/>
        </w:rPr>
        <w:footnoteReference w:id="141"/>
      </w:r>
      <w:r w:rsidRPr="00F33E35">
        <w:rPr>
          <w:rFonts w:ascii="Times New Roman" w:hAnsi="Times New Roman" w:cs="Times New Roman"/>
          <w:sz w:val="28"/>
          <w:szCs w:val="28"/>
        </w:rPr>
        <w:t>. Precisó entonces que las limitaciones que se establezcan deben (a) interpretarse c</w:t>
      </w:r>
      <w:r w:rsidRPr="00F33E35">
        <w:rPr>
          <w:rFonts w:ascii="Times New Roman" w:hAnsi="Times New Roman" w:cs="Times New Roman"/>
          <w:sz w:val="28"/>
          <w:szCs w:val="28"/>
        </w:rPr>
        <w:t xml:space="preserve">onforme a las exigencias constitucionales; (b) estar en la Constitución o de “manera clara y precisa en una ley, </w:t>
      </w:r>
      <w:r w:rsidRPr="00F33E35">
        <w:rPr>
          <w:rFonts w:ascii="Times New Roman" w:hAnsi="Times New Roman" w:cs="Times New Roman"/>
          <w:bCs/>
          <w:sz w:val="28"/>
          <w:szCs w:val="28"/>
        </w:rPr>
        <w:t xml:space="preserve">como quiera que las referencias genéricas e indeterminadas a todo tipo de información, conduce a la vulneración absoluta del derecho de acceso </w:t>
      </w:r>
      <w:r w:rsidRPr="00F33E35">
        <w:rPr>
          <w:rFonts w:ascii="Times New Roman" w:hAnsi="Times New Roman" w:cs="Times New Roman"/>
          <w:bCs/>
          <w:sz w:val="28"/>
          <w:szCs w:val="28"/>
        </w:rPr>
        <w:t>a la información pública</w:t>
      </w:r>
      <w:r w:rsidRPr="00F33E35">
        <w:rPr>
          <w:rFonts w:ascii="Times New Roman" w:hAnsi="Times New Roman" w:cs="Times New Roman"/>
          <w:sz w:val="28"/>
          <w:szCs w:val="28"/>
        </w:rPr>
        <w:t>”</w:t>
      </w:r>
      <w:r w:rsidRPr="00F33E35">
        <w:rPr>
          <w:rStyle w:val="Refdenotaalpie"/>
          <w:rFonts w:ascii="Times New Roman" w:hAnsi="Times New Roman" w:cs="Times New Roman"/>
          <w:sz w:val="28"/>
          <w:szCs w:val="28"/>
        </w:rPr>
        <w:footnoteReference w:id="142"/>
      </w:r>
      <w:r w:rsidRPr="00F33E35">
        <w:rPr>
          <w:rFonts w:ascii="Times New Roman" w:hAnsi="Times New Roman" w:cs="Times New Roman"/>
          <w:sz w:val="28"/>
          <w:szCs w:val="28"/>
        </w:rPr>
        <w:t xml:space="preserve">; (c) indicar el contenido puntual o tipología de información cuya divulgación o acceso puede afectar gravemente el interés protegido; y (d) demostrar que existe la posibilidad </w:t>
      </w:r>
      <w:r w:rsidRPr="00F33E35">
        <w:rPr>
          <w:rFonts w:ascii="Times New Roman" w:hAnsi="Times New Roman" w:cs="Times New Roman"/>
          <w:bCs/>
          <w:sz w:val="28"/>
          <w:szCs w:val="28"/>
          <w:lang w:val="es-ES"/>
        </w:rPr>
        <w:t>real, probable y específica de dañar esos intereses</w:t>
      </w:r>
      <w:r w:rsidRPr="00F33E35">
        <w:rPr>
          <w:rFonts w:ascii="Times New Roman" w:hAnsi="Times New Roman" w:cs="Times New Roman"/>
          <w:bCs/>
          <w:sz w:val="28"/>
          <w:szCs w:val="28"/>
        </w:rPr>
        <w:t xml:space="preserve"> protegidos -la seguridad y defensa nacional- en caso de permitir el acceso aquellos. </w:t>
      </w:r>
    </w:p>
    <w:p w:rsidR="00C402CC" w:rsidRPr="00F33E35" w:rsidRDefault="00F33E35" w:rsidP="00C402CC">
      <w:pPr>
        <w:pStyle w:val="Prrafodelista"/>
        <w:tabs>
          <w:tab w:val="left" w:pos="142"/>
          <w:tab w:val="left" w:pos="426"/>
        </w:tabs>
        <w:spacing w:after="0" w:line="240" w:lineRule="auto"/>
        <w:ind w:left="284" w:right="-234"/>
        <w:contextualSpacing w:val="0"/>
        <w:jc w:val="both"/>
        <w:rPr>
          <w:rFonts w:ascii="Times New Roman" w:hAnsi="Times New Roman" w:cs="Times New Roman"/>
          <w:sz w:val="28"/>
          <w:szCs w:val="28"/>
        </w:rPr>
      </w:pPr>
    </w:p>
    <w:p w:rsidR="00C402CC" w:rsidRPr="00F33E35" w:rsidRDefault="00F33E35" w:rsidP="00B72E11">
      <w:pPr>
        <w:tabs>
          <w:tab w:val="left" w:pos="142"/>
          <w:tab w:val="left" w:pos="426"/>
        </w:tabs>
        <w:spacing w:after="0" w:line="240" w:lineRule="auto"/>
        <w:ind w:right="-234"/>
        <w:jc w:val="both"/>
        <w:rPr>
          <w:rFonts w:ascii="Times New Roman" w:hAnsi="Times New Roman" w:cs="Times New Roman"/>
          <w:sz w:val="28"/>
          <w:szCs w:val="28"/>
        </w:rPr>
      </w:pPr>
      <w:r w:rsidRPr="00F33E35">
        <w:rPr>
          <w:rFonts w:ascii="Times New Roman" w:hAnsi="Times New Roman" w:cs="Times New Roman"/>
          <w:sz w:val="28"/>
          <w:szCs w:val="28"/>
        </w:rPr>
        <w:t>Precisó la Corte que, en todo caso, la restricción debe obedecer a “</w:t>
      </w:r>
      <w:r w:rsidRPr="00F33E35">
        <w:rPr>
          <w:rFonts w:ascii="Times New Roman" w:hAnsi="Times New Roman" w:cs="Times New Roman"/>
          <w:bCs/>
          <w:sz w:val="28"/>
          <w:szCs w:val="28"/>
        </w:rPr>
        <w:t>un interés legítimo e imperioso”</w:t>
      </w:r>
      <w:r w:rsidRPr="00F33E35">
        <w:rPr>
          <w:rStyle w:val="Refdenotaalpie"/>
          <w:rFonts w:ascii="Times New Roman" w:hAnsi="Times New Roman" w:cs="Times New Roman"/>
          <w:bCs/>
          <w:sz w:val="28"/>
          <w:szCs w:val="28"/>
        </w:rPr>
        <w:footnoteReference w:id="143"/>
      </w:r>
      <w:r w:rsidRPr="00F33E35">
        <w:rPr>
          <w:rFonts w:ascii="Times New Roman" w:hAnsi="Times New Roman" w:cs="Times New Roman"/>
          <w:bCs/>
          <w:sz w:val="28"/>
          <w:szCs w:val="28"/>
        </w:rPr>
        <w:t xml:space="preserve"> al tiempo que no debe existir “otro medio menos restrictivo para g</w:t>
      </w:r>
      <w:r w:rsidRPr="00F33E35">
        <w:rPr>
          <w:rFonts w:ascii="Times New Roman" w:hAnsi="Times New Roman" w:cs="Times New Roman"/>
          <w:bCs/>
          <w:sz w:val="28"/>
          <w:szCs w:val="28"/>
        </w:rPr>
        <w:t>arantizar dicho interés</w:t>
      </w:r>
      <w:r w:rsidRPr="00F33E35">
        <w:rPr>
          <w:rFonts w:ascii="Times New Roman" w:hAnsi="Times New Roman" w:cs="Times New Roman"/>
          <w:sz w:val="28"/>
          <w:szCs w:val="28"/>
        </w:rPr>
        <w:t>”</w:t>
      </w:r>
      <w:r w:rsidRPr="00F33E35">
        <w:rPr>
          <w:rStyle w:val="Refdenotaalpie"/>
          <w:rFonts w:ascii="Times New Roman" w:hAnsi="Times New Roman" w:cs="Times New Roman"/>
          <w:sz w:val="28"/>
          <w:szCs w:val="28"/>
        </w:rPr>
        <w:footnoteReference w:id="144"/>
      </w:r>
      <w:r w:rsidRPr="00F33E35">
        <w:rPr>
          <w:rFonts w:ascii="Times New Roman" w:hAnsi="Times New Roman" w:cs="Times New Roman"/>
          <w:sz w:val="28"/>
          <w:szCs w:val="28"/>
        </w:rPr>
        <w:t>. Dicha restricción no es una función discrecional, sino restringida, necesaria y controlable. Finalmente, en cuanto a la temporalidad de la reserva -que según el artículo 22 de la Ley 1712 de 2014 será máximo de 15 años y que podr</w:t>
      </w:r>
      <w:r w:rsidRPr="00F33E35">
        <w:rPr>
          <w:rFonts w:ascii="Times New Roman" w:hAnsi="Times New Roman" w:cs="Times New Roman"/>
          <w:sz w:val="28"/>
          <w:szCs w:val="28"/>
        </w:rPr>
        <w:t>á ser extendido por otro lapso igual, previa aprobación del superior jerárquico de cada una de las Ramas del Poder Públicos y órganos de control-, reiteró las consideraciones que sobre los plazos se hicieron en la Sentencia C-540 de 2012.</w:t>
      </w:r>
    </w:p>
    <w:p w:rsidR="00C402CC" w:rsidRPr="00F33E35" w:rsidRDefault="00F33E35" w:rsidP="00C402CC">
      <w:pPr>
        <w:pStyle w:val="Prrafodelista"/>
        <w:tabs>
          <w:tab w:val="left" w:pos="142"/>
          <w:tab w:val="left" w:pos="426"/>
        </w:tabs>
        <w:spacing w:after="0" w:line="240" w:lineRule="auto"/>
        <w:ind w:left="284" w:right="-234"/>
        <w:contextualSpacing w:val="0"/>
        <w:jc w:val="both"/>
        <w:rPr>
          <w:rFonts w:ascii="Times New Roman" w:hAnsi="Times New Roman" w:cs="Times New Roman"/>
          <w:sz w:val="28"/>
          <w:szCs w:val="28"/>
        </w:rPr>
      </w:pPr>
    </w:p>
    <w:p w:rsidR="00C402CC" w:rsidRPr="00F33E35" w:rsidRDefault="00F33E35" w:rsidP="00B72E11">
      <w:pPr>
        <w:pStyle w:val="Prrafodelista"/>
        <w:numPr>
          <w:ilvl w:val="1"/>
          <w:numId w:val="9"/>
        </w:numPr>
        <w:tabs>
          <w:tab w:val="left" w:pos="142"/>
          <w:tab w:val="left" w:pos="426"/>
        </w:tabs>
        <w:spacing w:after="0" w:line="240" w:lineRule="auto"/>
        <w:ind w:left="0" w:right="-234" w:firstLine="0"/>
        <w:jc w:val="both"/>
        <w:rPr>
          <w:rStyle w:val="letra14pt"/>
          <w:rFonts w:ascii="Times New Roman" w:hAnsi="Times New Roman" w:cs="Times New Roman"/>
          <w:sz w:val="28"/>
          <w:szCs w:val="28"/>
        </w:rPr>
      </w:pPr>
      <w:r w:rsidRPr="00F33E35">
        <w:rPr>
          <w:rFonts w:ascii="Times New Roman" w:hAnsi="Times New Roman" w:cs="Times New Roman"/>
          <w:sz w:val="28"/>
          <w:szCs w:val="28"/>
          <w:lang w:val="es-ES"/>
        </w:rPr>
        <w:t xml:space="preserve">En </w:t>
      </w:r>
      <w:r w:rsidRPr="00F33E35">
        <w:rPr>
          <w:rFonts w:ascii="Times New Roman" w:hAnsi="Times New Roman" w:cs="Times New Roman"/>
          <w:sz w:val="28"/>
          <w:szCs w:val="28"/>
          <w:lang w:val="es-ES"/>
        </w:rPr>
        <w:t xml:space="preserve">la </w:t>
      </w:r>
      <w:r w:rsidRPr="00F33E35">
        <w:rPr>
          <w:rFonts w:ascii="Times New Roman" w:hAnsi="Times New Roman" w:cs="Times New Roman"/>
          <w:bCs/>
          <w:sz w:val="28"/>
          <w:szCs w:val="28"/>
          <w:lang w:val="es-ES_tradnl"/>
        </w:rPr>
        <w:t xml:space="preserve">Sentencia </w:t>
      </w:r>
      <w:r w:rsidRPr="00F33E35">
        <w:rPr>
          <w:rFonts w:ascii="Times New Roman" w:hAnsi="Times New Roman" w:cs="Times New Roman"/>
          <w:bCs/>
          <w:sz w:val="28"/>
          <w:szCs w:val="28"/>
          <w:lang w:val="es-ES_tradnl"/>
        </w:rPr>
        <w:t>C-951 de 2014 realizó el control de constitucionalidad del proyecto de ley estatutaria que regulaba el derecho de petición</w:t>
      </w:r>
      <w:r w:rsidRPr="00F33E35">
        <w:rPr>
          <w:rFonts w:ascii="Times New Roman" w:hAnsi="Times New Roman" w:cs="Times New Roman"/>
          <w:sz w:val="28"/>
          <w:szCs w:val="28"/>
          <w:lang w:val="es-ES"/>
        </w:rPr>
        <w:t xml:space="preserve"> y que luego sería aprobado como </w:t>
      </w:r>
      <w:r w:rsidRPr="00F33E35">
        <w:rPr>
          <w:rFonts w:ascii="Times New Roman" w:hAnsi="Times New Roman" w:cs="Times New Roman"/>
          <w:bCs/>
          <w:sz w:val="28"/>
          <w:szCs w:val="28"/>
          <w:lang w:val="es-ES_tradnl"/>
        </w:rPr>
        <w:t xml:space="preserve">Ley 1755 de 2015. </w:t>
      </w:r>
      <w:r w:rsidRPr="00F33E35">
        <w:rPr>
          <w:rStyle w:val="baj"/>
          <w:rFonts w:ascii="Times New Roman" w:eastAsiaTheme="majorEastAsia" w:hAnsi="Times New Roman" w:cs="Times New Roman"/>
          <w:color w:val="000000"/>
          <w:sz w:val="28"/>
          <w:szCs w:val="28"/>
        </w:rPr>
        <w:t xml:space="preserve">En relación con el </w:t>
      </w:r>
      <w:r w:rsidRPr="00F33E35">
        <w:rPr>
          <w:rStyle w:val="baj"/>
          <w:rFonts w:ascii="Times New Roman" w:eastAsiaTheme="majorEastAsia" w:hAnsi="Times New Roman" w:cs="Times New Roman"/>
          <w:bCs/>
          <w:color w:val="000000"/>
          <w:sz w:val="28"/>
          <w:szCs w:val="28"/>
        </w:rPr>
        <w:t xml:space="preserve">artículo 25 de la Ley 1755 </w:t>
      </w:r>
      <w:r w:rsidRPr="00F33E35">
        <w:rPr>
          <w:rStyle w:val="baj"/>
          <w:rFonts w:ascii="Times New Roman" w:eastAsiaTheme="majorEastAsia" w:hAnsi="Times New Roman" w:cs="Times New Roman"/>
          <w:bCs/>
          <w:color w:val="000000" w:themeColor="text1"/>
          <w:sz w:val="28"/>
          <w:szCs w:val="28"/>
        </w:rPr>
        <w:t>de 2015, en el que se establecían las</w:t>
      </w:r>
      <w:r w:rsidRPr="00F33E35">
        <w:rPr>
          <w:rStyle w:val="baj"/>
          <w:rFonts w:ascii="Times New Roman" w:eastAsiaTheme="majorEastAsia" w:hAnsi="Times New Roman" w:cs="Times New Roman"/>
          <w:bCs/>
          <w:color w:val="000000" w:themeColor="text1"/>
          <w:sz w:val="28"/>
          <w:szCs w:val="28"/>
        </w:rPr>
        <w:t xml:space="preserve"> limitaciones al acceso a la información,</w:t>
      </w:r>
      <w:r w:rsidRPr="00F33E35">
        <w:rPr>
          <w:rStyle w:val="baj"/>
          <w:rFonts w:ascii="Times New Roman" w:eastAsiaTheme="majorEastAsia" w:hAnsi="Times New Roman" w:cs="Times New Roman"/>
          <w:color w:val="000000" w:themeColor="text1"/>
          <w:sz w:val="28"/>
          <w:szCs w:val="28"/>
        </w:rPr>
        <w:t xml:space="preserve"> este Tribunal nuevamente reiteró los criterios constitucionales sobre el principio de máxima divulgación y la reserva legal excepcional de información y documentos. Con ese punto de partida, la Corte sostuvo que l</w:t>
      </w:r>
      <w:r w:rsidRPr="00F33E35">
        <w:rPr>
          <w:rStyle w:val="letra14pt"/>
          <w:rFonts w:ascii="Times New Roman" w:eastAsiaTheme="majorEastAsia" w:hAnsi="Times New Roman" w:cs="Times New Roman"/>
          <w:color w:val="000000" w:themeColor="text1"/>
          <w:sz w:val="28"/>
          <w:szCs w:val="28"/>
        </w:rPr>
        <w:t>a</w:t>
      </w:r>
      <w:r w:rsidRPr="00F33E35">
        <w:rPr>
          <w:rStyle w:val="letra14pt"/>
          <w:rFonts w:ascii="Times New Roman" w:eastAsiaTheme="majorEastAsia" w:hAnsi="Times New Roman" w:cs="Times New Roman"/>
          <w:color w:val="000000" w:themeColor="text1"/>
          <w:sz w:val="28"/>
          <w:szCs w:val="28"/>
        </w:rPr>
        <w:t>s limitaciones al derecho de acceso a la información deben dar estricto cumplimiento a los requisitos derivados del artículo 13.2 de la CADH, es decir, que se trate de condiciones de carácter excepcional establecidas en la ley, que persiga objetivos legíti</w:t>
      </w:r>
      <w:r w:rsidRPr="00F33E35">
        <w:rPr>
          <w:rStyle w:val="letra14pt"/>
          <w:rFonts w:ascii="Times New Roman" w:eastAsiaTheme="majorEastAsia" w:hAnsi="Times New Roman" w:cs="Times New Roman"/>
          <w:color w:val="000000" w:themeColor="text1"/>
          <w:sz w:val="28"/>
          <w:szCs w:val="28"/>
        </w:rPr>
        <w:t xml:space="preserve">mos, que atienda a criterios de necesidad y proporcionalidad, por ejemplo, proteger la seguridad nacional o el orden público. </w:t>
      </w:r>
    </w:p>
    <w:p w:rsidR="00C402CC" w:rsidRPr="00F33E35" w:rsidRDefault="00F33E35" w:rsidP="00C402CC">
      <w:pPr>
        <w:pStyle w:val="Prrafodelista"/>
        <w:tabs>
          <w:tab w:val="left" w:pos="142"/>
          <w:tab w:val="left" w:pos="426"/>
        </w:tabs>
        <w:spacing w:after="0" w:line="240" w:lineRule="auto"/>
        <w:ind w:left="284" w:right="-234"/>
        <w:contextualSpacing w:val="0"/>
        <w:jc w:val="both"/>
        <w:rPr>
          <w:rStyle w:val="letra14pt"/>
          <w:rFonts w:ascii="Times New Roman" w:hAnsi="Times New Roman" w:cs="Times New Roman"/>
          <w:sz w:val="28"/>
          <w:szCs w:val="28"/>
        </w:rPr>
      </w:pPr>
    </w:p>
    <w:p w:rsidR="001318E4" w:rsidRPr="00F33E35" w:rsidRDefault="00F33E35">
      <w:pPr>
        <w:tabs>
          <w:tab w:val="left" w:pos="142"/>
          <w:tab w:val="left" w:pos="426"/>
        </w:tabs>
        <w:spacing w:after="0" w:line="240" w:lineRule="auto"/>
        <w:ind w:right="-234"/>
        <w:jc w:val="both"/>
        <w:rPr>
          <w:rStyle w:val="letra14pt"/>
          <w:rFonts w:ascii="Times New Roman" w:eastAsiaTheme="majorEastAsia" w:hAnsi="Times New Roman" w:cs="Times New Roman"/>
          <w:color w:val="000000" w:themeColor="text1"/>
          <w:sz w:val="28"/>
          <w:szCs w:val="28"/>
        </w:rPr>
      </w:pPr>
      <w:r w:rsidRPr="00F33E35">
        <w:rPr>
          <w:rStyle w:val="letra14pt"/>
          <w:rFonts w:ascii="Times New Roman" w:eastAsiaTheme="majorEastAsia" w:hAnsi="Times New Roman" w:cs="Times New Roman"/>
          <w:color w:val="000000" w:themeColor="text1"/>
          <w:sz w:val="28"/>
          <w:szCs w:val="28"/>
        </w:rPr>
        <w:t xml:space="preserve">Al ocuparse de la limitación del acceso a la información por razones de seguridad y defensa nacional, este Tribunal reiteró que </w:t>
      </w:r>
      <w:r w:rsidRPr="00F33E35">
        <w:rPr>
          <w:rStyle w:val="letra14pt"/>
          <w:rFonts w:ascii="Times New Roman" w:eastAsiaTheme="majorEastAsia" w:hAnsi="Times New Roman" w:cs="Times New Roman"/>
          <w:color w:val="000000" w:themeColor="text1"/>
          <w:sz w:val="28"/>
          <w:szCs w:val="28"/>
        </w:rPr>
        <w:t>“toda restricción debe perseguir un fin legítimo y estar acorde a los principios de proporcionalidad y razonabilidad”</w:t>
      </w:r>
      <w:r w:rsidRPr="00F33E35">
        <w:rPr>
          <w:rStyle w:val="Refdenotaalpie"/>
          <w:rFonts w:ascii="Times New Roman" w:eastAsiaTheme="majorEastAsia" w:hAnsi="Times New Roman" w:cs="Times New Roman"/>
          <w:color w:val="000000" w:themeColor="text1"/>
          <w:sz w:val="28"/>
          <w:szCs w:val="28"/>
        </w:rPr>
        <w:footnoteReference w:id="145"/>
      </w:r>
      <w:r w:rsidRPr="00F33E35">
        <w:rPr>
          <w:rStyle w:val="letra14pt"/>
          <w:rFonts w:ascii="Times New Roman" w:eastAsiaTheme="majorEastAsia" w:hAnsi="Times New Roman" w:cs="Times New Roman"/>
          <w:color w:val="000000" w:themeColor="text1"/>
          <w:sz w:val="28"/>
          <w:szCs w:val="28"/>
        </w:rPr>
        <w:t>.</w:t>
      </w:r>
      <w:r w:rsidRPr="00F33E35">
        <w:rPr>
          <w:rStyle w:val="apple-converted-space"/>
          <w:rFonts w:ascii="Times New Roman" w:eastAsiaTheme="majorEastAsia" w:hAnsi="Times New Roman" w:cs="Times New Roman"/>
          <w:color w:val="000000" w:themeColor="text1"/>
          <w:sz w:val="28"/>
          <w:szCs w:val="28"/>
        </w:rPr>
        <w:t xml:space="preserve">  Por lo que </w:t>
      </w:r>
      <w:r w:rsidRPr="00F33E35">
        <w:rPr>
          <w:rStyle w:val="apple-converted-space"/>
          <w:rFonts w:ascii="Times New Roman" w:eastAsiaTheme="majorEastAsia" w:hAnsi="Times New Roman" w:cs="Times New Roman"/>
          <w:bCs/>
          <w:color w:val="000000" w:themeColor="text1"/>
          <w:sz w:val="28"/>
          <w:szCs w:val="28"/>
        </w:rPr>
        <w:t xml:space="preserve">no basta con </w:t>
      </w:r>
      <w:r w:rsidRPr="00F33E35">
        <w:rPr>
          <w:rStyle w:val="letra14pt"/>
          <w:rFonts w:ascii="Times New Roman" w:eastAsiaTheme="majorEastAsia" w:hAnsi="Times New Roman" w:cs="Times New Roman"/>
          <w:bCs/>
          <w:color w:val="000000" w:themeColor="text1"/>
          <w:sz w:val="28"/>
          <w:szCs w:val="28"/>
        </w:rPr>
        <w:t>apelar a la fórmula genérica “defensa y seguridad del Estado” para que cualquier restricción resulte admisible</w:t>
      </w:r>
      <w:r w:rsidRPr="00F33E35">
        <w:rPr>
          <w:rStyle w:val="letra14pt"/>
          <w:rFonts w:ascii="Times New Roman" w:eastAsiaTheme="majorEastAsia" w:hAnsi="Times New Roman" w:cs="Times New Roman"/>
          <w:color w:val="000000" w:themeColor="text1"/>
          <w:sz w:val="28"/>
          <w:szCs w:val="28"/>
        </w:rPr>
        <w:t xml:space="preserve">. Señaló, además, que en cuanto a la definición de seguridad nacional, debía considerarse el principio </w:t>
      </w:r>
      <w:r w:rsidRPr="00F33E35">
        <w:rPr>
          <w:rStyle w:val="letra14pt"/>
          <w:rFonts w:ascii="Times New Roman" w:eastAsiaTheme="majorEastAsia" w:hAnsi="Times New Roman" w:cs="Times New Roman"/>
          <w:color w:val="000000" w:themeColor="text1"/>
          <w:sz w:val="28"/>
          <w:szCs w:val="28"/>
        </w:rPr>
        <w:t xml:space="preserve">No. </w:t>
      </w:r>
      <w:r w:rsidRPr="00F33E35">
        <w:rPr>
          <w:rStyle w:val="letra14pt"/>
          <w:rFonts w:ascii="Times New Roman" w:eastAsiaTheme="majorEastAsia" w:hAnsi="Times New Roman" w:cs="Times New Roman"/>
          <w:color w:val="000000" w:themeColor="text1"/>
          <w:sz w:val="28"/>
          <w:szCs w:val="28"/>
        </w:rPr>
        <w:t>8 de los Principios de Lima, según el cual “las restricciones al derecho de acceso por motivos de</w:t>
      </w:r>
      <w:r w:rsidRPr="00F33E35">
        <w:rPr>
          <w:rStyle w:val="apple-converted-space"/>
          <w:rFonts w:ascii="Times New Roman" w:eastAsiaTheme="majorEastAsia" w:hAnsi="Times New Roman" w:cs="Times New Roman"/>
          <w:color w:val="000000" w:themeColor="text1"/>
          <w:sz w:val="28"/>
          <w:szCs w:val="28"/>
        </w:rPr>
        <w:t> </w:t>
      </w:r>
      <w:r w:rsidRPr="00F33E35">
        <w:rPr>
          <w:rStyle w:val="baj"/>
          <w:rFonts w:ascii="Times New Roman" w:eastAsiaTheme="majorEastAsia" w:hAnsi="Times New Roman" w:cs="Times New Roman"/>
          <w:b/>
          <w:bCs/>
          <w:color w:val="000000" w:themeColor="text1"/>
          <w:sz w:val="28"/>
          <w:szCs w:val="28"/>
        </w:rPr>
        <w:t>seguridad nacional</w:t>
      </w:r>
      <w:r w:rsidRPr="00F33E35">
        <w:rPr>
          <w:rStyle w:val="apple-converted-space"/>
          <w:rFonts w:ascii="Times New Roman" w:eastAsiaTheme="majorEastAsia" w:hAnsi="Times New Roman" w:cs="Times New Roman"/>
          <w:b/>
          <w:bCs/>
          <w:color w:val="000000" w:themeColor="text1"/>
          <w:sz w:val="28"/>
          <w:szCs w:val="28"/>
        </w:rPr>
        <w:t> </w:t>
      </w:r>
      <w:r w:rsidRPr="00F33E35">
        <w:rPr>
          <w:rStyle w:val="letra14pt"/>
          <w:rFonts w:ascii="Times New Roman" w:eastAsiaTheme="majorEastAsia" w:hAnsi="Times New Roman" w:cs="Times New Roman"/>
          <w:color w:val="000000" w:themeColor="text1"/>
          <w:sz w:val="28"/>
          <w:szCs w:val="28"/>
        </w:rPr>
        <w:t xml:space="preserve">solo serán válidas cuando estén </w:t>
      </w:r>
      <w:r w:rsidRPr="00F33E35">
        <w:rPr>
          <w:rStyle w:val="letra14pt"/>
          <w:rFonts w:ascii="Times New Roman" w:eastAsiaTheme="majorEastAsia" w:hAnsi="Times New Roman" w:cs="Times New Roman"/>
          <w:color w:val="000000" w:themeColor="text1"/>
          <w:sz w:val="28"/>
          <w:szCs w:val="28"/>
        </w:rPr>
        <w:t>orientadas a proteger la integridad territorial del país y ‘en situaciones excepcionales de extrema violencia que representen un peligro real e inminente de colapso del orden democrático’”</w:t>
      </w:r>
      <w:r w:rsidRPr="00F33E35">
        <w:rPr>
          <w:rStyle w:val="Refdenotaalpie"/>
          <w:rFonts w:ascii="Times New Roman" w:eastAsiaTheme="majorEastAsia" w:hAnsi="Times New Roman" w:cs="Times New Roman"/>
          <w:color w:val="000000" w:themeColor="text1"/>
          <w:sz w:val="28"/>
          <w:szCs w:val="28"/>
        </w:rPr>
        <w:footnoteReference w:id="146"/>
      </w:r>
      <w:r w:rsidRPr="00F33E35">
        <w:rPr>
          <w:rStyle w:val="letra14pt"/>
          <w:rFonts w:ascii="Times New Roman" w:eastAsiaTheme="majorEastAsia" w:hAnsi="Times New Roman" w:cs="Times New Roman"/>
          <w:color w:val="000000" w:themeColor="text1"/>
          <w:sz w:val="28"/>
          <w:szCs w:val="28"/>
        </w:rPr>
        <w:t>.</w:t>
      </w:r>
    </w:p>
    <w:p w:rsidR="001318E4" w:rsidRPr="00F33E35" w:rsidRDefault="00F33E35" w:rsidP="001318E4">
      <w:pPr>
        <w:pStyle w:val="Prrafodelista"/>
        <w:tabs>
          <w:tab w:val="left" w:pos="0"/>
          <w:tab w:val="left" w:pos="426"/>
        </w:tabs>
        <w:overflowPunct w:val="0"/>
        <w:autoSpaceDE w:val="0"/>
        <w:autoSpaceDN w:val="0"/>
        <w:spacing w:after="0" w:line="240" w:lineRule="auto"/>
        <w:ind w:left="0"/>
        <w:contextualSpacing w:val="0"/>
        <w:jc w:val="both"/>
        <w:textAlignment w:val="baseline"/>
        <w:rPr>
          <w:rFonts w:ascii="Times New Roman" w:hAnsi="Times New Roman" w:cs="Times New Roman"/>
          <w:color w:val="000000" w:themeColor="text1"/>
          <w:sz w:val="28"/>
          <w:szCs w:val="28"/>
        </w:rPr>
      </w:pPr>
    </w:p>
    <w:p w:rsidR="00FF5603" w:rsidRPr="00F33E35" w:rsidRDefault="00F33E35" w:rsidP="00B72E11">
      <w:pPr>
        <w:pStyle w:val="Prrafodelista"/>
        <w:numPr>
          <w:ilvl w:val="0"/>
          <w:numId w:val="9"/>
        </w:numPr>
        <w:tabs>
          <w:tab w:val="left" w:pos="426"/>
        </w:tabs>
        <w:spacing w:after="0" w:line="240" w:lineRule="auto"/>
        <w:ind w:left="0" w:firstLine="0"/>
        <w:jc w:val="both"/>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 xml:space="preserve">Revisada la demanda, </w:t>
      </w:r>
      <w:r w:rsidRPr="00F33E35">
        <w:rPr>
          <w:rFonts w:ascii="Times New Roman" w:hAnsi="Times New Roman" w:cs="Times New Roman"/>
          <w:sz w:val="28"/>
          <w:szCs w:val="28"/>
        </w:rPr>
        <w:t>la Sala Plena constata que el cargo</w:t>
      </w:r>
      <w:r w:rsidRPr="00F33E35">
        <w:rPr>
          <w:rFonts w:ascii="Times New Roman" w:hAnsi="Times New Roman" w:cs="Times New Roman"/>
          <w:sz w:val="28"/>
          <w:szCs w:val="28"/>
        </w:rPr>
        <w:t xml:space="preserve"> se limitó a plantear reproches generales sobre la vaguedad de expresiones como “defensa y seguridad nacional”, sin confrontar el marco detallado de la </w:t>
      </w:r>
      <w:r w:rsidRPr="00F33E35">
        <w:rPr>
          <w:rFonts w:ascii="Times New Roman" w:hAnsi="Times New Roman" w:cs="Times New Roman"/>
          <w:sz w:val="28"/>
          <w:szCs w:val="28"/>
        </w:rPr>
        <w:t>S</w:t>
      </w:r>
      <w:r w:rsidRPr="00F33E35">
        <w:rPr>
          <w:rFonts w:ascii="Times New Roman" w:hAnsi="Times New Roman" w:cs="Times New Roman"/>
          <w:sz w:val="28"/>
          <w:szCs w:val="28"/>
        </w:rPr>
        <w:t>entencia C-540 de 2012</w:t>
      </w:r>
      <w:r w:rsidRPr="00F33E35">
        <w:rPr>
          <w:rFonts w:ascii="Times New Roman" w:hAnsi="Times New Roman" w:cs="Times New Roman"/>
          <w:sz w:val="28"/>
          <w:szCs w:val="28"/>
        </w:rPr>
        <w:t xml:space="preserve"> y las decisiones posteriores que delimitaron los contornos del acceso a la infor</w:t>
      </w:r>
      <w:r w:rsidRPr="00F33E35">
        <w:rPr>
          <w:rFonts w:ascii="Times New Roman" w:hAnsi="Times New Roman" w:cs="Times New Roman"/>
          <w:sz w:val="28"/>
          <w:szCs w:val="28"/>
        </w:rPr>
        <w:t>mación de documentos. A</w:t>
      </w:r>
      <w:r w:rsidRPr="00F33E35">
        <w:rPr>
          <w:rFonts w:ascii="Times New Roman" w:hAnsi="Times New Roman" w:cs="Times New Roman"/>
          <w:sz w:val="28"/>
          <w:szCs w:val="28"/>
        </w:rPr>
        <w:t xml:space="preserve">l omitir la confrontación descrita, los cargos no recayeron sobre una proposición normativa </w:t>
      </w:r>
      <w:r w:rsidRPr="00F33E35">
        <w:rPr>
          <w:rFonts w:ascii="Times New Roman" w:hAnsi="Times New Roman" w:cs="Times New Roman"/>
          <w:sz w:val="28"/>
          <w:szCs w:val="28"/>
        </w:rPr>
        <w:t>inserta en el sistema normativo colombiano vigente</w:t>
      </w:r>
      <w:r w:rsidRPr="00F33E35">
        <w:rPr>
          <w:rFonts w:ascii="Times New Roman" w:hAnsi="Times New Roman" w:cs="Times New Roman"/>
          <w:sz w:val="28"/>
          <w:szCs w:val="28"/>
        </w:rPr>
        <w:t>, tal y como este ha sido comprendido por la jurisprudencia constitucional</w:t>
      </w:r>
      <w:r w:rsidRPr="00F33E35">
        <w:rPr>
          <w:rFonts w:ascii="Times New Roman" w:hAnsi="Times New Roman" w:cs="Times New Roman"/>
          <w:color w:val="000000" w:themeColor="text1"/>
          <w:sz w:val="28"/>
          <w:szCs w:val="28"/>
        </w:rPr>
        <w:t xml:space="preserve">. En contraste, </w:t>
      </w:r>
      <w:r w:rsidRPr="00F33E35">
        <w:rPr>
          <w:rFonts w:ascii="Times New Roman" w:hAnsi="Times New Roman" w:cs="Times New Roman"/>
          <w:color w:val="000000" w:themeColor="text1"/>
          <w:sz w:val="28"/>
          <w:szCs w:val="28"/>
        </w:rPr>
        <w:t>e</w:t>
      </w:r>
      <w:r w:rsidRPr="00F33E35">
        <w:rPr>
          <w:rFonts w:ascii="Times New Roman" w:hAnsi="Times New Roman" w:cs="Times New Roman"/>
          <w:color w:val="000000" w:themeColor="text1"/>
          <w:sz w:val="28"/>
          <w:szCs w:val="28"/>
        </w:rPr>
        <w:t xml:space="preserve">l escrito partió de una lectura parcial y subjetiva del artículo 33 de la Ley 1621 de 2013. Por ello, se incumplió el requisito de </w:t>
      </w:r>
      <w:r w:rsidRPr="00F33E35">
        <w:rPr>
          <w:rFonts w:ascii="Times New Roman" w:hAnsi="Times New Roman" w:cs="Times New Roman"/>
          <w:i/>
          <w:iCs/>
          <w:color w:val="000000" w:themeColor="text1"/>
          <w:sz w:val="28"/>
          <w:szCs w:val="28"/>
        </w:rPr>
        <w:t>certeza</w:t>
      </w:r>
      <w:r w:rsidRPr="00F33E35">
        <w:rPr>
          <w:rFonts w:ascii="Times New Roman" w:hAnsi="Times New Roman" w:cs="Times New Roman"/>
          <w:color w:val="000000" w:themeColor="text1"/>
          <w:sz w:val="28"/>
          <w:szCs w:val="28"/>
        </w:rPr>
        <w:t>.</w:t>
      </w:r>
    </w:p>
    <w:p w:rsidR="00153838" w:rsidRPr="00F33E35" w:rsidRDefault="00F33E35" w:rsidP="008158EB">
      <w:pPr>
        <w:pStyle w:val="Prrafodelista"/>
        <w:spacing w:after="0" w:line="240" w:lineRule="auto"/>
        <w:ind w:left="0"/>
        <w:contextualSpacing w:val="0"/>
        <w:rPr>
          <w:rFonts w:ascii="Times New Roman" w:hAnsi="Times New Roman" w:cs="Times New Roman"/>
          <w:color w:val="000000" w:themeColor="text1"/>
          <w:sz w:val="28"/>
          <w:szCs w:val="28"/>
        </w:rPr>
      </w:pPr>
    </w:p>
    <w:p w:rsidR="00B316A2" w:rsidRPr="00F33E35" w:rsidRDefault="00F33E35" w:rsidP="00B72E11">
      <w:pPr>
        <w:pStyle w:val="Prrafodelista"/>
        <w:numPr>
          <w:ilvl w:val="0"/>
          <w:numId w:val="9"/>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eastAsia="Times New Roman" w:hAnsi="Times New Roman" w:cs="Times New Roman"/>
          <w:color w:val="000000"/>
          <w:sz w:val="28"/>
          <w:szCs w:val="28"/>
          <w:shd w:val="clear" w:color="auto" w:fill="FFFFFF"/>
          <w:lang w:eastAsia="es-MX"/>
        </w:rPr>
        <w:t xml:space="preserve">En </w:t>
      </w:r>
      <w:r w:rsidRPr="00F33E35">
        <w:rPr>
          <w:rFonts w:ascii="Times New Roman" w:eastAsia="Times New Roman" w:hAnsi="Times New Roman" w:cs="Times New Roman"/>
          <w:color w:val="000000"/>
          <w:sz w:val="28"/>
          <w:szCs w:val="28"/>
          <w:shd w:val="clear" w:color="auto" w:fill="FFFFFF"/>
          <w:lang w:eastAsia="es-MX"/>
        </w:rPr>
        <w:t>síntesis</w:t>
      </w:r>
      <w:r w:rsidRPr="00F33E35">
        <w:rPr>
          <w:rFonts w:ascii="Times New Roman" w:eastAsia="Times New Roman" w:hAnsi="Times New Roman" w:cs="Times New Roman"/>
          <w:color w:val="000000"/>
          <w:sz w:val="28"/>
          <w:szCs w:val="28"/>
          <w:shd w:val="clear" w:color="auto" w:fill="FFFFFF"/>
          <w:lang w:eastAsia="es-MX"/>
        </w:rPr>
        <w:t>,</w:t>
      </w:r>
      <w:r w:rsidRPr="00F33E35">
        <w:rPr>
          <w:rFonts w:ascii="Times New Roman" w:eastAsia="Times New Roman" w:hAnsi="Times New Roman" w:cs="Times New Roman"/>
          <w:color w:val="000000"/>
          <w:sz w:val="28"/>
          <w:szCs w:val="28"/>
          <w:shd w:val="clear" w:color="auto" w:fill="FFFFFF"/>
          <w:lang w:eastAsia="es-MX"/>
        </w:rPr>
        <w:t xml:space="preserve"> las y los actores</w:t>
      </w:r>
      <w:r w:rsidRPr="00F33E35">
        <w:rPr>
          <w:rFonts w:ascii="Times New Roman" w:eastAsia="Times New Roman" w:hAnsi="Times New Roman" w:cs="Times New Roman"/>
          <w:color w:val="000000"/>
          <w:sz w:val="28"/>
          <w:szCs w:val="28"/>
          <w:shd w:val="clear" w:color="auto" w:fill="FFFFFF"/>
          <w:lang w:eastAsia="es-MX"/>
        </w:rPr>
        <w:t xml:space="preserve"> </w:t>
      </w:r>
      <w:r w:rsidRPr="00F33E35">
        <w:rPr>
          <w:rFonts w:ascii="Times New Roman" w:eastAsia="Times New Roman" w:hAnsi="Times New Roman" w:cs="Times New Roman"/>
          <w:color w:val="000000"/>
          <w:sz w:val="28"/>
          <w:szCs w:val="28"/>
          <w:shd w:val="clear" w:color="auto" w:fill="FFFFFF"/>
          <w:lang w:eastAsia="es-MX"/>
        </w:rPr>
        <w:t>omitieron incluir en su análisis el alcance</w:t>
      </w:r>
      <w:r w:rsidRPr="00F33E35">
        <w:rPr>
          <w:rFonts w:ascii="Times New Roman" w:eastAsia="Times New Roman" w:hAnsi="Times New Roman" w:cs="Times New Roman"/>
          <w:color w:val="000000"/>
          <w:sz w:val="28"/>
          <w:szCs w:val="28"/>
          <w:shd w:val="clear" w:color="auto" w:fill="FFFFFF"/>
          <w:lang w:eastAsia="es-MX"/>
        </w:rPr>
        <w:t xml:space="preserve"> detallado</w:t>
      </w:r>
      <w:r w:rsidRPr="00F33E35">
        <w:rPr>
          <w:rFonts w:ascii="Times New Roman" w:eastAsia="Times New Roman" w:hAnsi="Times New Roman" w:cs="Times New Roman"/>
          <w:color w:val="000000"/>
          <w:sz w:val="28"/>
          <w:szCs w:val="28"/>
          <w:shd w:val="clear" w:color="auto" w:fill="FFFFFF"/>
          <w:lang w:eastAsia="es-MX"/>
        </w:rPr>
        <w:t xml:space="preserve"> </w:t>
      </w:r>
      <w:r w:rsidRPr="00F33E35">
        <w:rPr>
          <w:rFonts w:ascii="Times New Roman" w:eastAsia="Times New Roman" w:hAnsi="Times New Roman" w:cs="Times New Roman"/>
          <w:color w:val="000000"/>
          <w:sz w:val="28"/>
          <w:szCs w:val="28"/>
          <w:shd w:val="clear" w:color="auto" w:fill="FFFFFF"/>
          <w:lang w:eastAsia="es-MX"/>
        </w:rPr>
        <w:t xml:space="preserve">que se </w:t>
      </w:r>
      <w:r w:rsidRPr="00F33E35">
        <w:rPr>
          <w:rFonts w:ascii="Times New Roman" w:eastAsia="Times New Roman" w:hAnsi="Times New Roman" w:cs="Times New Roman"/>
          <w:color w:val="000000"/>
          <w:sz w:val="28"/>
          <w:szCs w:val="28"/>
          <w:shd w:val="clear" w:color="auto" w:fill="FFFFFF"/>
          <w:lang w:eastAsia="es-MX"/>
        </w:rPr>
        <w:t>otorg</w:t>
      </w:r>
      <w:r w:rsidRPr="00F33E35">
        <w:rPr>
          <w:rFonts w:ascii="Times New Roman" w:eastAsia="Times New Roman" w:hAnsi="Times New Roman" w:cs="Times New Roman"/>
          <w:color w:val="000000"/>
          <w:sz w:val="28"/>
          <w:szCs w:val="28"/>
          <w:shd w:val="clear" w:color="auto" w:fill="FFFFFF"/>
          <w:lang w:eastAsia="es-MX"/>
        </w:rPr>
        <w:t>ó</w:t>
      </w:r>
      <w:r w:rsidRPr="00F33E35">
        <w:rPr>
          <w:rFonts w:ascii="Times New Roman" w:eastAsia="Times New Roman" w:hAnsi="Times New Roman" w:cs="Times New Roman"/>
          <w:color w:val="000000"/>
          <w:sz w:val="28"/>
          <w:szCs w:val="28"/>
          <w:shd w:val="clear" w:color="auto" w:fill="FFFFFF"/>
          <w:lang w:eastAsia="es-MX"/>
        </w:rPr>
        <w:t xml:space="preserve"> al artículo 33 por la Corte Constitucional en las Sentencias C-540 de 2013, así como el contenido de los Fallos C-274 de 2014 y C-951 de 2015</w:t>
      </w:r>
      <w:r w:rsidRPr="00F33E35">
        <w:rPr>
          <w:rFonts w:ascii="Times New Roman" w:eastAsia="Times New Roman" w:hAnsi="Times New Roman" w:cs="Times New Roman"/>
          <w:color w:val="000000"/>
          <w:sz w:val="28"/>
          <w:szCs w:val="28"/>
          <w:shd w:val="clear" w:color="auto" w:fill="FFFFFF"/>
          <w:lang w:eastAsia="es-MX"/>
        </w:rPr>
        <w:t xml:space="preserve"> y las leyes que fueron promulgadas después de su control</w:t>
      </w:r>
      <w:r w:rsidRPr="00F33E35">
        <w:rPr>
          <w:rFonts w:ascii="Times New Roman" w:eastAsia="Times New Roman" w:hAnsi="Times New Roman" w:cs="Times New Roman"/>
          <w:color w:val="000000"/>
          <w:sz w:val="28"/>
          <w:szCs w:val="28"/>
          <w:shd w:val="clear" w:color="auto" w:fill="FFFFFF"/>
          <w:lang w:eastAsia="es-MX"/>
        </w:rPr>
        <w:t>. Por lo tanto, el ejercicio de confrontación no obedeció</w:t>
      </w:r>
      <w:r w:rsidRPr="00F33E35">
        <w:rPr>
          <w:rFonts w:ascii="Times New Roman" w:eastAsia="Times New Roman" w:hAnsi="Times New Roman" w:cs="Times New Roman"/>
          <w:color w:val="000000"/>
          <w:sz w:val="28"/>
          <w:szCs w:val="28"/>
          <w:shd w:val="clear" w:color="auto" w:fill="FFFFFF"/>
          <w:lang w:eastAsia="es-MX"/>
        </w:rPr>
        <w:t xml:space="preserve"> a una interpretación sistemática y, por tanto, la ambigüedad reprochada no consultó el ordenamiento jurídico en el que se encuentra inserta, sino que obedece a uno atribuido por las y los accionantes</w:t>
      </w:r>
      <w:r w:rsidRPr="00F33E35">
        <w:rPr>
          <w:rFonts w:ascii="Times New Roman" w:eastAsia="Times New Roman" w:hAnsi="Times New Roman" w:cs="Times New Roman"/>
          <w:color w:val="000000"/>
          <w:sz w:val="28"/>
          <w:szCs w:val="28"/>
          <w:shd w:val="clear" w:color="auto" w:fill="FFFFFF"/>
          <w:lang w:eastAsia="es-MX"/>
        </w:rPr>
        <w:t>.</w:t>
      </w:r>
      <w:r w:rsidRPr="00F33E35">
        <w:rPr>
          <w:rFonts w:ascii="Times New Roman" w:eastAsia="Times New Roman" w:hAnsi="Times New Roman" w:cs="Times New Roman"/>
          <w:color w:val="000000"/>
          <w:sz w:val="28"/>
          <w:szCs w:val="28"/>
          <w:shd w:val="clear" w:color="auto" w:fill="FFFFFF"/>
          <w:lang w:eastAsia="es-MX"/>
        </w:rPr>
        <w:t xml:space="preserve"> Esto no solo afectó la </w:t>
      </w:r>
      <w:r w:rsidRPr="00F33E35">
        <w:rPr>
          <w:rFonts w:ascii="Times New Roman" w:eastAsia="Times New Roman" w:hAnsi="Times New Roman" w:cs="Times New Roman"/>
          <w:i/>
          <w:iCs/>
          <w:color w:val="000000"/>
          <w:sz w:val="28"/>
          <w:szCs w:val="28"/>
          <w:shd w:val="clear" w:color="auto" w:fill="FFFFFF"/>
          <w:lang w:eastAsia="es-MX"/>
        </w:rPr>
        <w:t>certeza</w:t>
      </w:r>
      <w:r w:rsidRPr="00F33E35">
        <w:rPr>
          <w:rFonts w:ascii="Times New Roman" w:eastAsia="Times New Roman" w:hAnsi="Times New Roman" w:cs="Times New Roman"/>
          <w:color w:val="000000"/>
          <w:sz w:val="28"/>
          <w:szCs w:val="28"/>
          <w:shd w:val="clear" w:color="auto" w:fill="FFFFFF"/>
          <w:lang w:eastAsia="es-MX"/>
        </w:rPr>
        <w:t>, sino la</w:t>
      </w:r>
      <w:r w:rsidRPr="00F33E35">
        <w:rPr>
          <w:rFonts w:ascii="Times New Roman" w:eastAsia="Times New Roman" w:hAnsi="Times New Roman" w:cs="Times New Roman"/>
          <w:color w:val="000000"/>
          <w:sz w:val="28"/>
          <w:szCs w:val="28"/>
          <w:shd w:val="clear" w:color="auto" w:fill="FFFFFF"/>
          <w:lang w:eastAsia="es-MX"/>
        </w:rPr>
        <w:t xml:space="preserve"> especificidad</w:t>
      </w:r>
      <w:r w:rsidRPr="00F33E35">
        <w:rPr>
          <w:rFonts w:ascii="Times New Roman" w:eastAsia="Times New Roman" w:hAnsi="Times New Roman" w:cs="Times New Roman"/>
          <w:color w:val="000000"/>
          <w:sz w:val="28"/>
          <w:szCs w:val="28"/>
          <w:shd w:val="clear" w:color="auto" w:fill="FFFFFF"/>
          <w:lang w:eastAsia="es-MX"/>
        </w:rPr>
        <w:t xml:space="preserve"> </w:t>
      </w:r>
      <w:r w:rsidRPr="00F33E35">
        <w:rPr>
          <w:rFonts w:ascii="Times New Roman" w:eastAsia="Times New Roman" w:hAnsi="Times New Roman" w:cs="Times New Roman"/>
          <w:color w:val="000000"/>
          <w:sz w:val="28"/>
          <w:szCs w:val="28"/>
          <w:shd w:val="clear" w:color="auto" w:fill="FFFFFF"/>
          <w:lang w:eastAsia="es-MX"/>
        </w:rPr>
        <w:t>de l</w:t>
      </w:r>
      <w:r w:rsidRPr="00F33E35">
        <w:rPr>
          <w:rFonts w:ascii="Times New Roman" w:eastAsia="Times New Roman" w:hAnsi="Times New Roman" w:cs="Times New Roman"/>
          <w:color w:val="000000"/>
          <w:sz w:val="28"/>
          <w:szCs w:val="28"/>
          <w:shd w:val="clear" w:color="auto" w:fill="FFFFFF"/>
          <w:lang w:eastAsia="es-MX"/>
        </w:rPr>
        <w:t>os</w:t>
      </w:r>
      <w:r w:rsidRPr="00F33E35">
        <w:rPr>
          <w:rFonts w:ascii="Times New Roman" w:eastAsia="Times New Roman" w:hAnsi="Times New Roman" w:cs="Times New Roman"/>
          <w:color w:val="000000"/>
          <w:sz w:val="28"/>
          <w:szCs w:val="28"/>
          <w:shd w:val="clear" w:color="auto" w:fill="FFFFFF"/>
          <w:lang w:eastAsia="es-MX"/>
        </w:rPr>
        <w:t xml:space="preserve"> </w:t>
      </w:r>
      <w:r w:rsidRPr="00F33E35">
        <w:rPr>
          <w:rFonts w:ascii="Times New Roman" w:eastAsia="Times New Roman" w:hAnsi="Times New Roman" w:cs="Times New Roman"/>
          <w:color w:val="000000"/>
          <w:sz w:val="28"/>
          <w:szCs w:val="28"/>
          <w:shd w:val="clear" w:color="auto" w:fill="FFFFFF"/>
          <w:lang w:eastAsia="es-MX"/>
        </w:rPr>
        <w:t xml:space="preserve">planteamientos de la </w:t>
      </w:r>
      <w:r w:rsidRPr="00F33E35">
        <w:rPr>
          <w:rFonts w:ascii="Times New Roman" w:eastAsia="Times New Roman" w:hAnsi="Times New Roman" w:cs="Times New Roman"/>
          <w:color w:val="000000"/>
          <w:sz w:val="28"/>
          <w:szCs w:val="28"/>
          <w:shd w:val="clear" w:color="auto" w:fill="FFFFFF"/>
          <w:lang w:eastAsia="es-MX"/>
        </w:rPr>
        <w:t>demanda.</w:t>
      </w:r>
      <w:r w:rsidRPr="00F33E35">
        <w:rPr>
          <w:rFonts w:ascii="Times New Roman" w:eastAsia="Times New Roman" w:hAnsi="Times New Roman" w:cs="Times New Roman"/>
          <w:color w:val="000000"/>
          <w:sz w:val="28"/>
          <w:szCs w:val="28"/>
          <w:shd w:val="clear" w:color="auto" w:fill="FFFFFF"/>
          <w:lang w:eastAsia="es-MX"/>
        </w:rPr>
        <w:t xml:space="preserve"> </w:t>
      </w:r>
    </w:p>
    <w:p w:rsidR="00B316A2" w:rsidRPr="00F33E35" w:rsidRDefault="00F33E35" w:rsidP="00B316A2">
      <w:pPr>
        <w:pStyle w:val="Prrafodelista"/>
        <w:rPr>
          <w:rFonts w:ascii="Times New Roman" w:hAnsi="Times New Roman" w:cs="Times New Roman"/>
          <w:sz w:val="28"/>
          <w:szCs w:val="28"/>
        </w:rPr>
      </w:pPr>
    </w:p>
    <w:p w:rsidR="00B316A2" w:rsidRPr="00F33E35" w:rsidRDefault="00F33E35" w:rsidP="00B72E11">
      <w:pPr>
        <w:pStyle w:val="Prrafodelista"/>
        <w:numPr>
          <w:ilvl w:val="0"/>
          <w:numId w:val="9"/>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sz w:val="28"/>
          <w:szCs w:val="28"/>
        </w:rPr>
        <w:t>Esto es así porque de conformidad con</w:t>
      </w:r>
      <w:r w:rsidRPr="00F33E35">
        <w:rPr>
          <w:rFonts w:ascii="Times New Roman" w:hAnsi="Times New Roman" w:cs="Times New Roman"/>
          <w:sz w:val="28"/>
          <w:szCs w:val="28"/>
        </w:rPr>
        <w:t xml:space="preserve"> los parámetros estrictos y vigentes, se concluye que los argumentos de las y los demandantes no mostraron cómo se genera una contradicción concreta entre la disposición acusada y </w:t>
      </w:r>
      <w:r w:rsidRPr="00F33E35">
        <w:rPr>
          <w:rFonts w:ascii="Times New Roman" w:hAnsi="Times New Roman" w:cs="Times New Roman"/>
          <w:sz w:val="28"/>
          <w:szCs w:val="28"/>
        </w:rPr>
        <w:t>los estándares fijados por la Corte IDH en el caso</w:t>
      </w:r>
      <w:r w:rsidRPr="00F33E35">
        <w:rPr>
          <w:rFonts w:ascii="Times New Roman" w:hAnsi="Times New Roman" w:cs="Times New Roman"/>
          <w:i/>
          <w:iCs/>
          <w:sz w:val="28"/>
          <w:szCs w:val="28"/>
        </w:rPr>
        <w:t xml:space="preserve"> </w:t>
      </w:r>
      <w:r w:rsidRPr="00F33E35">
        <w:rPr>
          <w:rFonts w:ascii="Times New Roman" w:hAnsi="Times New Roman" w:cs="Times New Roman"/>
          <w:i/>
          <w:iCs/>
          <w:sz w:val="28"/>
          <w:szCs w:val="28"/>
        </w:rPr>
        <w:t>Miembros de la Corporación Colectivo de Abogados José Alvear Restrepo vs. Colombia</w:t>
      </w:r>
      <w:r w:rsidRPr="00F33E35">
        <w:rPr>
          <w:rFonts w:ascii="Times New Roman" w:hAnsi="Times New Roman" w:cs="Times New Roman"/>
          <w:sz w:val="28"/>
          <w:szCs w:val="28"/>
        </w:rPr>
        <w:t>. En contraste, la demanda se limitó a plantear reproches generales sobre la vaguedad de expresiones como “defensa y seguridad nacional”, sin confrontar el marco detallado de la sentencia C-540 de 2012. Por tanto, al omitir la confrontación descrita, los c</w:t>
      </w:r>
      <w:r w:rsidRPr="00F33E35">
        <w:rPr>
          <w:rFonts w:ascii="Times New Roman" w:hAnsi="Times New Roman" w:cs="Times New Roman"/>
          <w:sz w:val="28"/>
          <w:szCs w:val="28"/>
        </w:rPr>
        <w:t xml:space="preserve">argos suscitaron la duda mínima de inconstitucionalidad exigida por la jurisprudencia. En consecuencia, carecen de </w:t>
      </w:r>
      <w:r w:rsidRPr="00F33E35">
        <w:rPr>
          <w:rFonts w:ascii="Times New Roman" w:hAnsi="Times New Roman" w:cs="Times New Roman"/>
          <w:i/>
          <w:iCs/>
          <w:sz w:val="28"/>
          <w:szCs w:val="28"/>
        </w:rPr>
        <w:t xml:space="preserve">certeza, </w:t>
      </w:r>
      <w:r w:rsidRPr="00F33E35">
        <w:rPr>
          <w:rFonts w:ascii="Times New Roman" w:hAnsi="Times New Roman" w:cs="Times New Roman"/>
          <w:i/>
          <w:iCs/>
          <w:sz w:val="28"/>
          <w:szCs w:val="28"/>
        </w:rPr>
        <w:t xml:space="preserve">especificidad </w:t>
      </w:r>
      <w:r w:rsidRPr="00F33E35">
        <w:rPr>
          <w:rFonts w:ascii="Times New Roman" w:hAnsi="Times New Roman" w:cs="Times New Roman"/>
          <w:sz w:val="28"/>
          <w:szCs w:val="28"/>
        </w:rPr>
        <w:t xml:space="preserve">y </w:t>
      </w:r>
      <w:r w:rsidRPr="00F33E35">
        <w:rPr>
          <w:rFonts w:ascii="Times New Roman" w:hAnsi="Times New Roman" w:cs="Times New Roman"/>
          <w:i/>
          <w:iCs/>
          <w:sz w:val="28"/>
          <w:szCs w:val="28"/>
        </w:rPr>
        <w:t>suficiencia</w:t>
      </w:r>
      <w:r w:rsidRPr="00F33E35">
        <w:rPr>
          <w:rFonts w:ascii="Times New Roman" w:hAnsi="Times New Roman" w:cs="Times New Roman"/>
          <w:sz w:val="28"/>
          <w:szCs w:val="28"/>
        </w:rPr>
        <w:t xml:space="preserve">. </w:t>
      </w:r>
    </w:p>
    <w:p w:rsidR="00B316A2" w:rsidRPr="00F33E35" w:rsidRDefault="00F33E35" w:rsidP="00B316A2">
      <w:pPr>
        <w:pStyle w:val="Prrafodelista"/>
        <w:rPr>
          <w:rFonts w:ascii="Times New Roman" w:hAnsi="Times New Roman" w:cs="Times New Roman"/>
          <w:sz w:val="28"/>
          <w:szCs w:val="28"/>
        </w:rPr>
      </w:pPr>
    </w:p>
    <w:p w:rsidR="008F7336" w:rsidRPr="00F33E35" w:rsidRDefault="00F33E35" w:rsidP="00B72E11">
      <w:pPr>
        <w:pStyle w:val="Prrafodelista"/>
        <w:numPr>
          <w:ilvl w:val="0"/>
          <w:numId w:val="9"/>
        </w:numPr>
        <w:tabs>
          <w:tab w:val="left" w:pos="0"/>
          <w:tab w:val="left" w:pos="426"/>
        </w:tabs>
        <w:overflowPunct w:val="0"/>
        <w:autoSpaceDE w:val="0"/>
        <w:autoSpaceDN w:val="0"/>
        <w:spacing w:after="0" w:line="240" w:lineRule="auto"/>
        <w:ind w:left="0" w:firstLine="0"/>
        <w:contextualSpacing w:val="0"/>
        <w:jc w:val="both"/>
        <w:textAlignment w:val="baseline"/>
        <w:rPr>
          <w:rFonts w:ascii="Times New Roman" w:hAnsi="Times New Roman" w:cs="Times New Roman"/>
          <w:color w:val="000000" w:themeColor="text1"/>
          <w:sz w:val="28"/>
          <w:szCs w:val="28"/>
        </w:rPr>
      </w:pPr>
      <w:r w:rsidRPr="00F33E35">
        <w:rPr>
          <w:rFonts w:ascii="Times New Roman" w:hAnsi="Times New Roman" w:cs="Times New Roman"/>
          <w:sz w:val="28"/>
          <w:szCs w:val="28"/>
        </w:rPr>
        <w:t xml:space="preserve">En síntesis, los demandantes no mostraron cómo las reglas </w:t>
      </w:r>
      <w:r w:rsidRPr="00F33E35">
        <w:rPr>
          <w:rFonts w:ascii="Times New Roman" w:hAnsi="Times New Roman" w:cs="Times New Roman"/>
          <w:sz w:val="28"/>
          <w:szCs w:val="28"/>
        </w:rPr>
        <w:t>establecidas en la sentencia adoptada por l</w:t>
      </w:r>
      <w:r w:rsidRPr="00F33E35">
        <w:rPr>
          <w:rFonts w:ascii="Times New Roman" w:hAnsi="Times New Roman" w:cs="Times New Roman"/>
          <w:sz w:val="28"/>
          <w:szCs w:val="28"/>
        </w:rPr>
        <w:t xml:space="preserve">a Corte Interamericana de Derechos Humanos en </w:t>
      </w:r>
      <w:r w:rsidRPr="00F33E35">
        <w:rPr>
          <w:rFonts w:ascii="Times New Roman" w:hAnsi="Times New Roman" w:cs="Times New Roman"/>
          <w:sz w:val="28"/>
          <w:szCs w:val="28"/>
        </w:rPr>
        <w:t xml:space="preserve">el caso </w:t>
      </w:r>
      <w:r w:rsidRPr="00F33E35">
        <w:rPr>
          <w:rFonts w:ascii="Times New Roman" w:hAnsi="Times New Roman" w:cs="Times New Roman"/>
          <w:i/>
          <w:iCs/>
          <w:sz w:val="28"/>
          <w:szCs w:val="28"/>
        </w:rPr>
        <w:t>Miembros de la Corporación Colectivo de Abogados José Alvear Restrepo vs. Colombia</w:t>
      </w:r>
      <w:r w:rsidRPr="00F33E35" w:rsidDel="00B72E11">
        <w:rPr>
          <w:rFonts w:ascii="Times New Roman" w:hAnsi="Times New Roman" w:cs="Times New Roman"/>
          <w:sz w:val="28"/>
          <w:szCs w:val="28"/>
        </w:rPr>
        <w:t xml:space="preserve"> </w:t>
      </w:r>
      <w:r w:rsidRPr="00F33E35">
        <w:rPr>
          <w:rFonts w:ascii="Times New Roman" w:hAnsi="Times New Roman" w:cs="Times New Roman"/>
          <w:sz w:val="28"/>
          <w:szCs w:val="28"/>
        </w:rPr>
        <w:t>se proyectan de manera concreta sobre los apartes acusados de la Ley 1621 de 2013, ni explicaron por qu</w:t>
      </w:r>
      <w:r w:rsidRPr="00F33E35">
        <w:rPr>
          <w:rFonts w:ascii="Times New Roman" w:hAnsi="Times New Roman" w:cs="Times New Roman"/>
          <w:sz w:val="28"/>
          <w:szCs w:val="28"/>
        </w:rPr>
        <w:t>é</w:t>
      </w:r>
      <w:r w:rsidRPr="00F33E35">
        <w:rPr>
          <w:rFonts w:ascii="Times New Roman" w:hAnsi="Times New Roman" w:cs="Times New Roman"/>
          <w:sz w:val="28"/>
          <w:szCs w:val="28"/>
        </w:rPr>
        <w:t xml:space="preserve"> el alcance nor</w:t>
      </w:r>
      <w:r w:rsidRPr="00F33E35">
        <w:rPr>
          <w:rFonts w:ascii="Times New Roman" w:hAnsi="Times New Roman" w:cs="Times New Roman"/>
          <w:sz w:val="28"/>
          <w:szCs w:val="28"/>
        </w:rPr>
        <w:t xml:space="preserve">mativo definido en la C-540 de 2012 resulta incompatible con los estándares interamericanos. En este entendido, </w:t>
      </w:r>
      <w:r w:rsidRPr="00F33E35">
        <w:rPr>
          <w:rFonts w:ascii="Times New Roman" w:hAnsi="Times New Roman" w:cs="Times New Roman"/>
          <w:sz w:val="28"/>
          <w:szCs w:val="28"/>
        </w:rPr>
        <w:t>e</w:t>
      </w:r>
      <w:r w:rsidRPr="00F33E35">
        <w:rPr>
          <w:rFonts w:ascii="Times New Roman" w:hAnsi="Times New Roman" w:cs="Times New Roman"/>
          <w:sz w:val="28"/>
          <w:szCs w:val="28"/>
        </w:rPr>
        <w:t>ste Tribunal</w:t>
      </w:r>
      <w:r w:rsidRPr="00F33E35">
        <w:rPr>
          <w:rFonts w:ascii="Times New Roman" w:hAnsi="Times New Roman" w:cs="Times New Roman"/>
          <w:sz w:val="28"/>
          <w:szCs w:val="28"/>
        </w:rPr>
        <w:t xml:space="preserve"> no puede suplir esas carencias reelaborando los cargos, pues ello desconocería la naturaleza rogada y abstracta del control de con</w:t>
      </w:r>
      <w:r w:rsidRPr="00F33E35">
        <w:rPr>
          <w:rFonts w:ascii="Times New Roman" w:hAnsi="Times New Roman" w:cs="Times New Roman"/>
          <w:sz w:val="28"/>
          <w:szCs w:val="28"/>
        </w:rPr>
        <w:t>stitucionalidad que en esta oportunidad se efectúa</w:t>
      </w:r>
      <w:r w:rsidRPr="00F33E35">
        <w:rPr>
          <w:rFonts w:ascii="Times New Roman" w:hAnsi="Times New Roman" w:cs="Times New Roman"/>
          <w:sz w:val="28"/>
          <w:szCs w:val="28"/>
        </w:rPr>
        <w:t>. Las anteriores razones suficientes para que la Corte Constitucional se inhiba de efectuar un estudio de fondo de los cargos planteados en esta demanda.</w:t>
      </w:r>
    </w:p>
    <w:p w:rsidR="008F7336" w:rsidRPr="00F33E35" w:rsidRDefault="00F33E35" w:rsidP="00B316A2">
      <w:pPr>
        <w:pStyle w:val="Prrafodelista"/>
        <w:tabs>
          <w:tab w:val="left" w:pos="0"/>
          <w:tab w:val="left" w:pos="426"/>
        </w:tabs>
        <w:overflowPunct w:val="0"/>
        <w:autoSpaceDE w:val="0"/>
        <w:autoSpaceDN w:val="0"/>
        <w:spacing w:after="0" w:line="240" w:lineRule="auto"/>
        <w:ind w:left="0"/>
        <w:contextualSpacing w:val="0"/>
        <w:jc w:val="both"/>
        <w:textAlignment w:val="baseline"/>
        <w:rPr>
          <w:rFonts w:ascii="Times New Roman" w:hAnsi="Times New Roman" w:cs="Times New Roman"/>
          <w:color w:val="000000" w:themeColor="text1"/>
          <w:sz w:val="28"/>
          <w:szCs w:val="28"/>
        </w:rPr>
      </w:pPr>
    </w:p>
    <w:p w:rsidR="00901A28" w:rsidRPr="00F33E35" w:rsidRDefault="00F33E35" w:rsidP="00B316A2">
      <w:pPr>
        <w:pStyle w:val="Ttulo1"/>
        <w:spacing w:before="0" w:after="0" w:line="240" w:lineRule="auto"/>
        <w:rPr>
          <w:rFonts w:ascii="Times New Roman" w:hAnsi="Times New Roman" w:cs="Times New Roman"/>
          <w:b/>
          <w:bCs/>
          <w:color w:val="000000" w:themeColor="text1"/>
          <w:sz w:val="28"/>
          <w:szCs w:val="28"/>
        </w:rPr>
      </w:pPr>
      <w:bookmarkStart w:id="22" w:name="_Toc205457676"/>
      <w:r w:rsidRPr="00F33E35">
        <w:rPr>
          <w:rFonts w:ascii="Times New Roman" w:hAnsi="Times New Roman" w:cs="Times New Roman"/>
          <w:b/>
          <w:bCs/>
          <w:color w:val="000000" w:themeColor="text1"/>
          <w:sz w:val="28"/>
          <w:szCs w:val="28"/>
        </w:rPr>
        <w:t>V. DECISIÓN</w:t>
      </w:r>
      <w:bookmarkEnd w:id="22"/>
    </w:p>
    <w:p w:rsidR="00901A28" w:rsidRPr="00F33E35" w:rsidRDefault="00F33E35" w:rsidP="00B316A2">
      <w:pPr>
        <w:tabs>
          <w:tab w:val="left" w:pos="284"/>
        </w:tabs>
        <w:spacing w:after="0" w:line="240" w:lineRule="auto"/>
        <w:jc w:val="both"/>
        <w:rPr>
          <w:rFonts w:ascii="Times New Roman" w:hAnsi="Times New Roman" w:cs="Times New Roman"/>
          <w:b/>
          <w:bCs/>
          <w:color w:val="000000" w:themeColor="text1"/>
          <w:sz w:val="28"/>
          <w:szCs w:val="28"/>
        </w:rPr>
      </w:pPr>
      <w:r w:rsidRPr="00F33E35">
        <w:rPr>
          <w:rFonts w:ascii="Times New Roman" w:hAnsi="Times New Roman" w:cs="Times New Roman"/>
          <w:b/>
          <w:bCs/>
          <w:color w:val="000000" w:themeColor="text1"/>
          <w:sz w:val="28"/>
          <w:szCs w:val="28"/>
        </w:rPr>
        <w:t> </w:t>
      </w:r>
    </w:p>
    <w:p w:rsidR="00901A28" w:rsidRPr="00F33E35" w:rsidRDefault="00F33E35" w:rsidP="00B316A2">
      <w:pPr>
        <w:tabs>
          <w:tab w:val="left" w:pos="284"/>
        </w:tabs>
        <w:spacing w:after="0" w:line="240" w:lineRule="auto"/>
        <w:jc w:val="both"/>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 xml:space="preserve">En mérito de lo expuesto, la Sala </w:t>
      </w:r>
      <w:r w:rsidRPr="00F33E35">
        <w:rPr>
          <w:rFonts w:ascii="Times New Roman" w:hAnsi="Times New Roman" w:cs="Times New Roman"/>
          <w:color w:val="000000" w:themeColor="text1"/>
          <w:sz w:val="28"/>
          <w:szCs w:val="28"/>
        </w:rPr>
        <w:t>Plena de la Corte Constitucional, administrando justicia en nombre del pueblo y por mandato de la Constitución,</w:t>
      </w:r>
    </w:p>
    <w:p w:rsidR="00901A28" w:rsidRPr="00F33E35" w:rsidRDefault="00F33E35" w:rsidP="00B316A2">
      <w:pPr>
        <w:tabs>
          <w:tab w:val="left" w:pos="284"/>
        </w:tabs>
        <w:spacing w:after="0" w:line="240" w:lineRule="auto"/>
        <w:jc w:val="both"/>
        <w:rPr>
          <w:rFonts w:ascii="Times New Roman" w:hAnsi="Times New Roman" w:cs="Times New Roman"/>
          <w:color w:val="000000" w:themeColor="text1"/>
          <w:sz w:val="28"/>
          <w:szCs w:val="28"/>
        </w:rPr>
      </w:pPr>
    </w:p>
    <w:p w:rsidR="00901A28" w:rsidRPr="00F33E35" w:rsidRDefault="00F33E35" w:rsidP="00B316A2">
      <w:pPr>
        <w:tabs>
          <w:tab w:val="left" w:pos="284"/>
        </w:tabs>
        <w:spacing w:after="0" w:line="240" w:lineRule="auto"/>
        <w:jc w:val="center"/>
        <w:rPr>
          <w:rFonts w:ascii="Times New Roman" w:hAnsi="Times New Roman" w:cs="Times New Roman"/>
          <w:b/>
          <w:bCs/>
          <w:color w:val="000000" w:themeColor="text1"/>
          <w:sz w:val="28"/>
          <w:szCs w:val="28"/>
        </w:rPr>
      </w:pPr>
      <w:r w:rsidRPr="00F33E35">
        <w:rPr>
          <w:rFonts w:ascii="Times New Roman" w:hAnsi="Times New Roman" w:cs="Times New Roman"/>
          <w:b/>
          <w:bCs/>
          <w:color w:val="000000" w:themeColor="text1"/>
          <w:sz w:val="28"/>
          <w:szCs w:val="28"/>
        </w:rPr>
        <w:t>RESUELVE:</w:t>
      </w:r>
    </w:p>
    <w:p w:rsidR="000F46C4" w:rsidRPr="00F33E35" w:rsidRDefault="00F33E35" w:rsidP="00B316A2">
      <w:pPr>
        <w:tabs>
          <w:tab w:val="left" w:pos="284"/>
        </w:tabs>
        <w:spacing w:after="0" w:line="240" w:lineRule="auto"/>
        <w:jc w:val="both"/>
        <w:rPr>
          <w:rFonts w:ascii="Times New Roman" w:hAnsi="Times New Roman" w:cs="Times New Roman"/>
          <w:b/>
          <w:bCs/>
          <w:color w:val="000000" w:themeColor="text1"/>
          <w:sz w:val="28"/>
          <w:szCs w:val="28"/>
        </w:rPr>
      </w:pPr>
    </w:p>
    <w:p w:rsidR="00B6398D" w:rsidRPr="00F33E35" w:rsidRDefault="00F33E35" w:rsidP="00B316A2">
      <w:pPr>
        <w:tabs>
          <w:tab w:val="left" w:pos="284"/>
        </w:tabs>
        <w:spacing w:after="0" w:line="240" w:lineRule="auto"/>
        <w:jc w:val="both"/>
        <w:rPr>
          <w:rFonts w:ascii="Times New Roman" w:hAnsi="Times New Roman" w:cs="Times New Roman"/>
          <w:color w:val="000000" w:themeColor="text1"/>
          <w:sz w:val="28"/>
          <w:szCs w:val="28"/>
        </w:rPr>
      </w:pPr>
      <w:r w:rsidRPr="00F33E35">
        <w:rPr>
          <w:rFonts w:ascii="Times New Roman" w:hAnsi="Times New Roman" w:cs="Times New Roman"/>
          <w:b/>
          <w:color w:val="000000" w:themeColor="text1"/>
          <w:sz w:val="28"/>
          <w:szCs w:val="28"/>
        </w:rPr>
        <w:t>Primero.</w:t>
      </w:r>
      <w:r w:rsidRPr="00F33E35">
        <w:rPr>
          <w:rFonts w:ascii="Times New Roman" w:hAnsi="Times New Roman" w:cs="Times New Roman"/>
          <w:b/>
          <w:color w:val="000000" w:themeColor="text1"/>
          <w:sz w:val="28"/>
          <w:szCs w:val="28"/>
        </w:rPr>
        <w:t xml:space="preserve"> </w:t>
      </w:r>
      <w:r w:rsidRPr="00F33E35">
        <w:rPr>
          <w:rFonts w:ascii="Times New Roman" w:hAnsi="Times New Roman" w:cs="Times New Roman"/>
          <w:b/>
          <w:color w:val="000000" w:themeColor="text1"/>
          <w:sz w:val="28"/>
          <w:szCs w:val="28"/>
        </w:rPr>
        <w:t>INHIBIRSE</w:t>
      </w:r>
      <w:r w:rsidRPr="00F33E35">
        <w:rPr>
          <w:rFonts w:ascii="Times New Roman" w:hAnsi="Times New Roman" w:cs="Times New Roman"/>
          <w:color w:val="000000" w:themeColor="text1"/>
          <w:sz w:val="28"/>
          <w:szCs w:val="28"/>
        </w:rPr>
        <w:t xml:space="preserve"> para emitir un estudio de fondo respecto de los artículos 17 y 33 de la Ley 1621 de 2013. </w:t>
      </w:r>
    </w:p>
    <w:p w:rsidR="00901A28" w:rsidRPr="00F33E35" w:rsidRDefault="00F33E35" w:rsidP="00FA1A61">
      <w:pPr>
        <w:tabs>
          <w:tab w:val="left" w:pos="284"/>
        </w:tabs>
        <w:spacing w:after="0" w:line="240" w:lineRule="auto"/>
        <w:ind w:right="-234"/>
        <w:jc w:val="both"/>
        <w:rPr>
          <w:rFonts w:ascii="Times New Roman" w:hAnsi="Times New Roman" w:cs="Times New Roman"/>
          <w:bCs/>
          <w:color w:val="000000" w:themeColor="text1"/>
          <w:sz w:val="28"/>
          <w:szCs w:val="28"/>
        </w:rPr>
      </w:pPr>
    </w:p>
    <w:p w:rsidR="00901A28" w:rsidRPr="00F33E35" w:rsidRDefault="00F33E35" w:rsidP="00FA1A61">
      <w:pPr>
        <w:tabs>
          <w:tab w:val="left" w:pos="284"/>
        </w:tabs>
        <w:spacing w:after="0" w:line="240" w:lineRule="auto"/>
        <w:ind w:right="-234"/>
        <w:jc w:val="both"/>
        <w:rPr>
          <w:rFonts w:ascii="Times New Roman" w:hAnsi="Times New Roman" w:cs="Times New Roman"/>
          <w:color w:val="000000" w:themeColor="text1"/>
          <w:sz w:val="28"/>
          <w:szCs w:val="28"/>
        </w:rPr>
      </w:pPr>
      <w:r w:rsidRPr="00F33E35">
        <w:rPr>
          <w:rFonts w:ascii="Times New Roman" w:hAnsi="Times New Roman" w:cs="Times New Roman"/>
          <w:color w:val="000000" w:themeColor="text1"/>
          <w:sz w:val="28"/>
          <w:szCs w:val="28"/>
        </w:rPr>
        <w:t>Cópiese, notifíquese,</w:t>
      </w:r>
      <w:r w:rsidRPr="00F33E35">
        <w:rPr>
          <w:rFonts w:ascii="Times New Roman" w:hAnsi="Times New Roman" w:cs="Times New Roman"/>
          <w:color w:val="000000" w:themeColor="text1"/>
          <w:sz w:val="28"/>
          <w:szCs w:val="28"/>
        </w:rPr>
        <w:t xml:space="preserve"> comuníquese, cúmplase y archívese el expediente.</w:t>
      </w:r>
    </w:p>
    <w:p w:rsidR="00901A28" w:rsidRPr="00F33E35" w:rsidRDefault="00F33E35" w:rsidP="00901A28">
      <w:pPr>
        <w:tabs>
          <w:tab w:val="left" w:pos="284"/>
        </w:tabs>
        <w:spacing w:after="0" w:line="240" w:lineRule="auto"/>
        <w:ind w:right="-234"/>
        <w:contextualSpacing/>
        <w:jc w:val="both"/>
        <w:rPr>
          <w:rFonts w:ascii="Times New Roman" w:hAnsi="Times New Roman" w:cs="Times New Roman"/>
          <w:sz w:val="28"/>
        </w:rPr>
      </w:pPr>
    </w:p>
    <w:p w:rsidR="00901A28" w:rsidRPr="00F33E35" w:rsidRDefault="00F33E35" w:rsidP="00901A28">
      <w:pPr>
        <w:tabs>
          <w:tab w:val="left" w:pos="284"/>
        </w:tabs>
        <w:spacing w:after="0" w:line="240" w:lineRule="auto"/>
        <w:ind w:right="-234"/>
        <w:contextualSpacing/>
        <w:jc w:val="both"/>
        <w:rPr>
          <w:rFonts w:ascii="Times New Roman" w:hAnsi="Times New Roman" w:cs="Times New Roman"/>
          <w:sz w:val="28"/>
        </w:rPr>
      </w:pPr>
    </w:p>
    <w:p w:rsidR="001E747D"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JORGE ENRIQUE IBÁÑEZ NAJAR</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Presidente</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NATALIA ÁNGEL CABO</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Magistrada</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HECTOR ALFONSO CARVAJAL LONDOÑO</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Magistrado</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JUAN CARLOS CORTÉS GONZÁLEZ</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Magistrado</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LINA MARCELA ESCOBAR MARTÍNEZ</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Magistrada</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 xml:space="preserve">VLADIMIR </w:t>
      </w:r>
      <w:r w:rsidRPr="00F33E35">
        <w:rPr>
          <w:rFonts w:ascii="Times New Roman" w:hAnsi="Times New Roman" w:cs="Times New Roman"/>
          <w:sz w:val="28"/>
          <w:szCs w:val="28"/>
          <w:lang w:val="es-ES"/>
        </w:rPr>
        <w:t>FERNÁNDEZ ANDRADE</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Magistrado</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PAOLA ANDREA MENESES MOSQUERA</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Magistrada</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MIGUEL POLO ROSERO</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Magistrado</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JOSE FERNANDO REYES CUARTAS</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Magistrado</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ANDREA LILIANA ROMERO LOPEZ</w:t>
      </w:r>
    </w:p>
    <w:p w:rsidR="00473C53" w:rsidRPr="00F33E35" w:rsidRDefault="00F33E35" w:rsidP="00473C53">
      <w:pPr>
        <w:tabs>
          <w:tab w:val="left" w:pos="284"/>
          <w:tab w:val="left" w:pos="426"/>
        </w:tabs>
        <w:spacing w:after="0" w:line="240" w:lineRule="auto"/>
        <w:ind w:right="-234"/>
        <w:jc w:val="center"/>
        <w:rPr>
          <w:rFonts w:ascii="Times New Roman" w:hAnsi="Times New Roman" w:cs="Times New Roman"/>
          <w:sz w:val="28"/>
          <w:szCs w:val="28"/>
          <w:lang w:val="es-ES"/>
        </w:rPr>
      </w:pPr>
      <w:r w:rsidRPr="00F33E35">
        <w:rPr>
          <w:rFonts w:ascii="Times New Roman" w:hAnsi="Times New Roman" w:cs="Times New Roman"/>
          <w:sz w:val="28"/>
          <w:szCs w:val="28"/>
          <w:lang w:val="es-ES"/>
        </w:rPr>
        <w:t>Secretaria General</w:t>
      </w: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p w:rsidR="00473C53" w:rsidRPr="00F33E35" w:rsidRDefault="00F33E35" w:rsidP="00FF08C6">
      <w:pPr>
        <w:tabs>
          <w:tab w:val="left" w:pos="284"/>
          <w:tab w:val="left" w:pos="426"/>
        </w:tabs>
        <w:spacing w:after="0" w:line="240" w:lineRule="auto"/>
        <w:ind w:right="-234"/>
        <w:jc w:val="both"/>
        <w:rPr>
          <w:rFonts w:ascii="Times New Roman" w:hAnsi="Times New Roman" w:cs="Times New Roman"/>
          <w:sz w:val="28"/>
          <w:szCs w:val="28"/>
          <w:lang w:val="es-ES"/>
        </w:rPr>
      </w:pPr>
    </w:p>
    <w:sectPr w:rsidR="00473C53" w:rsidRPr="00F33E35">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33E35">
      <w:pPr>
        <w:spacing w:after="0" w:line="240" w:lineRule="auto"/>
      </w:pPr>
      <w:r>
        <w:separator/>
      </w:r>
    </w:p>
  </w:endnote>
  <w:endnote w:type="continuationSeparator" w:id="0">
    <w:p w:rsidR="00000000" w:rsidRDefault="00F33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33E35">
      <w:pPr>
        <w:spacing w:after="0" w:line="240" w:lineRule="auto"/>
      </w:pPr>
      <w:r>
        <w:separator/>
      </w:r>
    </w:p>
  </w:footnote>
  <w:footnote w:type="continuationSeparator" w:id="0">
    <w:p w:rsidR="00000000" w:rsidRDefault="00F33E35">
      <w:pPr>
        <w:spacing w:after="0" w:line="240" w:lineRule="auto"/>
      </w:pPr>
      <w:r>
        <w:continuationSeparator/>
      </w:r>
    </w:p>
  </w:footnote>
  <w:footnote w:id="1">
    <w:p w:rsidR="00655584" w:rsidRPr="008657A0" w:rsidRDefault="00F33E35" w:rsidP="008657A0">
      <w:pPr>
        <w:pStyle w:val="Textonotapie"/>
        <w:tabs>
          <w:tab w:val="left" w:pos="0"/>
        </w:tabs>
        <w:ind w:right="-234"/>
        <w:jc w:val="both"/>
        <w:rPr>
          <w:rFonts w:ascii="Times New Roman" w:hAnsi="Times New Roman" w:cs="Times New Roman"/>
          <w:lang w:val="es-ES"/>
        </w:rPr>
      </w:pPr>
      <w:r w:rsidRPr="008657A0">
        <w:rPr>
          <w:rStyle w:val="Refdenotaalpie"/>
          <w:rFonts w:ascii="Times New Roman" w:hAnsi="Times New Roman" w:cs="Times New Roman"/>
        </w:rPr>
        <w:footnoteRef/>
      </w:r>
      <w:r w:rsidRPr="008657A0">
        <w:rPr>
          <w:rFonts w:ascii="Times New Roman" w:hAnsi="Times New Roman" w:cs="Times New Roman"/>
        </w:rPr>
        <w:t xml:space="preserve"> </w:t>
      </w:r>
      <w:r w:rsidRPr="008657A0">
        <w:rPr>
          <w:rFonts w:ascii="Times New Roman" w:hAnsi="Times New Roman" w:cs="Times New Roman"/>
          <w:lang w:val="es-ES"/>
        </w:rPr>
        <w:t xml:space="preserve">A las presidencias de la República y del Congreso de la República, a los ministerios de Justicia y del Derecho, </w:t>
      </w:r>
      <w:r w:rsidRPr="008657A0">
        <w:rPr>
          <w:rFonts w:ascii="Times New Roman" w:hAnsi="Times New Roman" w:cs="Times New Roman"/>
          <w:color w:val="000000"/>
        </w:rPr>
        <w:t>Defensa Nacional y de las Tecnologías de la Información y las Comunicaciones.</w:t>
      </w:r>
    </w:p>
  </w:footnote>
  <w:footnote w:id="2">
    <w:p w:rsidR="00655584" w:rsidRPr="008657A0" w:rsidRDefault="00F33E35" w:rsidP="008657A0">
      <w:pPr>
        <w:pStyle w:val="Prrafodelista"/>
        <w:tabs>
          <w:tab w:val="left" w:pos="0"/>
          <w:tab w:val="left" w:pos="284"/>
        </w:tabs>
        <w:overflowPunct w:val="0"/>
        <w:autoSpaceDE w:val="0"/>
        <w:autoSpaceDN w:val="0"/>
        <w:spacing w:after="0" w:line="240" w:lineRule="auto"/>
        <w:ind w:left="0" w:right="-234"/>
        <w:contextualSpacing w:val="0"/>
        <w:jc w:val="both"/>
        <w:textAlignment w:val="baseline"/>
        <w:rPr>
          <w:rFonts w:ascii="Times New Roman" w:hAnsi="Times New Roman" w:cs="Times New Roman"/>
          <w:sz w:val="20"/>
          <w:szCs w:val="20"/>
        </w:rPr>
      </w:pPr>
      <w:r w:rsidRPr="008657A0">
        <w:rPr>
          <w:rStyle w:val="Refdenotaalpie"/>
          <w:rFonts w:ascii="Times New Roman" w:hAnsi="Times New Roman" w:cs="Times New Roman"/>
          <w:sz w:val="20"/>
          <w:szCs w:val="20"/>
        </w:rPr>
        <w:footnoteRef/>
      </w:r>
      <w:r w:rsidRPr="008657A0">
        <w:rPr>
          <w:rFonts w:ascii="Times New Roman" w:hAnsi="Times New Roman" w:cs="Times New Roman"/>
          <w:sz w:val="20"/>
          <w:szCs w:val="20"/>
        </w:rPr>
        <w:t xml:space="preserve"> En relación con las pruebas solicitadas, es pertinente señalar q</w:t>
      </w:r>
      <w:r w:rsidRPr="008657A0">
        <w:rPr>
          <w:rFonts w:ascii="Times New Roman" w:hAnsi="Times New Roman" w:cs="Times New Roman"/>
          <w:sz w:val="20"/>
          <w:szCs w:val="20"/>
        </w:rPr>
        <w:t xml:space="preserve">ue: </w:t>
      </w:r>
      <w:r w:rsidRPr="008657A0">
        <w:rPr>
          <w:rFonts w:ascii="Times New Roman" w:hAnsi="Times New Roman" w:cs="Times New Roman"/>
          <w:i/>
          <w:iCs/>
          <w:sz w:val="20"/>
          <w:szCs w:val="20"/>
        </w:rPr>
        <w:t>A)</w:t>
      </w:r>
      <w:r w:rsidRPr="008657A0">
        <w:rPr>
          <w:rFonts w:ascii="Times New Roman" w:hAnsi="Times New Roman" w:cs="Times New Roman"/>
          <w:sz w:val="20"/>
          <w:szCs w:val="20"/>
        </w:rPr>
        <w:t xml:space="preserve"> Los días 2 y 3 de diciembre de 2024, el magistrado sustanciador recibió, en sobres sellados, documentos provenientes de la Dirección de Inteligencia y Contrainteligencia del Ejército Nacional y de la Dirección de Inteligencia de la Policía Nacional.</w:t>
      </w:r>
      <w:r w:rsidRPr="008657A0">
        <w:rPr>
          <w:rFonts w:ascii="Times New Roman" w:hAnsi="Times New Roman" w:cs="Times New Roman"/>
          <w:sz w:val="20"/>
          <w:szCs w:val="20"/>
        </w:rPr>
        <w:t xml:space="preserve"> Según los funcionarios de esas instituciones, dicha documentación se encuentra sometida a reserva legal porque compromete la seguridad nacional al contener los manuales técnicos que se aplican en materia de inteligencia y contrainteligencia por parte de l</w:t>
      </w:r>
      <w:r w:rsidRPr="008657A0">
        <w:rPr>
          <w:rFonts w:ascii="Times New Roman" w:hAnsi="Times New Roman" w:cs="Times New Roman"/>
          <w:sz w:val="20"/>
          <w:szCs w:val="20"/>
        </w:rPr>
        <w:t xml:space="preserve">as Fuerzas Militares y de Policía. </w:t>
      </w:r>
      <w:r w:rsidRPr="008657A0">
        <w:rPr>
          <w:rFonts w:ascii="Times New Roman" w:hAnsi="Times New Roman" w:cs="Times New Roman"/>
          <w:i/>
          <w:iCs/>
          <w:sz w:val="20"/>
          <w:szCs w:val="20"/>
        </w:rPr>
        <w:t>B).</w:t>
      </w:r>
      <w:r w:rsidRPr="008657A0">
        <w:rPr>
          <w:rFonts w:ascii="Times New Roman" w:hAnsi="Times New Roman" w:cs="Times New Roman"/>
          <w:sz w:val="20"/>
          <w:szCs w:val="20"/>
        </w:rPr>
        <w:t xml:space="preserve"> En la fecha mencionada, el magistrado sustanciador suscribió las actas de recibo en las cuales los funcionarios del Ejército Nacional y de la Policía Nacional dejaron expresa constancia sobre la custodia y confidencia</w:t>
      </w:r>
      <w:r w:rsidRPr="008657A0">
        <w:rPr>
          <w:rFonts w:ascii="Times New Roman" w:hAnsi="Times New Roman" w:cs="Times New Roman"/>
          <w:sz w:val="20"/>
          <w:szCs w:val="20"/>
        </w:rPr>
        <w:t xml:space="preserve">lidad de las pruebas recibidas. </w:t>
      </w:r>
      <w:r w:rsidRPr="008657A0">
        <w:rPr>
          <w:rFonts w:ascii="Times New Roman" w:hAnsi="Times New Roman" w:cs="Times New Roman"/>
          <w:i/>
          <w:iCs/>
          <w:sz w:val="20"/>
          <w:szCs w:val="20"/>
        </w:rPr>
        <w:t>C)</w:t>
      </w:r>
      <w:r w:rsidRPr="008657A0">
        <w:rPr>
          <w:rFonts w:ascii="Times New Roman" w:hAnsi="Times New Roman" w:cs="Times New Roman"/>
          <w:sz w:val="20"/>
          <w:szCs w:val="20"/>
        </w:rPr>
        <w:t xml:space="preserve"> Mediante Auto del 17 de febrero de 2025, luego de recibidos los medios de prueba, el magistrado sustanciador dispuso (i) la reserva de las pruebas entregadas, en el marco de este proceso por la Dirección de Inteligencia y</w:t>
      </w:r>
      <w:r w:rsidRPr="008657A0">
        <w:rPr>
          <w:rFonts w:ascii="Times New Roman" w:hAnsi="Times New Roman" w:cs="Times New Roman"/>
          <w:sz w:val="20"/>
          <w:szCs w:val="20"/>
        </w:rPr>
        <w:t xml:space="preserve"> Contrainteligencia del Ejército Nacional y de la Dirección de Inteligencia de la Policía Nacional, conforme a lo previsto en el literal a) del artículo 19 de la Ley 1712 de 2014, y (ii) continuar el trámite dispuesto en el Auto del 15 de noviembre de 2024</w:t>
      </w:r>
      <w:r w:rsidRPr="008657A0">
        <w:rPr>
          <w:rFonts w:ascii="Times New Roman" w:hAnsi="Times New Roman" w:cs="Times New Roman"/>
          <w:sz w:val="20"/>
          <w:szCs w:val="20"/>
        </w:rPr>
        <w:t xml:space="preserve">. </w:t>
      </w:r>
      <w:r w:rsidRPr="008657A0">
        <w:rPr>
          <w:rFonts w:ascii="Times New Roman" w:hAnsi="Times New Roman" w:cs="Times New Roman"/>
          <w:i/>
          <w:iCs/>
          <w:sz w:val="20"/>
          <w:szCs w:val="20"/>
        </w:rPr>
        <w:t>D).</w:t>
      </w:r>
      <w:r w:rsidRPr="008657A0">
        <w:rPr>
          <w:rFonts w:ascii="Times New Roman" w:hAnsi="Times New Roman" w:cs="Times New Roman"/>
          <w:sz w:val="20"/>
          <w:szCs w:val="20"/>
        </w:rPr>
        <w:t xml:space="preserve"> Por Auto del 6 de mayo del 2025, el magistrado sustanciador dispuso la devolución de los documentos entregados por la Dirección de Inteligencia y Contrainteligencia del Ejército Nacional y de la Dirección de Inteligencia de la Policía Nacional someti</w:t>
      </w:r>
      <w:r w:rsidRPr="008657A0">
        <w:rPr>
          <w:rFonts w:ascii="Times New Roman" w:hAnsi="Times New Roman" w:cs="Times New Roman"/>
          <w:sz w:val="20"/>
          <w:szCs w:val="20"/>
        </w:rPr>
        <w:t>dos a reserva en el marco de este proceso. Lo anterior, porque, en primer lugar, el contenido de la información recibida se encontraba sujeta a limitaciones en cuanto a su acceso por parte del público, en la medida que encajaba en la excepción legal previs</w:t>
      </w:r>
      <w:r w:rsidRPr="008657A0">
        <w:rPr>
          <w:rFonts w:ascii="Times New Roman" w:hAnsi="Times New Roman" w:cs="Times New Roman"/>
          <w:sz w:val="20"/>
          <w:szCs w:val="20"/>
        </w:rPr>
        <w:t xml:space="preserve">ta en el literal a) del artículo 19 de la Ley 1712 de 2014. En segundo lugar, porque a partir de la revisión preliminar de esa información, el magistrado sustanciador, concluyó que dado el carácter abstracto del proceso judicial que en esta oportunidad se </w:t>
      </w:r>
      <w:r w:rsidRPr="008657A0">
        <w:rPr>
          <w:rFonts w:ascii="Times New Roman" w:hAnsi="Times New Roman" w:cs="Times New Roman"/>
          <w:sz w:val="20"/>
          <w:szCs w:val="20"/>
        </w:rPr>
        <w:t xml:space="preserve">adelanta, los </w:t>
      </w:r>
      <w:r w:rsidRPr="008657A0">
        <w:rPr>
          <w:rFonts w:ascii="Times New Roman" w:hAnsi="Times New Roman" w:cs="Times New Roman"/>
          <w:i/>
          <w:iCs/>
          <w:sz w:val="20"/>
          <w:szCs w:val="20"/>
        </w:rPr>
        <w:t>manuales técnicos sobre la estrategia de seguridad nacional</w:t>
      </w:r>
      <w:r w:rsidRPr="008657A0">
        <w:rPr>
          <w:rFonts w:ascii="Times New Roman" w:hAnsi="Times New Roman" w:cs="Times New Roman"/>
          <w:sz w:val="20"/>
          <w:szCs w:val="20"/>
        </w:rPr>
        <w:t xml:space="preserve"> no se requieren como un medio de prueba para decidir la cuestión de constitucionalidad que </w:t>
      </w:r>
      <w:r w:rsidRPr="00563461">
        <w:rPr>
          <w:rFonts w:ascii="Times New Roman" w:hAnsi="Times New Roman" w:cs="Times New Roman"/>
          <w:sz w:val="20"/>
          <w:szCs w:val="20"/>
        </w:rPr>
        <w:t>será estudia</w:t>
      </w:r>
      <w:r w:rsidRPr="008657A0">
        <w:rPr>
          <w:rFonts w:ascii="Times New Roman" w:hAnsi="Times New Roman" w:cs="Times New Roman"/>
          <w:sz w:val="20"/>
          <w:szCs w:val="20"/>
        </w:rPr>
        <w:t xml:space="preserve">da por la Corte al resolver la demanda de la referencia. </w:t>
      </w:r>
      <w:r w:rsidRPr="008657A0">
        <w:rPr>
          <w:rFonts w:ascii="Times New Roman" w:hAnsi="Times New Roman" w:cs="Times New Roman"/>
          <w:i/>
          <w:iCs/>
          <w:sz w:val="20"/>
          <w:szCs w:val="20"/>
        </w:rPr>
        <w:t>E)</w:t>
      </w:r>
      <w:r w:rsidRPr="008657A0">
        <w:rPr>
          <w:rFonts w:ascii="Times New Roman" w:hAnsi="Times New Roman" w:cs="Times New Roman"/>
          <w:sz w:val="20"/>
          <w:szCs w:val="20"/>
        </w:rPr>
        <w:t xml:space="preserve"> En cumplimiento de </w:t>
      </w:r>
      <w:r w:rsidRPr="008657A0">
        <w:rPr>
          <w:rFonts w:ascii="Times New Roman" w:hAnsi="Times New Roman" w:cs="Times New Roman"/>
          <w:sz w:val="20"/>
          <w:szCs w:val="20"/>
        </w:rPr>
        <w:t>lo anterior, el 23 de mayo de 2025, el magistrado sustanciador hizo entrega de los documentos aludidos a los funcionarios de Dirección de Inteligencia y Contrainteligencia del Ejército Nacional y de la Dirección de Inteligencia de la Policía Nacional.</w:t>
      </w:r>
    </w:p>
  </w:footnote>
  <w:footnote w:id="3">
    <w:p w:rsidR="00655584" w:rsidRPr="008657A0" w:rsidRDefault="00F33E35" w:rsidP="00563461">
      <w:pPr>
        <w:pStyle w:val="Textonotapie"/>
        <w:tabs>
          <w:tab w:val="left" w:pos="0"/>
        </w:tabs>
        <w:ind w:right="-234"/>
        <w:jc w:val="both"/>
        <w:rPr>
          <w:rFonts w:ascii="Times New Roman" w:hAnsi="Times New Roman" w:cs="Times New Roman"/>
          <w:lang w:val="es-ES"/>
        </w:rPr>
      </w:pPr>
      <w:r w:rsidRPr="00563461">
        <w:rPr>
          <w:rStyle w:val="Refdenotaalpie"/>
          <w:rFonts w:ascii="Times New Roman" w:hAnsi="Times New Roman" w:cs="Times New Roman"/>
        </w:rPr>
        <w:footnoteRef/>
      </w:r>
      <w:r w:rsidRPr="00563461">
        <w:rPr>
          <w:rFonts w:ascii="Times New Roman" w:hAnsi="Times New Roman" w:cs="Times New Roman"/>
          <w:lang w:val="es-ES"/>
        </w:rPr>
        <w:t xml:space="preserve"> A </w:t>
      </w:r>
      <w:r w:rsidRPr="00563461">
        <w:rPr>
          <w:rFonts w:ascii="Times New Roman" w:hAnsi="Times New Roman" w:cs="Times New Roman"/>
          <w:lang w:val="es-ES"/>
        </w:rPr>
        <w:t xml:space="preserve">la </w:t>
      </w:r>
      <w:r w:rsidRPr="008657A0">
        <w:rPr>
          <w:rFonts w:ascii="Times New Roman" w:hAnsi="Times New Roman" w:cs="Times New Roman"/>
          <w:bCs/>
          <w:lang w:val="es-MX"/>
        </w:rPr>
        <w:t xml:space="preserve">Agencia Nacional del Espectro, a la Corte Suprema de Justicia, a la Fiscalía General de la Nación, al Departamento de Inteligencia y Contrainteligencia, a la Dirección Nacional de Inteligencia -DNI Colombia, a la Dirección de Inteligencia de la Policía </w:t>
      </w:r>
      <w:r w:rsidRPr="008657A0">
        <w:rPr>
          <w:rFonts w:ascii="Times New Roman" w:hAnsi="Times New Roman" w:cs="Times New Roman"/>
          <w:bCs/>
          <w:lang w:val="es-MX"/>
        </w:rPr>
        <w:t>Nacional, a la Unidad de Información y Análisis Financiero -UIAF-; a la Fundación Karisma, a la Escuela de Privacidad, al Centro de Estudios de Derecho, Justicia y Sociedad -Dejusticia- y a la Academia Colombiana de Jurisprudencia; y a la facultades de der</w:t>
      </w:r>
      <w:r w:rsidRPr="008657A0">
        <w:rPr>
          <w:rFonts w:ascii="Times New Roman" w:hAnsi="Times New Roman" w:cs="Times New Roman"/>
          <w:bCs/>
          <w:lang w:val="es-MX"/>
        </w:rPr>
        <w:t>echo de las Universidades Externado de Colombia, los Andes, Javeriana, de Antioquia y de Caldas.</w:t>
      </w:r>
    </w:p>
  </w:footnote>
  <w:footnote w:id="4">
    <w:p w:rsidR="00655584" w:rsidRPr="008657A0" w:rsidRDefault="00F33E35" w:rsidP="00563461">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Las y los accionantes afirmaron que las normas acusadas fueron declaradas exequibles en el control previo y automático que adelantó la Corte Constitucional a</w:t>
      </w:r>
      <w:r w:rsidRPr="008657A0">
        <w:rPr>
          <w:rFonts w:ascii="Times New Roman" w:hAnsi="Times New Roman" w:cs="Times New Roman"/>
          <w:lang w:val="es-ES_tradnl"/>
        </w:rPr>
        <w:t>l proyecto que hoy es la Ley 1621 de 2013. Agregaron que la CADH fue utilizada como parámetro de control de la Ley Estatutaria 1621 de 2013 y, conforme a la jurisprudencia de la Corte Constitucional, debe ser tenido en cuenta al momento de estudiar la cons</w:t>
      </w:r>
      <w:r w:rsidRPr="008657A0">
        <w:rPr>
          <w:rFonts w:ascii="Times New Roman" w:hAnsi="Times New Roman" w:cs="Times New Roman"/>
          <w:lang w:val="es-ES_tradnl"/>
        </w:rPr>
        <w:t>titucionalidad de las leyes. Cfr. Sentencia C-469 de 2016.</w:t>
      </w:r>
    </w:p>
  </w:footnote>
  <w:footnote w:id="5">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Sentencia C-653 de 2015.</w:t>
      </w:r>
    </w:p>
  </w:footnote>
  <w:footnote w:id="6">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 xml:space="preserve">Ib. </w:t>
      </w:r>
    </w:p>
  </w:footnote>
  <w:footnote w:id="7">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Sentencia C-649 de 2016.</w:t>
      </w:r>
    </w:p>
  </w:footnote>
  <w:footnote w:id="8">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La parte actora resaltó que la Corte IDH le ordenó a Co</w:t>
      </w:r>
      <w:r w:rsidRPr="008657A0">
        <w:rPr>
          <w:rFonts w:ascii="Times New Roman" w:hAnsi="Times New Roman" w:cs="Times New Roman"/>
        </w:rPr>
        <w:t>lombia adecuar el ordenamiento interno (incluyendo las disposiciones demandadas) con el fin de hacerlo compatible con los estándares convencionales, lo que significa que el Estado se encuentra obligado a dar pronto y pleno acatamiento. No obstante, las y l</w:t>
      </w:r>
      <w:r w:rsidRPr="008657A0">
        <w:rPr>
          <w:rFonts w:ascii="Times New Roman" w:hAnsi="Times New Roman" w:cs="Times New Roman"/>
        </w:rPr>
        <w:t>os accionantes reconocen que el plazo dispuesto por la sentencia de la Corte IDH transcurrirá antes de que exista la modificación normativa, dado el tiempo que toma el curso del trámite del proyecto de ley junto con la revisión previa de la Corte Constituc</w:t>
      </w:r>
      <w:r w:rsidRPr="008657A0">
        <w:rPr>
          <w:rFonts w:ascii="Times New Roman" w:hAnsi="Times New Roman" w:cs="Times New Roman"/>
        </w:rPr>
        <w:t xml:space="preserve">ional.  </w:t>
      </w:r>
    </w:p>
  </w:footnote>
  <w:footnote w:id="9">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Las y los demandantes citaron las </w:t>
      </w:r>
      <w:r w:rsidRPr="008657A0">
        <w:rPr>
          <w:rFonts w:ascii="Times New Roman" w:hAnsi="Times New Roman" w:cs="Times New Roman"/>
          <w:lang w:val="es-ES_tradnl"/>
        </w:rPr>
        <w:t>Sentencias C-030 de 2023, C-146 de 2021 y C-469 de 2016</w:t>
      </w:r>
      <w:r w:rsidRPr="008657A0">
        <w:rPr>
          <w:rFonts w:ascii="Times New Roman" w:hAnsi="Times New Roman" w:cs="Times New Roman"/>
        </w:rPr>
        <w:t>. En tal sentido, explicaron que de acuerdo con la Sentencia C-030 de 2023, la aplicación e interpretación de la CADH debe efectuarse a través del control d</w:t>
      </w:r>
      <w:r w:rsidRPr="008657A0">
        <w:rPr>
          <w:rFonts w:ascii="Times New Roman" w:hAnsi="Times New Roman" w:cs="Times New Roman"/>
        </w:rPr>
        <w:t>e constitucionalidad mediante la figura del bloque de constitucionalidad. De lo anterior, derivaron que la acción pública de inconstitucionalidad es el mecanismo idóneo para que esta Corte, en virtud del artículo 93 constitucional, ejerza el control de con</w:t>
      </w:r>
      <w:r w:rsidRPr="008657A0">
        <w:rPr>
          <w:rFonts w:ascii="Times New Roman" w:hAnsi="Times New Roman" w:cs="Times New Roman"/>
        </w:rPr>
        <w:t xml:space="preserve">stitucionalidad y “de lugar al cumplimiento de la obligación contenida en el artículo 2 de la CADH, la cual exige adecuar las normas de derecho interno a los compromisos que en </w:t>
      </w:r>
      <w:r w:rsidRPr="00BD51D9">
        <w:rPr>
          <w:rFonts w:ascii="Times New Roman" w:hAnsi="Times New Roman" w:cs="Times New Roman"/>
        </w:rPr>
        <w:t>materia de derechos humanos se han adquirido”. Entonces, el análisis que adelan</w:t>
      </w:r>
      <w:r w:rsidRPr="00BD51D9">
        <w:rPr>
          <w:rFonts w:ascii="Times New Roman" w:hAnsi="Times New Roman" w:cs="Times New Roman"/>
        </w:rPr>
        <w:t xml:space="preserve">te este Tribunal respecto de los cargos de la demanda “debe partir de reconocer la existencia de la sentencia de la Corte IDH y la necesidad de que el Estado </w:t>
      </w:r>
      <w:r w:rsidRPr="00BD51D9">
        <w:rPr>
          <w:rFonts w:ascii="Times New Roman" w:hAnsi="Times New Roman" w:cs="Times New Roman"/>
        </w:rPr>
        <w:t>colombiano</w:t>
      </w:r>
      <w:r w:rsidRPr="00B72E11">
        <w:rPr>
          <w:rFonts w:ascii="Times New Roman" w:hAnsi="Times New Roman" w:cs="Times New Roman"/>
        </w:rPr>
        <w:t xml:space="preserve"> cumpla las obligaciones que </w:t>
      </w:r>
      <w:r w:rsidRPr="00BD51D9">
        <w:rPr>
          <w:rFonts w:ascii="Times New Roman" w:hAnsi="Times New Roman" w:cs="Times New Roman"/>
        </w:rPr>
        <w:t>ha adquirido. Sin embargo, puntualizaron que, de acuerdo co</w:t>
      </w:r>
      <w:r w:rsidRPr="00BD51D9">
        <w:rPr>
          <w:rFonts w:ascii="Times New Roman" w:hAnsi="Times New Roman" w:cs="Times New Roman"/>
        </w:rPr>
        <w:t>n la Sentencia C-030 de 2023, en el marco de un</w:t>
      </w:r>
      <w:r w:rsidRPr="008657A0">
        <w:rPr>
          <w:rFonts w:ascii="Times New Roman" w:hAnsi="Times New Roman" w:cs="Times New Roman"/>
        </w:rPr>
        <w:t xml:space="preserve"> diálogo entre la Corte y la Corte IDH, debe acogerse la interpretación más favorable a los derechos en virtud del principio pro persona. Cfr. Página 23 de la demanda. </w:t>
      </w:r>
    </w:p>
  </w:footnote>
  <w:footnote w:id="10">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De acuerdo con la demanda, la CADH con</w:t>
      </w:r>
      <w:r w:rsidRPr="008657A0">
        <w:rPr>
          <w:rFonts w:ascii="Times New Roman" w:hAnsi="Times New Roman" w:cs="Times New Roman"/>
          <w:lang w:val="es-ES_tradnl"/>
        </w:rPr>
        <w:t>stituye un parámetro legítimo para el estudio de constitucionalidad de las leyes, por lo que “resulta pertinente analizar la compatibilidad de los apartes demandados de los artículos 17 y 33 de la Ley Estatutaria 1621 de 2013 con el instrumento internacion</w:t>
      </w:r>
      <w:r w:rsidRPr="008657A0">
        <w:rPr>
          <w:rFonts w:ascii="Times New Roman" w:hAnsi="Times New Roman" w:cs="Times New Roman"/>
          <w:lang w:val="es-ES_tradnl"/>
        </w:rPr>
        <w:t>al que dispone pautas sobre la materia”. Cfr. página 11 de la demanda.</w:t>
      </w:r>
    </w:p>
  </w:footnote>
  <w:footnote w:id="11">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Escrito de la demanda, página 20.</w:t>
      </w:r>
    </w:p>
  </w:footnote>
  <w:footnote w:id="12">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Las y los ciudadanos citaron la Sentencia C-469 de 2016.</w:t>
      </w:r>
    </w:p>
  </w:footnote>
  <w:footnote w:id="13">
    <w:p w:rsidR="00655584" w:rsidRPr="008657A0" w:rsidRDefault="00F33E35">
      <w:pPr>
        <w:tabs>
          <w:tab w:val="left" w:pos="0"/>
        </w:tabs>
        <w:spacing w:after="0" w:line="240" w:lineRule="auto"/>
        <w:ind w:right="-234"/>
        <w:jc w:val="both"/>
        <w:rPr>
          <w:rFonts w:ascii="Times New Roman" w:hAnsi="Times New Roman" w:cs="Times New Roman"/>
          <w:sz w:val="20"/>
          <w:szCs w:val="20"/>
        </w:rPr>
      </w:pPr>
      <w:r w:rsidRPr="00563461">
        <w:rPr>
          <w:rStyle w:val="Refdenotaalpie"/>
          <w:rFonts w:ascii="Times New Roman" w:hAnsi="Times New Roman" w:cs="Times New Roman"/>
          <w:sz w:val="20"/>
          <w:szCs w:val="20"/>
        </w:rPr>
        <w:footnoteRef/>
      </w:r>
      <w:r w:rsidRPr="00563461">
        <w:rPr>
          <w:rFonts w:ascii="Times New Roman" w:hAnsi="Times New Roman" w:cs="Times New Roman"/>
          <w:sz w:val="20"/>
          <w:szCs w:val="20"/>
        </w:rPr>
        <w:t xml:space="preserve"> En concreto, las y los demandantes señalaron que la Corte IDH, en relación con la vigilancia del espectro electr</w:t>
      </w:r>
      <w:r w:rsidRPr="008657A0">
        <w:rPr>
          <w:rFonts w:ascii="Times New Roman" w:hAnsi="Times New Roman" w:cs="Times New Roman"/>
          <w:sz w:val="20"/>
          <w:szCs w:val="20"/>
        </w:rPr>
        <w:t>omagnético estableció que: “la utilización de las técnicas de vigilancia, selectiva o a gran escala, de las comunicaciones, máxime ante las nue</w:t>
      </w:r>
      <w:r w:rsidRPr="008657A0">
        <w:rPr>
          <w:rFonts w:ascii="Times New Roman" w:hAnsi="Times New Roman" w:cs="Times New Roman"/>
          <w:sz w:val="20"/>
          <w:szCs w:val="20"/>
        </w:rPr>
        <w:t>vas tecnologías existentes, determinan para esta Corte que cualquier medida en tal sentido (lo que incluye la interceptación, vigilancia y seguimiento de todo tipo de comunicación, sea telefónica, telemática o por otras redes) exige que sea una autoridad j</w:t>
      </w:r>
      <w:r w:rsidRPr="008657A0">
        <w:rPr>
          <w:rFonts w:ascii="Times New Roman" w:hAnsi="Times New Roman" w:cs="Times New Roman"/>
          <w:sz w:val="20"/>
          <w:szCs w:val="20"/>
        </w:rPr>
        <w:t xml:space="preserve">udicial la que decida sobre su procedencia, definiendo a su vez los límites que se imponen, incluidos el modo, tiempo y alcances de la medida autorizada”. (cfr. Corte IDH. </w:t>
      </w:r>
      <w:r w:rsidRPr="008657A0">
        <w:rPr>
          <w:rFonts w:ascii="Times New Roman" w:hAnsi="Times New Roman" w:cs="Times New Roman"/>
          <w:i/>
          <w:iCs/>
          <w:sz w:val="20"/>
          <w:szCs w:val="20"/>
        </w:rPr>
        <w:t>Caso Miembros de la Corporación Colectivo de Abogados “José Alvear Restrepo vs. Colo</w:t>
      </w:r>
      <w:r w:rsidRPr="008657A0">
        <w:rPr>
          <w:rFonts w:ascii="Times New Roman" w:hAnsi="Times New Roman" w:cs="Times New Roman"/>
          <w:i/>
          <w:iCs/>
          <w:sz w:val="20"/>
          <w:szCs w:val="20"/>
        </w:rPr>
        <w:t>mbia</w:t>
      </w:r>
      <w:r w:rsidRPr="008657A0">
        <w:rPr>
          <w:rFonts w:ascii="Times New Roman" w:hAnsi="Times New Roman" w:cs="Times New Roman"/>
          <w:sz w:val="20"/>
          <w:szCs w:val="20"/>
        </w:rPr>
        <w:t>. Sentencia del 18 de octubre de 2023. Excepciones preliminares, fondo, reparaciones y costas. Serie C n° 506. Párr. 547).</w:t>
      </w:r>
      <w:r w:rsidRPr="008657A0">
        <w:rPr>
          <w:rFonts w:ascii="Times New Roman" w:hAnsi="Times New Roman" w:cs="Times New Roman"/>
          <w:sz w:val="20"/>
          <w:szCs w:val="20"/>
          <w:lang w:val="es-ES_tradnl"/>
        </w:rPr>
        <w:t xml:space="preserve"> Las y los actores explicaron que la Corte IDH tuvo en cuenta l</w:t>
      </w:r>
      <w:r w:rsidRPr="008657A0">
        <w:rPr>
          <w:rFonts w:ascii="Times New Roman" w:hAnsi="Times New Roman" w:cs="Times New Roman"/>
          <w:sz w:val="20"/>
          <w:szCs w:val="20"/>
        </w:rPr>
        <w:t>os principios de Johannesburgo y los principios de Tshwane, los inf</w:t>
      </w:r>
      <w:r w:rsidRPr="008657A0">
        <w:rPr>
          <w:rFonts w:ascii="Times New Roman" w:hAnsi="Times New Roman" w:cs="Times New Roman"/>
          <w:sz w:val="20"/>
          <w:szCs w:val="20"/>
        </w:rPr>
        <w:t>ormes de los mandatos especiales para la libertad de expresión de la CIDH y la ONU, así como jurisprudencia del Tribunal Europeo de Derechos Humanos.</w:t>
      </w:r>
    </w:p>
  </w:footnote>
  <w:footnote w:id="14">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Escrito de la demanda, página 7.</w:t>
      </w:r>
      <w:r w:rsidRPr="008657A0">
        <w:rPr>
          <w:rFonts w:ascii="Times New Roman" w:hAnsi="Times New Roman" w:cs="Times New Roman"/>
        </w:rPr>
        <w:t xml:space="preserve"> Las y los demandantes señalaron que en la Sentencia C-500 de 2014, la C</w:t>
      </w:r>
      <w:r w:rsidRPr="008657A0">
        <w:rPr>
          <w:rFonts w:ascii="Times New Roman" w:hAnsi="Times New Roman" w:cs="Times New Roman"/>
        </w:rPr>
        <w:t>orte Constitucional ha planteado una serie de criterios que permiten determinar los casos en los cuales la jurisprudencia de la Corte IDH puede descartar la existencia de cosa juzgada al alterar el parámetro de constitucionalidad.</w:t>
      </w:r>
    </w:p>
  </w:footnote>
  <w:footnote w:id="15">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Sentencia T-292 de 2006</w:t>
      </w:r>
      <w:r w:rsidRPr="008657A0">
        <w:rPr>
          <w:rFonts w:ascii="Times New Roman" w:hAnsi="Times New Roman" w:cs="Times New Roman"/>
          <w:lang w:val="es-ES_tradnl"/>
        </w:rPr>
        <w:t>.</w:t>
      </w:r>
    </w:p>
  </w:footnote>
  <w:footnote w:id="16">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Sentencia C-540 de 2012.</w:t>
      </w:r>
    </w:p>
  </w:footnote>
  <w:footnote w:id="17">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Corte IDH. </w:t>
      </w:r>
      <w:r w:rsidRPr="008657A0">
        <w:rPr>
          <w:rFonts w:ascii="Times New Roman" w:hAnsi="Times New Roman" w:cs="Times New Roman"/>
          <w:i/>
          <w:iCs/>
        </w:rPr>
        <w:t>Caso Miembros de la Corporación Colectivo de Abogados “José Alvear Restrepo vs. Colombia</w:t>
      </w:r>
      <w:r w:rsidRPr="008657A0">
        <w:rPr>
          <w:rFonts w:ascii="Times New Roman" w:hAnsi="Times New Roman" w:cs="Times New Roman"/>
        </w:rPr>
        <w:t>. Sentencia del 18 de octubre de 2023. Excepciones preliminares, fondo, reparaciones y costas. Serie C n° 506. Párr. 676.</w:t>
      </w:r>
    </w:p>
  </w:footnote>
  <w:footnote w:id="18">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Sentencia C-540 de 2012.</w:t>
      </w:r>
    </w:p>
  </w:footnote>
  <w:footnote w:id="19">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Corte IDH. </w:t>
      </w:r>
      <w:r w:rsidRPr="008657A0">
        <w:rPr>
          <w:rFonts w:ascii="Times New Roman" w:hAnsi="Times New Roman" w:cs="Times New Roman"/>
          <w:i/>
          <w:iCs/>
        </w:rPr>
        <w:t>Caso Miembros de la Corporación Colectivo de Abogados “José Alvear Restrepo vs. Colombia</w:t>
      </w:r>
      <w:r w:rsidRPr="008657A0">
        <w:rPr>
          <w:rFonts w:ascii="Times New Roman" w:hAnsi="Times New Roman" w:cs="Times New Roman"/>
        </w:rPr>
        <w:t>. Sentencia del 18 de octubre de 2023. Excepciones preliminares, fondo, reparaciones y costas. Serie C n° 506. Párr. 682.</w:t>
      </w:r>
    </w:p>
  </w:footnote>
  <w:footnote w:id="20">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Corte </w:t>
      </w:r>
      <w:r w:rsidRPr="00563461">
        <w:rPr>
          <w:rFonts w:ascii="Times New Roman" w:hAnsi="Times New Roman" w:cs="Times New Roman"/>
        </w:rPr>
        <w:t xml:space="preserve">IDH. </w:t>
      </w:r>
      <w:r w:rsidRPr="008657A0">
        <w:rPr>
          <w:rFonts w:ascii="Times New Roman" w:hAnsi="Times New Roman" w:cs="Times New Roman"/>
          <w:i/>
          <w:iCs/>
        </w:rPr>
        <w:t>Caso Miembros de la Corporación Colectivo de Abogados “José Alvear Restrepo vs. Colombia</w:t>
      </w:r>
      <w:r w:rsidRPr="008657A0">
        <w:rPr>
          <w:rFonts w:ascii="Times New Roman" w:hAnsi="Times New Roman" w:cs="Times New Roman"/>
        </w:rPr>
        <w:t>. Sentencia del 18 de octubre de 2023. Excepciones preliminares, fondo, reparaciones y costas. Serie C n° 506. Párr. 532, 602 y 603.</w:t>
      </w:r>
    </w:p>
  </w:footnote>
  <w:footnote w:id="21">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Corte IDH. </w:t>
      </w:r>
      <w:r w:rsidRPr="008657A0">
        <w:rPr>
          <w:rFonts w:ascii="Times New Roman" w:hAnsi="Times New Roman" w:cs="Times New Roman"/>
          <w:i/>
          <w:iCs/>
        </w:rPr>
        <w:t>Caso Miembros de l</w:t>
      </w:r>
      <w:r w:rsidRPr="008657A0">
        <w:rPr>
          <w:rFonts w:ascii="Times New Roman" w:hAnsi="Times New Roman" w:cs="Times New Roman"/>
          <w:i/>
          <w:iCs/>
        </w:rPr>
        <w:t>a Corporación Colectivo de Abogados “José Alvear Restrepo vs. Colombia.</w:t>
      </w:r>
      <w:r w:rsidRPr="008657A0">
        <w:rPr>
          <w:rFonts w:ascii="Times New Roman" w:hAnsi="Times New Roman" w:cs="Times New Roman"/>
        </w:rPr>
        <w:t xml:space="preserve"> Sentencia del 18 de octubre de 2023. Excepciones preliminares, fondo, reparaciones y costas. Serie C n° 506.</w:t>
      </w:r>
    </w:p>
  </w:footnote>
  <w:footnote w:id="22">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Las y los demandantes refirieron que en el trámite del control de constit</w:t>
      </w:r>
      <w:r w:rsidRPr="008657A0">
        <w:rPr>
          <w:rFonts w:ascii="Times New Roman" w:hAnsi="Times New Roman" w:cs="Times New Roman"/>
          <w:lang w:val="es-ES_tradnl"/>
        </w:rPr>
        <w:t>ucionalidad del proyecto de ley -hoy Ley 1621 de 2013- se recibieron intervenciones ciudadanas que advirtieron sobre los riesgos de autorizar el monitoreo del espectro electromagnético sin autorización judicial. En ese sentido, aludieron a las intervencion</w:t>
      </w:r>
      <w:r w:rsidRPr="008657A0">
        <w:rPr>
          <w:rFonts w:ascii="Times New Roman" w:hAnsi="Times New Roman" w:cs="Times New Roman"/>
          <w:lang w:val="es-ES_tradnl"/>
        </w:rPr>
        <w:t>es de Dejusticia, la Defensoría del Pueblo y la FLIP, según las cuales, dichas actividades de monitoreo si constituyen una forma de interceptación de comunicaciones, por lo que deberían requerir orden judicial.</w:t>
      </w:r>
    </w:p>
  </w:footnote>
  <w:footnote w:id="23">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Ib. Párr. 547. </w:t>
      </w:r>
    </w:p>
  </w:footnote>
  <w:footnote w:id="24">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Las y los demandantes ref</w:t>
      </w:r>
      <w:r w:rsidRPr="008657A0">
        <w:rPr>
          <w:rFonts w:ascii="Times New Roman" w:hAnsi="Times New Roman" w:cs="Times New Roman"/>
          <w:lang w:val="es-ES_tradnl"/>
        </w:rPr>
        <w:t xml:space="preserve">irieron que para la Corte Constitucional el monitoreo del espectro electromagnético es una labor de rastreo "aleatoria e indiscriminada”. Sin embargo, esta visión es limitada e imprecisa, porque las herramientas tecnológicas existentes permiten “ubicar un </w:t>
      </w:r>
      <w:r w:rsidRPr="008657A0">
        <w:rPr>
          <w:rFonts w:ascii="Times New Roman" w:hAnsi="Times New Roman" w:cs="Times New Roman"/>
          <w:lang w:val="es-ES_tradnl"/>
        </w:rPr>
        <w:t>espacio geográfico o celda para tener conocimiento de las comunicaciones de determinado individuo”. Cfr. Escrito de la demanda, página 41.</w:t>
      </w:r>
    </w:p>
  </w:footnote>
  <w:footnote w:id="25">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Según refirieron las y los demandantes, la regulación acusada adolece de notoria vaguedad al distinguir las activid</w:t>
      </w:r>
      <w:r w:rsidRPr="008657A0">
        <w:rPr>
          <w:rFonts w:ascii="Times New Roman" w:hAnsi="Times New Roman" w:cs="Times New Roman"/>
          <w:lang w:val="es-ES_tradnl"/>
        </w:rPr>
        <w:t xml:space="preserve">ades de monitoreo de la interceptación sin ofrecer mayor explicación, lo cual posibilita el ejercicio discrecional de las facultades estatales sobre lo que involucra y conlleva el monitoreo del espectro electromagnético. Cfr. </w:t>
      </w:r>
      <w:r w:rsidRPr="008657A0">
        <w:rPr>
          <w:rFonts w:ascii="Times New Roman" w:hAnsi="Times New Roman" w:cs="Times New Roman"/>
        </w:rPr>
        <w:t xml:space="preserve">Corte IDH. </w:t>
      </w:r>
      <w:r w:rsidRPr="008657A0">
        <w:rPr>
          <w:rFonts w:ascii="Times New Roman" w:hAnsi="Times New Roman" w:cs="Times New Roman"/>
          <w:i/>
          <w:iCs/>
        </w:rPr>
        <w:t>Caso Miembros de la</w:t>
      </w:r>
      <w:r w:rsidRPr="008657A0">
        <w:rPr>
          <w:rFonts w:ascii="Times New Roman" w:hAnsi="Times New Roman" w:cs="Times New Roman"/>
          <w:i/>
          <w:iCs/>
        </w:rPr>
        <w:t xml:space="preserve"> Corporación Colectivo de Abogados “José Alvear Restrepo vs. Colombia.</w:t>
      </w:r>
      <w:r w:rsidRPr="008657A0">
        <w:rPr>
          <w:rFonts w:ascii="Times New Roman" w:hAnsi="Times New Roman" w:cs="Times New Roman"/>
        </w:rPr>
        <w:t xml:space="preserve"> Sentencia del 18 de octubre de 2023. Excepciones preliminares, fondo, reparaciones y costas. Serie C n° 506, párr. 676.</w:t>
      </w:r>
    </w:p>
  </w:footnote>
  <w:footnote w:id="26">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Escrito de la demanda, página 29.</w:t>
      </w:r>
    </w:p>
  </w:footnote>
  <w:footnote w:id="27">
    <w:p w:rsidR="00655584" w:rsidRPr="008657A0" w:rsidRDefault="00F33E35">
      <w:pPr>
        <w:pStyle w:val="Prrafodelista"/>
        <w:tabs>
          <w:tab w:val="left" w:pos="0"/>
        </w:tabs>
        <w:spacing w:after="0" w:line="240" w:lineRule="auto"/>
        <w:ind w:left="0" w:right="-234"/>
        <w:contextualSpacing w:val="0"/>
        <w:jc w:val="both"/>
        <w:rPr>
          <w:rFonts w:ascii="Times New Roman" w:hAnsi="Times New Roman" w:cs="Times New Roman"/>
          <w:sz w:val="20"/>
          <w:szCs w:val="20"/>
        </w:rPr>
      </w:pPr>
      <w:r w:rsidRPr="00563461">
        <w:rPr>
          <w:rStyle w:val="Refdenotaalpie"/>
          <w:rFonts w:ascii="Times New Roman" w:hAnsi="Times New Roman" w:cs="Times New Roman"/>
          <w:sz w:val="20"/>
          <w:szCs w:val="20"/>
        </w:rPr>
        <w:footnoteRef/>
      </w:r>
      <w:r w:rsidRPr="00563461">
        <w:rPr>
          <w:rFonts w:ascii="Times New Roman" w:hAnsi="Times New Roman" w:cs="Times New Roman"/>
          <w:sz w:val="20"/>
          <w:szCs w:val="20"/>
        </w:rPr>
        <w:t xml:space="preserve"> La parte accionante conside</w:t>
      </w:r>
      <w:r w:rsidRPr="00563461">
        <w:rPr>
          <w:rFonts w:ascii="Times New Roman" w:hAnsi="Times New Roman" w:cs="Times New Roman"/>
          <w:sz w:val="20"/>
          <w:szCs w:val="20"/>
        </w:rPr>
        <w:t>ró que la Sentencia C-540 de 2012 contiene una visión imprecisa de lo que realmente implica el monitoreo del espect</w:t>
      </w:r>
      <w:r w:rsidRPr="008657A0">
        <w:rPr>
          <w:rFonts w:ascii="Times New Roman" w:hAnsi="Times New Roman" w:cs="Times New Roman"/>
          <w:sz w:val="20"/>
          <w:szCs w:val="20"/>
        </w:rPr>
        <w:t>ro electromagnético como actividad de inteligencia. A su juicio puede llegar a transformarse en un medio para vulnerar los derechos fundament</w:t>
      </w:r>
      <w:r w:rsidRPr="008657A0">
        <w:rPr>
          <w:rFonts w:ascii="Times New Roman" w:hAnsi="Times New Roman" w:cs="Times New Roman"/>
          <w:sz w:val="20"/>
          <w:szCs w:val="20"/>
        </w:rPr>
        <w:t>ales de los ciudadanos, toda vez que se estaría generando una vigilancia excesiva del Estado sobre los particulares, quienes quedarían con la incertidumbre e, incluso, el desconocimiento de que pueden estar siendo vigilados o que sus asuntos personales est</w:t>
      </w:r>
      <w:r w:rsidRPr="008657A0">
        <w:rPr>
          <w:rFonts w:ascii="Times New Roman" w:hAnsi="Times New Roman" w:cs="Times New Roman"/>
          <w:sz w:val="20"/>
          <w:szCs w:val="20"/>
        </w:rPr>
        <w:t>án siendo escuchados por personas no autorizadas para ello. Escrito de la demanda, página 29.</w:t>
      </w:r>
    </w:p>
  </w:footnote>
  <w:footnote w:id="28">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Corte IDH. </w:t>
      </w:r>
      <w:r w:rsidRPr="008657A0">
        <w:rPr>
          <w:rFonts w:ascii="Times New Roman" w:hAnsi="Times New Roman" w:cs="Times New Roman"/>
          <w:i/>
          <w:iCs/>
        </w:rPr>
        <w:t>Caso Miembros de la Corporación Colectivo de Abogados “José Alvear Restrepo vs. Colombia</w:t>
      </w:r>
      <w:r w:rsidRPr="008657A0">
        <w:rPr>
          <w:rFonts w:ascii="Times New Roman" w:hAnsi="Times New Roman" w:cs="Times New Roman"/>
        </w:rPr>
        <w:t xml:space="preserve">. Sentencia del 18 de octubre de 2023. Excepciones </w:t>
      </w:r>
      <w:r w:rsidRPr="008657A0">
        <w:rPr>
          <w:rFonts w:ascii="Times New Roman" w:hAnsi="Times New Roman" w:cs="Times New Roman"/>
        </w:rPr>
        <w:t>preliminares, fondo, reparaciones y costas. Serie C n° 506. Párr. 603.</w:t>
      </w:r>
    </w:p>
  </w:footnote>
  <w:footnote w:id="29">
    <w:p w:rsidR="00655584" w:rsidRPr="008657A0" w:rsidRDefault="00F33E35">
      <w:pPr>
        <w:pStyle w:val="Prrafodelista"/>
        <w:tabs>
          <w:tab w:val="left" w:pos="0"/>
        </w:tabs>
        <w:spacing w:after="0" w:line="240" w:lineRule="auto"/>
        <w:ind w:left="0" w:right="-234"/>
        <w:contextualSpacing w:val="0"/>
        <w:jc w:val="both"/>
        <w:rPr>
          <w:rFonts w:ascii="Times New Roman" w:hAnsi="Times New Roman" w:cs="Times New Roman"/>
          <w:sz w:val="20"/>
          <w:szCs w:val="20"/>
        </w:rPr>
      </w:pPr>
      <w:r w:rsidRPr="00563461">
        <w:rPr>
          <w:rStyle w:val="Refdenotaalpie"/>
          <w:rFonts w:ascii="Times New Roman" w:hAnsi="Times New Roman" w:cs="Times New Roman"/>
          <w:sz w:val="20"/>
          <w:szCs w:val="20"/>
        </w:rPr>
        <w:footnoteRef/>
      </w:r>
      <w:r w:rsidRPr="00563461">
        <w:rPr>
          <w:rFonts w:ascii="Times New Roman" w:hAnsi="Times New Roman" w:cs="Times New Roman"/>
          <w:sz w:val="20"/>
          <w:szCs w:val="20"/>
        </w:rPr>
        <w:t xml:space="preserve"> </w:t>
      </w:r>
      <w:r w:rsidRPr="008657A0">
        <w:rPr>
          <w:rFonts w:ascii="Times New Roman" w:hAnsi="Times New Roman" w:cs="Times New Roman"/>
          <w:sz w:val="20"/>
          <w:szCs w:val="20"/>
          <w:lang w:val="es-ES_tradnl"/>
        </w:rPr>
        <w:t xml:space="preserve">Escrito de la demanda, página 25. Para la parte actora </w:t>
      </w:r>
      <w:r w:rsidRPr="008657A0">
        <w:rPr>
          <w:rFonts w:ascii="Times New Roman" w:hAnsi="Times New Roman" w:cs="Times New Roman"/>
          <w:sz w:val="20"/>
          <w:szCs w:val="20"/>
        </w:rPr>
        <w:t>la reserva que autoriza la ley se basa únicamente en la naturaleza de las funciones de los organismos de inteligencia y contrain</w:t>
      </w:r>
      <w:r w:rsidRPr="008657A0">
        <w:rPr>
          <w:rFonts w:ascii="Times New Roman" w:hAnsi="Times New Roman" w:cs="Times New Roman"/>
          <w:sz w:val="20"/>
          <w:szCs w:val="20"/>
        </w:rPr>
        <w:t>teligencia lo que implica la reserva no es clara, precisa ni excepcional, sino que por el contrario es general al plantear que son los documentos, información y elementos técnicos de las entidades de inteligencia y contrainteligencia los reservados, básica</w:t>
      </w:r>
      <w:r w:rsidRPr="008657A0">
        <w:rPr>
          <w:rFonts w:ascii="Times New Roman" w:hAnsi="Times New Roman" w:cs="Times New Roman"/>
          <w:sz w:val="20"/>
          <w:szCs w:val="20"/>
        </w:rPr>
        <w:t>mente, por el mero hecho de pertenecer a esas entidades.</w:t>
      </w:r>
    </w:p>
  </w:footnote>
  <w:footnote w:id="30">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En concreto, la demanda sostuvo que cuando se profirió la Sentencia C-540 de 20</w:t>
      </w:r>
      <w:r w:rsidRPr="008657A0">
        <w:rPr>
          <w:rFonts w:ascii="Times New Roman" w:hAnsi="Times New Roman" w:cs="Times New Roman"/>
        </w:rPr>
        <w:t xml:space="preserve">12 no existía el parámetro de comparación que introdujo la Corte IDH, por lo que “dejó de examinar el fin legítimo de </w:t>
      </w:r>
      <w:r w:rsidRPr="008657A0">
        <w:rPr>
          <w:rFonts w:ascii="Times New Roman" w:hAnsi="Times New Roman" w:cs="Times New Roman"/>
        </w:rPr>
        <w:t>la reserva legal –en tanto medida limitativa de los derechos al acceso a la información pública y a buscar y recibir informaciones– prevista en la norma aquí demandada”. A su juicio “[d]e haberlo hecho, este alto tribunal habría constatado que el fin legít</w:t>
      </w:r>
      <w:r w:rsidRPr="008657A0">
        <w:rPr>
          <w:rFonts w:ascii="Times New Roman" w:hAnsi="Times New Roman" w:cs="Times New Roman"/>
        </w:rPr>
        <w:t>imo en que se sustenta no tiene expresa definición ni delimitación en el ordenamiento jurídico nacional y, en consecuencia, carece de fundamento necesario para restringir derechos convencional y constitucionalmente protegidos”. Cfr. Escrito de subsanación,</w:t>
      </w:r>
      <w:r w:rsidRPr="008657A0">
        <w:rPr>
          <w:rFonts w:ascii="Times New Roman" w:hAnsi="Times New Roman" w:cs="Times New Roman"/>
        </w:rPr>
        <w:t xml:space="preserve"> página 24.</w:t>
      </w:r>
    </w:p>
  </w:footnote>
  <w:footnote w:id="31">
    <w:p w:rsidR="00655584" w:rsidRPr="008657A0" w:rsidRDefault="00F33E35">
      <w:pPr>
        <w:pStyle w:val="Prrafodelista"/>
        <w:tabs>
          <w:tab w:val="left" w:pos="0"/>
        </w:tabs>
        <w:autoSpaceDE w:val="0"/>
        <w:autoSpaceDN w:val="0"/>
        <w:spacing w:after="0" w:line="240" w:lineRule="auto"/>
        <w:ind w:left="0" w:right="-234"/>
        <w:contextualSpacing w:val="0"/>
        <w:jc w:val="both"/>
        <w:rPr>
          <w:rFonts w:ascii="Times New Roman" w:hAnsi="Times New Roman" w:cs="Times New Roman"/>
          <w:sz w:val="20"/>
          <w:szCs w:val="20"/>
        </w:rPr>
      </w:pPr>
      <w:r w:rsidRPr="00563461">
        <w:rPr>
          <w:rStyle w:val="Refdenotaalpie"/>
          <w:rFonts w:ascii="Times New Roman" w:hAnsi="Times New Roman" w:cs="Times New Roman"/>
          <w:sz w:val="20"/>
          <w:szCs w:val="20"/>
        </w:rPr>
        <w:footnoteRef/>
      </w:r>
      <w:r w:rsidRPr="00563461">
        <w:rPr>
          <w:rFonts w:ascii="Times New Roman" w:hAnsi="Times New Roman" w:cs="Times New Roman"/>
          <w:sz w:val="20"/>
          <w:szCs w:val="20"/>
        </w:rPr>
        <w:t xml:space="preserve"> </w:t>
      </w:r>
      <w:r w:rsidRPr="008657A0">
        <w:rPr>
          <w:rFonts w:ascii="Times New Roman" w:hAnsi="Times New Roman" w:cs="Times New Roman"/>
          <w:sz w:val="20"/>
          <w:szCs w:val="20"/>
          <w:lang w:val="es-ES_tradnl"/>
        </w:rPr>
        <w:t>Escrito de la demanda, página 39.</w:t>
      </w:r>
      <w:r w:rsidRPr="008657A0">
        <w:rPr>
          <w:rFonts w:ascii="Times New Roman" w:hAnsi="Times New Roman" w:cs="Times New Roman"/>
          <w:sz w:val="20"/>
          <w:szCs w:val="20"/>
        </w:rPr>
        <w:t xml:space="preserve"> La demanda destacó que la Sentencia C-540 es imprecisa porque no dijo cuándo es necesaria la reserva de la información. Según la parte actora, esto implica que documentos relativos a la contratación de servic</w:t>
      </w:r>
      <w:r w:rsidRPr="008657A0">
        <w:rPr>
          <w:rFonts w:ascii="Times New Roman" w:hAnsi="Times New Roman" w:cs="Times New Roman"/>
          <w:sz w:val="20"/>
          <w:szCs w:val="20"/>
        </w:rPr>
        <w:t>ios de vigilancia y aseo, las planillas de ingreso del personal y de visitantes, el presupuesto general, la distribución interna de funciones, entre otros, estén catalogados como información reservada, lo cual conlleva a que este tipo de documentos se encu</w:t>
      </w:r>
      <w:r w:rsidRPr="008657A0">
        <w:rPr>
          <w:rFonts w:ascii="Times New Roman" w:hAnsi="Times New Roman" w:cs="Times New Roman"/>
          <w:sz w:val="20"/>
          <w:szCs w:val="20"/>
        </w:rPr>
        <w:t>entren injustificadamente por fuera del control de la ciudadanía, “lo que podría incrementar los casos de corrupción y obstaculiza[r] el acceso y control de las personas interesadas a los datos que sobre ellas obren en los referidos archivos”. Según la par</w:t>
      </w:r>
      <w:r w:rsidRPr="008657A0">
        <w:rPr>
          <w:rFonts w:ascii="Times New Roman" w:hAnsi="Times New Roman" w:cs="Times New Roman"/>
          <w:sz w:val="20"/>
          <w:szCs w:val="20"/>
        </w:rPr>
        <w:t>te actora, en ese orden de ideas, se puede concluir que “la norma aquí demandada con el apartado acusado establece una reserva a la información basada únicamente en la naturaleza de las funciones de los organismos de inteligencia y contrainteligencia, lo q</w:t>
      </w:r>
      <w:r w:rsidRPr="008657A0">
        <w:rPr>
          <w:rFonts w:ascii="Times New Roman" w:hAnsi="Times New Roman" w:cs="Times New Roman"/>
          <w:sz w:val="20"/>
          <w:szCs w:val="20"/>
        </w:rPr>
        <w:t>ue implica que la reserva no sea clara, precisa ni excepcional, sino que por el contrario, sea general, al plantear que son los documentos, información y elementos técnicos de las entidades de inteligencia y contrainteligencia son reservados básicamente po</w:t>
      </w:r>
      <w:r w:rsidRPr="008657A0">
        <w:rPr>
          <w:rFonts w:ascii="Times New Roman" w:hAnsi="Times New Roman" w:cs="Times New Roman"/>
          <w:sz w:val="20"/>
          <w:szCs w:val="20"/>
        </w:rPr>
        <w:t>r el simple hecho de pertenecer a esta tipología de entidades”. Cfr. página 39.</w:t>
      </w:r>
    </w:p>
  </w:footnote>
  <w:footnote w:id="32">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Corte IDH. </w:t>
      </w:r>
      <w:r w:rsidRPr="008657A0">
        <w:rPr>
          <w:rFonts w:ascii="Times New Roman" w:hAnsi="Times New Roman" w:cs="Times New Roman"/>
          <w:i/>
          <w:iCs/>
        </w:rPr>
        <w:t>Caso Miembros de la Corporación Colectivo de Abogados “José Alvear Restrepo vs. Colombia</w:t>
      </w:r>
      <w:r w:rsidRPr="008657A0">
        <w:rPr>
          <w:rFonts w:ascii="Times New Roman" w:hAnsi="Times New Roman" w:cs="Times New Roman"/>
        </w:rPr>
        <w:t>. Sentencia del 18 de octubre de 2023. Excepciones preliminares, fondo, rep</w:t>
      </w:r>
      <w:r w:rsidRPr="008657A0">
        <w:rPr>
          <w:rFonts w:ascii="Times New Roman" w:hAnsi="Times New Roman" w:cs="Times New Roman"/>
        </w:rPr>
        <w:t>araciones y costas. Serie C n° 506. Párr. 603.</w:t>
      </w:r>
    </w:p>
  </w:footnote>
  <w:footnote w:id="33">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Escrito de subsanación, página 18.</w:t>
      </w:r>
    </w:p>
  </w:footnote>
  <w:footnote w:id="34">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Adicionalmente, la parte actora refirió que la Ley 1712 de 2014 regula contornos similares a la Ley 1621 de 2013 y resulta más garantista. Igualmente mencionó la Ley 1755</w:t>
      </w:r>
      <w:r w:rsidRPr="008657A0">
        <w:rPr>
          <w:rFonts w:ascii="Times New Roman" w:hAnsi="Times New Roman" w:cs="Times New Roman"/>
          <w:lang w:val="es-ES_tradnl"/>
        </w:rPr>
        <w:t xml:space="preserve"> de 2015 (artículo 44) que establece que serán reservados los documentos relacionados con la defensa o seguridad nacionales. En tal sentido, señalaron que la Corte dijo que </w:t>
      </w:r>
      <w:r w:rsidRPr="008657A0">
        <w:rPr>
          <w:rFonts w:ascii="Times New Roman" w:hAnsi="Times New Roman" w:cs="Times New Roman"/>
        </w:rPr>
        <w:t>en cada caso es necesario “acreditar que tales derechos o bienes se verían seriamen</w:t>
      </w:r>
      <w:r w:rsidRPr="008657A0">
        <w:rPr>
          <w:rFonts w:ascii="Times New Roman" w:hAnsi="Times New Roman" w:cs="Times New Roman"/>
        </w:rPr>
        <w:t xml:space="preserve">te afectados si se difunde determinada información, lo que hace necesario mantener la reserva”. En otras palabras, no basta con apelar a la fórmula genérica ‘defensa y seguridad del Estado’ para que cualquier restricción resulte admisible”. Cfr. Sentencia </w:t>
      </w:r>
      <w:r w:rsidRPr="008657A0">
        <w:rPr>
          <w:rFonts w:ascii="Times New Roman" w:hAnsi="Times New Roman" w:cs="Times New Roman"/>
        </w:rPr>
        <w:t>C-951 de 2014.</w:t>
      </w:r>
    </w:p>
  </w:footnote>
  <w:footnote w:id="35">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Las tablas se organizarán de conformidad con la solicitud principal de cada interviniente. En caso de que se hubiere formulado una s</w:t>
      </w:r>
      <w:r w:rsidRPr="008657A0">
        <w:rPr>
          <w:rFonts w:ascii="Times New Roman" w:hAnsi="Times New Roman" w:cs="Times New Roman"/>
        </w:rPr>
        <w:t xml:space="preserve">olicitud subsidiaria, ello se indicará en la casilla correspondiente. </w:t>
      </w:r>
    </w:p>
  </w:footnote>
  <w:footnote w:id="36">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xml:space="preserve">., p. 7. </w:t>
      </w:r>
    </w:p>
  </w:footnote>
  <w:footnote w:id="37">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xml:space="preserve">., p. 6. </w:t>
      </w:r>
    </w:p>
  </w:footnote>
  <w:footnote w:id="38">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 8.</w:t>
      </w:r>
    </w:p>
  </w:footnote>
  <w:footnote w:id="39">
    <w:p w:rsidR="00655584" w:rsidRPr="00563461"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CAJAR hizo referencia a las sentencias C-711 de 1996, C-350 de 1997, C-555 de 2013, C-359 de 2016, T-114 de 2018 y T-372 de 2023.</w:t>
      </w:r>
    </w:p>
  </w:footnote>
  <w:footnote w:id="40">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 6.</w:t>
      </w:r>
    </w:p>
  </w:footnote>
  <w:footnote w:id="41">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xml:space="preserve">., p. 7. </w:t>
      </w:r>
    </w:p>
  </w:footnote>
  <w:footnote w:id="42">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w:t>
      </w:r>
    </w:p>
  </w:footnote>
  <w:footnote w:id="43">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 8.</w:t>
      </w:r>
    </w:p>
  </w:footnote>
  <w:footnote w:id="44">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 3.</w:t>
      </w:r>
    </w:p>
  </w:footnote>
  <w:footnote w:id="45">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xml:space="preserve">., p. 6. </w:t>
      </w:r>
    </w:p>
  </w:footnote>
  <w:footnote w:id="46">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 18.</w:t>
      </w:r>
    </w:p>
  </w:footnote>
  <w:footnote w:id="47">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w:t>
      </w:r>
      <w:r w:rsidRPr="008657A0">
        <w:rPr>
          <w:rFonts w:ascii="Times New Roman" w:hAnsi="Times New Roman" w:cs="Times New Roman"/>
        </w:rPr>
        <w:t>. 7.</w:t>
      </w:r>
    </w:p>
  </w:footnote>
  <w:footnote w:id="48">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 18.</w:t>
      </w:r>
    </w:p>
  </w:footnote>
  <w:footnote w:id="49">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 7.</w:t>
      </w:r>
    </w:p>
  </w:footnote>
  <w:footnote w:id="50">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Expediente digital, archivo “D0016216 CCJ.pdf”. Disponible en: https://www.corteconstitucional.gov.co/secretaria/</w:t>
      </w:r>
      <w:r w:rsidRPr="008657A0">
        <w:rPr>
          <w:rFonts w:ascii="Times New Roman" w:hAnsi="Times New Roman" w:cs="Times New Roman"/>
        </w:rPr>
        <w:t>archivo.php?id=99074</w:t>
      </w:r>
    </w:p>
  </w:footnote>
  <w:footnote w:id="51">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 6.</w:t>
      </w:r>
    </w:p>
  </w:footnote>
  <w:footnote w:id="52">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La interviniente aludió a los artículos 17 del Pacto Internacional de Derechos Civiles y Políticos, 11 de la CADH y 8 del Convenio Europeo de Derechos Humanos. También se refirió a la jurisprudencia del Tribunal Europe</w:t>
      </w:r>
      <w:r w:rsidRPr="008657A0">
        <w:rPr>
          <w:rFonts w:ascii="Times New Roman" w:hAnsi="Times New Roman" w:cs="Times New Roman"/>
        </w:rPr>
        <w:t xml:space="preserve">o de Derechos Humanos y del Tribunal </w:t>
      </w:r>
      <w:r w:rsidRPr="008657A0">
        <w:rPr>
          <w:rFonts w:ascii="Times New Roman" w:hAnsi="Times New Roman" w:cs="Times New Roman"/>
        </w:rPr>
        <w:t>de Justicia de la Unión Europea.</w:t>
      </w:r>
    </w:p>
  </w:footnote>
  <w:footnote w:id="53">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 3.</w:t>
      </w:r>
    </w:p>
  </w:footnote>
  <w:footnote w:id="54">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vertAlign w:val="superscript"/>
        </w:rPr>
        <w:t xml:space="preserve"> </w:t>
      </w:r>
      <w:r w:rsidRPr="008657A0">
        <w:rPr>
          <w:rFonts w:ascii="Times New Roman" w:hAnsi="Times New Roman" w:cs="Times New Roman"/>
          <w:i/>
          <w:iCs/>
        </w:rPr>
        <w:t>Ibid</w:t>
      </w:r>
      <w:r w:rsidRPr="008657A0">
        <w:rPr>
          <w:rFonts w:ascii="Times New Roman" w:hAnsi="Times New Roman" w:cs="Times New Roman"/>
        </w:rPr>
        <w:t xml:space="preserve">., p. 11. </w:t>
      </w:r>
    </w:p>
  </w:footnote>
  <w:footnote w:id="55">
    <w:p w:rsidR="00655584" w:rsidRPr="00563461"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Expediente digital, archivo “D0016216 Escuela de privacidad.pdf”, p. 12.</w:t>
      </w:r>
    </w:p>
  </w:footnote>
  <w:footnote w:id="56">
    <w:p w:rsidR="00655584" w:rsidRPr="00563461"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Expediente digital, archivo “D0016216 Karisma y U Rosario.pdf”, p. 12.</w:t>
      </w:r>
    </w:p>
  </w:footnote>
  <w:footnote w:id="57">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pp. 17 y 18.</w:t>
      </w:r>
    </w:p>
  </w:footnote>
  <w:footnote w:id="58">
    <w:p w:rsidR="00655584" w:rsidRPr="00563461"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Expediente digital, archivo “D0016216 MinTic.pdf”, p. 11.</w:t>
      </w:r>
    </w:p>
  </w:footnote>
  <w:footnote w:id="59">
    <w:p w:rsidR="00655584" w:rsidRPr="00563461"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Expediente digital, archivo “D0016216 Dirección de Inteligencia.pdf”, p. 14. </w:t>
      </w:r>
    </w:p>
  </w:footnote>
  <w:footnote w:id="60">
    <w:p w:rsidR="00655584" w:rsidRPr="00563461"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Expediente digital, archivo “D0016216 Nicole Ballesteros.pdf”, p. 9. </w:t>
      </w:r>
    </w:p>
  </w:footnote>
  <w:footnote w:id="61">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Expediente digital, archiv</w:t>
      </w:r>
      <w:r w:rsidRPr="008657A0">
        <w:rPr>
          <w:rFonts w:ascii="Times New Roman" w:hAnsi="Times New Roman" w:cs="Times New Roman"/>
        </w:rPr>
        <w:t>o “D0016216 U Lib</w:t>
      </w:r>
      <w:r w:rsidRPr="008657A0">
        <w:rPr>
          <w:rFonts w:ascii="Times New Roman" w:hAnsi="Times New Roman" w:cs="Times New Roman"/>
        </w:rPr>
        <w:t xml:space="preserve">re”, p. 19. </w:t>
      </w:r>
    </w:p>
  </w:footnote>
  <w:footnote w:id="62">
    <w:p w:rsidR="00655584" w:rsidRPr="00563461"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Los argumentos empleados por el Ministerio para fundamentar su postura se exponen en la Tabla 1.</w:t>
      </w:r>
    </w:p>
  </w:footnote>
  <w:footnote w:id="63">
    <w:p w:rsidR="00655584" w:rsidRPr="00563461"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Expediente digital, archivo “D0016216 CCJ.pdf”, p. 6.</w:t>
      </w:r>
    </w:p>
  </w:footnote>
  <w:footnote w:id="64">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vertAlign w:val="superscript"/>
        </w:rPr>
        <w:t xml:space="preserve"> </w:t>
      </w:r>
      <w:r w:rsidRPr="008657A0">
        <w:rPr>
          <w:rFonts w:ascii="Times New Roman" w:hAnsi="Times New Roman" w:cs="Times New Roman"/>
        </w:rPr>
        <w:t>La ANE explicó que el espectro radioeléctrico “es el conjunto de frecuencias de las on</w:t>
      </w:r>
      <w:r w:rsidRPr="008657A0">
        <w:rPr>
          <w:rFonts w:ascii="Times New Roman" w:hAnsi="Times New Roman" w:cs="Times New Roman"/>
        </w:rPr>
        <w:t>das electromagnéticas que se propagan por el espacio sin guía artificial, fijado convencionalmente hasta los 3000 GHz. Por lo tanto, el espectro radioeléctrico hace parte del espectro electromagnético, y constituye el medio que permite las telecomunicacion</w:t>
      </w:r>
      <w:r w:rsidRPr="008657A0">
        <w:rPr>
          <w:rFonts w:ascii="Times New Roman" w:hAnsi="Times New Roman" w:cs="Times New Roman"/>
        </w:rPr>
        <w:t>es inalámbricas de todo tipo, tales como las aeronáuticas, marítimas, de radioaficionados, satelitales, enlaces de microondas, IMT (Telecomunicaciones Móviles Internacionales conocidas comúnmente como comunicaciones celulares), acceso inalámbrico a interne</w:t>
      </w:r>
      <w:r w:rsidRPr="008657A0">
        <w:rPr>
          <w:rFonts w:ascii="Times New Roman" w:hAnsi="Times New Roman" w:cs="Times New Roman"/>
        </w:rPr>
        <w:t>t (WiFi), radiodifusión sonora y de televisión. Así las cosas, para que estos sistemas de telecomunicaciones puedan operar correctamente y con la calidad requerida, es necesario que el uso del espectro radioeléctrico sea realizado de manera eficiente, orde</w:t>
      </w:r>
      <w:r w:rsidRPr="008657A0">
        <w:rPr>
          <w:rFonts w:ascii="Times New Roman" w:hAnsi="Times New Roman" w:cs="Times New Roman"/>
        </w:rPr>
        <w:t>nada y libre de interferencias” (</w:t>
      </w:r>
      <w:r w:rsidRPr="008657A0">
        <w:rPr>
          <w:rFonts w:ascii="Times New Roman" w:hAnsi="Times New Roman" w:cs="Times New Roman"/>
          <w:i/>
          <w:iCs/>
        </w:rPr>
        <w:t>Ibid</w:t>
      </w:r>
      <w:r w:rsidRPr="008657A0">
        <w:rPr>
          <w:rFonts w:ascii="Times New Roman" w:hAnsi="Times New Roman" w:cs="Times New Roman"/>
        </w:rPr>
        <w:t>., p. 3).</w:t>
      </w:r>
    </w:p>
  </w:footnote>
  <w:footnote w:id="65">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vertAlign w:val="superscript"/>
        </w:rPr>
        <w:t xml:space="preserve"> </w:t>
      </w:r>
      <w:r w:rsidRPr="008657A0">
        <w:rPr>
          <w:rFonts w:ascii="Times New Roman" w:hAnsi="Times New Roman" w:cs="Times New Roman"/>
          <w:i/>
          <w:iCs/>
        </w:rPr>
        <w:t>Ibid</w:t>
      </w:r>
      <w:r w:rsidRPr="008657A0">
        <w:rPr>
          <w:rFonts w:ascii="Times New Roman" w:hAnsi="Times New Roman" w:cs="Times New Roman"/>
        </w:rPr>
        <w:t>., p. 5.</w:t>
      </w:r>
    </w:p>
  </w:footnote>
  <w:footnote w:id="66">
    <w:p w:rsidR="00655584" w:rsidRPr="00563461"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Los argumentos empleados por el Procurador General de la Nación para fundamentar su postura se exponen en la Tabla 1.</w:t>
      </w:r>
    </w:p>
  </w:footnote>
  <w:footnote w:id="67">
    <w:p w:rsidR="00655584" w:rsidRPr="008657A0"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i/>
          <w:iCs/>
        </w:rPr>
        <w:t>Ibid</w:t>
      </w:r>
      <w:r w:rsidRPr="008657A0">
        <w:rPr>
          <w:rFonts w:ascii="Times New Roman" w:hAnsi="Times New Roman" w:cs="Times New Roman"/>
        </w:rPr>
        <w:t>., p. 11.</w:t>
      </w:r>
    </w:p>
  </w:footnote>
  <w:footnote w:id="68">
    <w:p w:rsidR="00655584" w:rsidRPr="008657A0" w:rsidRDefault="00F33E35" w:rsidP="00B72E11">
      <w:pPr>
        <w:pStyle w:val="Textonotapie"/>
        <w:tabs>
          <w:tab w:val="left" w:pos="0"/>
        </w:tabs>
        <w:ind w:right="49"/>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El desarrollo de este título se basó en las Sentencias C</w:t>
      </w:r>
      <w:r w:rsidRPr="008657A0">
        <w:rPr>
          <w:rFonts w:ascii="Times New Roman" w:hAnsi="Times New Roman" w:cs="Times New Roman"/>
          <w:lang w:val="es-ES_tradnl"/>
        </w:rPr>
        <w:t xml:space="preserve">-479 de 2024, C-438 de 2024, C-321 de 2024, C-190 de 2023, C-030 de 2023, C-210 de 2021, C-042 de 2021, C-292 de 2019, entre otras. </w:t>
      </w:r>
    </w:p>
  </w:footnote>
  <w:footnote w:id="69">
    <w:p w:rsidR="00655584" w:rsidRPr="00563461" w:rsidRDefault="00F33E35">
      <w:pPr>
        <w:pStyle w:val="Textonotapie"/>
        <w:tabs>
          <w:tab w:val="left" w:pos="0"/>
        </w:tabs>
        <w:ind w:right="-234"/>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Constitución, artículos 1, 40 numeral 6 y 228. </w:t>
      </w:r>
    </w:p>
  </w:footnote>
  <w:footnote w:id="70">
    <w:p w:rsidR="00655584" w:rsidRPr="008657A0" w:rsidRDefault="00F33E35">
      <w:pPr>
        <w:pStyle w:val="Textonotapie"/>
        <w:tabs>
          <w:tab w:val="left" w:pos="0"/>
        </w:tabs>
        <w:ind w:right="49"/>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Las sentencias C-009 de 2023 y C-335 de 2021 así lo ha</w:t>
      </w:r>
      <w:r w:rsidRPr="008657A0">
        <w:rPr>
          <w:rFonts w:ascii="Times New Roman" w:hAnsi="Times New Roman" w:cs="Times New Roman"/>
        </w:rPr>
        <w:t>n reconocido: “La</w:t>
      </w:r>
      <w:r w:rsidRPr="008657A0">
        <w:rPr>
          <w:rFonts w:ascii="Times New Roman" w:hAnsi="Times New Roman" w:cs="Times New Roman"/>
        </w:rPr>
        <w:t xml:space="preserve"> Corte Constitucional ha establecido un sistema de filtros para la admisión y decisión de fondo de las acciones públicas de constitucionalidad. Este esquema evita las demandas temerarias, racionaliza el ejercicio del derecho político a demandar (…) las ley</w:t>
      </w:r>
      <w:r w:rsidRPr="008657A0">
        <w:rPr>
          <w:rFonts w:ascii="Times New Roman" w:hAnsi="Times New Roman" w:cs="Times New Roman"/>
        </w:rPr>
        <w:t>es y cualifica deliberativamente el proceso de control de constitucionalidad. [S]e trata de una manifestación del carácter rogado del control de constitucionalidad, de una carga mínima de quien ejerce el derecho político a demandar las leyes y de una dimen</w:t>
      </w:r>
      <w:r w:rsidRPr="008657A0">
        <w:rPr>
          <w:rFonts w:ascii="Times New Roman" w:hAnsi="Times New Roman" w:cs="Times New Roman"/>
        </w:rPr>
        <w:t>sión del principio democrático que se concreta en la presunción de constitucionalidad de los actos normativos proferidos por el legislador”.</w:t>
      </w:r>
    </w:p>
  </w:footnote>
  <w:footnote w:id="71">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Sentencias C-479 de 2024.</w:t>
      </w:r>
    </w:p>
  </w:footnote>
  <w:footnote w:id="72">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En el auto 241 de 2015 la Corte Constitucional, al modificar su doct</w:t>
      </w:r>
      <w:r w:rsidRPr="008657A0">
        <w:rPr>
          <w:rFonts w:ascii="Times New Roman" w:hAnsi="Times New Roman" w:cs="Times New Roman"/>
        </w:rPr>
        <w:t xml:space="preserve">rina relativa a </w:t>
      </w:r>
      <w:r w:rsidRPr="008657A0">
        <w:rPr>
          <w:rFonts w:ascii="Times New Roman" w:hAnsi="Times New Roman" w:cs="Times New Roman"/>
        </w:rPr>
        <w:t>la ausencia de legitimación de las personas cuyos derechos políticos se encontraban suspendidos por decisión judicial, precisó que la acción pública de inconstitucionalidad tenía ese doble fundamento. Al resumir su postura señaló: “</w:t>
      </w:r>
      <w:r w:rsidRPr="008657A0">
        <w:rPr>
          <w:rFonts w:ascii="Times New Roman" w:hAnsi="Times New Roman" w:cs="Times New Roman"/>
          <w:shd w:val="clear" w:color="auto" w:fill="FFFFFF"/>
        </w:rPr>
        <w:t>(i) La Constitución sólo</w:t>
      </w:r>
      <w:r w:rsidRPr="008657A0">
        <w:rPr>
          <w:rFonts w:ascii="Times New Roman" w:hAnsi="Times New Roman" w:cs="Times New Roman"/>
          <w:shd w:val="clear" w:color="auto" w:fill="FFFFFF"/>
        </w:rPr>
        <w:t xml:space="preserve"> exige ostentar la calidad de ciudadano para ejercer el derecho a instaurar acciones de inconstitucionalidad. (ii) Si bien este es un derecho político, es también fruto del derecho fundamental a acceder a la administración de justicia, que en el marco polí</w:t>
      </w:r>
      <w:r w:rsidRPr="008657A0">
        <w:rPr>
          <w:rFonts w:ascii="Times New Roman" w:hAnsi="Times New Roman" w:cs="Times New Roman"/>
          <w:shd w:val="clear" w:color="auto" w:fill="FFFFFF"/>
        </w:rPr>
        <w:t>tico es además universal. Dado que el acceso a la justicia es esencial para garantizar el goce efectivo de los demás derechos y libertades, y para definir los límites de las instituciones estatales, la suspensión parcial del derecho a interponer acciones p</w:t>
      </w:r>
      <w:r w:rsidRPr="008657A0">
        <w:rPr>
          <w:rFonts w:ascii="Times New Roman" w:hAnsi="Times New Roman" w:cs="Times New Roman"/>
          <w:shd w:val="clear" w:color="auto" w:fill="FFFFFF"/>
        </w:rPr>
        <w:t>úblicas no es sólo la restricción de un derecho político, sino la reducción de la efectividad de todos los demás derechos constitucionales, lo cual es inadmisible. (iii) Es necesario ser coherente con el desarrollo institucional de la acción pública de inc</w:t>
      </w:r>
      <w:r w:rsidRPr="008657A0">
        <w:rPr>
          <w:rFonts w:ascii="Times New Roman" w:hAnsi="Times New Roman" w:cs="Times New Roman"/>
          <w:shd w:val="clear" w:color="auto" w:fill="FFFFFF"/>
        </w:rPr>
        <w:t xml:space="preserve">onstitucionalidad, y esto supone no detener la ampliación del grupo de ciudadanos colombianos titulares de ese derecho fundamental, aunque es preciso aclarar que no se trata de ampliar el catálogo de derechos de las personas condenadas, sino de garantizar </w:t>
      </w:r>
      <w:r w:rsidRPr="008657A0">
        <w:rPr>
          <w:rFonts w:ascii="Times New Roman" w:hAnsi="Times New Roman" w:cs="Times New Roman"/>
          <w:shd w:val="clear" w:color="auto" w:fill="FFFFFF"/>
        </w:rPr>
        <w:t>su acceso a la justicia constitucional. (iv) Es necesario actualizar el entendimiento de la Constitución para comunicarlo con la realidad penitenciaria y el derecho internacional de los derechos humanos”.</w:t>
      </w:r>
    </w:p>
  </w:footnote>
  <w:footnote w:id="73">
    <w:p w:rsidR="00655584" w:rsidRPr="008657A0" w:rsidRDefault="00F33E35">
      <w:pPr>
        <w:pStyle w:val="Textonotapie"/>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Tomado directamente de la sentencia C-292 de 2019</w:t>
      </w:r>
      <w:r w:rsidRPr="008657A0">
        <w:rPr>
          <w:rFonts w:ascii="Times New Roman" w:hAnsi="Times New Roman" w:cs="Times New Roman"/>
          <w:lang w:val="es-ES_tradnl"/>
        </w:rPr>
        <w:t>.</w:t>
      </w:r>
    </w:p>
  </w:footnote>
  <w:footnote w:id="74">
    <w:p w:rsidR="00655584" w:rsidRPr="00B72E1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C-752 de 2015.</w:t>
      </w:r>
    </w:p>
  </w:footnote>
  <w:footnote w:id="75">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Desde sus primeros pronunciamientos la Corte había destacado esta idea. Refiriéndose a la ineptitud de la demanda sostuvo, en la sentencia C-447 de 1997, </w:t>
      </w:r>
      <w:r w:rsidRPr="008657A0">
        <w:rPr>
          <w:rFonts w:ascii="Times New Roman" w:hAnsi="Times New Roman" w:cs="Times New Roman"/>
          <w:shd w:val="clear" w:color="auto" w:fill="FFFFFF"/>
        </w:rPr>
        <w:t xml:space="preserve">que “lo procedente (…) por razones de economía procesal y para </w:t>
      </w:r>
      <w:r w:rsidRPr="008657A0">
        <w:rPr>
          <w:rFonts w:ascii="Times New Roman" w:hAnsi="Times New Roman" w:cs="Times New Roman"/>
          <w:shd w:val="clear" w:color="auto" w:fill="FFFFFF"/>
        </w:rPr>
        <w:t>cualificar la propia participación ciudadana, es la inadmisión de la demanda”.</w:t>
      </w:r>
      <w:r w:rsidRPr="008657A0">
        <w:rPr>
          <w:rFonts w:ascii="Times New Roman" w:hAnsi="Times New Roman" w:cs="Times New Roman"/>
        </w:rPr>
        <w:t xml:space="preserve"> En semejante dirección la sentencia C-1052 de 2001 señala: “</w:t>
      </w:r>
      <w:r w:rsidRPr="008657A0">
        <w:rPr>
          <w:rFonts w:ascii="Times New Roman" w:hAnsi="Times New Roman" w:cs="Times New Roman"/>
          <w:shd w:val="clear" w:color="auto" w:fill="FFFFFF"/>
        </w:rPr>
        <w:t>La presentación de una demanda de inconstitucionalidad ante la Corte da inicio a un diálogo entre el ciudadano, las a</w:t>
      </w:r>
      <w:r w:rsidRPr="008657A0">
        <w:rPr>
          <w:rFonts w:ascii="Times New Roman" w:hAnsi="Times New Roman" w:cs="Times New Roman"/>
          <w:shd w:val="clear" w:color="auto" w:fill="FFFFFF"/>
        </w:rPr>
        <w:t>utoridades estatales comprometidas en la expedición o aplicación de las normas demandadas y el juez competente para juzgarlas a la luz del Ordenamiento Superior. Esto supone como mínimo la exposición de razones conducentes para hacer posible el debate”.</w:t>
      </w:r>
      <w:r w:rsidRPr="008657A0">
        <w:rPr>
          <w:rFonts w:ascii="Times New Roman" w:hAnsi="Times New Roman" w:cs="Times New Roman"/>
          <w:lang w:val="es-ES_tradnl"/>
        </w:rPr>
        <w:t xml:space="preserve"> To</w:t>
      </w:r>
      <w:r w:rsidRPr="008657A0">
        <w:rPr>
          <w:rFonts w:ascii="Times New Roman" w:hAnsi="Times New Roman" w:cs="Times New Roman"/>
          <w:lang w:val="es-ES_tradnl"/>
        </w:rPr>
        <w:t>mado de la sentencia C-292 de 2019.</w:t>
      </w:r>
    </w:p>
  </w:footnote>
  <w:footnote w:id="76">
    <w:p w:rsidR="00655584" w:rsidRPr="008657A0" w:rsidRDefault="00F33E35">
      <w:pPr>
        <w:pStyle w:val="Textonotapie"/>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Tomado directamente de la sentencia C-292 de 2019.</w:t>
      </w:r>
    </w:p>
  </w:footnote>
  <w:footnote w:id="77">
    <w:p w:rsidR="00655584" w:rsidRPr="008657A0" w:rsidRDefault="00F33E35">
      <w:pPr>
        <w:pStyle w:val="Textonotapie"/>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rPr>
        <w:t>Ib.</w:t>
      </w:r>
    </w:p>
  </w:footnote>
  <w:footnote w:id="78">
    <w:p w:rsidR="00655584" w:rsidRPr="008657A0" w:rsidRDefault="00F33E35">
      <w:pPr>
        <w:pStyle w:val="Textonotapie"/>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8657A0">
        <w:rPr>
          <w:rFonts w:ascii="Times New Roman" w:hAnsi="Times New Roman" w:cs="Times New Roman"/>
          <w:lang w:val="es-ES_tradnl"/>
        </w:rPr>
        <w:t>Ib.</w:t>
      </w:r>
    </w:p>
  </w:footnote>
  <w:footnote w:id="79">
    <w:p w:rsidR="00655584" w:rsidRPr="00563461" w:rsidRDefault="00F33E35">
      <w:pPr>
        <w:pStyle w:val="Textonotapie"/>
        <w:tabs>
          <w:tab w:val="left" w:pos="0"/>
        </w:tabs>
        <w:ind w:right="-234"/>
        <w:jc w:val="both"/>
        <w:rPr>
          <w:rFonts w:ascii="Times New Roman" w:hAnsi="Times New Roman" w:cs="Times New Roman"/>
        </w:rPr>
      </w:pPr>
      <w:r w:rsidRPr="00563461">
        <w:rPr>
          <w:rFonts w:ascii="Times New Roman" w:hAnsi="Times New Roman" w:cs="Times New Roman"/>
          <w:color w:val="000000"/>
          <w:vertAlign w:val="superscript"/>
          <w:lang w:val="es-ES"/>
        </w:rPr>
        <w:footnoteRef/>
      </w:r>
      <w:r w:rsidRPr="00563461">
        <w:rPr>
          <w:rFonts w:ascii="Times New Roman" w:hAnsi="Times New Roman" w:cs="Times New Roman"/>
          <w:color w:val="000000"/>
          <w:lang w:val="es-ES"/>
        </w:rPr>
        <w:t xml:space="preserve"> Sentencia C-1052 de 2001. (Fundamento Jurídico 3.4.2).</w:t>
      </w:r>
    </w:p>
  </w:footnote>
  <w:footnote w:id="80">
    <w:p w:rsidR="00655584" w:rsidRPr="00563461" w:rsidRDefault="00F33E35">
      <w:pPr>
        <w:pStyle w:val="Textonotapie"/>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Tomado directamente de la sentencia C-292 de 2019.</w:t>
      </w:r>
    </w:p>
  </w:footnote>
  <w:footnote w:id="81">
    <w:p w:rsidR="00655584" w:rsidRPr="00563461" w:rsidRDefault="00F33E35">
      <w:pPr>
        <w:pStyle w:val="Textonotapie"/>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Ib.</w:t>
      </w:r>
    </w:p>
  </w:footnote>
  <w:footnote w:id="82">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C-584 de 2016. Refiriéndose a la validez de la inadmisión de las demandas de inconstitucionalidad que no cumplieran las condiciones mínimas de argumentación, la sentencia C-447 de 1997 había ya señalado </w:t>
      </w:r>
      <w:r w:rsidRPr="008657A0">
        <w:rPr>
          <w:rFonts w:ascii="Times New Roman" w:hAnsi="Times New Roman" w:cs="Times New Roman"/>
          <w:shd w:val="clear" w:color="auto" w:fill="FFFFFF"/>
        </w:rPr>
        <w:t>que ello “</w:t>
      </w:r>
      <w:r w:rsidRPr="008657A0">
        <w:rPr>
          <w:rFonts w:ascii="Times New Roman" w:hAnsi="Times New Roman" w:cs="Times New Roman"/>
          <w:i/>
          <w:shd w:val="clear" w:color="auto" w:fill="FFFFFF"/>
        </w:rPr>
        <w:t>no vulnera la participación ciud</w:t>
      </w:r>
      <w:r w:rsidRPr="008657A0">
        <w:rPr>
          <w:rFonts w:ascii="Times New Roman" w:hAnsi="Times New Roman" w:cs="Times New Roman"/>
          <w:i/>
          <w:shd w:val="clear" w:color="auto" w:fill="FFFFFF"/>
        </w:rPr>
        <w:t>adana en los procesos de control constitucional, sino que tiende a cualificarla, con lo cual se fortalece la democracia y se garantiza mejor la integridad de la Constitución</w:t>
      </w:r>
      <w:r w:rsidRPr="008657A0">
        <w:rPr>
          <w:rFonts w:ascii="Times New Roman" w:hAnsi="Times New Roman" w:cs="Times New Roman"/>
          <w:shd w:val="clear" w:color="auto" w:fill="FFFFFF"/>
        </w:rPr>
        <w:t>”.</w:t>
      </w:r>
      <w:r w:rsidRPr="008657A0">
        <w:rPr>
          <w:rFonts w:ascii="Times New Roman" w:hAnsi="Times New Roman" w:cs="Times New Roman"/>
        </w:rPr>
        <w:t xml:space="preserve"> </w:t>
      </w:r>
    </w:p>
  </w:footnote>
  <w:footnote w:id="83">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C-584 de 2016.</w:t>
      </w:r>
      <w:r w:rsidRPr="008657A0">
        <w:rPr>
          <w:rFonts w:ascii="Times New Roman" w:hAnsi="Times New Roman" w:cs="Times New Roman"/>
          <w:lang w:val="es-ES_tradnl"/>
        </w:rPr>
        <w:t xml:space="preserve"> Tomado directamente de la sentencia C-292 de 2019.</w:t>
      </w:r>
    </w:p>
  </w:footnote>
  <w:footnote w:id="84">
    <w:p w:rsidR="00655584" w:rsidRPr="00B72E11" w:rsidRDefault="00F33E35">
      <w:pPr>
        <w:pStyle w:val="Textonotapie"/>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Tomado di</w:t>
      </w:r>
      <w:r w:rsidRPr="00563461">
        <w:rPr>
          <w:rFonts w:ascii="Times New Roman" w:hAnsi="Times New Roman" w:cs="Times New Roman"/>
          <w:lang w:val="es-ES_tradnl"/>
        </w:rPr>
        <w:t>rectamente de la Sentencia C-2</w:t>
      </w:r>
      <w:r w:rsidRPr="008657A0">
        <w:rPr>
          <w:rFonts w:ascii="Times New Roman" w:hAnsi="Times New Roman" w:cs="Times New Roman"/>
          <w:lang w:val="es-ES_tradnl"/>
        </w:rPr>
        <w:t>92 de 2019.</w:t>
      </w:r>
    </w:p>
  </w:footnote>
  <w:footnote w:id="85">
    <w:p w:rsidR="00655584" w:rsidRPr="008657A0" w:rsidRDefault="00F33E35">
      <w:pPr>
        <w:pStyle w:val="Textonotapie"/>
        <w:tabs>
          <w:tab w:val="left" w:pos="0"/>
        </w:tabs>
        <w:ind w:right="-234"/>
        <w:jc w:val="both"/>
        <w:rPr>
          <w:rFonts w:ascii="Times New Roman" w:hAnsi="Times New Roman" w:cs="Times New Roman"/>
          <w:lang w:val="es-ES"/>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C-190 de 2023.</w:t>
      </w:r>
    </w:p>
  </w:footnote>
  <w:footnote w:id="86">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C-886 de 2010.</w:t>
      </w:r>
    </w:p>
  </w:footnote>
  <w:footnote w:id="87">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C-886 de 2010.</w:t>
      </w:r>
      <w:r w:rsidRPr="00563461">
        <w:rPr>
          <w:rFonts w:ascii="Times New Roman" w:hAnsi="Times New Roman" w:cs="Times New Roman"/>
          <w:lang w:val="es-ES_tradnl"/>
        </w:rPr>
        <w:t xml:space="preserve"> Tomado directamente de la Sentencia C-292 de 2019.</w:t>
      </w:r>
    </w:p>
  </w:footnote>
  <w:footnote w:id="88">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Sobre esta posibilidad la sentencia C-535 de 2016, apoyándose en jurisprudencia </w:t>
      </w:r>
      <w:r w:rsidRPr="00563461">
        <w:rPr>
          <w:rFonts w:ascii="Times New Roman" w:hAnsi="Times New Roman" w:cs="Times New Roman"/>
        </w:rPr>
        <w:t>reiterada, indicó que “</w:t>
      </w:r>
      <w:r w:rsidRPr="00563461">
        <w:rPr>
          <w:rFonts w:ascii="Times New Roman" w:hAnsi="Times New Roman" w:cs="Times New Roman"/>
          <w:shd w:val="clear" w:color="auto" w:fill="FFFFFF"/>
        </w:rPr>
        <w:t>la admi</w:t>
      </w:r>
      <w:r w:rsidRPr="008657A0">
        <w:rPr>
          <w:rFonts w:ascii="Times New Roman" w:hAnsi="Times New Roman" w:cs="Times New Roman"/>
          <w:shd w:val="clear" w:color="auto" w:fill="FFFFFF"/>
        </w:rPr>
        <w:t xml:space="preserve">sión de la demanda por parte del Magistrado ponente de cada acción de inconstitucionalidad es un momento oportuno para determinar el cumplimiento de los requisitos antes citados; sin embargo, también ha indicado, que el hecho </w:t>
      </w:r>
      <w:r w:rsidRPr="008657A0">
        <w:rPr>
          <w:rFonts w:ascii="Times New Roman" w:hAnsi="Times New Roman" w:cs="Times New Roman"/>
          <w:shd w:val="clear" w:color="auto" w:fill="FFFFFF"/>
        </w:rPr>
        <w:t>de que se supere esa primera mirada, que es sumaria, no impone un pronunciamiento de fondo, pues finalmente es en la Sala Plena de la Corporación, integrada por todos sus Magistrados en quien recae la competencia de proferir una Sentencia, en donde se dete</w:t>
      </w:r>
      <w:r w:rsidRPr="008657A0">
        <w:rPr>
          <w:rFonts w:ascii="Times New Roman" w:hAnsi="Times New Roman" w:cs="Times New Roman"/>
          <w:shd w:val="clear" w:color="auto" w:fill="FFFFFF"/>
        </w:rPr>
        <w:t>rmina, previo un debate deliberativo, si la demanda es apta o no, contando con la intervención además de quienes hayan sido convocados y del Ministerio Público”.</w:t>
      </w:r>
      <w:r w:rsidRPr="008657A0">
        <w:rPr>
          <w:rFonts w:ascii="Times New Roman" w:hAnsi="Times New Roman" w:cs="Times New Roman"/>
        </w:rPr>
        <w:t xml:space="preserve"> </w:t>
      </w:r>
    </w:p>
  </w:footnote>
  <w:footnote w:id="89">
    <w:p w:rsidR="00655584" w:rsidRPr="00563461" w:rsidRDefault="00F33E35">
      <w:pPr>
        <w:pStyle w:val="Textonotapie"/>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Tomado directamente de la Sentencia C-292 de 2019.</w:t>
      </w:r>
    </w:p>
  </w:footnote>
  <w:footnote w:id="90">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w:t>
      </w:r>
      <w:r w:rsidRPr="008657A0">
        <w:rPr>
          <w:rFonts w:ascii="Times New Roman" w:hAnsi="Times New Roman" w:cs="Times New Roman"/>
        </w:rPr>
        <w:t xml:space="preserve">C-1052 de 2001. </w:t>
      </w:r>
    </w:p>
  </w:footnote>
  <w:footnote w:id="91">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w:t>
      </w:r>
      <w:r w:rsidRPr="00563461">
        <w:rPr>
          <w:rFonts w:ascii="Times New Roman" w:hAnsi="Times New Roman" w:cs="Times New Roman"/>
        </w:rPr>
        <w:t xml:space="preserve"> </w:t>
      </w:r>
      <w:r w:rsidRPr="008657A0">
        <w:rPr>
          <w:rFonts w:ascii="Times New Roman" w:hAnsi="Times New Roman" w:cs="Times New Roman"/>
        </w:rPr>
        <w:t xml:space="preserve">C-251 de 2003. En similar sentido se encuentran, por ejemplo, las sentencias C-351 de 2009, C-502 de 2012 y C-156 de 2013. </w:t>
      </w:r>
      <w:bookmarkStart w:id="20" w:name="OLE_LINK1"/>
      <w:r w:rsidRPr="008657A0">
        <w:rPr>
          <w:rFonts w:ascii="Times New Roman" w:hAnsi="Times New Roman" w:cs="Times New Roman"/>
          <w:lang w:val="es-ES_tradnl"/>
        </w:rPr>
        <w:t>Tomado directamente de la Sentencia C-292 de 2019.</w:t>
      </w:r>
      <w:bookmarkEnd w:id="20"/>
    </w:p>
  </w:footnote>
  <w:footnote w:id="92">
    <w:p w:rsidR="00655584" w:rsidRPr="00B72E1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En esa dirección se encuentran, por ejemplo, las sentencias C-358 de 2013 y C-7</w:t>
      </w:r>
      <w:r w:rsidRPr="00563461">
        <w:rPr>
          <w:rFonts w:ascii="Times New Roman" w:hAnsi="Times New Roman" w:cs="Times New Roman"/>
        </w:rPr>
        <w:t>26 de 2015.</w:t>
      </w:r>
      <w:r w:rsidRPr="00B72E11">
        <w:rPr>
          <w:rFonts w:ascii="Times New Roman" w:hAnsi="Times New Roman" w:cs="Times New Roman"/>
        </w:rPr>
        <w:t xml:space="preserve"> </w:t>
      </w:r>
    </w:p>
  </w:footnote>
  <w:footnote w:id="93">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C-584 de 2016. </w:t>
      </w:r>
    </w:p>
  </w:footnote>
  <w:footnote w:id="94">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C-520 de 2006.</w:t>
      </w:r>
      <w:r w:rsidRPr="00563461">
        <w:rPr>
          <w:rFonts w:ascii="Times New Roman" w:hAnsi="Times New Roman" w:cs="Times New Roman"/>
          <w:lang w:val="es-ES_tradnl"/>
        </w:rPr>
        <w:t xml:space="preserve"> Tomado directamente de la Sentencia C-292 de 2019.</w:t>
      </w:r>
    </w:p>
  </w:footnote>
  <w:footnote w:id="95">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Sobre el particular y entre muchas otras, la sentencia C-128 de 2018 se refirió a tal posibilidad: “Se trata, sin embargo, de una facul</w:t>
      </w:r>
      <w:r w:rsidRPr="00563461">
        <w:rPr>
          <w:rFonts w:ascii="Times New Roman" w:hAnsi="Times New Roman" w:cs="Times New Roman"/>
        </w:rPr>
        <w:t>tad excepcional, y solo procede en tres casos: (i) cuando el demandante acusa una disposición que, individualmente, no tiene un contenido deóntico claro o unívoco, de manera que, para entenderla y aplicarla, resulta absolutamente imprescindible integrar su</w:t>
      </w:r>
      <w:r w:rsidRPr="00563461">
        <w:rPr>
          <w:rFonts w:ascii="Times New Roman" w:hAnsi="Times New Roman" w:cs="Times New Roman"/>
        </w:rPr>
        <w:t xml:space="preserve"> contenido normativo con el de</w:t>
      </w:r>
      <w:r w:rsidRPr="008657A0">
        <w:rPr>
          <w:rFonts w:ascii="Times New Roman" w:hAnsi="Times New Roman" w:cs="Times New Roman"/>
        </w:rPr>
        <w:t xml:space="preserve"> otra disposición que no fue acusada; en estos casos es necesario completar la proposición jurídica demandada para evitar proferir un fallo inhibitorio, (ii) cuando la disposición cuestionada se encuentra reproducida en otras </w:t>
      </w:r>
      <w:r w:rsidRPr="008657A0">
        <w:rPr>
          <w:rFonts w:ascii="Times New Roman" w:hAnsi="Times New Roman" w:cs="Times New Roman"/>
        </w:rPr>
        <w:t>normas del ordenamiento que no fueron demandadas; esta hipótesis pretende evitar que un fallo de inexequibilidad resulte inocuo, y (iii) cuando la norma se encuentre intrínsecamente relacionada con otra disposición de cuya constitucionalidad existan serias</w:t>
      </w:r>
      <w:r w:rsidRPr="008657A0">
        <w:rPr>
          <w:rFonts w:ascii="Times New Roman" w:hAnsi="Times New Roman" w:cs="Times New Roman"/>
        </w:rPr>
        <w:t xml:space="preserve"> dudas”.</w:t>
      </w:r>
    </w:p>
  </w:footnote>
  <w:footnote w:id="96">
    <w:p w:rsidR="00655584" w:rsidRPr="00B72E11" w:rsidRDefault="00F33E35" w:rsidP="00B72E11">
      <w:pPr>
        <w:pStyle w:val="Textonotapie"/>
        <w:jc w:val="both"/>
        <w:rPr>
          <w:rFonts w:ascii="Times New Roman" w:hAnsi="Times New Roman" w:cs="Times New Roman"/>
          <w:lang w:val="es-ES"/>
        </w:rPr>
      </w:pPr>
      <w:r w:rsidRPr="00B72E11">
        <w:rPr>
          <w:rStyle w:val="Refdenotaalpie"/>
          <w:rFonts w:ascii="Times New Roman" w:hAnsi="Times New Roman" w:cs="Times New Roman"/>
        </w:rPr>
        <w:footnoteRef/>
      </w:r>
      <w:r w:rsidRPr="00B72E11">
        <w:rPr>
          <w:rFonts w:ascii="Times New Roman" w:hAnsi="Times New Roman" w:cs="Times New Roman"/>
        </w:rPr>
        <w:t xml:space="preserve"> </w:t>
      </w:r>
      <w:r w:rsidRPr="00B72E11">
        <w:rPr>
          <w:rFonts w:ascii="Times New Roman" w:hAnsi="Times New Roman" w:cs="Times New Roman"/>
          <w:lang w:val="es-ES"/>
        </w:rPr>
        <w:t>Es importante indicar que, en casos excepcionales, es posible realizar un examen frente a disposiciones constitucionales no explícitamente planteadas en los cargos formulados. Las condiciones para el ejercicio de esta atribución fueron enunciadas por la Co</w:t>
      </w:r>
      <w:r w:rsidRPr="00B72E11">
        <w:rPr>
          <w:rFonts w:ascii="Times New Roman" w:hAnsi="Times New Roman" w:cs="Times New Roman"/>
          <w:lang w:val="es-ES"/>
        </w:rPr>
        <w:t xml:space="preserve">rte en la sentencia C-284 de 2014.  </w:t>
      </w:r>
    </w:p>
  </w:footnote>
  <w:footnote w:id="97">
    <w:p w:rsidR="00655584" w:rsidRPr="00563461" w:rsidRDefault="00F33E35" w:rsidP="00563461">
      <w:pPr>
        <w:pStyle w:val="Textonotapie"/>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Tomado directamente de la Sentencia C-292 de 2019.</w:t>
      </w:r>
    </w:p>
  </w:footnote>
  <w:footnote w:id="98">
    <w:p w:rsidR="00655584" w:rsidRPr="00563461" w:rsidRDefault="00F33E35" w:rsidP="00563461">
      <w:pPr>
        <w:pStyle w:val="Textonotapie"/>
        <w:rPr>
          <w:rFonts w:ascii="Times New Roman" w:hAnsi="Times New Roman" w:cs="Times New Roman"/>
          <w:lang w:val="en-US"/>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n-US"/>
        </w:rPr>
        <w:t>Sentencia C-1052 de 2001.</w:t>
      </w:r>
    </w:p>
  </w:footnote>
  <w:footnote w:id="99">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C-045 de 2018.</w:t>
      </w:r>
    </w:p>
  </w:footnote>
  <w:footnote w:id="100">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C-146 de 2018.</w:t>
      </w:r>
    </w:p>
  </w:footnote>
  <w:footnote w:id="101">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C-362 de 2001.</w:t>
      </w:r>
    </w:p>
  </w:footnote>
  <w:footnote w:id="102">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C-997 de 2005. </w:t>
      </w:r>
    </w:p>
  </w:footnote>
  <w:footnote w:id="103">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C-1052 de 2001.</w:t>
      </w:r>
    </w:p>
  </w:footnote>
  <w:footnote w:id="104">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C-1052 de 2001.</w:t>
      </w:r>
    </w:p>
  </w:footnote>
  <w:footnote w:id="105">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Sentencias C-1172 de 2004, C-927 de 2006, C-047 de 2016 y C-004 de 2017. </w:t>
      </w:r>
    </w:p>
  </w:footnote>
  <w:footnote w:id="106">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Sentencia</w:t>
      </w:r>
      <w:r w:rsidRPr="008657A0">
        <w:rPr>
          <w:rFonts w:ascii="Times New Roman" w:hAnsi="Times New Roman" w:cs="Times New Roman"/>
        </w:rPr>
        <w:t xml:space="preserve"> C-1052 de 2001</w:t>
      </w:r>
    </w:p>
  </w:footnote>
  <w:footnote w:id="107">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Ib.</w:t>
      </w:r>
    </w:p>
  </w:footnote>
  <w:footnote w:id="108">
    <w:p w:rsidR="00655584" w:rsidRPr="008657A0" w:rsidRDefault="00F33E35">
      <w:pPr>
        <w:spacing w:after="0" w:line="240" w:lineRule="auto"/>
        <w:jc w:val="both"/>
        <w:rPr>
          <w:rFonts w:ascii="Times New Roman" w:eastAsia="Times New Roman" w:hAnsi="Times New Roman" w:cs="Times New Roman"/>
          <w:sz w:val="20"/>
          <w:szCs w:val="20"/>
          <w:lang w:eastAsia="es-ES"/>
        </w:rPr>
      </w:pPr>
      <w:r w:rsidRPr="00563461">
        <w:rPr>
          <w:rStyle w:val="Refdenotaalpie"/>
          <w:rFonts w:ascii="Times New Roman" w:hAnsi="Times New Roman" w:cs="Times New Roman"/>
          <w:sz w:val="20"/>
          <w:szCs w:val="20"/>
        </w:rPr>
        <w:footnoteRef/>
      </w:r>
      <w:r w:rsidRPr="00563461">
        <w:rPr>
          <w:rFonts w:ascii="Times New Roman" w:hAnsi="Times New Roman" w:cs="Times New Roman"/>
          <w:sz w:val="20"/>
          <w:szCs w:val="20"/>
        </w:rPr>
        <w:t xml:space="preserve"> </w:t>
      </w:r>
      <w:r w:rsidRPr="00B72E11">
        <w:rPr>
          <w:rFonts w:ascii="Times New Roman" w:hAnsi="Times New Roman" w:cs="Times New Roman"/>
          <w:sz w:val="20"/>
          <w:szCs w:val="20"/>
          <w:lang w:val="es-ES_tradnl"/>
        </w:rPr>
        <w:t>Sentencia</w:t>
      </w:r>
      <w:r w:rsidRPr="00563461">
        <w:rPr>
          <w:rFonts w:ascii="Times New Roman" w:hAnsi="Times New Roman" w:cs="Times New Roman"/>
          <w:sz w:val="20"/>
          <w:szCs w:val="20"/>
        </w:rPr>
        <w:t xml:space="preserve"> C-1052 de 2001. La sentencia </w:t>
      </w:r>
      <w:r w:rsidRPr="008657A0">
        <w:rPr>
          <w:rFonts w:ascii="Times New Roman" w:eastAsia="Times New Roman" w:hAnsi="Times New Roman" w:cs="Times New Roman"/>
          <w:sz w:val="20"/>
          <w:szCs w:val="20"/>
          <w:lang w:eastAsia="es-ES"/>
        </w:rPr>
        <w:t xml:space="preserve">C-1059 de 2008 se refirió a ello en los siguientes términos: </w:t>
      </w:r>
      <w:r w:rsidRPr="008657A0">
        <w:rPr>
          <w:rFonts w:ascii="Times New Roman" w:hAnsi="Times New Roman" w:cs="Times New Roman"/>
          <w:sz w:val="20"/>
          <w:szCs w:val="20"/>
          <w:shd w:val="clear" w:color="auto" w:fill="FFFFFF"/>
        </w:rPr>
        <w:t xml:space="preserve">“Por ende, es </w:t>
      </w:r>
      <w:r w:rsidRPr="008657A0">
        <w:rPr>
          <w:rFonts w:ascii="Times New Roman" w:hAnsi="Times New Roman" w:cs="Times New Roman"/>
          <w:sz w:val="20"/>
          <w:szCs w:val="20"/>
          <w:shd w:val="clear" w:color="auto" w:fill="FFFFFF"/>
        </w:rPr>
        <w:t>indispensable que los razonamientos sean del orden constitucional, razón por la cual no podrán ser aceptados cargos basados en argumentos legales o doctrinarios. De igual manera, no aparejan pertinencia aquellos cargos que pretenden sustentar la inconstitu</w:t>
      </w:r>
      <w:r w:rsidRPr="008657A0">
        <w:rPr>
          <w:rFonts w:ascii="Times New Roman" w:hAnsi="Times New Roman" w:cs="Times New Roman"/>
          <w:sz w:val="20"/>
          <w:szCs w:val="20"/>
          <w:shd w:val="clear" w:color="auto" w:fill="FFFFFF"/>
        </w:rPr>
        <w:t>cionalidad de la norma acusada basado en ejemplos, acaecimientos particulares, hechos personales, vivencias propias, sucesos y ocurrencias reales o imaginarias, en las que supuestamente se aplicó o será aplicada la norma demandada”.</w:t>
      </w:r>
    </w:p>
  </w:footnote>
  <w:footnote w:id="109">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Sentencia</w:t>
      </w:r>
      <w:r w:rsidRPr="008657A0">
        <w:rPr>
          <w:rFonts w:ascii="Times New Roman" w:hAnsi="Times New Roman" w:cs="Times New Roman"/>
        </w:rPr>
        <w:t xml:space="preserve"> C-1052 de 2</w:t>
      </w:r>
      <w:r w:rsidRPr="008657A0">
        <w:rPr>
          <w:rFonts w:ascii="Times New Roman" w:hAnsi="Times New Roman" w:cs="Times New Roman"/>
        </w:rPr>
        <w:t>001.</w:t>
      </w:r>
    </w:p>
  </w:footnote>
  <w:footnote w:id="110">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Sentencia</w:t>
      </w:r>
      <w:r w:rsidRPr="008657A0">
        <w:rPr>
          <w:rFonts w:ascii="Times New Roman" w:hAnsi="Times New Roman" w:cs="Times New Roman"/>
        </w:rPr>
        <w:t xml:space="preserve"> C-1052 de 2001.</w:t>
      </w:r>
    </w:p>
  </w:footnote>
  <w:footnote w:id="111">
    <w:p w:rsidR="00655584" w:rsidRPr="008657A0"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Sobre el particular se encuentran las sentencias C-022 de 1996, C-093 de 2001, C-673 de 2001, C-114 y C-115 de 2017</w:t>
      </w:r>
      <w:r w:rsidRPr="008657A0">
        <w:rPr>
          <w:rFonts w:ascii="Times New Roman" w:hAnsi="Times New Roman" w:cs="Times New Roman"/>
        </w:rPr>
        <w:t xml:space="preserve"> y C-345 de 2019. Igualmente, sobre las diferencias en materia de carga argumentación cuando se plantea un</w:t>
      </w:r>
      <w:r w:rsidRPr="008657A0">
        <w:rPr>
          <w:rFonts w:ascii="Times New Roman" w:hAnsi="Times New Roman" w:cs="Times New Roman"/>
        </w:rPr>
        <w:t xml:space="preserve"> cargo por violación del mandato de trato igual o de trato desigual, puede consultarse la sentencia C-052 de 2019. </w:t>
      </w:r>
    </w:p>
  </w:footnote>
  <w:footnote w:id="112">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En esa dirección, entre muchas otras, pueden considerarse las sentencias C-309 de 1997, SU-642 de 1998, C-720 de 2007, SU-626 de 2015 y C-</w:t>
      </w:r>
      <w:r w:rsidRPr="00563461">
        <w:rPr>
          <w:rFonts w:ascii="Times New Roman" w:hAnsi="Times New Roman" w:cs="Times New Roman"/>
        </w:rPr>
        <w:t xml:space="preserve">246 de 2017. </w:t>
      </w:r>
    </w:p>
  </w:footnote>
  <w:footnote w:id="113">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En ese sentido, por ejemplo, se encuentra la sentencia C-133 de 2012. </w:t>
      </w:r>
    </w:p>
  </w:footnote>
  <w:footnote w:id="114">
    <w:p w:rsidR="00655584" w:rsidRPr="00563461" w:rsidRDefault="00F33E35">
      <w:pPr>
        <w:pStyle w:val="Textonotapie"/>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Entre otras, las sentencias C-1040 de 2005 o C-285 de 2016.</w:t>
      </w:r>
    </w:p>
  </w:footnote>
  <w:footnote w:id="115">
    <w:p w:rsidR="00655584" w:rsidRPr="00563461" w:rsidRDefault="00F33E35">
      <w:pPr>
        <w:pStyle w:val="Textonotapie"/>
        <w:jc w:val="both"/>
        <w:rPr>
          <w:rFonts w:ascii="Times New Roman" w:hAnsi="Times New Roman" w:cs="Times New Roman"/>
          <w:lang w:val="en-US"/>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n-US"/>
        </w:rPr>
        <w:t xml:space="preserve">Sentencia C-726 de 2015. </w:t>
      </w:r>
    </w:p>
  </w:footnote>
  <w:footnote w:id="116">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C-341 de 2017.</w:t>
      </w:r>
    </w:p>
  </w:footnote>
  <w:footnote w:id="117">
    <w:p w:rsidR="00655584" w:rsidRPr="00B72E11" w:rsidRDefault="00F33E35">
      <w:pPr>
        <w:pStyle w:val="Textonotapie"/>
        <w:ind w:right="-234"/>
        <w:jc w:val="both"/>
        <w:rPr>
          <w:rFonts w:ascii="Times New Roman" w:hAnsi="Times New Roman" w:cs="Times New Roman"/>
          <w:color w:val="000000" w:themeColor="text1"/>
          <w:lang w:val="es-ES" w:eastAsia="es-ES"/>
        </w:rPr>
      </w:pPr>
      <w:r w:rsidRPr="00B72E11">
        <w:rPr>
          <w:rStyle w:val="Refdenotaalpie"/>
          <w:rFonts w:ascii="Times New Roman" w:hAnsi="Times New Roman" w:cs="Times New Roman"/>
          <w:color w:val="000000" w:themeColor="text1"/>
        </w:rPr>
        <w:footnoteRef/>
      </w:r>
      <w:r w:rsidRPr="00B72E11">
        <w:rPr>
          <w:rFonts w:ascii="Times New Roman" w:hAnsi="Times New Roman" w:cs="Times New Roman"/>
          <w:color w:val="000000" w:themeColor="text1"/>
        </w:rPr>
        <w:t xml:space="preserve"> Sobre el particular, </w:t>
      </w:r>
      <w:r w:rsidRPr="00B72E11">
        <w:rPr>
          <w:rFonts w:ascii="Times New Roman" w:hAnsi="Times New Roman" w:cs="Times New Roman"/>
          <w:color w:val="000000" w:themeColor="text1"/>
          <w:lang w:val="es-ES"/>
        </w:rPr>
        <w:t>en la sentencia C-536 de 2016</w:t>
      </w:r>
      <w:r w:rsidRPr="00B72E11">
        <w:rPr>
          <w:rFonts w:ascii="Times New Roman" w:hAnsi="Times New Roman" w:cs="Times New Roman"/>
          <w:color w:val="000000" w:themeColor="text1"/>
          <w:lang w:val="es-ES"/>
        </w:rPr>
        <w:t xml:space="preserve"> la Corte indicó: “</w:t>
      </w:r>
      <w:r w:rsidRPr="00B72E11">
        <w:rPr>
          <w:rFonts w:ascii="Times New Roman" w:hAnsi="Times New Roman" w:cs="Times New Roman"/>
          <w:color w:val="000000" w:themeColor="text1"/>
          <w:shd w:val="clear" w:color="auto" w:fill="FFFFFF"/>
        </w:rPr>
        <w:t>Debe precisar la Corte, sin embargo, que la argumentación exigible no es siempre uniforme. En efecto, en algunos casos la obligación del demandante se simplifica mucho más, tal y como ocurre con la activación de algunas presunciones de i</w:t>
      </w:r>
      <w:r w:rsidRPr="00B72E11">
        <w:rPr>
          <w:rFonts w:ascii="Times New Roman" w:hAnsi="Times New Roman" w:cs="Times New Roman"/>
          <w:color w:val="000000" w:themeColor="text1"/>
          <w:shd w:val="clear" w:color="auto" w:fill="FFFFFF"/>
        </w:rPr>
        <w:t>nconstitucionalidad cuando el legislador, por ejemplo, adopta un trato diferenciado empleando una categoría sospechosa, desconociendo un mandato específico de igualdad o afectando el goce de un derecho constitucional fundamental. Por el contrario, cuando s</w:t>
      </w:r>
      <w:r w:rsidRPr="00B72E11">
        <w:rPr>
          <w:rFonts w:ascii="Times New Roman" w:hAnsi="Times New Roman" w:cs="Times New Roman"/>
          <w:color w:val="000000" w:themeColor="text1"/>
          <w:shd w:val="clear" w:color="auto" w:fill="FFFFFF"/>
        </w:rPr>
        <w:t>e juzga la constitucionalidad de normas adoptadas por un órgano en desarrollo de una competencia constitucional específica o que se refieren a materias de las que la Constitución no se ocupó de manera precisa, las exigencias argumentativas podrían acentuar</w:t>
      </w:r>
      <w:r w:rsidRPr="00B72E11">
        <w:rPr>
          <w:rFonts w:ascii="Times New Roman" w:hAnsi="Times New Roman" w:cs="Times New Roman"/>
          <w:color w:val="000000" w:themeColor="text1"/>
          <w:shd w:val="clear" w:color="auto" w:fill="FFFFFF"/>
        </w:rPr>
        <w:t>se puesto que el principio democrático apoya, en principio, el respeto de las decisiones del Congreso. Esta perspectiva se encuentra en la base de la graduación de la intensidad de los juicios de igualdad”.</w:t>
      </w:r>
    </w:p>
  </w:footnote>
  <w:footnote w:id="118">
    <w:p w:rsidR="00655584" w:rsidRPr="00B72E11" w:rsidRDefault="00F33E35">
      <w:pPr>
        <w:pStyle w:val="Textonotapie"/>
        <w:ind w:right="-234"/>
        <w:jc w:val="both"/>
        <w:rPr>
          <w:rFonts w:ascii="Times New Roman" w:hAnsi="Times New Roman" w:cs="Times New Roman"/>
          <w:color w:val="000000" w:themeColor="text1"/>
          <w:lang w:val="es-ES"/>
        </w:rPr>
      </w:pPr>
      <w:r w:rsidRPr="00B72E11">
        <w:rPr>
          <w:rStyle w:val="Refdenotaalpie"/>
          <w:rFonts w:ascii="Times New Roman" w:hAnsi="Times New Roman" w:cs="Times New Roman"/>
          <w:color w:val="000000" w:themeColor="text1"/>
        </w:rPr>
        <w:footnoteRef/>
      </w:r>
      <w:r w:rsidRPr="00B72E11">
        <w:rPr>
          <w:rFonts w:ascii="Times New Roman" w:hAnsi="Times New Roman" w:cs="Times New Roman"/>
          <w:color w:val="000000" w:themeColor="text1"/>
        </w:rPr>
        <w:t xml:space="preserve"> </w:t>
      </w:r>
      <w:r w:rsidRPr="00B72E11">
        <w:rPr>
          <w:rFonts w:ascii="Times New Roman" w:hAnsi="Times New Roman" w:cs="Times New Roman"/>
          <w:color w:val="000000" w:themeColor="text1"/>
          <w:lang w:val="es-ES"/>
        </w:rPr>
        <w:t>En esa dirección, por ejemplo, la sentencia C-4</w:t>
      </w:r>
      <w:r w:rsidRPr="00B72E11">
        <w:rPr>
          <w:rFonts w:ascii="Times New Roman" w:hAnsi="Times New Roman" w:cs="Times New Roman"/>
          <w:color w:val="000000" w:themeColor="text1"/>
          <w:lang w:val="es-ES"/>
        </w:rPr>
        <w:t>93 de 2015 señaló: “</w:t>
      </w:r>
      <w:r w:rsidRPr="00B72E11">
        <w:rPr>
          <w:rFonts w:ascii="Times New Roman" w:hAnsi="Times New Roman" w:cs="Times New Roman"/>
          <w:color w:val="000000" w:themeColor="text1"/>
          <w:shd w:val="clear" w:color="auto" w:fill="FFFFFF"/>
        </w:rPr>
        <w:t>Sobre el análisis de constitucionalidad de normas o decisiones regresivas, este Tribunal ha establecido que (i) sobre toda medida de carácter regresivo recae una presunción de inconstitucionalidad; (ii) esa presunción puede ser desvirtu</w:t>
      </w:r>
      <w:r w:rsidRPr="00B72E11">
        <w:rPr>
          <w:rFonts w:ascii="Times New Roman" w:hAnsi="Times New Roman" w:cs="Times New Roman"/>
          <w:color w:val="000000" w:themeColor="text1"/>
          <w:shd w:val="clear" w:color="auto" w:fill="FFFFFF"/>
        </w:rPr>
        <w:t>ada por el Estado, demostrando que el retroceso obedece a la consecución de fines constitucionales imperiosos. Por lo tanto, (iii) la carga argumentativa y probatoria necesaria para justificar una norma o medida regresiva corresponde a las autoridades públ</w:t>
      </w:r>
      <w:r w:rsidRPr="00B72E11">
        <w:rPr>
          <w:rFonts w:ascii="Times New Roman" w:hAnsi="Times New Roman" w:cs="Times New Roman"/>
          <w:color w:val="000000" w:themeColor="text1"/>
          <w:shd w:val="clear" w:color="auto" w:fill="FFFFFF"/>
        </w:rPr>
        <w:t>icas. En ese marco, (iv) cuando el juez constitucional evalúa la compatibilidad de tales decisiones con la vigencia de los derechos constitucionales debe ejercer un análisis riguroso de proporcionalidad de las mismas. Ese análisis, (v) debe ser aún más int</w:t>
      </w:r>
      <w:r w:rsidRPr="00B72E11">
        <w:rPr>
          <w:rFonts w:ascii="Times New Roman" w:hAnsi="Times New Roman" w:cs="Times New Roman"/>
          <w:color w:val="000000" w:themeColor="text1"/>
          <w:shd w:val="clear" w:color="auto" w:fill="FFFFFF"/>
        </w:rPr>
        <w:t>enso cuando la decisión estatal regresiva afecta grupos vulnerables o sujetos de especial protección constitucional”.</w:t>
      </w:r>
    </w:p>
  </w:footnote>
  <w:footnote w:id="119">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Sobre el particular, puede considerarse la sentencia C-673 de 2001 y, en particular, su nota de pie No. 33. </w:t>
      </w:r>
    </w:p>
  </w:footnote>
  <w:footnote w:id="120">
    <w:p w:rsidR="00655584" w:rsidRPr="0056346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Sentencias C-007 de 2016 </w:t>
      </w:r>
      <w:r w:rsidRPr="00563461">
        <w:rPr>
          <w:rFonts w:ascii="Times New Roman" w:hAnsi="Times New Roman" w:cs="Times New Roman"/>
        </w:rPr>
        <w:t>y C-200 de 2019.</w:t>
      </w:r>
    </w:p>
  </w:footnote>
  <w:footnote w:id="121">
    <w:p w:rsidR="00655584" w:rsidRPr="00B72E11" w:rsidRDefault="00F33E35">
      <w:pPr>
        <w:pStyle w:val="Textonotapie"/>
        <w:jc w:val="both"/>
        <w:rPr>
          <w:rFonts w:ascii="Times New Roman" w:hAnsi="Times New Roman" w:cs="Times New Roman"/>
        </w:rPr>
      </w:pPr>
      <w:r w:rsidRPr="00563461">
        <w:rPr>
          <w:rStyle w:val="Refdenotaalpie"/>
          <w:rFonts w:ascii="Times New Roman" w:hAnsi="Times New Roman" w:cs="Times New Roman"/>
        </w:rPr>
        <w:footnoteRef/>
      </w:r>
      <w:r w:rsidRPr="00563461">
        <w:rPr>
          <w:rFonts w:ascii="Times New Roman" w:hAnsi="Times New Roman" w:cs="Times New Roman"/>
        </w:rPr>
        <w:t xml:space="preserve"> C-1052 de 2001.</w:t>
      </w:r>
    </w:p>
  </w:footnote>
  <w:footnote w:id="122">
    <w:p w:rsidR="00655584" w:rsidRPr="00B72E11" w:rsidRDefault="00F33E35">
      <w:pPr>
        <w:pStyle w:val="Textonotapie"/>
        <w:rPr>
          <w:rFonts w:ascii="Times New Roman" w:hAnsi="Times New Roman" w:cs="Times New Roman"/>
          <w:lang w:val="es-ES_tradnl"/>
        </w:rPr>
      </w:pPr>
      <w:r w:rsidRPr="00B72E11">
        <w:rPr>
          <w:rStyle w:val="Refdenotaalpie"/>
          <w:rFonts w:ascii="Times New Roman" w:hAnsi="Times New Roman" w:cs="Times New Roman"/>
        </w:rPr>
        <w:footnoteRef/>
      </w:r>
      <w:r w:rsidRPr="00B72E11">
        <w:rPr>
          <w:rFonts w:ascii="Times New Roman" w:hAnsi="Times New Roman" w:cs="Times New Roman"/>
        </w:rPr>
        <w:t xml:space="preserve"> </w:t>
      </w:r>
      <w:r w:rsidRPr="00563461">
        <w:rPr>
          <w:rFonts w:ascii="Times New Roman" w:hAnsi="Times New Roman" w:cs="Times New Roman"/>
        </w:rPr>
        <w:t>Estas premisas</w:t>
      </w:r>
      <w:r w:rsidRPr="008657A0">
        <w:rPr>
          <w:rFonts w:ascii="Times New Roman" w:hAnsi="Times New Roman" w:cs="Times New Roman"/>
        </w:rPr>
        <w:t xml:space="preserve"> fueron tomadas directamente de la Sentencia C-292 de 2019.</w:t>
      </w:r>
    </w:p>
  </w:footnote>
  <w:footnote w:id="123">
    <w:p w:rsidR="00655584" w:rsidRPr="008657A0"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Intervención conjunta de</w:t>
      </w:r>
      <w:r w:rsidRPr="008657A0">
        <w:rPr>
          <w:rFonts w:ascii="Times New Roman" w:hAnsi="Times New Roman" w:cs="Times New Roman"/>
        </w:rPr>
        <w:t xml:space="preserve"> Fundación Karisma y el Centro de Internet y Sociedad de la Universidad del Rosario.</w:t>
      </w:r>
    </w:p>
  </w:footnote>
  <w:footnote w:id="124">
    <w:p w:rsidR="00655584" w:rsidRPr="006D67AE"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6D67AE">
        <w:rPr>
          <w:rFonts w:ascii="Times New Roman" w:hAnsi="Times New Roman" w:cs="Times New Roman"/>
          <w:lang w:val="es-ES_tradnl"/>
        </w:rPr>
        <w:t xml:space="preserve">Intervención de la Comisión </w:t>
      </w:r>
      <w:r w:rsidRPr="006D67AE">
        <w:rPr>
          <w:rFonts w:ascii="Times New Roman" w:hAnsi="Times New Roman" w:cs="Times New Roman"/>
          <w:lang w:val="es-ES_tradnl"/>
        </w:rPr>
        <w:t>Colombiana de Juristas.</w:t>
      </w:r>
    </w:p>
  </w:footnote>
  <w:footnote w:id="125">
    <w:p w:rsidR="00655584" w:rsidRPr="006D67AE" w:rsidRDefault="00F33E35">
      <w:pPr>
        <w:pStyle w:val="Textonotapie"/>
        <w:tabs>
          <w:tab w:val="left" w:pos="0"/>
        </w:tabs>
        <w:ind w:right="-234"/>
        <w:jc w:val="both"/>
        <w:rPr>
          <w:rFonts w:ascii="Times New Roman" w:hAnsi="Times New Roman" w:cs="Times New Roman"/>
          <w:lang w:val="es-ES_tradnl"/>
        </w:rPr>
      </w:pPr>
      <w:r w:rsidRPr="006D67AE">
        <w:rPr>
          <w:rStyle w:val="Refdenotaalpie"/>
          <w:rFonts w:ascii="Times New Roman" w:hAnsi="Times New Roman" w:cs="Times New Roman"/>
        </w:rPr>
        <w:footnoteRef/>
      </w:r>
      <w:r w:rsidRPr="006D67AE">
        <w:rPr>
          <w:rFonts w:ascii="Times New Roman" w:hAnsi="Times New Roman" w:cs="Times New Roman"/>
        </w:rPr>
        <w:t xml:space="preserve"> </w:t>
      </w:r>
      <w:r w:rsidRPr="00B72E11">
        <w:rPr>
          <w:rFonts w:ascii="Times New Roman" w:hAnsi="Times New Roman" w:cs="Times New Roman"/>
        </w:rPr>
        <w:t>Sentencia C-190 de 2023</w:t>
      </w:r>
    </w:p>
  </w:footnote>
  <w:footnote w:id="126">
    <w:p w:rsidR="00655584" w:rsidRPr="006D67AE" w:rsidRDefault="00F33E35">
      <w:pPr>
        <w:pStyle w:val="Textonotapie"/>
        <w:tabs>
          <w:tab w:val="left" w:pos="0"/>
        </w:tabs>
        <w:ind w:right="-234"/>
        <w:jc w:val="both"/>
        <w:rPr>
          <w:rFonts w:ascii="Times New Roman" w:hAnsi="Times New Roman" w:cs="Times New Roman"/>
          <w:lang w:val="es-ES"/>
        </w:rPr>
      </w:pPr>
      <w:r w:rsidRPr="006D67AE">
        <w:rPr>
          <w:rStyle w:val="Refdenotaalpie"/>
          <w:rFonts w:ascii="Times New Roman" w:hAnsi="Times New Roman" w:cs="Times New Roman"/>
        </w:rPr>
        <w:footnoteRef/>
      </w:r>
      <w:r w:rsidRPr="006D67AE">
        <w:rPr>
          <w:rFonts w:ascii="Times New Roman" w:hAnsi="Times New Roman" w:cs="Times New Roman"/>
        </w:rPr>
        <w:t xml:space="preserve"> Ib.</w:t>
      </w:r>
    </w:p>
  </w:footnote>
  <w:footnote w:id="127">
    <w:p w:rsidR="00655584" w:rsidRPr="00563461" w:rsidRDefault="00F33E35">
      <w:pPr>
        <w:pStyle w:val="Textonotapie"/>
        <w:tabs>
          <w:tab w:val="left" w:pos="0"/>
        </w:tabs>
        <w:ind w:right="-234"/>
        <w:jc w:val="both"/>
        <w:rPr>
          <w:rFonts w:ascii="Times New Roman" w:hAnsi="Times New Roman" w:cs="Times New Roman"/>
          <w:lang w:val="es-ES_tradnl"/>
        </w:rPr>
      </w:pPr>
      <w:r w:rsidRPr="006D67AE">
        <w:rPr>
          <w:rStyle w:val="Refdenotaalpie"/>
          <w:rFonts w:ascii="Times New Roman" w:hAnsi="Times New Roman" w:cs="Times New Roman"/>
        </w:rPr>
        <w:footnoteRef/>
      </w:r>
      <w:r w:rsidRPr="006D67AE">
        <w:rPr>
          <w:rFonts w:ascii="Times New Roman" w:hAnsi="Times New Roman" w:cs="Times New Roman"/>
        </w:rPr>
        <w:t xml:space="preserve"> </w:t>
      </w:r>
      <w:r w:rsidRPr="006D67AE">
        <w:rPr>
          <w:rFonts w:ascii="Times New Roman" w:hAnsi="Times New Roman" w:cs="Times New Roman"/>
          <w:lang w:val="es-ES_tradnl"/>
        </w:rPr>
        <w:t>Sentencia C-009 de 2023.</w:t>
      </w:r>
    </w:p>
  </w:footnote>
  <w:footnote w:id="128">
    <w:p w:rsidR="00655584" w:rsidRPr="00563461" w:rsidRDefault="00F33E35">
      <w:pPr>
        <w:pStyle w:val="Textonotapie"/>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Escrito de corrección de la demanda, página 8.</w:t>
      </w:r>
    </w:p>
  </w:footnote>
  <w:footnote w:id="129">
    <w:p w:rsidR="00655584" w:rsidRPr="00563461" w:rsidRDefault="00F33E35">
      <w:pPr>
        <w:pStyle w:val="Textonotapie"/>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Sentencia C-540 de 2013.</w:t>
      </w:r>
    </w:p>
  </w:footnote>
  <w:footnote w:id="130">
    <w:p w:rsidR="00655584" w:rsidRPr="00563461" w:rsidRDefault="00F33E35">
      <w:pPr>
        <w:pStyle w:val="Textonotapie"/>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Ib.</w:t>
      </w:r>
    </w:p>
  </w:footnote>
  <w:footnote w:id="131">
    <w:p w:rsidR="00655584" w:rsidRPr="008657A0" w:rsidRDefault="00F33E35">
      <w:pPr>
        <w:widowControl w:val="0"/>
        <w:tabs>
          <w:tab w:val="left" w:pos="0"/>
        </w:tabs>
        <w:spacing w:after="0" w:line="240" w:lineRule="auto"/>
        <w:ind w:right="-234"/>
        <w:jc w:val="both"/>
        <w:rPr>
          <w:rFonts w:ascii="Times New Roman" w:hAnsi="Times New Roman" w:cs="Times New Roman"/>
          <w:sz w:val="20"/>
          <w:szCs w:val="20"/>
        </w:rPr>
      </w:pPr>
      <w:r w:rsidRPr="00563461">
        <w:rPr>
          <w:rStyle w:val="Refdenotaalpie"/>
          <w:rFonts w:ascii="Times New Roman" w:hAnsi="Times New Roman" w:cs="Times New Roman"/>
          <w:sz w:val="20"/>
          <w:szCs w:val="20"/>
        </w:rPr>
        <w:footnoteRef/>
      </w:r>
      <w:r w:rsidRPr="00563461">
        <w:rPr>
          <w:rFonts w:ascii="Times New Roman" w:hAnsi="Times New Roman" w:cs="Times New Roman"/>
          <w:sz w:val="20"/>
          <w:szCs w:val="20"/>
        </w:rPr>
        <w:t xml:space="preserve"> Sobre el alcance de los conceptos “interceptar” y “registrar” del artículo 15 superior, la sentencia C-131 de 2009 expresó: “En la sentencia T-696 de 1996 previamente citada, frente a las excepciones a la inviolabilidad de las comunicaciones que establece</w:t>
      </w:r>
      <w:r w:rsidRPr="00563461">
        <w:rPr>
          <w:rFonts w:ascii="Times New Roman" w:hAnsi="Times New Roman" w:cs="Times New Roman"/>
          <w:sz w:val="20"/>
          <w:szCs w:val="20"/>
        </w:rPr>
        <w:t xml:space="preserve"> el artículo 15 Superior, y particularmente en el tema de la correspondencia pero extendiéndola a las comunicaciones privadas, la Corte Constitucional especificó que interceptar ´consiste en apoderarse de ella antes de que llegue a la persona a quien se de</w:t>
      </w:r>
      <w:r w:rsidRPr="00563461">
        <w:rPr>
          <w:rFonts w:ascii="Times New Roman" w:hAnsi="Times New Roman" w:cs="Times New Roman"/>
          <w:sz w:val="20"/>
          <w:szCs w:val="20"/>
        </w:rPr>
        <w:t>stina, detenerla en su camino, interrumpirla u obstruirla, en fin, impedirle que lle</w:t>
      </w:r>
      <w:r w:rsidRPr="008657A0">
        <w:rPr>
          <w:rFonts w:ascii="Times New Roman" w:hAnsi="Times New Roman" w:cs="Times New Roman"/>
          <w:sz w:val="20"/>
          <w:szCs w:val="20"/>
        </w:rPr>
        <w:t>gue a donde fue enviada´”. Y registrar</w:t>
      </w:r>
      <w:r w:rsidRPr="008657A0">
        <w:rPr>
          <w:rFonts w:ascii="Times New Roman" w:hAnsi="Times New Roman" w:cs="Times New Roman"/>
          <w:b/>
          <w:sz w:val="20"/>
          <w:szCs w:val="20"/>
        </w:rPr>
        <w:t xml:space="preserve"> </w:t>
      </w:r>
      <w:r w:rsidRPr="008657A0">
        <w:rPr>
          <w:rFonts w:ascii="Times New Roman" w:hAnsi="Times New Roman" w:cs="Times New Roman"/>
          <w:sz w:val="20"/>
          <w:szCs w:val="20"/>
        </w:rPr>
        <w:t>“implica examinarla con cierto cuidado para enterarse de cuanto contiene”. En esa oportunidad también se indicó que ese tipo de viola</w:t>
      </w:r>
      <w:r w:rsidRPr="008657A0">
        <w:rPr>
          <w:rFonts w:ascii="Times New Roman" w:hAnsi="Times New Roman" w:cs="Times New Roman"/>
          <w:sz w:val="20"/>
          <w:szCs w:val="20"/>
        </w:rPr>
        <w:t>ciones “pueden suceder bien por examinarla persona que no sea el destinatario o alguien a quien éste la muestre, en cualquiera de los momentos anotados, es decir, su elaboración, curso del traslado o después de recibida; bien con violencia o habilidad en l</w:t>
      </w:r>
      <w:r w:rsidRPr="008657A0">
        <w:rPr>
          <w:rFonts w:ascii="Times New Roman" w:hAnsi="Times New Roman" w:cs="Times New Roman"/>
          <w:sz w:val="20"/>
          <w:szCs w:val="20"/>
        </w:rPr>
        <w:t>a extracción y examen de su contenido; bien con destrucción del objeto portador de la información, quitándole alguna parte o tornándolo ininteligible”.</w:t>
      </w:r>
    </w:p>
  </w:footnote>
  <w:footnote w:id="132">
    <w:p w:rsidR="00655584" w:rsidRPr="00563461" w:rsidRDefault="00F33E35">
      <w:pPr>
        <w:pStyle w:val="Textonotapie"/>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Sentencia C-540 de 2012.</w:t>
      </w:r>
    </w:p>
  </w:footnote>
  <w:footnote w:id="133">
    <w:p w:rsidR="00655584" w:rsidRPr="00563461" w:rsidRDefault="00F33E35">
      <w:pPr>
        <w:pStyle w:val="Textonotapie"/>
        <w:tabs>
          <w:tab w:val="left" w:pos="0"/>
        </w:tabs>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Intervención de la Comisión Colombiana de Juristas.</w:t>
      </w:r>
    </w:p>
  </w:footnote>
  <w:footnote w:id="134">
    <w:p w:rsidR="00655584" w:rsidRPr="00B72E11" w:rsidRDefault="00F33E35">
      <w:pPr>
        <w:pStyle w:val="Textonotapie"/>
        <w:rPr>
          <w:rFonts w:ascii="Times New Roman" w:hAnsi="Times New Roman" w:cs="Times New Roman"/>
          <w:lang w:val="es-ES_tradnl"/>
        </w:rPr>
      </w:pPr>
      <w:r w:rsidRPr="00B72E11">
        <w:rPr>
          <w:rStyle w:val="Refdenotaalpie"/>
          <w:rFonts w:ascii="Times New Roman" w:hAnsi="Times New Roman" w:cs="Times New Roman"/>
        </w:rPr>
        <w:footnoteRef/>
      </w:r>
      <w:r w:rsidRPr="00B72E11">
        <w:rPr>
          <w:rFonts w:ascii="Times New Roman" w:hAnsi="Times New Roman" w:cs="Times New Roman"/>
        </w:rPr>
        <w:t xml:space="preserve"> </w:t>
      </w:r>
      <w:r w:rsidRPr="00563461">
        <w:rPr>
          <w:rFonts w:ascii="Times New Roman" w:hAnsi="Times New Roman" w:cs="Times New Roman"/>
          <w:lang w:val="es-ES_tradnl"/>
        </w:rPr>
        <w:t>Escrito de corrección</w:t>
      </w:r>
      <w:r w:rsidRPr="00563461">
        <w:rPr>
          <w:rFonts w:ascii="Times New Roman" w:hAnsi="Times New Roman" w:cs="Times New Roman"/>
          <w:lang w:val="es-ES_tradnl"/>
        </w:rPr>
        <w:t xml:space="preserve"> de la demanda, página 26.</w:t>
      </w:r>
    </w:p>
  </w:footnote>
  <w:footnote w:id="135">
    <w:p w:rsidR="00655584" w:rsidRPr="00B72E11" w:rsidRDefault="00F33E35">
      <w:pPr>
        <w:pStyle w:val="Textonotapie"/>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Escrito de corrección de la demanda, página 23.</w:t>
      </w:r>
    </w:p>
  </w:footnote>
  <w:footnote w:id="136">
    <w:p w:rsidR="00655584" w:rsidRPr="00B72E11" w:rsidRDefault="00F33E35">
      <w:pPr>
        <w:pStyle w:val="Textonotapie"/>
        <w:rPr>
          <w:rFonts w:ascii="Times New Roman" w:hAnsi="Times New Roman" w:cs="Times New Roman"/>
          <w:lang w:val="es-ES_tradnl"/>
        </w:rPr>
      </w:pPr>
      <w:r w:rsidRPr="00B72E11">
        <w:rPr>
          <w:rStyle w:val="Refdenotaalpie"/>
          <w:rFonts w:ascii="Times New Roman" w:hAnsi="Times New Roman" w:cs="Times New Roman"/>
        </w:rPr>
        <w:footnoteRef/>
      </w:r>
      <w:r w:rsidRPr="00B72E11">
        <w:rPr>
          <w:rFonts w:ascii="Times New Roman" w:hAnsi="Times New Roman" w:cs="Times New Roman"/>
        </w:rPr>
        <w:t xml:space="preserve"> </w:t>
      </w:r>
      <w:r w:rsidRPr="00133D79">
        <w:rPr>
          <w:rFonts w:ascii="Times New Roman" w:hAnsi="Times New Roman" w:cs="Times New Roman"/>
          <w:lang w:val="es-ES_tradnl"/>
        </w:rPr>
        <w:t>Escrito de corrección de la demanda, página 25.</w:t>
      </w:r>
    </w:p>
  </w:footnote>
  <w:footnote w:id="137">
    <w:p w:rsidR="0066407E" w:rsidRDefault="00F33E35" w:rsidP="0066407E">
      <w:pPr>
        <w:pStyle w:val="Textonotapie"/>
        <w:overflowPunct w:val="0"/>
        <w:autoSpaceDE w:val="0"/>
        <w:autoSpaceDN w:val="0"/>
        <w:adjustRightInd w:val="0"/>
        <w:jc w:val="both"/>
        <w:textAlignment w:val="baseline"/>
      </w:pPr>
      <w:r w:rsidRPr="00B72E11">
        <w:rPr>
          <w:rStyle w:val="Refdenotaalpie"/>
          <w:rFonts w:ascii="Times New Roman" w:hAnsi="Times New Roman" w:cs="Times New Roman"/>
        </w:rPr>
        <w:footnoteRef/>
      </w:r>
      <w:r w:rsidRPr="00B72E11">
        <w:rPr>
          <w:rFonts w:ascii="Times New Roman" w:hAnsi="Times New Roman" w:cs="Times New Roman"/>
        </w:rPr>
        <w:t xml:space="preserve"> Sentencia C-540 de 2012.</w:t>
      </w:r>
    </w:p>
  </w:footnote>
  <w:footnote w:id="138">
    <w:p w:rsidR="00655584" w:rsidRPr="00563461" w:rsidRDefault="00F33E35">
      <w:pPr>
        <w:pStyle w:val="Textonotapie"/>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Sentencia C-540 de 2012.</w:t>
      </w:r>
    </w:p>
  </w:footnote>
  <w:footnote w:id="139">
    <w:p w:rsidR="00655584" w:rsidRPr="008657A0" w:rsidRDefault="00F33E35">
      <w:pPr>
        <w:tabs>
          <w:tab w:val="left" w:pos="0"/>
        </w:tabs>
        <w:spacing w:after="0" w:line="240" w:lineRule="auto"/>
        <w:ind w:right="-234"/>
        <w:jc w:val="both"/>
        <w:rPr>
          <w:rFonts w:ascii="Times New Roman" w:hAnsi="Times New Roman" w:cs="Times New Roman"/>
          <w:sz w:val="20"/>
          <w:szCs w:val="20"/>
        </w:rPr>
      </w:pPr>
      <w:r w:rsidRPr="008657A0">
        <w:rPr>
          <w:rFonts w:ascii="Times New Roman" w:hAnsi="Times New Roman" w:cs="Times New Roman"/>
          <w:sz w:val="20"/>
          <w:szCs w:val="20"/>
        </w:rPr>
        <w:t xml:space="preserve"> </w:t>
      </w:r>
      <w:r w:rsidRPr="00563461">
        <w:rPr>
          <w:rStyle w:val="Refdenotaalpie"/>
          <w:rFonts w:ascii="Times New Roman" w:hAnsi="Times New Roman" w:cs="Times New Roman"/>
          <w:sz w:val="20"/>
          <w:szCs w:val="20"/>
        </w:rPr>
        <w:footnoteRef/>
      </w:r>
      <w:r w:rsidRPr="00563461">
        <w:rPr>
          <w:rFonts w:ascii="Times New Roman" w:hAnsi="Times New Roman" w:cs="Times New Roman"/>
          <w:sz w:val="20"/>
          <w:szCs w:val="20"/>
        </w:rPr>
        <w:t xml:space="preserve"> </w:t>
      </w:r>
      <w:r w:rsidRPr="008501F8">
        <w:rPr>
          <w:rFonts w:ascii="Times New Roman" w:hAnsi="Times New Roman" w:cs="Times New Roman"/>
          <w:sz w:val="20"/>
          <w:szCs w:val="20"/>
        </w:rPr>
        <w:t>Sentencia</w:t>
      </w:r>
      <w:r w:rsidRPr="008501F8">
        <w:rPr>
          <w:rFonts w:ascii="Times New Roman" w:hAnsi="Times New Roman" w:cs="Times New Roman"/>
          <w:sz w:val="20"/>
          <w:szCs w:val="20"/>
        </w:rPr>
        <w:t xml:space="preserve"> C-540 de 2012, aludiendo a la sentencia</w:t>
      </w:r>
      <w:r w:rsidRPr="008501F8">
        <w:rPr>
          <w:rFonts w:ascii="Times New Roman" w:hAnsi="Times New Roman" w:cs="Times New Roman"/>
          <w:sz w:val="20"/>
          <w:szCs w:val="20"/>
        </w:rPr>
        <w:t xml:space="preserve"> del 25 de noviembre de 2003</w:t>
      </w:r>
      <w:r w:rsidRPr="008501F8">
        <w:rPr>
          <w:rFonts w:ascii="Times New Roman" w:hAnsi="Times New Roman" w:cs="Times New Roman"/>
          <w:sz w:val="20"/>
          <w:szCs w:val="20"/>
        </w:rPr>
        <w:t xml:space="preserve"> del</w:t>
      </w:r>
      <w:r w:rsidRPr="008501F8">
        <w:rPr>
          <w:rFonts w:ascii="Times New Roman" w:hAnsi="Times New Roman" w:cs="Times New Roman"/>
          <w:sz w:val="20"/>
          <w:szCs w:val="20"/>
        </w:rPr>
        <w:t xml:space="preserve"> </w:t>
      </w:r>
      <w:r w:rsidRPr="00B72E11">
        <w:rPr>
          <w:rFonts w:ascii="Times New Roman" w:hAnsi="Times New Roman" w:cs="Times New Roman"/>
          <w:bCs/>
          <w:i/>
          <w:color w:val="000000"/>
          <w:sz w:val="20"/>
          <w:szCs w:val="20"/>
          <w:lang w:val="es-ES_tradnl"/>
        </w:rPr>
        <w:t xml:space="preserve">caso  </w:t>
      </w:r>
      <w:r w:rsidRPr="00B72E11">
        <w:rPr>
          <w:rFonts w:ascii="Times New Roman" w:hAnsi="Times New Roman" w:cs="Times New Roman"/>
          <w:i/>
          <w:iCs/>
          <w:sz w:val="20"/>
          <w:szCs w:val="20"/>
        </w:rPr>
        <w:t>Myrna Mack Chang Vs. Guatemala</w:t>
      </w:r>
      <w:r w:rsidRPr="008501F8">
        <w:rPr>
          <w:rFonts w:ascii="Times New Roman" w:hAnsi="Times New Roman" w:cs="Times New Roman"/>
          <w:sz w:val="20"/>
          <w:szCs w:val="20"/>
        </w:rPr>
        <w:t xml:space="preserve">, </w:t>
      </w:r>
      <w:r w:rsidRPr="008501F8">
        <w:rPr>
          <w:rFonts w:ascii="Times New Roman" w:hAnsi="Times New Roman" w:cs="Times New Roman"/>
          <w:sz w:val="20"/>
          <w:szCs w:val="20"/>
        </w:rPr>
        <w:t>Serie C No. 101, párrs. 180 a 182.</w:t>
      </w:r>
    </w:p>
  </w:footnote>
  <w:footnote w:id="140">
    <w:p w:rsidR="00655584" w:rsidRPr="00563461" w:rsidRDefault="00F33E35">
      <w:pPr>
        <w:pStyle w:val="Textonotapie"/>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La Corte citó la Sentencia C-872 de 2003.</w:t>
      </w:r>
    </w:p>
  </w:footnote>
  <w:footnote w:id="141">
    <w:p w:rsidR="00655584" w:rsidRPr="00563461" w:rsidRDefault="00F33E35">
      <w:pPr>
        <w:pStyle w:val="Textonotapie"/>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Sentencia C-274 de 2013.</w:t>
      </w:r>
    </w:p>
  </w:footnote>
  <w:footnote w:id="142">
    <w:p w:rsidR="00655584" w:rsidRPr="00563461" w:rsidRDefault="00F33E35">
      <w:pPr>
        <w:pStyle w:val="Textonotapie"/>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Ib.</w:t>
      </w:r>
    </w:p>
  </w:footnote>
  <w:footnote w:id="143">
    <w:p w:rsidR="00655584" w:rsidRPr="00563461" w:rsidRDefault="00F33E35">
      <w:pPr>
        <w:pStyle w:val="Textonotapie"/>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Ib.</w:t>
      </w:r>
    </w:p>
  </w:footnote>
  <w:footnote w:id="144">
    <w:p w:rsidR="00655584" w:rsidRPr="00563461" w:rsidRDefault="00F33E35">
      <w:pPr>
        <w:pStyle w:val="Textonotapie"/>
        <w:ind w:right="-234"/>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Ib.</w:t>
      </w:r>
    </w:p>
  </w:footnote>
  <w:footnote w:id="145">
    <w:p w:rsidR="00655584" w:rsidRPr="008657A0" w:rsidRDefault="00F33E35">
      <w:pPr>
        <w:pStyle w:val="Textonotapie"/>
        <w:mirrorIndents/>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w:t>
      </w:r>
      <w:r w:rsidRPr="00563461">
        <w:rPr>
          <w:rFonts w:ascii="Times New Roman" w:hAnsi="Times New Roman" w:cs="Times New Roman"/>
          <w:lang w:val="es-ES_tradnl"/>
        </w:rPr>
        <w:t xml:space="preserve">Sentencia </w:t>
      </w:r>
      <w:r w:rsidRPr="008657A0">
        <w:rPr>
          <w:rFonts w:ascii="Times New Roman" w:hAnsi="Times New Roman" w:cs="Times New Roman"/>
          <w:lang w:val="es-ES_tradnl"/>
        </w:rPr>
        <w:t>C-951 de 2014.</w:t>
      </w:r>
    </w:p>
  </w:footnote>
  <w:footnote w:id="146">
    <w:p w:rsidR="00655584" w:rsidRPr="00B72E11" w:rsidRDefault="00F33E35">
      <w:pPr>
        <w:pStyle w:val="Textonotapie"/>
        <w:mirrorIndents/>
        <w:jc w:val="both"/>
        <w:rPr>
          <w:rFonts w:ascii="Times New Roman" w:hAnsi="Times New Roman" w:cs="Times New Roman"/>
          <w:lang w:val="es-ES_tradnl"/>
        </w:rPr>
      </w:pPr>
      <w:r w:rsidRPr="00563461">
        <w:rPr>
          <w:rStyle w:val="Refdenotaalpie"/>
          <w:rFonts w:ascii="Times New Roman" w:hAnsi="Times New Roman" w:cs="Times New Roman"/>
        </w:rPr>
        <w:footnoteRef/>
      </w:r>
      <w:r w:rsidRPr="00563461">
        <w:rPr>
          <w:rFonts w:ascii="Times New Roman" w:hAnsi="Times New Roman" w:cs="Times New Roman"/>
        </w:rPr>
        <w:t xml:space="preserve"> Ib.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12062"/>
    <w:multiLevelType w:val="hybridMultilevel"/>
    <w:tmpl w:val="2A50825E"/>
    <w:lvl w:ilvl="0" w:tplc="1488EE3A">
      <w:start w:val="1"/>
      <w:numFmt w:val="decimal"/>
      <w:lvlText w:val="%1."/>
      <w:lvlJc w:val="left"/>
      <w:pPr>
        <w:ind w:left="1778" w:hanging="360"/>
      </w:pPr>
      <w:rPr>
        <w:i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DB43D4"/>
    <w:multiLevelType w:val="hybridMultilevel"/>
    <w:tmpl w:val="079C36CC"/>
    <w:lvl w:ilvl="0" w:tplc="BE2A084E">
      <w:start w:val="4"/>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15:restartNumberingAfterBreak="0">
    <w:nsid w:val="1D160251"/>
    <w:multiLevelType w:val="hybridMultilevel"/>
    <w:tmpl w:val="1968FDE4"/>
    <w:lvl w:ilvl="0" w:tplc="7E9CA016">
      <w:start w:val="1"/>
      <w:numFmt w:val="lowerRoman"/>
      <w:lvlText w:val="(%1)"/>
      <w:lvlJc w:val="left"/>
      <w:pPr>
        <w:ind w:left="1428" w:hanging="720"/>
      </w:pPr>
      <w:rPr>
        <w:rFonts w:eastAsia="Calibri"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4B9141F5"/>
    <w:multiLevelType w:val="hybridMultilevel"/>
    <w:tmpl w:val="A5728D06"/>
    <w:lvl w:ilvl="0" w:tplc="AA528A3C">
      <w:start w:val="3"/>
      <w:numFmt w:val="decimal"/>
      <w:lvlText w:val="%1."/>
      <w:lvlJc w:val="left"/>
      <w:pPr>
        <w:ind w:left="720" w:hanging="360"/>
      </w:pPr>
      <w:rPr>
        <w:rFonts w:ascii="Times New Roman" w:hAnsi="Times New Roman" w:cs="Times New Roman" w:hint="default"/>
        <w:b w:val="0"/>
        <w:i w:val="0"/>
        <w:iCs w:val="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56220E4A"/>
    <w:multiLevelType w:val="multilevel"/>
    <w:tmpl w:val="D294177C"/>
    <w:lvl w:ilvl="0">
      <w:start w:val="80"/>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7315F"/>
    <w:multiLevelType w:val="multilevel"/>
    <w:tmpl w:val="77B243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5B47C4A"/>
    <w:multiLevelType w:val="hybridMultilevel"/>
    <w:tmpl w:val="35821BD0"/>
    <w:lvl w:ilvl="0" w:tplc="D78E030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6D6D4FCF"/>
    <w:multiLevelType w:val="hybridMultilevel"/>
    <w:tmpl w:val="6728F16E"/>
    <w:lvl w:ilvl="0" w:tplc="5EA2E3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EFE6677"/>
    <w:multiLevelType w:val="multilevel"/>
    <w:tmpl w:val="8446F97E"/>
    <w:lvl w:ilvl="0">
      <w:start w:val="8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0"/>
  </w:num>
  <w:num w:numId="3">
    <w:abstractNumId w:val="3"/>
  </w:num>
  <w:num w:numId="4">
    <w:abstractNumId w:val="1"/>
  </w:num>
  <w:num w:numId="5">
    <w:abstractNumId w:val="5"/>
  </w:num>
  <w:num w:numId="6">
    <w:abstractNumId w:val="6"/>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CE5925"/>
    <w:rsid w:val="00372705"/>
    <w:rsid w:val="00CE5925"/>
    <w:rsid w:val="00F33E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8F9853EA-F567-4B6A-B410-EF674A504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BA5C27"/>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ar"/>
    <w:uiPriority w:val="9"/>
    <w:unhideWhenUsed/>
    <w:qFormat/>
    <w:rsid w:val="007210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1,titulo 3,Párrafo de lista1,Bullets,Ha,Párrafo de lista2,Lista vistosa - Énfasis 11,Cuadrícula clara - Énfasis 31,Dot pt,F5 List Paragraph,List Paragraph1,No Spacing1,List Paragraph Char Char Char,Indicator Text,lp1,Footnote,Foot"/>
    <w:basedOn w:val="Normal"/>
    <w:link w:val="PrrafodelistaCar"/>
    <w:uiPriority w:val="34"/>
    <w:qFormat/>
    <w:rsid w:val="007D0C35"/>
    <w:pPr>
      <w:ind w:left="720"/>
      <w:contextualSpacing/>
    </w:pPr>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Text Char Char Cha,Footnote Te,ft"/>
    <w:basedOn w:val="Normal"/>
    <w:link w:val="TextonotapieCar"/>
    <w:uiPriority w:val="99"/>
    <w:unhideWhenUsed/>
    <w:qFormat/>
    <w:rsid w:val="00307A34"/>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ft Car"/>
    <w:basedOn w:val="Fuentedeprrafopredeter"/>
    <w:link w:val="Textonotapie"/>
    <w:qFormat/>
    <w:rsid w:val="00307A34"/>
    <w:rPr>
      <w:sz w:val="20"/>
      <w:szCs w:val="20"/>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basedOn w:val="Fuentedeprrafopredeter"/>
    <w:link w:val="4GChar"/>
    <w:uiPriority w:val="99"/>
    <w:unhideWhenUsed/>
    <w:qFormat/>
    <w:rsid w:val="00307A34"/>
    <w:rPr>
      <w:vertAlign w:val="superscript"/>
    </w:rPr>
  </w:style>
  <w:style w:type="character" w:customStyle="1" w:styleId="apple-converted-space">
    <w:name w:val="apple-converted-space"/>
    <w:basedOn w:val="Fuentedeprrafopredeter"/>
    <w:rsid w:val="009615AA"/>
  </w:style>
  <w:style w:type="paragraph" w:styleId="Sinespaciado">
    <w:name w:val="No Spacing"/>
    <w:uiPriority w:val="1"/>
    <w:qFormat/>
    <w:rsid w:val="00FF5603"/>
    <w:pPr>
      <w:spacing w:after="0" w:line="240" w:lineRule="auto"/>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FF5603"/>
    <w:pPr>
      <w:spacing w:after="0" w:line="240" w:lineRule="auto"/>
      <w:jc w:val="both"/>
    </w:pPr>
    <w:rPr>
      <w:vertAlign w:val="superscript"/>
    </w:rPr>
  </w:style>
  <w:style w:type="table" w:styleId="Tablaconcuadrcula">
    <w:name w:val="Table Grid"/>
    <w:basedOn w:val="Tablanormal"/>
    <w:uiPriority w:val="39"/>
    <w:rsid w:val="00FF5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F560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PrrafodelistaCar">
    <w:name w:val="Párrafo de lista Car"/>
    <w:aliases w:val="Lista1 Car,titulo 3 Car,Párrafo de lista1 Car,Bullets Car,Ha Car,Párrafo de lista2 Car,Lista vistosa - Énfasis 11 Car,Cuadrícula clara - Énfasis 31 Car,Dot pt Car,F5 List Paragraph Car,List Paragraph1 Car,No Spacing1 Car,lp1 Car"/>
    <w:link w:val="Prrafodelista"/>
    <w:uiPriority w:val="34"/>
    <w:qFormat/>
    <w:locked/>
    <w:rsid w:val="00FF5603"/>
  </w:style>
  <w:style w:type="paragraph" w:styleId="NormalWeb">
    <w:name w:val="Normal (Web)"/>
    <w:basedOn w:val="Normal"/>
    <w:uiPriority w:val="99"/>
    <w:unhideWhenUsed/>
    <w:rsid w:val="00FF5603"/>
    <w:rPr>
      <w:rFonts w:ascii="Times New Roman" w:hAnsi="Times New Roman" w:cs="Times New Roman"/>
      <w:sz w:val="24"/>
      <w:szCs w:val="24"/>
    </w:rPr>
  </w:style>
  <w:style w:type="character" w:styleId="Hipervnculo">
    <w:name w:val="Hyperlink"/>
    <w:basedOn w:val="Fuentedeprrafopredeter"/>
    <w:uiPriority w:val="99"/>
    <w:unhideWhenUsed/>
    <w:rsid w:val="003F1334"/>
    <w:rPr>
      <w:color w:val="0563C1" w:themeColor="hyperlink"/>
      <w:u w:val="single"/>
    </w:rPr>
  </w:style>
  <w:style w:type="character" w:styleId="Mencinsinresolver">
    <w:name w:val="Unresolved Mention"/>
    <w:basedOn w:val="Fuentedeprrafopredeter"/>
    <w:uiPriority w:val="99"/>
    <w:semiHidden/>
    <w:unhideWhenUsed/>
    <w:rsid w:val="003F1334"/>
    <w:rPr>
      <w:color w:val="605E5C"/>
      <w:shd w:val="clear" w:color="auto" w:fill="E1DFDD"/>
    </w:rPr>
  </w:style>
  <w:style w:type="character" w:customStyle="1" w:styleId="Ttulo1Car">
    <w:name w:val="Título 1 Car"/>
    <w:basedOn w:val="Fuentedeprrafopredeter"/>
    <w:link w:val="Ttulo1"/>
    <w:uiPriority w:val="9"/>
    <w:rsid w:val="00BA5C27"/>
    <w:rPr>
      <w:rFonts w:asciiTheme="majorHAnsi" w:eastAsiaTheme="majorEastAsia" w:hAnsiTheme="majorHAnsi" w:cstheme="majorBidi"/>
      <w:color w:val="2F5496" w:themeColor="accent1" w:themeShade="BF"/>
      <w:kern w:val="2"/>
      <w:sz w:val="40"/>
      <w:szCs w:val="40"/>
    </w:rPr>
  </w:style>
  <w:style w:type="character" w:styleId="Refdecomentario">
    <w:name w:val="annotation reference"/>
    <w:basedOn w:val="Fuentedeprrafopredeter"/>
    <w:uiPriority w:val="99"/>
    <w:semiHidden/>
    <w:unhideWhenUsed/>
    <w:rsid w:val="00BA5C27"/>
    <w:rPr>
      <w:sz w:val="16"/>
      <w:szCs w:val="16"/>
    </w:rPr>
  </w:style>
  <w:style w:type="paragraph" w:styleId="Textocomentario">
    <w:name w:val="annotation text"/>
    <w:basedOn w:val="Normal"/>
    <w:link w:val="TextocomentarioCar"/>
    <w:uiPriority w:val="99"/>
    <w:semiHidden/>
    <w:unhideWhenUsed/>
    <w:rsid w:val="00BA5C2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A5C27"/>
    <w:rPr>
      <w:sz w:val="20"/>
      <w:szCs w:val="20"/>
    </w:rPr>
  </w:style>
  <w:style w:type="paragraph" w:styleId="Asuntodelcomentario">
    <w:name w:val="annotation subject"/>
    <w:basedOn w:val="Textocomentario"/>
    <w:next w:val="Textocomentario"/>
    <w:link w:val="AsuntodelcomentarioCar"/>
    <w:uiPriority w:val="99"/>
    <w:semiHidden/>
    <w:unhideWhenUsed/>
    <w:rsid w:val="00BA5C27"/>
    <w:rPr>
      <w:b/>
      <w:bCs/>
    </w:rPr>
  </w:style>
  <w:style w:type="character" w:customStyle="1" w:styleId="AsuntodelcomentarioCar">
    <w:name w:val="Asunto del comentario Car"/>
    <w:basedOn w:val="TextocomentarioCar"/>
    <w:link w:val="Asuntodelcomentario"/>
    <w:uiPriority w:val="99"/>
    <w:semiHidden/>
    <w:rsid w:val="00BA5C27"/>
    <w:rPr>
      <w:b/>
      <w:bCs/>
      <w:sz w:val="20"/>
      <w:szCs w:val="20"/>
    </w:rPr>
  </w:style>
  <w:style w:type="paragraph" w:styleId="Textodeglobo">
    <w:name w:val="Balloon Text"/>
    <w:basedOn w:val="Normal"/>
    <w:link w:val="TextodegloboCar"/>
    <w:uiPriority w:val="99"/>
    <w:semiHidden/>
    <w:unhideWhenUsed/>
    <w:rsid w:val="00BA5C2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5C27"/>
    <w:rPr>
      <w:rFonts w:ascii="Segoe UI" w:hAnsi="Segoe UI" w:cs="Segoe UI"/>
      <w:sz w:val="18"/>
      <w:szCs w:val="18"/>
    </w:rPr>
  </w:style>
  <w:style w:type="character" w:customStyle="1" w:styleId="letra14pt">
    <w:name w:val="letra14pt"/>
    <w:basedOn w:val="Fuentedeprrafopredeter"/>
    <w:rsid w:val="00BA5C27"/>
  </w:style>
  <w:style w:type="character" w:customStyle="1" w:styleId="baj">
    <w:name w:val="b_aj"/>
    <w:basedOn w:val="Fuentedeprrafopredeter"/>
    <w:rsid w:val="00BA5C27"/>
  </w:style>
  <w:style w:type="paragraph" w:styleId="Revisin">
    <w:name w:val="Revision"/>
    <w:hidden/>
    <w:uiPriority w:val="99"/>
    <w:semiHidden/>
    <w:rsid w:val="003359AC"/>
    <w:pPr>
      <w:spacing w:after="0" w:line="240" w:lineRule="auto"/>
    </w:pPr>
  </w:style>
  <w:style w:type="paragraph" w:styleId="Encabezado">
    <w:name w:val="header"/>
    <w:basedOn w:val="Normal"/>
    <w:link w:val="EncabezadoCar"/>
    <w:uiPriority w:val="99"/>
    <w:unhideWhenUsed/>
    <w:rsid w:val="0029725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7254"/>
  </w:style>
  <w:style w:type="paragraph" w:styleId="Piedepgina">
    <w:name w:val="footer"/>
    <w:basedOn w:val="Normal"/>
    <w:link w:val="PiedepginaCar"/>
    <w:uiPriority w:val="99"/>
    <w:unhideWhenUsed/>
    <w:rsid w:val="002972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7254"/>
  </w:style>
  <w:style w:type="character" w:styleId="Nmerodepgina">
    <w:name w:val="page number"/>
    <w:basedOn w:val="Fuentedeprrafopredeter"/>
    <w:uiPriority w:val="99"/>
    <w:semiHidden/>
    <w:unhideWhenUsed/>
    <w:rsid w:val="00297254"/>
  </w:style>
  <w:style w:type="paragraph" w:styleId="TtuloTDC">
    <w:name w:val="TOC Heading"/>
    <w:basedOn w:val="Ttulo1"/>
    <w:next w:val="Normal"/>
    <w:uiPriority w:val="39"/>
    <w:unhideWhenUsed/>
    <w:qFormat/>
    <w:rsid w:val="00FA1A61"/>
    <w:pPr>
      <w:spacing w:before="480" w:after="0" w:line="276" w:lineRule="auto"/>
      <w:outlineLvl w:val="9"/>
    </w:pPr>
    <w:rPr>
      <w:b/>
      <w:bCs/>
      <w:kern w:val="0"/>
      <w:sz w:val="28"/>
      <w:szCs w:val="28"/>
      <w:lang w:eastAsia="es-MX"/>
    </w:rPr>
  </w:style>
  <w:style w:type="paragraph" w:styleId="TDC1">
    <w:name w:val="toc 1"/>
    <w:basedOn w:val="Normal"/>
    <w:next w:val="Normal"/>
    <w:autoRedefine/>
    <w:uiPriority w:val="39"/>
    <w:unhideWhenUsed/>
    <w:rsid w:val="00CF2BD6"/>
    <w:pPr>
      <w:tabs>
        <w:tab w:val="left" w:pos="426"/>
        <w:tab w:val="right" w:pos="8828"/>
      </w:tabs>
      <w:spacing w:after="0" w:line="240" w:lineRule="auto"/>
    </w:pPr>
    <w:rPr>
      <w:rFonts w:asciiTheme="majorHAnsi" w:hAnsiTheme="majorHAnsi" w:cstheme="majorHAnsi"/>
      <w:b/>
      <w:bCs/>
      <w:caps/>
      <w:sz w:val="24"/>
      <w:szCs w:val="24"/>
    </w:rPr>
  </w:style>
  <w:style w:type="paragraph" w:styleId="TDC2">
    <w:name w:val="toc 2"/>
    <w:basedOn w:val="Normal"/>
    <w:next w:val="Normal"/>
    <w:autoRedefine/>
    <w:uiPriority w:val="39"/>
    <w:unhideWhenUsed/>
    <w:rsid w:val="00205E15"/>
    <w:pPr>
      <w:spacing w:before="240" w:after="0"/>
    </w:pPr>
    <w:rPr>
      <w:rFonts w:cstheme="minorHAnsi"/>
      <w:b/>
      <w:bCs/>
      <w:sz w:val="20"/>
      <w:szCs w:val="20"/>
    </w:rPr>
  </w:style>
  <w:style w:type="paragraph" w:styleId="TDC3">
    <w:name w:val="toc 3"/>
    <w:basedOn w:val="Normal"/>
    <w:next w:val="Normal"/>
    <w:autoRedefine/>
    <w:uiPriority w:val="39"/>
    <w:unhideWhenUsed/>
    <w:rsid w:val="00FA1A61"/>
    <w:pPr>
      <w:spacing w:after="0"/>
      <w:ind w:left="220"/>
    </w:pPr>
    <w:rPr>
      <w:rFonts w:cstheme="minorHAnsi"/>
      <w:sz w:val="20"/>
      <w:szCs w:val="20"/>
    </w:rPr>
  </w:style>
  <w:style w:type="paragraph" w:styleId="TDC4">
    <w:name w:val="toc 4"/>
    <w:basedOn w:val="Normal"/>
    <w:next w:val="Normal"/>
    <w:autoRedefine/>
    <w:uiPriority w:val="39"/>
    <w:unhideWhenUsed/>
    <w:rsid w:val="00917DE8"/>
    <w:pPr>
      <w:tabs>
        <w:tab w:val="left" w:pos="880"/>
        <w:tab w:val="right" w:pos="8828"/>
      </w:tabs>
      <w:spacing w:after="0" w:line="240" w:lineRule="auto"/>
      <w:jc w:val="both"/>
    </w:pPr>
    <w:rPr>
      <w:rFonts w:cstheme="minorHAnsi"/>
      <w:sz w:val="20"/>
      <w:szCs w:val="20"/>
    </w:rPr>
  </w:style>
  <w:style w:type="paragraph" w:styleId="TDC5">
    <w:name w:val="toc 5"/>
    <w:basedOn w:val="Normal"/>
    <w:next w:val="Normal"/>
    <w:autoRedefine/>
    <w:uiPriority w:val="39"/>
    <w:unhideWhenUsed/>
    <w:rsid w:val="00FA1A61"/>
    <w:pPr>
      <w:spacing w:after="0"/>
      <w:ind w:left="660"/>
    </w:pPr>
    <w:rPr>
      <w:rFonts w:cstheme="minorHAnsi"/>
      <w:sz w:val="20"/>
      <w:szCs w:val="20"/>
    </w:rPr>
  </w:style>
  <w:style w:type="paragraph" w:styleId="TDC6">
    <w:name w:val="toc 6"/>
    <w:basedOn w:val="Normal"/>
    <w:next w:val="Normal"/>
    <w:autoRedefine/>
    <w:uiPriority w:val="39"/>
    <w:unhideWhenUsed/>
    <w:rsid w:val="00FA1A61"/>
    <w:pPr>
      <w:spacing w:after="0"/>
      <w:ind w:left="880"/>
    </w:pPr>
    <w:rPr>
      <w:rFonts w:cstheme="minorHAnsi"/>
      <w:sz w:val="20"/>
      <w:szCs w:val="20"/>
    </w:rPr>
  </w:style>
  <w:style w:type="paragraph" w:styleId="TDC7">
    <w:name w:val="toc 7"/>
    <w:basedOn w:val="Normal"/>
    <w:next w:val="Normal"/>
    <w:autoRedefine/>
    <w:uiPriority w:val="39"/>
    <w:unhideWhenUsed/>
    <w:rsid w:val="00FA1A61"/>
    <w:pPr>
      <w:spacing w:after="0"/>
      <w:ind w:left="1100"/>
    </w:pPr>
    <w:rPr>
      <w:rFonts w:cstheme="minorHAnsi"/>
      <w:sz w:val="20"/>
      <w:szCs w:val="20"/>
    </w:rPr>
  </w:style>
  <w:style w:type="paragraph" w:styleId="TDC8">
    <w:name w:val="toc 8"/>
    <w:basedOn w:val="Normal"/>
    <w:next w:val="Normal"/>
    <w:autoRedefine/>
    <w:uiPriority w:val="39"/>
    <w:unhideWhenUsed/>
    <w:rsid w:val="00FA1A61"/>
    <w:pPr>
      <w:spacing w:after="0"/>
      <w:ind w:left="1320"/>
    </w:pPr>
    <w:rPr>
      <w:rFonts w:cstheme="minorHAnsi"/>
      <w:sz w:val="20"/>
      <w:szCs w:val="20"/>
    </w:rPr>
  </w:style>
  <w:style w:type="paragraph" w:styleId="TDC9">
    <w:name w:val="toc 9"/>
    <w:basedOn w:val="Normal"/>
    <w:next w:val="Normal"/>
    <w:autoRedefine/>
    <w:uiPriority w:val="39"/>
    <w:unhideWhenUsed/>
    <w:rsid w:val="00FA1A61"/>
    <w:pPr>
      <w:spacing w:after="0"/>
      <w:ind w:left="1540"/>
    </w:pPr>
    <w:rPr>
      <w:rFonts w:cstheme="minorHAnsi"/>
      <w:sz w:val="20"/>
      <w:szCs w:val="20"/>
    </w:rPr>
  </w:style>
  <w:style w:type="paragraph" w:styleId="Ttulo">
    <w:name w:val="Title"/>
    <w:basedOn w:val="Normal"/>
    <w:next w:val="Normal"/>
    <w:link w:val="TtuloCar"/>
    <w:uiPriority w:val="10"/>
    <w:qFormat/>
    <w:rsid w:val="00EB665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B6654"/>
    <w:rPr>
      <w:rFonts w:asciiTheme="majorHAnsi" w:eastAsiaTheme="majorEastAsia" w:hAnsiTheme="majorHAnsi" w:cstheme="majorBidi"/>
      <w:spacing w:val="-10"/>
      <w:kern w:val="28"/>
      <w:sz w:val="56"/>
      <w:szCs w:val="56"/>
    </w:rPr>
  </w:style>
  <w:style w:type="table" w:styleId="Tablanormal1">
    <w:name w:val="Plain Table 1"/>
    <w:basedOn w:val="Tablanormal"/>
    <w:uiPriority w:val="41"/>
    <w:rsid w:val="00EB66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visitado">
    <w:name w:val="FollowedHyperlink"/>
    <w:basedOn w:val="Fuentedeprrafopredeter"/>
    <w:uiPriority w:val="99"/>
    <w:semiHidden/>
    <w:unhideWhenUsed/>
    <w:rsid w:val="00293484"/>
    <w:rPr>
      <w:color w:val="954F72" w:themeColor="followedHyperlink"/>
      <w:u w:val="single"/>
    </w:rPr>
  </w:style>
  <w:style w:type="character" w:customStyle="1" w:styleId="Ttulo2Car">
    <w:name w:val="Título 2 Car"/>
    <w:basedOn w:val="Fuentedeprrafopredeter"/>
    <w:link w:val="Ttulo2"/>
    <w:uiPriority w:val="9"/>
    <w:rsid w:val="00721066"/>
    <w:rPr>
      <w:rFonts w:asciiTheme="majorHAnsi" w:eastAsiaTheme="majorEastAsia" w:hAnsiTheme="majorHAnsi" w:cstheme="majorBidi"/>
      <w:color w:val="2F5496" w:themeColor="accent1" w:themeShade="BF"/>
      <w:sz w:val="26"/>
      <w:szCs w:val="26"/>
    </w:rPr>
  </w:style>
  <w:style w:type="paragraph" w:customStyle="1" w:styleId="Refdenotaalpie2">
    <w:name w:val="Ref. de nota al pie2"/>
    <w:aliases w:val="Pie de pagina"/>
    <w:basedOn w:val="Normal"/>
    <w:uiPriority w:val="99"/>
    <w:rsid w:val="00825365"/>
    <w:pPr>
      <w:spacing w:line="240" w:lineRule="exact"/>
    </w:pPr>
    <w:rPr>
      <w:rFonts w:ascii="Calibri" w:eastAsia="Calibri" w:hAnsi="Calibri" w:cs="Times New Roman"/>
      <w:sz w:val="24"/>
      <w:szCs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16754</Words>
  <Characters>92149</Characters>
  <Application>Microsoft Office Word</Application>
  <DocSecurity>0</DocSecurity>
  <Lines>767</Lines>
  <Paragraphs>217</Paragraphs>
  <ScaleCrop>false</ScaleCrop>
  <Company/>
  <LinksUpToDate>false</LinksUpToDate>
  <CharactersWithSpaces>108686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2026-05-08T13:34:00Z</dcterms:created>
  <dcterms:modified xsi:type="dcterms:W3CDTF">2026-05-08T13:34:00Z</dcterms:modified>
</cp:coreProperties>
</file>