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8A4" w:rsidRPr="002F3D0A" w:rsidRDefault="001B0750">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2F3D0A">
        <w:rPr>
          <w:rFonts w:ascii="Times New Roman" w:hAnsi="Times New Roman" w:cs="Times New Roman"/>
          <w:sz w:val="28"/>
          <w:szCs w:val="24"/>
        </w:rPr>
        <w:t xml:space="preserve"> </w:t>
      </w:r>
    </w:p>
    <w:p w:rsidR="00EC08A4" w:rsidRPr="002F3D0A" w:rsidRDefault="00EC08A4">
      <w:pPr>
        <w:widowControl w:val="0"/>
        <w:autoSpaceDE w:val="0"/>
        <w:autoSpaceDN w:val="0"/>
        <w:adjustRightInd w:val="0"/>
        <w:spacing w:after="0" w:line="240" w:lineRule="auto"/>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center"/>
        <w:rPr>
          <w:rFonts w:ascii="Times New Roman" w:hAnsi="Times New Roman" w:cs="Times New Roman"/>
          <w:b/>
          <w:bCs/>
          <w:sz w:val="28"/>
          <w:szCs w:val="28"/>
        </w:rPr>
      </w:pPr>
      <w:r w:rsidRPr="002F3D0A">
        <w:rPr>
          <w:rFonts w:ascii="Times New Roman" w:hAnsi="Times New Roman" w:cs="Times New Roman"/>
          <w:b/>
          <w:bCs/>
          <w:sz w:val="28"/>
          <w:szCs w:val="28"/>
        </w:rPr>
        <w:t xml:space="preserve">TEMAS-SUBTEMAS </w:t>
      </w:r>
    </w:p>
    <w:p w:rsidR="00EC08A4" w:rsidRPr="002F3D0A" w:rsidRDefault="00EC08A4">
      <w:pPr>
        <w:widowControl w:val="0"/>
        <w:autoSpaceDE w:val="0"/>
        <w:autoSpaceDN w:val="0"/>
        <w:adjustRightInd w:val="0"/>
        <w:spacing w:after="0" w:line="240" w:lineRule="auto"/>
        <w:jc w:val="center"/>
        <w:rPr>
          <w:rFonts w:ascii="Times New Roman" w:hAnsi="Times New Roman" w:cs="Times New Roman"/>
          <w:b/>
          <w:bCs/>
          <w:sz w:val="28"/>
          <w:szCs w:val="28"/>
        </w:rPr>
      </w:pPr>
    </w:p>
    <w:p w:rsidR="00EC08A4" w:rsidRPr="002F3D0A" w:rsidRDefault="001B0750">
      <w:pPr>
        <w:widowControl w:val="0"/>
        <w:autoSpaceDE w:val="0"/>
        <w:autoSpaceDN w:val="0"/>
        <w:adjustRightInd w:val="0"/>
        <w:spacing w:after="0" w:line="240" w:lineRule="auto"/>
        <w:jc w:val="center"/>
        <w:rPr>
          <w:rFonts w:ascii="Times New Roman" w:hAnsi="Times New Roman" w:cs="Times New Roman"/>
          <w:sz w:val="28"/>
          <w:szCs w:val="28"/>
        </w:rPr>
      </w:pPr>
      <w:r w:rsidRPr="002F3D0A">
        <w:rPr>
          <w:rFonts w:ascii="Times New Roman" w:hAnsi="Times New Roman" w:cs="Times New Roman"/>
          <w:b/>
          <w:bCs/>
          <w:sz w:val="28"/>
          <w:szCs w:val="28"/>
        </w:rPr>
        <w:t xml:space="preserve">Sentencia C-395/24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COSA JUZGADA CONSTITUCIONAL</w:t>
      </w:r>
      <w:r w:rsidRPr="002F3D0A">
        <w:rPr>
          <w:rFonts w:ascii="Times New Roman" w:hAnsi="Times New Roman" w:cs="Times New Roman"/>
          <w:sz w:val="28"/>
          <w:szCs w:val="28"/>
        </w:rPr>
        <w:t xml:space="preserve">-Requisitos para su configuración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COSA JUZGADA CONSTITUCIONAL</w:t>
      </w:r>
      <w:r w:rsidRPr="002F3D0A">
        <w:rPr>
          <w:rFonts w:ascii="Times New Roman" w:hAnsi="Times New Roman" w:cs="Times New Roman"/>
          <w:sz w:val="28"/>
          <w:szCs w:val="28"/>
        </w:rPr>
        <w:t xml:space="preserve">-Tipología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COSA JUZGADA CONSTITUCIONAL MATERIAL</w:t>
      </w:r>
      <w:r w:rsidRPr="002F3D0A">
        <w:rPr>
          <w:rFonts w:ascii="Times New Roman" w:hAnsi="Times New Roman" w:cs="Times New Roman"/>
          <w:sz w:val="28"/>
          <w:szCs w:val="28"/>
        </w:rPr>
        <w:t>-Configuración</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i/>
          <w:iCs/>
          <w:sz w:val="28"/>
          <w:szCs w:val="28"/>
        </w:rPr>
        <w:t>Este fenómeno se configura cuando se comprueba la coincidencia del contenido normativo más allá de los aspectos formales que diferencian las disposiciones revisadas o cuando existen variaciones de una misma disposición siempre que no se afecte el sentido esencial del mismo. Para determinar la configuración de la cosa juzgada material deben seguirse los siguientes pasos: (i) evaluar si existe una decisión de constitucionalidad anterior sobre una regla de derecho idéntica, pero contenida en otra disposición; (ii) determinar el nivel de “similitud entre los cargos del pasado y del presente y el análisis constitucional de fondo sobre la proposición jurídica”; y (iii) verificar que no exista una variación en el parámetro de control.</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COSA JUZGADA MATERIAL EN SENTIDO ESTRICTO Y COSA JUZGADA MATERIAL EN SENTIDO AMPLIO</w:t>
      </w:r>
      <w:r w:rsidRPr="002F3D0A">
        <w:rPr>
          <w:rFonts w:ascii="Times New Roman" w:hAnsi="Times New Roman" w:cs="Times New Roman"/>
          <w:sz w:val="28"/>
          <w:szCs w:val="28"/>
        </w:rPr>
        <w:t xml:space="preserve">-Diferencias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COSA JUZGADA MATERIAL</w:t>
      </w:r>
      <w:r w:rsidRPr="002F3D0A">
        <w:rPr>
          <w:rFonts w:ascii="Times New Roman" w:hAnsi="Times New Roman" w:cs="Times New Roman"/>
          <w:sz w:val="28"/>
          <w:szCs w:val="28"/>
        </w:rPr>
        <w:t xml:space="preserve">-Inexistencia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INHIBICION DE LA CORTE CONSTITUCIONAL POR INEPTITUD SUSTANTIVA DE LA DEMANDA</w:t>
      </w:r>
      <w:r w:rsidRPr="002F3D0A">
        <w:rPr>
          <w:rFonts w:ascii="Times New Roman" w:hAnsi="Times New Roman" w:cs="Times New Roman"/>
          <w:sz w:val="28"/>
          <w:szCs w:val="28"/>
        </w:rPr>
        <w:t xml:space="preserve">-Incumplimiento de requisitos de especificidad, pertinencia y suficiencia en los cargos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DEMANDA DE INCONSTITUCIONALIDAD POR VULNERACION DEL PRINCIPIO DE EQUIDAD TRIBUTARIA</w:t>
      </w:r>
      <w:r w:rsidRPr="002F3D0A">
        <w:rPr>
          <w:rFonts w:ascii="Times New Roman" w:hAnsi="Times New Roman" w:cs="Times New Roman"/>
          <w:sz w:val="28"/>
          <w:szCs w:val="28"/>
        </w:rPr>
        <w:t>-Requisitos en la carga argumentativa</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i/>
          <w:iCs/>
          <w:sz w:val="28"/>
          <w:szCs w:val="28"/>
        </w:rPr>
        <w:t>Para el examen de la aptitud de este cargo debe tenerse en cuenta la especial carga argumentativa que la jurisprudencia exige para la formulación de un reproche por vulneración de la equidad horizontal como manifestación del mandato de igualdad en el campo tributario. Esta carga argumentativa exige una debida definición de: (i) los sujetos o situaciones objeto de comparación; (ii) la identificación de la distinción de trato; y (iii) la exposición de las razones por las que se considera que la distinción de trato vulnera la Constitución y carece de justificación.</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DEMANDA DE INCONSTITUCIONALIDAD CONTRA NORMA TRIBUTARIA</w:t>
      </w:r>
      <w:r w:rsidRPr="002F3D0A">
        <w:rPr>
          <w:rFonts w:ascii="Times New Roman" w:hAnsi="Times New Roman" w:cs="Times New Roman"/>
          <w:sz w:val="28"/>
          <w:szCs w:val="28"/>
        </w:rPr>
        <w:t xml:space="preserve">-Inhibición por ineptitud sustantiva de la demanda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DEMANDA DE INCONSTITUCIONALIDAD QUE PRETENDE EL CAMBIO DE PRECEDENTE CONSTITUCIONAL</w:t>
      </w:r>
      <w:r w:rsidRPr="002F3D0A">
        <w:rPr>
          <w:rFonts w:ascii="Times New Roman" w:hAnsi="Times New Roman" w:cs="Times New Roman"/>
          <w:sz w:val="28"/>
          <w:szCs w:val="28"/>
        </w:rPr>
        <w:t xml:space="preserve">-Requisitos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1B0750">
      <w:pPr>
        <w:widowControl w:val="0"/>
        <w:autoSpaceDE w:val="0"/>
        <w:autoSpaceDN w:val="0"/>
        <w:adjustRightInd w:val="0"/>
        <w:spacing w:after="0" w:line="240" w:lineRule="auto"/>
        <w:jc w:val="both"/>
        <w:rPr>
          <w:rFonts w:ascii="Times New Roman" w:hAnsi="Times New Roman" w:cs="Times New Roman"/>
          <w:sz w:val="28"/>
          <w:szCs w:val="28"/>
        </w:rPr>
      </w:pPr>
      <w:r w:rsidRPr="002F3D0A">
        <w:rPr>
          <w:rFonts w:ascii="Times New Roman" w:hAnsi="Times New Roman" w:cs="Times New Roman"/>
          <w:b/>
          <w:bCs/>
          <w:sz w:val="28"/>
          <w:szCs w:val="28"/>
        </w:rPr>
        <w:t>DEMANDA DE INCONSTITUCIONALIDAD QUE PRETENDE EL CAMBIO DE PRECEDENTE CONSTITUCIONAL</w:t>
      </w:r>
      <w:r w:rsidRPr="002F3D0A">
        <w:rPr>
          <w:rFonts w:ascii="Times New Roman" w:hAnsi="Times New Roman" w:cs="Times New Roman"/>
          <w:sz w:val="28"/>
          <w:szCs w:val="28"/>
        </w:rPr>
        <w:t xml:space="preserve">-Incumplimiento de requisitos </w:t>
      </w:r>
    </w:p>
    <w:p w:rsidR="00EC08A4" w:rsidRPr="002F3D0A" w:rsidRDefault="00EC08A4">
      <w:pPr>
        <w:widowControl w:val="0"/>
        <w:autoSpaceDE w:val="0"/>
        <w:autoSpaceDN w:val="0"/>
        <w:adjustRightInd w:val="0"/>
        <w:spacing w:after="0" w:line="240" w:lineRule="auto"/>
        <w:jc w:val="both"/>
        <w:rPr>
          <w:rFonts w:ascii="Times New Roman" w:hAnsi="Times New Roman" w:cs="Times New Roman"/>
          <w:sz w:val="28"/>
          <w:szCs w:val="28"/>
        </w:rPr>
      </w:pPr>
    </w:p>
    <w:p w:rsidR="00EC08A4" w:rsidRPr="002F3D0A" w:rsidRDefault="002F3D0A">
      <w:pPr>
        <w:widowControl w:val="0"/>
        <w:autoSpaceDE w:val="0"/>
        <w:autoSpaceDN w:val="0"/>
        <w:adjustRightInd w:val="0"/>
        <w:spacing w:after="0" w:line="240" w:lineRule="auto"/>
        <w:jc w:val="both"/>
        <w:rPr>
          <w:rFonts w:ascii="Times New Roman" w:hAnsi="Times New Roman" w:cs="Times New Roman"/>
          <w:sz w:val="28"/>
        </w:rPr>
      </w:pPr>
      <w:r w:rsidRPr="002F3D0A">
        <w:rPr>
          <w:rFonts w:ascii="Times New Roman" w:hAnsi="Times New Roman" w:cs="Times New Roman"/>
          <w:sz w:val="28"/>
          <w:szCs w:val="28"/>
        </w:rPr>
        <w:pict>
          <v:rect id="_x0000_i1025" style="width:0;height:1.5pt" o:hralign="center" o:hrstd="t" o:hr="t" fillcolor="#a0a0a0" stroked="f"/>
        </w:pict>
      </w:r>
    </w:p>
    <w:tbl>
      <w:tblPr>
        <w:tblW w:w="9639" w:type="dxa"/>
        <w:tblLayout w:type="fixed"/>
        <w:tblLook w:val="06A0" w:firstRow="1" w:lastRow="0" w:firstColumn="1" w:lastColumn="0" w:noHBand="1" w:noVBand="1"/>
      </w:tblPr>
      <w:tblGrid>
        <w:gridCol w:w="284"/>
        <w:gridCol w:w="3135"/>
        <w:gridCol w:w="6220"/>
      </w:tblGrid>
      <w:tr w:rsidR="00852E35" w:rsidRPr="002F3D0A" w:rsidTr="00483A4B">
        <w:tc>
          <w:tcPr>
            <w:tcW w:w="284" w:type="dxa"/>
          </w:tcPr>
          <w:p w:rsidR="00852E35" w:rsidRPr="002F3D0A" w:rsidRDefault="002F3D0A" w:rsidP="00077C4E">
            <w:pPr>
              <w:pStyle w:val="Encabezado"/>
              <w:ind w:left="-115"/>
              <w:rPr>
                <w:rFonts w:ascii="Times New Roman" w:hAnsi="Times New Roman" w:cs="Times New Roman"/>
                <w:sz w:val="28"/>
              </w:rPr>
            </w:pPr>
          </w:p>
        </w:tc>
        <w:tc>
          <w:tcPr>
            <w:tcW w:w="3135" w:type="dxa"/>
          </w:tcPr>
          <w:p w:rsidR="00852E35" w:rsidRPr="002F3D0A" w:rsidRDefault="002F3D0A" w:rsidP="00077C4E">
            <w:pPr>
              <w:pStyle w:val="Encabezado"/>
              <w:jc w:val="center"/>
              <w:rPr>
                <w:rFonts w:ascii="Times New Roman" w:hAnsi="Times New Roman" w:cs="Times New Roman"/>
                <w:sz w:val="28"/>
              </w:rPr>
            </w:pPr>
          </w:p>
        </w:tc>
        <w:tc>
          <w:tcPr>
            <w:tcW w:w="6220" w:type="dxa"/>
          </w:tcPr>
          <w:p w:rsidR="00852E35" w:rsidRPr="002F3D0A" w:rsidRDefault="002F3D0A" w:rsidP="00077C4E">
            <w:pPr>
              <w:pStyle w:val="Encabezado"/>
              <w:ind w:right="-115"/>
              <w:jc w:val="right"/>
              <w:rPr>
                <w:rFonts w:ascii="Times New Roman" w:hAnsi="Times New Roman" w:cs="Times New Roman"/>
                <w:sz w:val="28"/>
              </w:rPr>
            </w:pPr>
          </w:p>
        </w:tc>
      </w:tr>
    </w:tbl>
    <w:p w:rsidR="00852E35" w:rsidRPr="002F3D0A" w:rsidRDefault="002F3D0A" w:rsidP="00483A4B">
      <w:pPr>
        <w:pStyle w:val="Encabezado"/>
        <w:jc w:val="center"/>
        <w:rPr>
          <w:rFonts w:ascii="Times New Roman" w:hAnsi="Times New Roman" w:cs="Times New Roman"/>
          <w:b/>
          <w:bCs/>
          <w:sz w:val="28"/>
          <w:szCs w:val="28"/>
          <w:lang w:val="es-ES"/>
        </w:rPr>
      </w:pPr>
      <w:r w:rsidRPr="002F3D0A">
        <w:rPr>
          <w:rFonts w:ascii="Times New Roman" w:hAnsi="Times New Roman" w:cs="Times New Roman"/>
          <w:b/>
          <w:bCs/>
          <w:sz w:val="28"/>
          <w:szCs w:val="28"/>
          <w:lang w:val="es-ES"/>
        </w:rPr>
        <w:t>REPÚBLICA DE COLOMBIA</w:t>
      </w:r>
    </w:p>
    <w:p w:rsidR="00852E35" w:rsidRPr="002F3D0A" w:rsidRDefault="002F3D0A" w:rsidP="00483A4B">
      <w:pPr>
        <w:pStyle w:val="Encabezado"/>
        <w:tabs>
          <w:tab w:val="left" w:pos="0"/>
        </w:tabs>
        <w:jc w:val="center"/>
        <w:rPr>
          <w:rFonts w:ascii="Times New Roman" w:hAnsi="Times New Roman" w:cs="Times New Roman"/>
          <w:b/>
          <w:bCs/>
          <w:sz w:val="28"/>
          <w:szCs w:val="28"/>
          <w:lang w:val="es-ES"/>
        </w:rPr>
      </w:pPr>
      <w:r w:rsidRPr="002F3D0A">
        <w:rPr>
          <w:rFonts w:ascii="Times New Roman" w:hAnsi="Times New Roman" w:cs="Times New Roman"/>
          <w:b/>
          <w:bCs/>
          <w:noProof/>
          <w:sz w:val="28"/>
          <w:szCs w:val="28"/>
        </w:rPr>
        <w:drawing>
          <wp:inline distT="0" distB="0" distL="0" distR="0" wp14:anchorId="41058B8C" wp14:editId="09B547E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483A4B" w:rsidRPr="002F3D0A" w:rsidRDefault="002F3D0A" w:rsidP="00483A4B">
      <w:pPr>
        <w:pStyle w:val="Encabezado"/>
        <w:jc w:val="center"/>
        <w:rPr>
          <w:rFonts w:ascii="Times New Roman" w:hAnsi="Times New Roman" w:cs="Times New Roman"/>
          <w:b/>
          <w:bCs/>
          <w:sz w:val="28"/>
          <w:szCs w:val="28"/>
          <w:lang w:val="es-ES"/>
        </w:rPr>
      </w:pPr>
      <w:r w:rsidRPr="002F3D0A">
        <w:rPr>
          <w:rFonts w:ascii="Times New Roman" w:hAnsi="Times New Roman" w:cs="Times New Roman"/>
          <w:b/>
          <w:bCs/>
          <w:sz w:val="28"/>
          <w:szCs w:val="28"/>
          <w:lang w:val="es-ES"/>
        </w:rPr>
        <w:t xml:space="preserve">CORTE </w:t>
      </w:r>
      <w:r w:rsidRPr="002F3D0A">
        <w:rPr>
          <w:rFonts w:ascii="Times New Roman" w:hAnsi="Times New Roman" w:cs="Times New Roman"/>
          <w:b/>
          <w:bCs/>
          <w:sz w:val="28"/>
          <w:szCs w:val="28"/>
          <w:lang w:val="es-ES"/>
        </w:rPr>
        <w:t>CONSTITUCIONAL</w:t>
      </w:r>
    </w:p>
    <w:p w:rsidR="00852E35" w:rsidRPr="002F3D0A" w:rsidRDefault="002F3D0A" w:rsidP="00483A4B">
      <w:pPr>
        <w:pStyle w:val="Encabezado"/>
        <w:jc w:val="center"/>
        <w:rPr>
          <w:rFonts w:ascii="Times New Roman" w:hAnsi="Times New Roman" w:cs="Times New Roman"/>
          <w:b/>
          <w:bCs/>
          <w:sz w:val="28"/>
          <w:szCs w:val="28"/>
          <w:lang w:val="es-ES"/>
        </w:rPr>
      </w:pPr>
      <w:r w:rsidRPr="002F3D0A">
        <w:rPr>
          <w:rFonts w:ascii="Times New Roman" w:hAnsi="Times New Roman" w:cs="Times New Roman"/>
          <w:b/>
          <w:bCs/>
          <w:sz w:val="28"/>
          <w:szCs w:val="28"/>
          <w:lang w:val="es-ES"/>
        </w:rPr>
        <w:t>Sala Plena</w:t>
      </w:r>
    </w:p>
    <w:p w:rsidR="00852E35" w:rsidRPr="002F3D0A" w:rsidRDefault="002F3D0A" w:rsidP="00483A4B">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_tradnl" w:eastAsia="es-ES"/>
        </w:rPr>
      </w:pPr>
    </w:p>
    <w:p w:rsidR="00852E35" w:rsidRPr="002F3D0A" w:rsidRDefault="002F3D0A" w:rsidP="00852E35">
      <w:pPr>
        <w:autoSpaceDE w:val="0"/>
        <w:autoSpaceDN w:val="0"/>
        <w:adjustRightInd w:val="0"/>
        <w:ind w:right="49"/>
        <w:contextualSpacing/>
        <w:jc w:val="center"/>
        <w:rPr>
          <w:rFonts w:ascii="Times New Roman" w:eastAsia="Times New Roman" w:hAnsi="Times New Roman" w:cs="Times New Roman"/>
          <w:b/>
          <w:bCs/>
          <w:color w:val="000000" w:themeColor="text1"/>
          <w:sz w:val="28"/>
          <w:szCs w:val="28"/>
          <w:lang w:val="es-ES_tradnl" w:eastAsia="es-ES"/>
        </w:rPr>
      </w:pPr>
      <w:r w:rsidRPr="002F3D0A">
        <w:rPr>
          <w:rFonts w:ascii="Times New Roman" w:eastAsia="Times New Roman" w:hAnsi="Times New Roman" w:cs="Times New Roman"/>
          <w:b/>
          <w:bCs/>
          <w:color w:val="000000" w:themeColor="text1"/>
          <w:sz w:val="28"/>
          <w:szCs w:val="28"/>
          <w:lang w:val="es-ES_tradnl" w:eastAsia="es-ES"/>
        </w:rPr>
        <w:t xml:space="preserve">Sentencia </w:t>
      </w:r>
      <w:r w:rsidRPr="002F3D0A">
        <w:rPr>
          <w:rFonts w:ascii="Times New Roman" w:eastAsia="Times New Roman" w:hAnsi="Times New Roman" w:cs="Times New Roman"/>
          <w:b/>
          <w:bCs/>
          <w:color w:val="000000" w:themeColor="text1"/>
          <w:sz w:val="28"/>
          <w:szCs w:val="28"/>
          <w:lang w:val="es-ES_tradnl" w:eastAsia="es-ES"/>
        </w:rPr>
        <w:t>C-</w:t>
      </w:r>
      <w:r w:rsidRPr="002F3D0A">
        <w:rPr>
          <w:rFonts w:ascii="Times New Roman" w:eastAsia="Times New Roman" w:hAnsi="Times New Roman" w:cs="Times New Roman"/>
          <w:b/>
          <w:bCs/>
          <w:color w:val="000000" w:themeColor="text1"/>
          <w:sz w:val="28"/>
          <w:szCs w:val="28"/>
          <w:lang w:val="es-ES_tradnl" w:eastAsia="es-ES"/>
        </w:rPr>
        <w:t>395</w:t>
      </w:r>
      <w:r w:rsidRPr="002F3D0A">
        <w:rPr>
          <w:rFonts w:ascii="Times New Roman" w:eastAsia="Times New Roman" w:hAnsi="Times New Roman" w:cs="Times New Roman"/>
          <w:b/>
          <w:bCs/>
          <w:color w:val="000000" w:themeColor="text1"/>
          <w:sz w:val="28"/>
          <w:szCs w:val="28"/>
          <w:lang w:val="es-ES_tradnl" w:eastAsia="es-ES"/>
        </w:rPr>
        <w:t xml:space="preserve"> de 202</w:t>
      </w:r>
      <w:r w:rsidRPr="002F3D0A">
        <w:rPr>
          <w:rFonts w:ascii="Times New Roman" w:eastAsia="Times New Roman" w:hAnsi="Times New Roman" w:cs="Times New Roman"/>
          <w:b/>
          <w:bCs/>
          <w:color w:val="000000" w:themeColor="text1"/>
          <w:sz w:val="28"/>
          <w:szCs w:val="28"/>
          <w:lang w:val="es-ES_tradnl" w:eastAsia="es-ES"/>
        </w:rPr>
        <w:t>4</w:t>
      </w:r>
    </w:p>
    <w:p w:rsidR="00852E35" w:rsidRPr="002F3D0A" w:rsidRDefault="002F3D0A" w:rsidP="00852E35">
      <w:pPr>
        <w:widowControl w:val="0"/>
        <w:autoSpaceDE w:val="0"/>
        <w:autoSpaceDN w:val="0"/>
        <w:adjustRightInd w:val="0"/>
        <w:ind w:right="49"/>
        <w:contextualSpacing/>
        <w:outlineLvl w:val="0"/>
        <w:rPr>
          <w:rFonts w:ascii="Times New Roman" w:eastAsia="Times New Roman" w:hAnsi="Times New Roman" w:cs="Times New Roman"/>
          <w:color w:val="000000" w:themeColor="text1"/>
          <w:sz w:val="28"/>
          <w:szCs w:val="28"/>
          <w:lang w:val="es-ES_tradnl" w:eastAsia="es-ES"/>
        </w:rPr>
      </w:pPr>
    </w:p>
    <w:p w:rsidR="00852E35" w:rsidRPr="002F3D0A" w:rsidRDefault="002F3D0A"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 w:eastAsia="es-ES"/>
        </w:rPr>
      </w:pPr>
      <w:r w:rsidRPr="002F3D0A">
        <w:rPr>
          <w:rFonts w:ascii="Times New Roman" w:eastAsia="Times New Roman" w:hAnsi="Times New Roman" w:cs="Times New Roman"/>
          <w:b/>
          <w:bCs/>
          <w:color w:val="000000" w:themeColor="text1"/>
          <w:sz w:val="28"/>
          <w:szCs w:val="28"/>
          <w:lang w:val="es-ES" w:eastAsia="es-ES"/>
        </w:rPr>
        <w:t>Expediente:</w:t>
      </w:r>
      <w:r w:rsidRPr="002F3D0A">
        <w:rPr>
          <w:rFonts w:ascii="Times New Roman" w:eastAsia="Times New Roman" w:hAnsi="Times New Roman" w:cs="Times New Roman"/>
          <w:color w:val="000000" w:themeColor="text1"/>
          <w:sz w:val="28"/>
          <w:szCs w:val="28"/>
          <w:lang w:val="es-ES" w:eastAsia="es-ES"/>
        </w:rPr>
        <w:t xml:space="preserve"> </w:t>
      </w:r>
      <w:r w:rsidRPr="002F3D0A">
        <w:rPr>
          <w:rFonts w:ascii="Times New Roman" w:eastAsia="Times New Roman" w:hAnsi="Times New Roman" w:cs="Times New Roman"/>
          <w:color w:val="000000" w:themeColor="text1"/>
          <w:sz w:val="28"/>
          <w:szCs w:val="28"/>
          <w:lang w:val="es-ES" w:eastAsia="es-ES"/>
        </w:rPr>
        <w:t>D-15564</w:t>
      </w:r>
    </w:p>
    <w:p w:rsidR="00852E35" w:rsidRPr="002F3D0A" w:rsidRDefault="002F3D0A" w:rsidP="00852E35">
      <w:pPr>
        <w:pStyle w:val="Sinespaciado"/>
        <w:rPr>
          <w:rFonts w:ascii="Times New Roman" w:hAnsi="Times New Roman"/>
          <w:sz w:val="28"/>
          <w:szCs w:val="28"/>
        </w:rPr>
      </w:pPr>
    </w:p>
    <w:p w:rsidR="00AA7568" w:rsidRPr="002F3D0A" w:rsidRDefault="002F3D0A" w:rsidP="00AC56D9">
      <w:pPr>
        <w:tabs>
          <w:tab w:val="left" w:pos="3544"/>
          <w:tab w:val="left" w:pos="4678"/>
        </w:tabs>
        <w:ind w:left="3969" w:right="51"/>
        <w:contextualSpacing/>
        <w:rPr>
          <w:rFonts w:ascii="Times New Roman" w:eastAsia="Times New Roman" w:hAnsi="Times New Roman" w:cs="Times New Roman"/>
          <w:bCs/>
          <w:iCs/>
          <w:color w:val="000000" w:themeColor="text1"/>
          <w:sz w:val="28"/>
          <w:szCs w:val="28"/>
          <w:lang w:val="es-ES_tradnl" w:eastAsia="es-ES"/>
        </w:rPr>
      </w:pPr>
      <w:bookmarkStart w:id="1" w:name="_Hlk78544795"/>
      <w:r w:rsidRPr="002F3D0A">
        <w:rPr>
          <w:rFonts w:ascii="Times New Roman" w:eastAsia="Times New Roman" w:hAnsi="Times New Roman" w:cs="Times New Roman"/>
          <w:bCs/>
          <w:iCs/>
          <w:color w:val="000000" w:themeColor="text1"/>
          <w:sz w:val="28"/>
          <w:szCs w:val="28"/>
          <w:lang w:val="es-ES_tradnl" w:eastAsia="es-ES"/>
        </w:rPr>
        <w:t xml:space="preserve">Demanda de inconstitucionalidad contra </w:t>
      </w:r>
      <w:bookmarkStart w:id="2" w:name="_Hlk164941366"/>
      <w:bookmarkStart w:id="3" w:name="_Hlk149044707"/>
      <w:r w:rsidRPr="002F3D0A">
        <w:rPr>
          <w:rFonts w:ascii="Times New Roman" w:eastAsia="Times New Roman" w:hAnsi="Times New Roman" w:cs="Times New Roman"/>
          <w:bCs/>
          <w:iCs/>
          <w:color w:val="000000" w:themeColor="text1"/>
          <w:sz w:val="28"/>
          <w:szCs w:val="28"/>
          <w:lang w:val="es-ES_tradnl" w:eastAsia="es-ES"/>
        </w:rPr>
        <w:t>los artículos</w:t>
      </w:r>
      <w:r w:rsidRPr="002F3D0A">
        <w:rPr>
          <w:rFonts w:ascii="Times New Roman" w:eastAsia="Times New Roman" w:hAnsi="Times New Roman" w:cs="Times New Roman"/>
          <w:bCs/>
          <w:iCs/>
          <w:color w:val="000000" w:themeColor="text1"/>
          <w:sz w:val="28"/>
          <w:szCs w:val="28"/>
          <w:lang w:val="es-ES_tradnl" w:eastAsia="es-ES"/>
        </w:rPr>
        <w:t xml:space="preserve"> </w:t>
      </w:r>
      <w:r w:rsidRPr="002F3D0A">
        <w:rPr>
          <w:rFonts w:ascii="Times New Roman" w:eastAsia="Times New Roman" w:hAnsi="Times New Roman" w:cs="Times New Roman"/>
          <w:bCs/>
          <w:iCs/>
          <w:color w:val="000000" w:themeColor="text1"/>
          <w:sz w:val="28"/>
          <w:szCs w:val="28"/>
          <w:lang w:val="es-ES_tradnl" w:eastAsia="es-ES"/>
        </w:rPr>
        <w:t>35, 36, 37, 38, 39, 40 y 41 de la Ley 2277 de 2022</w:t>
      </w:r>
      <w:bookmarkEnd w:id="2"/>
      <w:r w:rsidRPr="002F3D0A">
        <w:rPr>
          <w:rStyle w:val="Refdenotaalpie"/>
          <w:rFonts w:ascii="Times New Roman" w:eastAsia="Times New Roman" w:hAnsi="Times New Roman" w:cs="Times New Roman"/>
          <w:bCs/>
          <w:iCs/>
          <w:color w:val="000000" w:themeColor="text1"/>
          <w:sz w:val="28"/>
          <w:szCs w:val="28"/>
          <w:lang w:val="es-ES_tradnl" w:eastAsia="es-ES"/>
        </w:rPr>
        <w:footnoteReference w:id="1"/>
      </w:r>
      <w:r w:rsidRPr="002F3D0A">
        <w:rPr>
          <w:rFonts w:ascii="Times New Roman" w:eastAsia="Times New Roman" w:hAnsi="Times New Roman" w:cs="Times New Roman"/>
          <w:bCs/>
          <w:iCs/>
          <w:color w:val="000000" w:themeColor="text1"/>
          <w:sz w:val="28"/>
          <w:szCs w:val="28"/>
          <w:lang w:val="es-ES_tradnl" w:eastAsia="es-ES"/>
        </w:rPr>
        <w:t xml:space="preserve">. </w:t>
      </w:r>
    </w:p>
    <w:bookmarkEnd w:id="1"/>
    <w:bookmarkEnd w:id="3"/>
    <w:p w:rsidR="00852E35" w:rsidRPr="002F3D0A" w:rsidRDefault="002F3D0A" w:rsidP="00852E35">
      <w:pPr>
        <w:pStyle w:val="Sinespaciado"/>
        <w:rPr>
          <w:rFonts w:ascii="Times New Roman" w:hAnsi="Times New Roman"/>
          <w:sz w:val="28"/>
          <w:szCs w:val="28"/>
        </w:rPr>
      </w:pPr>
    </w:p>
    <w:p w:rsidR="00852E35" w:rsidRPr="002F3D0A" w:rsidRDefault="002F3D0A" w:rsidP="00852E35">
      <w:pPr>
        <w:widowControl w:val="0"/>
        <w:tabs>
          <w:tab w:val="left" w:pos="3544"/>
          <w:tab w:val="left" w:pos="4678"/>
          <w:tab w:val="left" w:pos="8100"/>
        </w:tabs>
        <w:autoSpaceDE w:val="0"/>
        <w:autoSpaceDN w:val="0"/>
        <w:adjustRightInd w:val="0"/>
        <w:ind w:left="3969" w:right="49"/>
        <w:contextualSpacing/>
        <w:rPr>
          <w:rFonts w:ascii="Times New Roman" w:eastAsia="Times New Roman" w:hAnsi="Times New Roman" w:cs="Times New Roman"/>
          <w:b/>
          <w:color w:val="000000" w:themeColor="text1"/>
          <w:sz w:val="28"/>
          <w:szCs w:val="28"/>
          <w:lang w:val="es-ES_tradnl" w:eastAsia="es-ES"/>
        </w:rPr>
      </w:pPr>
      <w:r w:rsidRPr="002F3D0A">
        <w:rPr>
          <w:rFonts w:ascii="Times New Roman" w:eastAsia="Times New Roman" w:hAnsi="Times New Roman" w:cs="Times New Roman"/>
          <w:b/>
          <w:color w:val="000000" w:themeColor="text1"/>
          <w:sz w:val="28"/>
          <w:szCs w:val="28"/>
          <w:lang w:val="es-ES_tradnl" w:eastAsia="es-ES"/>
        </w:rPr>
        <w:t>Demandante</w:t>
      </w:r>
      <w:r w:rsidRPr="002F3D0A">
        <w:rPr>
          <w:rFonts w:ascii="Times New Roman" w:eastAsia="Times New Roman" w:hAnsi="Times New Roman" w:cs="Times New Roman"/>
          <w:b/>
          <w:color w:val="000000" w:themeColor="text1"/>
          <w:sz w:val="28"/>
          <w:szCs w:val="28"/>
          <w:lang w:val="es-ES_tradnl" w:eastAsia="es-ES"/>
        </w:rPr>
        <w:t>s</w:t>
      </w:r>
      <w:r w:rsidRPr="002F3D0A">
        <w:rPr>
          <w:rFonts w:ascii="Times New Roman" w:eastAsia="Times New Roman" w:hAnsi="Times New Roman" w:cs="Times New Roman"/>
          <w:b/>
          <w:color w:val="000000" w:themeColor="text1"/>
          <w:sz w:val="28"/>
          <w:szCs w:val="28"/>
          <w:lang w:val="es-ES_tradnl" w:eastAsia="es-ES"/>
        </w:rPr>
        <w:t>:</w:t>
      </w:r>
      <w:r w:rsidRPr="002F3D0A">
        <w:rPr>
          <w:rFonts w:ascii="Times New Roman" w:eastAsia="Times New Roman" w:hAnsi="Times New Roman" w:cs="Times New Roman"/>
          <w:b/>
          <w:color w:val="000000" w:themeColor="text1"/>
          <w:sz w:val="28"/>
          <w:szCs w:val="28"/>
          <w:lang w:val="es-ES_tradnl" w:eastAsia="es-ES"/>
        </w:rPr>
        <w:t xml:space="preserve"> </w:t>
      </w:r>
      <w:bookmarkStart w:id="4" w:name="_Hlk164941344"/>
      <w:r w:rsidRPr="002F3D0A">
        <w:rPr>
          <w:rFonts w:ascii="Times New Roman" w:eastAsia="Times New Roman" w:hAnsi="Times New Roman" w:cs="Times New Roman"/>
          <w:color w:val="000000" w:themeColor="text1"/>
          <w:sz w:val="28"/>
          <w:szCs w:val="28"/>
          <w:lang w:val="es-ES_tradnl" w:eastAsia="es-ES"/>
        </w:rPr>
        <w:t xml:space="preserve">Carolina Rozo Gutiérrez, Leonardo Cote Botero y Nicolás </w:t>
      </w:r>
      <w:r w:rsidRPr="002F3D0A">
        <w:rPr>
          <w:rFonts w:ascii="Times New Roman" w:eastAsia="Times New Roman" w:hAnsi="Times New Roman" w:cs="Times New Roman"/>
          <w:color w:val="000000" w:themeColor="text1"/>
          <w:sz w:val="28"/>
          <w:szCs w:val="28"/>
          <w:lang w:val="es-ES_tradnl" w:eastAsia="es-ES"/>
        </w:rPr>
        <w:t>Sanabria Caicedo.</w:t>
      </w:r>
      <w:r w:rsidRPr="002F3D0A">
        <w:rPr>
          <w:rFonts w:ascii="Times New Roman" w:eastAsia="Times New Roman" w:hAnsi="Times New Roman" w:cs="Times New Roman"/>
          <w:b/>
          <w:color w:val="000000" w:themeColor="text1"/>
          <w:sz w:val="28"/>
          <w:szCs w:val="28"/>
          <w:lang w:val="es-ES_tradnl" w:eastAsia="es-ES"/>
        </w:rPr>
        <w:t xml:space="preserve"> </w:t>
      </w:r>
    </w:p>
    <w:bookmarkEnd w:id="4"/>
    <w:p w:rsidR="00852E35" w:rsidRPr="002F3D0A" w:rsidRDefault="002F3D0A" w:rsidP="00852E35">
      <w:pPr>
        <w:pStyle w:val="Sinespaciado"/>
        <w:rPr>
          <w:rFonts w:ascii="Times New Roman" w:hAnsi="Times New Roman"/>
          <w:sz w:val="28"/>
          <w:szCs w:val="28"/>
        </w:rPr>
      </w:pPr>
    </w:p>
    <w:p w:rsidR="00852E35" w:rsidRPr="002F3D0A" w:rsidRDefault="002F3D0A"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color w:val="000000" w:themeColor="text1"/>
          <w:sz w:val="28"/>
          <w:szCs w:val="28"/>
          <w:lang w:val="es-ES_tradnl" w:eastAsia="es-ES"/>
        </w:rPr>
      </w:pPr>
      <w:r w:rsidRPr="002F3D0A">
        <w:rPr>
          <w:rFonts w:ascii="Times New Roman" w:eastAsia="Times New Roman" w:hAnsi="Times New Roman" w:cs="Times New Roman"/>
          <w:b/>
          <w:color w:val="000000" w:themeColor="text1"/>
          <w:sz w:val="28"/>
          <w:szCs w:val="28"/>
          <w:lang w:val="es-ES_tradnl" w:eastAsia="es-ES"/>
        </w:rPr>
        <w:t>Magistrada Sustanciadora:</w:t>
      </w:r>
    </w:p>
    <w:p w:rsidR="00852E35" w:rsidRPr="002F3D0A" w:rsidRDefault="002F3D0A" w:rsidP="00852E35">
      <w:pPr>
        <w:widowControl w:val="0"/>
        <w:tabs>
          <w:tab w:val="left" w:pos="3544"/>
          <w:tab w:val="left" w:pos="4678"/>
        </w:tabs>
        <w:autoSpaceDE w:val="0"/>
        <w:autoSpaceDN w:val="0"/>
        <w:adjustRightInd w:val="0"/>
        <w:ind w:left="3969" w:right="49"/>
        <w:contextualSpacing/>
        <w:outlineLvl w:val="0"/>
        <w:rPr>
          <w:rFonts w:ascii="Times New Roman" w:eastAsia="Times New Roman" w:hAnsi="Times New Roman" w:cs="Times New Roman"/>
          <w:bCs/>
          <w:color w:val="000000" w:themeColor="text1"/>
          <w:sz w:val="28"/>
          <w:szCs w:val="28"/>
          <w:lang w:val="es-ES_tradnl" w:eastAsia="es-ES"/>
        </w:rPr>
      </w:pPr>
      <w:r w:rsidRPr="002F3D0A">
        <w:rPr>
          <w:rFonts w:ascii="Times New Roman" w:eastAsia="Times New Roman" w:hAnsi="Times New Roman" w:cs="Times New Roman"/>
          <w:bCs/>
          <w:color w:val="000000" w:themeColor="text1"/>
          <w:sz w:val="28"/>
          <w:szCs w:val="28"/>
          <w:lang w:val="es-ES_tradnl" w:eastAsia="es-ES"/>
        </w:rPr>
        <w:t>N</w:t>
      </w:r>
      <w:r w:rsidRPr="002F3D0A">
        <w:rPr>
          <w:rFonts w:ascii="Times New Roman" w:eastAsia="Times New Roman" w:hAnsi="Times New Roman" w:cs="Times New Roman"/>
          <w:bCs/>
          <w:color w:val="000000" w:themeColor="text1"/>
          <w:sz w:val="28"/>
          <w:szCs w:val="28"/>
          <w:lang w:val="es-ES_tradnl" w:eastAsia="es-ES"/>
        </w:rPr>
        <w:t>atalia</w:t>
      </w:r>
      <w:r w:rsidRPr="002F3D0A">
        <w:rPr>
          <w:rFonts w:ascii="Times New Roman" w:eastAsia="Times New Roman" w:hAnsi="Times New Roman" w:cs="Times New Roman"/>
          <w:bCs/>
          <w:color w:val="000000" w:themeColor="text1"/>
          <w:sz w:val="28"/>
          <w:szCs w:val="28"/>
          <w:lang w:val="es-ES_tradnl" w:eastAsia="es-ES"/>
        </w:rPr>
        <w:t xml:space="preserve"> Á</w:t>
      </w:r>
      <w:r w:rsidRPr="002F3D0A">
        <w:rPr>
          <w:rFonts w:ascii="Times New Roman" w:eastAsia="Times New Roman" w:hAnsi="Times New Roman" w:cs="Times New Roman"/>
          <w:bCs/>
          <w:color w:val="000000" w:themeColor="text1"/>
          <w:sz w:val="28"/>
          <w:szCs w:val="28"/>
          <w:lang w:val="es-ES_tradnl" w:eastAsia="es-ES"/>
        </w:rPr>
        <w:t>ngel</w:t>
      </w:r>
      <w:r w:rsidRPr="002F3D0A">
        <w:rPr>
          <w:rFonts w:ascii="Times New Roman" w:eastAsia="Times New Roman" w:hAnsi="Times New Roman" w:cs="Times New Roman"/>
          <w:bCs/>
          <w:color w:val="000000" w:themeColor="text1"/>
          <w:sz w:val="28"/>
          <w:szCs w:val="28"/>
          <w:lang w:val="es-ES_tradnl" w:eastAsia="es-ES"/>
        </w:rPr>
        <w:t xml:space="preserve"> C</w:t>
      </w:r>
      <w:r w:rsidRPr="002F3D0A">
        <w:rPr>
          <w:rFonts w:ascii="Times New Roman" w:eastAsia="Times New Roman" w:hAnsi="Times New Roman" w:cs="Times New Roman"/>
          <w:bCs/>
          <w:color w:val="000000" w:themeColor="text1"/>
          <w:sz w:val="28"/>
          <w:szCs w:val="28"/>
          <w:lang w:val="es-ES_tradnl" w:eastAsia="es-ES"/>
        </w:rPr>
        <w:t>abo</w:t>
      </w:r>
      <w:r w:rsidRPr="002F3D0A">
        <w:rPr>
          <w:rFonts w:ascii="Times New Roman" w:eastAsia="Times New Roman" w:hAnsi="Times New Roman" w:cs="Times New Roman"/>
          <w:bCs/>
          <w:color w:val="000000" w:themeColor="text1"/>
          <w:sz w:val="28"/>
          <w:szCs w:val="28"/>
          <w:lang w:val="es-ES_tradnl" w:eastAsia="es-ES"/>
        </w:rPr>
        <w:t>.</w:t>
      </w:r>
    </w:p>
    <w:p w:rsidR="00852E35" w:rsidRPr="002F3D0A" w:rsidRDefault="002F3D0A" w:rsidP="00852E35">
      <w:pPr>
        <w:tabs>
          <w:tab w:val="left" w:pos="3544"/>
          <w:tab w:val="left" w:pos="4678"/>
        </w:tabs>
        <w:ind w:left="3969" w:right="49"/>
        <w:contextualSpacing/>
        <w:rPr>
          <w:rFonts w:ascii="Times New Roman" w:eastAsia="Times New Roman" w:hAnsi="Times New Roman" w:cs="Times New Roman"/>
          <w:color w:val="000000" w:themeColor="text1"/>
          <w:sz w:val="28"/>
          <w:szCs w:val="28"/>
          <w:lang w:val="es-ES_tradnl" w:eastAsia="es-ES"/>
        </w:rPr>
      </w:pPr>
    </w:p>
    <w:p w:rsidR="00852E35" w:rsidRPr="002F3D0A" w:rsidRDefault="002F3D0A" w:rsidP="00852E35">
      <w:pPr>
        <w:tabs>
          <w:tab w:val="left" w:pos="3544"/>
          <w:tab w:val="left" w:pos="4678"/>
        </w:tabs>
        <w:ind w:left="3969" w:right="49"/>
        <w:contextualSpacing/>
        <w:rPr>
          <w:rFonts w:ascii="Times New Roman" w:eastAsia="Times New Roman" w:hAnsi="Times New Roman" w:cs="Times New Roman"/>
          <w:color w:val="000000" w:themeColor="text1"/>
          <w:sz w:val="28"/>
          <w:szCs w:val="28"/>
          <w:lang w:val="es-ES_tradnl" w:eastAsia="es-ES"/>
        </w:rPr>
      </w:pPr>
    </w:p>
    <w:p w:rsidR="00852E35" w:rsidRPr="002F3D0A" w:rsidRDefault="002F3D0A" w:rsidP="00852E35">
      <w:pPr>
        <w:tabs>
          <w:tab w:val="left" w:pos="3544"/>
          <w:tab w:val="left" w:pos="4678"/>
        </w:tabs>
        <w:ind w:right="49"/>
        <w:contextualSpacing/>
        <w:rPr>
          <w:rFonts w:ascii="Times New Roman" w:eastAsia="Times New Roman" w:hAnsi="Times New Roman" w:cs="Times New Roman"/>
          <w:color w:val="000000" w:themeColor="text1"/>
          <w:sz w:val="28"/>
          <w:szCs w:val="28"/>
          <w:lang w:val="es-ES_tradnl" w:eastAsia="es-ES"/>
        </w:rPr>
      </w:pPr>
      <w:r w:rsidRPr="002F3D0A">
        <w:rPr>
          <w:rFonts w:ascii="Times New Roman" w:eastAsia="Times New Roman" w:hAnsi="Times New Roman" w:cs="Times New Roman"/>
          <w:color w:val="000000" w:themeColor="text1"/>
          <w:sz w:val="28"/>
          <w:szCs w:val="28"/>
          <w:lang w:val="es-ES_tradnl" w:eastAsia="es-ES"/>
        </w:rPr>
        <w:t xml:space="preserve">Bogotá, D. C. </w:t>
      </w:r>
      <w:r w:rsidRPr="002F3D0A">
        <w:rPr>
          <w:rFonts w:ascii="Times New Roman" w:eastAsia="Times New Roman" w:hAnsi="Times New Roman" w:cs="Times New Roman"/>
          <w:color w:val="000000" w:themeColor="text1"/>
          <w:sz w:val="28"/>
          <w:szCs w:val="28"/>
          <w:lang w:val="es-ES_tradnl" w:eastAsia="es-ES"/>
        </w:rPr>
        <w:t xml:space="preserve">diecinueve </w:t>
      </w:r>
      <w:r w:rsidRPr="002F3D0A">
        <w:rPr>
          <w:rFonts w:ascii="Times New Roman" w:eastAsia="Times New Roman" w:hAnsi="Times New Roman" w:cs="Times New Roman"/>
          <w:color w:val="000000" w:themeColor="text1"/>
          <w:sz w:val="28"/>
          <w:szCs w:val="28"/>
          <w:lang w:val="es-ES_tradnl" w:eastAsia="es-ES"/>
        </w:rPr>
        <w:t>(</w:t>
      </w:r>
      <w:r w:rsidRPr="002F3D0A">
        <w:rPr>
          <w:rFonts w:ascii="Times New Roman" w:eastAsia="Times New Roman" w:hAnsi="Times New Roman" w:cs="Times New Roman"/>
          <w:color w:val="000000" w:themeColor="text1"/>
          <w:sz w:val="28"/>
          <w:szCs w:val="28"/>
          <w:lang w:val="es-ES_tradnl" w:eastAsia="es-ES"/>
        </w:rPr>
        <w:t>19</w:t>
      </w:r>
      <w:r w:rsidRPr="002F3D0A">
        <w:rPr>
          <w:rFonts w:ascii="Times New Roman" w:eastAsia="Times New Roman" w:hAnsi="Times New Roman" w:cs="Times New Roman"/>
          <w:color w:val="000000" w:themeColor="text1"/>
          <w:sz w:val="28"/>
          <w:szCs w:val="28"/>
          <w:lang w:val="es-ES_tradnl" w:eastAsia="es-ES"/>
        </w:rPr>
        <w:t>) de</w:t>
      </w:r>
      <w:r w:rsidRPr="002F3D0A">
        <w:rPr>
          <w:rFonts w:ascii="Times New Roman" w:eastAsia="Times New Roman" w:hAnsi="Times New Roman" w:cs="Times New Roman"/>
          <w:color w:val="000000" w:themeColor="text1"/>
          <w:sz w:val="28"/>
          <w:szCs w:val="28"/>
          <w:lang w:val="es-ES_tradnl" w:eastAsia="es-ES"/>
        </w:rPr>
        <w:t xml:space="preserve"> septiembre de</w:t>
      </w:r>
      <w:r w:rsidRPr="002F3D0A">
        <w:rPr>
          <w:rFonts w:ascii="Times New Roman" w:eastAsia="Times New Roman" w:hAnsi="Times New Roman" w:cs="Times New Roman"/>
          <w:color w:val="000000" w:themeColor="text1"/>
          <w:sz w:val="28"/>
          <w:szCs w:val="28"/>
          <w:lang w:val="es-ES_tradnl" w:eastAsia="es-ES"/>
        </w:rPr>
        <w:t xml:space="preserve"> dos mil veinti</w:t>
      </w:r>
      <w:r w:rsidRPr="002F3D0A">
        <w:rPr>
          <w:rFonts w:ascii="Times New Roman" w:eastAsia="Times New Roman" w:hAnsi="Times New Roman" w:cs="Times New Roman"/>
          <w:color w:val="000000" w:themeColor="text1"/>
          <w:sz w:val="28"/>
          <w:szCs w:val="28"/>
          <w:lang w:val="es-ES_tradnl" w:eastAsia="es-ES"/>
        </w:rPr>
        <w:t>cuatro</w:t>
      </w:r>
      <w:r w:rsidRPr="002F3D0A">
        <w:rPr>
          <w:rFonts w:ascii="Times New Roman" w:eastAsia="Times New Roman" w:hAnsi="Times New Roman" w:cs="Times New Roman"/>
          <w:color w:val="000000" w:themeColor="text1"/>
          <w:sz w:val="28"/>
          <w:szCs w:val="28"/>
          <w:lang w:val="es-ES_tradnl" w:eastAsia="es-ES"/>
        </w:rPr>
        <w:t xml:space="preserve"> (202</w:t>
      </w:r>
      <w:r w:rsidRPr="002F3D0A">
        <w:rPr>
          <w:rFonts w:ascii="Times New Roman" w:eastAsia="Times New Roman" w:hAnsi="Times New Roman" w:cs="Times New Roman"/>
          <w:color w:val="000000" w:themeColor="text1"/>
          <w:sz w:val="28"/>
          <w:szCs w:val="28"/>
          <w:lang w:val="es-ES_tradnl" w:eastAsia="es-ES"/>
        </w:rPr>
        <w:t>4</w:t>
      </w:r>
      <w:r w:rsidRPr="002F3D0A">
        <w:rPr>
          <w:rFonts w:ascii="Times New Roman" w:eastAsia="Times New Roman" w:hAnsi="Times New Roman" w:cs="Times New Roman"/>
          <w:color w:val="000000" w:themeColor="text1"/>
          <w:sz w:val="28"/>
          <w:szCs w:val="28"/>
          <w:lang w:val="es-ES_tradnl" w:eastAsia="es-ES"/>
        </w:rPr>
        <w:t>)</w:t>
      </w:r>
    </w:p>
    <w:p w:rsidR="00852E35" w:rsidRPr="002F3D0A" w:rsidRDefault="002F3D0A" w:rsidP="00852E35">
      <w:pPr>
        <w:tabs>
          <w:tab w:val="left" w:pos="2608"/>
        </w:tabs>
        <w:contextualSpacing/>
        <w:rPr>
          <w:rFonts w:ascii="Times New Roman" w:hAnsi="Times New Roman" w:cs="Times New Roman"/>
          <w:color w:val="000000" w:themeColor="text1"/>
          <w:sz w:val="28"/>
          <w:szCs w:val="28"/>
          <w:lang w:val="es-ES"/>
        </w:rPr>
      </w:pPr>
    </w:p>
    <w:p w:rsidR="00852E35" w:rsidRPr="002F3D0A" w:rsidRDefault="002F3D0A" w:rsidP="00852E35">
      <w:pPr>
        <w:tabs>
          <w:tab w:val="left" w:pos="2608"/>
        </w:tabs>
        <w:contextualSpacing/>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La Sala Plena de la Corte Constitucional, en ejercicio de sus atribuciones constitucionales y legales, en especial de las previstas en el numeral 4º del artículo 241 de la Constitución Política, </w:t>
      </w:r>
      <w:r w:rsidRPr="002F3D0A">
        <w:rPr>
          <w:rFonts w:ascii="Times New Roman" w:hAnsi="Times New Roman" w:cs="Times New Roman"/>
          <w:color w:val="000000" w:themeColor="text1"/>
          <w:sz w:val="28"/>
          <w:szCs w:val="28"/>
          <w:lang w:val="es-ES"/>
        </w:rPr>
        <w:t>y cumplidos todos los trámites y requisitos contemplados en e</w:t>
      </w:r>
      <w:r w:rsidRPr="002F3D0A">
        <w:rPr>
          <w:rFonts w:ascii="Times New Roman" w:hAnsi="Times New Roman" w:cs="Times New Roman"/>
          <w:color w:val="000000" w:themeColor="text1"/>
          <w:sz w:val="28"/>
          <w:szCs w:val="28"/>
          <w:lang w:val="es-ES"/>
        </w:rPr>
        <w:t>l Decreto 2067 de 1991, profiere la siguiente:</w:t>
      </w:r>
    </w:p>
    <w:p w:rsidR="00852E35" w:rsidRPr="002F3D0A" w:rsidRDefault="002F3D0A" w:rsidP="00852E35">
      <w:pPr>
        <w:tabs>
          <w:tab w:val="left" w:pos="2608"/>
        </w:tabs>
        <w:contextualSpacing/>
        <w:rPr>
          <w:rFonts w:ascii="Times New Roman" w:hAnsi="Times New Roman" w:cs="Times New Roman"/>
          <w:color w:val="000000" w:themeColor="text1"/>
          <w:sz w:val="28"/>
          <w:szCs w:val="28"/>
          <w:lang w:val="es-ES"/>
        </w:rPr>
      </w:pPr>
    </w:p>
    <w:p w:rsidR="00852E35" w:rsidRPr="002F3D0A" w:rsidRDefault="002F3D0A" w:rsidP="00852E35">
      <w:pPr>
        <w:tabs>
          <w:tab w:val="left" w:pos="2608"/>
        </w:tabs>
        <w:contextualSpacing/>
        <w:jc w:val="center"/>
        <w:rPr>
          <w:rFonts w:ascii="Times New Roman" w:hAnsi="Times New Roman" w:cs="Times New Roman"/>
          <w:b/>
          <w:color w:val="000000" w:themeColor="text1"/>
          <w:sz w:val="28"/>
          <w:szCs w:val="28"/>
          <w:lang w:val="es-ES"/>
        </w:rPr>
      </w:pPr>
      <w:r w:rsidRPr="002F3D0A">
        <w:rPr>
          <w:rFonts w:ascii="Times New Roman" w:hAnsi="Times New Roman" w:cs="Times New Roman"/>
          <w:b/>
          <w:color w:val="000000" w:themeColor="text1"/>
          <w:sz w:val="28"/>
          <w:szCs w:val="28"/>
          <w:lang w:val="es-ES"/>
        </w:rPr>
        <w:t>SENTENCIA.</w:t>
      </w:r>
    </w:p>
    <w:p w:rsidR="00AF3595" w:rsidRPr="002F3D0A" w:rsidRDefault="002F3D0A" w:rsidP="00852E35">
      <w:pPr>
        <w:tabs>
          <w:tab w:val="left" w:pos="2608"/>
        </w:tabs>
        <w:contextualSpacing/>
        <w:jc w:val="center"/>
        <w:rPr>
          <w:rFonts w:ascii="Times New Roman" w:hAnsi="Times New Roman" w:cs="Times New Roman"/>
          <w:b/>
          <w:color w:val="000000" w:themeColor="text1"/>
          <w:sz w:val="28"/>
          <w:szCs w:val="28"/>
          <w:lang w:val="es-ES"/>
        </w:rPr>
      </w:pPr>
    </w:p>
    <w:p w:rsidR="00852E35" w:rsidRPr="002F3D0A" w:rsidRDefault="002F3D0A" w:rsidP="00AF3595">
      <w:pPr>
        <w:pStyle w:val="Sinespaciado"/>
        <w:jc w:val="center"/>
        <w:rPr>
          <w:rFonts w:ascii="Times New Roman" w:hAnsi="Times New Roman"/>
          <w:b/>
          <w:sz w:val="28"/>
          <w:szCs w:val="28"/>
        </w:rPr>
      </w:pPr>
      <w:r w:rsidRPr="002F3D0A">
        <w:rPr>
          <w:rFonts w:ascii="Times New Roman" w:hAnsi="Times New Roman"/>
          <w:b/>
          <w:sz w:val="28"/>
          <w:szCs w:val="28"/>
        </w:rPr>
        <w:t>Síntesis de la decisión</w:t>
      </w:r>
    </w:p>
    <w:p w:rsidR="00AF3595" w:rsidRPr="002F3D0A" w:rsidRDefault="002F3D0A" w:rsidP="00852E35">
      <w:pPr>
        <w:pStyle w:val="Sinespaciado"/>
        <w:rPr>
          <w:rFonts w:ascii="Times New Roman" w:hAnsi="Times New Roman"/>
          <w:sz w:val="28"/>
          <w:szCs w:val="28"/>
        </w:rPr>
      </w:pPr>
    </w:p>
    <w:p w:rsidR="001A4AE5" w:rsidRPr="002F3D0A" w:rsidRDefault="002F3D0A" w:rsidP="00AF3595">
      <w:pPr>
        <w:pStyle w:val="Sinespaciado"/>
        <w:rPr>
          <w:rFonts w:ascii="Times New Roman" w:hAnsi="Times New Roman"/>
          <w:sz w:val="28"/>
          <w:szCs w:val="28"/>
          <w:lang w:val="es-CO"/>
        </w:rPr>
      </w:pPr>
      <w:r w:rsidRPr="002F3D0A">
        <w:rPr>
          <w:rFonts w:ascii="Times New Roman" w:hAnsi="Times New Roman"/>
          <w:sz w:val="28"/>
          <w:szCs w:val="28"/>
          <w:lang w:val="es-CO"/>
        </w:rPr>
        <w:t xml:space="preserve">En este proceso la Sala examinó dos cargos de inconstitucionalidad. El primero, </w:t>
      </w:r>
      <w:r w:rsidRPr="002F3D0A">
        <w:rPr>
          <w:rFonts w:ascii="Times New Roman" w:hAnsi="Times New Roman"/>
          <w:sz w:val="28"/>
          <w:szCs w:val="28"/>
          <w:lang w:val="es-CO"/>
        </w:rPr>
        <w:t xml:space="preserve">se dirigió </w:t>
      </w:r>
      <w:r w:rsidRPr="002F3D0A">
        <w:rPr>
          <w:rFonts w:ascii="Times New Roman" w:hAnsi="Times New Roman"/>
          <w:sz w:val="28"/>
          <w:szCs w:val="28"/>
          <w:lang w:val="es-CO"/>
        </w:rPr>
        <w:t>contra el numeral 5 del artículo 35 de la Ley 2277 de 2022, planteó la violación</w:t>
      </w:r>
      <w:r w:rsidRPr="002F3D0A">
        <w:rPr>
          <w:rFonts w:ascii="Times New Roman" w:hAnsi="Times New Roman"/>
          <w:sz w:val="28"/>
          <w:szCs w:val="28"/>
          <w:lang w:val="es-CO"/>
        </w:rPr>
        <w:t xml:space="preserve"> del principio de equidad tributaria horizontal.</w:t>
      </w:r>
      <w:r w:rsidRPr="002F3D0A">
        <w:rPr>
          <w:rFonts w:ascii="Times New Roman" w:hAnsi="Times New Roman"/>
          <w:sz w:val="28"/>
          <w:szCs w:val="28"/>
          <w:lang w:val="es-CO"/>
        </w:rPr>
        <w:t xml:space="preserve"> </w:t>
      </w:r>
      <w:r w:rsidRPr="002F3D0A">
        <w:rPr>
          <w:rFonts w:ascii="Times New Roman" w:hAnsi="Times New Roman"/>
          <w:sz w:val="28"/>
          <w:szCs w:val="28"/>
          <w:lang w:val="es-CO"/>
        </w:rPr>
        <w:t>La</w:t>
      </w:r>
      <w:r w:rsidRPr="002F3D0A">
        <w:rPr>
          <w:rFonts w:ascii="Times New Roman" w:hAnsi="Times New Roman"/>
          <w:sz w:val="28"/>
          <w:szCs w:val="28"/>
          <w:lang w:val="es-CO"/>
        </w:rPr>
        <w:t xml:space="preserve"> </w:t>
      </w:r>
      <w:r w:rsidRPr="002F3D0A">
        <w:rPr>
          <w:rFonts w:ascii="Times New Roman" w:hAnsi="Times New Roman"/>
          <w:sz w:val="28"/>
          <w:szCs w:val="28"/>
          <w:lang w:val="es-CO"/>
        </w:rPr>
        <w:t>disposición establece como sujetos pasivos del impuesto al patrimonio a las entidades o sociedades extranjeras, no declarantes del impuesto de renta, que posean bienes diferentes a acciones, cuentas por c</w:t>
      </w:r>
      <w:r w:rsidRPr="002F3D0A">
        <w:rPr>
          <w:rFonts w:ascii="Times New Roman" w:hAnsi="Times New Roman"/>
          <w:sz w:val="28"/>
          <w:szCs w:val="28"/>
          <w:lang w:val="es-CO"/>
        </w:rPr>
        <w:t xml:space="preserve">obrar e inversiones de portafolio. Para los demandantes </w:t>
      </w:r>
      <w:r w:rsidRPr="002F3D0A">
        <w:rPr>
          <w:rFonts w:ascii="Times New Roman" w:hAnsi="Times New Roman"/>
          <w:sz w:val="28"/>
          <w:szCs w:val="28"/>
          <w:lang w:val="es-CO"/>
        </w:rPr>
        <w:t>la disposición excluye a sociedades extranjeras que posean un tipo de bienes y</w:t>
      </w:r>
      <w:r w:rsidRPr="002F3D0A">
        <w:rPr>
          <w:rFonts w:ascii="Times New Roman" w:hAnsi="Times New Roman"/>
          <w:sz w:val="28"/>
          <w:szCs w:val="28"/>
          <w:lang w:val="es-CO"/>
        </w:rPr>
        <w:t xml:space="preserve"> desconoce que las otras sociedades con bienes diferentes como inmuebles, títulos mineros, aeronaves, entre otros, que sí </w:t>
      </w:r>
      <w:r w:rsidRPr="002F3D0A">
        <w:rPr>
          <w:rFonts w:ascii="Times New Roman" w:hAnsi="Times New Roman"/>
          <w:sz w:val="28"/>
          <w:szCs w:val="28"/>
          <w:lang w:val="es-CO"/>
        </w:rPr>
        <w:t>son sujetos pasivos del impuesto al patrimonio, tienen la misma capacidad contributiva. En consecuencia, solicitaron que se declare inexequible la norma y de esa forma todas las sociedades o entidades extranjeras estén excluidas del impuesto al patrimonio.</w:t>
      </w:r>
    </w:p>
    <w:p w:rsidR="001A4AE5" w:rsidRPr="002F3D0A" w:rsidRDefault="002F3D0A" w:rsidP="00AF3595">
      <w:pPr>
        <w:pStyle w:val="Sinespaciado"/>
        <w:rPr>
          <w:rFonts w:ascii="Times New Roman" w:hAnsi="Times New Roman"/>
          <w:sz w:val="28"/>
          <w:szCs w:val="28"/>
          <w:lang w:val="es-CO"/>
        </w:rPr>
      </w:pPr>
    </w:p>
    <w:p w:rsidR="00AF3595" w:rsidRPr="002F3D0A" w:rsidRDefault="002F3D0A" w:rsidP="00AF3595">
      <w:pPr>
        <w:pStyle w:val="Sinespaciado"/>
        <w:rPr>
          <w:rFonts w:ascii="Times New Roman" w:hAnsi="Times New Roman"/>
          <w:sz w:val="28"/>
          <w:szCs w:val="28"/>
          <w:lang w:val="es-CO"/>
        </w:rPr>
      </w:pPr>
      <w:r w:rsidRPr="002F3D0A">
        <w:rPr>
          <w:rFonts w:ascii="Times New Roman" w:hAnsi="Times New Roman"/>
          <w:sz w:val="28"/>
          <w:szCs w:val="28"/>
          <w:lang w:val="es-CO"/>
        </w:rPr>
        <w:t xml:space="preserve">El cargo segundo, </w:t>
      </w:r>
      <w:r w:rsidRPr="002F3D0A">
        <w:rPr>
          <w:rFonts w:ascii="Times New Roman" w:hAnsi="Times New Roman"/>
          <w:sz w:val="28"/>
          <w:szCs w:val="28"/>
          <w:lang w:val="es-CO"/>
        </w:rPr>
        <w:t xml:space="preserve">se dirigió </w:t>
      </w:r>
      <w:r w:rsidRPr="002F3D0A">
        <w:rPr>
          <w:rFonts w:ascii="Times New Roman" w:hAnsi="Times New Roman"/>
          <w:sz w:val="28"/>
          <w:szCs w:val="28"/>
          <w:lang w:val="es-CO"/>
        </w:rPr>
        <w:t xml:space="preserve">contra </w:t>
      </w:r>
      <w:r w:rsidRPr="002F3D0A">
        <w:rPr>
          <w:rFonts w:ascii="Times New Roman" w:hAnsi="Times New Roman"/>
          <w:sz w:val="28"/>
          <w:szCs w:val="28"/>
          <w:lang w:val="es-CO"/>
        </w:rPr>
        <w:t xml:space="preserve">los </w:t>
      </w:r>
      <w:r w:rsidRPr="002F3D0A">
        <w:rPr>
          <w:rFonts w:ascii="Times New Roman" w:hAnsi="Times New Roman"/>
          <w:sz w:val="28"/>
          <w:szCs w:val="28"/>
          <w:lang w:val="es-CO"/>
        </w:rPr>
        <w:t>artículo</w:t>
      </w:r>
      <w:r w:rsidRPr="002F3D0A">
        <w:rPr>
          <w:rFonts w:ascii="Times New Roman" w:hAnsi="Times New Roman"/>
          <w:sz w:val="28"/>
          <w:szCs w:val="28"/>
          <w:lang w:val="es-CO"/>
        </w:rPr>
        <w:t>s</w:t>
      </w:r>
      <w:r w:rsidRPr="002F3D0A">
        <w:rPr>
          <w:rFonts w:ascii="Times New Roman" w:hAnsi="Times New Roman"/>
          <w:sz w:val="28"/>
          <w:szCs w:val="28"/>
          <w:lang w:val="es-CO"/>
        </w:rPr>
        <w:t xml:space="preserve"> 36</w:t>
      </w:r>
      <w:r w:rsidRPr="002F3D0A">
        <w:rPr>
          <w:rFonts w:ascii="Times New Roman" w:hAnsi="Times New Roman"/>
          <w:sz w:val="28"/>
          <w:szCs w:val="28"/>
          <w:lang w:val="es-CO"/>
        </w:rPr>
        <w:t xml:space="preserve"> y 37</w:t>
      </w:r>
      <w:r w:rsidRPr="002F3D0A">
        <w:rPr>
          <w:rFonts w:ascii="Times New Roman" w:hAnsi="Times New Roman"/>
          <w:sz w:val="28"/>
          <w:szCs w:val="28"/>
          <w:lang w:val="es-CO"/>
        </w:rPr>
        <w:t xml:space="preserve"> de la Ley 2277 de 2022</w:t>
      </w:r>
      <w:r w:rsidRPr="002F3D0A">
        <w:rPr>
          <w:rFonts w:ascii="Times New Roman" w:hAnsi="Times New Roman"/>
          <w:sz w:val="28"/>
          <w:szCs w:val="28"/>
          <w:lang w:val="es-CO"/>
        </w:rPr>
        <w:t xml:space="preserve"> y </w:t>
      </w:r>
      <w:r w:rsidRPr="002F3D0A">
        <w:rPr>
          <w:rFonts w:ascii="Times New Roman" w:hAnsi="Times New Roman"/>
          <w:sz w:val="28"/>
          <w:szCs w:val="28"/>
          <w:lang w:val="es-CO"/>
        </w:rPr>
        <w:t xml:space="preserve">planteó que la inclusión de los inmuebles en </w:t>
      </w:r>
      <w:r w:rsidRPr="002F3D0A">
        <w:rPr>
          <w:rFonts w:ascii="Times New Roman" w:hAnsi="Times New Roman"/>
          <w:sz w:val="28"/>
          <w:szCs w:val="28"/>
          <w:lang w:val="es-CO"/>
        </w:rPr>
        <w:t xml:space="preserve">el hecho generador y </w:t>
      </w:r>
      <w:r w:rsidRPr="002F3D0A">
        <w:rPr>
          <w:rFonts w:ascii="Times New Roman" w:hAnsi="Times New Roman"/>
          <w:sz w:val="28"/>
          <w:szCs w:val="28"/>
          <w:lang w:val="es-CO"/>
        </w:rPr>
        <w:t>la base gravable del impuesto al patrimonio afecta la competencia de los municipios para gravar la propie</w:t>
      </w:r>
      <w:r w:rsidRPr="002F3D0A">
        <w:rPr>
          <w:rFonts w:ascii="Times New Roman" w:hAnsi="Times New Roman"/>
          <w:sz w:val="28"/>
          <w:szCs w:val="28"/>
          <w:lang w:val="es-CO"/>
        </w:rPr>
        <w:t xml:space="preserve">dad inmueble </w:t>
      </w:r>
      <w:r w:rsidRPr="002F3D0A">
        <w:rPr>
          <w:rFonts w:ascii="Times New Roman" w:hAnsi="Times New Roman"/>
          <w:sz w:val="28"/>
          <w:szCs w:val="28"/>
          <w:lang w:val="es-CO"/>
        </w:rPr>
        <w:t>como manifestación de su autonomía -a</w:t>
      </w:r>
      <w:r w:rsidRPr="002F3D0A">
        <w:rPr>
          <w:rFonts w:ascii="Times New Roman" w:hAnsi="Times New Roman"/>
          <w:sz w:val="28"/>
          <w:szCs w:val="28"/>
          <w:lang w:val="es-CO"/>
        </w:rPr>
        <w:t>rtículo</w:t>
      </w:r>
      <w:r w:rsidRPr="002F3D0A">
        <w:rPr>
          <w:rFonts w:ascii="Times New Roman" w:hAnsi="Times New Roman"/>
          <w:sz w:val="28"/>
          <w:szCs w:val="28"/>
          <w:lang w:val="es-CO"/>
        </w:rPr>
        <w:t>s 287 y</w:t>
      </w:r>
      <w:r w:rsidRPr="002F3D0A">
        <w:rPr>
          <w:rFonts w:ascii="Times New Roman" w:hAnsi="Times New Roman"/>
          <w:sz w:val="28"/>
          <w:szCs w:val="28"/>
          <w:lang w:val="es-CO"/>
        </w:rPr>
        <w:t xml:space="preserve"> 317 de la Constitución</w:t>
      </w:r>
      <w:r w:rsidRPr="002F3D0A">
        <w:rPr>
          <w:rFonts w:ascii="Times New Roman" w:hAnsi="Times New Roman"/>
          <w:sz w:val="28"/>
          <w:szCs w:val="28"/>
          <w:lang w:val="es-CO"/>
        </w:rPr>
        <w:t>-</w:t>
      </w:r>
      <w:r w:rsidRPr="002F3D0A">
        <w:rPr>
          <w:rFonts w:ascii="Times New Roman" w:hAnsi="Times New Roman"/>
          <w:sz w:val="28"/>
          <w:szCs w:val="28"/>
          <w:lang w:val="es-CO"/>
        </w:rPr>
        <w:t xml:space="preserve">. </w:t>
      </w:r>
      <w:bookmarkStart w:id="5" w:name="_Hlk178671656"/>
    </w:p>
    <w:bookmarkEnd w:id="5"/>
    <w:p w:rsidR="001A4AE5" w:rsidRPr="002F3D0A" w:rsidRDefault="002F3D0A" w:rsidP="00144CF4">
      <w:pPr>
        <w:pStyle w:val="paragraph"/>
        <w:spacing w:after="0"/>
        <w:contextualSpacing/>
        <w:jc w:val="both"/>
        <w:textAlignment w:val="baseline"/>
        <w:rPr>
          <w:color w:val="000000" w:themeColor="text1"/>
          <w:sz w:val="28"/>
          <w:szCs w:val="28"/>
          <w:lang w:val="es-CO"/>
        </w:rPr>
      </w:pPr>
      <w:r w:rsidRPr="002F3D0A">
        <w:rPr>
          <w:color w:val="000000" w:themeColor="text1"/>
          <w:sz w:val="28"/>
          <w:szCs w:val="28"/>
          <w:lang w:val="es-CO"/>
        </w:rPr>
        <w:t xml:space="preserve">Para resolver los cargos descritos, la Sala primero examinó </w:t>
      </w:r>
      <w:r w:rsidRPr="002F3D0A">
        <w:rPr>
          <w:color w:val="000000" w:themeColor="text1"/>
          <w:sz w:val="28"/>
          <w:szCs w:val="28"/>
          <w:lang w:val="es-CO"/>
        </w:rPr>
        <w:t xml:space="preserve">dos </w:t>
      </w:r>
      <w:r w:rsidRPr="002F3D0A">
        <w:rPr>
          <w:color w:val="000000" w:themeColor="text1"/>
          <w:sz w:val="28"/>
          <w:szCs w:val="28"/>
          <w:lang w:val="es-CO"/>
        </w:rPr>
        <w:t>cuestiones preliminares</w:t>
      </w:r>
      <w:r w:rsidRPr="002F3D0A">
        <w:rPr>
          <w:color w:val="000000" w:themeColor="text1"/>
          <w:sz w:val="28"/>
          <w:szCs w:val="28"/>
          <w:lang w:val="es-CO"/>
        </w:rPr>
        <w:t xml:space="preserve">. </w:t>
      </w:r>
      <w:r w:rsidRPr="002F3D0A">
        <w:rPr>
          <w:color w:val="000000" w:themeColor="text1"/>
          <w:sz w:val="28"/>
          <w:szCs w:val="28"/>
          <w:lang w:val="es-CO"/>
        </w:rPr>
        <w:t>Inicialmente</w:t>
      </w:r>
      <w:r w:rsidRPr="002F3D0A">
        <w:rPr>
          <w:color w:val="000000" w:themeColor="text1"/>
          <w:sz w:val="28"/>
          <w:szCs w:val="28"/>
          <w:lang w:val="es-CO"/>
        </w:rPr>
        <w:t xml:space="preserve">, descartó la configuración de la cosa juzgada frente a las </w:t>
      </w:r>
      <w:r w:rsidRPr="002F3D0A">
        <w:rPr>
          <w:color w:val="000000" w:themeColor="text1"/>
          <w:sz w:val="28"/>
          <w:szCs w:val="28"/>
          <w:lang w:val="es-CO"/>
        </w:rPr>
        <w:t>sentencias C-</w:t>
      </w:r>
      <w:r w:rsidRPr="002F3D0A">
        <w:rPr>
          <w:color w:val="000000" w:themeColor="text1"/>
          <w:sz w:val="28"/>
          <w:szCs w:val="28"/>
          <w:lang w:val="es-CO"/>
        </w:rPr>
        <w:t>876 de</w:t>
      </w:r>
      <w:r w:rsidRPr="002F3D0A">
        <w:rPr>
          <w:color w:val="000000" w:themeColor="text1"/>
          <w:sz w:val="28"/>
          <w:szCs w:val="28"/>
          <w:lang w:val="es-CO"/>
        </w:rPr>
        <w:t xml:space="preserve"> 2002 y C-990 de 2004. Luego, examinó la aptitud de los cargos y</w:t>
      </w:r>
      <w:r w:rsidRPr="002F3D0A">
        <w:rPr>
          <w:color w:val="000000" w:themeColor="text1"/>
          <w:sz w:val="28"/>
          <w:szCs w:val="28"/>
          <w:lang w:val="es-CO"/>
        </w:rPr>
        <w:t xml:space="preserve"> concluyó </w:t>
      </w:r>
      <w:r w:rsidRPr="002F3D0A">
        <w:rPr>
          <w:color w:val="000000" w:themeColor="text1"/>
          <w:sz w:val="28"/>
          <w:szCs w:val="28"/>
          <w:lang w:val="es-CO"/>
        </w:rPr>
        <w:t xml:space="preserve">que </w:t>
      </w:r>
      <w:r w:rsidRPr="002F3D0A">
        <w:rPr>
          <w:color w:val="000000" w:themeColor="text1"/>
          <w:sz w:val="28"/>
          <w:szCs w:val="28"/>
          <w:lang w:val="es-CO"/>
        </w:rPr>
        <w:t>no cumpl</w:t>
      </w:r>
      <w:r w:rsidRPr="002F3D0A">
        <w:rPr>
          <w:color w:val="000000" w:themeColor="text1"/>
          <w:sz w:val="28"/>
          <w:szCs w:val="28"/>
          <w:lang w:val="es-CO"/>
        </w:rPr>
        <w:t>ían</w:t>
      </w:r>
      <w:r w:rsidRPr="002F3D0A">
        <w:rPr>
          <w:color w:val="000000" w:themeColor="text1"/>
          <w:sz w:val="28"/>
          <w:szCs w:val="28"/>
          <w:lang w:val="es-CO"/>
        </w:rPr>
        <w:t xml:space="preserve"> con las condiciones </w:t>
      </w:r>
      <w:r w:rsidRPr="002F3D0A">
        <w:rPr>
          <w:color w:val="000000" w:themeColor="text1"/>
          <w:sz w:val="28"/>
          <w:szCs w:val="28"/>
          <w:lang w:val="es-CO"/>
        </w:rPr>
        <w:t xml:space="preserve">de aptitud </w:t>
      </w:r>
      <w:r w:rsidRPr="002F3D0A">
        <w:rPr>
          <w:color w:val="000000" w:themeColor="text1"/>
          <w:sz w:val="28"/>
          <w:szCs w:val="28"/>
          <w:lang w:val="es-CO"/>
        </w:rPr>
        <w:t>que permiti</w:t>
      </w:r>
      <w:r w:rsidRPr="002F3D0A">
        <w:rPr>
          <w:color w:val="000000" w:themeColor="text1"/>
          <w:sz w:val="28"/>
          <w:szCs w:val="28"/>
          <w:lang w:val="es-CO"/>
        </w:rPr>
        <w:t>er</w:t>
      </w:r>
      <w:r w:rsidRPr="002F3D0A">
        <w:rPr>
          <w:color w:val="000000" w:themeColor="text1"/>
          <w:sz w:val="28"/>
          <w:szCs w:val="28"/>
          <w:lang w:val="es-CO"/>
        </w:rPr>
        <w:t>an un examen de fondo, tal y como se pasa a explicar.</w:t>
      </w:r>
    </w:p>
    <w:p w:rsidR="001A4AE5" w:rsidRPr="002F3D0A" w:rsidRDefault="002F3D0A" w:rsidP="00144CF4">
      <w:pPr>
        <w:pStyle w:val="paragraph"/>
        <w:spacing w:after="0"/>
        <w:contextualSpacing/>
        <w:jc w:val="both"/>
        <w:textAlignment w:val="baseline"/>
        <w:rPr>
          <w:color w:val="000000" w:themeColor="text1"/>
          <w:sz w:val="28"/>
          <w:szCs w:val="28"/>
          <w:lang w:val="es-CO"/>
        </w:rPr>
      </w:pPr>
    </w:p>
    <w:p w:rsidR="001A4AE5" w:rsidRPr="002F3D0A" w:rsidRDefault="002F3D0A" w:rsidP="001A4AE5">
      <w:pPr>
        <w:pStyle w:val="paragraph"/>
        <w:spacing w:after="0"/>
        <w:contextualSpacing/>
        <w:jc w:val="both"/>
        <w:textAlignment w:val="baseline"/>
        <w:rPr>
          <w:color w:val="000000" w:themeColor="text1"/>
          <w:sz w:val="28"/>
          <w:szCs w:val="28"/>
          <w:lang w:val="es-ES"/>
        </w:rPr>
      </w:pPr>
      <w:r w:rsidRPr="002F3D0A">
        <w:rPr>
          <w:color w:val="000000" w:themeColor="text1"/>
          <w:sz w:val="28"/>
          <w:szCs w:val="28"/>
          <w:lang w:val="es-CO"/>
        </w:rPr>
        <w:t xml:space="preserve">En relación con el </w:t>
      </w:r>
      <w:r w:rsidRPr="002F3D0A">
        <w:rPr>
          <w:color w:val="000000" w:themeColor="text1"/>
          <w:sz w:val="28"/>
          <w:szCs w:val="28"/>
          <w:lang w:val="es-CO"/>
        </w:rPr>
        <w:t xml:space="preserve">cargo que </w:t>
      </w:r>
      <w:r w:rsidRPr="002F3D0A">
        <w:rPr>
          <w:color w:val="000000" w:themeColor="text1"/>
          <w:sz w:val="28"/>
          <w:szCs w:val="28"/>
          <w:lang w:val="es-CO"/>
        </w:rPr>
        <w:t>propuso la violació</w:t>
      </w:r>
      <w:r w:rsidRPr="002F3D0A">
        <w:rPr>
          <w:color w:val="000000" w:themeColor="text1"/>
          <w:sz w:val="28"/>
          <w:szCs w:val="28"/>
          <w:lang w:val="es-CO"/>
        </w:rPr>
        <w:t>n del principio de equidad horizontal</w:t>
      </w:r>
      <w:r w:rsidRPr="002F3D0A">
        <w:rPr>
          <w:color w:val="000000" w:themeColor="text1"/>
          <w:sz w:val="28"/>
          <w:szCs w:val="28"/>
          <w:lang w:val="es-CO"/>
        </w:rPr>
        <w:t>, la Corte concluyó que</w:t>
      </w:r>
      <w:r w:rsidRPr="002F3D0A">
        <w:rPr>
          <w:color w:val="000000" w:themeColor="text1"/>
          <w:sz w:val="28"/>
          <w:szCs w:val="28"/>
          <w:lang w:val="es-CO"/>
        </w:rPr>
        <w:t xml:space="preserve"> </w:t>
      </w:r>
      <w:r w:rsidRPr="002F3D0A">
        <w:rPr>
          <w:color w:val="000000" w:themeColor="text1"/>
          <w:sz w:val="28"/>
          <w:szCs w:val="28"/>
        </w:rPr>
        <w:t xml:space="preserve">los demandantes no presentaron razones suficientes </w:t>
      </w:r>
      <w:r w:rsidRPr="002F3D0A">
        <w:rPr>
          <w:color w:val="000000" w:themeColor="text1"/>
          <w:sz w:val="28"/>
          <w:szCs w:val="28"/>
        </w:rPr>
        <w:t>para demostrar</w:t>
      </w:r>
      <w:r w:rsidRPr="002F3D0A">
        <w:rPr>
          <w:color w:val="000000" w:themeColor="text1"/>
          <w:sz w:val="28"/>
          <w:szCs w:val="28"/>
        </w:rPr>
        <w:t xml:space="preserve"> que la distinción de trato entre las sociedades extranjeras destinatarias de las normas demandadas era injustificado. Esto, debido a que los actores se limitaron a señalar que la distinción </w:t>
      </w:r>
      <w:r w:rsidRPr="002F3D0A">
        <w:rPr>
          <w:color w:val="000000" w:themeColor="text1"/>
          <w:sz w:val="28"/>
          <w:szCs w:val="28"/>
        </w:rPr>
        <w:t>no tenía una razón fundada a la luz de la Constitución.</w:t>
      </w:r>
    </w:p>
    <w:p w:rsidR="001A4AE5" w:rsidRPr="002F3D0A" w:rsidRDefault="002F3D0A" w:rsidP="001A4AE5">
      <w:pPr>
        <w:spacing w:before="100" w:beforeAutospacing="1" w:afterAutospacing="1"/>
        <w:contextualSpacing/>
        <w:textAlignment w:val="baseline"/>
        <w:rPr>
          <w:rFonts w:ascii="Times New Roman" w:eastAsia="Times New Roman" w:hAnsi="Times New Roman" w:cs="Times New Roman"/>
          <w:color w:val="000000" w:themeColor="text1"/>
          <w:sz w:val="28"/>
          <w:szCs w:val="28"/>
          <w:lang w:val="es-ES" w:eastAsia="es-MX"/>
        </w:rPr>
      </w:pPr>
      <w:r w:rsidRPr="002F3D0A">
        <w:rPr>
          <w:rFonts w:ascii="Times New Roman" w:eastAsia="Times New Roman" w:hAnsi="Times New Roman" w:cs="Times New Roman"/>
          <w:color w:val="000000" w:themeColor="text1"/>
          <w:sz w:val="28"/>
          <w:szCs w:val="28"/>
          <w:lang w:val="es-ES" w:eastAsia="es-MX"/>
        </w:rPr>
        <w:t xml:space="preserve">Nótese, </w:t>
      </w:r>
      <w:r w:rsidRPr="002F3D0A">
        <w:rPr>
          <w:rFonts w:ascii="Times New Roman" w:eastAsia="Times New Roman" w:hAnsi="Times New Roman" w:cs="Times New Roman"/>
          <w:color w:val="000000" w:themeColor="text1"/>
          <w:sz w:val="28"/>
          <w:szCs w:val="28"/>
          <w:lang w:val="es-ES" w:eastAsia="es-MX"/>
        </w:rPr>
        <w:t>que e</w:t>
      </w:r>
      <w:r w:rsidRPr="002F3D0A">
        <w:rPr>
          <w:rFonts w:ascii="Times New Roman" w:eastAsia="Times New Roman" w:hAnsi="Times New Roman" w:cs="Times New Roman"/>
          <w:color w:val="000000" w:themeColor="text1"/>
          <w:sz w:val="28"/>
          <w:szCs w:val="28"/>
          <w:lang w:val="es-ES" w:eastAsia="es-MX"/>
        </w:rPr>
        <w:t>n el trámite legislativo se indicó que la ley persigue diferentes objetivos, entre ellos el aumento del recaudo e incentivar la adquisición de cierto tipo de bienes que se consideran valiosos para el legislador. Estos propósitos no fueron considerados</w:t>
      </w:r>
      <w:r w:rsidRPr="002F3D0A">
        <w:rPr>
          <w:rFonts w:ascii="Times New Roman" w:eastAsia="Times New Roman" w:hAnsi="Times New Roman" w:cs="Times New Roman"/>
          <w:color w:val="000000" w:themeColor="text1"/>
          <w:sz w:val="28"/>
          <w:szCs w:val="28"/>
          <w:lang w:val="es-ES" w:eastAsia="es-MX"/>
        </w:rPr>
        <w:t xml:space="preserve"> por los demandantes de cara a la distinción acusada</w:t>
      </w:r>
      <w:r w:rsidRPr="002F3D0A">
        <w:rPr>
          <w:rFonts w:ascii="Times New Roman" w:eastAsia="Times New Roman" w:hAnsi="Times New Roman" w:cs="Times New Roman"/>
          <w:color w:val="000000" w:themeColor="text1"/>
          <w:sz w:val="28"/>
          <w:szCs w:val="28"/>
          <w:lang w:val="es-ES" w:eastAsia="es-MX"/>
        </w:rPr>
        <w:t>, quienes tampoco indagaron por las finalidades específicas de la distinción acusada.</w:t>
      </w:r>
      <w:r w:rsidRPr="002F3D0A">
        <w:rPr>
          <w:rFonts w:ascii="Times New Roman" w:eastAsia="Times New Roman" w:hAnsi="Times New Roman" w:cs="Times New Roman"/>
          <w:color w:val="000000" w:themeColor="text1"/>
          <w:sz w:val="28"/>
          <w:szCs w:val="28"/>
          <w:lang w:val="es-ES" w:eastAsia="es-MX"/>
        </w:rPr>
        <w:t xml:space="preserve"> Adicionalmente, los demandantes </w:t>
      </w:r>
      <w:r w:rsidRPr="002F3D0A">
        <w:rPr>
          <w:rFonts w:ascii="Times New Roman" w:eastAsia="Times New Roman" w:hAnsi="Times New Roman" w:cs="Times New Roman"/>
          <w:color w:val="000000" w:themeColor="text1"/>
          <w:sz w:val="28"/>
          <w:szCs w:val="28"/>
          <w:lang w:val="es-ES" w:eastAsia="es-MX"/>
        </w:rPr>
        <w:t>plantearon criterios de comparación muy generales y dejaron de c</w:t>
      </w:r>
      <w:r w:rsidRPr="002F3D0A">
        <w:rPr>
          <w:rFonts w:ascii="Times New Roman" w:eastAsia="Times New Roman" w:hAnsi="Times New Roman" w:cs="Times New Roman"/>
          <w:color w:val="000000" w:themeColor="text1"/>
          <w:sz w:val="28"/>
          <w:szCs w:val="28"/>
          <w:lang w:val="es-ES" w:eastAsia="es-MX"/>
        </w:rPr>
        <w:t>onsiderar</w:t>
      </w:r>
      <w:r w:rsidRPr="002F3D0A">
        <w:rPr>
          <w:rFonts w:ascii="Times New Roman" w:eastAsia="Times New Roman" w:hAnsi="Times New Roman" w:cs="Times New Roman"/>
          <w:color w:val="000000" w:themeColor="text1"/>
          <w:sz w:val="28"/>
          <w:szCs w:val="28"/>
          <w:lang w:val="es-ES" w:eastAsia="es-MX"/>
        </w:rPr>
        <w:t xml:space="preserve"> en su argume</w:t>
      </w:r>
      <w:r w:rsidRPr="002F3D0A">
        <w:rPr>
          <w:rFonts w:ascii="Times New Roman" w:eastAsia="Times New Roman" w:hAnsi="Times New Roman" w:cs="Times New Roman"/>
          <w:color w:val="000000" w:themeColor="text1"/>
          <w:sz w:val="28"/>
          <w:szCs w:val="28"/>
          <w:lang w:val="es-ES" w:eastAsia="es-MX"/>
        </w:rPr>
        <w:t>ntación</w:t>
      </w:r>
      <w:r w:rsidRPr="002F3D0A">
        <w:rPr>
          <w:rFonts w:ascii="Times New Roman" w:eastAsia="Times New Roman" w:hAnsi="Times New Roman" w:cs="Times New Roman"/>
          <w:color w:val="000000" w:themeColor="text1"/>
          <w:sz w:val="28"/>
          <w:szCs w:val="28"/>
          <w:lang w:val="es-ES" w:eastAsia="es-MX"/>
        </w:rPr>
        <w:t xml:space="preserve"> las características de los activos a partir de los cuales la disposición</w:t>
      </w:r>
      <w:r w:rsidRPr="002F3D0A">
        <w:rPr>
          <w:rFonts w:ascii="Times New Roman" w:eastAsia="Times New Roman" w:hAnsi="Times New Roman" w:cs="Times New Roman"/>
          <w:color w:val="000000" w:themeColor="text1"/>
          <w:sz w:val="28"/>
          <w:szCs w:val="28"/>
          <w:lang w:val="es-ES" w:eastAsia="es-MX"/>
        </w:rPr>
        <w:t xml:space="preserve"> demandada introdujo la diferencia acusada. </w:t>
      </w:r>
      <w:r w:rsidRPr="002F3D0A">
        <w:rPr>
          <w:rFonts w:ascii="Times New Roman" w:eastAsia="Times New Roman" w:hAnsi="Times New Roman" w:cs="Times New Roman"/>
          <w:color w:val="000000" w:themeColor="text1"/>
          <w:sz w:val="28"/>
          <w:szCs w:val="28"/>
          <w:lang w:val="es-ES" w:eastAsia="es-MX"/>
        </w:rPr>
        <w:t xml:space="preserve"> </w:t>
      </w:r>
    </w:p>
    <w:p w:rsidR="00AD3949" w:rsidRPr="002F3D0A" w:rsidRDefault="002F3D0A" w:rsidP="001A4AE5">
      <w:pPr>
        <w:spacing w:before="100" w:beforeAutospacing="1" w:afterAutospacing="1"/>
        <w:contextualSpacing/>
        <w:textAlignment w:val="baseline"/>
        <w:rPr>
          <w:rFonts w:ascii="Times New Roman" w:eastAsia="Times New Roman" w:hAnsi="Times New Roman" w:cs="Times New Roman"/>
          <w:color w:val="000000" w:themeColor="text1"/>
          <w:sz w:val="28"/>
          <w:szCs w:val="28"/>
          <w:lang w:val="es-US" w:eastAsia="es-MX"/>
        </w:rPr>
      </w:pPr>
    </w:p>
    <w:p w:rsidR="00AD3949" w:rsidRPr="002F3D0A" w:rsidRDefault="002F3D0A" w:rsidP="001A4AE5">
      <w:pPr>
        <w:spacing w:before="100" w:beforeAutospacing="1" w:afterAutospacing="1"/>
        <w:contextualSpacing/>
        <w:textAlignment w:val="baseline"/>
        <w:rPr>
          <w:rFonts w:ascii="Times New Roman" w:eastAsia="Times New Roman" w:hAnsi="Times New Roman" w:cs="Times New Roman"/>
          <w:color w:val="000000" w:themeColor="text1"/>
          <w:sz w:val="28"/>
          <w:szCs w:val="28"/>
          <w:lang w:val="es-US" w:eastAsia="es-MX"/>
        </w:rPr>
      </w:pPr>
      <w:r w:rsidRPr="002F3D0A">
        <w:rPr>
          <w:rFonts w:ascii="Times New Roman" w:eastAsia="Times New Roman" w:hAnsi="Times New Roman" w:cs="Times New Roman"/>
          <w:color w:val="000000" w:themeColor="text1"/>
          <w:sz w:val="28"/>
          <w:szCs w:val="28"/>
          <w:lang w:val="es-US" w:eastAsia="es-MX"/>
        </w:rPr>
        <w:t xml:space="preserve">Finalmente, la argumentación presentada por los ciudadanos hizo referencia </w:t>
      </w:r>
      <w:r w:rsidRPr="002F3D0A">
        <w:rPr>
          <w:rFonts w:ascii="Times New Roman" w:eastAsia="Times New Roman" w:hAnsi="Times New Roman" w:cs="Times New Roman"/>
          <w:color w:val="000000" w:themeColor="text1"/>
          <w:sz w:val="28"/>
          <w:szCs w:val="28"/>
          <w:lang w:val="es-US" w:eastAsia="es-MX"/>
        </w:rPr>
        <w:t xml:space="preserve">a la regulación de la sujeción pasiva del impuesto al patrimonio en otras </w:t>
      </w:r>
      <w:r w:rsidRPr="002F3D0A">
        <w:rPr>
          <w:rFonts w:ascii="Times New Roman" w:eastAsia="Times New Roman" w:hAnsi="Times New Roman" w:cs="Times New Roman"/>
          <w:color w:val="000000" w:themeColor="text1"/>
          <w:sz w:val="28"/>
          <w:szCs w:val="28"/>
          <w:lang w:val="es-US" w:eastAsia="es-MX"/>
        </w:rPr>
        <w:t xml:space="preserve">disposiciones </w:t>
      </w:r>
      <w:r w:rsidRPr="002F3D0A">
        <w:rPr>
          <w:rFonts w:ascii="Times New Roman" w:eastAsia="Times New Roman" w:hAnsi="Times New Roman" w:cs="Times New Roman"/>
          <w:color w:val="000000" w:themeColor="text1"/>
          <w:sz w:val="28"/>
          <w:szCs w:val="28"/>
          <w:lang w:val="es-US" w:eastAsia="es-MX"/>
        </w:rPr>
        <w:t xml:space="preserve">de rango legal, a sentencias que declararon inconstitucionales distinciones de trato en normas tributarias y a consecuencias </w:t>
      </w:r>
      <w:r w:rsidRPr="002F3D0A">
        <w:rPr>
          <w:rFonts w:ascii="Times New Roman" w:eastAsia="Times New Roman" w:hAnsi="Times New Roman" w:cs="Times New Roman"/>
          <w:color w:val="000000" w:themeColor="text1"/>
          <w:sz w:val="28"/>
          <w:szCs w:val="28"/>
          <w:lang w:val="es-US" w:eastAsia="es-MX"/>
        </w:rPr>
        <w:t xml:space="preserve">prácticas </w:t>
      </w:r>
      <w:r w:rsidRPr="002F3D0A">
        <w:rPr>
          <w:rFonts w:ascii="Times New Roman" w:eastAsia="Times New Roman" w:hAnsi="Times New Roman" w:cs="Times New Roman"/>
          <w:color w:val="000000" w:themeColor="text1"/>
          <w:sz w:val="28"/>
          <w:szCs w:val="28"/>
          <w:lang w:val="es-US" w:eastAsia="es-MX"/>
        </w:rPr>
        <w:t>que, a su juicio, se derivan de l</w:t>
      </w:r>
      <w:r w:rsidRPr="002F3D0A">
        <w:rPr>
          <w:rFonts w:ascii="Times New Roman" w:eastAsia="Times New Roman" w:hAnsi="Times New Roman" w:cs="Times New Roman"/>
          <w:color w:val="000000" w:themeColor="text1"/>
          <w:sz w:val="28"/>
          <w:szCs w:val="28"/>
          <w:lang w:val="es-US" w:eastAsia="es-MX"/>
        </w:rPr>
        <w:t xml:space="preserve">a disposición acusada. Estos planteamientos </w:t>
      </w:r>
      <w:r w:rsidRPr="002F3D0A">
        <w:rPr>
          <w:rFonts w:ascii="Times New Roman" w:eastAsia="Times New Roman" w:hAnsi="Times New Roman" w:cs="Times New Roman"/>
          <w:color w:val="000000" w:themeColor="text1"/>
          <w:sz w:val="28"/>
          <w:szCs w:val="28"/>
          <w:lang w:val="es-US" w:eastAsia="es-MX"/>
        </w:rPr>
        <w:t xml:space="preserve">no </w:t>
      </w:r>
      <w:r w:rsidRPr="002F3D0A">
        <w:rPr>
          <w:rFonts w:ascii="Times New Roman" w:eastAsia="Times New Roman" w:hAnsi="Times New Roman" w:cs="Times New Roman"/>
          <w:color w:val="000000" w:themeColor="text1"/>
          <w:sz w:val="28"/>
          <w:szCs w:val="28"/>
          <w:lang w:val="es-US" w:eastAsia="es-MX"/>
        </w:rPr>
        <w:t xml:space="preserve">son suficientes para permitirle a la Corte </w:t>
      </w:r>
      <w:r w:rsidRPr="002F3D0A">
        <w:rPr>
          <w:rFonts w:ascii="Times New Roman" w:eastAsia="Times New Roman" w:hAnsi="Times New Roman" w:cs="Times New Roman"/>
          <w:color w:val="000000" w:themeColor="text1"/>
          <w:sz w:val="28"/>
          <w:szCs w:val="28"/>
          <w:lang w:val="es-US" w:eastAsia="es-MX"/>
        </w:rPr>
        <w:t>establecer por qué la norma acusada viola el principio de equidad horizontal.</w:t>
      </w:r>
    </w:p>
    <w:p w:rsidR="001A4AE5" w:rsidRPr="002F3D0A" w:rsidRDefault="002F3D0A" w:rsidP="001A4AE5">
      <w:pPr>
        <w:contextualSpacing/>
        <w:textAlignment w:val="baseline"/>
        <w:rPr>
          <w:rFonts w:ascii="Times New Roman" w:eastAsia="Times New Roman" w:hAnsi="Times New Roman" w:cs="Times New Roman"/>
          <w:color w:val="000000" w:themeColor="text1"/>
          <w:sz w:val="28"/>
          <w:szCs w:val="28"/>
          <w:lang w:val="es-US" w:eastAsia="es-MX"/>
        </w:rPr>
      </w:pPr>
    </w:p>
    <w:p w:rsidR="001A4AE5" w:rsidRPr="002F3D0A" w:rsidRDefault="002F3D0A" w:rsidP="001A4AE5">
      <w:pPr>
        <w:contextualSpacing/>
        <w:textAlignment w:val="baseline"/>
        <w:rPr>
          <w:rFonts w:ascii="Times New Roman" w:eastAsia="Times New Roman" w:hAnsi="Times New Roman" w:cs="Times New Roman"/>
          <w:color w:val="000000" w:themeColor="text1"/>
          <w:sz w:val="28"/>
          <w:szCs w:val="28"/>
          <w:lang w:val="es-US" w:eastAsia="es-MX"/>
        </w:rPr>
      </w:pPr>
      <w:r w:rsidRPr="002F3D0A">
        <w:rPr>
          <w:rFonts w:ascii="Times New Roman" w:eastAsia="Times New Roman" w:hAnsi="Times New Roman" w:cs="Times New Roman"/>
          <w:color w:val="000000" w:themeColor="text1"/>
          <w:sz w:val="28"/>
          <w:szCs w:val="28"/>
          <w:lang w:val="es-US" w:eastAsia="es-MX"/>
        </w:rPr>
        <w:t xml:space="preserve">En síntesis, el cargo que planteó </w:t>
      </w:r>
      <w:r w:rsidRPr="002F3D0A">
        <w:rPr>
          <w:rFonts w:ascii="Times New Roman" w:eastAsia="Times New Roman" w:hAnsi="Times New Roman" w:cs="Times New Roman"/>
          <w:color w:val="000000" w:themeColor="text1"/>
          <w:sz w:val="28"/>
          <w:szCs w:val="28"/>
          <w:lang w:val="es-US" w:eastAsia="es-MX"/>
        </w:rPr>
        <w:t>la</w:t>
      </w:r>
      <w:r w:rsidRPr="002F3D0A">
        <w:rPr>
          <w:rFonts w:ascii="Times New Roman" w:eastAsia="Times New Roman" w:hAnsi="Times New Roman" w:cs="Times New Roman"/>
          <w:color w:val="000000" w:themeColor="text1"/>
          <w:sz w:val="28"/>
          <w:szCs w:val="28"/>
          <w:lang w:val="es-US" w:eastAsia="es-MX"/>
        </w:rPr>
        <w:t xml:space="preserve"> violación de la equidad horizontal incumplió las e</w:t>
      </w:r>
      <w:r w:rsidRPr="002F3D0A">
        <w:rPr>
          <w:rFonts w:ascii="Times New Roman" w:eastAsia="Times New Roman" w:hAnsi="Times New Roman" w:cs="Times New Roman"/>
          <w:color w:val="000000" w:themeColor="text1"/>
          <w:sz w:val="28"/>
          <w:szCs w:val="28"/>
          <w:lang w:val="es-US" w:eastAsia="es-MX"/>
        </w:rPr>
        <w:t>xigencias de pertinencia, especificidad y suficiencia, debido a que los actores se limitaron a señalar que la distinción de trato que prevé la norma es injustificada</w:t>
      </w:r>
      <w:r w:rsidRPr="002F3D0A">
        <w:rPr>
          <w:rFonts w:ascii="Times New Roman" w:eastAsia="Times New Roman" w:hAnsi="Times New Roman" w:cs="Times New Roman"/>
          <w:color w:val="000000" w:themeColor="text1"/>
          <w:sz w:val="28"/>
          <w:szCs w:val="28"/>
          <w:lang w:val="es-US" w:eastAsia="es-MX"/>
        </w:rPr>
        <w:t>, no consideraron las posibles finalidades de la medida y tampoco tuvieron en cuenta</w:t>
      </w:r>
      <w:r w:rsidRPr="002F3D0A">
        <w:rPr>
          <w:rFonts w:ascii="Times New Roman" w:eastAsia="Times New Roman" w:hAnsi="Times New Roman" w:cs="Times New Roman"/>
          <w:color w:val="000000" w:themeColor="text1"/>
          <w:sz w:val="28"/>
          <w:szCs w:val="28"/>
          <w:lang w:val="es-US" w:eastAsia="es-MX"/>
        </w:rPr>
        <w:t xml:space="preserve"> las especiales características del tipo de bienes a partir de los cuales la norma diferencia a las sociedades extranjeras. Por lo tanto, no presentaron elementos suficientes para demostrar que la distinción de trato es injustificada.</w:t>
      </w:r>
    </w:p>
    <w:p w:rsidR="00144CF4" w:rsidRPr="002F3D0A" w:rsidRDefault="002F3D0A" w:rsidP="00144CF4">
      <w:pPr>
        <w:pStyle w:val="paragraph"/>
        <w:spacing w:after="0"/>
        <w:contextualSpacing/>
        <w:jc w:val="both"/>
        <w:textAlignment w:val="baseline"/>
        <w:rPr>
          <w:color w:val="000000" w:themeColor="text1"/>
          <w:sz w:val="28"/>
          <w:szCs w:val="28"/>
          <w:lang w:val="es-CO"/>
        </w:rPr>
      </w:pPr>
      <w:r w:rsidRPr="002F3D0A">
        <w:rPr>
          <w:color w:val="000000" w:themeColor="text1"/>
          <w:sz w:val="28"/>
          <w:szCs w:val="28"/>
          <w:lang w:val="es-CO"/>
        </w:rPr>
        <w:t>En relación con el ca</w:t>
      </w:r>
      <w:r w:rsidRPr="002F3D0A">
        <w:rPr>
          <w:color w:val="000000" w:themeColor="text1"/>
          <w:sz w:val="28"/>
          <w:szCs w:val="28"/>
          <w:lang w:val="es-CO"/>
        </w:rPr>
        <w:t>rgo que propuso la violación de la competencia de los municipios para gravar la propiedad inmueble como manifestación de su autonomía -artículos 287 y 317 de la Constitución- la Sala</w:t>
      </w:r>
      <w:r w:rsidRPr="002F3D0A">
        <w:rPr>
          <w:color w:val="000000" w:themeColor="text1"/>
          <w:sz w:val="28"/>
          <w:szCs w:val="28"/>
          <w:lang w:val="es-CO"/>
        </w:rPr>
        <w:t xml:space="preserve"> concluyó</w:t>
      </w:r>
      <w:r w:rsidRPr="002F3D0A">
        <w:rPr>
          <w:color w:val="000000" w:themeColor="text1"/>
          <w:sz w:val="28"/>
          <w:szCs w:val="28"/>
          <w:lang w:val="es-CO"/>
        </w:rPr>
        <w:t xml:space="preserve"> que el </w:t>
      </w:r>
      <w:r w:rsidRPr="002F3D0A">
        <w:rPr>
          <w:color w:val="000000" w:themeColor="text1"/>
          <w:sz w:val="28"/>
          <w:szCs w:val="28"/>
          <w:lang w:val="es-CO"/>
        </w:rPr>
        <w:t>cargo</w:t>
      </w:r>
      <w:r w:rsidRPr="002F3D0A">
        <w:rPr>
          <w:color w:val="000000" w:themeColor="text1"/>
          <w:sz w:val="28"/>
          <w:szCs w:val="28"/>
          <w:lang w:val="es-CO"/>
        </w:rPr>
        <w:t xml:space="preserve"> es inepto porque</w:t>
      </w:r>
      <w:r w:rsidRPr="002F3D0A">
        <w:rPr>
          <w:color w:val="000000" w:themeColor="text1"/>
          <w:sz w:val="28"/>
          <w:szCs w:val="28"/>
          <w:lang w:val="es-CO"/>
        </w:rPr>
        <w:t>, de un lado, presentaron argumento</w:t>
      </w:r>
      <w:r w:rsidRPr="002F3D0A">
        <w:rPr>
          <w:color w:val="000000" w:themeColor="text1"/>
          <w:sz w:val="28"/>
          <w:szCs w:val="28"/>
          <w:lang w:val="es-CO"/>
        </w:rPr>
        <w:t xml:space="preserve">s generales que no permiten desvirtuar la vinculatoriedad del precedente definido en las sentencias C-876 de 2002 y C-990 de 2004 </w:t>
      </w:r>
      <w:r w:rsidRPr="002F3D0A">
        <w:rPr>
          <w:color w:val="000000" w:themeColor="text1"/>
          <w:sz w:val="28"/>
          <w:szCs w:val="28"/>
          <w:lang w:val="es-CO"/>
        </w:rPr>
        <w:t xml:space="preserve">, de otro lado, </w:t>
      </w:r>
      <w:r w:rsidRPr="002F3D0A">
        <w:rPr>
          <w:color w:val="000000" w:themeColor="text1"/>
          <w:sz w:val="28"/>
          <w:szCs w:val="28"/>
          <w:lang w:val="es-CO"/>
        </w:rPr>
        <w:t>no cumpli</w:t>
      </w:r>
      <w:r w:rsidRPr="002F3D0A">
        <w:rPr>
          <w:color w:val="000000" w:themeColor="text1"/>
          <w:sz w:val="28"/>
          <w:szCs w:val="28"/>
          <w:lang w:val="es-CO"/>
        </w:rPr>
        <w:t>eron</w:t>
      </w:r>
      <w:r w:rsidRPr="002F3D0A">
        <w:rPr>
          <w:color w:val="000000" w:themeColor="text1"/>
          <w:sz w:val="28"/>
          <w:szCs w:val="28"/>
          <w:lang w:val="es-CO"/>
        </w:rPr>
        <w:t xml:space="preserve"> las cargas argumentativas necesarias cuando </w:t>
      </w:r>
      <w:r w:rsidRPr="002F3D0A">
        <w:rPr>
          <w:color w:val="000000" w:themeColor="text1"/>
          <w:sz w:val="28"/>
          <w:szCs w:val="28"/>
          <w:lang w:val="es-CO"/>
        </w:rPr>
        <w:t>se pretende</w:t>
      </w:r>
      <w:r w:rsidRPr="002F3D0A">
        <w:rPr>
          <w:color w:val="000000" w:themeColor="text1"/>
          <w:sz w:val="28"/>
          <w:szCs w:val="28"/>
          <w:lang w:val="es-CO"/>
        </w:rPr>
        <w:t xml:space="preserve"> un cambio en el precedente constituciona</w:t>
      </w:r>
      <w:r w:rsidRPr="002F3D0A">
        <w:rPr>
          <w:color w:val="000000" w:themeColor="text1"/>
          <w:sz w:val="28"/>
          <w:szCs w:val="28"/>
          <w:lang w:val="es-CO"/>
        </w:rPr>
        <w:t xml:space="preserve">l vigente. </w:t>
      </w:r>
    </w:p>
    <w:p w:rsidR="007E0719" w:rsidRPr="002F3D0A" w:rsidRDefault="002F3D0A" w:rsidP="00144CF4">
      <w:pPr>
        <w:pStyle w:val="paragraph"/>
        <w:spacing w:after="0"/>
        <w:contextualSpacing/>
        <w:jc w:val="both"/>
        <w:textAlignment w:val="baseline"/>
        <w:rPr>
          <w:color w:val="000000" w:themeColor="text1"/>
          <w:sz w:val="28"/>
          <w:szCs w:val="28"/>
          <w:lang w:val="es-CO"/>
        </w:rPr>
      </w:pPr>
    </w:p>
    <w:p w:rsidR="007E0719" w:rsidRPr="002F3D0A" w:rsidRDefault="002F3D0A" w:rsidP="00144CF4">
      <w:pPr>
        <w:pStyle w:val="paragraph"/>
        <w:spacing w:after="0"/>
        <w:contextualSpacing/>
        <w:jc w:val="both"/>
        <w:textAlignment w:val="baseline"/>
        <w:rPr>
          <w:color w:val="000000" w:themeColor="text1"/>
          <w:sz w:val="28"/>
          <w:szCs w:val="28"/>
          <w:lang w:val="es-CO"/>
        </w:rPr>
      </w:pPr>
      <w:r w:rsidRPr="002F3D0A">
        <w:rPr>
          <w:color w:val="000000" w:themeColor="text1"/>
          <w:sz w:val="28"/>
          <w:szCs w:val="28"/>
          <w:lang w:val="es-CO"/>
        </w:rPr>
        <w:t xml:space="preserve">Aunque los ciudadanos </w:t>
      </w:r>
      <w:r w:rsidRPr="002F3D0A">
        <w:rPr>
          <w:color w:val="000000" w:themeColor="text1"/>
          <w:sz w:val="28"/>
          <w:szCs w:val="28"/>
          <w:lang w:val="es-CO"/>
        </w:rPr>
        <w:t xml:space="preserve">señalaron </w:t>
      </w:r>
      <w:r w:rsidRPr="002F3D0A">
        <w:rPr>
          <w:color w:val="000000" w:themeColor="text1"/>
          <w:sz w:val="28"/>
          <w:szCs w:val="28"/>
          <w:lang w:val="es-CO"/>
        </w:rPr>
        <w:t xml:space="preserve">que el precedente fijado en las sentencias C-876 de 2002 y C-990 de 2004 no era aplicable al caso concreto, se limitaron a identificar algunas diferencias del impuesto demandado en esta oportunidad con el </w:t>
      </w:r>
      <w:r w:rsidRPr="002F3D0A">
        <w:rPr>
          <w:color w:val="000000" w:themeColor="text1"/>
          <w:sz w:val="28"/>
          <w:szCs w:val="28"/>
          <w:lang w:val="es-CO"/>
        </w:rPr>
        <w:t>examinado en las sentencias en mención. En consecuencia, los accionantes no demostraron que el precedente no resultara aplicable y tampoco cumplieron las cargas argumentativas exigidas para modificar dicha postura.</w:t>
      </w:r>
    </w:p>
    <w:p w:rsidR="00866258" w:rsidRPr="002F3D0A" w:rsidRDefault="002F3D0A" w:rsidP="00E97BB7">
      <w:pPr>
        <w:contextualSpacing/>
        <w:rPr>
          <w:rFonts w:ascii="Times New Roman" w:eastAsia="Calibri" w:hAnsi="Times New Roman" w:cs="Times New Roman"/>
          <w:color w:val="000000"/>
          <w:sz w:val="28"/>
          <w:szCs w:val="28"/>
          <w:u w:color="000000"/>
        </w:rPr>
      </w:pPr>
      <w:r w:rsidRPr="002F3D0A">
        <w:rPr>
          <w:rFonts w:ascii="Times New Roman" w:hAnsi="Times New Roman" w:cs="Times New Roman"/>
          <w:sz w:val="28"/>
          <w:szCs w:val="28"/>
        </w:rPr>
        <w:t xml:space="preserve">Con fundamento en lo expuesto, la Corte </w:t>
      </w:r>
      <w:r w:rsidRPr="002F3D0A">
        <w:rPr>
          <w:rFonts w:ascii="Times New Roman" w:hAnsi="Times New Roman" w:cs="Times New Roman"/>
          <w:sz w:val="28"/>
          <w:szCs w:val="28"/>
        </w:rPr>
        <w:t>d</w:t>
      </w:r>
      <w:r w:rsidRPr="002F3D0A">
        <w:rPr>
          <w:rFonts w:ascii="Times New Roman" w:hAnsi="Times New Roman" w:cs="Times New Roman"/>
          <w:sz w:val="28"/>
          <w:szCs w:val="28"/>
        </w:rPr>
        <w:t>ecidió inhibirse para emitir un pronunciamiento de fondo por ineptitud sustantiva de la demanda</w:t>
      </w:r>
      <w:r w:rsidRPr="002F3D0A">
        <w:rPr>
          <w:rFonts w:ascii="Times New Roman" w:hAnsi="Times New Roman" w:cs="Times New Roman"/>
          <w:sz w:val="28"/>
          <w:szCs w:val="28"/>
        </w:rPr>
        <w:t>.</w:t>
      </w:r>
    </w:p>
    <w:p w:rsidR="00D04248" w:rsidRPr="002F3D0A" w:rsidRDefault="002F3D0A" w:rsidP="00852E35">
      <w:pPr>
        <w:pStyle w:val="Sinespaciado"/>
        <w:rPr>
          <w:rFonts w:ascii="Times New Roman" w:hAnsi="Times New Roman"/>
          <w:sz w:val="28"/>
          <w:szCs w:val="28"/>
        </w:rPr>
      </w:pPr>
    </w:p>
    <w:p w:rsidR="00852E35" w:rsidRPr="002F3D0A" w:rsidRDefault="002F3D0A" w:rsidP="00852E35">
      <w:pPr>
        <w:contextualSpacing/>
        <w:rPr>
          <w:rFonts w:ascii="Times New Roman" w:hAnsi="Times New Roman" w:cs="Times New Roman"/>
          <w:b/>
          <w:bCs/>
          <w:color w:val="000000" w:themeColor="text1"/>
          <w:sz w:val="28"/>
          <w:szCs w:val="28"/>
          <w:lang w:val="es-ES"/>
        </w:rPr>
      </w:pPr>
      <w:r w:rsidRPr="002F3D0A">
        <w:rPr>
          <w:rFonts w:ascii="Times New Roman" w:hAnsi="Times New Roman" w:cs="Times New Roman"/>
          <w:b/>
          <w:bCs/>
          <w:color w:val="000000" w:themeColor="text1"/>
          <w:sz w:val="28"/>
          <w:szCs w:val="28"/>
          <w:lang w:val="es-ES"/>
        </w:rPr>
        <w:t>I. ANTECEDENTES</w:t>
      </w:r>
    </w:p>
    <w:p w:rsidR="00852E35" w:rsidRPr="002F3D0A" w:rsidRDefault="002F3D0A" w:rsidP="00852E35">
      <w:pPr>
        <w:pStyle w:val="Sinespaciado"/>
        <w:rPr>
          <w:rFonts w:ascii="Times New Roman" w:hAnsi="Times New Roman"/>
          <w:sz w:val="28"/>
          <w:szCs w:val="28"/>
        </w:rPr>
      </w:pPr>
    </w:p>
    <w:p w:rsidR="00AC7FC5" w:rsidRPr="002F3D0A" w:rsidRDefault="002F3D0A" w:rsidP="00912DFC">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rPr>
        <w:t>En ejercicio de la acción pública de inconstitucionalidad, consagrada en el artículo 241 de la Constitución Política,</w:t>
      </w:r>
      <w:r w:rsidRPr="002F3D0A">
        <w:rPr>
          <w:rFonts w:ascii="Times New Roman" w:eastAsia="Times New Roman" w:hAnsi="Times New Roman" w:cs="Times New Roman"/>
          <w:color w:val="000000" w:themeColor="text1"/>
          <w:sz w:val="28"/>
          <w:szCs w:val="28"/>
          <w:lang w:val="es-ES_tradnl" w:eastAsia="es-ES"/>
        </w:rPr>
        <w:t xml:space="preserve"> </w:t>
      </w:r>
      <w:r w:rsidRPr="002F3D0A">
        <w:rPr>
          <w:rFonts w:ascii="Times New Roman" w:hAnsi="Times New Roman" w:cs="Times New Roman"/>
          <w:color w:val="000000" w:themeColor="text1"/>
          <w:sz w:val="28"/>
          <w:szCs w:val="28"/>
          <w:lang w:val="es-ES_tradnl"/>
        </w:rPr>
        <w:t xml:space="preserve">Carolina Rozo Gutiérrez, Leonardo Cote Botero y Nicolás Sanabria Caicedo </w:t>
      </w:r>
      <w:r w:rsidRPr="002F3D0A">
        <w:rPr>
          <w:rFonts w:ascii="Times New Roman" w:hAnsi="Times New Roman" w:cs="Times New Roman"/>
          <w:color w:val="000000" w:themeColor="text1"/>
          <w:sz w:val="28"/>
          <w:szCs w:val="28"/>
        </w:rPr>
        <w:t>presentaron</w:t>
      </w:r>
      <w:r w:rsidRPr="002F3D0A">
        <w:rPr>
          <w:rFonts w:ascii="Times New Roman" w:hAnsi="Times New Roman" w:cs="Times New Roman"/>
          <w:color w:val="000000" w:themeColor="text1"/>
          <w:sz w:val="28"/>
          <w:szCs w:val="28"/>
        </w:rPr>
        <w:t xml:space="preserve"> demanda de inconstitucionalidad en contra </w:t>
      </w:r>
      <w:r w:rsidRPr="002F3D0A">
        <w:rPr>
          <w:rFonts w:ascii="Times New Roman" w:hAnsi="Times New Roman" w:cs="Times New Roman"/>
          <w:color w:val="000000" w:themeColor="text1"/>
          <w:sz w:val="28"/>
          <w:szCs w:val="28"/>
        </w:rPr>
        <w:t xml:space="preserve">de </w:t>
      </w:r>
      <w:r w:rsidRPr="002F3D0A">
        <w:rPr>
          <w:rFonts w:ascii="Times New Roman" w:eastAsia="Times New Roman" w:hAnsi="Times New Roman" w:cs="Times New Roman"/>
          <w:bCs/>
          <w:iCs/>
          <w:color w:val="000000" w:themeColor="text1"/>
          <w:sz w:val="28"/>
          <w:szCs w:val="28"/>
          <w:lang w:val="es-ES_tradnl" w:eastAsia="es-ES"/>
        </w:rPr>
        <w:t>los artículos</w:t>
      </w:r>
      <w:r w:rsidRPr="002F3D0A">
        <w:rPr>
          <w:rFonts w:ascii="Times New Roman" w:eastAsia="Times New Roman" w:hAnsi="Times New Roman" w:cs="Times New Roman"/>
          <w:bCs/>
          <w:iCs/>
          <w:color w:val="000000" w:themeColor="text1"/>
          <w:sz w:val="28"/>
          <w:szCs w:val="28"/>
          <w:lang w:val="es-ES_tradnl" w:eastAsia="es-ES"/>
        </w:rPr>
        <w:t xml:space="preserve"> </w:t>
      </w:r>
      <w:r w:rsidRPr="002F3D0A">
        <w:rPr>
          <w:rFonts w:ascii="Times New Roman" w:eastAsia="Times New Roman" w:hAnsi="Times New Roman" w:cs="Times New Roman"/>
          <w:bCs/>
          <w:iCs/>
          <w:color w:val="000000" w:themeColor="text1"/>
          <w:sz w:val="28"/>
          <w:szCs w:val="28"/>
          <w:lang w:val="es-ES_tradnl" w:eastAsia="es-ES"/>
        </w:rPr>
        <w:t>35, 36, 37, 38, 39, 40 y 41 de la Ley 2277 de 2022</w:t>
      </w:r>
      <w:r w:rsidRPr="002F3D0A">
        <w:rPr>
          <w:rFonts w:ascii="Times New Roman" w:eastAsia="Times New Roman" w:hAnsi="Times New Roman" w:cs="Times New Roman"/>
          <w:bCs/>
          <w:iCs/>
          <w:color w:val="000000" w:themeColor="text1"/>
          <w:sz w:val="28"/>
          <w:szCs w:val="28"/>
          <w:lang w:val="es-ES_tradnl" w:eastAsia="es-ES"/>
        </w:rPr>
        <w:t>.</w:t>
      </w:r>
    </w:p>
    <w:p w:rsidR="005E57FB" w:rsidRPr="002F3D0A" w:rsidRDefault="002F3D0A" w:rsidP="005E57FB">
      <w:pPr>
        <w:pStyle w:val="Prrafodelista"/>
        <w:ind w:left="0"/>
        <w:rPr>
          <w:rFonts w:ascii="Times New Roman" w:hAnsi="Times New Roman" w:cs="Times New Roman"/>
          <w:color w:val="000000" w:themeColor="text1"/>
          <w:sz w:val="28"/>
          <w:szCs w:val="28"/>
          <w:lang w:val="es-ES"/>
        </w:rPr>
      </w:pPr>
    </w:p>
    <w:p w:rsidR="0097010A" w:rsidRPr="002F3D0A" w:rsidRDefault="002F3D0A" w:rsidP="003F2033">
      <w:pPr>
        <w:pStyle w:val="Prrafodelista"/>
        <w:numPr>
          <w:ilvl w:val="0"/>
          <w:numId w:val="1"/>
        </w:numPr>
        <w:ind w:left="0" w:firstLine="0"/>
        <w:rPr>
          <w:rFonts w:ascii="Times New Roman" w:hAnsi="Times New Roman" w:cs="Times New Roman"/>
          <w:color w:val="000000" w:themeColor="text1"/>
          <w:sz w:val="28"/>
          <w:szCs w:val="28"/>
        </w:rPr>
      </w:pPr>
      <w:r w:rsidRPr="002F3D0A">
        <w:rPr>
          <w:rFonts w:ascii="Times New Roman" w:hAnsi="Times New Roman" w:cs="Times New Roman"/>
          <w:color w:val="000000" w:themeColor="text1"/>
          <w:sz w:val="28"/>
          <w:szCs w:val="28"/>
        </w:rPr>
        <w:t>Los actores presentaron cinco cargos de inconstitucionalida</w:t>
      </w:r>
      <w:r w:rsidRPr="002F3D0A">
        <w:rPr>
          <w:rFonts w:ascii="Times New Roman" w:hAnsi="Times New Roman" w:cs="Times New Roman"/>
          <w:color w:val="000000" w:themeColor="text1"/>
          <w:sz w:val="28"/>
          <w:szCs w:val="28"/>
        </w:rPr>
        <w:t>d</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El cargo</w:t>
      </w:r>
      <w:r w:rsidRPr="002F3D0A">
        <w:rPr>
          <w:rFonts w:ascii="Times New Roman" w:hAnsi="Times New Roman" w:cs="Times New Roman"/>
          <w:color w:val="000000" w:themeColor="text1"/>
          <w:sz w:val="28"/>
          <w:szCs w:val="28"/>
        </w:rPr>
        <w:t xml:space="preserve"> primero</w:t>
      </w:r>
      <w:r w:rsidRPr="002F3D0A">
        <w:rPr>
          <w:rStyle w:val="Refdenotaalpie"/>
          <w:rFonts w:ascii="Times New Roman" w:hAnsi="Times New Roman" w:cs="Times New Roman"/>
          <w:color w:val="000000" w:themeColor="text1"/>
          <w:sz w:val="28"/>
          <w:szCs w:val="28"/>
        </w:rPr>
        <w:footnoteReference w:id="2"/>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planteó que</w:t>
      </w:r>
      <w:r w:rsidRPr="002F3D0A">
        <w:rPr>
          <w:rFonts w:ascii="Times New Roman" w:hAnsi="Times New Roman" w:cs="Times New Roman"/>
          <w:color w:val="000000" w:themeColor="text1"/>
          <w:sz w:val="28"/>
          <w:szCs w:val="28"/>
        </w:rPr>
        <w:t xml:space="preserve"> el impuesto al patrimonio</w:t>
      </w:r>
      <w:r w:rsidRPr="002F3D0A">
        <w:rPr>
          <w:rFonts w:ascii="Times New Roman" w:hAnsi="Times New Roman" w:cs="Times New Roman"/>
          <w:color w:val="000000" w:themeColor="text1"/>
          <w:sz w:val="28"/>
          <w:szCs w:val="28"/>
        </w:rPr>
        <w:t xml:space="preserve"> desconoce los artículos 58, 83, 95, 333 y 363 de la Constitución</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pues no tienen en cuenta la capacidad contributiva de los </w:t>
      </w:r>
      <w:r w:rsidRPr="002F3D0A">
        <w:rPr>
          <w:rFonts w:ascii="Times New Roman" w:hAnsi="Times New Roman" w:cs="Times New Roman"/>
          <w:color w:val="000000" w:themeColor="text1"/>
          <w:sz w:val="28"/>
          <w:szCs w:val="28"/>
        </w:rPr>
        <w:t xml:space="preserve">contribuyentes. El cargo segundo, se </w:t>
      </w:r>
      <w:r w:rsidRPr="002F3D0A">
        <w:rPr>
          <w:rFonts w:ascii="Times New Roman" w:hAnsi="Times New Roman" w:cs="Times New Roman"/>
          <w:sz w:val="28"/>
          <w:szCs w:val="28"/>
        </w:rPr>
        <w:t>dirig</w:t>
      </w:r>
      <w:r w:rsidRPr="002F3D0A">
        <w:rPr>
          <w:rFonts w:ascii="Times New Roman" w:hAnsi="Times New Roman" w:cs="Times New Roman"/>
          <w:sz w:val="28"/>
          <w:szCs w:val="28"/>
        </w:rPr>
        <w:t>ió</w:t>
      </w:r>
      <w:r w:rsidRPr="002F3D0A">
        <w:rPr>
          <w:rFonts w:ascii="Times New Roman" w:hAnsi="Times New Roman" w:cs="Times New Roman"/>
          <w:sz w:val="28"/>
          <w:szCs w:val="28"/>
        </w:rPr>
        <w:t xml:space="preserve"> contra el</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numeral 5 </w:t>
      </w:r>
      <w:r w:rsidRPr="002F3D0A">
        <w:rPr>
          <w:rFonts w:ascii="Times New Roman" w:hAnsi="Times New Roman" w:cs="Times New Roman"/>
          <w:sz w:val="28"/>
          <w:szCs w:val="28"/>
        </w:rPr>
        <w:t xml:space="preserve">del </w:t>
      </w:r>
      <w:r w:rsidRPr="002F3D0A">
        <w:rPr>
          <w:rFonts w:ascii="Times New Roman" w:hAnsi="Times New Roman" w:cs="Times New Roman"/>
          <w:sz w:val="28"/>
          <w:szCs w:val="28"/>
        </w:rPr>
        <w:t>artículo 35 de la Ley 2277 de 2022</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por la transgresión</w:t>
      </w:r>
      <w:r w:rsidRPr="002F3D0A">
        <w:rPr>
          <w:rFonts w:ascii="Times New Roman" w:hAnsi="Times New Roman" w:cs="Times New Roman"/>
          <w:sz w:val="28"/>
          <w:szCs w:val="28"/>
        </w:rPr>
        <w:t xml:space="preserve"> de</w:t>
      </w:r>
      <w:r w:rsidRPr="002F3D0A">
        <w:rPr>
          <w:rFonts w:ascii="Times New Roman" w:hAnsi="Times New Roman" w:cs="Times New Roman"/>
          <w:sz w:val="28"/>
          <w:szCs w:val="28"/>
        </w:rPr>
        <w:t>l principio de equidad horizontal</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debido a que la disposición prevé un</w:t>
      </w:r>
      <w:r w:rsidRPr="002F3D0A">
        <w:rPr>
          <w:rFonts w:ascii="Times New Roman" w:hAnsi="Times New Roman" w:cs="Times New Roman"/>
          <w:sz w:val="28"/>
          <w:szCs w:val="28"/>
        </w:rPr>
        <w:t xml:space="preserve"> trato desigual entre las sociedades extranjeras no declarantes de renta. Los actores sostuvieron que la disposición distingue e</w:t>
      </w:r>
      <w:r w:rsidRPr="002F3D0A">
        <w:rPr>
          <w:rFonts w:ascii="Times New Roman" w:hAnsi="Times New Roman" w:cs="Times New Roman"/>
          <w:sz w:val="28"/>
          <w:szCs w:val="28"/>
        </w:rPr>
        <w:t>ntre dos grupos, a saber:</w:t>
      </w:r>
      <w:r w:rsidRPr="002F3D0A">
        <w:rPr>
          <w:rFonts w:ascii="Times New Roman" w:hAnsi="Times New Roman" w:cs="Times New Roman"/>
          <w:sz w:val="28"/>
          <w:szCs w:val="28"/>
        </w:rPr>
        <w:t xml:space="preserve"> (i) las entidades extranjeras no declarantes de renta en Colombia </w:t>
      </w:r>
      <w:r w:rsidRPr="002F3D0A">
        <w:rPr>
          <w:rFonts w:ascii="Times New Roman" w:hAnsi="Times New Roman" w:cs="Times New Roman"/>
          <w:sz w:val="28"/>
          <w:szCs w:val="28"/>
        </w:rPr>
        <w:t>que posean en el país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acciones, cuentas por cobrar y/o inversiones; y (ii) las sociedades extranjeras no declarantes de renta en el país que posean bienes en </w:t>
      </w:r>
      <w:r w:rsidRPr="002F3D0A">
        <w:rPr>
          <w:rFonts w:ascii="Times New Roman" w:hAnsi="Times New Roman" w:cs="Times New Roman"/>
          <w:sz w:val="28"/>
          <w:szCs w:val="28"/>
        </w:rPr>
        <w:t>Colombia diferentes a los referidos en el primer grupo.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Solo este último grupo será sujeto del impuesto al patrimonio. P</w:t>
      </w:r>
      <w:r w:rsidRPr="002F3D0A">
        <w:rPr>
          <w:rFonts w:ascii="Times New Roman" w:hAnsi="Times New Roman" w:cs="Times New Roman"/>
          <w:sz w:val="28"/>
          <w:szCs w:val="28"/>
        </w:rPr>
        <w:t>ara los demandantes</w:t>
      </w:r>
      <w:r w:rsidRPr="002F3D0A">
        <w:rPr>
          <w:rFonts w:ascii="Times New Roman" w:hAnsi="Times New Roman" w:cs="Times New Roman"/>
          <w:sz w:val="28"/>
          <w:szCs w:val="28"/>
        </w:rPr>
        <w:t xml:space="preserve"> esta diferenciación vulnera el principio de igualdad y de equidad tributaria horizontal</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pues no existe una justific</w:t>
      </w:r>
      <w:r w:rsidRPr="002F3D0A">
        <w:rPr>
          <w:rFonts w:ascii="Times New Roman" w:hAnsi="Times New Roman" w:cs="Times New Roman"/>
          <w:sz w:val="28"/>
          <w:szCs w:val="28"/>
        </w:rPr>
        <w:t xml:space="preserve">ación </w:t>
      </w:r>
      <w:r w:rsidRPr="002F3D0A">
        <w:rPr>
          <w:rFonts w:ascii="Times New Roman" w:hAnsi="Times New Roman" w:cs="Times New Roman"/>
          <w:sz w:val="28"/>
          <w:szCs w:val="28"/>
        </w:rPr>
        <w:t xml:space="preserve">constitucionalmente legítima para </w:t>
      </w:r>
      <w:r w:rsidRPr="002F3D0A">
        <w:rPr>
          <w:rFonts w:ascii="Times New Roman" w:hAnsi="Times New Roman" w:cs="Times New Roman"/>
          <w:sz w:val="28"/>
          <w:szCs w:val="28"/>
        </w:rPr>
        <w:t xml:space="preserve">diferenciar </w:t>
      </w:r>
      <w:r w:rsidRPr="002F3D0A">
        <w:rPr>
          <w:rFonts w:ascii="Times New Roman" w:hAnsi="Times New Roman" w:cs="Times New Roman"/>
          <w:sz w:val="28"/>
          <w:szCs w:val="28"/>
        </w:rPr>
        <w:t>a las sociedades extranjeras como lo hace la norma</w:t>
      </w:r>
      <w:r w:rsidRPr="002F3D0A">
        <w:rPr>
          <w:rFonts w:ascii="Times New Roman" w:hAnsi="Times New Roman" w:cs="Times New Roman"/>
          <w:sz w:val="28"/>
          <w:szCs w:val="28"/>
        </w:rPr>
        <w:t xml:space="preserve">. </w:t>
      </w:r>
    </w:p>
    <w:p w:rsidR="002654A9" w:rsidRPr="002F3D0A" w:rsidRDefault="002F3D0A" w:rsidP="00B51ED0">
      <w:pPr>
        <w:pStyle w:val="Prrafodelista"/>
        <w:ind w:left="0"/>
        <w:rPr>
          <w:rFonts w:ascii="Times New Roman" w:hAnsi="Times New Roman" w:cs="Times New Roman"/>
          <w:color w:val="000000" w:themeColor="text1"/>
          <w:sz w:val="28"/>
          <w:szCs w:val="28"/>
        </w:rPr>
      </w:pPr>
    </w:p>
    <w:p w:rsidR="001815C5" w:rsidRPr="002F3D0A" w:rsidRDefault="002F3D0A" w:rsidP="000F6C85">
      <w:pPr>
        <w:pStyle w:val="Prrafodelista"/>
        <w:numPr>
          <w:ilvl w:val="0"/>
          <w:numId w:val="1"/>
        </w:numPr>
        <w:ind w:left="0" w:firstLine="0"/>
        <w:rPr>
          <w:rFonts w:ascii="Times New Roman" w:hAnsi="Times New Roman" w:cs="Times New Roman"/>
          <w:color w:val="000000" w:themeColor="text1"/>
          <w:sz w:val="28"/>
          <w:szCs w:val="28"/>
        </w:rPr>
      </w:pPr>
      <w:r w:rsidRPr="002F3D0A">
        <w:rPr>
          <w:rFonts w:ascii="Times New Roman" w:hAnsi="Times New Roman" w:cs="Times New Roman"/>
          <w:color w:val="000000" w:themeColor="text1"/>
          <w:sz w:val="28"/>
          <w:szCs w:val="28"/>
        </w:rPr>
        <w:t>El cargo</w:t>
      </w:r>
      <w:r w:rsidRPr="002F3D0A">
        <w:rPr>
          <w:rFonts w:ascii="Times New Roman" w:hAnsi="Times New Roman" w:cs="Times New Roman"/>
          <w:color w:val="000000" w:themeColor="text1"/>
          <w:sz w:val="28"/>
          <w:szCs w:val="28"/>
        </w:rPr>
        <w:t xml:space="preserve"> tercero</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se</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formuló </w:t>
      </w:r>
      <w:r w:rsidRPr="002F3D0A">
        <w:rPr>
          <w:rFonts w:ascii="Times New Roman" w:hAnsi="Times New Roman" w:cs="Times New Roman"/>
          <w:color w:val="000000" w:themeColor="text1"/>
          <w:sz w:val="28"/>
          <w:szCs w:val="28"/>
        </w:rPr>
        <w:t>contra los artículos 36 y 37 de la Ley 2277 de 2022 por la</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vulneración del </w:t>
      </w:r>
      <w:r w:rsidRPr="002F3D0A">
        <w:rPr>
          <w:rFonts w:ascii="Times New Roman" w:hAnsi="Times New Roman" w:cs="Times New Roman"/>
          <w:color w:val="000000" w:themeColor="text1"/>
          <w:sz w:val="28"/>
          <w:szCs w:val="28"/>
        </w:rPr>
        <w:t xml:space="preserve">principio de </w:t>
      </w:r>
      <w:r w:rsidRPr="002F3D0A">
        <w:rPr>
          <w:rFonts w:ascii="Times New Roman" w:hAnsi="Times New Roman" w:cs="Times New Roman"/>
          <w:color w:val="000000" w:themeColor="text1"/>
          <w:sz w:val="28"/>
          <w:szCs w:val="28"/>
        </w:rPr>
        <w:t>certeza t</w:t>
      </w:r>
      <w:r w:rsidRPr="002F3D0A">
        <w:rPr>
          <w:rFonts w:ascii="Times New Roman" w:hAnsi="Times New Roman" w:cs="Times New Roman"/>
          <w:color w:val="000000" w:themeColor="text1"/>
          <w:sz w:val="28"/>
          <w:szCs w:val="28"/>
        </w:rPr>
        <w:t xml:space="preserve">ributaria, debido a que </w:t>
      </w:r>
      <w:r w:rsidRPr="002F3D0A">
        <w:rPr>
          <w:rFonts w:ascii="Times New Roman" w:hAnsi="Times New Roman" w:cs="Times New Roman"/>
          <w:color w:val="000000" w:themeColor="text1"/>
          <w:sz w:val="28"/>
          <w:szCs w:val="28"/>
        </w:rPr>
        <w:t>en las disposiciones</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no se establece </w:t>
      </w:r>
      <w:r w:rsidRPr="002F3D0A">
        <w:rPr>
          <w:rFonts w:ascii="Times New Roman" w:hAnsi="Times New Roman" w:cs="Times New Roman"/>
          <w:color w:val="000000" w:themeColor="text1"/>
          <w:sz w:val="28"/>
          <w:szCs w:val="28"/>
        </w:rPr>
        <w:t xml:space="preserve">de forma clara el </w:t>
      </w:r>
      <w:r w:rsidRPr="002F3D0A">
        <w:rPr>
          <w:rFonts w:ascii="Times New Roman" w:hAnsi="Times New Roman" w:cs="Times New Roman"/>
          <w:color w:val="000000" w:themeColor="text1"/>
          <w:sz w:val="28"/>
          <w:szCs w:val="28"/>
        </w:rPr>
        <w:t>hecho generador</w:t>
      </w:r>
      <w:r w:rsidRPr="002F3D0A">
        <w:rPr>
          <w:rFonts w:ascii="Times New Roman" w:hAnsi="Times New Roman" w:cs="Times New Roman"/>
          <w:color w:val="000000" w:themeColor="text1"/>
          <w:sz w:val="28"/>
          <w:szCs w:val="28"/>
        </w:rPr>
        <w:t xml:space="preserve"> y</w:t>
      </w:r>
      <w:r w:rsidRPr="002F3D0A">
        <w:rPr>
          <w:rFonts w:ascii="Times New Roman" w:hAnsi="Times New Roman" w:cs="Times New Roman"/>
          <w:color w:val="000000" w:themeColor="text1"/>
          <w:sz w:val="28"/>
          <w:szCs w:val="28"/>
        </w:rPr>
        <w:t xml:space="preserve"> la base gravable del impuesto. El cargo</w:t>
      </w:r>
      <w:r w:rsidRPr="002F3D0A">
        <w:rPr>
          <w:rFonts w:ascii="Times New Roman" w:hAnsi="Times New Roman" w:cs="Times New Roman"/>
          <w:color w:val="000000" w:themeColor="text1"/>
          <w:sz w:val="28"/>
          <w:szCs w:val="28"/>
        </w:rPr>
        <w:t xml:space="preserve"> cuarto</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se dirig</w:t>
      </w:r>
      <w:r w:rsidRPr="002F3D0A">
        <w:rPr>
          <w:rFonts w:ascii="Times New Roman" w:hAnsi="Times New Roman" w:cs="Times New Roman"/>
          <w:color w:val="000000" w:themeColor="text1"/>
          <w:sz w:val="28"/>
          <w:szCs w:val="28"/>
        </w:rPr>
        <w:t>ió</w:t>
      </w:r>
      <w:r w:rsidRPr="002F3D0A">
        <w:rPr>
          <w:rFonts w:ascii="Times New Roman" w:hAnsi="Times New Roman" w:cs="Times New Roman"/>
          <w:color w:val="000000" w:themeColor="text1"/>
          <w:sz w:val="28"/>
          <w:szCs w:val="28"/>
        </w:rPr>
        <w:t xml:space="preserve"> contra el artículo 37 de la Ley 2277 de 2022 </w:t>
      </w:r>
      <w:r w:rsidRPr="002F3D0A">
        <w:rPr>
          <w:rFonts w:ascii="Times New Roman" w:hAnsi="Times New Roman" w:cs="Times New Roman"/>
          <w:color w:val="000000" w:themeColor="text1"/>
          <w:sz w:val="28"/>
          <w:szCs w:val="28"/>
        </w:rPr>
        <w:t>y plante</w:t>
      </w:r>
      <w:r w:rsidRPr="002F3D0A">
        <w:rPr>
          <w:rFonts w:ascii="Times New Roman" w:hAnsi="Times New Roman" w:cs="Times New Roman"/>
          <w:color w:val="000000" w:themeColor="text1"/>
          <w:sz w:val="28"/>
          <w:szCs w:val="28"/>
        </w:rPr>
        <w:t>ó</w:t>
      </w:r>
      <w:r w:rsidRPr="002F3D0A">
        <w:rPr>
          <w:rFonts w:ascii="Times New Roman" w:hAnsi="Times New Roman" w:cs="Times New Roman"/>
          <w:color w:val="000000" w:themeColor="text1"/>
          <w:sz w:val="28"/>
          <w:szCs w:val="28"/>
        </w:rPr>
        <w:t xml:space="preserve"> que en la disposición se </w:t>
      </w:r>
      <w:r w:rsidRPr="002F3D0A">
        <w:rPr>
          <w:rFonts w:ascii="Times New Roman" w:hAnsi="Times New Roman" w:cs="Times New Roman"/>
          <w:color w:val="000000" w:themeColor="text1"/>
          <w:sz w:val="28"/>
          <w:szCs w:val="28"/>
        </w:rPr>
        <w:t>incurrió en una omisión legislativa relativa</w:t>
      </w:r>
      <w:r w:rsidRPr="002F3D0A">
        <w:rPr>
          <w:rFonts w:ascii="Times New Roman" w:hAnsi="Times New Roman" w:cs="Times New Roman"/>
          <w:color w:val="000000" w:themeColor="text1"/>
          <w:sz w:val="28"/>
          <w:szCs w:val="28"/>
        </w:rPr>
        <w:t xml:space="preserve"> que desconoce los artículos 338 y 363 de la Constitución</w:t>
      </w:r>
      <w:r w:rsidRPr="002F3D0A">
        <w:rPr>
          <w:rFonts w:ascii="Times New Roman" w:hAnsi="Times New Roman" w:cs="Times New Roman"/>
          <w:color w:val="000000" w:themeColor="text1"/>
          <w:sz w:val="28"/>
          <w:szCs w:val="28"/>
        </w:rPr>
        <w:t xml:space="preserve">, debido a que </w:t>
      </w:r>
      <w:r w:rsidRPr="002F3D0A">
        <w:rPr>
          <w:rFonts w:ascii="Times New Roman" w:hAnsi="Times New Roman" w:cs="Times New Roman"/>
          <w:color w:val="000000" w:themeColor="text1"/>
          <w:sz w:val="28"/>
          <w:szCs w:val="28"/>
        </w:rPr>
        <w:t>no explica c</w:t>
      </w:r>
      <w:r w:rsidRPr="002F3D0A">
        <w:rPr>
          <w:rFonts w:ascii="Times New Roman" w:hAnsi="Times New Roman" w:cs="Times New Roman"/>
          <w:color w:val="000000" w:themeColor="text1"/>
          <w:sz w:val="28"/>
          <w:szCs w:val="28"/>
        </w:rPr>
        <w:t>ó</w:t>
      </w:r>
      <w:r w:rsidRPr="002F3D0A">
        <w:rPr>
          <w:rFonts w:ascii="Times New Roman" w:hAnsi="Times New Roman" w:cs="Times New Roman"/>
          <w:color w:val="000000" w:themeColor="text1"/>
          <w:sz w:val="28"/>
          <w:szCs w:val="28"/>
        </w:rPr>
        <w:t>mo las entidades extranjeras sujetas de impuesto al patrimonio pueden detraer sus deudas para determinar la base gravable del tributo.</w:t>
      </w:r>
      <w:r w:rsidRPr="002F3D0A">
        <w:rPr>
          <w:rFonts w:ascii="Times New Roman" w:hAnsi="Times New Roman" w:cs="Times New Roman"/>
          <w:color w:val="000000" w:themeColor="text1"/>
          <w:sz w:val="28"/>
          <w:szCs w:val="28"/>
        </w:rPr>
        <w:t xml:space="preserve"> Finalmente, e</w:t>
      </w:r>
      <w:r w:rsidRPr="002F3D0A">
        <w:rPr>
          <w:rFonts w:ascii="Times New Roman" w:hAnsi="Times New Roman" w:cs="Times New Roman"/>
          <w:color w:val="000000" w:themeColor="text1"/>
          <w:sz w:val="28"/>
          <w:szCs w:val="28"/>
        </w:rPr>
        <w:t>l cargo</w:t>
      </w:r>
      <w:r w:rsidRPr="002F3D0A">
        <w:rPr>
          <w:rFonts w:ascii="Times New Roman" w:hAnsi="Times New Roman" w:cs="Times New Roman"/>
          <w:color w:val="000000" w:themeColor="text1"/>
          <w:sz w:val="28"/>
          <w:szCs w:val="28"/>
        </w:rPr>
        <w:t xml:space="preserve"> quinto</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se dirigió contra los </w:t>
      </w:r>
      <w:r w:rsidRPr="002F3D0A">
        <w:rPr>
          <w:rFonts w:ascii="Times New Roman" w:hAnsi="Times New Roman" w:cs="Times New Roman"/>
          <w:color w:val="000000" w:themeColor="text1"/>
          <w:sz w:val="28"/>
          <w:szCs w:val="28"/>
        </w:rPr>
        <w:t>artículos 36 y 37 de la Ley 2277 de 2022</w:t>
      </w:r>
      <w:r w:rsidRPr="002F3D0A">
        <w:rPr>
          <w:rFonts w:ascii="Times New Roman" w:hAnsi="Times New Roman" w:cs="Times New Roman"/>
          <w:color w:val="000000" w:themeColor="text1"/>
          <w:sz w:val="28"/>
          <w:szCs w:val="28"/>
        </w:rPr>
        <w:t xml:space="preserve"> por la transgresión de los </w:t>
      </w:r>
      <w:r w:rsidRPr="002F3D0A">
        <w:rPr>
          <w:rFonts w:ascii="Times New Roman" w:hAnsi="Times New Roman" w:cs="Times New Roman"/>
          <w:color w:val="000000" w:themeColor="text1"/>
          <w:sz w:val="28"/>
          <w:szCs w:val="28"/>
        </w:rPr>
        <w:t>artículos 287 y 317 de la Constitución</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pues por medio de la imposición de un impuesto de carácter nacional —</w:t>
      </w:r>
      <w:r w:rsidRPr="002F3D0A">
        <w:rPr>
          <w:rFonts w:ascii="Times New Roman" w:hAnsi="Times New Roman" w:cs="Times New Roman"/>
          <w:color w:val="000000" w:themeColor="text1"/>
          <w:sz w:val="28"/>
          <w:szCs w:val="28"/>
        </w:rPr>
        <w:t>el impuesto al</w:t>
      </w:r>
      <w:r w:rsidRPr="002F3D0A">
        <w:rPr>
          <w:rFonts w:ascii="Times New Roman" w:hAnsi="Times New Roman" w:cs="Times New Roman"/>
          <w:color w:val="000000" w:themeColor="text1"/>
          <w:sz w:val="28"/>
          <w:szCs w:val="28"/>
        </w:rPr>
        <w:t xml:space="preserve"> patrimonio— se busca gravar la propiedad i</w:t>
      </w:r>
      <w:r w:rsidRPr="002F3D0A">
        <w:rPr>
          <w:rFonts w:ascii="Times New Roman" w:hAnsi="Times New Roman" w:cs="Times New Roman"/>
          <w:color w:val="000000" w:themeColor="text1"/>
          <w:sz w:val="28"/>
          <w:szCs w:val="28"/>
        </w:rPr>
        <w:t xml:space="preserve">nmueble de forma permanente, a pesar de que </w:t>
      </w:r>
      <w:r w:rsidRPr="002F3D0A">
        <w:rPr>
          <w:rFonts w:ascii="Times New Roman" w:hAnsi="Times New Roman" w:cs="Times New Roman"/>
          <w:color w:val="000000" w:themeColor="text1"/>
          <w:sz w:val="28"/>
          <w:szCs w:val="28"/>
        </w:rPr>
        <w:t xml:space="preserve">esta es </w:t>
      </w:r>
      <w:r w:rsidRPr="002F3D0A">
        <w:rPr>
          <w:rFonts w:ascii="Times New Roman" w:hAnsi="Times New Roman" w:cs="Times New Roman"/>
          <w:color w:val="000000" w:themeColor="text1"/>
          <w:sz w:val="28"/>
          <w:szCs w:val="28"/>
        </w:rPr>
        <w:t xml:space="preserve">una facultad </w:t>
      </w:r>
      <w:r w:rsidRPr="002F3D0A">
        <w:rPr>
          <w:rFonts w:ascii="Times New Roman" w:hAnsi="Times New Roman" w:cs="Times New Roman"/>
          <w:color w:val="000000" w:themeColor="text1"/>
          <w:sz w:val="28"/>
          <w:szCs w:val="28"/>
        </w:rPr>
        <w:t>exclusiva</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de</w:t>
      </w:r>
      <w:r w:rsidRPr="002F3D0A">
        <w:rPr>
          <w:rFonts w:ascii="Times New Roman" w:hAnsi="Times New Roman" w:cs="Times New Roman"/>
          <w:color w:val="000000" w:themeColor="text1"/>
          <w:sz w:val="28"/>
          <w:szCs w:val="28"/>
        </w:rPr>
        <w:t xml:space="preserve"> las entidades territoriales</w:t>
      </w:r>
      <w:r w:rsidRPr="002F3D0A">
        <w:rPr>
          <w:rFonts w:ascii="Times New Roman" w:hAnsi="Times New Roman" w:cs="Times New Roman"/>
          <w:color w:val="000000" w:themeColor="text1"/>
          <w:sz w:val="28"/>
          <w:szCs w:val="28"/>
        </w:rPr>
        <w:t>, que constituye una manifestación de su autonomía</w:t>
      </w:r>
      <w:r w:rsidRPr="002F3D0A">
        <w:rPr>
          <w:rFonts w:ascii="Times New Roman" w:hAnsi="Times New Roman" w:cs="Times New Roman"/>
          <w:color w:val="000000" w:themeColor="text1"/>
          <w:sz w:val="28"/>
          <w:szCs w:val="28"/>
        </w:rPr>
        <w:t>.</w:t>
      </w:r>
    </w:p>
    <w:p w:rsidR="003140C6" w:rsidRPr="002F3D0A" w:rsidRDefault="002F3D0A" w:rsidP="003140C6">
      <w:pPr>
        <w:pStyle w:val="Prrafodelista"/>
        <w:rPr>
          <w:rFonts w:ascii="Times New Roman" w:hAnsi="Times New Roman" w:cs="Times New Roman"/>
          <w:color w:val="000000" w:themeColor="text1"/>
          <w:sz w:val="28"/>
          <w:szCs w:val="28"/>
        </w:rPr>
      </w:pPr>
    </w:p>
    <w:p w:rsidR="00F65A4D"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rPr>
      </w:pPr>
      <w:r w:rsidRPr="002F3D0A">
        <w:rPr>
          <w:rFonts w:ascii="Times New Roman" w:hAnsi="Times New Roman" w:cs="Times New Roman"/>
          <w:color w:val="000000" w:themeColor="text1"/>
          <w:sz w:val="28"/>
          <w:szCs w:val="28"/>
        </w:rPr>
        <w:t>En auto de 4 de diciembre de 2023</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la magistrada sustanciadora admitió </w:t>
      </w:r>
      <w:r w:rsidRPr="002F3D0A">
        <w:rPr>
          <w:rFonts w:ascii="Times New Roman" w:hAnsi="Times New Roman" w:cs="Times New Roman"/>
          <w:color w:val="000000" w:themeColor="text1"/>
          <w:sz w:val="28"/>
          <w:szCs w:val="28"/>
        </w:rPr>
        <w:t xml:space="preserve">el </w:t>
      </w:r>
      <w:r w:rsidRPr="002F3D0A">
        <w:rPr>
          <w:rFonts w:ascii="Times New Roman" w:hAnsi="Times New Roman" w:cs="Times New Roman"/>
          <w:color w:val="000000" w:themeColor="text1"/>
          <w:sz w:val="28"/>
          <w:szCs w:val="28"/>
        </w:rPr>
        <w:t>cargo segundo</w:t>
      </w:r>
      <w:r w:rsidRPr="002F3D0A">
        <w:rPr>
          <w:rFonts w:ascii="Times New Roman" w:hAnsi="Times New Roman" w:cs="Times New Roman"/>
          <w:color w:val="000000" w:themeColor="text1"/>
          <w:sz w:val="28"/>
          <w:szCs w:val="28"/>
        </w:rPr>
        <w:t xml:space="preserve"> que propone la violación de los principios de </w:t>
      </w:r>
      <w:r w:rsidRPr="002F3D0A">
        <w:rPr>
          <w:rFonts w:ascii="Times New Roman" w:hAnsi="Times New Roman" w:cs="Times New Roman"/>
          <w:color w:val="000000" w:themeColor="text1"/>
          <w:sz w:val="28"/>
          <w:szCs w:val="28"/>
        </w:rPr>
        <w:t>igualdad</w:t>
      </w:r>
      <w:r w:rsidRPr="002F3D0A">
        <w:rPr>
          <w:rFonts w:ascii="Times New Roman" w:hAnsi="Times New Roman" w:cs="Times New Roman"/>
          <w:color w:val="000000" w:themeColor="text1"/>
          <w:sz w:val="28"/>
          <w:szCs w:val="28"/>
        </w:rPr>
        <w:t xml:space="preserve"> y equidad horizontal</w:t>
      </w:r>
      <w:r w:rsidRPr="002F3D0A">
        <w:rPr>
          <w:rFonts w:ascii="Times New Roman" w:hAnsi="Times New Roman" w:cs="Times New Roman"/>
          <w:color w:val="000000" w:themeColor="text1"/>
          <w:sz w:val="28"/>
          <w:szCs w:val="28"/>
        </w:rPr>
        <w:t xml:space="preserve"> por la distinción entre las sociedades extranjeras </w:t>
      </w:r>
      <w:r w:rsidRPr="002F3D0A">
        <w:rPr>
          <w:rFonts w:ascii="Times New Roman" w:hAnsi="Times New Roman" w:cs="Times New Roman"/>
          <w:color w:val="000000" w:themeColor="text1"/>
          <w:sz w:val="28"/>
          <w:szCs w:val="28"/>
        </w:rPr>
        <w:t xml:space="preserve">y </w:t>
      </w:r>
      <w:r w:rsidRPr="002F3D0A">
        <w:rPr>
          <w:rFonts w:ascii="Times New Roman" w:hAnsi="Times New Roman" w:cs="Times New Roman"/>
          <w:color w:val="000000" w:themeColor="text1"/>
          <w:sz w:val="28"/>
          <w:szCs w:val="28"/>
        </w:rPr>
        <w:t xml:space="preserve">el cargo </w:t>
      </w:r>
      <w:r w:rsidRPr="002F3D0A">
        <w:rPr>
          <w:rFonts w:ascii="Times New Roman" w:hAnsi="Times New Roman" w:cs="Times New Roman"/>
          <w:color w:val="000000" w:themeColor="text1"/>
          <w:sz w:val="28"/>
          <w:szCs w:val="28"/>
        </w:rPr>
        <w:t>quinto</w:t>
      </w:r>
      <w:r w:rsidRPr="002F3D0A">
        <w:rPr>
          <w:rFonts w:ascii="Times New Roman" w:hAnsi="Times New Roman" w:cs="Times New Roman"/>
          <w:color w:val="000000" w:themeColor="text1"/>
          <w:sz w:val="28"/>
          <w:szCs w:val="28"/>
        </w:rPr>
        <w:t xml:space="preserve">, el cual plantea la transgresión de la </w:t>
      </w:r>
      <w:r w:rsidRPr="002F3D0A">
        <w:rPr>
          <w:rFonts w:ascii="Times New Roman" w:hAnsi="Times New Roman" w:cs="Times New Roman"/>
          <w:color w:val="000000" w:themeColor="text1"/>
          <w:sz w:val="28"/>
          <w:szCs w:val="28"/>
        </w:rPr>
        <w:t>facultad impositiva de los municipios sobre la propiedad inmueble</w:t>
      </w:r>
      <w:r w:rsidRPr="002F3D0A">
        <w:rPr>
          <w:rFonts w:ascii="Times New Roman" w:hAnsi="Times New Roman" w:cs="Times New Roman"/>
          <w:color w:val="000000" w:themeColor="text1"/>
          <w:sz w:val="28"/>
          <w:szCs w:val="28"/>
        </w:rPr>
        <w:t>. Adic</w:t>
      </w:r>
      <w:r w:rsidRPr="002F3D0A">
        <w:rPr>
          <w:rFonts w:ascii="Times New Roman" w:hAnsi="Times New Roman" w:cs="Times New Roman"/>
          <w:color w:val="000000" w:themeColor="text1"/>
          <w:sz w:val="28"/>
          <w:szCs w:val="28"/>
        </w:rPr>
        <w:t xml:space="preserve">ionalmente, la magistrada </w:t>
      </w:r>
      <w:r w:rsidRPr="002F3D0A">
        <w:rPr>
          <w:rFonts w:ascii="Times New Roman" w:hAnsi="Times New Roman" w:cs="Times New Roman"/>
          <w:color w:val="000000" w:themeColor="text1"/>
          <w:sz w:val="28"/>
          <w:szCs w:val="28"/>
        </w:rPr>
        <w:t>inadmitió los cargos primero, tercero y cuarto. En consecuencia, le otorgó tres días a los demandantes para que corrigieran los cargos inadmitidos</w:t>
      </w:r>
      <w:r w:rsidRPr="002F3D0A">
        <w:rPr>
          <w:rFonts w:ascii="Times New Roman" w:hAnsi="Times New Roman" w:cs="Times New Roman"/>
          <w:color w:val="000000" w:themeColor="text1"/>
          <w:sz w:val="28"/>
          <w:szCs w:val="28"/>
        </w:rPr>
        <w:t xml:space="preserve"> y dispuso continuar con el proceso e</w:t>
      </w:r>
      <w:r w:rsidRPr="002F3D0A">
        <w:rPr>
          <w:rFonts w:ascii="Times New Roman" w:hAnsi="Times New Roman" w:cs="Times New Roman"/>
          <w:sz w:val="28"/>
          <w:szCs w:val="28"/>
        </w:rPr>
        <w:t>n caso de que el término para corregir ven</w:t>
      </w:r>
      <w:r w:rsidRPr="002F3D0A">
        <w:rPr>
          <w:rFonts w:ascii="Times New Roman" w:hAnsi="Times New Roman" w:cs="Times New Roman"/>
          <w:sz w:val="28"/>
          <w:szCs w:val="28"/>
        </w:rPr>
        <w:t>ciera</w:t>
      </w:r>
      <w:r w:rsidRPr="002F3D0A">
        <w:rPr>
          <w:rFonts w:ascii="Times New Roman" w:hAnsi="Times New Roman" w:cs="Times New Roman"/>
          <w:sz w:val="28"/>
          <w:szCs w:val="28"/>
        </w:rPr>
        <w:t xml:space="preserve"> en silencio o</w:t>
      </w:r>
      <w:r w:rsidRPr="002F3D0A">
        <w:rPr>
          <w:rFonts w:ascii="Times New Roman" w:hAnsi="Times New Roman" w:cs="Times New Roman"/>
          <w:sz w:val="28"/>
          <w:szCs w:val="28"/>
        </w:rPr>
        <w:t xml:space="preserve"> en caso de que se agotara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el</w:t>
      </w:r>
      <w:r w:rsidRPr="002F3D0A">
        <w:rPr>
          <w:rFonts w:ascii="Times New Roman" w:hAnsi="Times New Roman" w:cs="Times New Roman"/>
          <w:sz w:val="28"/>
          <w:szCs w:val="28"/>
        </w:rPr>
        <w:t xml:space="preserve"> trámite </w:t>
      </w:r>
      <w:r w:rsidRPr="002F3D0A">
        <w:rPr>
          <w:rFonts w:ascii="Times New Roman" w:hAnsi="Times New Roman" w:cs="Times New Roman"/>
          <w:sz w:val="28"/>
          <w:szCs w:val="28"/>
        </w:rPr>
        <w:t>de</w:t>
      </w:r>
      <w:r w:rsidRPr="002F3D0A">
        <w:rPr>
          <w:rFonts w:ascii="Times New Roman" w:hAnsi="Times New Roman" w:cs="Times New Roman"/>
          <w:sz w:val="28"/>
          <w:szCs w:val="28"/>
        </w:rPr>
        <w:t xml:space="preserve"> subsanación</w:t>
      </w:r>
      <w:r w:rsidRPr="002F3D0A">
        <w:rPr>
          <w:rFonts w:ascii="Times New Roman" w:hAnsi="Times New Roman" w:cs="Times New Roman"/>
          <w:sz w:val="28"/>
          <w:szCs w:val="28"/>
        </w:rPr>
        <w:t>, rechazo</w:t>
      </w:r>
      <w:r w:rsidRPr="002F3D0A">
        <w:rPr>
          <w:rFonts w:ascii="Times New Roman" w:hAnsi="Times New Roman" w:cs="Times New Roman"/>
          <w:sz w:val="28"/>
          <w:szCs w:val="28"/>
        </w:rPr>
        <w:t xml:space="preserve"> y </w:t>
      </w:r>
      <w:r w:rsidRPr="002F3D0A">
        <w:rPr>
          <w:rFonts w:ascii="Times New Roman" w:hAnsi="Times New Roman" w:cs="Times New Roman"/>
          <w:sz w:val="28"/>
          <w:szCs w:val="28"/>
        </w:rPr>
        <w:t>e</w:t>
      </w:r>
      <w:r w:rsidRPr="002F3D0A">
        <w:rPr>
          <w:rFonts w:ascii="Times New Roman" w:hAnsi="Times New Roman" w:cs="Times New Roman"/>
          <w:sz w:val="28"/>
          <w:szCs w:val="28"/>
        </w:rPr>
        <w:t>l eventual recurso de súplica</w:t>
      </w:r>
      <w:r w:rsidRPr="002F3D0A">
        <w:rPr>
          <w:rFonts w:ascii="Times New Roman" w:hAnsi="Times New Roman" w:cs="Times New Roman"/>
          <w:sz w:val="28"/>
          <w:szCs w:val="28"/>
        </w:rPr>
        <w:t xml:space="preserve">. </w:t>
      </w:r>
    </w:p>
    <w:p w:rsidR="00F65A4D" w:rsidRPr="002F3D0A" w:rsidRDefault="002F3D0A" w:rsidP="00F65A4D">
      <w:pPr>
        <w:pStyle w:val="Prrafodelista"/>
        <w:rPr>
          <w:rFonts w:ascii="Times New Roman" w:hAnsi="Times New Roman" w:cs="Times New Roman"/>
          <w:sz w:val="28"/>
          <w:szCs w:val="28"/>
        </w:rPr>
      </w:pPr>
    </w:p>
    <w:p w:rsidR="00F65A4D"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rPr>
      </w:pPr>
      <w:r w:rsidRPr="002F3D0A">
        <w:rPr>
          <w:rFonts w:ascii="Times New Roman" w:hAnsi="Times New Roman" w:cs="Times New Roman"/>
          <w:sz w:val="28"/>
          <w:szCs w:val="28"/>
        </w:rPr>
        <w:t xml:space="preserve">En auto del 19 de enero de 2024, la magistrada examinó la subsanación </w:t>
      </w:r>
      <w:r w:rsidRPr="002F3D0A">
        <w:rPr>
          <w:rFonts w:ascii="Times New Roman" w:hAnsi="Times New Roman" w:cs="Times New Roman"/>
          <w:sz w:val="28"/>
          <w:szCs w:val="28"/>
        </w:rPr>
        <w:t xml:space="preserve">presentada por los demandantes </w:t>
      </w:r>
      <w:r w:rsidRPr="002F3D0A">
        <w:rPr>
          <w:rFonts w:ascii="Times New Roman" w:hAnsi="Times New Roman" w:cs="Times New Roman"/>
          <w:sz w:val="28"/>
          <w:szCs w:val="28"/>
        </w:rPr>
        <w:t xml:space="preserve">y rechazó los cargos primero, tercero y cuarto. Asimismo, otorgó el término de tres días para la formulación del recurso de súplica, el cual se interpuso por los </w:t>
      </w:r>
      <w:r w:rsidRPr="002F3D0A">
        <w:rPr>
          <w:rFonts w:ascii="Times New Roman" w:hAnsi="Times New Roman" w:cs="Times New Roman"/>
          <w:sz w:val="28"/>
          <w:szCs w:val="28"/>
        </w:rPr>
        <w:t>demandantes</w:t>
      </w:r>
      <w:r w:rsidRPr="002F3D0A">
        <w:rPr>
          <w:rFonts w:ascii="Times New Roman" w:hAnsi="Times New Roman" w:cs="Times New Roman"/>
          <w:sz w:val="28"/>
          <w:szCs w:val="28"/>
        </w:rPr>
        <w:t xml:space="preserve"> y se resolvió por la Sala Plena en </w:t>
      </w:r>
      <w:r w:rsidRPr="002F3D0A">
        <w:rPr>
          <w:rFonts w:ascii="Times New Roman" w:hAnsi="Times New Roman" w:cs="Times New Roman"/>
          <w:sz w:val="28"/>
          <w:szCs w:val="28"/>
        </w:rPr>
        <w:t xml:space="preserve">el </w:t>
      </w:r>
      <w:r w:rsidRPr="002F3D0A">
        <w:rPr>
          <w:rFonts w:ascii="Times New Roman" w:hAnsi="Times New Roman" w:cs="Times New Roman"/>
          <w:sz w:val="28"/>
          <w:szCs w:val="28"/>
        </w:rPr>
        <w:t xml:space="preserve">auto 259 de 2024, </w:t>
      </w:r>
      <w:r w:rsidRPr="002F3D0A">
        <w:rPr>
          <w:rFonts w:ascii="Times New Roman" w:hAnsi="Times New Roman" w:cs="Times New Roman"/>
          <w:sz w:val="28"/>
          <w:szCs w:val="28"/>
        </w:rPr>
        <w:t xml:space="preserve">en el </w:t>
      </w:r>
      <w:r w:rsidRPr="002F3D0A">
        <w:rPr>
          <w:rFonts w:ascii="Times New Roman" w:hAnsi="Times New Roman" w:cs="Times New Roman"/>
          <w:sz w:val="28"/>
          <w:szCs w:val="28"/>
        </w:rPr>
        <w:t xml:space="preserve">que </w:t>
      </w:r>
      <w:r w:rsidRPr="002F3D0A">
        <w:rPr>
          <w:rFonts w:ascii="Times New Roman" w:hAnsi="Times New Roman" w:cs="Times New Roman"/>
          <w:sz w:val="28"/>
          <w:szCs w:val="28"/>
        </w:rPr>
        <w:t xml:space="preserve">se </w:t>
      </w:r>
      <w:r w:rsidRPr="002F3D0A">
        <w:rPr>
          <w:rFonts w:ascii="Times New Roman" w:hAnsi="Times New Roman" w:cs="Times New Roman"/>
          <w:sz w:val="28"/>
          <w:szCs w:val="28"/>
        </w:rPr>
        <w:t>decidió negar</w:t>
      </w:r>
      <w:r w:rsidRPr="002F3D0A">
        <w:rPr>
          <w:rFonts w:ascii="Times New Roman" w:hAnsi="Times New Roman" w:cs="Times New Roman"/>
          <w:sz w:val="28"/>
          <w:szCs w:val="28"/>
        </w:rPr>
        <w:t xml:space="preserve"> el recurso en contra de la decisión de rechazo</w:t>
      </w:r>
      <w:r w:rsidRPr="002F3D0A">
        <w:rPr>
          <w:rStyle w:val="Refdenotaalpie"/>
          <w:rFonts w:ascii="Times New Roman" w:hAnsi="Times New Roman" w:cs="Times New Roman"/>
          <w:sz w:val="28"/>
          <w:szCs w:val="28"/>
        </w:rPr>
        <w:footnoteReference w:id="3"/>
      </w:r>
      <w:r w:rsidRPr="002F3D0A">
        <w:rPr>
          <w:rFonts w:ascii="Times New Roman" w:hAnsi="Times New Roman" w:cs="Times New Roman"/>
          <w:sz w:val="28"/>
          <w:szCs w:val="28"/>
        </w:rPr>
        <w:t>.</w:t>
      </w:r>
    </w:p>
    <w:p w:rsidR="00F65A4D" w:rsidRPr="002F3D0A" w:rsidRDefault="002F3D0A" w:rsidP="00F65A4D">
      <w:pPr>
        <w:pStyle w:val="Prrafodelista"/>
        <w:rPr>
          <w:rFonts w:ascii="Times New Roman" w:hAnsi="Times New Roman" w:cs="Times New Roman"/>
          <w:sz w:val="28"/>
          <w:szCs w:val="28"/>
        </w:rPr>
      </w:pPr>
    </w:p>
    <w:p w:rsidR="0060390A" w:rsidRPr="002F3D0A" w:rsidRDefault="002F3D0A" w:rsidP="005A25A1">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rPr>
        <w:t xml:space="preserve">En firme el auto que negó el recurso de súplica, el 15 de marzo de 2024, la secretaría remitió las comunicaciones y ejecutó las actuaciones ordenadas en </w:t>
      </w:r>
      <w:r w:rsidRPr="002F3D0A">
        <w:rPr>
          <w:rFonts w:ascii="Times New Roman" w:hAnsi="Times New Roman" w:cs="Times New Roman"/>
          <w:color w:val="000000" w:themeColor="text1"/>
          <w:sz w:val="28"/>
          <w:szCs w:val="28"/>
        </w:rPr>
        <w:t xml:space="preserve">el </w:t>
      </w:r>
      <w:r w:rsidRPr="002F3D0A">
        <w:rPr>
          <w:rFonts w:ascii="Times New Roman" w:hAnsi="Times New Roman" w:cs="Times New Roman"/>
          <w:color w:val="000000" w:themeColor="text1"/>
          <w:sz w:val="28"/>
          <w:szCs w:val="28"/>
        </w:rPr>
        <w:t>auto de 4 de diciembre de 2023.</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lang w:val="es-ES"/>
        </w:rPr>
        <w:t>E</w:t>
      </w:r>
      <w:r w:rsidRPr="002F3D0A">
        <w:rPr>
          <w:rFonts w:ascii="Times New Roman" w:hAnsi="Times New Roman" w:cs="Times New Roman"/>
          <w:color w:val="000000" w:themeColor="text1"/>
          <w:sz w:val="28"/>
          <w:szCs w:val="28"/>
          <w:lang w:val="es-ES"/>
        </w:rPr>
        <w:t xml:space="preserve">n </w:t>
      </w:r>
      <w:r w:rsidRPr="002F3D0A">
        <w:rPr>
          <w:rFonts w:ascii="Times New Roman" w:hAnsi="Times New Roman" w:cs="Times New Roman"/>
          <w:color w:val="000000" w:themeColor="text1"/>
          <w:sz w:val="28"/>
          <w:szCs w:val="28"/>
          <w:lang w:val="es-ES"/>
        </w:rPr>
        <w:t xml:space="preserve">particular, </w:t>
      </w:r>
      <w:r w:rsidRPr="002F3D0A">
        <w:rPr>
          <w:rFonts w:ascii="Times New Roman" w:hAnsi="Times New Roman" w:cs="Times New Roman"/>
          <w:color w:val="000000" w:themeColor="text1"/>
          <w:sz w:val="28"/>
          <w:szCs w:val="28"/>
          <w:lang w:val="es-ES"/>
        </w:rPr>
        <w:t>comunicó el inicio del proceso al presidente de la República</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al presidente del Congreso</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sz w:val="28"/>
          <w:szCs w:val="28"/>
        </w:rPr>
        <w:t>al Ministerio de Justicia y del Derecho, al Ministerio de Hacienda y Crédito Público, y a la Dirección de Impuestos y Aduanas Nacionales</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corrió traslado a </w:t>
      </w:r>
      <w:r w:rsidRPr="002F3D0A">
        <w:rPr>
          <w:rFonts w:ascii="Times New Roman" w:hAnsi="Times New Roman" w:cs="Times New Roman"/>
          <w:color w:val="000000" w:themeColor="text1"/>
          <w:sz w:val="28"/>
          <w:szCs w:val="28"/>
          <w:lang w:val="es-ES"/>
        </w:rPr>
        <w:t xml:space="preserve">la procuradora general de la Nación </w:t>
      </w:r>
      <w:r w:rsidRPr="002F3D0A">
        <w:rPr>
          <w:rFonts w:ascii="Times New Roman" w:hAnsi="Times New Roman" w:cs="Times New Roman"/>
          <w:color w:val="000000" w:themeColor="text1"/>
          <w:sz w:val="28"/>
          <w:szCs w:val="28"/>
          <w:lang w:val="es-ES"/>
        </w:rPr>
        <w:t>para que rindiera el concepto correspondiente</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fijó</w:t>
      </w:r>
      <w:r w:rsidRPr="002F3D0A">
        <w:rPr>
          <w:rFonts w:ascii="Times New Roman" w:hAnsi="Times New Roman" w:cs="Times New Roman"/>
          <w:color w:val="000000" w:themeColor="text1"/>
          <w:sz w:val="28"/>
          <w:szCs w:val="28"/>
          <w:lang w:val="es-ES"/>
        </w:rPr>
        <w:t xml:space="preserve"> en lista la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 xml:space="preserve"> norma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 xml:space="preserve"> acusada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 xml:space="preserve"> para garantizar las intervenciones ciudadanas</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y </w:t>
      </w:r>
      <w:r w:rsidRPr="002F3D0A">
        <w:rPr>
          <w:rFonts w:ascii="Times New Roman" w:hAnsi="Times New Roman" w:cs="Times New Roman"/>
          <w:color w:val="000000" w:themeColor="text1"/>
          <w:sz w:val="28"/>
          <w:szCs w:val="28"/>
          <w:lang w:val="es-ES"/>
        </w:rPr>
        <w:t>remitió las invitaciones a</w:t>
      </w:r>
      <w:r w:rsidRPr="002F3D0A">
        <w:rPr>
          <w:rFonts w:ascii="Times New Roman" w:hAnsi="Times New Roman" w:cs="Times New Roman"/>
          <w:color w:val="000000" w:themeColor="text1"/>
          <w:sz w:val="28"/>
          <w:szCs w:val="28"/>
          <w:lang w:val="es-ES"/>
        </w:rPr>
        <w:t xml:space="preserve"> varias instituciones estatales y académicas para defender o atac</w:t>
      </w:r>
      <w:r w:rsidRPr="002F3D0A">
        <w:rPr>
          <w:rFonts w:ascii="Times New Roman" w:hAnsi="Times New Roman" w:cs="Times New Roman"/>
          <w:color w:val="000000" w:themeColor="text1"/>
          <w:sz w:val="28"/>
          <w:szCs w:val="28"/>
          <w:lang w:val="es-ES"/>
        </w:rPr>
        <w:t>ar la constitucionalidad de la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 xml:space="preserve"> disposici</w:t>
      </w:r>
      <w:r w:rsidRPr="002F3D0A">
        <w:rPr>
          <w:rFonts w:ascii="Times New Roman" w:hAnsi="Times New Roman" w:cs="Times New Roman"/>
          <w:color w:val="000000" w:themeColor="text1"/>
          <w:sz w:val="28"/>
          <w:szCs w:val="28"/>
          <w:lang w:val="es-ES"/>
        </w:rPr>
        <w:t>ones</w:t>
      </w:r>
      <w:r w:rsidRPr="002F3D0A">
        <w:rPr>
          <w:rFonts w:ascii="Times New Roman" w:hAnsi="Times New Roman" w:cs="Times New Roman"/>
          <w:color w:val="000000" w:themeColor="text1"/>
          <w:sz w:val="28"/>
          <w:szCs w:val="28"/>
          <w:lang w:val="es-ES"/>
        </w:rPr>
        <w:t xml:space="preserve"> demandada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w:t>
      </w:r>
    </w:p>
    <w:p w:rsidR="0060390A" w:rsidRPr="002F3D0A" w:rsidRDefault="002F3D0A" w:rsidP="0060390A">
      <w:pPr>
        <w:pStyle w:val="Prrafodelista"/>
        <w:rPr>
          <w:rFonts w:ascii="Times New Roman" w:hAnsi="Times New Roman" w:cs="Times New Roman"/>
          <w:color w:val="000000" w:themeColor="text1"/>
          <w:sz w:val="28"/>
          <w:szCs w:val="28"/>
          <w:lang w:val="es-ES"/>
        </w:rPr>
      </w:pPr>
    </w:p>
    <w:p w:rsidR="0060390A" w:rsidRPr="002F3D0A" w:rsidRDefault="002F3D0A" w:rsidP="0060390A">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Una vez cumplidos los trámites previstos en el artículo 242 de la Constitución y en el Decreto Ley 2067 de 1991, la Corte procede a resolver sobr</w:t>
      </w:r>
      <w:r w:rsidRPr="002F3D0A">
        <w:rPr>
          <w:rFonts w:ascii="Times New Roman" w:hAnsi="Times New Roman" w:cs="Times New Roman"/>
          <w:color w:val="000000" w:themeColor="text1"/>
          <w:sz w:val="28"/>
          <w:szCs w:val="28"/>
          <w:lang w:val="es-ES"/>
        </w:rPr>
        <w:t>e los cargos admitidos en relación con el expediente</w:t>
      </w:r>
      <w:r w:rsidRPr="002F3D0A">
        <w:rPr>
          <w:rFonts w:ascii="Times New Roman" w:hAnsi="Times New Roman" w:cs="Times New Roman"/>
          <w:color w:val="000000" w:themeColor="text1"/>
          <w:sz w:val="28"/>
          <w:szCs w:val="28"/>
          <w:lang w:val="es-ES"/>
        </w:rPr>
        <w:t xml:space="preserve"> D-15</w:t>
      </w:r>
      <w:r w:rsidRPr="002F3D0A">
        <w:rPr>
          <w:rFonts w:ascii="Times New Roman" w:hAnsi="Times New Roman" w:cs="Times New Roman"/>
          <w:color w:val="000000" w:themeColor="text1"/>
          <w:sz w:val="28"/>
          <w:szCs w:val="28"/>
          <w:lang w:val="es-ES"/>
        </w:rPr>
        <w:t>564</w:t>
      </w:r>
      <w:r w:rsidRPr="002F3D0A">
        <w:rPr>
          <w:rFonts w:ascii="Times New Roman" w:hAnsi="Times New Roman" w:cs="Times New Roman"/>
          <w:color w:val="000000" w:themeColor="text1"/>
          <w:sz w:val="28"/>
          <w:szCs w:val="28"/>
          <w:lang w:val="es-ES"/>
        </w:rPr>
        <w:t>.</w:t>
      </w:r>
    </w:p>
    <w:p w:rsidR="008B4750" w:rsidRPr="002F3D0A" w:rsidRDefault="002F3D0A" w:rsidP="008B4750">
      <w:pPr>
        <w:pStyle w:val="Prrafodelista"/>
        <w:ind w:left="0"/>
        <w:rPr>
          <w:rFonts w:ascii="Times New Roman" w:hAnsi="Times New Roman" w:cs="Times New Roman"/>
          <w:color w:val="000000" w:themeColor="text1"/>
          <w:sz w:val="28"/>
          <w:szCs w:val="28"/>
          <w:lang w:val="es-ES"/>
        </w:rPr>
      </w:pPr>
    </w:p>
    <w:p w:rsidR="00852E35" w:rsidRPr="002F3D0A" w:rsidRDefault="002F3D0A" w:rsidP="00852E35">
      <w:pPr>
        <w:contextualSpacing/>
        <w:rPr>
          <w:rFonts w:ascii="Times New Roman" w:eastAsia="Calibri" w:hAnsi="Times New Roman" w:cs="Times New Roman"/>
          <w:b/>
          <w:bCs/>
          <w:color w:val="000000" w:themeColor="text1"/>
          <w:sz w:val="28"/>
          <w:szCs w:val="28"/>
          <w:u w:color="000000"/>
          <w:lang w:val="es-ES"/>
        </w:rPr>
      </w:pPr>
      <w:r w:rsidRPr="002F3D0A">
        <w:rPr>
          <w:rFonts w:ascii="Times New Roman" w:eastAsia="Calibri" w:hAnsi="Times New Roman" w:cs="Times New Roman"/>
          <w:b/>
          <w:bCs/>
          <w:color w:val="000000" w:themeColor="text1"/>
          <w:sz w:val="28"/>
          <w:szCs w:val="28"/>
          <w:u w:color="000000"/>
          <w:lang w:val="es-ES"/>
        </w:rPr>
        <w:t>II. TEXTO DE LA NORMA DEMANDADA</w:t>
      </w:r>
    </w:p>
    <w:p w:rsidR="00852E35" w:rsidRPr="002F3D0A" w:rsidRDefault="002F3D0A" w:rsidP="00852E35">
      <w:pPr>
        <w:pStyle w:val="Prrafodelista"/>
        <w:ind w:left="0"/>
        <w:rPr>
          <w:rFonts w:ascii="Times New Roman" w:eastAsia="Calibri" w:hAnsi="Times New Roman" w:cs="Times New Roman"/>
          <w:bCs/>
          <w:color w:val="000000" w:themeColor="text1"/>
          <w:sz w:val="28"/>
          <w:szCs w:val="28"/>
          <w:u w:color="000000"/>
          <w:lang w:val="es-ES"/>
        </w:rPr>
      </w:pPr>
    </w:p>
    <w:p w:rsidR="00852E35" w:rsidRPr="002F3D0A" w:rsidRDefault="002F3D0A" w:rsidP="00852E35">
      <w:pPr>
        <w:pStyle w:val="Prrafodelista"/>
        <w:numPr>
          <w:ilvl w:val="0"/>
          <w:numId w:val="1"/>
        </w:numPr>
        <w:ind w:left="0" w:firstLine="0"/>
        <w:rPr>
          <w:rFonts w:ascii="Times New Roman" w:eastAsia="Calibri" w:hAnsi="Times New Roman" w:cs="Times New Roman"/>
          <w:bCs/>
          <w:color w:val="000000" w:themeColor="text1"/>
          <w:sz w:val="28"/>
          <w:szCs w:val="28"/>
          <w:u w:color="000000"/>
          <w:lang w:val="es-ES"/>
        </w:rPr>
      </w:pPr>
      <w:r w:rsidRPr="002F3D0A">
        <w:rPr>
          <w:rFonts w:ascii="Times New Roman" w:eastAsia="Calibri" w:hAnsi="Times New Roman" w:cs="Times New Roman"/>
          <w:bCs/>
          <w:color w:val="000000" w:themeColor="text1"/>
          <w:sz w:val="28"/>
          <w:szCs w:val="28"/>
          <w:u w:color="000000"/>
          <w:lang w:val="es-ES"/>
        </w:rPr>
        <w:t>A continuación, se transcribe</w:t>
      </w:r>
      <w:r w:rsidRPr="002F3D0A">
        <w:rPr>
          <w:rFonts w:ascii="Times New Roman" w:eastAsia="Calibri" w:hAnsi="Times New Roman" w:cs="Times New Roman"/>
          <w:bCs/>
          <w:color w:val="000000" w:themeColor="text1"/>
          <w:sz w:val="28"/>
          <w:szCs w:val="28"/>
          <w:u w:color="000000"/>
          <w:lang w:val="es-ES"/>
        </w:rPr>
        <w:t>n</w:t>
      </w:r>
      <w:r w:rsidRPr="002F3D0A">
        <w:rPr>
          <w:rFonts w:ascii="Times New Roman" w:eastAsia="Calibri" w:hAnsi="Times New Roman" w:cs="Times New Roman"/>
          <w:bCs/>
          <w:color w:val="000000" w:themeColor="text1"/>
          <w:sz w:val="28"/>
          <w:szCs w:val="28"/>
          <w:u w:color="000000"/>
          <w:lang w:val="es-ES"/>
        </w:rPr>
        <w:t xml:space="preserve"> </w:t>
      </w:r>
      <w:r w:rsidRPr="002F3D0A">
        <w:rPr>
          <w:rFonts w:ascii="Times New Roman" w:eastAsia="Calibri" w:hAnsi="Times New Roman" w:cs="Times New Roman"/>
          <w:bCs/>
          <w:color w:val="000000" w:themeColor="text1"/>
          <w:sz w:val="28"/>
          <w:szCs w:val="28"/>
          <w:u w:color="000000"/>
          <w:lang w:val="es-ES"/>
        </w:rPr>
        <w:t>las normas demandadas</w:t>
      </w:r>
      <w:r w:rsidRPr="002F3D0A">
        <w:rPr>
          <w:rFonts w:ascii="Times New Roman" w:eastAsia="Calibri" w:hAnsi="Times New Roman" w:cs="Times New Roman"/>
          <w:bCs/>
          <w:color w:val="000000" w:themeColor="text1"/>
          <w:sz w:val="28"/>
          <w:szCs w:val="28"/>
          <w:u w:color="000000"/>
          <w:lang w:val="es-ES"/>
        </w:rPr>
        <w:t xml:space="preserve"> que corresponden a </w:t>
      </w:r>
      <w:r w:rsidRPr="002F3D0A">
        <w:rPr>
          <w:rFonts w:ascii="Times New Roman" w:eastAsia="Calibri" w:hAnsi="Times New Roman" w:cs="Times New Roman"/>
          <w:b/>
          <w:bCs/>
          <w:color w:val="000000" w:themeColor="text1"/>
          <w:sz w:val="28"/>
          <w:szCs w:val="28"/>
          <w:u w:color="000000"/>
          <w:lang w:val="es-ES"/>
        </w:rPr>
        <w:t>los cargos admitidos</w:t>
      </w:r>
      <w:r w:rsidRPr="002F3D0A">
        <w:rPr>
          <w:rFonts w:ascii="Times New Roman" w:eastAsia="Calibri" w:hAnsi="Times New Roman" w:cs="Times New Roman"/>
          <w:bCs/>
          <w:color w:val="000000" w:themeColor="text1"/>
          <w:sz w:val="28"/>
          <w:szCs w:val="28"/>
          <w:u w:color="000000"/>
          <w:lang w:val="es-ES"/>
        </w:rPr>
        <w:t xml:space="preserve"> y se subrayan los apartes acusados</w:t>
      </w:r>
      <w:r w:rsidRPr="002F3D0A">
        <w:rPr>
          <w:rFonts w:ascii="Times New Roman" w:eastAsia="Calibri" w:hAnsi="Times New Roman" w:cs="Times New Roman"/>
          <w:bCs/>
          <w:color w:val="000000" w:themeColor="text1"/>
          <w:sz w:val="28"/>
          <w:szCs w:val="28"/>
          <w:u w:color="000000"/>
          <w:lang w:val="es-ES"/>
        </w:rPr>
        <w:t>:</w:t>
      </w:r>
    </w:p>
    <w:p w:rsidR="00852E35" w:rsidRPr="002F3D0A" w:rsidRDefault="002F3D0A" w:rsidP="00852E35">
      <w:pPr>
        <w:pStyle w:val="Sinespaciado"/>
        <w:rPr>
          <w:rFonts w:ascii="Times New Roman" w:hAnsi="Times New Roman"/>
          <w:sz w:val="28"/>
        </w:rPr>
      </w:pPr>
    </w:p>
    <w:p w:rsidR="00E121C2" w:rsidRPr="002F3D0A" w:rsidRDefault="002F3D0A" w:rsidP="00C470F0">
      <w:pPr>
        <w:pStyle w:val="centrado"/>
        <w:contextualSpacing/>
        <w:jc w:val="center"/>
        <w:rPr>
          <w:b/>
          <w:bCs/>
          <w:color w:val="000000" w:themeColor="text1"/>
          <w:sz w:val="28"/>
        </w:rPr>
      </w:pPr>
    </w:p>
    <w:p w:rsidR="00C470F0" w:rsidRPr="002F3D0A" w:rsidRDefault="002F3D0A" w:rsidP="00C470F0">
      <w:pPr>
        <w:pStyle w:val="centrado"/>
        <w:contextualSpacing/>
        <w:jc w:val="center"/>
        <w:rPr>
          <w:rStyle w:val="baj"/>
          <w:b/>
          <w:bCs/>
          <w:color w:val="000000" w:themeColor="text1"/>
          <w:sz w:val="28"/>
        </w:rPr>
      </w:pPr>
      <w:r w:rsidRPr="002F3D0A">
        <w:rPr>
          <w:b/>
          <w:bCs/>
          <w:color w:val="000000" w:themeColor="text1"/>
          <w:sz w:val="28"/>
        </w:rPr>
        <w:t>“</w:t>
      </w:r>
      <w:bookmarkStart w:id="6" w:name="61"/>
      <w:r w:rsidRPr="002F3D0A">
        <w:rPr>
          <w:rStyle w:val="baj"/>
          <w:b/>
          <w:bCs/>
          <w:color w:val="000000" w:themeColor="text1"/>
          <w:sz w:val="28"/>
        </w:rPr>
        <w:t>LEY 2277 DE 2022</w:t>
      </w:r>
    </w:p>
    <w:p w:rsidR="00C470F0" w:rsidRPr="002F3D0A" w:rsidRDefault="002F3D0A" w:rsidP="00C470F0">
      <w:pPr>
        <w:pStyle w:val="centrado"/>
        <w:contextualSpacing/>
        <w:jc w:val="center"/>
        <w:rPr>
          <w:color w:val="000000" w:themeColor="text1"/>
          <w:sz w:val="28"/>
        </w:rPr>
      </w:pPr>
    </w:p>
    <w:p w:rsidR="00C470F0" w:rsidRPr="002F3D0A" w:rsidRDefault="002F3D0A" w:rsidP="00C470F0">
      <w:pPr>
        <w:pStyle w:val="centrado"/>
        <w:contextualSpacing/>
        <w:jc w:val="center"/>
        <w:rPr>
          <w:color w:val="000000" w:themeColor="text1"/>
          <w:sz w:val="28"/>
        </w:rPr>
      </w:pPr>
      <w:r w:rsidRPr="002F3D0A">
        <w:rPr>
          <w:color w:val="000000" w:themeColor="text1"/>
          <w:sz w:val="28"/>
        </w:rPr>
        <w:t>(diciembre 13)</w:t>
      </w:r>
      <w:r w:rsidRPr="002F3D0A">
        <w:rPr>
          <w:rStyle w:val="Refdenotaalpie"/>
          <w:color w:val="000000" w:themeColor="text1"/>
          <w:sz w:val="28"/>
        </w:rPr>
        <w:footnoteReference w:id="4"/>
      </w:r>
    </w:p>
    <w:p w:rsidR="00C470F0" w:rsidRPr="002F3D0A" w:rsidRDefault="002F3D0A" w:rsidP="00C470F0">
      <w:pPr>
        <w:pStyle w:val="centrado"/>
        <w:contextualSpacing/>
        <w:jc w:val="center"/>
        <w:rPr>
          <w:color w:val="000000" w:themeColor="text1"/>
          <w:sz w:val="28"/>
        </w:rPr>
      </w:pPr>
    </w:p>
    <w:p w:rsidR="00C470F0" w:rsidRPr="002F3D0A" w:rsidRDefault="002F3D0A" w:rsidP="00C470F0">
      <w:pPr>
        <w:pStyle w:val="centrado"/>
        <w:contextualSpacing/>
        <w:jc w:val="center"/>
        <w:rPr>
          <w:rStyle w:val="baj"/>
          <w:b/>
          <w:bCs/>
          <w:color w:val="000000" w:themeColor="text1"/>
          <w:sz w:val="28"/>
        </w:rPr>
      </w:pPr>
      <w:r w:rsidRPr="002F3D0A">
        <w:rPr>
          <w:rStyle w:val="baj"/>
          <w:b/>
          <w:bCs/>
          <w:color w:val="000000" w:themeColor="text1"/>
          <w:sz w:val="28"/>
        </w:rPr>
        <w:t>PODER PÚBLICO – RAMA LEGISLATIVA</w:t>
      </w:r>
    </w:p>
    <w:p w:rsidR="00C470F0" w:rsidRPr="002F3D0A" w:rsidRDefault="002F3D0A" w:rsidP="00C470F0">
      <w:pPr>
        <w:pStyle w:val="centrado"/>
        <w:contextualSpacing/>
        <w:jc w:val="center"/>
        <w:rPr>
          <w:color w:val="000000" w:themeColor="text1"/>
          <w:sz w:val="28"/>
        </w:rPr>
      </w:pPr>
    </w:p>
    <w:p w:rsidR="00C470F0" w:rsidRPr="002F3D0A" w:rsidRDefault="002F3D0A" w:rsidP="00C470F0">
      <w:pPr>
        <w:pStyle w:val="centrado"/>
        <w:contextualSpacing/>
        <w:jc w:val="center"/>
        <w:rPr>
          <w:color w:val="000000" w:themeColor="text1"/>
          <w:sz w:val="28"/>
        </w:rPr>
      </w:pPr>
      <w:r w:rsidRPr="002F3D0A">
        <w:rPr>
          <w:color w:val="000000" w:themeColor="text1"/>
          <w:sz w:val="28"/>
        </w:rPr>
        <w:t xml:space="preserve">Por medio </w:t>
      </w:r>
      <w:r w:rsidRPr="002F3D0A">
        <w:rPr>
          <w:color w:val="000000" w:themeColor="text1"/>
          <w:sz w:val="28"/>
        </w:rPr>
        <w:t>de la cual se adopta una reforma tributaria para la igualdad y la justicia social y se dictan otras disposiciones.</w:t>
      </w:r>
    </w:p>
    <w:p w:rsidR="00C470F0" w:rsidRPr="002F3D0A" w:rsidRDefault="002F3D0A" w:rsidP="00C470F0">
      <w:pPr>
        <w:pStyle w:val="centrado"/>
        <w:contextualSpacing/>
        <w:jc w:val="center"/>
        <w:rPr>
          <w:color w:val="000000" w:themeColor="text1"/>
          <w:sz w:val="28"/>
        </w:rPr>
      </w:pPr>
    </w:p>
    <w:p w:rsidR="00C470F0" w:rsidRPr="002F3D0A" w:rsidRDefault="002F3D0A" w:rsidP="00C470F0">
      <w:pPr>
        <w:pStyle w:val="centrado"/>
        <w:contextualSpacing/>
        <w:jc w:val="center"/>
        <w:rPr>
          <w:rStyle w:val="baj"/>
          <w:b/>
          <w:bCs/>
          <w:color w:val="000000" w:themeColor="text1"/>
          <w:sz w:val="28"/>
        </w:rPr>
      </w:pPr>
      <w:r w:rsidRPr="002F3D0A">
        <w:rPr>
          <w:rStyle w:val="baj"/>
          <w:b/>
          <w:bCs/>
          <w:color w:val="000000" w:themeColor="text1"/>
          <w:sz w:val="28"/>
        </w:rPr>
        <w:t xml:space="preserve"> EL CONGRESO DE COLOMBIA</w:t>
      </w:r>
    </w:p>
    <w:p w:rsidR="00C470F0" w:rsidRPr="002F3D0A" w:rsidRDefault="002F3D0A" w:rsidP="00C470F0">
      <w:pPr>
        <w:pStyle w:val="centrado"/>
        <w:contextualSpacing/>
        <w:jc w:val="center"/>
        <w:rPr>
          <w:color w:val="000000" w:themeColor="text1"/>
          <w:sz w:val="28"/>
        </w:rPr>
      </w:pPr>
    </w:p>
    <w:p w:rsidR="00C470F0" w:rsidRPr="002F3D0A" w:rsidRDefault="002F3D0A" w:rsidP="00C470F0">
      <w:pPr>
        <w:pStyle w:val="centrado"/>
        <w:contextualSpacing/>
        <w:jc w:val="center"/>
        <w:rPr>
          <w:color w:val="000000" w:themeColor="text1"/>
          <w:sz w:val="28"/>
        </w:rPr>
      </w:pPr>
      <w:r w:rsidRPr="002F3D0A">
        <w:rPr>
          <w:rStyle w:val="baj"/>
          <w:b/>
          <w:bCs/>
          <w:color w:val="000000" w:themeColor="text1"/>
          <w:sz w:val="28"/>
        </w:rPr>
        <w:t>DECRETA:</w:t>
      </w:r>
    </w:p>
    <w:p w:rsidR="00C470F0" w:rsidRPr="002F3D0A" w:rsidRDefault="002F3D0A" w:rsidP="00C470F0">
      <w:pPr>
        <w:pStyle w:val="NormalWeb"/>
        <w:contextualSpacing/>
        <w:rPr>
          <w:color w:val="000000" w:themeColor="text1"/>
          <w:sz w:val="28"/>
        </w:rPr>
      </w:pPr>
      <w:bookmarkStart w:id="7" w:name="35"/>
      <w:r w:rsidRPr="002F3D0A">
        <w:rPr>
          <w:b/>
          <w:bCs/>
          <w:color w:val="000000" w:themeColor="text1"/>
          <w:sz w:val="28"/>
        </w:rPr>
        <w:t>ARTÍCULO 35.</w:t>
      </w:r>
      <w:bookmarkEnd w:id="7"/>
      <w:r w:rsidRPr="002F3D0A">
        <w:rPr>
          <w:color w:val="000000" w:themeColor="text1"/>
          <w:sz w:val="28"/>
        </w:rPr>
        <w:t xml:space="preserve"> </w:t>
      </w:r>
      <w:r w:rsidRPr="002F3D0A">
        <w:rPr>
          <w:color w:val="000000" w:themeColor="text1"/>
          <w:sz w:val="28"/>
        </w:rPr>
        <w:t>Adiciónese el Artículo</w:t>
      </w:r>
      <w:r w:rsidRPr="002F3D0A">
        <w:rPr>
          <w:color w:val="000000" w:themeColor="text1"/>
          <w:sz w:val="28"/>
        </w:rPr>
        <w:t xml:space="preserve"> </w:t>
      </w:r>
      <w:hyperlink r:id="rId8" w:anchor="292-3" w:history="1">
        <w:r w:rsidRPr="002F3D0A">
          <w:rPr>
            <w:rStyle w:val="Hipervnculo"/>
            <w:color w:val="000000" w:themeColor="text1"/>
            <w:sz w:val="28"/>
          </w:rPr>
          <w:t>292-3</w:t>
        </w:r>
      </w:hyperlink>
      <w:r w:rsidRPr="002F3D0A">
        <w:rPr>
          <w:rStyle w:val="Hipervnculo"/>
          <w:color w:val="000000" w:themeColor="text1"/>
          <w:sz w:val="28"/>
        </w:rPr>
        <w:t xml:space="preserve"> </w:t>
      </w:r>
      <w:r w:rsidRPr="002F3D0A">
        <w:rPr>
          <w:color w:val="000000" w:themeColor="text1"/>
          <w:sz w:val="28"/>
        </w:rPr>
        <w:t>al Estatuto Tributario, así:</w:t>
      </w:r>
    </w:p>
    <w:p w:rsidR="00C470F0"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rStyle w:val="baj"/>
          <w:b/>
          <w:bCs/>
          <w:color w:val="000000" w:themeColor="text1"/>
          <w:sz w:val="28"/>
        </w:rPr>
        <w:t>Artículo</w:t>
      </w:r>
      <w:r w:rsidRPr="002F3D0A">
        <w:rPr>
          <w:rStyle w:val="baj"/>
          <w:b/>
          <w:bCs/>
          <w:color w:val="000000" w:themeColor="text1"/>
          <w:sz w:val="28"/>
        </w:rPr>
        <w:t xml:space="preserve"> </w:t>
      </w:r>
      <w:hyperlink r:id="rId9" w:anchor="292-3" w:history="1">
        <w:r w:rsidRPr="002F3D0A">
          <w:rPr>
            <w:rStyle w:val="Hipervnculo"/>
            <w:b/>
            <w:bCs/>
            <w:color w:val="000000" w:themeColor="text1"/>
            <w:sz w:val="28"/>
          </w:rPr>
          <w:t>292-3</w:t>
        </w:r>
      </w:hyperlink>
      <w:r w:rsidRPr="002F3D0A">
        <w:rPr>
          <w:rStyle w:val="baj"/>
          <w:b/>
          <w:bCs/>
          <w:color w:val="000000" w:themeColor="text1"/>
          <w:sz w:val="28"/>
        </w:rPr>
        <w:t>. Im</w:t>
      </w:r>
      <w:r w:rsidRPr="002F3D0A">
        <w:rPr>
          <w:rStyle w:val="baj"/>
          <w:b/>
          <w:bCs/>
          <w:color w:val="000000" w:themeColor="text1"/>
          <w:sz w:val="28"/>
        </w:rPr>
        <w:t>puesto al patrimonio - sujetos pasivos.</w:t>
      </w:r>
      <w:r w:rsidRPr="002F3D0A">
        <w:rPr>
          <w:rStyle w:val="baj"/>
          <w:b/>
          <w:bCs/>
          <w:color w:val="000000" w:themeColor="text1"/>
          <w:sz w:val="28"/>
        </w:rPr>
        <w:t xml:space="preserve"> </w:t>
      </w:r>
      <w:r w:rsidRPr="002F3D0A">
        <w:rPr>
          <w:color w:val="000000" w:themeColor="text1"/>
          <w:sz w:val="28"/>
        </w:rPr>
        <w:t>Créase un impuesto denominado impuesto al patrimonio. Están sometidos al impuesto:</w:t>
      </w:r>
    </w:p>
    <w:p w:rsidR="00C470F0"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color w:val="000000" w:themeColor="text1"/>
          <w:sz w:val="28"/>
        </w:rPr>
        <w:t>1. Las personas naturales y las sucesiones ilíquidas, contribuyentes del impuesto sobre la renta y complementarios o de regímenes su</w:t>
      </w:r>
      <w:r w:rsidRPr="002F3D0A">
        <w:rPr>
          <w:color w:val="000000" w:themeColor="text1"/>
          <w:sz w:val="28"/>
        </w:rPr>
        <w:t>stitutivos del impuesto sobre la renta.</w:t>
      </w:r>
    </w:p>
    <w:p w:rsidR="00C470F0"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color w:val="000000" w:themeColor="text1"/>
          <w:sz w:val="28"/>
        </w:rPr>
        <w:t xml:space="preserve">2. Las personas naturales, nacionales o extranjeras, que no tengan residencia en el país, respecto de su patrimonio poseído directamente en el país, salvo las excepciones previstas en los tratados internacionales y </w:t>
      </w:r>
      <w:r w:rsidRPr="002F3D0A">
        <w:rPr>
          <w:color w:val="000000" w:themeColor="text1"/>
          <w:sz w:val="28"/>
        </w:rPr>
        <w:t>en el derecho interno.</w:t>
      </w:r>
    </w:p>
    <w:p w:rsidR="002940D4"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color w:val="000000" w:themeColor="text1"/>
          <w:sz w:val="28"/>
        </w:rPr>
        <w:t xml:space="preserve">3. Las personas naturales, nacionales o extranjeras, que no tengan residencia en el país, respecto de su patrimonio poseído indirectamente a través de establecimientos permanentes, en el país, salvo las excepciones previstas en los </w:t>
      </w:r>
      <w:r w:rsidRPr="002F3D0A">
        <w:rPr>
          <w:color w:val="000000" w:themeColor="text1"/>
          <w:sz w:val="28"/>
        </w:rPr>
        <w:t>tratados internacionales y en el derecho interno.</w:t>
      </w:r>
    </w:p>
    <w:p w:rsidR="002940D4"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color w:val="000000" w:themeColor="text1"/>
          <w:sz w:val="28"/>
        </w:rPr>
        <w:t>4. Las sucesiones ilíquidas de causantes sin residencia en el país al momento de su muerte respecto de su patrimonio poseído en el país.</w:t>
      </w:r>
    </w:p>
    <w:p w:rsidR="002940D4" w:rsidRPr="002F3D0A" w:rsidRDefault="002F3D0A" w:rsidP="00C470F0">
      <w:pPr>
        <w:pStyle w:val="NormalWeb"/>
        <w:contextualSpacing/>
        <w:rPr>
          <w:color w:val="000000" w:themeColor="text1"/>
          <w:sz w:val="28"/>
          <w:u w:val="single"/>
        </w:rPr>
      </w:pPr>
    </w:p>
    <w:p w:rsidR="00C470F0" w:rsidRPr="002F3D0A" w:rsidRDefault="002F3D0A" w:rsidP="00C470F0">
      <w:pPr>
        <w:pStyle w:val="NormalWeb"/>
        <w:contextualSpacing/>
        <w:rPr>
          <w:color w:val="000000" w:themeColor="text1"/>
          <w:sz w:val="28"/>
          <w:u w:val="single"/>
        </w:rPr>
      </w:pPr>
      <w:r w:rsidRPr="002F3D0A">
        <w:rPr>
          <w:color w:val="000000" w:themeColor="text1"/>
          <w:sz w:val="28"/>
          <w:u w:val="single"/>
        </w:rPr>
        <w:t>5</w:t>
      </w:r>
      <w:bookmarkStart w:id="8" w:name="_Hlk171344657"/>
      <w:r w:rsidRPr="002F3D0A">
        <w:rPr>
          <w:color w:val="000000" w:themeColor="text1"/>
          <w:sz w:val="28"/>
          <w:u w:val="single"/>
        </w:rPr>
        <w:t xml:space="preserve">. </w:t>
      </w:r>
      <w:bookmarkStart w:id="9" w:name="_Hlk173324788"/>
      <w:r w:rsidRPr="002F3D0A">
        <w:rPr>
          <w:color w:val="000000" w:themeColor="text1"/>
          <w:sz w:val="28"/>
          <w:u w:val="single"/>
        </w:rPr>
        <w:t>Las sociedades o entidades extranjeras que no sean declarantes d</w:t>
      </w:r>
      <w:r w:rsidRPr="002F3D0A">
        <w:rPr>
          <w:color w:val="000000" w:themeColor="text1"/>
          <w:sz w:val="28"/>
          <w:u w:val="single"/>
        </w:rPr>
        <w:t xml:space="preserve">el impuesto sobre la renta en el país, y que posean bienes ubicados en Colombia diferentes a </w:t>
      </w:r>
      <w:bookmarkStart w:id="10" w:name="_Hlk171085045"/>
      <w:r w:rsidRPr="002F3D0A">
        <w:rPr>
          <w:color w:val="000000" w:themeColor="text1"/>
          <w:sz w:val="28"/>
          <w:u w:val="single"/>
        </w:rPr>
        <w:t>acciones, cuentas por cobrar y/o inversiones de portafolio</w:t>
      </w:r>
      <w:bookmarkEnd w:id="10"/>
      <w:r w:rsidRPr="002F3D0A">
        <w:rPr>
          <w:color w:val="000000" w:themeColor="text1"/>
          <w:sz w:val="28"/>
          <w:u w:val="single"/>
        </w:rPr>
        <w:t xml:space="preserve"> </w:t>
      </w:r>
      <w:bookmarkEnd w:id="9"/>
      <w:r w:rsidRPr="002F3D0A">
        <w:rPr>
          <w:color w:val="000000" w:themeColor="text1"/>
          <w:sz w:val="28"/>
          <w:u w:val="single"/>
        </w:rPr>
        <w:t>de conformidad con el Artículo 2.17.2.2.1.2 del Decreto 1068 de 2015 y el</w:t>
      </w:r>
      <w:r w:rsidRPr="002F3D0A">
        <w:rPr>
          <w:color w:val="000000" w:themeColor="text1"/>
          <w:sz w:val="28"/>
          <w:u w:val="single"/>
        </w:rPr>
        <w:t xml:space="preserve"> </w:t>
      </w:r>
      <w:hyperlink r:id="rId10" w:anchor="18-1" w:history="1">
        <w:r w:rsidRPr="002F3D0A">
          <w:rPr>
            <w:rStyle w:val="Hipervnculo"/>
            <w:color w:val="000000" w:themeColor="text1"/>
            <w:sz w:val="28"/>
          </w:rPr>
          <w:t>18-1</w:t>
        </w:r>
      </w:hyperlink>
      <w:r w:rsidRPr="002F3D0A">
        <w:rPr>
          <w:color w:val="000000" w:themeColor="text1"/>
          <w:sz w:val="28"/>
          <w:u w:val="single"/>
        </w:rPr>
        <w:t xml:space="preserve"> </w:t>
      </w:r>
      <w:r w:rsidRPr="002F3D0A">
        <w:rPr>
          <w:color w:val="000000" w:themeColor="text1"/>
          <w:sz w:val="28"/>
          <w:u w:val="single"/>
        </w:rPr>
        <w:t>de este Estatuto, como inmuebles, yates, botes, lanchas, obras de arte, aeronaves o derechos mineros o petroleros. No serán sujetos pasivos del impuesto al patrimonio las sociedade</w:t>
      </w:r>
      <w:r w:rsidRPr="002F3D0A">
        <w:rPr>
          <w:color w:val="000000" w:themeColor="text1"/>
          <w:sz w:val="28"/>
          <w:u w:val="single"/>
        </w:rPr>
        <w:t>s o entidades extranjeras, que no sean declarantes del impuesto sobre la renta en el país, y que suscriban contratos de arrendamiento financiero con entidades o personas que sean residentes en Colombia.</w:t>
      </w:r>
      <w:bookmarkEnd w:id="8"/>
    </w:p>
    <w:p w:rsidR="00C470F0" w:rsidRPr="002F3D0A" w:rsidRDefault="002F3D0A" w:rsidP="00C470F0">
      <w:pPr>
        <w:pStyle w:val="NormalWeb"/>
        <w:contextualSpacing/>
        <w:rPr>
          <w:color w:val="000000" w:themeColor="text1"/>
          <w:sz w:val="28"/>
          <w:u w:val="single"/>
        </w:rPr>
      </w:pPr>
    </w:p>
    <w:p w:rsidR="00C470F0" w:rsidRPr="002F3D0A" w:rsidRDefault="002F3D0A" w:rsidP="00C470F0">
      <w:pPr>
        <w:pStyle w:val="NormalWeb"/>
        <w:contextualSpacing/>
        <w:rPr>
          <w:color w:val="000000" w:themeColor="text1"/>
          <w:sz w:val="28"/>
        </w:rPr>
      </w:pPr>
      <w:r w:rsidRPr="002F3D0A">
        <w:rPr>
          <w:rStyle w:val="baj"/>
          <w:b/>
          <w:bCs/>
          <w:color w:val="000000" w:themeColor="text1"/>
          <w:sz w:val="28"/>
        </w:rPr>
        <w:t>PARÁGRAFO 1o.</w:t>
      </w:r>
      <w:r w:rsidRPr="002F3D0A">
        <w:rPr>
          <w:color w:val="000000" w:themeColor="text1"/>
          <w:sz w:val="28"/>
        </w:rPr>
        <w:t xml:space="preserve"> </w:t>
      </w:r>
      <w:r w:rsidRPr="002F3D0A">
        <w:rPr>
          <w:color w:val="000000" w:themeColor="text1"/>
          <w:sz w:val="28"/>
        </w:rPr>
        <w:t>Para que apliquen las exclusiones cons</w:t>
      </w:r>
      <w:r w:rsidRPr="002F3D0A">
        <w:rPr>
          <w:color w:val="000000" w:themeColor="text1"/>
          <w:sz w:val="28"/>
        </w:rPr>
        <w:t xml:space="preserve">agradas en el numeral 5 del presente </w:t>
      </w:r>
      <w:r w:rsidRPr="002F3D0A">
        <w:rPr>
          <w:color w:val="000000" w:themeColor="text1"/>
          <w:sz w:val="28"/>
        </w:rPr>
        <w:t>a</w:t>
      </w:r>
      <w:r w:rsidRPr="002F3D0A">
        <w:rPr>
          <w:color w:val="000000" w:themeColor="text1"/>
          <w:sz w:val="28"/>
        </w:rPr>
        <w:t>rtículo, las acciones, cuentas por cobrar, inversiones de portafolio y contratos de arrendamiento financiero deben cumplir en debida forma con las obligaciones previstas en el régimen cambiario vigente en Colombia.</w:t>
      </w:r>
    </w:p>
    <w:p w:rsidR="002940D4"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rPr>
      </w:pPr>
      <w:r w:rsidRPr="002F3D0A">
        <w:rPr>
          <w:rStyle w:val="baj"/>
          <w:b/>
          <w:bCs/>
          <w:color w:val="000000" w:themeColor="text1"/>
          <w:sz w:val="28"/>
        </w:rPr>
        <w:t>PARÁGRAFO 2o.</w:t>
      </w:r>
      <w:r w:rsidRPr="002F3D0A">
        <w:rPr>
          <w:rStyle w:val="baj"/>
          <w:b/>
          <w:bCs/>
          <w:color w:val="000000" w:themeColor="text1"/>
          <w:sz w:val="28"/>
        </w:rPr>
        <w:t xml:space="preserve"> </w:t>
      </w:r>
      <w:r w:rsidRPr="002F3D0A">
        <w:rPr>
          <w:color w:val="000000" w:themeColor="text1"/>
          <w:sz w:val="28"/>
        </w:rPr>
        <w:t>Para el caso de los contribuyentes del impuesto al patrimonio señalados en el numeral 3 del presente Artículo, el deber formal de declarar estará en cabeza del establecimiento permanente.</w:t>
      </w:r>
    </w:p>
    <w:p w:rsidR="00C470F0" w:rsidRPr="002F3D0A" w:rsidRDefault="002F3D0A" w:rsidP="00C470F0">
      <w:pPr>
        <w:pStyle w:val="NormalWeb"/>
        <w:contextualSpacing/>
        <w:rPr>
          <w:b/>
          <w:bCs/>
          <w:color w:val="000000" w:themeColor="text1"/>
          <w:sz w:val="28"/>
        </w:rPr>
      </w:pPr>
      <w:bookmarkStart w:id="11" w:name="36"/>
    </w:p>
    <w:p w:rsidR="00C470F0" w:rsidRPr="002F3D0A" w:rsidRDefault="002F3D0A" w:rsidP="00C470F0">
      <w:pPr>
        <w:pStyle w:val="NormalWeb"/>
        <w:contextualSpacing/>
        <w:rPr>
          <w:color w:val="000000" w:themeColor="text1"/>
          <w:sz w:val="28"/>
        </w:rPr>
      </w:pPr>
      <w:r w:rsidRPr="002F3D0A">
        <w:rPr>
          <w:b/>
          <w:bCs/>
          <w:color w:val="000000" w:themeColor="text1"/>
          <w:sz w:val="28"/>
        </w:rPr>
        <w:t>ARTÍCULO 36.</w:t>
      </w:r>
      <w:bookmarkEnd w:id="11"/>
      <w:r w:rsidRPr="002F3D0A">
        <w:rPr>
          <w:color w:val="000000" w:themeColor="text1"/>
          <w:sz w:val="28"/>
        </w:rPr>
        <w:t> Adiciónese el Artículo</w:t>
      </w:r>
      <w:r w:rsidRPr="002F3D0A">
        <w:rPr>
          <w:color w:val="000000" w:themeColor="text1"/>
          <w:sz w:val="28"/>
        </w:rPr>
        <w:t xml:space="preserve"> </w:t>
      </w:r>
      <w:hyperlink r:id="rId11" w:anchor="294-3" w:history="1">
        <w:r w:rsidRPr="002F3D0A">
          <w:rPr>
            <w:rStyle w:val="Hipervnculo"/>
            <w:color w:val="000000" w:themeColor="text1"/>
            <w:sz w:val="28"/>
          </w:rPr>
          <w:t>294-3</w:t>
        </w:r>
      </w:hyperlink>
      <w:r w:rsidRPr="002F3D0A">
        <w:rPr>
          <w:color w:val="000000" w:themeColor="text1"/>
          <w:sz w:val="28"/>
        </w:rPr>
        <w:t xml:space="preserve"> </w:t>
      </w:r>
      <w:r w:rsidRPr="002F3D0A">
        <w:rPr>
          <w:color w:val="000000" w:themeColor="text1"/>
          <w:sz w:val="28"/>
        </w:rPr>
        <w:t>al Estatuto Tributario, así:</w:t>
      </w:r>
    </w:p>
    <w:p w:rsidR="00C470F0" w:rsidRPr="002F3D0A" w:rsidRDefault="002F3D0A" w:rsidP="00C470F0">
      <w:pPr>
        <w:pStyle w:val="NormalWeb"/>
        <w:contextualSpacing/>
        <w:rPr>
          <w:color w:val="000000" w:themeColor="text1"/>
          <w:sz w:val="28"/>
        </w:rPr>
      </w:pPr>
    </w:p>
    <w:p w:rsidR="00E121C2" w:rsidRPr="002F3D0A" w:rsidRDefault="002F3D0A" w:rsidP="00C470F0">
      <w:pPr>
        <w:pStyle w:val="NormalWeb"/>
        <w:contextualSpacing/>
        <w:rPr>
          <w:color w:val="000000" w:themeColor="text1"/>
          <w:sz w:val="28"/>
          <w:u w:val="single"/>
        </w:rPr>
      </w:pPr>
      <w:r w:rsidRPr="002F3D0A">
        <w:rPr>
          <w:rStyle w:val="baj"/>
          <w:b/>
          <w:bCs/>
          <w:color w:val="000000" w:themeColor="text1"/>
          <w:sz w:val="28"/>
          <w:u w:val="single"/>
        </w:rPr>
        <w:t>Artículo</w:t>
      </w:r>
      <w:r w:rsidRPr="002F3D0A">
        <w:rPr>
          <w:rStyle w:val="baj"/>
          <w:b/>
          <w:bCs/>
          <w:color w:val="000000" w:themeColor="text1"/>
          <w:sz w:val="28"/>
          <w:u w:val="single"/>
        </w:rPr>
        <w:t xml:space="preserve"> </w:t>
      </w:r>
      <w:hyperlink r:id="rId12" w:anchor="294-3" w:history="1">
        <w:r w:rsidRPr="002F3D0A">
          <w:rPr>
            <w:rStyle w:val="Hipervnculo"/>
            <w:b/>
            <w:bCs/>
            <w:color w:val="000000" w:themeColor="text1"/>
            <w:sz w:val="28"/>
          </w:rPr>
          <w:t>294-3</w:t>
        </w:r>
      </w:hyperlink>
      <w:r w:rsidRPr="002F3D0A">
        <w:rPr>
          <w:rStyle w:val="baj"/>
          <w:b/>
          <w:bCs/>
          <w:color w:val="000000" w:themeColor="text1"/>
          <w:sz w:val="28"/>
          <w:u w:val="single"/>
        </w:rPr>
        <w:t>. Hecho generador</w:t>
      </w:r>
      <w:r w:rsidRPr="002F3D0A">
        <w:rPr>
          <w:color w:val="000000" w:themeColor="text1"/>
          <w:sz w:val="28"/>
          <w:u w:val="single"/>
        </w:rPr>
        <w:t xml:space="preserve">. El impuesto al patrimonio se genera por la posesión del mismo al primero (1) de enero de cada año, cuyo valor sea igual o superior a setenta y dos mil (72.000) UVT. </w:t>
      </w:r>
    </w:p>
    <w:p w:rsidR="00C470F0" w:rsidRPr="002F3D0A" w:rsidRDefault="002F3D0A" w:rsidP="00C470F0">
      <w:pPr>
        <w:pStyle w:val="NormalWeb"/>
        <w:contextualSpacing/>
        <w:rPr>
          <w:color w:val="000000" w:themeColor="text1"/>
          <w:sz w:val="28"/>
          <w:u w:val="single"/>
        </w:rPr>
      </w:pPr>
      <w:r w:rsidRPr="002F3D0A">
        <w:rPr>
          <w:color w:val="000000" w:themeColor="text1"/>
          <w:sz w:val="28"/>
          <w:u w:val="single"/>
        </w:rPr>
        <w:t>Para efectos de este gravamen, el concepto de patrimonio es equ</w:t>
      </w:r>
      <w:r w:rsidRPr="002F3D0A">
        <w:rPr>
          <w:color w:val="000000" w:themeColor="text1"/>
          <w:sz w:val="28"/>
          <w:u w:val="single"/>
        </w:rPr>
        <w:t>ivalente al patrimonio líquido/ calculado tomando el total del patrimonio bruto del contribuyente poseído en la misma fecha menos las deudas a cargo del contribuyente vigentes en esa fecha.</w:t>
      </w:r>
    </w:p>
    <w:p w:rsidR="00C470F0" w:rsidRPr="002F3D0A" w:rsidRDefault="002F3D0A" w:rsidP="00C470F0">
      <w:pPr>
        <w:pStyle w:val="NormalWeb"/>
        <w:contextualSpacing/>
        <w:rPr>
          <w:b/>
          <w:bCs/>
          <w:color w:val="000000" w:themeColor="text1"/>
          <w:sz w:val="28"/>
        </w:rPr>
      </w:pPr>
      <w:bookmarkStart w:id="12" w:name="37"/>
    </w:p>
    <w:p w:rsidR="00C470F0" w:rsidRPr="002F3D0A" w:rsidRDefault="002F3D0A" w:rsidP="00C470F0">
      <w:pPr>
        <w:pStyle w:val="NormalWeb"/>
        <w:contextualSpacing/>
        <w:rPr>
          <w:color w:val="000000" w:themeColor="text1"/>
          <w:sz w:val="28"/>
        </w:rPr>
      </w:pPr>
      <w:r w:rsidRPr="002F3D0A">
        <w:rPr>
          <w:b/>
          <w:bCs/>
          <w:color w:val="000000" w:themeColor="text1"/>
          <w:sz w:val="28"/>
        </w:rPr>
        <w:t>ARTÍCULO 37.</w:t>
      </w:r>
      <w:bookmarkEnd w:id="12"/>
      <w:r w:rsidRPr="002F3D0A">
        <w:rPr>
          <w:color w:val="000000" w:themeColor="text1"/>
          <w:sz w:val="28"/>
        </w:rPr>
        <w:t xml:space="preserve"> </w:t>
      </w:r>
      <w:r w:rsidRPr="002F3D0A">
        <w:rPr>
          <w:color w:val="000000" w:themeColor="text1"/>
          <w:sz w:val="28"/>
        </w:rPr>
        <w:t>Adiciónese el Artículo</w:t>
      </w:r>
      <w:r w:rsidRPr="002F3D0A">
        <w:rPr>
          <w:color w:val="000000" w:themeColor="text1"/>
          <w:sz w:val="28"/>
        </w:rPr>
        <w:t xml:space="preserve"> </w:t>
      </w:r>
      <w:hyperlink r:id="rId13" w:anchor="295-3" w:history="1">
        <w:r w:rsidRPr="002F3D0A">
          <w:rPr>
            <w:rStyle w:val="Hipervnculo"/>
            <w:color w:val="000000" w:themeColor="text1"/>
            <w:sz w:val="28"/>
          </w:rPr>
          <w:t>295-3</w:t>
        </w:r>
      </w:hyperlink>
      <w:r w:rsidRPr="002F3D0A">
        <w:rPr>
          <w:color w:val="000000" w:themeColor="text1"/>
          <w:sz w:val="28"/>
        </w:rPr>
        <w:t xml:space="preserve"> </w:t>
      </w:r>
      <w:r w:rsidRPr="002F3D0A">
        <w:rPr>
          <w:color w:val="000000" w:themeColor="text1"/>
          <w:sz w:val="28"/>
        </w:rPr>
        <w:t>al Estatuto Tributario, así:</w:t>
      </w:r>
    </w:p>
    <w:p w:rsidR="003140C6" w:rsidRPr="002F3D0A" w:rsidRDefault="002F3D0A" w:rsidP="00C470F0">
      <w:pPr>
        <w:pStyle w:val="NormalWeb"/>
        <w:contextualSpacing/>
        <w:rPr>
          <w:color w:val="000000" w:themeColor="text1"/>
          <w:sz w:val="28"/>
        </w:rPr>
      </w:pPr>
    </w:p>
    <w:p w:rsidR="00C470F0" w:rsidRPr="002F3D0A" w:rsidRDefault="002F3D0A" w:rsidP="00C470F0">
      <w:pPr>
        <w:pStyle w:val="NormalWeb"/>
        <w:contextualSpacing/>
        <w:rPr>
          <w:color w:val="000000" w:themeColor="text1"/>
          <w:sz w:val="28"/>
          <w:u w:val="single"/>
        </w:rPr>
      </w:pPr>
      <w:r w:rsidRPr="002F3D0A">
        <w:rPr>
          <w:rStyle w:val="baj"/>
          <w:bCs/>
          <w:color w:val="000000" w:themeColor="text1"/>
          <w:sz w:val="28"/>
          <w:u w:val="single"/>
        </w:rPr>
        <w:t>Artículo</w:t>
      </w:r>
      <w:r w:rsidRPr="002F3D0A">
        <w:rPr>
          <w:rStyle w:val="baj"/>
          <w:bCs/>
          <w:color w:val="000000" w:themeColor="text1"/>
          <w:sz w:val="28"/>
          <w:u w:val="single"/>
        </w:rPr>
        <w:t xml:space="preserve"> </w:t>
      </w:r>
      <w:hyperlink r:id="rId14" w:anchor="295-3" w:history="1">
        <w:r w:rsidRPr="002F3D0A">
          <w:rPr>
            <w:rStyle w:val="Hipervnculo"/>
            <w:bCs/>
            <w:color w:val="000000" w:themeColor="text1"/>
            <w:sz w:val="28"/>
          </w:rPr>
          <w:t>295-3</w:t>
        </w:r>
      </w:hyperlink>
      <w:r w:rsidRPr="002F3D0A">
        <w:rPr>
          <w:rStyle w:val="baj"/>
          <w:bCs/>
          <w:color w:val="000000" w:themeColor="text1"/>
          <w:sz w:val="28"/>
          <w:u w:val="single"/>
        </w:rPr>
        <w:t>. Base gravable.</w:t>
      </w:r>
      <w:r w:rsidRPr="002F3D0A">
        <w:rPr>
          <w:rStyle w:val="baj"/>
          <w:bCs/>
          <w:color w:val="000000" w:themeColor="text1"/>
          <w:sz w:val="28"/>
          <w:u w:val="single"/>
        </w:rPr>
        <w:t xml:space="preserve"> </w:t>
      </w:r>
      <w:r w:rsidRPr="002F3D0A">
        <w:rPr>
          <w:color w:val="000000" w:themeColor="text1"/>
          <w:sz w:val="28"/>
          <w:u w:val="single"/>
        </w:rPr>
        <w:t>La base gravable del impuesto al patrimonio es el valor del patrimonio bruto del sujeto pasivo poseído a primero (1) de enero de cada año menos las deudas a cargo del mismo vigentes en esa misma fecha, determinado conforme a lo previsto en el Título II del</w:t>
      </w:r>
      <w:r w:rsidRPr="002F3D0A">
        <w:rPr>
          <w:color w:val="000000" w:themeColor="text1"/>
          <w:sz w:val="28"/>
          <w:u w:val="single"/>
        </w:rPr>
        <w:t xml:space="preserve"> Libro I de este Estatuto, sin perjuicio de las reglas especiales señaladas en este Artículo.</w:t>
      </w:r>
    </w:p>
    <w:p w:rsidR="00C470F0" w:rsidRPr="002F3D0A" w:rsidRDefault="002F3D0A" w:rsidP="00C470F0">
      <w:pPr>
        <w:pStyle w:val="NormalWeb"/>
        <w:contextualSpacing/>
        <w:rPr>
          <w:color w:val="000000" w:themeColor="text1"/>
          <w:sz w:val="28"/>
        </w:rPr>
      </w:pPr>
    </w:p>
    <w:p w:rsidR="00C470F0" w:rsidRPr="002F3D0A" w:rsidRDefault="002F3D0A" w:rsidP="00E121C2">
      <w:pPr>
        <w:pStyle w:val="NormalWeb"/>
        <w:contextualSpacing/>
        <w:rPr>
          <w:color w:val="000000" w:themeColor="text1"/>
          <w:sz w:val="28"/>
        </w:rPr>
      </w:pPr>
      <w:r w:rsidRPr="002F3D0A">
        <w:rPr>
          <w:color w:val="000000" w:themeColor="text1"/>
          <w:sz w:val="28"/>
        </w:rPr>
        <w:t>En el caso de las personas naturales, se excluyen las primeras doce mil (12.000) UVT del valor patrimonial de su casa o apartamento de habitación. Esta exclusión</w:t>
      </w:r>
      <w:r w:rsidRPr="002F3D0A">
        <w:rPr>
          <w:color w:val="000000" w:themeColor="text1"/>
          <w:sz w:val="28"/>
        </w:rPr>
        <w:t xml:space="preserve"> aplica únicamente respecto a la casa o apartamento en donde efectivamente viva la persona natural la mayor parte del tiempo, por lo que no quedan cobijados por esta exclusión los inmuebles de recreo, segundas viviendas u otro inmueble que no cumpla con la</w:t>
      </w:r>
      <w:r w:rsidRPr="002F3D0A">
        <w:rPr>
          <w:color w:val="000000" w:themeColor="text1"/>
          <w:sz w:val="28"/>
        </w:rPr>
        <w:t xml:space="preserve"> condición de ser el lugar en donde habita la persona natural.</w:t>
      </w:r>
    </w:p>
    <w:p w:rsidR="00C470F0" w:rsidRPr="002F3D0A" w:rsidRDefault="002F3D0A" w:rsidP="00E121C2">
      <w:pPr>
        <w:pStyle w:val="NormalWeb"/>
        <w:contextualSpacing/>
        <w:rPr>
          <w:color w:val="000000" w:themeColor="text1"/>
          <w:sz w:val="28"/>
        </w:rPr>
      </w:pPr>
    </w:p>
    <w:p w:rsidR="00E121C2" w:rsidRPr="002F3D0A" w:rsidRDefault="002F3D0A" w:rsidP="00E121C2">
      <w:pPr>
        <w:pStyle w:val="NormalWeb"/>
        <w:contextualSpacing/>
        <w:rPr>
          <w:color w:val="000000" w:themeColor="text1"/>
          <w:sz w:val="28"/>
        </w:rPr>
      </w:pPr>
      <w:r w:rsidRPr="002F3D0A">
        <w:rPr>
          <w:color w:val="000000" w:themeColor="text1"/>
          <w:sz w:val="28"/>
        </w:rPr>
        <w:t>(….)”</w:t>
      </w:r>
    </w:p>
    <w:bookmarkEnd w:id="6"/>
    <w:p w:rsidR="00E121C2" w:rsidRPr="002F3D0A" w:rsidRDefault="002F3D0A" w:rsidP="00852E35">
      <w:pPr>
        <w:pStyle w:val="Prrafodelista"/>
        <w:ind w:left="0"/>
        <w:rPr>
          <w:rFonts w:ascii="Times New Roman" w:eastAsia="Calibri" w:hAnsi="Times New Roman" w:cs="Times New Roman"/>
          <w:b/>
          <w:bCs/>
          <w:color w:val="000000" w:themeColor="text1"/>
          <w:sz w:val="28"/>
          <w:szCs w:val="28"/>
          <w:u w:color="000000"/>
          <w:lang w:val="es-ES"/>
        </w:rPr>
      </w:pPr>
    </w:p>
    <w:p w:rsidR="00E121C2" w:rsidRPr="002F3D0A" w:rsidRDefault="002F3D0A" w:rsidP="00852E35">
      <w:pPr>
        <w:pStyle w:val="Prrafodelista"/>
        <w:ind w:left="0"/>
        <w:rPr>
          <w:rFonts w:ascii="Times New Roman" w:eastAsia="Calibri" w:hAnsi="Times New Roman" w:cs="Times New Roman"/>
          <w:b/>
          <w:bCs/>
          <w:color w:val="000000" w:themeColor="text1"/>
          <w:sz w:val="28"/>
          <w:szCs w:val="28"/>
          <w:u w:color="000000"/>
          <w:lang w:val="es-ES"/>
        </w:rPr>
      </w:pPr>
    </w:p>
    <w:p w:rsidR="00852E35" w:rsidRPr="002F3D0A" w:rsidRDefault="002F3D0A" w:rsidP="00852E35">
      <w:pPr>
        <w:pStyle w:val="Prrafodelista"/>
        <w:ind w:left="0"/>
        <w:rPr>
          <w:rFonts w:ascii="Times New Roman" w:eastAsia="Calibri" w:hAnsi="Times New Roman" w:cs="Times New Roman"/>
          <w:b/>
          <w:bCs/>
          <w:color w:val="000000" w:themeColor="text1"/>
          <w:sz w:val="28"/>
          <w:szCs w:val="28"/>
          <w:u w:color="000000"/>
          <w:lang w:val="es-ES"/>
        </w:rPr>
      </w:pPr>
      <w:r w:rsidRPr="002F3D0A">
        <w:rPr>
          <w:rFonts w:ascii="Times New Roman" w:eastAsia="Calibri" w:hAnsi="Times New Roman" w:cs="Times New Roman"/>
          <w:b/>
          <w:bCs/>
          <w:color w:val="000000" w:themeColor="text1"/>
          <w:sz w:val="28"/>
          <w:szCs w:val="28"/>
          <w:u w:color="000000"/>
          <w:lang w:val="es-ES"/>
        </w:rPr>
        <w:t>III. LA DEMANDA</w:t>
      </w:r>
    </w:p>
    <w:p w:rsidR="00ED2CC0" w:rsidRPr="002F3D0A" w:rsidRDefault="002F3D0A" w:rsidP="00852E35">
      <w:pPr>
        <w:rPr>
          <w:rFonts w:ascii="Times New Roman" w:hAnsi="Times New Roman" w:cs="Times New Roman"/>
          <w:bCs/>
          <w:sz w:val="28"/>
          <w:szCs w:val="28"/>
          <w:lang w:val="es-ES_tradnl" w:eastAsia="es-ES"/>
        </w:rPr>
      </w:pPr>
    </w:p>
    <w:p w:rsidR="00C30399" w:rsidRPr="002F3D0A" w:rsidRDefault="002F3D0A" w:rsidP="005A25A1">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De la demanda presentada por los ciudadanos Carolina Rozo Gutiérrez, Leonardo Cote Botero y Nicolás Sanabria Caicedo se admitieron dos de los </w:t>
      </w:r>
      <w:r w:rsidRPr="002F3D0A">
        <w:rPr>
          <w:rFonts w:ascii="Times New Roman" w:hAnsi="Times New Roman" w:cs="Times New Roman"/>
          <w:color w:val="000000" w:themeColor="text1"/>
          <w:sz w:val="28"/>
          <w:szCs w:val="28"/>
          <w:lang w:val="es-ES"/>
        </w:rPr>
        <w:t xml:space="preserve">cinco cargos de inconstitucionalidad presentados. El cargo </w:t>
      </w:r>
      <w:r w:rsidRPr="002F3D0A">
        <w:rPr>
          <w:rFonts w:ascii="Times New Roman" w:hAnsi="Times New Roman" w:cs="Times New Roman"/>
          <w:color w:val="000000" w:themeColor="text1"/>
          <w:sz w:val="28"/>
          <w:szCs w:val="28"/>
          <w:lang w:val="es-ES"/>
        </w:rPr>
        <w:t>segund</w:t>
      </w:r>
      <w:r w:rsidRPr="002F3D0A">
        <w:rPr>
          <w:rFonts w:ascii="Times New Roman" w:hAnsi="Times New Roman" w:cs="Times New Roman"/>
          <w:color w:val="000000" w:themeColor="text1"/>
          <w:sz w:val="28"/>
          <w:szCs w:val="28"/>
          <w:lang w:val="es-ES"/>
        </w:rPr>
        <w:t xml:space="preserve">o, dirigido en contra del artículo 35 numeral 5 de la Ley 2277 de 2022, planteó la violación del principio de equidad tributaria en su dimensión horizontal </w:t>
      </w:r>
      <w:r w:rsidRPr="002F3D0A">
        <w:rPr>
          <w:rFonts w:ascii="Times New Roman" w:hAnsi="Times New Roman" w:cs="Times New Roman"/>
          <w:sz w:val="28"/>
          <w:szCs w:val="28"/>
        </w:rPr>
        <w:t xml:space="preserve">por la </w:t>
      </w:r>
      <w:r w:rsidRPr="002F3D0A">
        <w:rPr>
          <w:rFonts w:ascii="Times New Roman" w:hAnsi="Times New Roman" w:cs="Times New Roman"/>
          <w:sz w:val="28"/>
          <w:szCs w:val="28"/>
        </w:rPr>
        <w:t>distinción de trato</w:t>
      </w:r>
      <w:r w:rsidRPr="002F3D0A">
        <w:rPr>
          <w:rFonts w:ascii="Times New Roman" w:hAnsi="Times New Roman" w:cs="Times New Roman"/>
          <w:sz w:val="28"/>
          <w:szCs w:val="28"/>
        </w:rPr>
        <w:t xml:space="preserve"> en la su</w:t>
      </w:r>
      <w:r w:rsidRPr="002F3D0A">
        <w:rPr>
          <w:rFonts w:ascii="Times New Roman" w:hAnsi="Times New Roman" w:cs="Times New Roman"/>
          <w:sz w:val="28"/>
          <w:szCs w:val="28"/>
        </w:rPr>
        <w:t>jeción pasiva del impuesto al patrimonio</w:t>
      </w:r>
      <w:r w:rsidRPr="002F3D0A">
        <w:rPr>
          <w:rFonts w:ascii="Times New Roman" w:hAnsi="Times New Roman" w:cs="Times New Roman"/>
          <w:sz w:val="28"/>
          <w:szCs w:val="28"/>
        </w:rPr>
        <w:t xml:space="preserve"> entre sociedades extranjeras no declarantes de renta. </w:t>
      </w:r>
      <w:r w:rsidRPr="002F3D0A">
        <w:rPr>
          <w:rFonts w:ascii="Times New Roman" w:hAnsi="Times New Roman" w:cs="Times New Roman"/>
          <w:sz w:val="28"/>
          <w:szCs w:val="28"/>
        </w:rPr>
        <w:t xml:space="preserve">En este cargo se solicitó declarar la inexequibilidad de la norma acusada. </w:t>
      </w:r>
      <w:r w:rsidRPr="002F3D0A">
        <w:rPr>
          <w:rFonts w:ascii="Times New Roman" w:hAnsi="Times New Roman" w:cs="Times New Roman"/>
          <w:sz w:val="28"/>
          <w:szCs w:val="28"/>
        </w:rPr>
        <w:t>El cargo quinto, dirigido en contra de</w:t>
      </w:r>
      <w:r w:rsidRPr="002F3D0A">
        <w:rPr>
          <w:rFonts w:ascii="Times New Roman" w:hAnsi="Times New Roman" w:cs="Times New Roman"/>
          <w:sz w:val="28"/>
        </w:rPr>
        <w:t xml:space="preserve"> </w:t>
      </w:r>
      <w:r w:rsidRPr="002F3D0A">
        <w:rPr>
          <w:rFonts w:ascii="Times New Roman" w:hAnsi="Times New Roman" w:cs="Times New Roman"/>
          <w:sz w:val="28"/>
          <w:szCs w:val="28"/>
        </w:rPr>
        <w:t>los artículos 36 y 37 de la Ley 2277 de 2022 po</w:t>
      </w:r>
      <w:r w:rsidRPr="002F3D0A">
        <w:rPr>
          <w:rFonts w:ascii="Times New Roman" w:hAnsi="Times New Roman" w:cs="Times New Roman"/>
          <w:sz w:val="28"/>
          <w:szCs w:val="28"/>
        </w:rPr>
        <w:t>r la transgresión de</w:t>
      </w:r>
      <w:r w:rsidRPr="002F3D0A">
        <w:rPr>
          <w:rFonts w:ascii="Times New Roman" w:hAnsi="Times New Roman" w:cs="Times New Roman"/>
          <w:sz w:val="28"/>
          <w:szCs w:val="28"/>
        </w:rPr>
        <w:t>l poder impositivo de los</w:t>
      </w:r>
      <w:r w:rsidRPr="002F3D0A">
        <w:rPr>
          <w:rFonts w:ascii="Times New Roman" w:hAnsi="Times New Roman" w:cs="Times New Roman"/>
          <w:sz w:val="28"/>
          <w:szCs w:val="28"/>
        </w:rPr>
        <w:t xml:space="preserve"> municipios sobre la propiedad inmueble prevista en </w:t>
      </w:r>
      <w:r w:rsidRPr="002F3D0A">
        <w:rPr>
          <w:rFonts w:ascii="Times New Roman" w:hAnsi="Times New Roman" w:cs="Times New Roman"/>
          <w:sz w:val="28"/>
          <w:szCs w:val="28"/>
        </w:rPr>
        <w:t>los artículos 287 y 317 de la Constitución</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En </w:t>
      </w:r>
      <w:r w:rsidRPr="002F3D0A">
        <w:rPr>
          <w:rFonts w:ascii="Times New Roman" w:hAnsi="Times New Roman" w:cs="Times New Roman"/>
          <w:sz w:val="28"/>
          <w:szCs w:val="28"/>
        </w:rPr>
        <w:t>este cargo</w:t>
      </w:r>
      <w:r w:rsidRPr="002F3D0A">
        <w:rPr>
          <w:rFonts w:ascii="Times New Roman" w:hAnsi="Times New Roman" w:cs="Times New Roman"/>
          <w:sz w:val="28"/>
          <w:szCs w:val="28"/>
        </w:rPr>
        <w:t xml:space="preserve"> se solicitó declarar la inexequibilidad de las disposiciones acusadas o </w:t>
      </w:r>
      <w:r w:rsidRPr="002F3D0A">
        <w:rPr>
          <w:rFonts w:ascii="Times New Roman" w:hAnsi="Times New Roman" w:cs="Times New Roman"/>
          <w:sz w:val="28"/>
          <w:szCs w:val="28"/>
        </w:rPr>
        <w:t xml:space="preserve">que se condicione el hecho generador y la base gravable del impuesto al patrimonio en el sentido de que se pueda excluir el valor de la propiedad inmueble. </w:t>
      </w:r>
      <w:r w:rsidRPr="002F3D0A">
        <w:rPr>
          <w:rFonts w:ascii="Times New Roman" w:hAnsi="Times New Roman" w:cs="Times New Roman"/>
          <w:sz w:val="28"/>
          <w:szCs w:val="28"/>
        </w:rPr>
        <w:t>A continuación, se describirá con mayor detalle cada un</w:t>
      </w:r>
      <w:r w:rsidRPr="002F3D0A">
        <w:rPr>
          <w:rFonts w:ascii="Times New Roman" w:hAnsi="Times New Roman" w:cs="Times New Roman"/>
          <w:sz w:val="28"/>
          <w:szCs w:val="28"/>
        </w:rPr>
        <w:t xml:space="preserve">o de los cargos </w:t>
      </w:r>
      <w:r w:rsidRPr="002F3D0A">
        <w:rPr>
          <w:rFonts w:ascii="Times New Roman" w:hAnsi="Times New Roman" w:cs="Times New Roman"/>
          <w:sz w:val="28"/>
          <w:szCs w:val="28"/>
        </w:rPr>
        <w:t>admitid</w:t>
      </w:r>
      <w:r w:rsidRPr="002F3D0A">
        <w:rPr>
          <w:rFonts w:ascii="Times New Roman" w:hAnsi="Times New Roman" w:cs="Times New Roman"/>
          <w:sz w:val="28"/>
          <w:szCs w:val="28"/>
        </w:rPr>
        <w:t>o</w:t>
      </w:r>
      <w:r w:rsidRPr="002F3D0A">
        <w:rPr>
          <w:rFonts w:ascii="Times New Roman" w:hAnsi="Times New Roman" w:cs="Times New Roman"/>
          <w:sz w:val="28"/>
          <w:szCs w:val="28"/>
        </w:rPr>
        <w:t>s</w:t>
      </w:r>
      <w:r w:rsidRPr="002F3D0A">
        <w:rPr>
          <w:rFonts w:ascii="Times New Roman" w:hAnsi="Times New Roman" w:cs="Times New Roman"/>
          <w:sz w:val="28"/>
          <w:szCs w:val="28"/>
        </w:rPr>
        <w:t>.</w:t>
      </w:r>
    </w:p>
    <w:p w:rsidR="00210049" w:rsidRPr="002F3D0A" w:rsidRDefault="002F3D0A" w:rsidP="00753635">
      <w:pPr>
        <w:pStyle w:val="Sinespaciado"/>
        <w:rPr>
          <w:rFonts w:ascii="Times New Roman" w:hAnsi="Times New Roman"/>
          <w:sz w:val="28"/>
          <w:szCs w:val="28"/>
        </w:rPr>
      </w:pPr>
    </w:p>
    <w:p w:rsidR="00210049" w:rsidRPr="002F3D0A" w:rsidRDefault="002F3D0A" w:rsidP="00210049">
      <w:pPr>
        <w:pStyle w:val="Prrafodelista"/>
        <w:ind w:left="0"/>
        <w:rPr>
          <w:rFonts w:ascii="Times New Roman" w:hAnsi="Times New Roman" w:cs="Times New Roman"/>
          <w:b/>
          <w:color w:val="000000" w:themeColor="text1"/>
          <w:sz w:val="28"/>
          <w:szCs w:val="28"/>
          <w:lang w:val="es-ES"/>
        </w:rPr>
      </w:pPr>
      <w:r w:rsidRPr="002F3D0A">
        <w:rPr>
          <w:rFonts w:ascii="Times New Roman" w:hAnsi="Times New Roman" w:cs="Times New Roman"/>
          <w:b/>
          <w:color w:val="000000" w:themeColor="text1"/>
          <w:sz w:val="28"/>
          <w:szCs w:val="28"/>
          <w:lang w:val="es-ES"/>
        </w:rPr>
        <w:t>Cargo por violaci</w:t>
      </w:r>
      <w:r w:rsidRPr="002F3D0A">
        <w:rPr>
          <w:rFonts w:ascii="Times New Roman" w:hAnsi="Times New Roman" w:cs="Times New Roman"/>
          <w:b/>
          <w:color w:val="000000" w:themeColor="text1"/>
          <w:sz w:val="28"/>
          <w:szCs w:val="28"/>
          <w:lang w:val="es-ES"/>
        </w:rPr>
        <w:t xml:space="preserve">ón del principio de </w:t>
      </w:r>
      <w:r w:rsidRPr="002F3D0A">
        <w:rPr>
          <w:rFonts w:ascii="Times New Roman" w:hAnsi="Times New Roman" w:cs="Times New Roman"/>
          <w:b/>
          <w:color w:val="000000" w:themeColor="text1"/>
          <w:sz w:val="28"/>
          <w:szCs w:val="28"/>
          <w:lang w:val="es-ES"/>
        </w:rPr>
        <w:t xml:space="preserve">igualdad y </w:t>
      </w:r>
      <w:r w:rsidRPr="002F3D0A">
        <w:rPr>
          <w:rFonts w:ascii="Times New Roman" w:hAnsi="Times New Roman" w:cs="Times New Roman"/>
          <w:b/>
          <w:color w:val="000000" w:themeColor="text1"/>
          <w:sz w:val="28"/>
          <w:szCs w:val="28"/>
          <w:lang w:val="es-ES"/>
        </w:rPr>
        <w:t>equidad tributaria</w:t>
      </w:r>
    </w:p>
    <w:p w:rsidR="00210049" w:rsidRPr="002F3D0A" w:rsidRDefault="002F3D0A" w:rsidP="00753635">
      <w:pPr>
        <w:pStyle w:val="Sinespaciado"/>
        <w:rPr>
          <w:rFonts w:ascii="Times New Roman" w:hAnsi="Times New Roman"/>
          <w:sz w:val="28"/>
        </w:rPr>
      </w:pPr>
    </w:p>
    <w:p w:rsidR="00830299"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eastAsia="Times New Roman" w:hAnsi="Times New Roman" w:cs="Times New Roman"/>
          <w:bCs/>
          <w:sz w:val="28"/>
          <w:szCs w:val="28"/>
          <w:lang w:val="es-ES_tradnl" w:eastAsia="es-ES"/>
        </w:rPr>
        <w:t xml:space="preserve">Los </w:t>
      </w:r>
      <w:r w:rsidRPr="002F3D0A">
        <w:rPr>
          <w:rFonts w:ascii="Times New Roman" w:eastAsia="Times New Roman" w:hAnsi="Times New Roman" w:cs="Times New Roman"/>
          <w:bCs/>
          <w:sz w:val="28"/>
          <w:szCs w:val="28"/>
          <w:lang w:val="es-ES_tradnl" w:eastAsia="es-ES"/>
        </w:rPr>
        <w:t>demandantes plantea</w:t>
      </w:r>
      <w:r w:rsidRPr="002F3D0A">
        <w:rPr>
          <w:rFonts w:ascii="Times New Roman" w:eastAsia="Times New Roman" w:hAnsi="Times New Roman" w:cs="Times New Roman"/>
          <w:bCs/>
          <w:sz w:val="28"/>
          <w:szCs w:val="28"/>
          <w:lang w:val="es-ES_tradnl" w:eastAsia="es-ES"/>
        </w:rPr>
        <w:t>ro</w:t>
      </w:r>
      <w:r w:rsidRPr="002F3D0A">
        <w:rPr>
          <w:rFonts w:ascii="Times New Roman" w:eastAsia="Times New Roman" w:hAnsi="Times New Roman" w:cs="Times New Roman"/>
          <w:bCs/>
          <w:sz w:val="28"/>
          <w:szCs w:val="28"/>
          <w:lang w:val="es-ES_tradnl" w:eastAsia="es-ES"/>
        </w:rPr>
        <w:t xml:space="preserve">n que </w:t>
      </w:r>
      <w:r w:rsidRPr="002F3D0A">
        <w:rPr>
          <w:rFonts w:ascii="Times New Roman" w:eastAsia="Times New Roman" w:hAnsi="Times New Roman" w:cs="Times New Roman"/>
          <w:bCs/>
          <w:sz w:val="28"/>
          <w:szCs w:val="28"/>
          <w:lang w:val="es-ES_tradnl" w:eastAsia="es-ES"/>
        </w:rPr>
        <w:t xml:space="preserve">el </w:t>
      </w:r>
      <w:r w:rsidRPr="002F3D0A">
        <w:rPr>
          <w:rFonts w:ascii="Times New Roman" w:hAnsi="Times New Roman" w:cs="Times New Roman"/>
          <w:color w:val="000000" w:themeColor="text1"/>
          <w:sz w:val="28"/>
          <w:szCs w:val="28"/>
          <w:lang w:val="es-ES"/>
        </w:rPr>
        <w:t>artículo 35 numeral 5 de la Ley 2277 de 2022</w:t>
      </w:r>
      <w:r w:rsidRPr="002F3D0A">
        <w:rPr>
          <w:rFonts w:ascii="Times New Roman" w:hAnsi="Times New Roman" w:cs="Times New Roman"/>
          <w:color w:val="000000" w:themeColor="text1"/>
          <w:sz w:val="28"/>
          <w:szCs w:val="28"/>
          <w:lang w:val="es-ES"/>
        </w:rPr>
        <w:t xml:space="preserve"> </w:t>
      </w:r>
      <w:r w:rsidRPr="002F3D0A">
        <w:rPr>
          <w:rFonts w:ascii="Times New Roman" w:eastAsia="Times New Roman" w:hAnsi="Times New Roman" w:cs="Times New Roman"/>
          <w:bCs/>
          <w:sz w:val="28"/>
          <w:szCs w:val="28"/>
          <w:lang w:val="es-ES_tradnl" w:eastAsia="es-ES"/>
        </w:rPr>
        <w:t xml:space="preserve">prevé un trato diferenciado </w:t>
      </w:r>
      <w:r w:rsidRPr="002F3D0A">
        <w:rPr>
          <w:rFonts w:ascii="Times New Roman" w:eastAsia="Times New Roman" w:hAnsi="Times New Roman" w:cs="Times New Roman"/>
          <w:bCs/>
          <w:sz w:val="28"/>
          <w:szCs w:val="28"/>
          <w:lang w:val="es-ES_tradnl" w:eastAsia="es-ES"/>
        </w:rPr>
        <w:t>injustificado</w:t>
      </w:r>
      <w:r w:rsidRPr="002F3D0A">
        <w:rPr>
          <w:rFonts w:ascii="Times New Roman" w:eastAsia="Times New Roman" w:hAnsi="Times New Roman" w:cs="Times New Roman"/>
          <w:bCs/>
          <w:sz w:val="28"/>
          <w:szCs w:val="28"/>
          <w:lang w:val="es-ES_tradnl" w:eastAsia="es-ES"/>
        </w:rPr>
        <w:t xml:space="preserve"> entre dos grupos de sujetos</w:t>
      </w:r>
      <w:r w:rsidRPr="002F3D0A">
        <w:rPr>
          <w:rFonts w:ascii="Times New Roman" w:eastAsia="Times New Roman" w:hAnsi="Times New Roman" w:cs="Times New Roman"/>
          <w:bCs/>
          <w:sz w:val="28"/>
          <w:szCs w:val="28"/>
          <w:lang w:val="es-ES_tradnl" w:eastAsia="es-ES"/>
        </w:rPr>
        <w:t xml:space="preserve"> comparables </w:t>
      </w:r>
      <w:r w:rsidRPr="002F3D0A">
        <w:rPr>
          <w:rFonts w:ascii="Times New Roman" w:eastAsia="Times New Roman" w:hAnsi="Times New Roman" w:cs="Times New Roman"/>
          <w:bCs/>
          <w:sz w:val="28"/>
          <w:szCs w:val="28"/>
          <w:lang w:val="es-ES_tradnl" w:eastAsia="es-ES"/>
        </w:rPr>
        <w:t xml:space="preserve">que además no considera </w:t>
      </w:r>
      <w:r w:rsidRPr="002F3D0A">
        <w:rPr>
          <w:rFonts w:ascii="Times New Roman" w:eastAsia="Times New Roman" w:hAnsi="Times New Roman" w:cs="Times New Roman"/>
          <w:bCs/>
          <w:sz w:val="28"/>
          <w:szCs w:val="28"/>
          <w:lang w:val="es-ES_tradnl" w:eastAsia="es-ES"/>
        </w:rPr>
        <w:t xml:space="preserve">la capacidad contributiva. La comparación se </w:t>
      </w:r>
      <w:r w:rsidRPr="002F3D0A">
        <w:rPr>
          <w:rFonts w:ascii="Times New Roman" w:eastAsia="Times New Roman" w:hAnsi="Times New Roman" w:cs="Times New Roman"/>
          <w:bCs/>
          <w:sz w:val="28"/>
          <w:szCs w:val="28"/>
          <w:lang w:val="es-ES_tradnl" w:eastAsia="es-ES"/>
        </w:rPr>
        <w:t>propuso</w:t>
      </w:r>
      <w:r w:rsidRPr="002F3D0A">
        <w:rPr>
          <w:rFonts w:ascii="Times New Roman" w:eastAsia="Times New Roman" w:hAnsi="Times New Roman" w:cs="Times New Roman"/>
          <w:bCs/>
          <w:sz w:val="28"/>
          <w:szCs w:val="28"/>
          <w:lang w:val="es-ES_tradnl" w:eastAsia="es-ES"/>
        </w:rPr>
        <w:t xml:space="preserve"> entre</w:t>
      </w:r>
      <w:r w:rsidRPr="002F3D0A">
        <w:rPr>
          <w:rFonts w:ascii="Times New Roman" w:eastAsia="Times New Roman" w:hAnsi="Times New Roman" w:cs="Times New Roman"/>
          <w:bCs/>
          <w:sz w:val="28"/>
          <w:szCs w:val="28"/>
          <w:lang w:val="es-ES_tradnl" w:eastAsia="es-ES"/>
        </w:rPr>
        <w:t>: (i)</w:t>
      </w:r>
      <w:r w:rsidRPr="002F3D0A">
        <w:rPr>
          <w:rFonts w:ascii="Times New Roman" w:eastAsia="Times New Roman" w:hAnsi="Times New Roman" w:cs="Times New Roman"/>
          <w:bCs/>
          <w:sz w:val="28"/>
          <w:szCs w:val="28"/>
          <w:lang w:val="es-ES_tradnl" w:eastAsia="es-ES"/>
        </w:rPr>
        <w:t xml:space="preserve"> </w:t>
      </w:r>
      <w:r w:rsidRPr="002F3D0A">
        <w:rPr>
          <w:rFonts w:ascii="Times New Roman" w:eastAsia="Times New Roman" w:hAnsi="Times New Roman" w:cs="Times New Roman"/>
          <w:bCs/>
          <w:sz w:val="28"/>
          <w:szCs w:val="28"/>
          <w:lang w:eastAsia="es-ES"/>
        </w:rPr>
        <w:t xml:space="preserve">las entidades extranjeras no declarantes de renta en Colombia con acciones, cuentas por cobrar y/o inversiones </w:t>
      </w:r>
      <w:r w:rsidRPr="002F3D0A">
        <w:rPr>
          <w:rFonts w:ascii="Times New Roman" w:eastAsia="Times New Roman" w:hAnsi="Times New Roman" w:cs="Times New Roman"/>
          <w:bCs/>
          <w:sz w:val="28"/>
          <w:szCs w:val="28"/>
          <w:lang w:eastAsia="es-ES"/>
        </w:rPr>
        <w:t xml:space="preserve">en portafolio </w:t>
      </w:r>
      <w:r w:rsidRPr="002F3D0A">
        <w:rPr>
          <w:rFonts w:ascii="Times New Roman" w:eastAsia="Times New Roman" w:hAnsi="Times New Roman" w:cs="Times New Roman"/>
          <w:bCs/>
          <w:sz w:val="28"/>
          <w:szCs w:val="28"/>
          <w:lang w:eastAsia="es-ES"/>
        </w:rPr>
        <w:t>poseídas en el país</w:t>
      </w:r>
      <w:r w:rsidRPr="002F3D0A">
        <w:rPr>
          <w:rFonts w:ascii="Times New Roman" w:eastAsia="Times New Roman" w:hAnsi="Times New Roman" w:cs="Times New Roman"/>
          <w:bCs/>
          <w:sz w:val="28"/>
          <w:szCs w:val="28"/>
          <w:lang w:eastAsia="es-ES"/>
        </w:rPr>
        <w:t>; y (ii)</w:t>
      </w:r>
      <w:r w:rsidRPr="002F3D0A">
        <w:rPr>
          <w:rFonts w:ascii="Times New Roman" w:eastAsia="Times New Roman" w:hAnsi="Times New Roman" w:cs="Times New Roman"/>
          <w:bCs/>
          <w:sz w:val="28"/>
          <w:szCs w:val="28"/>
          <w:lang w:eastAsia="es-ES"/>
        </w:rPr>
        <w:t xml:space="preserve"> </w:t>
      </w:r>
      <w:r w:rsidRPr="002F3D0A">
        <w:rPr>
          <w:rFonts w:ascii="Times New Roman" w:eastAsia="Times New Roman" w:hAnsi="Times New Roman" w:cs="Times New Roman"/>
          <w:bCs/>
          <w:sz w:val="28"/>
          <w:szCs w:val="28"/>
          <w:lang w:eastAsia="es-ES"/>
        </w:rPr>
        <w:t>las sociedades extranjeras no declarant</w:t>
      </w:r>
      <w:r w:rsidRPr="002F3D0A">
        <w:rPr>
          <w:rFonts w:ascii="Times New Roman" w:eastAsia="Times New Roman" w:hAnsi="Times New Roman" w:cs="Times New Roman"/>
          <w:bCs/>
          <w:sz w:val="28"/>
          <w:szCs w:val="28"/>
          <w:lang w:eastAsia="es-ES"/>
        </w:rPr>
        <w:t>es de renta en el país que posean bienes en Colombia diferentes a acciones, cuentas por cobrar y/o inversiones</w:t>
      </w:r>
      <w:r w:rsidRPr="002F3D0A">
        <w:rPr>
          <w:rFonts w:ascii="Times New Roman" w:eastAsia="Times New Roman" w:hAnsi="Times New Roman" w:cs="Times New Roman"/>
          <w:bCs/>
          <w:sz w:val="28"/>
          <w:szCs w:val="28"/>
          <w:lang w:eastAsia="es-ES"/>
        </w:rPr>
        <w:t xml:space="preserve"> de portafolio</w:t>
      </w:r>
      <w:r w:rsidRPr="002F3D0A">
        <w:rPr>
          <w:rFonts w:ascii="Times New Roman" w:eastAsia="Times New Roman" w:hAnsi="Times New Roman" w:cs="Times New Roman"/>
          <w:bCs/>
          <w:sz w:val="28"/>
          <w:szCs w:val="28"/>
          <w:lang w:eastAsia="es-ES"/>
        </w:rPr>
        <w:t>.</w:t>
      </w:r>
    </w:p>
    <w:p w:rsidR="000D4E7F" w:rsidRPr="002F3D0A" w:rsidRDefault="002F3D0A" w:rsidP="000D4E7F">
      <w:pPr>
        <w:pStyle w:val="Prrafodelista"/>
        <w:ind w:left="0"/>
        <w:rPr>
          <w:rFonts w:ascii="Times New Roman" w:hAnsi="Times New Roman" w:cs="Times New Roman"/>
          <w:color w:val="000000" w:themeColor="text1"/>
          <w:sz w:val="28"/>
          <w:szCs w:val="28"/>
          <w:lang w:val="es-ES"/>
        </w:rPr>
      </w:pPr>
    </w:p>
    <w:p w:rsidR="000D4E7F"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El trato diferencial entre los sujetos</w:t>
      </w:r>
      <w:r w:rsidRPr="002F3D0A">
        <w:rPr>
          <w:rFonts w:ascii="Times New Roman" w:hAnsi="Times New Roman" w:cs="Times New Roman"/>
          <w:color w:val="000000" w:themeColor="text1"/>
          <w:sz w:val="28"/>
          <w:szCs w:val="28"/>
          <w:lang w:val="es-ES"/>
        </w:rPr>
        <w:t xml:space="preserve"> objeto de comparación consiste en la sujeción</w:t>
      </w:r>
      <w:r w:rsidRPr="002F3D0A">
        <w:rPr>
          <w:rFonts w:ascii="Times New Roman" w:hAnsi="Times New Roman" w:cs="Times New Roman"/>
          <w:color w:val="000000" w:themeColor="text1"/>
          <w:sz w:val="28"/>
          <w:szCs w:val="28"/>
          <w:lang w:val="es-ES"/>
        </w:rPr>
        <w:t xml:space="preserve"> pasiva</w:t>
      </w:r>
      <w:r w:rsidRPr="002F3D0A">
        <w:rPr>
          <w:rFonts w:ascii="Times New Roman" w:hAnsi="Times New Roman" w:cs="Times New Roman"/>
          <w:color w:val="000000" w:themeColor="text1"/>
          <w:sz w:val="28"/>
          <w:szCs w:val="28"/>
          <w:lang w:val="es-ES"/>
        </w:rPr>
        <w:t xml:space="preserve"> al impuesto al patrimonio</w:t>
      </w:r>
      <w:r w:rsidRPr="002F3D0A">
        <w:rPr>
          <w:rFonts w:ascii="Times New Roman" w:hAnsi="Times New Roman" w:cs="Times New Roman"/>
          <w:color w:val="000000" w:themeColor="text1"/>
          <w:sz w:val="28"/>
          <w:szCs w:val="28"/>
          <w:lang w:val="es-ES"/>
        </w:rPr>
        <w:t xml:space="preserve">, pues </w:t>
      </w:r>
      <w:r w:rsidRPr="002F3D0A">
        <w:rPr>
          <w:rFonts w:ascii="Times New Roman" w:hAnsi="Times New Roman" w:cs="Times New Roman"/>
          <w:color w:val="000000" w:themeColor="text1"/>
          <w:sz w:val="28"/>
          <w:szCs w:val="28"/>
          <w:lang w:val="es-ES"/>
        </w:rPr>
        <w:t xml:space="preserve">solo </w:t>
      </w:r>
      <w:r w:rsidRPr="002F3D0A">
        <w:rPr>
          <w:rFonts w:ascii="Times New Roman" w:hAnsi="Times New Roman" w:cs="Times New Roman"/>
          <w:color w:val="000000" w:themeColor="text1"/>
          <w:sz w:val="28"/>
          <w:szCs w:val="28"/>
          <w:lang w:val="es-ES"/>
        </w:rPr>
        <w:t>el segundo gr</w:t>
      </w:r>
      <w:r w:rsidRPr="002F3D0A">
        <w:rPr>
          <w:rFonts w:ascii="Times New Roman" w:eastAsia="Times New Roman" w:hAnsi="Times New Roman" w:cs="Times New Roman"/>
          <w:bCs/>
          <w:sz w:val="28"/>
          <w:szCs w:val="28"/>
          <w:lang w:eastAsia="es-ES"/>
        </w:rPr>
        <w:t>upo</w:t>
      </w:r>
      <w:r w:rsidRPr="002F3D0A">
        <w:rPr>
          <w:rFonts w:ascii="Times New Roman" w:eastAsia="Times New Roman" w:hAnsi="Times New Roman" w:cs="Times New Roman"/>
          <w:bCs/>
          <w:sz w:val="28"/>
          <w:szCs w:val="28"/>
          <w:lang w:eastAsia="es-ES"/>
        </w:rPr>
        <w:t xml:space="preserve"> identificado será sujeto del impuesto al patrimonio, circunstancia que pone </w:t>
      </w:r>
      <w:r w:rsidRPr="002F3D0A">
        <w:rPr>
          <w:rFonts w:ascii="Times New Roman" w:eastAsia="Times New Roman" w:hAnsi="Times New Roman" w:cs="Times New Roman"/>
          <w:bCs/>
          <w:sz w:val="28"/>
          <w:szCs w:val="28"/>
          <w:lang w:eastAsia="es-ES"/>
        </w:rPr>
        <w:t xml:space="preserve">a las sociedades integrantes de ese grupo </w:t>
      </w:r>
      <w:r w:rsidRPr="002F3D0A">
        <w:rPr>
          <w:rFonts w:ascii="Times New Roman" w:eastAsia="Times New Roman" w:hAnsi="Times New Roman" w:cs="Times New Roman"/>
          <w:bCs/>
          <w:sz w:val="28"/>
          <w:szCs w:val="28"/>
          <w:lang w:eastAsia="es-ES"/>
        </w:rPr>
        <w:t>en desventaja al asumir una</w:t>
      </w:r>
      <w:r w:rsidRPr="002F3D0A">
        <w:rPr>
          <w:rFonts w:ascii="Times New Roman" w:eastAsia="Times New Roman" w:hAnsi="Times New Roman" w:cs="Times New Roman"/>
          <w:bCs/>
          <w:sz w:val="28"/>
          <w:szCs w:val="28"/>
          <w:lang w:eastAsia="es-ES"/>
        </w:rPr>
        <w:t xml:space="preserve"> mayor carga impositiva</w:t>
      </w:r>
      <w:r w:rsidRPr="002F3D0A">
        <w:rPr>
          <w:rFonts w:ascii="Times New Roman" w:eastAsia="Times New Roman" w:hAnsi="Times New Roman" w:cs="Times New Roman"/>
          <w:bCs/>
          <w:sz w:val="28"/>
          <w:szCs w:val="28"/>
          <w:lang w:eastAsia="es-ES"/>
        </w:rPr>
        <w:t xml:space="preserve"> y mayores costos operativos</w:t>
      </w:r>
      <w:r w:rsidRPr="002F3D0A">
        <w:rPr>
          <w:rFonts w:ascii="Times New Roman" w:eastAsia="Times New Roman" w:hAnsi="Times New Roman" w:cs="Times New Roman"/>
          <w:bCs/>
          <w:sz w:val="28"/>
          <w:szCs w:val="28"/>
          <w:lang w:eastAsia="es-ES"/>
        </w:rPr>
        <w:t xml:space="preserve"> que los asumidos por el primer grupo de so</w:t>
      </w:r>
      <w:r w:rsidRPr="002F3D0A">
        <w:rPr>
          <w:rFonts w:ascii="Times New Roman" w:eastAsia="Times New Roman" w:hAnsi="Times New Roman" w:cs="Times New Roman"/>
          <w:bCs/>
          <w:sz w:val="28"/>
          <w:szCs w:val="28"/>
          <w:lang w:eastAsia="es-ES"/>
        </w:rPr>
        <w:t>ciedades</w:t>
      </w:r>
      <w:r w:rsidRPr="002F3D0A">
        <w:rPr>
          <w:rFonts w:ascii="Times New Roman" w:eastAsia="Times New Roman" w:hAnsi="Times New Roman" w:cs="Times New Roman"/>
          <w:bCs/>
          <w:sz w:val="28"/>
          <w:szCs w:val="28"/>
          <w:lang w:eastAsia="es-ES"/>
        </w:rPr>
        <w:t>.</w:t>
      </w:r>
      <w:r w:rsidRPr="002F3D0A">
        <w:rPr>
          <w:rFonts w:ascii="Times New Roman" w:eastAsia="Times New Roman" w:hAnsi="Times New Roman" w:cs="Times New Roman"/>
          <w:bCs/>
          <w:sz w:val="28"/>
          <w:szCs w:val="28"/>
          <w:lang w:eastAsia="es-ES"/>
        </w:rPr>
        <w:t xml:space="preserve"> En consecuencia,</w:t>
      </w:r>
      <w:r w:rsidRPr="002F3D0A">
        <w:rPr>
          <w:rFonts w:ascii="Times New Roman" w:eastAsia="Times New Roman" w:hAnsi="Times New Roman" w:cs="Times New Roman"/>
          <w:bCs/>
          <w:sz w:val="28"/>
          <w:szCs w:val="28"/>
          <w:lang w:eastAsia="es-ES"/>
        </w:rPr>
        <w:t xml:space="preserve"> las sociedades extranjeras</w:t>
      </w:r>
      <w:r w:rsidRPr="002F3D0A">
        <w:rPr>
          <w:rFonts w:ascii="Times New Roman" w:eastAsia="Times New Roman" w:hAnsi="Times New Roman" w:cs="Times New Roman"/>
          <w:bCs/>
          <w:sz w:val="28"/>
          <w:szCs w:val="28"/>
          <w:lang w:eastAsia="es-ES"/>
        </w:rPr>
        <w:t xml:space="preserve"> </w:t>
      </w:r>
      <w:r w:rsidRPr="002F3D0A">
        <w:rPr>
          <w:rFonts w:ascii="Times New Roman" w:eastAsia="Times New Roman" w:hAnsi="Times New Roman" w:cs="Times New Roman"/>
          <w:bCs/>
          <w:sz w:val="28"/>
          <w:szCs w:val="28"/>
          <w:lang w:eastAsia="es-ES"/>
        </w:rPr>
        <w:t>que son</w:t>
      </w:r>
      <w:r w:rsidRPr="002F3D0A">
        <w:rPr>
          <w:rFonts w:ascii="Times New Roman" w:eastAsia="Times New Roman" w:hAnsi="Times New Roman" w:cs="Times New Roman"/>
          <w:bCs/>
          <w:sz w:val="28"/>
          <w:szCs w:val="28"/>
          <w:lang w:eastAsia="es-ES"/>
        </w:rPr>
        <w:t xml:space="preserve"> sujetos pasivos del impuesto</w:t>
      </w:r>
      <w:r w:rsidRPr="002F3D0A">
        <w:rPr>
          <w:rFonts w:ascii="Times New Roman" w:eastAsia="Times New Roman" w:hAnsi="Times New Roman" w:cs="Times New Roman"/>
          <w:bCs/>
          <w:sz w:val="28"/>
          <w:szCs w:val="28"/>
          <w:lang w:eastAsia="es-ES"/>
        </w:rPr>
        <w:t xml:space="preserve"> al patrimonio</w:t>
      </w:r>
      <w:r w:rsidRPr="002F3D0A">
        <w:rPr>
          <w:rFonts w:ascii="Times New Roman" w:eastAsia="Times New Roman" w:hAnsi="Times New Roman" w:cs="Times New Roman"/>
          <w:bCs/>
          <w:sz w:val="28"/>
          <w:szCs w:val="28"/>
          <w:lang w:eastAsia="es-ES"/>
        </w:rPr>
        <w:t xml:space="preserve"> ven desmejorada su situación patrimonial en relación con el grupo que no es contribuyente del impuesto.</w:t>
      </w:r>
    </w:p>
    <w:p w:rsidR="006A6AFB" w:rsidRPr="002F3D0A" w:rsidRDefault="002F3D0A" w:rsidP="006A6AFB">
      <w:pPr>
        <w:pStyle w:val="Prrafodelista"/>
        <w:rPr>
          <w:rFonts w:ascii="Times New Roman" w:hAnsi="Times New Roman" w:cs="Times New Roman"/>
          <w:color w:val="000000" w:themeColor="text1"/>
          <w:sz w:val="28"/>
          <w:szCs w:val="28"/>
          <w:lang w:val="es-ES"/>
        </w:rPr>
      </w:pPr>
    </w:p>
    <w:p w:rsidR="006A6AFB"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Adicionalmente</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los demandantes </w:t>
      </w:r>
      <w:r w:rsidRPr="002F3D0A">
        <w:rPr>
          <w:rFonts w:ascii="Times New Roman" w:hAnsi="Times New Roman" w:cs="Times New Roman"/>
          <w:color w:val="000000" w:themeColor="text1"/>
          <w:sz w:val="28"/>
          <w:szCs w:val="28"/>
          <w:lang w:val="es-ES"/>
        </w:rPr>
        <w:t>explicaron</w:t>
      </w:r>
      <w:r w:rsidRPr="002F3D0A">
        <w:rPr>
          <w:rFonts w:ascii="Times New Roman" w:hAnsi="Times New Roman" w:cs="Times New Roman"/>
          <w:color w:val="000000" w:themeColor="text1"/>
          <w:sz w:val="28"/>
          <w:szCs w:val="28"/>
          <w:lang w:val="es-ES"/>
        </w:rPr>
        <w:t xml:space="preserve"> que antes del año 2018 se gravaba con </w:t>
      </w:r>
      <w:r w:rsidRPr="002F3D0A">
        <w:rPr>
          <w:rFonts w:ascii="Times New Roman" w:hAnsi="Times New Roman" w:cs="Times New Roman"/>
          <w:color w:val="000000" w:themeColor="text1"/>
          <w:sz w:val="28"/>
          <w:szCs w:val="28"/>
          <w:lang w:val="es-ES"/>
        </w:rPr>
        <w:t>e</w:t>
      </w:r>
      <w:r w:rsidRPr="002F3D0A">
        <w:rPr>
          <w:rFonts w:ascii="Times New Roman" w:hAnsi="Times New Roman" w:cs="Times New Roman"/>
          <w:color w:val="000000" w:themeColor="text1"/>
          <w:sz w:val="28"/>
          <w:szCs w:val="28"/>
          <w:lang w:val="es-ES"/>
        </w:rPr>
        <w:t>l</w:t>
      </w:r>
      <w:r w:rsidRPr="002F3D0A">
        <w:rPr>
          <w:rFonts w:ascii="Times New Roman" w:hAnsi="Times New Roman" w:cs="Times New Roman"/>
          <w:color w:val="000000" w:themeColor="text1"/>
          <w:sz w:val="28"/>
          <w:szCs w:val="28"/>
          <w:lang w:val="es-ES"/>
        </w:rPr>
        <w:t xml:space="preserve"> impuesto </w:t>
      </w:r>
      <w:r w:rsidRPr="002F3D0A">
        <w:rPr>
          <w:rFonts w:ascii="Times New Roman" w:hAnsi="Times New Roman" w:cs="Times New Roman"/>
          <w:color w:val="000000" w:themeColor="text1"/>
          <w:sz w:val="28"/>
          <w:szCs w:val="28"/>
          <w:lang w:val="es-ES"/>
        </w:rPr>
        <w:t xml:space="preserve">al patrimonio </w:t>
      </w:r>
      <w:r w:rsidRPr="002F3D0A">
        <w:rPr>
          <w:rFonts w:ascii="Times New Roman" w:hAnsi="Times New Roman" w:cs="Times New Roman"/>
          <w:color w:val="000000" w:themeColor="text1"/>
          <w:sz w:val="28"/>
          <w:szCs w:val="28"/>
          <w:lang w:val="es-ES"/>
        </w:rPr>
        <w:t>a</w:t>
      </w:r>
      <w:r w:rsidRPr="002F3D0A">
        <w:rPr>
          <w:rFonts w:ascii="Times New Roman" w:hAnsi="Times New Roman" w:cs="Times New Roman"/>
          <w:color w:val="000000" w:themeColor="text1"/>
          <w:sz w:val="28"/>
          <w:szCs w:val="28"/>
          <w:lang w:val="es-ES"/>
        </w:rPr>
        <w:t xml:space="preserve"> todas las</w:t>
      </w:r>
      <w:r w:rsidRPr="002F3D0A">
        <w:rPr>
          <w:rFonts w:ascii="Times New Roman" w:hAnsi="Times New Roman" w:cs="Times New Roman"/>
          <w:color w:val="000000" w:themeColor="text1"/>
          <w:sz w:val="28"/>
          <w:szCs w:val="28"/>
          <w:lang w:val="es-ES"/>
        </w:rPr>
        <w:t xml:space="preserve"> sociedades extranjeras</w:t>
      </w:r>
      <w:r w:rsidRPr="002F3D0A">
        <w:rPr>
          <w:rFonts w:ascii="Times New Roman" w:hAnsi="Times New Roman" w:cs="Times New Roman"/>
          <w:color w:val="000000" w:themeColor="text1"/>
          <w:sz w:val="28"/>
          <w:szCs w:val="28"/>
          <w:lang w:val="es-ES"/>
        </w:rPr>
        <w:t xml:space="preserve"> y estas podían disminuir de su base gravable el valor de las acciones que tuvieran en sociedades nacionales. Sin embargo, la disposición acusada decidió exc</w:t>
      </w:r>
      <w:r w:rsidRPr="002F3D0A">
        <w:rPr>
          <w:rFonts w:ascii="Times New Roman" w:hAnsi="Times New Roman" w:cs="Times New Roman"/>
          <w:color w:val="000000" w:themeColor="text1"/>
          <w:sz w:val="28"/>
          <w:szCs w:val="28"/>
          <w:lang w:val="es-ES"/>
        </w:rPr>
        <w:t>luir del impuesto al patrimonio a un grupo de sociedades extranjeras con fundamento en el tipo de bienes poseídos. Por lo tanto,</w:t>
      </w:r>
      <w:r w:rsidRPr="002F3D0A">
        <w:rPr>
          <w:rFonts w:ascii="Times New Roman" w:hAnsi="Times New Roman" w:cs="Times New Roman"/>
          <w:color w:val="000000" w:themeColor="text1"/>
          <w:sz w:val="28"/>
          <w:szCs w:val="28"/>
          <w:lang w:val="es-ES"/>
        </w:rPr>
        <w:t xml:space="preserve"> la norma</w:t>
      </w:r>
      <w:r w:rsidRPr="002F3D0A">
        <w:rPr>
          <w:rFonts w:ascii="Times New Roman" w:hAnsi="Times New Roman" w:cs="Times New Roman"/>
          <w:color w:val="000000" w:themeColor="text1"/>
          <w:sz w:val="28"/>
          <w:szCs w:val="28"/>
          <w:lang w:val="es-ES"/>
        </w:rPr>
        <w:t xml:space="preserve"> genera que </w:t>
      </w:r>
      <w:r w:rsidRPr="002F3D0A">
        <w:rPr>
          <w:rFonts w:ascii="Times New Roman" w:hAnsi="Times New Roman" w:cs="Times New Roman"/>
          <w:color w:val="000000" w:themeColor="text1"/>
          <w:sz w:val="28"/>
          <w:szCs w:val="28"/>
          <w:lang w:val="es-ES"/>
        </w:rPr>
        <w:t xml:space="preserve">un grupo de </w:t>
      </w:r>
      <w:r w:rsidRPr="002F3D0A">
        <w:rPr>
          <w:rFonts w:ascii="Times New Roman" w:hAnsi="Times New Roman" w:cs="Times New Roman"/>
          <w:color w:val="000000" w:themeColor="text1"/>
          <w:sz w:val="28"/>
          <w:szCs w:val="28"/>
          <w:lang w:val="es-ES"/>
        </w:rPr>
        <w:t xml:space="preserve">sociedades extranjeras con bienes en el país no tengan la obligación de </w:t>
      </w:r>
      <w:r w:rsidRPr="002F3D0A">
        <w:rPr>
          <w:rFonts w:ascii="Times New Roman" w:hAnsi="Times New Roman" w:cs="Times New Roman"/>
          <w:color w:val="000000" w:themeColor="text1"/>
          <w:sz w:val="28"/>
          <w:szCs w:val="28"/>
          <w:lang w:val="es-ES"/>
        </w:rPr>
        <w:t xml:space="preserve">declarar </w:t>
      </w:r>
      <w:r w:rsidRPr="002F3D0A">
        <w:rPr>
          <w:rFonts w:ascii="Times New Roman" w:hAnsi="Times New Roman" w:cs="Times New Roman"/>
          <w:color w:val="000000" w:themeColor="text1"/>
          <w:sz w:val="28"/>
          <w:szCs w:val="28"/>
          <w:lang w:val="es-ES"/>
        </w:rPr>
        <w:t>ni pagar el im</w:t>
      </w:r>
      <w:r w:rsidRPr="002F3D0A">
        <w:rPr>
          <w:rFonts w:ascii="Times New Roman" w:hAnsi="Times New Roman" w:cs="Times New Roman"/>
          <w:color w:val="000000" w:themeColor="text1"/>
          <w:sz w:val="28"/>
          <w:szCs w:val="28"/>
          <w:lang w:val="es-ES"/>
        </w:rPr>
        <w:t>puesto al patrimonio</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con independencia de</w:t>
      </w:r>
      <w:r w:rsidRPr="002F3D0A">
        <w:rPr>
          <w:rFonts w:ascii="Times New Roman" w:hAnsi="Times New Roman" w:cs="Times New Roman"/>
          <w:color w:val="000000" w:themeColor="text1"/>
          <w:sz w:val="28"/>
          <w:szCs w:val="28"/>
          <w:lang w:val="es-ES"/>
        </w:rPr>
        <w:t xml:space="preserve"> su capacidad contributiva</w:t>
      </w:r>
      <w:r w:rsidRPr="002F3D0A">
        <w:rPr>
          <w:rFonts w:ascii="Times New Roman" w:hAnsi="Times New Roman" w:cs="Times New Roman"/>
          <w:color w:val="000000" w:themeColor="text1"/>
          <w:sz w:val="28"/>
          <w:szCs w:val="28"/>
          <w:lang w:val="es-ES"/>
        </w:rPr>
        <w:t>.</w:t>
      </w:r>
    </w:p>
    <w:p w:rsidR="004639B9" w:rsidRPr="002F3D0A" w:rsidRDefault="002F3D0A" w:rsidP="004639B9">
      <w:pPr>
        <w:pStyle w:val="Prrafodelista"/>
        <w:ind w:left="0"/>
        <w:rPr>
          <w:rFonts w:ascii="Times New Roman" w:hAnsi="Times New Roman" w:cs="Times New Roman"/>
          <w:color w:val="000000" w:themeColor="text1"/>
          <w:sz w:val="28"/>
          <w:szCs w:val="28"/>
          <w:lang w:val="es-ES"/>
        </w:rPr>
      </w:pPr>
    </w:p>
    <w:p w:rsidR="003915EF" w:rsidRPr="002F3D0A" w:rsidRDefault="002F3D0A" w:rsidP="0043409C">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De acuerdo con </w:t>
      </w:r>
      <w:r w:rsidRPr="002F3D0A">
        <w:rPr>
          <w:rFonts w:ascii="Times New Roman" w:hAnsi="Times New Roman" w:cs="Times New Roman"/>
          <w:color w:val="000000" w:themeColor="text1"/>
          <w:sz w:val="28"/>
          <w:szCs w:val="28"/>
          <w:lang w:val="es-ES"/>
        </w:rPr>
        <w:t>los actores, el trato diferenciado carece de justificación.</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Sobre este punto </w:t>
      </w:r>
      <w:r w:rsidRPr="002F3D0A">
        <w:rPr>
          <w:rFonts w:ascii="Times New Roman" w:hAnsi="Times New Roman" w:cs="Times New Roman"/>
          <w:color w:val="000000" w:themeColor="text1"/>
          <w:sz w:val="28"/>
          <w:szCs w:val="28"/>
          <w:lang w:val="es-ES"/>
        </w:rPr>
        <w:t xml:space="preserve">indicaron que ni en la exposición de motivos ni en el trámite de la Ley 2277 de 2022 se expuso algún motivo o justificación para la distinción de trato de las sociedades extranjeras en función de la clase de bienes que posean. </w:t>
      </w:r>
      <w:r w:rsidRPr="002F3D0A">
        <w:rPr>
          <w:rFonts w:ascii="Times New Roman" w:hAnsi="Times New Roman" w:cs="Times New Roman"/>
          <w:color w:val="000000" w:themeColor="text1"/>
          <w:sz w:val="28"/>
          <w:szCs w:val="28"/>
          <w:lang w:val="es-ES"/>
        </w:rPr>
        <w:t>En consecuencia</w:t>
      </w:r>
      <w:r w:rsidRPr="002F3D0A">
        <w:rPr>
          <w:rFonts w:ascii="Times New Roman" w:hAnsi="Times New Roman" w:cs="Times New Roman"/>
          <w:color w:val="000000" w:themeColor="text1"/>
          <w:sz w:val="28"/>
          <w:szCs w:val="28"/>
          <w:lang w:val="es-ES"/>
        </w:rPr>
        <w:t>, ante la ause</w:t>
      </w:r>
      <w:r w:rsidRPr="002F3D0A">
        <w:rPr>
          <w:rFonts w:ascii="Times New Roman" w:hAnsi="Times New Roman" w:cs="Times New Roman"/>
          <w:color w:val="000000" w:themeColor="text1"/>
          <w:sz w:val="28"/>
          <w:szCs w:val="28"/>
          <w:lang w:val="es-ES"/>
        </w:rPr>
        <w:t xml:space="preserve">ncia de una finalidad </w:t>
      </w:r>
      <w:r w:rsidRPr="002F3D0A">
        <w:rPr>
          <w:rFonts w:ascii="Times New Roman" w:hAnsi="Times New Roman" w:cs="Times New Roman"/>
          <w:color w:val="000000" w:themeColor="text1"/>
          <w:sz w:val="28"/>
          <w:szCs w:val="28"/>
          <w:lang w:val="es-ES"/>
        </w:rPr>
        <w:t xml:space="preserve">que sustente </w:t>
      </w:r>
      <w:r w:rsidRPr="002F3D0A">
        <w:rPr>
          <w:rFonts w:ascii="Times New Roman" w:hAnsi="Times New Roman" w:cs="Times New Roman"/>
          <w:color w:val="000000" w:themeColor="text1"/>
          <w:sz w:val="28"/>
          <w:szCs w:val="28"/>
          <w:lang w:val="es-ES"/>
        </w:rPr>
        <w:t>la distinción no es posible determinar si se persigue un fin leg</w:t>
      </w:r>
      <w:r w:rsidRPr="002F3D0A">
        <w:rPr>
          <w:rFonts w:ascii="Times New Roman" w:hAnsi="Times New Roman" w:cs="Times New Roman"/>
          <w:color w:val="000000" w:themeColor="text1"/>
          <w:sz w:val="28"/>
          <w:szCs w:val="28"/>
          <w:lang w:val="es-ES"/>
        </w:rPr>
        <w:t>í</w:t>
      </w:r>
      <w:r w:rsidRPr="002F3D0A">
        <w:rPr>
          <w:rFonts w:ascii="Times New Roman" w:hAnsi="Times New Roman" w:cs="Times New Roman"/>
          <w:color w:val="000000" w:themeColor="text1"/>
          <w:sz w:val="28"/>
          <w:szCs w:val="28"/>
          <w:lang w:val="es-ES"/>
        </w:rPr>
        <w:t>timo e importante.</w:t>
      </w:r>
      <w:r w:rsidRPr="002F3D0A">
        <w:rPr>
          <w:rFonts w:ascii="Times New Roman" w:hAnsi="Times New Roman" w:cs="Times New Roman"/>
          <w:color w:val="000000" w:themeColor="text1"/>
          <w:sz w:val="28"/>
          <w:szCs w:val="28"/>
          <w:lang w:val="es-ES"/>
        </w:rPr>
        <w:t xml:space="preserve"> </w:t>
      </w:r>
    </w:p>
    <w:p w:rsidR="003915EF" w:rsidRPr="002F3D0A" w:rsidRDefault="002F3D0A" w:rsidP="003915EF">
      <w:pPr>
        <w:pStyle w:val="Prrafodelista"/>
        <w:rPr>
          <w:rFonts w:ascii="Times New Roman" w:hAnsi="Times New Roman" w:cs="Times New Roman"/>
          <w:color w:val="000000" w:themeColor="text1"/>
          <w:sz w:val="28"/>
          <w:szCs w:val="28"/>
          <w:lang w:val="es-ES"/>
        </w:rPr>
      </w:pPr>
    </w:p>
    <w:p w:rsidR="0043409C" w:rsidRPr="002F3D0A" w:rsidRDefault="002F3D0A" w:rsidP="0043409C">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Asimismo</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sobre la justificación de la medida los actores </w:t>
      </w:r>
      <w:r w:rsidRPr="002F3D0A">
        <w:rPr>
          <w:rFonts w:ascii="Times New Roman" w:hAnsi="Times New Roman" w:cs="Times New Roman"/>
          <w:color w:val="000000" w:themeColor="text1"/>
          <w:sz w:val="28"/>
          <w:szCs w:val="28"/>
          <w:lang w:val="es-ES"/>
        </w:rPr>
        <w:t xml:space="preserve">señalaron </w:t>
      </w:r>
      <w:r w:rsidRPr="002F3D0A">
        <w:rPr>
          <w:rFonts w:ascii="Times New Roman" w:hAnsi="Times New Roman" w:cs="Times New Roman"/>
          <w:color w:val="000000" w:themeColor="text1"/>
          <w:sz w:val="28"/>
          <w:szCs w:val="28"/>
          <w:lang w:val="es-ES"/>
        </w:rPr>
        <w:t>que,</w:t>
      </w:r>
      <w:r w:rsidRPr="002F3D0A">
        <w:rPr>
          <w:rFonts w:ascii="Times New Roman" w:hAnsi="Times New Roman" w:cs="Times New Roman"/>
          <w:color w:val="000000" w:themeColor="text1"/>
          <w:sz w:val="28"/>
          <w:szCs w:val="28"/>
          <w:lang w:val="es-ES"/>
        </w:rPr>
        <w:t xml:space="preserve"> en</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una disposición anterior, en </w:t>
      </w:r>
      <w:r w:rsidRPr="002F3D0A">
        <w:rPr>
          <w:rFonts w:ascii="Times New Roman" w:hAnsi="Times New Roman" w:cs="Times New Roman"/>
          <w:color w:val="000000" w:themeColor="text1"/>
          <w:sz w:val="28"/>
          <w:szCs w:val="28"/>
          <w:lang w:val="es-ES"/>
        </w:rPr>
        <w:t xml:space="preserve">la Ley 1739 de 2014 se </w:t>
      </w:r>
      <w:r w:rsidRPr="002F3D0A">
        <w:rPr>
          <w:rFonts w:ascii="Times New Roman" w:hAnsi="Times New Roman" w:cs="Times New Roman"/>
          <w:color w:val="000000" w:themeColor="text1"/>
          <w:sz w:val="28"/>
          <w:szCs w:val="28"/>
          <w:lang w:val="es-ES"/>
        </w:rPr>
        <w:t>establec</w:t>
      </w:r>
      <w:r w:rsidRPr="002F3D0A">
        <w:rPr>
          <w:rFonts w:ascii="Times New Roman" w:hAnsi="Times New Roman" w:cs="Times New Roman"/>
          <w:color w:val="000000" w:themeColor="text1"/>
          <w:sz w:val="28"/>
          <w:szCs w:val="28"/>
          <w:lang w:val="es-ES"/>
        </w:rPr>
        <w:t>ió</w:t>
      </w:r>
      <w:r w:rsidRPr="002F3D0A">
        <w:rPr>
          <w:rFonts w:ascii="Times New Roman" w:hAnsi="Times New Roman" w:cs="Times New Roman"/>
          <w:color w:val="000000" w:themeColor="text1"/>
          <w:sz w:val="28"/>
          <w:szCs w:val="28"/>
          <w:lang w:val="es-ES"/>
        </w:rPr>
        <w:t xml:space="preserve"> que</w:t>
      </w:r>
      <w:r w:rsidRPr="002F3D0A">
        <w:rPr>
          <w:rFonts w:ascii="Times New Roman" w:hAnsi="Times New Roman" w:cs="Times New Roman"/>
          <w:color w:val="000000" w:themeColor="text1"/>
          <w:sz w:val="28"/>
          <w:szCs w:val="28"/>
          <w:lang w:val="es-ES"/>
        </w:rPr>
        <w:t xml:space="preserve"> para calcular la base gravable del impuesto a la riqueza</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de </w:t>
      </w:r>
      <w:r w:rsidRPr="002F3D0A">
        <w:rPr>
          <w:rFonts w:ascii="Times New Roman" w:hAnsi="Times New Roman" w:cs="Times New Roman"/>
          <w:color w:val="000000" w:themeColor="text1"/>
          <w:sz w:val="28"/>
          <w:szCs w:val="28"/>
          <w:lang w:val="es-ES"/>
        </w:rPr>
        <w:t>las sociedades extranjeras</w:t>
      </w:r>
      <w:r w:rsidRPr="002F3D0A">
        <w:rPr>
          <w:rFonts w:ascii="Times New Roman" w:hAnsi="Times New Roman" w:cs="Times New Roman"/>
          <w:color w:val="000000" w:themeColor="text1"/>
          <w:sz w:val="28"/>
          <w:szCs w:val="28"/>
          <w:lang w:val="es-ES"/>
        </w:rPr>
        <w:t xml:space="preserve"> se</w:t>
      </w:r>
      <w:r w:rsidRPr="002F3D0A">
        <w:rPr>
          <w:rFonts w:ascii="Times New Roman" w:hAnsi="Times New Roman" w:cs="Times New Roman"/>
          <w:color w:val="000000" w:themeColor="text1"/>
          <w:sz w:val="28"/>
          <w:szCs w:val="28"/>
          <w:lang w:val="es-ES"/>
        </w:rPr>
        <w:t xml:space="preserve"> podía</w:t>
      </w:r>
      <w:r w:rsidRPr="002F3D0A">
        <w:rPr>
          <w:rFonts w:ascii="Times New Roman" w:hAnsi="Times New Roman" w:cs="Times New Roman"/>
          <w:color w:val="000000" w:themeColor="text1"/>
          <w:sz w:val="28"/>
          <w:szCs w:val="28"/>
          <w:lang w:val="es-ES"/>
        </w:rPr>
        <w:t xml:space="preserve"> excluir, entre otros, el valor patrimonial neto de las acciones, cuotas o partes de interés en sociedades nacionales. En esa oportunidad</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la exposición de motiv</w:t>
      </w:r>
      <w:r w:rsidRPr="002F3D0A">
        <w:rPr>
          <w:rFonts w:ascii="Times New Roman" w:hAnsi="Times New Roman" w:cs="Times New Roman"/>
          <w:color w:val="000000" w:themeColor="text1"/>
          <w:sz w:val="28"/>
          <w:szCs w:val="28"/>
          <w:lang w:val="es-ES"/>
        </w:rPr>
        <w:t>os</w:t>
      </w:r>
      <w:r w:rsidRPr="002F3D0A">
        <w:rPr>
          <w:rFonts w:ascii="Times New Roman" w:hAnsi="Times New Roman" w:cs="Times New Roman"/>
          <w:color w:val="000000" w:themeColor="text1"/>
          <w:sz w:val="28"/>
          <w:szCs w:val="28"/>
          <w:lang w:val="es-ES"/>
        </w:rPr>
        <w:t xml:space="preserve"> de la ley</w:t>
      </w:r>
      <w:r w:rsidRPr="002F3D0A">
        <w:rPr>
          <w:rFonts w:ascii="Times New Roman" w:hAnsi="Times New Roman" w:cs="Times New Roman"/>
          <w:color w:val="000000" w:themeColor="text1"/>
          <w:sz w:val="28"/>
          <w:szCs w:val="28"/>
          <w:lang w:val="es-ES"/>
        </w:rPr>
        <w:t xml:space="preserve"> mencionada</w:t>
      </w:r>
      <w:r w:rsidRPr="002F3D0A">
        <w:rPr>
          <w:rFonts w:ascii="Times New Roman" w:hAnsi="Times New Roman" w:cs="Times New Roman"/>
          <w:color w:val="000000" w:themeColor="text1"/>
          <w:sz w:val="28"/>
          <w:szCs w:val="28"/>
          <w:lang w:val="es-ES"/>
        </w:rPr>
        <w:t xml:space="preserve"> señaló que </w:t>
      </w:r>
      <w:r w:rsidRPr="002F3D0A">
        <w:rPr>
          <w:rFonts w:ascii="Times New Roman" w:hAnsi="Times New Roman" w:cs="Times New Roman"/>
          <w:color w:val="000000" w:themeColor="text1"/>
          <w:sz w:val="28"/>
          <w:szCs w:val="28"/>
        </w:rPr>
        <w:t xml:space="preserve">no era pertinente </w:t>
      </w:r>
      <w:r w:rsidRPr="002F3D0A">
        <w:rPr>
          <w:rFonts w:ascii="Times New Roman" w:hAnsi="Times New Roman" w:cs="Times New Roman"/>
          <w:color w:val="000000" w:themeColor="text1"/>
          <w:sz w:val="28"/>
          <w:szCs w:val="28"/>
        </w:rPr>
        <w:t xml:space="preserve">imponer a </w:t>
      </w:r>
      <w:r w:rsidRPr="002F3D0A">
        <w:rPr>
          <w:rFonts w:ascii="Times New Roman" w:hAnsi="Times New Roman" w:cs="Times New Roman"/>
          <w:color w:val="000000" w:themeColor="text1"/>
          <w:sz w:val="28"/>
          <w:szCs w:val="28"/>
        </w:rPr>
        <w:t xml:space="preserve">los propietarios de acciones, cuotas o partes de interés en sociedades nacionales </w:t>
      </w:r>
      <w:r w:rsidRPr="002F3D0A">
        <w:rPr>
          <w:rFonts w:ascii="Times New Roman" w:hAnsi="Times New Roman" w:cs="Times New Roman"/>
          <w:color w:val="000000" w:themeColor="text1"/>
          <w:sz w:val="28"/>
          <w:szCs w:val="28"/>
        </w:rPr>
        <w:t xml:space="preserve">el </w:t>
      </w:r>
      <w:r w:rsidRPr="002F3D0A">
        <w:rPr>
          <w:rFonts w:ascii="Times New Roman" w:hAnsi="Times New Roman" w:cs="Times New Roman"/>
          <w:color w:val="000000" w:themeColor="text1"/>
          <w:sz w:val="28"/>
          <w:szCs w:val="28"/>
        </w:rPr>
        <w:t>impuesto a la riqueza para no afectar</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el desarrollo del mercado de capitales, debido </w:t>
      </w:r>
      <w:r w:rsidRPr="002F3D0A">
        <w:rPr>
          <w:rFonts w:ascii="Times New Roman" w:hAnsi="Times New Roman" w:cs="Times New Roman"/>
          <w:color w:val="000000" w:themeColor="text1"/>
          <w:sz w:val="28"/>
          <w:szCs w:val="28"/>
        </w:rPr>
        <w:t>a que este mercado “</w:t>
      </w:r>
      <w:r w:rsidRPr="002F3D0A">
        <w:rPr>
          <w:rFonts w:ascii="Times New Roman" w:hAnsi="Times New Roman" w:cs="Times New Roman"/>
          <w:sz w:val="28"/>
          <w:szCs w:val="28"/>
        </w:rPr>
        <w:t>es altamente sensible a la imposición de nuevos gravámenes, así como de ciertos deberes formales, tales como la presentación de declaraciones de impuestos”</w:t>
      </w:r>
      <w:r w:rsidRPr="002F3D0A">
        <w:rPr>
          <w:rStyle w:val="Refdenotaalpie"/>
          <w:rFonts w:ascii="Times New Roman" w:hAnsi="Times New Roman" w:cs="Times New Roman"/>
          <w:sz w:val="28"/>
          <w:szCs w:val="28"/>
        </w:rPr>
        <w:footnoteReference w:id="5"/>
      </w:r>
      <w:r w:rsidRPr="002F3D0A">
        <w:rPr>
          <w:rFonts w:ascii="Times New Roman" w:hAnsi="Times New Roman" w:cs="Times New Roman"/>
          <w:sz w:val="28"/>
          <w:szCs w:val="28"/>
        </w:rPr>
        <w:t>. Sin embargo, los actores destacan que esta afectación no se demostró</w:t>
      </w:r>
      <w:r w:rsidRPr="002F3D0A">
        <w:rPr>
          <w:rFonts w:ascii="Times New Roman" w:hAnsi="Times New Roman" w:cs="Times New Roman"/>
          <w:sz w:val="28"/>
          <w:szCs w:val="28"/>
        </w:rPr>
        <w:t xml:space="preserve"> y</w:t>
      </w:r>
      <w:r w:rsidRPr="002F3D0A">
        <w:rPr>
          <w:rFonts w:ascii="Times New Roman" w:hAnsi="Times New Roman" w:cs="Times New Roman"/>
          <w:sz w:val="28"/>
          <w:szCs w:val="28"/>
        </w:rPr>
        <w:t xml:space="preserve"> “no par</w:t>
      </w:r>
      <w:r w:rsidRPr="002F3D0A">
        <w:rPr>
          <w:rFonts w:ascii="Times New Roman" w:hAnsi="Times New Roman" w:cs="Times New Roman"/>
          <w:sz w:val="28"/>
          <w:szCs w:val="28"/>
        </w:rPr>
        <w:t>ece real” debido a que el impuesto a la riqueza grava en mayor medida a los inversionistas personas naturales.</w:t>
      </w:r>
    </w:p>
    <w:p w:rsidR="00AD557D" w:rsidRPr="002F3D0A" w:rsidRDefault="002F3D0A" w:rsidP="00AD557D">
      <w:pPr>
        <w:pStyle w:val="Prrafodelista"/>
        <w:rPr>
          <w:rFonts w:ascii="Times New Roman" w:hAnsi="Times New Roman" w:cs="Times New Roman"/>
          <w:color w:val="000000" w:themeColor="text1"/>
          <w:sz w:val="28"/>
          <w:szCs w:val="28"/>
          <w:lang w:val="es-ES"/>
        </w:rPr>
      </w:pPr>
    </w:p>
    <w:p w:rsidR="00830299" w:rsidRPr="002F3D0A" w:rsidRDefault="002F3D0A" w:rsidP="005A25A1">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Finalmente, los demandantes hicieron referencia a </w:t>
      </w:r>
      <w:r w:rsidRPr="002F3D0A">
        <w:rPr>
          <w:rFonts w:ascii="Times New Roman" w:hAnsi="Times New Roman" w:cs="Times New Roman"/>
          <w:color w:val="000000" w:themeColor="text1"/>
          <w:sz w:val="28"/>
          <w:szCs w:val="28"/>
          <w:lang w:val="es-ES"/>
        </w:rPr>
        <w:t>un concepto del Ministerio de Hacienda citado en la sentencia C-521 de 2019 en el que se indic</w:t>
      </w:r>
      <w:r w:rsidRPr="002F3D0A">
        <w:rPr>
          <w:rFonts w:ascii="Times New Roman" w:hAnsi="Times New Roman" w:cs="Times New Roman"/>
          <w:color w:val="000000" w:themeColor="text1"/>
          <w:sz w:val="28"/>
          <w:szCs w:val="28"/>
          <w:lang w:val="es-ES"/>
        </w:rPr>
        <w:t>ó</w:t>
      </w:r>
      <w:r w:rsidRPr="002F3D0A">
        <w:rPr>
          <w:rFonts w:ascii="Times New Roman" w:hAnsi="Times New Roman" w:cs="Times New Roman"/>
          <w:color w:val="000000" w:themeColor="text1"/>
          <w:sz w:val="28"/>
          <w:szCs w:val="28"/>
          <w:lang w:val="es-ES"/>
        </w:rPr>
        <w:t xml:space="preserve"> que el impuesto a la riqueza de personas jurídicas es antitécnico, pues castiga la eficiencia y competitividad de las sociedades, así como la mayor inversión de las empresas</w:t>
      </w:r>
      <w:r w:rsidRPr="002F3D0A">
        <w:rPr>
          <w:rFonts w:ascii="Times New Roman" w:hAnsi="Times New Roman" w:cs="Times New Roman"/>
          <w:color w:val="000000" w:themeColor="text1"/>
          <w:sz w:val="28"/>
          <w:szCs w:val="28"/>
          <w:lang w:val="es-ES"/>
        </w:rPr>
        <w:t xml:space="preserve"> en el país</w:t>
      </w:r>
      <w:r w:rsidRPr="002F3D0A">
        <w:rPr>
          <w:rFonts w:ascii="Times New Roman" w:hAnsi="Times New Roman" w:cs="Times New Roman"/>
          <w:color w:val="000000" w:themeColor="text1"/>
          <w:sz w:val="28"/>
          <w:szCs w:val="28"/>
          <w:lang w:val="es-ES"/>
        </w:rPr>
        <w:t>. A partir de este concepto, los actores cuestionan la introducción pe</w:t>
      </w:r>
      <w:r w:rsidRPr="002F3D0A">
        <w:rPr>
          <w:rFonts w:ascii="Times New Roman" w:hAnsi="Times New Roman" w:cs="Times New Roman"/>
          <w:color w:val="000000" w:themeColor="text1"/>
          <w:sz w:val="28"/>
          <w:szCs w:val="28"/>
          <w:lang w:val="es-ES"/>
        </w:rPr>
        <w:t xml:space="preserve">rmanente de este impuesto, el cual, </w:t>
      </w:r>
      <w:r w:rsidRPr="002F3D0A">
        <w:rPr>
          <w:rFonts w:ascii="Times New Roman" w:hAnsi="Times New Roman" w:cs="Times New Roman"/>
          <w:color w:val="000000" w:themeColor="text1"/>
          <w:sz w:val="28"/>
          <w:szCs w:val="28"/>
          <w:lang w:val="es-ES"/>
        </w:rPr>
        <w:t>a su juicio</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genera problema</w:t>
      </w:r>
      <w:r w:rsidRPr="002F3D0A">
        <w:rPr>
          <w:rFonts w:ascii="Times New Roman" w:hAnsi="Times New Roman" w:cs="Times New Roman"/>
          <w:color w:val="000000" w:themeColor="text1"/>
          <w:sz w:val="28"/>
          <w:szCs w:val="28"/>
          <w:lang w:val="es-ES"/>
        </w:rPr>
        <w:t>s</w:t>
      </w:r>
      <w:r w:rsidRPr="002F3D0A">
        <w:rPr>
          <w:rFonts w:ascii="Times New Roman" w:hAnsi="Times New Roman" w:cs="Times New Roman"/>
          <w:color w:val="000000" w:themeColor="text1"/>
          <w:sz w:val="28"/>
          <w:szCs w:val="28"/>
          <w:lang w:val="es-ES"/>
        </w:rPr>
        <w:t xml:space="preserve"> de igualdad entre las sociedades extranjeras a partir del tipo de bienes que poseen.</w:t>
      </w:r>
    </w:p>
    <w:p w:rsidR="005A25A1" w:rsidRPr="002F3D0A" w:rsidRDefault="002F3D0A" w:rsidP="005A25A1">
      <w:pPr>
        <w:pStyle w:val="Prrafodelista"/>
        <w:rPr>
          <w:rFonts w:ascii="Times New Roman" w:hAnsi="Times New Roman" w:cs="Times New Roman"/>
          <w:color w:val="000000" w:themeColor="text1"/>
          <w:sz w:val="28"/>
          <w:szCs w:val="28"/>
          <w:lang w:val="es-ES"/>
        </w:rPr>
      </w:pPr>
    </w:p>
    <w:p w:rsidR="005A25A1" w:rsidRPr="002F3D0A" w:rsidRDefault="002F3D0A" w:rsidP="005A25A1">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Con fundamento en los </w:t>
      </w:r>
      <w:r w:rsidRPr="002F3D0A">
        <w:rPr>
          <w:rFonts w:ascii="Times New Roman" w:hAnsi="Times New Roman" w:cs="Times New Roman"/>
          <w:color w:val="000000" w:themeColor="text1"/>
          <w:sz w:val="28"/>
          <w:szCs w:val="28"/>
          <w:lang w:val="es-ES"/>
        </w:rPr>
        <w:t>argumentos expuestos, los actores solicita</w:t>
      </w:r>
      <w:r w:rsidRPr="002F3D0A">
        <w:rPr>
          <w:rFonts w:ascii="Times New Roman" w:hAnsi="Times New Roman" w:cs="Times New Roman"/>
          <w:color w:val="000000" w:themeColor="text1"/>
          <w:sz w:val="28"/>
          <w:szCs w:val="28"/>
          <w:lang w:val="es-ES"/>
        </w:rPr>
        <w:t xml:space="preserve">ron que se declare inexequible el </w:t>
      </w:r>
      <w:r w:rsidRPr="002F3D0A">
        <w:rPr>
          <w:rFonts w:ascii="Times New Roman" w:hAnsi="Times New Roman" w:cs="Times New Roman"/>
          <w:color w:val="000000" w:themeColor="text1"/>
          <w:sz w:val="28"/>
          <w:szCs w:val="28"/>
          <w:lang w:val="es-ES"/>
        </w:rPr>
        <w:t>numeral 5 del artículo 35 de la Ley 2277 de 2022.</w:t>
      </w:r>
    </w:p>
    <w:p w:rsidR="00AD557D" w:rsidRPr="002F3D0A" w:rsidRDefault="002F3D0A" w:rsidP="00AD557D">
      <w:pPr>
        <w:pStyle w:val="Prrafodelista"/>
        <w:rPr>
          <w:rFonts w:ascii="Times New Roman" w:hAnsi="Times New Roman" w:cs="Times New Roman"/>
          <w:color w:val="000000" w:themeColor="text1"/>
          <w:sz w:val="28"/>
          <w:szCs w:val="28"/>
          <w:lang w:val="es-ES"/>
        </w:rPr>
      </w:pPr>
    </w:p>
    <w:p w:rsidR="00AD557D" w:rsidRPr="002F3D0A" w:rsidRDefault="002F3D0A" w:rsidP="00D95074">
      <w:pPr>
        <w:contextualSpacing/>
        <w:rPr>
          <w:rFonts w:ascii="Times New Roman" w:hAnsi="Times New Roman" w:cs="Times New Roman"/>
          <w:b/>
          <w:color w:val="000000" w:themeColor="text1"/>
          <w:sz w:val="28"/>
          <w:szCs w:val="28"/>
          <w:lang w:val="es-ES"/>
        </w:rPr>
      </w:pPr>
      <w:r w:rsidRPr="002F3D0A">
        <w:rPr>
          <w:rFonts w:ascii="Times New Roman" w:hAnsi="Times New Roman" w:cs="Times New Roman"/>
          <w:b/>
          <w:color w:val="000000" w:themeColor="text1"/>
          <w:sz w:val="28"/>
          <w:szCs w:val="28"/>
          <w:lang w:val="es-ES"/>
        </w:rPr>
        <w:t xml:space="preserve">Cargo por violación de </w:t>
      </w:r>
      <w:r w:rsidRPr="002F3D0A">
        <w:rPr>
          <w:rFonts w:ascii="Times New Roman" w:hAnsi="Times New Roman" w:cs="Times New Roman"/>
          <w:b/>
          <w:color w:val="000000" w:themeColor="text1"/>
          <w:sz w:val="28"/>
          <w:szCs w:val="28"/>
          <w:lang w:val="es-ES"/>
        </w:rPr>
        <w:t>la competencia exclusiva de los</w:t>
      </w:r>
      <w:r w:rsidRPr="002F3D0A">
        <w:rPr>
          <w:rFonts w:ascii="Times New Roman" w:hAnsi="Times New Roman" w:cs="Times New Roman"/>
          <w:b/>
          <w:color w:val="000000" w:themeColor="text1"/>
          <w:sz w:val="28"/>
          <w:szCs w:val="28"/>
          <w:lang w:val="es-ES"/>
        </w:rPr>
        <w:t xml:space="preserve"> municipios</w:t>
      </w:r>
      <w:r w:rsidRPr="002F3D0A">
        <w:rPr>
          <w:rFonts w:ascii="Times New Roman" w:hAnsi="Times New Roman" w:cs="Times New Roman"/>
          <w:b/>
          <w:color w:val="000000" w:themeColor="text1"/>
          <w:sz w:val="28"/>
          <w:szCs w:val="28"/>
          <w:lang w:val="es-ES"/>
        </w:rPr>
        <w:t xml:space="preserve"> para gravar la propiedad inmueble</w:t>
      </w:r>
      <w:r w:rsidRPr="002F3D0A">
        <w:rPr>
          <w:rFonts w:ascii="Times New Roman" w:hAnsi="Times New Roman" w:cs="Times New Roman"/>
          <w:b/>
          <w:color w:val="000000" w:themeColor="text1"/>
          <w:sz w:val="28"/>
          <w:szCs w:val="28"/>
          <w:lang w:val="es-ES"/>
        </w:rPr>
        <w:t>. Artículos 287 y 317 de la Carta Política</w:t>
      </w:r>
    </w:p>
    <w:p w:rsidR="00AD557D" w:rsidRPr="002F3D0A" w:rsidRDefault="002F3D0A" w:rsidP="00D95074">
      <w:pPr>
        <w:contextualSpacing/>
        <w:rPr>
          <w:rFonts w:ascii="Times New Roman" w:hAnsi="Times New Roman" w:cs="Times New Roman"/>
          <w:color w:val="000000" w:themeColor="text1"/>
          <w:sz w:val="28"/>
          <w:szCs w:val="28"/>
          <w:lang w:val="es-ES"/>
        </w:rPr>
      </w:pPr>
    </w:p>
    <w:p w:rsidR="00AD557D" w:rsidRPr="002F3D0A" w:rsidRDefault="002F3D0A" w:rsidP="00D95074">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hAnsi="Times New Roman" w:cs="Times New Roman"/>
          <w:color w:val="000000" w:themeColor="text1"/>
          <w:sz w:val="28"/>
          <w:szCs w:val="28"/>
          <w:lang w:val="es-ES"/>
        </w:rPr>
        <w:t xml:space="preserve">En este cargo, los actores destacaron que los artículos 287 y </w:t>
      </w:r>
      <w:r w:rsidRPr="002F3D0A">
        <w:rPr>
          <w:rFonts w:ascii="Times New Roman" w:hAnsi="Times New Roman" w:cs="Times New Roman"/>
          <w:color w:val="000000" w:themeColor="text1"/>
          <w:sz w:val="28"/>
          <w:szCs w:val="28"/>
          <w:lang w:val="es-ES"/>
        </w:rPr>
        <w:t xml:space="preserve">317 superiores </w:t>
      </w:r>
      <w:r w:rsidRPr="002F3D0A">
        <w:rPr>
          <w:rFonts w:ascii="Times New Roman" w:hAnsi="Times New Roman" w:cs="Times New Roman"/>
          <w:color w:val="000000" w:themeColor="text1"/>
          <w:sz w:val="28"/>
          <w:szCs w:val="28"/>
          <w:lang w:val="es-ES"/>
        </w:rPr>
        <w:t xml:space="preserve">le </w:t>
      </w:r>
      <w:r w:rsidRPr="002F3D0A">
        <w:rPr>
          <w:rFonts w:ascii="Times New Roman" w:hAnsi="Times New Roman" w:cs="Times New Roman"/>
          <w:color w:val="000000" w:themeColor="text1"/>
          <w:sz w:val="28"/>
          <w:szCs w:val="28"/>
        </w:rPr>
        <w:t xml:space="preserve">otorgan </w:t>
      </w:r>
      <w:r w:rsidRPr="002F3D0A">
        <w:rPr>
          <w:rFonts w:ascii="Times New Roman" w:hAnsi="Times New Roman" w:cs="Times New Roman"/>
          <w:color w:val="000000" w:themeColor="text1"/>
          <w:sz w:val="28"/>
          <w:szCs w:val="28"/>
        </w:rPr>
        <w:t>de forma exclusiva a</w:t>
      </w:r>
      <w:r w:rsidRPr="002F3D0A">
        <w:rPr>
          <w:rFonts w:ascii="Times New Roman" w:hAnsi="Times New Roman" w:cs="Times New Roman"/>
          <w:color w:val="000000" w:themeColor="text1"/>
          <w:sz w:val="28"/>
          <w:szCs w:val="28"/>
        </w:rPr>
        <w:t xml:space="preserve"> los municipios </w:t>
      </w:r>
      <w:r w:rsidRPr="002F3D0A">
        <w:rPr>
          <w:rFonts w:ascii="Times New Roman" w:hAnsi="Times New Roman" w:cs="Times New Roman"/>
          <w:color w:val="000000" w:themeColor="text1"/>
          <w:sz w:val="28"/>
          <w:szCs w:val="28"/>
        </w:rPr>
        <w:t xml:space="preserve">la facultad para gravar </w:t>
      </w:r>
      <w:r w:rsidRPr="002F3D0A">
        <w:rPr>
          <w:rFonts w:ascii="Times New Roman" w:hAnsi="Times New Roman" w:cs="Times New Roman"/>
          <w:color w:val="000000" w:themeColor="text1"/>
          <w:sz w:val="28"/>
          <w:szCs w:val="28"/>
        </w:rPr>
        <w:t xml:space="preserve">la propiedad inmueble. Por ende, el hecho generador y la base gravable del impuesto al patrimonio, al incluir </w:t>
      </w:r>
      <w:r w:rsidRPr="002F3D0A">
        <w:rPr>
          <w:rFonts w:ascii="Times New Roman" w:hAnsi="Times New Roman" w:cs="Times New Roman"/>
          <w:color w:val="000000" w:themeColor="text1"/>
          <w:sz w:val="28"/>
          <w:szCs w:val="28"/>
        </w:rPr>
        <w:t xml:space="preserve">los inmuebles </w:t>
      </w:r>
      <w:r w:rsidRPr="002F3D0A">
        <w:rPr>
          <w:rFonts w:ascii="Times New Roman" w:hAnsi="Times New Roman" w:cs="Times New Roman"/>
          <w:color w:val="000000" w:themeColor="text1"/>
          <w:sz w:val="28"/>
          <w:szCs w:val="28"/>
        </w:rPr>
        <w:t>dentro del patrimonio sujeto a imposición</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 violan </w:t>
      </w:r>
      <w:r w:rsidRPr="002F3D0A">
        <w:rPr>
          <w:rFonts w:ascii="Times New Roman" w:hAnsi="Times New Roman" w:cs="Times New Roman"/>
          <w:color w:val="000000" w:themeColor="text1"/>
          <w:sz w:val="28"/>
          <w:szCs w:val="28"/>
        </w:rPr>
        <w:t>la competencia de los municipios y su autonomía</w:t>
      </w:r>
    </w:p>
    <w:p w:rsidR="00FB11CD" w:rsidRPr="002F3D0A" w:rsidRDefault="002F3D0A" w:rsidP="00FB11CD">
      <w:pPr>
        <w:rPr>
          <w:rFonts w:ascii="Times New Roman" w:hAnsi="Times New Roman" w:cs="Times New Roman"/>
          <w:color w:val="000000" w:themeColor="text1"/>
          <w:sz w:val="28"/>
          <w:szCs w:val="28"/>
          <w:lang w:val="es-ES"/>
        </w:rPr>
      </w:pPr>
    </w:p>
    <w:p w:rsidR="00FB11CD" w:rsidRPr="002F3D0A" w:rsidRDefault="002F3D0A" w:rsidP="00B62B9A">
      <w:pPr>
        <w:pStyle w:val="Prrafodelista"/>
        <w:numPr>
          <w:ilvl w:val="0"/>
          <w:numId w:val="1"/>
        </w:numPr>
        <w:ind w:left="0" w:firstLine="0"/>
        <w:rPr>
          <w:rFonts w:ascii="Times New Roman" w:hAnsi="Times New Roman" w:cs="Times New Roman"/>
          <w:color w:val="000000" w:themeColor="text1"/>
          <w:sz w:val="28"/>
          <w:szCs w:val="28"/>
          <w:lang w:val="es-ES"/>
        </w:rPr>
      </w:pPr>
      <w:r w:rsidRPr="002F3D0A">
        <w:rPr>
          <w:rFonts w:ascii="Times New Roman" w:eastAsia="Times New Roman" w:hAnsi="Times New Roman" w:cs="Times New Roman"/>
          <w:bCs/>
          <w:sz w:val="28"/>
          <w:szCs w:val="28"/>
          <w:lang w:val="es-ES_tradnl" w:eastAsia="es-ES"/>
        </w:rPr>
        <w:t xml:space="preserve">Los demandantes </w:t>
      </w:r>
      <w:r w:rsidRPr="002F3D0A">
        <w:rPr>
          <w:rFonts w:ascii="Times New Roman" w:eastAsia="Times New Roman" w:hAnsi="Times New Roman" w:cs="Times New Roman"/>
          <w:bCs/>
          <w:sz w:val="28"/>
          <w:szCs w:val="28"/>
          <w:lang w:val="es-ES_tradnl" w:eastAsia="es-ES"/>
        </w:rPr>
        <w:t>aludieron</w:t>
      </w:r>
      <w:r w:rsidRPr="002F3D0A">
        <w:rPr>
          <w:rFonts w:ascii="Times New Roman" w:eastAsia="Times New Roman" w:hAnsi="Times New Roman" w:cs="Times New Roman"/>
          <w:bCs/>
          <w:sz w:val="28"/>
          <w:szCs w:val="28"/>
          <w:lang w:val="es-ES_tradnl" w:eastAsia="es-ES"/>
        </w:rPr>
        <w:t xml:space="preserve"> al modelo de organización del Estado</w:t>
      </w:r>
      <w:r w:rsidRPr="002F3D0A">
        <w:rPr>
          <w:rFonts w:ascii="Times New Roman" w:eastAsia="Times New Roman" w:hAnsi="Times New Roman" w:cs="Times New Roman"/>
          <w:bCs/>
          <w:sz w:val="28"/>
          <w:szCs w:val="28"/>
          <w:lang w:val="es-ES_tradnl" w:eastAsia="es-ES"/>
        </w:rPr>
        <w:t xml:space="preserve"> colombiano</w:t>
      </w:r>
      <w:r w:rsidRPr="002F3D0A">
        <w:rPr>
          <w:rFonts w:ascii="Times New Roman" w:eastAsia="Times New Roman" w:hAnsi="Times New Roman" w:cs="Times New Roman"/>
          <w:bCs/>
          <w:sz w:val="28"/>
          <w:szCs w:val="28"/>
          <w:lang w:val="es-ES_tradnl" w:eastAsia="es-ES"/>
        </w:rPr>
        <w:t xml:space="preserve"> haciendo énfasis en la autonomía de las entidades territoriales y destacaron que el artículo 287 superior le otorga a </w:t>
      </w:r>
      <w:r w:rsidRPr="002F3D0A">
        <w:rPr>
          <w:rFonts w:ascii="Times New Roman" w:eastAsia="Times New Roman" w:hAnsi="Times New Roman" w:cs="Times New Roman"/>
          <w:bCs/>
          <w:sz w:val="28"/>
          <w:szCs w:val="28"/>
          <w:lang w:eastAsia="es-ES"/>
        </w:rPr>
        <w:t xml:space="preserve">las administraciones locales el poder para crear e imponer los tributos que sean necesarios para cumplir con sus tareas y obligaciones, dentro de los límites establecidos en la ley y en la Constitución. Por su parte, el artículo 317 </w:t>
      </w:r>
      <w:r w:rsidRPr="002F3D0A">
        <w:rPr>
          <w:rFonts w:ascii="Times New Roman" w:eastAsia="Times New Roman" w:hAnsi="Times New Roman" w:cs="Times New Roman"/>
          <w:bCs/>
          <w:sz w:val="28"/>
          <w:szCs w:val="28"/>
          <w:lang w:eastAsia="es-ES"/>
        </w:rPr>
        <w:t xml:space="preserve">superior </w:t>
      </w:r>
      <w:r w:rsidRPr="002F3D0A">
        <w:rPr>
          <w:rFonts w:ascii="Times New Roman" w:eastAsia="Times New Roman" w:hAnsi="Times New Roman" w:cs="Times New Roman"/>
          <w:bCs/>
          <w:sz w:val="28"/>
          <w:szCs w:val="28"/>
          <w:lang w:eastAsia="es-ES"/>
        </w:rPr>
        <w:t xml:space="preserve">establece que solo los municipios podrán gravar la propiedad inmueble. </w:t>
      </w:r>
      <w:r w:rsidRPr="002F3D0A">
        <w:rPr>
          <w:rFonts w:ascii="Times New Roman" w:eastAsia="Times New Roman" w:hAnsi="Times New Roman" w:cs="Times New Roman"/>
          <w:bCs/>
          <w:sz w:val="28"/>
          <w:szCs w:val="28"/>
          <w:lang w:eastAsia="es-ES"/>
        </w:rPr>
        <w:t>A partir de estos mandatos constitucionales</w:t>
      </w:r>
      <w:r w:rsidRPr="002F3D0A">
        <w:rPr>
          <w:rFonts w:ascii="Times New Roman" w:eastAsia="Times New Roman" w:hAnsi="Times New Roman" w:cs="Times New Roman"/>
          <w:bCs/>
          <w:sz w:val="28"/>
          <w:szCs w:val="28"/>
          <w:lang w:eastAsia="es-ES"/>
        </w:rPr>
        <w:t xml:space="preserve">, </w:t>
      </w:r>
      <w:r w:rsidRPr="002F3D0A">
        <w:rPr>
          <w:rFonts w:ascii="Times New Roman" w:eastAsia="Times New Roman" w:hAnsi="Times New Roman" w:cs="Times New Roman"/>
          <w:bCs/>
          <w:sz w:val="28"/>
          <w:szCs w:val="28"/>
          <w:lang w:eastAsia="es-ES"/>
        </w:rPr>
        <w:t xml:space="preserve">los actores señalan que </w:t>
      </w:r>
      <w:r w:rsidRPr="002F3D0A">
        <w:rPr>
          <w:rFonts w:ascii="Times New Roman" w:eastAsia="Times New Roman" w:hAnsi="Times New Roman" w:cs="Times New Roman"/>
          <w:bCs/>
          <w:sz w:val="28"/>
          <w:szCs w:val="28"/>
          <w:lang w:eastAsia="es-ES"/>
        </w:rPr>
        <w:t>el impuesto al patrimonio al incluir en la base gravable la propiedad inmueble viola la regla constitucional que def</w:t>
      </w:r>
      <w:r w:rsidRPr="002F3D0A">
        <w:rPr>
          <w:rFonts w:ascii="Times New Roman" w:eastAsia="Times New Roman" w:hAnsi="Times New Roman" w:cs="Times New Roman"/>
          <w:bCs/>
          <w:sz w:val="28"/>
          <w:szCs w:val="28"/>
          <w:lang w:eastAsia="es-ES"/>
        </w:rPr>
        <w:t xml:space="preserve">ine la competencia de los municipios para gravar </w:t>
      </w:r>
      <w:r w:rsidRPr="002F3D0A">
        <w:rPr>
          <w:rFonts w:ascii="Times New Roman" w:eastAsia="Times New Roman" w:hAnsi="Times New Roman" w:cs="Times New Roman"/>
          <w:bCs/>
          <w:sz w:val="28"/>
          <w:szCs w:val="28"/>
          <w:lang w:eastAsia="es-ES"/>
        </w:rPr>
        <w:t>ese tipo de bienes.</w:t>
      </w:r>
    </w:p>
    <w:p w:rsidR="00FB11CD" w:rsidRPr="002F3D0A" w:rsidRDefault="002F3D0A" w:rsidP="00FB11CD">
      <w:pPr>
        <w:pStyle w:val="Prrafodelista"/>
        <w:rPr>
          <w:rFonts w:ascii="Times New Roman" w:eastAsia="Times New Roman" w:hAnsi="Times New Roman" w:cs="Times New Roman"/>
          <w:b/>
          <w:bCs/>
          <w:sz w:val="28"/>
          <w:szCs w:val="28"/>
          <w:lang w:val="es-ES_tradnl" w:eastAsia="es-ES"/>
        </w:rPr>
      </w:pPr>
    </w:p>
    <w:p w:rsidR="006A7AB9" w:rsidRPr="002F3D0A" w:rsidRDefault="002F3D0A" w:rsidP="00263D64">
      <w:pPr>
        <w:pStyle w:val="Prrafodelista"/>
        <w:numPr>
          <w:ilvl w:val="0"/>
          <w:numId w:val="1"/>
        </w:numPr>
        <w:ind w:left="0" w:firstLine="0"/>
        <w:rPr>
          <w:rFonts w:ascii="Times New Roman" w:eastAsia="Times New Roman" w:hAnsi="Times New Roman" w:cs="Times New Roman"/>
          <w:b/>
          <w:bCs/>
          <w:sz w:val="28"/>
          <w:szCs w:val="28"/>
          <w:lang w:val="es-ES_tradnl" w:eastAsia="es-ES"/>
        </w:rPr>
      </w:pPr>
      <w:r w:rsidRPr="002F3D0A">
        <w:rPr>
          <w:rFonts w:ascii="Times New Roman" w:hAnsi="Times New Roman" w:cs="Times New Roman"/>
          <w:color w:val="000000" w:themeColor="text1"/>
          <w:sz w:val="28"/>
          <w:szCs w:val="28"/>
          <w:lang w:val="es-ES"/>
        </w:rPr>
        <w:t xml:space="preserve">Adicionalmente, los </w:t>
      </w:r>
      <w:r w:rsidRPr="002F3D0A">
        <w:rPr>
          <w:rFonts w:ascii="Times New Roman" w:hAnsi="Times New Roman" w:cs="Times New Roman"/>
          <w:color w:val="000000" w:themeColor="text1"/>
          <w:sz w:val="28"/>
          <w:szCs w:val="28"/>
          <w:lang w:val="es-ES"/>
        </w:rPr>
        <w:t xml:space="preserve">actores </w:t>
      </w:r>
      <w:r w:rsidRPr="002F3D0A">
        <w:rPr>
          <w:rFonts w:ascii="Times New Roman" w:hAnsi="Times New Roman" w:cs="Times New Roman"/>
          <w:color w:val="000000" w:themeColor="text1"/>
          <w:sz w:val="28"/>
          <w:szCs w:val="28"/>
          <w:lang w:val="es-ES"/>
        </w:rPr>
        <w:t>señala</w:t>
      </w:r>
      <w:r w:rsidRPr="002F3D0A">
        <w:rPr>
          <w:rFonts w:ascii="Times New Roman" w:hAnsi="Times New Roman" w:cs="Times New Roman"/>
          <w:color w:val="000000" w:themeColor="text1"/>
          <w:sz w:val="28"/>
          <w:szCs w:val="28"/>
          <w:lang w:val="es-ES"/>
        </w:rPr>
        <w:t>ron que la Corte Constitucional ha examinado demandas contra el impuesto al patrimonio por la transgresión del artículo 317 superior y ha considerado qu</w:t>
      </w:r>
      <w:r w:rsidRPr="002F3D0A">
        <w:rPr>
          <w:rFonts w:ascii="Times New Roman" w:hAnsi="Times New Roman" w:cs="Times New Roman"/>
          <w:color w:val="000000" w:themeColor="text1"/>
          <w:sz w:val="28"/>
          <w:szCs w:val="28"/>
          <w:lang w:val="es-ES"/>
        </w:rPr>
        <w:t xml:space="preserve">e el impuesto es exequible, particularmente </w:t>
      </w:r>
      <w:r w:rsidRPr="002F3D0A">
        <w:rPr>
          <w:rFonts w:ascii="Times New Roman" w:hAnsi="Times New Roman" w:cs="Times New Roman"/>
          <w:color w:val="000000" w:themeColor="text1"/>
          <w:sz w:val="28"/>
          <w:szCs w:val="28"/>
          <w:lang w:val="es-ES"/>
        </w:rPr>
        <w:t>este examen se ha efectuado en</w:t>
      </w:r>
      <w:r w:rsidRPr="002F3D0A">
        <w:rPr>
          <w:rFonts w:ascii="Times New Roman" w:hAnsi="Times New Roman" w:cs="Times New Roman"/>
          <w:color w:val="000000" w:themeColor="text1"/>
          <w:sz w:val="28"/>
          <w:szCs w:val="28"/>
          <w:lang w:val="es-ES"/>
        </w:rPr>
        <w:t xml:space="preserve"> las sentencias </w:t>
      </w:r>
      <w:r w:rsidRPr="002F3D0A">
        <w:rPr>
          <w:rFonts w:ascii="Times New Roman" w:hAnsi="Times New Roman" w:cs="Times New Roman"/>
          <w:color w:val="000000" w:themeColor="text1"/>
          <w:sz w:val="28"/>
          <w:szCs w:val="28"/>
          <w:lang w:val="es-ES"/>
        </w:rPr>
        <w:t xml:space="preserve">C-876 de 2002 </w:t>
      </w:r>
      <w:r w:rsidRPr="002F3D0A">
        <w:rPr>
          <w:rFonts w:ascii="Times New Roman" w:hAnsi="Times New Roman" w:cs="Times New Roman"/>
          <w:color w:val="000000" w:themeColor="text1"/>
          <w:sz w:val="28"/>
          <w:szCs w:val="28"/>
          <w:lang w:val="es-ES"/>
        </w:rPr>
        <w:t>y C-990 de 2004. Sin embargo, a juicio de los actores, el precedente de las sentencias en mención no es aplicable al presente asunto</w:t>
      </w:r>
      <w:r w:rsidRPr="002F3D0A">
        <w:rPr>
          <w:rFonts w:ascii="Times New Roman" w:hAnsi="Times New Roman" w:cs="Times New Roman"/>
          <w:color w:val="000000" w:themeColor="text1"/>
          <w:sz w:val="28"/>
          <w:szCs w:val="28"/>
          <w:lang w:val="es-ES"/>
        </w:rPr>
        <w:t>.</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En concreto, los </w:t>
      </w:r>
      <w:r w:rsidRPr="002F3D0A">
        <w:rPr>
          <w:rFonts w:ascii="Times New Roman" w:hAnsi="Times New Roman" w:cs="Times New Roman"/>
          <w:color w:val="000000" w:themeColor="text1"/>
          <w:sz w:val="28"/>
          <w:szCs w:val="28"/>
          <w:lang w:val="es-ES"/>
        </w:rPr>
        <w:t>accionantes indicaron que se requiere un nuevo examen sobre la violación del artículo 317 superior po</w:t>
      </w:r>
      <w:r w:rsidRPr="002F3D0A">
        <w:rPr>
          <w:rFonts w:ascii="Times New Roman" w:hAnsi="Times New Roman" w:cs="Times New Roman"/>
          <w:color w:val="000000" w:themeColor="text1"/>
          <w:sz w:val="28"/>
          <w:szCs w:val="28"/>
          <w:lang w:val="es-ES"/>
        </w:rPr>
        <w:t xml:space="preserve">r tres razones: (i) </w:t>
      </w:r>
      <w:r w:rsidRPr="002F3D0A">
        <w:rPr>
          <w:rFonts w:ascii="Times New Roman" w:hAnsi="Times New Roman" w:cs="Times New Roman"/>
          <w:color w:val="000000" w:themeColor="text1"/>
          <w:sz w:val="28"/>
          <w:szCs w:val="28"/>
          <w:lang w:val="es-ES"/>
        </w:rPr>
        <w:t>en esta ley el impuesto al patrimonio se vuelve permanente</w:t>
      </w:r>
      <w:r w:rsidRPr="002F3D0A">
        <w:rPr>
          <w:rFonts w:ascii="Times New Roman" w:hAnsi="Times New Roman" w:cs="Times New Roman"/>
          <w:color w:val="000000" w:themeColor="text1"/>
          <w:sz w:val="28"/>
          <w:szCs w:val="28"/>
          <w:lang w:val="es-ES"/>
        </w:rPr>
        <w:t xml:space="preserve">; (ii) en </w:t>
      </w:r>
      <w:r w:rsidRPr="002F3D0A">
        <w:rPr>
          <w:rFonts w:ascii="Times New Roman" w:hAnsi="Times New Roman" w:cs="Times New Roman"/>
          <w:color w:val="000000" w:themeColor="text1"/>
          <w:sz w:val="28"/>
          <w:szCs w:val="28"/>
          <w:lang w:val="es-ES"/>
        </w:rPr>
        <w:t>la</w:t>
      </w:r>
      <w:r w:rsidRPr="002F3D0A">
        <w:rPr>
          <w:rFonts w:ascii="Times New Roman" w:hAnsi="Times New Roman" w:cs="Times New Roman"/>
          <w:color w:val="000000" w:themeColor="text1"/>
          <w:sz w:val="28"/>
          <w:szCs w:val="28"/>
          <w:lang w:val="es-ES"/>
        </w:rPr>
        <w:t xml:space="preserve"> sentencia C-990 de 2004 solo </w:t>
      </w:r>
      <w:r w:rsidRPr="002F3D0A">
        <w:rPr>
          <w:rFonts w:ascii="Times New Roman" w:hAnsi="Times New Roman" w:cs="Times New Roman"/>
          <w:color w:val="000000" w:themeColor="text1"/>
          <w:sz w:val="28"/>
          <w:szCs w:val="28"/>
          <w:lang w:val="es-ES"/>
        </w:rPr>
        <w:t xml:space="preserve">se </w:t>
      </w:r>
      <w:r w:rsidRPr="002F3D0A">
        <w:rPr>
          <w:rFonts w:ascii="Times New Roman" w:hAnsi="Times New Roman" w:cs="Times New Roman"/>
          <w:color w:val="000000" w:themeColor="text1"/>
          <w:sz w:val="28"/>
          <w:szCs w:val="28"/>
          <w:lang w:val="es-ES"/>
        </w:rPr>
        <w:t>evaluó</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sz w:val="28"/>
          <w:szCs w:val="28"/>
        </w:rPr>
        <w:t>el hecho de que el impues</w:t>
      </w:r>
      <w:r w:rsidRPr="002F3D0A">
        <w:rPr>
          <w:rFonts w:ascii="Times New Roman" w:hAnsi="Times New Roman" w:cs="Times New Roman"/>
          <w:sz w:val="28"/>
          <w:szCs w:val="28"/>
        </w:rPr>
        <w:t xml:space="preserve">to al patrimonio gravara los bienes inmuebles, mientras que </w:t>
      </w:r>
      <w:r w:rsidRPr="002F3D0A">
        <w:rPr>
          <w:rFonts w:ascii="Times New Roman" w:hAnsi="Times New Roman" w:cs="Times New Roman"/>
          <w:sz w:val="28"/>
          <w:szCs w:val="28"/>
        </w:rPr>
        <w:t xml:space="preserve">en el presente asunto cuestionan </w:t>
      </w:r>
      <w:r w:rsidRPr="002F3D0A">
        <w:rPr>
          <w:rFonts w:ascii="Times New Roman" w:hAnsi="Times New Roman" w:cs="Times New Roman"/>
          <w:sz w:val="28"/>
          <w:szCs w:val="28"/>
        </w:rPr>
        <w:t>que el impuesto al patrimonio grave los inmuebles poseídos por las personas naturales, sociedades o entidades extranjeras sin residencia fiscal en Colombia</w:t>
      </w:r>
      <w:r w:rsidRPr="002F3D0A">
        <w:rPr>
          <w:rFonts w:ascii="Times New Roman" w:hAnsi="Times New Roman" w:cs="Times New Roman"/>
          <w:sz w:val="28"/>
          <w:szCs w:val="28"/>
        </w:rPr>
        <w:t xml:space="preserve">; (iii) </w:t>
      </w:r>
      <w:r w:rsidRPr="002F3D0A">
        <w:rPr>
          <w:rFonts w:ascii="Times New Roman" w:hAnsi="Times New Roman" w:cs="Times New Roman"/>
          <w:sz w:val="28"/>
          <w:szCs w:val="28"/>
        </w:rPr>
        <w:t xml:space="preserve">uno de los argumentos expuestos </w:t>
      </w:r>
      <w:r w:rsidRPr="002F3D0A">
        <w:rPr>
          <w:rFonts w:ascii="Times New Roman" w:hAnsi="Times New Roman" w:cs="Times New Roman"/>
          <w:sz w:val="28"/>
          <w:szCs w:val="28"/>
        </w:rPr>
        <w:t>en la sentencia C-990 de 2004</w:t>
      </w:r>
      <w:r w:rsidRPr="002F3D0A">
        <w:rPr>
          <w:rFonts w:ascii="Times New Roman" w:hAnsi="Times New Roman" w:cs="Times New Roman"/>
          <w:sz w:val="28"/>
          <w:szCs w:val="28"/>
        </w:rPr>
        <w:t xml:space="preserve"> estuvo relacionado con la exclusión que hacía la norma anterior sobre l</w:t>
      </w:r>
      <w:r w:rsidRPr="002F3D0A">
        <w:rPr>
          <w:rFonts w:ascii="Times New Roman" w:hAnsi="Times New Roman" w:cs="Times New Roman"/>
          <w:sz w:val="28"/>
          <w:szCs w:val="28"/>
        </w:rPr>
        <w:t xml:space="preserve">os </w:t>
      </w:r>
      <w:r w:rsidRPr="002F3D0A">
        <w:rPr>
          <w:rFonts w:ascii="Times New Roman" w:hAnsi="Times New Roman" w:cs="Times New Roman"/>
          <w:sz w:val="28"/>
          <w:szCs w:val="28"/>
        </w:rPr>
        <w:t xml:space="preserve">primeros $200.000.000 de la casa de habitación o residencia. </w:t>
      </w:r>
      <w:r w:rsidRPr="002F3D0A">
        <w:rPr>
          <w:rFonts w:ascii="Times New Roman" w:hAnsi="Times New Roman" w:cs="Times New Roman"/>
          <w:sz w:val="28"/>
          <w:szCs w:val="28"/>
        </w:rPr>
        <w:t xml:space="preserve">Sin embargo, </w:t>
      </w:r>
      <w:r w:rsidRPr="002F3D0A">
        <w:rPr>
          <w:rFonts w:ascii="Times New Roman" w:hAnsi="Times New Roman" w:cs="Times New Roman"/>
          <w:sz w:val="28"/>
          <w:szCs w:val="28"/>
        </w:rPr>
        <w:t>el artículo 37 de la Ley 2277 de 2022</w:t>
      </w:r>
      <w:r w:rsidRPr="002F3D0A">
        <w:rPr>
          <w:rFonts w:ascii="Times New Roman" w:hAnsi="Times New Roman" w:cs="Times New Roman"/>
          <w:sz w:val="28"/>
          <w:szCs w:val="28"/>
        </w:rPr>
        <w:t xml:space="preserve"> prevé la</w:t>
      </w:r>
      <w:r w:rsidRPr="002F3D0A">
        <w:rPr>
          <w:rFonts w:ascii="Times New Roman" w:hAnsi="Times New Roman" w:cs="Times New Roman"/>
          <w:sz w:val="28"/>
          <w:szCs w:val="28"/>
        </w:rPr>
        <w:t xml:space="preserve"> exclusión de las primeras 12.000 UVT de la vivienda que habite la mayor parte del tiempo la persona natural</w:t>
      </w:r>
      <w:r w:rsidRPr="002F3D0A">
        <w:rPr>
          <w:rFonts w:ascii="Times New Roman" w:hAnsi="Times New Roman" w:cs="Times New Roman"/>
          <w:sz w:val="28"/>
          <w:szCs w:val="28"/>
        </w:rPr>
        <w:t>, razón por la que las personas naturales no residentes y sociedades extranjeras no podrán deducir la propiedad inmueble</w:t>
      </w:r>
      <w:r w:rsidRPr="002F3D0A">
        <w:rPr>
          <w:rFonts w:ascii="Times New Roman" w:hAnsi="Times New Roman" w:cs="Times New Roman"/>
          <w:sz w:val="28"/>
          <w:szCs w:val="28"/>
        </w:rPr>
        <w:t xml:space="preserve"> de la base gravable</w:t>
      </w:r>
      <w:r w:rsidRPr="002F3D0A">
        <w:rPr>
          <w:rFonts w:ascii="Times New Roman" w:hAnsi="Times New Roman" w:cs="Times New Roman"/>
          <w:sz w:val="28"/>
          <w:szCs w:val="28"/>
        </w:rPr>
        <w:t>.</w:t>
      </w:r>
    </w:p>
    <w:p w:rsidR="005C620D" w:rsidRPr="002F3D0A" w:rsidRDefault="002F3D0A" w:rsidP="005C620D">
      <w:pPr>
        <w:pStyle w:val="Prrafodelista"/>
        <w:rPr>
          <w:rFonts w:ascii="Times New Roman" w:eastAsia="Times New Roman" w:hAnsi="Times New Roman" w:cs="Times New Roman"/>
          <w:b/>
          <w:bCs/>
          <w:sz w:val="28"/>
          <w:szCs w:val="28"/>
          <w:lang w:val="es-ES_tradnl" w:eastAsia="es-ES"/>
        </w:rPr>
      </w:pPr>
    </w:p>
    <w:p w:rsidR="005C620D" w:rsidRPr="002F3D0A" w:rsidRDefault="002F3D0A" w:rsidP="005C620D">
      <w:pPr>
        <w:pStyle w:val="Prrafodelista"/>
        <w:numPr>
          <w:ilvl w:val="0"/>
          <w:numId w:val="1"/>
        </w:numPr>
        <w:ind w:left="0" w:firstLine="0"/>
        <w:rPr>
          <w:rFonts w:ascii="Times New Roman" w:eastAsia="Times New Roman" w:hAnsi="Times New Roman" w:cs="Times New Roman"/>
          <w:bCs/>
          <w:sz w:val="28"/>
          <w:szCs w:val="28"/>
          <w:lang w:val="es-ES_tradnl" w:eastAsia="es-ES"/>
        </w:rPr>
      </w:pPr>
      <w:r w:rsidRPr="002F3D0A">
        <w:rPr>
          <w:rFonts w:ascii="Times New Roman" w:eastAsia="Times New Roman" w:hAnsi="Times New Roman" w:cs="Times New Roman"/>
          <w:bCs/>
          <w:sz w:val="28"/>
          <w:szCs w:val="28"/>
          <w:lang w:val="es-ES_tradnl" w:eastAsia="es-ES"/>
        </w:rPr>
        <w:t xml:space="preserve">Para </w:t>
      </w:r>
      <w:r w:rsidRPr="002F3D0A">
        <w:rPr>
          <w:rFonts w:ascii="Times New Roman" w:eastAsia="Times New Roman" w:hAnsi="Times New Roman" w:cs="Times New Roman"/>
          <w:bCs/>
          <w:sz w:val="28"/>
          <w:szCs w:val="28"/>
          <w:lang w:val="es-ES_tradnl" w:eastAsia="es-ES"/>
        </w:rPr>
        <w:t>los accionantes los elementos descritos i</w:t>
      </w:r>
      <w:r w:rsidRPr="002F3D0A">
        <w:rPr>
          <w:rFonts w:ascii="Times New Roman" w:eastAsia="Times New Roman" w:hAnsi="Times New Roman" w:cs="Times New Roman"/>
          <w:bCs/>
          <w:sz w:val="28"/>
          <w:szCs w:val="28"/>
          <w:lang w:val="es-ES_tradnl" w:eastAsia="es-ES"/>
        </w:rPr>
        <w:t>nciden en el grado de afectación de la autonomía fiscal</w:t>
      </w:r>
      <w:r w:rsidRPr="002F3D0A">
        <w:rPr>
          <w:rFonts w:ascii="Times New Roman" w:eastAsia="Times New Roman" w:hAnsi="Times New Roman" w:cs="Times New Roman"/>
          <w:bCs/>
          <w:sz w:val="28"/>
          <w:szCs w:val="28"/>
          <w:lang w:val="es-ES_tradnl" w:eastAsia="es-ES"/>
        </w:rPr>
        <w:t xml:space="preserve"> de los municipios</w:t>
      </w:r>
      <w:r w:rsidRPr="002F3D0A">
        <w:rPr>
          <w:rFonts w:ascii="Times New Roman" w:eastAsia="Times New Roman" w:hAnsi="Times New Roman" w:cs="Times New Roman"/>
          <w:bCs/>
          <w:sz w:val="28"/>
          <w:szCs w:val="28"/>
          <w:lang w:val="es-ES_tradnl" w:eastAsia="es-ES"/>
        </w:rPr>
        <w:t xml:space="preserve"> </w:t>
      </w:r>
      <w:r w:rsidRPr="002F3D0A">
        <w:rPr>
          <w:rFonts w:ascii="Times New Roman" w:eastAsia="Times New Roman" w:hAnsi="Times New Roman" w:cs="Times New Roman"/>
          <w:bCs/>
          <w:sz w:val="28"/>
          <w:szCs w:val="28"/>
          <w:lang w:val="es-ES_tradnl" w:eastAsia="es-ES"/>
        </w:rPr>
        <w:t>y ameritan un cambio de postura de la jurisprudencia constitucional</w:t>
      </w:r>
      <w:r w:rsidRPr="002F3D0A">
        <w:rPr>
          <w:rFonts w:ascii="Times New Roman" w:eastAsia="Times New Roman" w:hAnsi="Times New Roman" w:cs="Times New Roman"/>
          <w:bCs/>
          <w:sz w:val="28"/>
          <w:szCs w:val="28"/>
          <w:lang w:val="es-ES_tradnl" w:eastAsia="es-ES"/>
        </w:rPr>
        <w:t xml:space="preserve"> a partir de</w:t>
      </w:r>
      <w:r w:rsidRPr="002F3D0A">
        <w:rPr>
          <w:rFonts w:ascii="Times New Roman" w:eastAsia="Times New Roman" w:hAnsi="Times New Roman" w:cs="Times New Roman"/>
          <w:bCs/>
          <w:sz w:val="28"/>
          <w:szCs w:val="28"/>
          <w:lang w:val="es-ES_tradnl" w:eastAsia="es-ES"/>
        </w:rPr>
        <w:t>l</w:t>
      </w:r>
      <w:r w:rsidRPr="002F3D0A">
        <w:rPr>
          <w:rFonts w:ascii="Times New Roman" w:eastAsia="Times New Roman" w:hAnsi="Times New Roman" w:cs="Times New Roman"/>
          <w:bCs/>
          <w:sz w:val="28"/>
          <w:szCs w:val="28"/>
          <w:lang w:val="es-ES_tradnl" w:eastAsia="es-ES"/>
        </w:rPr>
        <w:t xml:space="preserve"> que se concluya que</w:t>
      </w:r>
      <w:r w:rsidRPr="002F3D0A">
        <w:rPr>
          <w:rFonts w:ascii="Times New Roman" w:eastAsia="Times New Roman" w:hAnsi="Times New Roman" w:cs="Times New Roman"/>
          <w:bCs/>
          <w:sz w:val="28"/>
          <w:szCs w:val="28"/>
          <w:lang w:val="es-ES_tradnl" w:eastAsia="es-ES"/>
        </w:rPr>
        <w:t xml:space="preserve"> el </w:t>
      </w:r>
      <w:r w:rsidRPr="002F3D0A">
        <w:rPr>
          <w:rFonts w:ascii="Times New Roman" w:eastAsia="Times New Roman" w:hAnsi="Times New Roman" w:cs="Times New Roman"/>
          <w:bCs/>
          <w:sz w:val="28"/>
          <w:szCs w:val="28"/>
          <w:lang w:val="es-ES_tradnl" w:eastAsia="es-ES"/>
        </w:rPr>
        <w:t>impuesto al patrimonio</w:t>
      </w:r>
      <w:r w:rsidRPr="002F3D0A">
        <w:rPr>
          <w:rFonts w:ascii="Times New Roman" w:eastAsia="Times New Roman" w:hAnsi="Times New Roman" w:cs="Times New Roman"/>
          <w:bCs/>
          <w:sz w:val="28"/>
          <w:szCs w:val="28"/>
          <w:lang w:val="es-ES_tradnl" w:eastAsia="es-ES"/>
        </w:rPr>
        <w:t xml:space="preserve">, ahora de carácter permanente, viola el artículo 317 superior al incluir en la base gravable la propiedad inmueble. Por lo tanto, solicitan que se declare la inexequibilidad de los artículos 36 y 37 de la Ley 2277 de 2022 o su exequibilidad condicionada </w:t>
      </w:r>
      <w:r w:rsidRPr="002F3D0A">
        <w:rPr>
          <w:rFonts w:ascii="Times New Roman" w:eastAsia="Times New Roman" w:hAnsi="Times New Roman" w:cs="Times New Roman"/>
          <w:bCs/>
          <w:sz w:val="28"/>
          <w:szCs w:val="28"/>
          <w:lang w:val="es-ES_tradnl" w:eastAsia="es-ES"/>
        </w:rPr>
        <w:t>“</w:t>
      </w:r>
      <w:r w:rsidRPr="002F3D0A">
        <w:rPr>
          <w:rFonts w:ascii="Times New Roman" w:eastAsia="Times New Roman" w:hAnsi="Times New Roman" w:cs="Times New Roman"/>
          <w:bCs/>
          <w:sz w:val="28"/>
          <w:szCs w:val="28"/>
          <w:lang w:eastAsia="es-ES"/>
        </w:rPr>
        <w:t>en el entendido de que se pueden excluir del hecho generador y de la base gravable del impuesto al patrimonio, el valor de los inmuebles poseídos en Colombia</w:t>
      </w:r>
      <w:r w:rsidRPr="002F3D0A">
        <w:rPr>
          <w:rFonts w:ascii="Times New Roman" w:eastAsia="Times New Roman" w:hAnsi="Times New Roman" w:cs="Times New Roman"/>
          <w:bCs/>
          <w:sz w:val="28"/>
          <w:szCs w:val="28"/>
          <w:lang w:eastAsia="es-ES"/>
        </w:rPr>
        <w:t>”</w:t>
      </w:r>
      <w:r w:rsidRPr="002F3D0A">
        <w:rPr>
          <w:rFonts w:ascii="Times New Roman" w:eastAsia="Times New Roman" w:hAnsi="Times New Roman" w:cs="Times New Roman"/>
          <w:bCs/>
          <w:sz w:val="28"/>
          <w:szCs w:val="28"/>
          <w:lang w:eastAsia="es-ES"/>
        </w:rPr>
        <w:t>.</w:t>
      </w:r>
    </w:p>
    <w:p w:rsidR="006A7AB9" w:rsidRPr="002F3D0A" w:rsidRDefault="002F3D0A" w:rsidP="00BA3AE3">
      <w:pPr>
        <w:pStyle w:val="Prrafodelista"/>
        <w:ind w:left="0"/>
        <w:rPr>
          <w:rFonts w:ascii="Times New Roman" w:eastAsia="Times New Roman" w:hAnsi="Times New Roman" w:cs="Times New Roman"/>
          <w:b/>
          <w:bCs/>
          <w:sz w:val="28"/>
          <w:szCs w:val="28"/>
          <w:lang w:val="es-ES_tradnl" w:eastAsia="es-ES"/>
        </w:rPr>
      </w:pPr>
    </w:p>
    <w:p w:rsidR="00D553C1" w:rsidRPr="002F3D0A" w:rsidRDefault="002F3D0A" w:rsidP="004B7603">
      <w:pPr>
        <w:pStyle w:val="Prrafodelista"/>
        <w:ind w:left="0"/>
        <w:rPr>
          <w:rFonts w:ascii="Times New Roman" w:eastAsia="Times New Roman" w:hAnsi="Times New Roman" w:cs="Times New Roman"/>
          <w:b/>
          <w:bCs/>
          <w:color w:val="000000" w:themeColor="text1"/>
          <w:sz w:val="28"/>
          <w:szCs w:val="28"/>
          <w:lang w:val="es-ES" w:eastAsia="es-MX"/>
        </w:rPr>
      </w:pPr>
      <w:r w:rsidRPr="002F3D0A">
        <w:rPr>
          <w:rFonts w:ascii="Times New Roman" w:eastAsia="Times New Roman" w:hAnsi="Times New Roman" w:cs="Times New Roman"/>
          <w:b/>
          <w:bCs/>
          <w:color w:val="000000" w:themeColor="text1"/>
          <w:sz w:val="28"/>
          <w:szCs w:val="28"/>
          <w:lang w:val="es-ES" w:eastAsia="es-MX"/>
        </w:rPr>
        <w:t>IV. INTERVENCIONES</w:t>
      </w:r>
    </w:p>
    <w:p w:rsidR="00301654" w:rsidRPr="002F3D0A" w:rsidRDefault="002F3D0A" w:rsidP="004B7603">
      <w:pPr>
        <w:pStyle w:val="Prrafodelista"/>
        <w:ind w:left="0"/>
        <w:rPr>
          <w:rFonts w:ascii="Times New Roman" w:eastAsia="Times New Roman" w:hAnsi="Times New Roman" w:cs="Times New Roman"/>
          <w:b/>
          <w:bCs/>
          <w:color w:val="000000" w:themeColor="text1"/>
          <w:sz w:val="28"/>
          <w:szCs w:val="28"/>
          <w:lang w:val="es-ES" w:eastAsia="es-MX"/>
        </w:rPr>
      </w:pPr>
    </w:p>
    <w:p w:rsidR="00177837" w:rsidRPr="002F3D0A" w:rsidRDefault="002F3D0A" w:rsidP="00177837">
      <w:pPr>
        <w:pStyle w:val="Prrafodelista"/>
        <w:numPr>
          <w:ilvl w:val="0"/>
          <w:numId w:val="1"/>
        </w:numPr>
        <w:ind w:left="0" w:firstLine="0"/>
        <w:rPr>
          <w:rFonts w:ascii="Times New Roman" w:eastAsia="Candara" w:hAnsi="Times New Roman" w:cs="Times New Roman"/>
          <w:sz w:val="28"/>
          <w:szCs w:val="28"/>
        </w:rPr>
      </w:pPr>
      <w:r w:rsidRPr="002F3D0A">
        <w:rPr>
          <w:rFonts w:ascii="Times New Roman" w:eastAsia="Candara" w:hAnsi="Times New Roman" w:cs="Times New Roman"/>
          <w:sz w:val="28"/>
          <w:szCs w:val="28"/>
          <w:lang w:val="es-ES"/>
        </w:rPr>
        <w:t xml:space="preserve">Dentro del término de fijación en lista y en el marco de los artículos 7, 11 y 13 del Decreto 2067 de 1991 se recibieron </w:t>
      </w:r>
      <w:r w:rsidRPr="002F3D0A">
        <w:rPr>
          <w:rFonts w:ascii="Times New Roman" w:eastAsia="Candara" w:hAnsi="Times New Roman" w:cs="Times New Roman"/>
          <w:sz w:val="28"/>
          <w:szCs w:val="28"/>
          <w:lang w:val="es-ES"/>
        </w:rPr>
        <w:t>tres</w:t>
      </w:r>
      <w:r w:rsidRPr="002F3D0A">
        <w:rPr>
          <w:rFonts w:ascii="Times New Roman" w:eastAsia="Candara" w:hAnsi="Times New Roman" w:cs="Times New Roman"/>
          <w:sz w:val="28"/>
          <w:szCs w:val="28"/>
          <w:lang w:val="es-ES"/>
        </w:rPr>
        <w:t xml:space="preserve"> intervenciones ciudadanas y </w:t>
      </w:r>
      <w:r w:rsidRPr="002F3D0A">
        <w:rPr>
          <w:rFonts w:ascii="Times New Roman" w:eastAsia="Candara" w:hAnsi="Times New Roman" w:cs="Times New Roman"/>
          <w:sz w:val="28"/>
          <w:szCs w:val="28"/>
          <w:lang w:val="es-ES"/>
        </w:rPr>
        <w:t>seis</w:t>
      </w:r>
      <w:r w:rsidRPr="002F3D0A">
        <w:rPr>
          <w:rFonts w:ascii="Times New Roman" w:eastAsia="Candara" w:hAnsi="Times New Roman" w:cs="Times New Roman"/>
          <w:sz w:val="28"/>
          <w:szCs w:val="28"/>
          <w:lang w:val="es-ES"/>
        </w:rPr>
        <w:t xml:space="preserve"> conceptos de entidades públicas y organizaciones privadas invitadas. A continuación, se identific</w:t>
      </w:r>
      <w:r w:rsidRPr="002F3D0A">
        <w:rPr>
          <w:rFonts w:ascii="Times New Roman" w:eastAsia="Candara" w:hAnsi="Times New Roman" w:cs="Times New Roman"/>
          <w:sz w:val="28"/>
          <w:szCs w:val="28"/>
          <w:lang w:val="es-ES"/>
        </w:rPr>
        <w:t xml:space="preserve">arán los conceptos e intervenciones de acuerdo con el sentido de la decisión que se solicitó adoptar a esta corporación, a saber: (i) inhibición; (ii) exequibilidad; </w:t>
      </w:r>
      <w:r w:rsidRPr="002F3D0A">
        <w:rPr>
          <w:rFonts w:ascii="Times New Roman" w:eastAsia="Candara" w:hAnsi="Times New Roman" w:cs="Times New Roman"/>
          <w:sz w:val="28"/>
          <w:szCs w:val="28"/>
          <w:lang w:val="es-ES"/>
        </w:rPr>
        <w:t xml:space="preserve">e </w:t>
      </w:r>
      <w:r w:rsidRPr="002F3D0A">
        <w:rPr>
          <w:rFonts w:ascii="Times New Roman" w:eastAsia="Candara" w:hAnsi="Times New Roman" w:cs="Times New Roman"/>
          <w:sz w:val="28"/>
          <w:szCs w:val="28"/>
          <w:lang w:val="es-ES"/>
        </w:rPr>
        <w:t>(iii) inexequibilidad</w:t>
      </w:r>
      <w:r w:rsidRPr="002F3D0A">
        <w:rPr>
          <w:rFonts w:ascii="Times New Roman" w:eastAsia="Candara" w:hAnsi="Times New Roman" w:cs="Times New Roman"/>
          <w:sz w:val="28"/>
          <w:szCs w:val="28"/>
          <w:lang w:val="es-ES"/>
        </w:rPr>
        <w:t>. L</w:t>
      </w:r>
      <w:r w:rsidRPr="002F3D0A">
        <w:rPr>
          <w:rFonts w:ascii="Times New Roman" w:eastAsia="Candara" w:hAnsi="Times New Roman" w:cs="Times New Roman"/>
          <w:sz w:val="28"/>
          <w:szCs w:val="28"/>
          <w:lang w:val="es-ES"/>
        </w:rPr>
        <w:t>uego</w:t>
      </w:r>
      <w:r w:rsidRPr="002F3D0A">
        <w:rPr>
          <w:rFonts w:ascii="Times New Roman" w:eastAsia="Candara" w:hAnsi="Times New Roman" w:cs="Times New Roman"/>
          <w:sz w:val="28"/>
          <w:szCs w:val="28"/>
          <w:lang w:val="es-ES"/>
        </w:rPr>
        <w:t>,</w:t>
      </w:r>
      <w:r w:rsidRPr="002F3D0A">
        <w:rPr>
          <w:rFonts w:ascii="Times New Roman" w:eastAsia="Candara" w:hAnsi="Times New Roman" w:cs="Times New Roman"/>
          <w:sz w:val="28"/>
          <w:szCs w:val="28"/>
          <w:lang w:val="es-ES"/>
        </w:rPr>
        <w:t xml:space="preserve"> las razones presentadas por los intervinientes e invitados</w:t>
      </w:r>
      <w:r w:rsidRPr="002F3D0A">
        <w:rPr>
          <w:rFonts w:ascii="Times New Roman" w:eastAsia="Candara" w:hAnsi="Times New Roman" w:cs="Times New Roman"/>
          <w:sz w:val="28"/>
          <w:szCs w:val="28"/>
          <w:lang w:val="es-ES"/>
        </w:rPr>
        <w:t xml:space="preserve"> serán agrupadas de acuerdo con los cargos correspondientes</w:t>
      </w:r>
      <w:r w:rsidRPr="002F3D0A">
        <w:rPr>
          <w:rFonts w:ascii="Times New Roman" w:eastAsia="Candara" w:hAnsi="Times New Roman" w:cs="Times New Roman"/>
          <w:sz w:val="28"/>
          <w:szCs w:val="28"/>
          <w:lang w:val="es-ES"/>
        </w:rPr>
        <w:t>.</w:t>
      </w:r>
    </w:p>
    <w:p w:rsidR="00AB4816" w:rsidRPr="002F3D0A" w:rsidRDefault="002F3D0A" w:rsidP="007A2154">
      <w:pPr>
        <w:spacing w:line="300" w:lineRule="atLeast"/>
        <w:rPr>
          <w:rFonts w:ascii="Times New Roman" w:hAnsi="Times New Roman" w:cs="Times New Roman"/>
          <w:b/>
          <w:sz w:val="28"/>
          <w:szCs w:val="24"/>
        </w:rPr>
      </w:pPr>
    </w:p>
    <w:p w:rsidR="002C1221" w:rsidRPr="002F3D0A" w:rsidRDefault="002F3D0A" w:rsidP="007A2154">
      <w:pPr>
        <w:spacing w:line="300" w:lineRule="atLeast"/>
        <w:rPr>
          <w:rFonts w:ascii="Times New Roman" w:hAnsi="Times New Roman" w:cs="Times New Roman"/>
          <w:b/>
          <w:sz w:val="28"/>
          <w:szCs w:val="24"/>
        </w:rPr>
      </w:pPr>
    </w:p>
    <w:p w:rsidR="002C1221" w:rsidRPr="002F3D0A" w:rsidRDefault="002F3D0A" w:rsidP="007A2154">
      <w:pPr>
        <w:spacing w:line="300" w:lineRule="atLeast"/>
        <w:rPr>
          <w:rFonts w:ascii="Times New Roman" w:hAnsi="Times New Roman" w:cs="Times New Roman"/>
          <w:b/>
          <w:sz w:val="28"/>
          <w:szCs w:val="24"/>
        </w:rPr>
      </w:pPr>
    </w:p>
    <w:p w:rsidR="007A2154" w:rsidRPr="002F3D0A" w:rsidRDefault="002F3D0A" w:rsidP="00AB4816">
      <w:pPr>
        <w:spacing w:line="300" w:lineRule="atLeast"/>
        <w:jc w:val="center"/>
        <w:rPr>
          <w:rFonts w:ascii="Times New Roman" w:hAnsi="Times New Roman" w:cs="Times New Roman"/>
          <w:b/>
          <w:sz w:val="28"/>
          <w:szCs w:val="24"/>
        </w:rPr>
      </w:pPr>
      <w:r w:rsidRPr="002F3D0A">
        <w:rPr>
          <w:rFonts w:ascii="Times New Roman" w:hAnsi="Times New Roman" w:cs="Times New Roman"/>
          <w:b/>
          <w:sz w:val="28"/>
          <w:szCs w:val="24"/>
        </w:rPr>
        <w:t>Tabla</w:t>
      </w:r>
      <w:r w:rsidRPr="002F3D0A">
        <w:rPr>
          <w:rFonts w:ascii="Times New Roman" w:hAnsi="Times New Roman" w:cs="Times New Roman"/>
          <w:b/>
          <w:sz w:val="28"/>
          <w:szCs w:val="24"/>
        </w:rPr>
        <w:t xml:space="preserve"> 1</w:t>
      </w:r>
      <w:r w:rsidRPr="002F3D0A">
        <w:rPr>
          <w:rFonts w:ascii="Times New Roman" w:hAnsi="Times New Roman" w:cs="Times New Roman"/>
          <w:b/>
          <w:sz w:val="28"/>
          <w:szCs w:val="24"/>
        </w:rPr>
        <w:t xml:space="preserve">- </w:t>
      </w:r>
      <w:r w:rsidRPr="002F3D0A">
        <w:rPr>
          <w:rFonts w:ascii="Times New Roman" w:hAnsi="Times New Roman" w:cs="Times New Roman"/>
          <w:b/>
          <w:sz w:val="28"/>
          <w:szCs w:val="24"/>
        </w:rPr>
        <w:t>Listado de intervenciones y conceptos</w:t>
      </w:r>
    </w:p>
    <w:p w:rsidR="00AB4816" w:rsidRPr="002F3D0A" w:rsidRDefault="002F3D0A" w:rsidP="007A2154">
      <w:pPr>
        <w:spacing w:line="300" w:lineRule="atLeast"/>
        <w:rPr>
          <w:rFonts w:ascii="Times New Roman" w:hAnsi="Times New Roman" w:cs="Times New Roman"/>
          <w:b/>
          <w:sz w:val="28"/>
          <w:szCs w:val="24"/>
        </w:rPr>
      </w:pPr>
    </w:p>
    <w:tbl>
      <w:tblPr>
        <w:tblStyle w:val="Tablaconcuadrcula"/>
        <w:tblW w:w="8931" w:type="dxa"/>
        <w:tblInd w:w="-5" w:type="dxa"/>
        <w:tblLook w:val="04A0" w:firstRow="1" w:lastRow="0" w:firstColumn="1" w:lastColumn="0" w:noHBand="0" w:noVBand="1"/>
      </w:tblPr>
      <w:tblGrid>
        <w:gridCol w:w="567"/>
        <w:gridCol w:w="4678"/>
        <w:gridCol w:w="3686"/>
      </w:tblGrid>
      <w:tr w:rsidR="007A2154" w:rsidRPr="002F3D0A" w:rsidTr="3A2A2066">
        <w:tc>
          <w:tcPr>
            <w:tcW w:w="567" w:type="dxa"/>
            <w:shd w:val="clear" w:color="auto" w:fill="D5DCE4" w:themeFill="text2" w:themeFillTint="33"/>
          </w:tcPr>
          <w:p w:rsidR="007A2154" w:rsidRPr="002F3D0A" w:rsidRDefault="002F3D0A" w:rsidP="00077C4E">
            <w:pPr>
              <w:spacing w:line="300" w:lineRule="atLeast"/>
              <w:jc w:val="center"/>
              <w:rPr>
                <w:rFonts w:ascii="Times New Roman" w:hAnsi="Times New Roman" w:cs="Times New Roman"/>
                <w:b/>
                <w:bCs/>
                <w:sz w:val="28"/>
                <w:szCs w:val="24"/>
              </w:rPr>
            </w:pPr>
          </w:p>
        </w:tc>
        <w:tc>
          <w:tcPr>
            <w:tcW w:w="4678" w:type="dxa"/>
            <w:shd w:val="clear" w:color="auto" w:fill="D5DCE4" w:themeFill="text2" w:themeFillTint="33"/>
          </w:tcPr>
          <w:p w:rsidR="00755FCD" w:rsidRPr="002F3D0A" w:rsidRDefault="002F3D0A" w:rsidP="00077C4E">
            <w:pPr>
              <w:spacing w:line="300" w:lineRule="atLeast"/>
              <w:jc w:val="center"/>
              <w:rPr>
                <w:rFonts w:ascii="Times New Roman" w:hAnsi="Times New Roman" w:cs="Times New Roman"/>
                <w:b/>
                <w:bCs/>
                <w:sz w:val="28"/>
                <w:szCs w:val="24"/>
              </w:rPr>
            </w:pPr>
          </w:p>
          <w:p w:rsidR="007A2154" w:rsidRPr="002F3D0A" w:rsidRDefault="002F3D0A" w:rsidP="00077C4E">
            <w:pPr>
              <w:spacing w:line="300" w:lineRule="atLeast"/>
              <w:jc w:val="center"/>
              <w:rPr>
                <w:rFonts w:ascii="Times New Roman" w:hAnsi="Times New Roman" w:cs="Times New Roman"/>
                <w:b/>
                <w:bCs/>
                <w:sz w:val="28"/>
                <w:szCs w:val="24"/>
              </w:rPr>
            </w:pPr>
            <w:r w:rsidRPr="002F3D0A">
              <w:rPr>
                <w:rFonts w:ascii="Times New Roman" w:hAnsi="Times New Roman" w:cs="Times New Roman"/>
                <w:b/>
                <w:bCs/>
                <w:sz w:val="28"/>
                <w:szCs w:val="24"/>
              </w:rPr>
              <w:t>Interviniente</w:t>
            </w:r>
          </w:p>
        </w:tc>
        <w:tc>
          <w:tcPr>
            <w:tcW w:w="3686" w:type="dxa"/>
            <w:shd w:val="clear" w:color="auto" w:fill="D5DCE4" w:themeFill="text2" w:themeFillTint="33"/>
          </w:tcPr>
          <w:p w:rsidR="00755FCD" w:rsidRPr="002F3D0A" w:rsidRDefault="002F3D0A" w:rsidP="00077C4E">
            <w:pPr>
              <w:spacing w:line="300" w:lineRule="atLeast"/>
              <w:jc w:val="center"/>
              <w:rPr>
                <w:rFonts w:ascii="Times New Roman" w:hAnsi="Times New Roman" w:cs="Times New Roman"/>
                <w:b/>
                <w:bCs/>
                <w:sz w:val="28"/>
                <w:szCs w:val="24"/>
              </w:rPr>
            </w:pPr>
          </w:p>
          <w:p w:rsidR="00755FCD" w:rsidRPr="002F3D0A" w:rsidRDefault="002F3D0A" w:rsidP="0051495F">
            <w:pPr>
              <w:spacing w:line="300" w:lineRule="atLeast"/>
              <w:jc w:val="center"/>
              <w:rPr>
                <w:rFonts w:ascii="Times New Roman" w:hAnsi="Times New Roman" w:cs="Times New Roman"/>
                <w:b/>
                <w:bCs/>
                <w:sz w:val="28"/>
                <w:szCs w:val="24"/>
              </w:rPr>
            </w:pPr>
            <w:r w:rsidRPr="002F3D0A">
              <w:rPr>
                <w:rFonts w:ascii="Times New Roman" w:hAnsi="Times New Roman" w:cs="Times New Roman"/>
                <w:b/>
                <w:bCs/>
                <w:sz w:val="28"/>
                <w:szCs w:val="24"/>
              </w:rPr>
              <w:t>Solicitud</w:t>
            </w:r>
          </w:p>
        </w:tc>
      </w:tr>
      <w:tr w:rsidR="007A2154" w:rsidRPr="002F3D0A" w:rsidTr="3A2A2066">
        <w:tc>
          <w:tcPr>
            <w:tcW w:w="567" w:type="dxa"/>
          </w:tcPr>
          <w:p w:rsidR="007A2154"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1</w:t>
            </w:r>
          </w:p>
        </w:tc>
        <w:tc>
          <w:tcPr>
            <w:tcW w:w="4678" w:type="dxa"/>
          </w:tcPr>
          <w:p w:rsidR="007A2154"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Dirección de Impuestos y Aduanas Nacionales DIAN</w:t>
            </w:r>
          </w:p>
        </w:tc>
        <w:tc>
          <w:tcPr>
            <w:tcW w:w="3686" w:type="dxa"/>
          </w:tcPr>
          <w:p w:rsidR="00BA3AE3" w:rsidRPr="002F3D0A" w:rsidRDefault="002F3D0A" w:rsidP="00065AFD">
            <w:pPr>
              <w:pStyle w:val="Sinespaciado"/>
              <w:rPr>
                <w:rFonts w:ascii="Times New Roman" w:hAnsi="Times New Roman"/>
                <w:sz w:val="28"/>
                <w:szCs w:val="24"/>
              </w:rPr>
            </w:pPr>
            <w:r w:rsidRPr="002F3D0A">
              <w:rPr>
                <w:rFonts w:ascii="Times New Roman" w:hAnsi="Times New Roman"/>
                <w:sz w:val="28"/>
                <w:szCs w:val="24"/>
              </w:rPr>
              <w:t>Inhibición</w:t>
            </w:r>
          </w:p>
          <w:p w:rsidR="007A2154"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Exequibilidad</w:t>
            </w:r>
          </w:p>
        </w:tc>
      </w:tr>
      <w:tr w:rsidR="00FF35FA" w:rsidRPr="002F3D0A" w:rsidTr="3A2A2066">
        <w:tc>
          <w:tcPr>
            <w:tcW w:w="567" w:type="dxa"/>
          </w:tcPr>
          <w:p w:rsidR="00FF35F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2</w:t>
            </w:r>
          </w:p>
        </w:tc>
        <w:tc>
          <w:tcPr>
            <w:tcW w:w="4678" w:type="dxa"/>
          </w:tcPr>
          <w:p w:rsidR="00FF35F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 xml:space="preserve">Ministerio de Hacienda y Crédito </w:t>
            </w:r>
            <w:r w:rsidRPr="002F3D0A">
              <w:rPr>
                <w:rFonts w:ascii="Times New Roman" w:hAnsi="Times New Roman" w:cs="Times New Roman"/>
                <w:sz w:val="28"/>
                <w:szCs w:val="24"/>
              </w:rPr>
              <w:t>Público</w:t>
            </w:r>
          </w:p>
        </w:tc>
        <w:tc>
          <w:tcPr>
            <w:tcW w:w="3686" w:type="dxa"/>
          </w:tcPr>
          <w:p w:rsidR="00FF35FA" w:rsidRPr="002F3D0A" w:rsidRDefault="002F3D0A" w:rsidP="00065AFD">
            <w:pPr>
              <w:pStyle w:val="Sinespaciado"/>
              <w:rPr>
                <w:rFonts w:ascii="Times New Roman" w:hAnsi="Times New Roman"/>
                <w:sz w:val="28"/>
                <w:szCs w:val="24"/>
              </w:rPr>
            </w:pPr>
            <w:r w:rsidRPr="002F3D0A">
              <w:rPr>
                <w:rFonts w:ascii="Times New Roman" w:hAnsi="Times New Roman"/>
                <w:sz w:val="28"/>
                <w:szCs w:val="24"/>
              </w:rPr>
              <w:t>Inhibición</w:t>
            </w:r>
          </w:p>
          <w:p w:rsidR="00FF35FA" w:rsidRPr="002F3D0A" w:rsidRDefault="002F3D0A" w:rsidP="00065AFD">
            <w:pPr>
              <w:pStyle w:val="Sinespaciado"/>
              <w:rPr>
                <w:rFonts w:ascii="Times New Roman" w:hAnsi="Times New Roman"/>
                <w:color w:val="000000" w:themeColor="text1"/>
                <w:sz w:val="28"/>
                <w:szCs w:val="24"/>
                <w:lang w:val="es-ES"/>
              </w:rPr>
            </w:pPr>
            <w:r w:rsidRPr="002F3D0A">
              <w:rPr>
                <w:rFonts w:ascii="Times New Roman" w:hAnsi="Times New Roman"/>
                <w:sz w:val="28"/>
                <w:szCs w:val="24"/>
              </w:rPr>
              <w:t>Estarse a lo resuelto en las s</w:t>
            </w:r>
            <w:r w:rsidRPr="002F3D0A">
              <w:rPr>
                <w:rFonts w:ascii="Times New Roman" w:hAnsi="Times New Roman"/>
                <w:color w:val="000000" w:themeColor="text1"/>
                <w:sz w:val="28"/>
                <w:szCs w:val="24"/>
                <w:lang w:val="es-ES"/>
              </w:rPr>
              <w:t>entencias C-876 de 2002 y C-990 de 2004 (Cargo quinto)</w:t>
            </w:r>
          </w:p>
          <w:p w:rsidR="00FF35FA"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Exequibilidad (Cargo segundo)</w:t>
            </w:r>
          </w:p>
        </w:tc>
      </w:tr>
      <w:tr w:rsidR="00D81B4A" w:rsidRPr="002F3D0A" w:rsidTr="3A2A2066">
        <w:tc>
          <w:tcPr>
            <w:tcW w:w="567" w:type="dxa"/>
          </w:tcPr>
          <w:p w:rsidR="00D81B4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3</w:t>
            </w:r>
          </w:p>
        </w:tc>
        <w:tc>
          <w:tcPr>
            <w:tcW w:w="4678" w:type="dxa"/>
          </w:tcPr>
          <w:p w:rsidR="00D81B4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Presidencia de la República</w:t>
            </w:r>
          </w:p>
        </w:tc>
        <w:tc>
          <w:tcPr>
            <w:tcW w:w="3686" w:type="dxa"/>
          </w:tcPr>
          <w:p w:rsidR="00D81B4A" w:rsidRPr="002F3D0A" w:rsidRDefault="002F3D0A" w:rsidP="00065AFD">
            <w:pPr>
              <w:pStyle w:val="Sinespaciado"/>
              <w:rPr>
                <w:rFonts w:ascii="Times New Roman" w:hAnsi="Times New Roman"/>
                <w:sz w:val="28"/>
                <w:szCs w:val="24"/>
              </w:rPr>
            </w:pPr>
            <w:r w:rsidRPr="002F3D0A">
              <w:rPr>
                <w:rFonts w:ascii="Times New Roman" w:hAnsi="Times New Roman"/>
                <w:sz w:val="28"/>
                <w:szCs w:val="24"/>
              </w:rPr>
              <w:t>Inhibición</w:t>
            </w:r>
          </w:p>
          <w:p w:rsidR="00D81B4A"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Exequibilidad</w:t>
            </w:r>
          </w:p>
        </w:tc>
      </w:tr>
      <w:tr w:rsidR="00065AFD" w:rsidRPr="002F3D0A" w:rsidTr="3A2A2066">
        <w:tc>
          <w:tcPr>
            <w:tcW w:w="567" w:type="dxa"/>
          </w:tcPr>
          <w:p w:rsidR="00065AFD"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4</w:t>
            </w:r>
          </w:p>
        </w:tc>
        <w:tc>
          <w:tcPr>
            <w:tcW w:w="4678" w:type="dxa"/>
          </w:tcPr>
          <w:p w:rsidR="00065AFD"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Colegio Mayor Nuestra Señora del Rosario, Universidad Javeriana y Universidad Externado de Colombia y Dejusticia</w:t>
            </w:r>
          </w:p>
        </w:tc>
        <w:tc>
          <w:tcPr>
            <w:tcW w:w="3686" w:type="dxa"/>
          </w:tcPr>
          <w:p w:rsidR="00065AFD"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Exequibilidad</w:t>
            </w:r>
          </w:p>
        </w:tc>
      </w:tr>
      <w:tr w:rsidR="00065AFD" w:rsidRPr="002F3D0A" w:rsidTr="3A2A2066">
        <w:tc>
          <w:tcPr>
            <w:tcW w:w="567" w:type="dxa"/>
          </w:tcPr>
          <w:p w:rsidR="00065AFD"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5</w:t>
            </w:r>
          </w:p>
        </w:tc>
        <w:tc>
          <w:tcPr>
            <w:tcW w:w="4678" w:type="dxa"/>
          </w:tcPr>
          <w:p w:rsidR="00065AFD"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Universidad Libre</w:t>
            </w:r>
          </w:p>
        </w:tc>
        <w:tc>
          <w:tcPr>
            <w:tcW w:w="3686" w:type="dxa"/>
          </w:tcPr>
          <w:p w:rsidR="000F4294"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Exequibilidad</w:t>
            </w:r>
          </w:p>
          <w:p w:rsidR="000F4294" w:rsidRPr="002F3D0A" w:rsidRDefault="002F3D0A" w:rsidP="00065AFD">
            <w:pPr>
              <w:pStyle w:val="Sinespaciado"/>
              <w:rPr>
                <w:rFonts w:ascii="Times New Roman" w:hAnsi="Times New Roman"/>
                <w:sz w:val="28"/>
                <w:szCs w:val="24"/>
              </w:rPr>
            </w:pPr>
          </w:p>
        </w:tc>
      </w:tr>
      <w:tr w:rsidR="00D81B4A" w:rsidRPr="002F3D0A" w:rsidTr="3A2A2066">
        <w:tc>
          <w:tcPr>
            <w:tcW w:w="567" w:type="dxa"/>
          </w:tcPr>
          <w:p w:rsidR="00D81B4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6</w:t>
            </w:r>
          </w:p>
        </w:tc>
        <w:tc>
          <w:tcPr>
            <w:tcW w:w="4678" w:type="dxa"/>
          </w:tcPr>
          <w:p w:rsidR="00D81B4A"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Instituto Colombiano de Derecho Tributario</w:t>
            </w:r>
          </w:p>
        </w:tc>
        <w:tc>
          <w:tcPr>
            <w:tcW w:w="3686" w:type="dxa"/>
          </w:tcPr>
          <w:p w:rsidR="00D81B4A"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Inexequibilidad</w:t>
            </w:r>
          </w:p>
        </w:tc>
      </w:tr>
      <w:tr w:rsidR="00203B51" w:rsidRPr="002F3D0A" w:rsidTr="3A2A2066">
        <w:tc>
          <w:tcPr>
            <w:tcW w:w="567" w:type="dxa"/>
          </w:tcPr>
          <w:p w:rsidR="00203B51" w:rsidRPr="002F3D0A" w:rsidRDefault="002F3D0A" w:rsidP="00065AFD">
            <w:pPr>
              <w:spacing w:line="300" w:lineRule="atLeast"/>
              <w:rPr>
                <w:rFonts w:ascii="Times New Roman" w:hAnsi="Times New Roman" w:cs="Times New Roman"/>
                <w:sz w:val="28"/>
                <w:szCs w:val="24"/>
              </w:rPr>
            </w:pPr>
            <w:bookmarkStart w:id="13" w:name="_Hlk171082386"/>
            <w:r w:rsidRPr="002F3D0A">
              <w:rPr>
                <w:rFonts w:ascii="Times New Roman" w:hAnsi="Times New Roman" w:cs="Times New Roman"/>
                <w:sz w:val="28"/>
                <w:szCs w:val="24"/>
              </w:rPr>
              <w:t>7</w:t>
            </w:r>
          </w:p>
        </w:tc>
        <w:tc>
          <w:tcPr>
            <w:tcW w:w="4678" w:type="dxa"/>
          </w:tcPr>
          <w:p w:rsidR="00C52DAC" w:rsidRPr="002F3D0A" w:rsidRDefault="002F3D0A" w:rsidP="00065AFD">
            <w:pPr>
              <w:pStyle w:val="Prrafodelista"/>
              <w:ind w:left="0"/>
              <w:rPr>
                <w:rFonts w:ascii="Times New Roman" w:eastAsia="Calibri" w:hAnsi="Times New Roman" w:cs="Times New Roman"/>
                <w:color w:val="000000" w:themeColor="text1"/>
                <w:sz w:val="28"/>
                <w:szCs w:val="24"/>
                <w:lang w:val="es-ES"/>
              </w:rPr>
            </w:pPr>
            <w:r w:rsidRPr="002F3D0A">
              <w:rPr>
                <w:rFonts w:ascii="Times New Roman" w:eastAsia="Calibri" w:hAnsi="Times New Roman" w:cs="Times New Roman"/>
                <w:color w:val="000000" w:themeColor="text1"/>
                <w:sz w:val="28"/>
                <w:szCs w:val="24"/>
                <w:lang w:val="es-ES"/>
              </w:rPr>
              <w:t>María Alejandra Uribe</w:t>
            </w:r>
          </w:p>
          <w:p w:rsidR="00203B51" w:rsidRPr="002F3D0A" w:rsidRDefault="002F3D0A" w:rsidP="00065AFD">
            <w:pPr>
              <w:spacing w:line="300" w:lineRule="atLeast"/>
              <w:rPr>
                <w:rFonts w:ascii="Times New Roman" w:hAnsi="Times New Roman" w:cs="Times New Roman"/>
                <w:sz w:val="28"/>
                <w:szCs w:val="24"/>
              </w:rPr>
            </w:pPr>
          </w:p>
        </w:tc>
        <w:tc>
          <w:tcPr>
            <w:tcW w:w="3686" w:type="dxa"/>
          </w:tcPr>
          <w:p w:rsidR="00C52DAC"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Inexequibilidad</w:t>
            </w:r>
          </w:p>
        </w:tc>
      </w:tr>
      <w:tr w:rsidR="001E0B85" w:rsidRPr="002F3D0A" w:rsidTr="3A2A2066">
        <w:tc>
          <w:tcPr>
            <w:tcW w:w="567" w:type="dxa"/>
          </w:tcPr>
          <w:p w:rsidR="001E0B85" w:rsidRPr="002F3D0A" w:rsidRDefault="002F3D0A" w:rsidP="00065AFD">
            <w:pPr>
              <w:spacing w:line="300" w:lineRule="atLeast"/>
              <w:rPr>
                <w:rFonts w:ascii="Times New Roman" w:hAnsi="Times New Roman" w:cs="Times New Roman"/>
                <w:sz w:val="28"/>
                <w:szCs w:val="24"/>
              </w:rPr>
            </w:pPr>
            <w:r w:rsidRPr="002F3D0A">
              <w:rPr>
                <w:rFonts w:ascii="Times New Roman" w:hAnsi="Times New Roman" w:cs="Times New Roman"/>
                <w:sz w:val="28"/>
                <w:szCs w:val="24"/>
              </w:rPr>
              <w:t>8</w:t>
            </w:r>
          </w:p>
        </w:tc>
        <w:tc>
          <w:tcPr>
            <w:tcW w:w="4678" w:type="dxa"/>
          </w:tcPr>
          <w:p w:rsidR="001E0B85" w:rsidRPr="002F3D0A" w:rsidRDefault="002F3D0A" w:rsidP="00065AFD">
            <w:pPr>
              <w:pStyle w:val="Prrafodelista"/>
              <w:ind w:left="0"/>
              <w:rPr>
                <w:rFonts w:ascii="Times New Roman" w:eastAsia="Calibri" w:hAnsi="Times New Roman" w:cs="Times New Roman"/>
                <w:color w:val="000000" w:themeColor="text1"/>
                <w:sz w:val="28"/>
                <w:szCs w:val="24"/>
                <w:lang w:val="es-ES"/>
              </w:rPr>
            </w:pPr>
            <w:r w:rsidRPr="002F3D0A">
              <w:rPr>
                <w:rFonts w:ascii="Times New Roman" w:eastAsia="Calibri" w:hAnsi="Times New Roman" w:cs="Times New Roman"/>
                <w:color w:val="000000" w:themeColor="text1"/>
                <w:sz w:val="28"/>
                <w:szCs w:val="24"/>
                <w:lang w:val="es-ES"/>
              </w:rPr>
              <w:t>Christian Camilo Gómez Rivera</w:t>
            </w:r>
          </w:p>
          <w:p w:rsidR="001E0B85" w:rsidRPr="002F3D0A" w:rsidRDefault="002F3D0A" w:rsidP="00065AFD">
            <w:pPr>
              <w:pStyle w:val="Prrafodelista"/>
              <w:ind w:left="0"/>
              <w:rPr>
                <w:rFonts w:ascii="Times New Roman" w:eastAsia="Calibri" w:hAnsi="Times New Roman" w:cs="Times New Roman"/>
                <w:color w:val="000000" w:themeColor="text1"/>
                <w:sz w:val="28"/>
                <w:szCs w:val="24"/>
                <w:lang w:val="es-ES"/>
              </w:rPr>
            </w:pPr>
          </w:p>
        </w:tc>
        <w:tc>
          <w:tcPr>
            <w:tcW w:w="3686" w:type="dxa"/>
          </w:tcPr>
          <w:p w:rsidR="001E0B85" w:rsidRPr="002F3D0A" w:rsidRDefault="002F3D0A" w:rsidP="3A2A2066">
            <w:pPr>
              <w:pStyle w:val="Sinespaciado"/>
              <w:rPr>
                <w:rFonts w:ascii="Times New Roman" w:hAnsi="Times New Roman"/>
                <w:sz w:val="28"/>
                <w:szCs w:val="24"/>
                <w:lang w:val="es-ES"/>
              </w:rPr>
            </w:pPr>
            <w:r w:rsidRPr="002F3D0A">
              <w:rPr>
                <w:rFonts w:ascii="Times New Roman" w:hAnsi="Times New Roman"/>
                <w:sz w:val="28"/>
                <w:szCs w:val="24"/>
                <w:lang w:val="es-ES"/>
              </w:rPr>
              <w:t xml:space="preserve">Inexequibilidad </w:t>
            </w:r>
          </w:p>
        </w:tc>
      </w:tr>
      <w:tr w:rsidR="00065AFD" w:rsidRPr="002F3D0A" w:rsidTr="3A2A2066">
        <w:tc>
          <w:tcPr>
            <w:tcW w:w="567" w:type="dxa"/>
          </w:tcPr>
          <w:p w:rsidR="00065AFD" w:rsidRPr="002F3D0A" w:rsidRDefault="002F3D0A" w:rsidP="000F4294">
            <w:pPr>
              <w:contextualSpacing/>
              <w:rPr>
                <w:rFonts w:ascii="Times New Roman" w:hAnsi="Times New Roman" w:cs="Times New Roman"/>
                <w:sz w:val="28"/>
                <w:szCs w:val="24"/>
              </w:rPr>
            </w:pPr>
            <w:r w:rsidRPr="002F3D0A">
              <w:rPr>
                <w:rFonts w:ascii="Times New Roman" w:hAnsi="Times New Roman" w:cs="Times New Roman"/>
                <w:sz w:val="28"/>
                <w:szCs w:val="24"/>
              </w:rPr>
              <w:t>9</w:t>
            </w:r>
          </w:p>
        </w:tc>
        <w:tc>
          <w:tcPr>
            <w:tcW w:w="4678" w:type="dxa"/>
          </w:tcPr>
          <w:p w:rsidR="00065AFD" w:rsidRPr="002F3D0A" w:rsidRDefault="002F3D0A" w:rsidP="000F4294">
            <w:pPr>
              <w:contextualSpacing/>
              <w:rPr>
                <w:rFonts w:ascii="Times New Roman" w:eastAsia="Calibri" w:hAnsi="Times New Roman" w:cs="Times New Roman"/>
                <w:color w:val="000000" w:themeColor="text1"/>
                <w:sz w:val="28"/>
                <w:szCs w:val="24"/>
                <w:lang w:val="es-ES"/>
              </w:rPr>
            </w:pPr>
            <w:r w:rsidRPr="002F3D0A">
              <w:rPr>
                <w:rFonts w:ascii="Times New Roman" w:eastAsia="Calibri" w:hAnsi="Times New Roman" w:cs="Times New Roman"/>
                <w:color w:val="000000" w:themeColor="text1"/>
                <w:sz w:val="28"/>
                <w:szCs w:val="24"/>
                <w:lang w:val="es-ES"/>
              </w:rPr>
              <w:t>Felipe Camilo Gutiérrez Gómez, Daniel Ardila Silva y Jaime Felipe Bernal Rojas</w:t>
            </w:r>
          </w:p>
        </w:tc>
        <w:tc>
          <w:tcPr>
            <w:tcW w:w="3686" w:type="dxa"/>
          </w:tcPr>
          <w:p w:rsidR="00065AFD" w:rsidRPr="002F3D0A" w:rsidRDefault="002F3D0A" w:rsidP="3A2A2066">
            <w:pPr>
              <w:pStyle w:val="Sinespaciado"/>
              <w:contextualSpacing/>
              <w:rPr>
                <w:rFonts w:ascii="Times New Roman" w:hAnsi="Times New Roman"/>
                <w:sz w:val="28"/>
                <w:szCs w:val="24"/>
                <w:lang w:val="es-ES"/>
              </w:rPr>
            </w:pPr>
            <w:r w:rsidRPr="002F3D0A">
              <w:rPr>
                <w:rFonts w:ascii="Times New Roman" w:hAnsi="Times New Roman"/>
                <w:sz w:val="28"/>
                <w:szCs w:val="24"/>
                <w:lang w:val="es-ES"/>
              </w:rPr>
              <w:t>Inexequibilidad</w:t>
            </w:r>
          </w:p>
        </w:tc>
      </w:tr>
      <w:bookmarkEnd w:id="13"/>
    </w:tbl>
    <w:p w:rsidR="000F4294" w:rsidRPr="002F3D0A" w:rsidRDefault="002F3D0A" w:rsidP="000F4294">
      <w:pPr>
        <w:pStyle w:val="Sinespaciado"/>
        <w:contextualSpacing/>
        <w:rPr>
          <w:rFonts w:ascii="Times New Roman" w:hAnsi="Times New Roman"/>
          <w:sz w:val="28"/>
        </w:rPr>
      </w:pPr>
    </w:p>
    <w:p w:rsidR="002A21F9" w:rsidRPr="002F3D0A" w:rsidRDefault="002F3D0A" w:rsidP="000F4294">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En atención a la extensión de las intervenciones, algunas de las cuales presentan </w:t>
      </w:r>
      <w:r w:rsidRPr="002F3D0A">
        <w:rPr>
          <w:rFonts w:ascii="Times New Roman" w:eastAsia="Calibri" w:hAnsi="Times New Roman" w:cs="Times New Roman"/>
          <w:color w:val="000000" w:themeColor="text1"/>
          <w:sz w:val="28"/>
          <w:szCs w:val="28"/>
          <w:lang w:val="es-ES"/>
        </w:rPr>
        <w:t>argumentos coincidentes, y con el propósito de privilegiar la brevedad y claridad de las decisiones de la Corte Constitucional a continuación se agruparán los argumentos de acuerdo con la posición de la intervención. Así, se desc</w:t>
      </w:r>
      <w:r w:rsidRPr="002F3D0A">
        <w:rPr>
          <w:rFonts w:ascii="Times New Roman" w:eastAsia="Calibri" w:hAnsi="Times New Roman" w:cs="Times New Roman"/>
          <w:color w:val="000000" w:themeColor="text1"/>
          <w:sz w:val="28"/>
          <w:szCs w:val="28"/>
          <w:lang w:val="es-ES"/>
        </w:rPr>
        <w:t>r</w:t>
      </w:r>
      <w:r w:rsidRPr="002F3D0A">
        <w:rPr>
          <w:rFonts w:ascii="Times New Roman" w:eastAsia="Calibri" w:hAnsi="Times New Roman" w:cs="Times New Roman"/>
          <w:color w:val="000000" w:themeColor="text1"/>
          <w:sz w:val="28"/>
          <w:szCs w:val="28"/>
          <w:lang w:val="es-ES"/>
        </w:rPr>
        <w:t>ibirán las razones princip</w:t>
      </w:r>
      <w:r w:rsidRPr="002F3D0A">
        <w:rPr>
          <w:rFonts w:ascii="Times New Roman" w:eastAsia="Calibri" w:hAnsi="Times New Roman" w:cs="Times New Roman"/>
          <w:color w:val="000000" w:themeColor="text1"/>
          <w:sz w:val="28"/>
          <w:szCs w:val="28"/>
          <w:lang w:val="es-ES"/>
        </w:rPr>
        <w:t xml:space="preserve">ales planteadas a lo largo de este proceso en relación con la constitucionalidad de las disposiciones acusadas. Para mayor claridad, </w:t>
      </w:r>
      <w:r w:rsidRPr="002F3D0A">
        <w:rPr>
          <w:rFonts w:ascii="Times New Roman" w:eastAsia="Calibri" w:hAnsi="Times New Roman" w:cs="Times New Roman"/>
          <w:color w:val="000000" w:themeColor="text1"/>
          <w:sz w:val="28"/>
          <w:szCs w:val="28"/>
          <w:lang w:val="es-ES"/>
        </w:rPr>
        <w:t>primero se describirán los argumentos relacionados con cuestiones preliminares como aptitud de los cargos y cosa juzgada. L</w:t>
      </w:r>
      <w:r w:rsidRPr="002F3D0A">
        <w:rPr>
          <w:rFonts w:ascii="Times New Roman" w:eastAsia="Calibri" w:hAnsi="Times New Roman" w:cs="Times New Roman"/>
          <w:color w:val="000000" w:themeColor="text1"/>
          <w:sz w:val="28"/>
          <w:szCs w:val="28"/>
          <w:lang w:val="es-ES"/>
        </w:rPr>
        <w:t>uego, se presentarán los argumentos sobre el cargo por violación del principio de equidad horizontal</w:t>
      </w:r>
      <w:r w:rsidRPr="002F3D0A">
        <w:rPr>
          <w:rFonts w:ascii="Times New Roman" w:eastAsia="Calibri" w:hAnsi="Times New Roman" w:cs="Times New Roman"/>
          <w:color w:val="000000" w:themeColor="text1"/>
          <w:sz w:val="28"/>
          <w:szCs w:val="28"/>
          <w:lang w:val="es-ES"/>
        </w:rPr>
        <w:t>, los cuales, a su vez</w:t>
      </w:r>
      <w:r w:rsidRPr="002F3D0A">
        <w:rPr>
          <w:rFonts w:ascii="Times New Roman" w:eastAsia="Calibri" w:hAnsi="Times New Roman" w:cs="Times New Roman"/>
          <w:color w:val="000000" w:themeColor="text1"/>
          <w:sz w:val="28"/>
          <w:szCs w:val="28"/>
          <w:lang w:val="es-ES"/>
        </w:rPr>
        <w:t>,</w:t>
      </w:r>
      <w:r w:rsidRPr="002F3D0A">
        <w:rPr>
          <w:rFonts w:ascii="Times New Roman" w:eastAsia="Calibri" w:hAnsi="Times New Roman" w:cs="Times New Roman"/>
          <w:color w:val="000000" w:themeColor="text1"/>
          <w:sz w:val="28"/>
          <w:szCs w:val="28"/>
          <w:lang w:val="es-ES"/>
        </w:rPr>
        <w:t xml:space="preserve"> se agruparán entre las razones de </w:t>
      </w:r>
      <w:r w:rsidRPr="002F3D0A">
        <w:rPr>
          <w:rFonts w:ascii="Times New Roman" w:eastAsia="Calibri" w:hAnsi="Times New Roman" w:cs="Times New Roman"/>
          <w:color w:val="000000" w:themeColor="text1"/>
          <w:sz w:val="28"/>
          <w:szCs w:val="28"/>
          <w:lang w:val="es-ES"/>
        </w:rPr>
        <w:t xml:space="preserve">constitucionalidad </w:t>
      </w:r>
      <w:r w:rsidRPr="002F3D0A">
        <w:rPr>
          <w:rFonts w:ascii="Times New Roman" w:eastAsia="Calibri" w:hAnsi="Times New Roman" w:cs="Times New Roman"/>
          <w:color w:val="000000" w:themeColor="text1"/>
          <w:sz w:val="28"/>
          <w:szCs w:val="28"/>
          <w:lang w:val="es-ES"/>
        </w:rPr>
        <w:t>y las de</w:t>
      </w:r>
      <w:r w:rsidRPr="002F3D0A">
        <w:rPr>
          <w:rFonts w:ascii="Times New Roman" w:eastAsia="Calibri" w:hAnsi="Times New Roman" w:cs="Times New Roman"/>
          <w:color w:val="000000" w:themeColor="text1"/>
          <w:sz w:val="28"/>
          <w:szCs w:val="28"/>
          <w:lang w:val="es-ES"/>
        </w:rPr>
        <w:t xml:space="preserve"> inconstitucionalidad. Finalmente, se sintetizarán las razones planteadas en relación con el cargo por violación del artículo 317 superior. </w:t>
      </w:r>
    </w:p>
    <w:p w:rsidR="000F4294" w:rsidRPr="002F3D0A" w:rsidRDefault="002F3D0A" w:rsidP="000F4294">
      <w:pPr>
        <w:pStyle w:val="Prrafodelista"/>
        <w:ind w:left="0"/>
        <w:jc w:val="center"/>
        <w:rPr>
          <w:rFonts w:ascii="Times New Roman" w:eastAsia="Calibri" w:hAnsi="Times New Roman" w:cs="Times New Roman"/>
          <w:b/>
          <w:color w:val="000000" w:themeColor="text1"/>
          <w:sz w:val="28"/>
          <w:szCs w:val="28"/>
          <w:lang w:val="es-ES"/>
        </w:rPr>
      </w:pPr>
    </w:p>
    <w:p w:rsidR="000F4294" w:rsidRPr="002F3D0A" w:rsidRDefault="002F3D0A" w:rsidP="00D95074">
      <w:pPr>
        <w:pStyle w:val="Prrafodelista"/>
        <w:ind w:left="0"/>
        <w:rPr>
          <w:rFonts w:ascii="Times New Roman" w:eastAsia="Calibri" w:hAnsi="Times New Roman" w:cs="Times New Roman"/>
          <w:b/>
          <w:color w:val="000000" w:themeColor="text1"/>
          <w:sz w:val="28"/>
          <w:szCs w:val="28"/>
          <w:lang w:val="es-ES"/>
        </w:rPr>
      </w:pPr>
      <w:r w:rsidRPr="002F3D0A">
        <w:rPr>
          <w:rFonts w:ascii="Times New Roman" w:eastAsia="Calibri" w:hAnsi="Times New Roman" w:cs="Times New Roman"/>
          <w:b/>
          <w:color w:val="000000" w:themeColor="text1"/>
          <w:sz w:val="28"/>
          <w:szCs w:val="28"/>
          <w:lang w:val="es-ES"/>
        </w:rPr>
        <w:t>Intervenciones sobre c</w:t>
      </w:r>
      <w:r w:rsidRPr="002F3D0A">
        <w:rPr>
          <w:rFonts w:ascii="Times New Roman" w:eastAsia="Calibri" w:hAnsi="Times New Roman" w:cs="Times New Roman"/>
          <w:b/>
          <w:color w:val="000000" w:themeColor="text1"/>
          <w:sz w:val="28"/>
          <w:szCs w:val="28"/>
          <w:lang w:val="es-ES"/>
        </w:rPr>
        <w:t>uestiones preliminares: aptitud de la demanda y cosa juzgada</w:t>
      </w:r>
    </w:p>
    <w:p w:rsidR="000F4294" w:rsidRPr="002F3D0A" w:rsidRDefault="002F3D0A" w:rsidP="000F4294">
      <w:pPr>
        <w:pStyle w:val="Prrafodelista"/>
        <w:ind w:left="0"/>
        <w:rPr>
          <w:rFonts w:ascii="Times New Roman" w:eastAsia="Calibri" w:hAnsi="Times New Roman" w:cs="Times New Roman"/>
          <w:color w:val="000000" w:themeColor="text1"/>
          <w:sz w:val="28"/>
          <w:szCs w:val="28"/>
          <w:lang w:val="es-ES"/>
        </w:rPr>
      </w:pPr>
    </w:p>
    <w:p w:rsidR="002A21F9" w:rsidRPr="002F3D0A" w:rsidRDefault="002F3D0A" w:rsidP="002A21F9">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DIAN, el Ministerio de </w:t>
      </w:r>
      <w:r w:rsidRPr="002F3D0A">
        <w:rPr>
          <w:rFonts w:ascii="Times New Roman" w:eastAsia="Calibri" w:hAnsi="Times New Roman" w:cs="Times New Roman"/>
          <w:color w:val="000000" w:themeColor="text1"/>
          <w:sz w:val="28"/>
          <w:szCs w:val="28"/>
          <w:lang w:val="es-ES"/>
        </w:rPr>
        <w:t>Hacienda y Crédito Público, y la Presidencia de la República cuestionaron la aptitud de los cargos de inconstitucionalidad por las siguientes razones:</w:t>
      </w:r>
    </w:p>
    <w:p w:rsidR="002A21F9" w:rsidRPr="002F3D0A" w:rsidRDefault="002F3D0A" w:rsidP="002A21F9">
      <w:pPr>
        <w:pStyle w:val="Prrafodelista"/>
        <w:ind w:left="0"/>
        <w:rPr>
          <w:rFonts w:ascii="Times New Roman" w:eastAsia="Calibri" w:hAnsi="Times New Roman" w:cs="Times New Roman"/>
          <w:color w:val="000000" w:themeColor="text1"/>
          <w:sz w:val="28"/>
          <w:szCs w:val="28"/>
          <w:lang w:val="es-ES"/>
        </w:rPr>
      </w:pPr>
    </w:p>
    <w:p w:rsidR="002A21F9" w:rsidRPr="002F3D0A" w:rsidRDefault="002F3D0A" w:rsidP="002A21F9">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Sobre el cargo relacionado </w:t>
      </w:r>
      <w:r w:rsidRPr="002F3D0A">
        <w:rPr>
          <w:rFonts w:ascii="Times New Roman" w:eastAsia="Calibri" w:hAnsi="Times New Roman" w:cs="Times New Roman"/>
          <w:b/>
          <w:color w:val="000000" w:themeColor="text1"/>
          <w:sz w:val="28"/>
          <w:szCs w:val="28"/>
          <w:lang w:val="es-ES"/>
        </w:rPr>
        <w:t>con el principio de equidad horizontal</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 xml:space="preserve">las entidades indicaron que </w:t>
      </w:r>
      <w:r w:rsidRPr="002F3D0A">
        <w:rPr>
          <w:rFonts w:ascii="Times New Roman" w:eastAsia="Calibri" w:hAnsi="Times New Roman" w:cs="Times New Roman"/>
          <w:color w:val="000000" w:themeColor="text1"/>
          <w:sz w:val="28"/>
          <w:szCs w:val="28"/>
          <w:lang w:val="es-ES"/>
        </w:rPr>
        <w:t xml:space="preserve">se incumplen los requisitos de </w:t>
      </w:r>
      <w:bookmarkStart w:id="14" w:name="_Hlk171343477"/>
      <w:r w:rsidRPr="002F3D0A">
        <w:rPr>
          <w:rFonts w:ascii="Times New Roman" w:eastAsia="Calibri" w:hAnsi="Times New Roman" w:cs="Times New Roman"/>
          <w:color w:val="000000" w:themeColor="text1"/>
          <w:sz w:val="28"/>
          <w:szCs w:val="28"/>
          <w:lang w:val="es-ES"/>
        </w:rPr>
        <w:t xml:space="preserve">especificidad y suficiencia, debido a que el planteamiento de los demandantes desconoce el alcance de la norma acusada, pues </w:t>
      </w:r>
      <w:r w:rsidRPr="002F3D0A">
        <w:rPr>
          <w:rFonts w:ascii="Times New Roman" w:eastAsia="Calibri" w:hAnsi="Times New Roman" w:cs="Times New Roman"/>
          <w:color w:val="000000" w:themeColor="text1"/>
          <w:sz w:val="28"/>
          <w:szCs w:val="28"/>
          <w:lang w:val="es-ES"/>
        </w:rPr>
        <w:t xml:space="preserve">deja de considerar que </w:t>
      </w:r>
      <w:r w:rsidRPr="002F3D0A">
        <w:rPr>
          <w:rFonts w:ascii="Times New Roman" w:eastAsia="Calibri" w:hAnsi="Times New Roman" w:cs="Times New Roman"/>
          <w:color w:val="000000" w:themeColor="text1"/>
          <w:sz w:val="28"/>
          <w:szCs w:val="28"/>
          <w:lang w:val="es-ES"/>
        </w:rPr>
        <w:t xml:space="preserve">una sociedad extranjera </w:t>
      </w:r>
      <w:r w:rsidRPr="002F3D0A">
        <w:rPr>
          <w:rFonts w:ascii="Times New Roman" w:eastAsia="Calibri" w:hAnsi="Times New Roman" w:cs="Times New Roman"/>
          <w:color w:val="000000" w:themeColor="text1"/>
          <w:sz w:val="28"/>
          <w:szCs w:val="28"/>
          <w:lang w:val="es-ES"/>
        </w:rPr>
        <w:t>será</w:t>
      </w:r>
      <w:r w:rsidRPr="002F3D0A">
        <w:rPr>
          <w:rFonts w:ascii="Times New Roman" w:eastAsia="Calibri" w:hAnsi="Times New Roman" w:cs="Times New Roman"/>
          <w:color w:val="000000" w:themeColor="text1"/>
          <w:sz w:val="28"/>
          <w:szCs w:val="28"/>
        </w:rPr>
        <w:t xml:space="preserve"> contribuyente del impuesto al patrimonio por los</w:t>
      </w:r>
      <w:r w:rsidRPr="002F3D0A">
        <w:rPr>
          <w:rFonts w:ascii="Times New Roman" w:eastAsia="Calibri" w:hAnsi="Times New Roman" w:cs="Times New Roman"/>
          <w:color w:val="000000" w:themeColor="text1"/>
          <w:sz w:val="28"/>
          <w:szCs w:val="28"/>
        </w:rPr>
        <w:t xml:space="preserve"> inmuebles, aeronaves, bienes de propiedad planta y equipo que posea, pese a </w:t>
      </w:r>
      <w:r w:rsidRPr="002F3D0A">
        <w:rPr>
          <w:rFonts w:ascii="Times New Roman" w:eastAsia="Calibri" w:hAnsi="Times New Roman" w:cs="Times New Roman"/>
          <w:color w:val="000000" w:themeColor="text1"/>
          <w:sz w:val="28"/>
          <w:szCs w:val="28"/>
        </w:rPr>
        <w:t xml:space="preserve">que también </w:t>
      </w:r>
      <w:r w:rsidRPr="002F3D0A">
        <w:rPr>
          <w:rFonts w:ascii="Times New Roman" w:eastAsia="Calibri" w:hAnsi="Times New Roman" w:cs="Times New Roman"/>
          <w:color w:val="000000" w:themeColor="text1"/>
          <w:sz w:val="28"/>
          <w:szCs w:val="28"/>
        </w:rPr>
        <w:t xml:space="preserve"> pose</w:t>
      </w:r>
      <w:r w:rsidRPr="002F3D0A">
        <w:rPr>
          <w:rFonts w:ascii="Times New Roman" w:eastAsia="Calibri" w:hAnsi="Times New Roman" w:cs="Times New Roman"/>
          <w:color w:val="000000" w:themeColor="text1"/>
          <w:sz w:val="28"/>
          <w:szCs w:val="28"/>
        </w:rPr>
        <w:t>a</w:t>
      </w:r>
      <w:r w:rsidRPr="002F3D0A">
        <w:rPr>
          <w:rFonts w:ascii="Times New Roman" w:eastAsia="Calibri" w:hAnsi="Times New Roman" w:cs="Times New Roman"/>
          <w:color w:val="000000" w:themeColor="text1"/>
          <w:sz w:val="28"/>
          <w:szCs w:val="28"/>
        </w:rPr>
        <w:t xml:space="preserve"> acciones, o cuentas por cobrar y/o inversiones de portafolio en Colombia</w:t>
      </w:r>
      <w:r w:rsidRPr="002F3D0A">
        <w:rPr>
          <w:rFonts w:ascii="Times New Roman" w:eastAsia="Calibri" w:hAnsi="Times New Roman" w:cs="Times New Roman"/>
          <w:color w:val="000000" w:themeColor="text1"/>
          <w:sz w:val="28"/>
          <w:szCs w:val="28"/>
        </w:rPr>
        <w:t>. Adicionalmente, según las entidades, los demandantes</w:t>
      </w:r>
      <w:r w:rsidRPr="002F3D0A">
        <w:rPr>
          <w:rFonts w:ascii="Times New Roman" w:eastAsia="Calibri" w:hAnsi="Times New Roman" w:cs="Times New Roman"/>
          <w:color w:val="000000" w:themeColor="text1"/>
          <w:sz w:val="28"/>
          <w:szCs w:val="28"/>
        </w:rPr>
        <w:t xml:space="preserve"> no presentaron razones sustantivas que justifiquen la inconstitucionalidad de la disposición acusada.</w:t>
      </w:r>
    </w:p>
    <w:p w:rsidR="000F4294" w:rsidRPr="002F3D0A" w:rsidRDefault="002F3D0A" w:rsidP="000F4294">
      <w:pPr>
        <w:pStyle w:val="Prrafodelista"/>
        <w:rPr>
          <w:rFonts w:ascii="Times New Roman" w:eastAsia="Calibri" w:hAnsi="Times New Roman" w:cs="Times New Roman"/>
          <w:color w:val="000000" w:themeColor="text1"/>
          <w:sz w:val="28"/>
          <w:szCs w:val="28"/>
          <w:lang w:val="es-ES"/>
        </w:rPr>
      </w:pPr>
    </w:p>
    <w:bookmarkEnd w:id="14"/>
    <w:p w:rsidR="000F4294" w:rsidRPr="002F3D0A" w:rsidRDefault="002F3D0A" w:rsidP="000F4294">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En relación con el cargo relacionado con la violación de la competencia de los </w:t>
      </w:r>
      <w:r w:rsidRPr="002F3D0A">
        <w:rPr>
          <w:rFonts w:ascii="Times New Roman" w:eastAsia="Calibri" w:hAnsi="Times New Roman" w:cs="Times New Roman"/>
          <w:color w:val="000000" w:themeColor="text1"/>
          <w:sz w:val="28"/>
          <w:szCs w:val="28"/>
          <w:lang w:val="es-ES"/>
        </w:rPr>
        <w:t xml:space="preserve">municipios para gravar la propiedad inmueble se incumplen los requisitos </w:t>
      </w:r>
      <w:r w:rsidRPr="002F3D0A">
        <w:rPr>
          <w:rFonts w:ascii="Times New Roman" w:eastAsia="Calibri" w:hAnsi="Times New Roman" w:cs="Times New Roman"/>
          <w:color w:val="000000" w:themeColor="text1"/>
          <w:sz w:val="28"/>
          <w:szCs w:val="28"/>
          <w:lang w:val="es-ES"/>
        </w:rPr>
        <w:t xml:space="preserve">de </w:t>
      </w:r>
      <w:r w:rsidRPr="002F3D0A">
        <w:rPr>
          <w:rFonts w:ascii="Times New Roman" w:eastAsia="Calibri" w:hAnsi="Times New Roman" w:cs="Times New Roman"/>
          <w:b/>
          <w:color w:val="000000" w:themeColor="text1"/>
          <w:sz w:val="28"/>
          <w:szCs w:val="28"/>
          <w:lang w:val="es-ES"/>
        </w:rPr>
        <w:t>claridad y suficiencia</w:t>
      </w:r>
      <w:r w:rsidRPr="002F3D0A">
        <w:rPr>
          <w:rFonts w:ascii="Times New Roman" w:eastAsia="Calibri" w:hAnsi="Times New Roman" w:cs="Times New Roman"/>
          <w:color w:val="000000" w:themeColor="text1"/>
          <w:sz w:val="28"/>
          <w:szCs w:val="28"/>
          <w:lang w:val="es-ES"/>
        </w:rPr>
        <w:t xml:space="preserve">, debido a que no se acredita </w:t>
      </w:r>
      <w:r w:rsidRPr="002F3D0A">
        <w:rPr>
          <w:rFonts w:ascii="Times New Roman" w:eastAsia="Calibri" w:hAnsi="Times New Roman" w:cs="Times New Roman"/>
          <w:color w:val="000000" w:themeColor="text1"/>
          <w:sz w:val="28"/>
          <w:szCs w:val="28"/>
          <w:lang w:val="es-ES"/>
        </w:rPr>
        <w:t>la carga argumentativa estricta para solicitar el cambio de precedente</w:t>
      </w:r>
      <w:r w:rsidRPr="002F3D0A">
        <w:rPr>
          <w:rFonts w:ascii="Times New Roman" w:eastAsia="Calibri" w:hAnsi="Times New Roman" w:cs="Times New Roman"/>
          <w:color w:val="000000" w:themeColor="text1"/>
          <w:sz w:val="28"/>
          <w:szCs w:val="28"/>
          <w:lang w:val="es-ES"/>
        </w:rPr>
        <w:t>, la cual exige: (i) exponer las razones por las cuales procede apartarse de la jurisprudencia en vigor sobre la materia; y (ii) de</w:t>
      </w:r>
      <w:r w:rsidRPr="002F3D0A">
        <w:rPr>
          <w:rFonts w:ascii="Times New Roman" w:eastAsia="Calibri" w:hAnsi="Times New Roman" w:cs="Times New Roman"/>
          <w:color w:val="000000" w:themeColor="text1"/>
          <w:sz w:val="28"/>
          <w:szCs w:val="28"/>
          <w:lang w:val="es-ES"/>
        </w:rPr>
        <w:t>mostrar suficientemente que la interpretación alternativa desarrolla de mejor manera los derechos, principios y valores constitucionales.</w:t>
      </w:r>
    </w:p>
    <w:p w:rsidR="000F4294" w:rsidRPr="002F3D0A" w:rsidRDefault="002F3D0A" w:rsidP="000F4294">
      <w:pPr>
        <w:pStyle w:val="Prrafodelista"/>
        <w:rPr>
          <w:rFonts w:ascii="Times New Roman" w:eastAsia="Calibri" w:hAnsi="Times New Roman" w:cs="Times New Roman"/>
          <w:color w:val="000000" w:themeColor="text1"/>
          <w:sz w:val="28"/>
          <w:szCs w:val="28"/>
          <w:lang w:val="es-ES"/>
        </w:rPr>
      </w:pPr>
    </w:p>
    <w:p w:rsidR="000F4294" w:rsidRPr="002F3D0A" w:rsidRDefault="002F3D0A" w:rsidP="000F4294">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Por su parte, el Ministerio de Hacienda y Crédito Público solicitó que se declare la cosa juzgada material y que la C</w:t>
      </w:r>
      <w:r w:rsidRPr="002F3D0A">
        <w:rPr>
          <w:rFonts w:ascii="Times New Roman" w:eastAsia="Calibri" w:hAnsi="Times New Roman" w:cs="Times New Roman"/>
          <w:color w:val="000000" w:themeColor="text1"/>
          <w:sz w:val="28"/>
          <w:szCs w:val="28"/>
          <w:lang w:val="es-ES"/>
        </w:rPr>
        <w:t>orte se esté a lo resuelto en las sentencias C-876 de 2002 y C-990 de 2004</w:t>
      </w:r>
      <w:r w:rsidRPr="002F3D0A">
        <w:rPr>
          <w:rFonts w:ascii="Times New Roman" w:eastAsia="Calibri" w:hAnsi="Times New Roman" w:cs="Times New Roman"/>
          <w:color w:val="000000" w:themeColor="text1"/>
          <w:sz w:val="28"/>
          <w:szCs w:val="28"/>
          <w:lang w:val="es-ES"/>
        </w:rPr>
        <w:t xml:space="preserve">. </w:t>
      </w:r>
    </w:p>
    <w:p w:rsidR="000F4294" w:rsidRPr="002F3D0A" w:rsidRDefault="002F3D0A" w:rsidP="000F4294">
      <w:pPr>
        <w:pStyle w:val="Prrafodelista"/>
        <w:ind w:left="0"/>
        <w:jc w:val="center"/>
        <w:rPr>
          <w:rFonts w:ascii="Times New Roman" w:eastAsia="Calibri" w:hAnsi="Times New Roman" w:cs="Times New Roman"/>
          <w:b/>
          <w:color w:val="000000" w:themeColor="text1"/>
          <w:sz w:val="28"/>
          <w:szCs w:val="28"/>
          <w:lang w:val="es-ES"/>
        </w:rPr>
      </w:pPr>
    </w:p>
    <w:p w:rsidR="000F4294" w:rsidRPr="002F3D0A" w:rsidRDefault="002F3D0A" w:rsidP="00D95074">
      <w:pPr>
        <w:pStyle w:val="Prrafodelista"/>
        <w:ind w:left="0"/>
        <w:rPr>
          <w:rFonts w:ascii="Times New Roman" w:eastAsia="Calibri" w:hAnsi="Times New Roman" w:cs="Times New Roman"/>
          <w:b/>
          <w:color w:val="000000" w:themeColor="text1"/>
          <w:sz w:val="28"/>
          <w:szCs w:val="28"/>
          <w:lang w:val="es-ES"/>
        </w:rPr>
      </w:pPr>
      <w:r w:rsidRPr="002F3D0A">
        <w:rPr>
          <w:rFonts w:ascii="Times New Roman" w:eastAsia="Calibri" w:hAnsi="Times New Roman" w:cs="Times New Roman"/>
          <w:b/>
          <w:color w:val="000000" w:themeColor="text1"/>
          <w:sz w:val="28"/>
          <w:szCs w:val="28"/>
          <w:lang w:val="es-ES"/>
        </w:rPr>
        <w:t>Intervenciones en relación con el c</w:t>
      </w:r>
      <w:r w:rsidRPr="002F3D0A">
        <w:rPr>
          <w:rFonts w:ascii="Times New Roman" w:eastAsia="Calibri" w:hAnsi="Times New Roman" w:cs="Times New Roman"/>
          <w:b/>
          <w:color w:val="000000" w:themeColor="text1"/>
          <w:sz w:val="28"/>
          <w:szCs w:val="28"/>
          <w:lang w:val="es-ES"/>
        </w:rPr>
        <w:t>argo por violación del principio de equidad horizontal</w:t>
      </w:r>
    </w:p>
    <w:p w:rsidR="000F4294" w:rsidRPr="002F3D0A" w:rsidRDefault="002F3D0A" w:rsidP="000F4294">
      <w:pPr>
        <w:pStyle w:val="Prrafodelista"/>
        <w:ind w:left="0"/>
        <w:jc w:val="center"/>
        <w:rPr>
          <w:rFonts w:ascii="Times New Roman" w:eastAsia="Calibri" w:hAnsi="Times New Roman" w:cs="Times New Roman"/>
          <w:b/>
          <w:color w:val="000000" w:themeColor="text1"/>
          <w:sz w:val="28"/>
          <w:szCs w:val="28"/>
          <w:lang w:val="es-ES"/>
        </w:rPr>
      </w:pPr>
    </w:p>
    <w:p w:rsidR="002A21F9" w:rsidRPr="002F3D0A" w:rsidRDefault="002F3D0A" w:rsidP="002A21F9">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DIAN, el Ministerio de Hacienda y Crédito Público, la Presidencia de la República, </w:t>
      </w:r>
      <w:r w:rsidRPr="002F3D0A">
        <w:rPr>
          <w:rFonts w:ascii="Times New Roman" w:eastAsia="Calibri" w:hAnsi="Times New Roman" w:cs="Times New Roman"/>
          <w:color w:val="000000" w:themeColor="text1"/>
          <w:sz w:val="28"/>
          <w:szCs w:val="28"/>
          <w:lang w:val="es-ES"/>
        </w:rPr>
        <w:t xml:space="preserve">la Universidad </w:t>
      </w:r>
      <w:r w:rsidRPr="002F3D0A">
        <w:rPr>
          <w:rFonts w:ascii="Times New Roman" w:hAnsi="Times New Roman" w:cs="Times New Roman"/>
          <w:sz w:val="28"/>
          <w:szCs w:val="28"/>
        </w:rPr>
        <w:t xml:space="preserve">del Rosario, </w:t>
      </w:r>
      <w:r w:rsidRPr="002F3D0A">
        <w:rPr>
          <w:rFonts w:ascii="Times New Roman" w:hAnsi="Times New Roman" w:cs="Times New Roman"/>
          <w:sz w:val="28"/>
          <w:szCs w:val="28"/>
        </w:rPr>
        <w:t xml:space="preserve">la </w:t>
      </w:r>
      <w:r w:rsidRPr="002F3D0A">
        <w:rPr>
          <w:rFonts w:ascii="Times New Roman" w:hAnsi="Times New Roman" w:cs="Times New Roman"/>
          <w:sz w:val="28"/>
          <w:szCs w:val="28"/>
        </w:rPr>
        <w:t>Universidad Javeriana</w:t>
      </w:r>
      <w:r w:rsidRPr="002F3D0A">
        <w:rPr>
          <w:rFonts w:ascii="Times New Roman" w:hAnsi="Times New Roman" w:cs="Times New Roman"/>
          <w:sz w:val="28"/>
          <w:szCs w:val="28"/>
        </w:rPr>
        <w:t>, la</w:t>
      </w:r>
      <w:r w:rsidRPr="002F3D0A">
        <w:rPr>
          <w:rFonts w:ascii="Times New Roman" w:hAnsi="Times New Roman" w:cs="Times New Roman"/>
          <w:sz w:val="28"/>
          <w:szCs w:val="28"/>
        </w:rPr>
        <w:t xml:space="preserve"> Universidad Externado de </w:t>
      </w:r>
      <w:r w:rsidRPr="002F3D0A">
        <w:rPr>
          <w:rFonts w:ascii="Times New Roman" w:hAnsi="Times New Roman" w:cs="Times New Roman"/>
          <w:sz w:val="28"/>
          <w:szCs w:val="28"/>
        </w:rPr>
        <w:t xml:space="preserve">Colombia, la Universidad Libre </w:t>
      </w:r>
      <w:r w:rsidRPr="002F3D0A">
        <w:rPr>
          <w:rFonts w:ascii="Times New Roman" w:hAnsi="Times New Roman" w:cs="Times New Roman"/>
          <w:sz w:val="28"/>
          <w:szCs w:val="28"/>
        </w:rPr>
        <w:t xml:space="preserve">y Dejusticia </w:t>
      </w:r>
      <w:r w:rsidRPr="002F3D0A">
        <w:rPr>
          <w:rFonts w:ascii="Times New Roman" w:hAnsi="Times New Roman" w:cs="Times New Roman"/>
          <w:sz w:val="28"/>
          <w:szCs w:val="28"/>
        </w:rPr>
        <w:t xml:space="preserve">solicitaron que se </w:t>
      </w:r>
      <w:r w:rsidRPr="002F3D0A">
        <w:rPr>
          <w:rFonts w:ascii="Times New Roman" w:hAnsi="Times New Roman" w:cs="Times New Roman"/>
          <w:sz w:val="28"/>
          <w:szCs w:val="28"/>
        </w:rPr>
        <w:t>declare la exequibilidad</w:t>
      </w:r>
      <w:r w:rsidRPr="002F3D0A">
        <w:rPr>
          <w:rFonts w:ascii="Times New Roman" w:hAnsi="Times New Roman" w:cs="Times New Roman"/>
          <w:sz w:val="28"/>
          <w:szCs w:val="28"/>
        </w:rPr>
        <w:t xml:space="preserve"> del numeral 5 del artículo 35 de la Ley 2277 de 2022, que establece la sujeción pasiva del impuesto al patrimonio de sociedades extranjera</w:t>
      </w:r>
      <w:r w:rsidRPr="002F3D0A">
        <w:rPr>
          <w:rFonts w:ascii="Times New Roman" w:hAnsi="Times New Roman" w:cs="Times New Roman"/>
          <w:sz w:val="28"/>
          <w:szCs w:val="28"/>
        </w:rPr>
        <w:t>s</w:t>
      </w:r>
      <w:r w:rsidRPr="002F3D0A">
        <w:rPr>
          <w:rFonts w:ascii="Times New Roman" w:hAnsi="Times New Roman" w:cs="Times New Roman"/>
          <w:sz w:val="28"/>
          <w:szCs w:val="28"/>
        </w:rPr>
        <w:t xml:space="preserve"> propietarias de</w:t>
      </w:r>
      <w:r w:rsidRPr="002F3D0A">
        <w:rPr>
          <w:rFonts w:ascii="Times New Roman" w:hAnsi="Times New Roman" w:cs="Times New Roman"/>
          <w:sz w:val="28"/>
          <w:szCs w:val="28"/>
        </w:rPr>
        <w:t xml:space="preserve"> bienes</w:t>
      </w:r>
      <w:r w:rsidRPr="002F3D0A">
        <w:rPr>
          <w:rFonts w:ascii="Times New Roman" w:hAnsi="Times New Roman" w:cs="Times New Roman"/>
          <w:sz w:val="28"/>
          <w:szCs w:val="28"/>
        </w:rPr>
        <w:t xml:space="preserve"> diferentes a</w:t>
      </w:r>
      <w:r w:rsidRPr="002F3D0A">
        <w:rPr>
          <w:rFonts w:ascii="Times New Roman" w:hAnsi="Times New Roman" w:cs="Times New Roman"/>
          <w:sz w:val="28"/>
        </w:rPr>
        <w:t xml:space="preserve"> </w:t>
      </w:r>
      <w:r w:rsidRPr="002F3D0A">
        <w:rPr>
          <w:rFonts w:ascii="Times New Roman" w:hAnsi="Times New Roman" w:cs="Times New Roman"/>
          <w:sz w:val="28"/>
          <w:szCs w:val="28"/>
        </w:rPr>
        <w:t>acciones, cuentas por cobrar y/o inversiones de portafolio</w:t>
      </w:r>
      <w:r w:rsidRPr="002F3D0A">
        <w:rPr>
          <w:rFonts w:ascii="Times New Roman" w:hAnsi="Times New Roman" w:cs="Times New Roman"/>
          <w:sz w:val="28"/>
          <w:szCs w:val="28"/>
        </w:rPr>
        <w:t xml:space="preserve"> por las siguientes r</w:t>
      </w:r>
      <w:r w:rsidRPr="002F3D0A">
        <w:rPr>
          <w:rFonts w:ascii="Times New Roman" w:hAnsi="Times New Roman" w:cs="Times New Roman"/>
          <w:sz w:val="28"/>
          <w:szCs w:val="28"/>
        </w:rPr>
        <w:t>azones:</w:t>
      </w:r>
    </w:p>
    <w:p w:rsidR="00A95A92" w:rsidRPr="002F3D0A" w:rsidRDefault="002F3D0A" w:rsidP="00A95A92">
      <w:pPr>
        <w:pStyle w:val="Prrafodelista"/>
        <w:ind w:left="0"/>
        <w:rPr>
          <w:rFonts w:ascii="Times New Roman" w:eastAsia="Calibri" w:hAnsi="Times New Roman" w:cs="Times New Roman"/>
          <w:color w:val="000000" w:themeColor="text1"/>
          <w:sz w:val="28"/>
          <w:szCs w:val="28"/>
          <w:lang w:val="es-ES"/>
        </w:rPr>
      </w:pPr>
    </w:p>
    <w:p w:rsidR="00A95A92"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El legislador</w:t>
      </w:r>
      <w:r w:rsidRPr="002F3D0A">
        <w:rPr>
          <w:rFonts w:ascii="Times New Roman" w:eastAsia="Calibri" w:hAnsi="Times New Roman" w:cs="Times New Roman"/>
          <w:color w:val="000000" w:themeColor="text1"/>
          <w:sz w:val="28"/>
          <w:szCs w:val="28"/>
          <w:lang w:val="es-ES"/>
        </w:rPr>
        <w:t xml:space="preserve"> cuenta con un amplio margen de configuración</w:t>
      </w:r>
      <w:r w:rsidRPr="002F3D0A">
        <w:rPr>
          <w:rFonts w:ascii="Times New Roman" w:eastAsia="Calibri" w:hAnsi="Times New Roman" w:cs="Times New Roman"/>
          <w:color w:val="000000" w:themeColor="text1"/>
          <w:sz w:val="28"/>
          <w:szCs w:val="28"/>
          <w:lang w:val="es-ES"/>
        </w:rPr>
        <w:t xml:space="preserve"> en materia impositiva</w:t>
      </w:r>
      <w:r w:rsidRPr="002F3D0A">
        <w:rPr>
          <w:rFonts w:ascii="Times New Roman" w:eastAsia="Calibri" w:hAnsi="Times New Roman" w:cs="Times New Roman"/>
          <w:color w:val="000000" w:themeColor="text1"/>
          <w:sz w:val="28"/>
          <w:szCs w:val="28"/>
          <w:lang w:val="es-ES"/>
        </w:rPr>
        <w:t>, que</w:t>
      </w:r>
      <w:r w:rsidRPr="002F3D0A">
        <w:rPr>
          <w:rFonts w:ascii="Times New Roman" w:eastAsia="Calibri" w:hAnsi="Times New Roman" w:cs="Times New Roman"/>
          <w:color w:val="000000" w:themeColor="text1"/>
          <w:sz w:val="28"/>
          <w:szCs w:val="28"/>
          <w:lang w:val="es-ES"/>
        </w:rPr>
        <w:t xml:space="preserve"> lo faculta para la estructuración de los tributo</w:t>
      </w:r>
      <w:r w:rsidRPr="002F3D0A">
        <w:rPr>
          <w:rFonts w:ascii="Times New Roman" w:eastAsia="Calibri" w:hAnsi="Times New Roman" w:cs="Times New Roman"/>
          <w:color w:val="000000" w:themeColor="text1"/>
          <w:sz w:val="28"/>
          <w:szCs w:val="28"/>
          <w:lang w:val="es-ES"/>
        </w:rPr>
        <w:t xml:space="preserve">s y que incluye </w:t>
      </w:r>
      <w:r w:rsidRPr="002F3D0A">
        <w:rPr>
          <w:rFonts w:ascii="Times New Roman" w:eastAsia="Calibri" w:hAnsi="Times New Roman" w:cs="Times New Roman"/>
          <w:color w:val="000000" w:themeColor="text1"/>
          <w:sz w:val="28"/>
          <w:szCs w:val="28"/>
        </w:rPr>
        <w:t>la definición de los sujetos pasivos</w:t>
      </w:r>
      <w:r w:rsidRPr="002F3D0A">
        <w:rPr>
          <w:rFonts w:ascii="Times New Roman" w:eastAsia="Calibri" w:hAnsi="Times New Roman" w:cs="Times New Roman"/>
          <w:color w:val="000000" w:themeColor="text1"/>
          <w:sz w:val="28"/>
          <w:szCs w:val="28"/>
        </w:rPr>
        <w:t>.</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655383"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disposición </w:t>
      </w:r>
      <w:r w:rsidRPr="002F3D0A">
        <w:rPr>
          <w:rFonts w:ascii="Times New Roman" w:eastAsia="Calibri" w:hAnsi="Times New Roman" w:cs="Times New Roman"/>
          <w:color w:val="000000" w:themeColor="text1"/>
          <w:sz w:val="28"/>
          <w:szCs w:val="28"/>
          <w:lang w:val="es-ES"/>
        </w:rPr>
        <w:t xml:space="preserve">acusada </w:t>
      </w:r>
      <w:r w:rsidRPr="002F3D0A">
        <w:rPr>
          <w:rFonts w:ascii="Times New Roman" w:eastAsia="Calibri" w:hAnsi="Times New Roman" w:cs="Times New Roman"/>
          <w:color w:val="000000" w:themeColor="text1"/>
          <w:sz w:val="28"/>
          <w:szCs w:val="28"/>
          <w:lang w:val="es-ES"/>
        </w:rPr>
        <w:t xml:space="preserve">diferencia entre el tipo de bienes que poseen las sociedades extranjeras, </w:t>
      </w:r>
      <w:r w:rsidRPr="002F3D0A">
        <w:rPr>
          <w:rFonts w:ascii="Times New Roman" w:eastAsia="Calibri" w:hAnsi="Times New Roman" w:cs="Times New Roman"/>
          <w:color w:val="000000" w:themeColor="text1"/>
          <w:sz w:val="28"/>
          <w:szCs w:val="28"/>
          <w:lang w:val="es-ES"/>
        </w:rPr>
        <w:t xml:space="preserve">debido a que la naturaleza de los bienes </w:t>
      </w:r>
      <w:r w:rsidRPr="002F3D0A">
        <w:rPr>
          <w:rFonts w:ascii="Times New Roman" w:eastAsia="Calibri" w:hAnsi="Times New Roman" w:cs="Times New Roman"/>
          <w:color w:val="000000" w:themeColor="text1"/>
          <w:sz w:val="28"/>
          <w:szCs w:val="28"/>
          <w:lang w:val="es-ES"/>
        </w:rPr>
        <w:t xml:space="preserve">guarda una </w:t>
      </w:r>
      <w:r w:rsidRPr="002F3D0A">
        <w:rPr>
          <w:rFonts w:ascii="Times New Roman" w:eastAsia="Calibri" w:hAnsi="Times New Roman" w:cs="Times New Roman"/>
          <w:color w:val="000000" w:themeColor="text1"/>
          <w:sz w:val="28"/>
          <w:szCs w:val="28"/>
          <w:lang w:val="es-ES"/>
        </w:rPr>
        <w:t xml:space="preserve">relación </w:t>
      </w:r>
      <w:r w:rsidRPr="002F3D0A">
        <w:rPr>
          <w:rFonts w:ascii="Times New Roman" w:eastAsia="Calibri" w:hAnsi="Times New Roman" w:cs="Times New Roman"/>
          <w:color w:val="000000" w:themeColor="text1"/>
          <w:sz w:val="28"/>
          <w:szCs w:val="28"/>
          <w:lang w:val="es-ES"/>
        </w:rPr>
        <w:t xml:space="preserve">directa </w:t>
      </w:r>
      <w:r w:rsidRPr="002F3D0A">
        <w:rPr>
          <w:rFonts w:ascii="Times New Roman" w:eastAsia="Calibri" w:hAnsi="Times New Roman" w:cs="Times New Roman"/>
          <w:color w:val="000000" w:themeColor="text1"/>
          <w:sz w:val="28"/>
          <w:szCs w:val="28"/>
          <w:lang w:val="es-ES"/>
        </w:rPr>
        <w:t xml:space="preserve">con </w:t>
      </w:r>
      <w:r w:rsidRPr="002F3D0A">
        <w:rPr>
          <w:rFonts w:ascii="Times New Roman" w:eastAsia="Calibri" w:hAnsi="Times New Roman" w:cs="Times New Roman"/>
          <w:color w:val="000000" w:themeColor="text1"/>
          <w:sz w:val="28"/>
          <w:szCs w:val="28"/>
          <w:lang w:val="es-ES"/>
        </w:rPr>
        <w:t>el</w:t>
      </w:r>
      <w:r w:rsidRPr="002F3D0A">
        <w:rPr>
          <w:rFonts w:ascii="Times New Roman" w:eastAsia="Calibri" w:hAnsi="Times New Roman" w:cs="Times New Roman"/>
          <w:color w:val="000000" w:themeColor="text1"/>
          <w:sz w:val="28"/>
          <w:szCs w:val="28"/>
          <w:lang w:val="es-ES"/>
        </w:rPr>
        <w:t xml:space="preserve"> tipo de inversionista</w:t>
      </w:r>
      <w:r w:rsidRPr="002F3D0A">
        <w:rPr>
          <w:rFonts w:ascii="Times New Roman" w:eastAsia="Calibri" w:hAnsi="Times New Roman" w:cs="Times New Roman"/>
          <w:color w:val="000000" w:themeColor="text1"/>
          <w:sz w:val="28"/>
          <w:szCs w:val="28"/>
          <w:lang w:val="es-ES"/>
        </w:rPr>
        <w:t xml:space="preserve"> -mayor o menor vocación de permanencia en el país- y </w:t>
      </w:r>
      <w:r w:rsidRPr="002F3D0A">
        <w:rPr>
          <w:rFonts w:ascii="Times New Roman" w:eastAsia="Calibri" w:hAnsi="Times New Roman" w:cs="Times New Roman"/>
          <w:color w:val="000000" w:themeColor="text1"/>
          <w:sz w:val="28"/>
          <w:szCs w:val="28"/>
          <w:lang w:val="es-ES"/>
        </w:rPr>
        <w:t>tiene efectos diferentes</w:t>
      </w:r>
      <w:r w:rsidRPr="002F3D0A">
        <w:rPr>
          <w:rFonts w:ascii="Times New Roman" w:eastAsia="Calibri" w:hAnsi="Times New Roman" w:cs="Times New Roman"/>
          <w:color w:val="000000" w:themeColor="text1"/>
          <w:sz w:val="28"/>
          <w:szCs w:val="28"/>
          <w:lang w:val="es-ES"/>
        </w:rPr>
        <w:t xml:space="preserve"> en la economía del país</w:t>
      </w:r>
      <w:r w:rsidRPr="002F3D0A">
        <w:rPr>
          <w:rFonts w:ascii="Times New Roman" w:eastAsia="Calibri" w:hAnsi="Times New Roman" w:cs="Times New Roman"/>
          <w:color w:val="000000" w:themeColor="text1"/>
          <w:sz w:val="28"/>
          <w:szCs w:val="28"/>
          <w:lang w:val="es-ES"/>
        </w:rPr>
        <w:t>.</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E720C4"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w:t>
      </w:r>
      <w:r w:rsidRPr="002F3D0A">
        <w:rPr>
          <w:rFonts w:ascii="Times New Roman" w:eastAsia="Calibri" w:hAnsi="Times New Roman" w:cs="Times New Roman"/>
          <w:color w:val="000000" w:themeColor="text1"/>
          <w:sz w:val="28"/>
          <w:szCs w:val="28"/>
          <w:lang w:val="es-ES"/>
        </w:rPr>
        <w:t>exclusión de</w:t>
      </w:r>
      <w:r w:rsidRPr="002F3D0A">
        <w:rPr>
          <w:rFonts w:ascii="Times New Roman" w:eastAsia="Calibri" w:hAnsi="Times New Roman" w:cs="Times New Roman"/>
          <w:color w:val="000000" w:themeColor="text1"/>
          <w:sz w:val="28"/>
          <w:szCs w:val="28"/>
          <w:lang w:val="es-ES"/>
        </w:rPr>
        <w:t xml:space="preserve"> las sociedades extranjeras con inversiones en acciones, inversiones en portafolio y cuentas por cobrar </w:t>
      </w:r>
      <w:r w:rsidRPr="002F3D0A">
        <w:rPr>
          <w:rFonts w:ascii="Times New Roman" w:eastAsia="Calibri" w:hAnsi="Times New Roman" w:cs="Times New Roman"/>
          <w:color w:val="000000" w:themeColor="text1"/>
          <w:sz w:val="28"/>
          <w:szCs w:val="28"/>
          <w:lang w:val="es-ES"/>
        </w:rPr>
        <w:t>como sujetos pasivos del impuesto al patrimonio busca</w:t>
      </w:r>
      <w:r w:rsidRPr="002F3D0A">
        <w:rPr>
          <w:rFonts w:ascii="Times New Roman" w:eastAsia="Calibri" w:hAnsi="Times New Roman" w:cs="Times New Roman"/>
          <w:color w:val="000000" w:themeColor="text1"/>
          <w:sz w:val="28"/>
          <w:szCs w:val="28"/>
          <w:lang w:val="es-ES"/>
        </w:rPr>
        <w:t xml:space="preserve">: </w:t>
      </w:r>
      <w:bookmarkStart w:id="15" w:name="_Hlk173480606"/>
      <w:r w:rsidRPr="002F3D0A">
        <w:rPr>
          <w:rFonts w:ascii="Times New Roman" w:eastAsia="Calibri" w:hAnsi="Times New Roman" w:cs="Times New Roman"/>
          <w:color w:val="000000" w:themeColor="text1"/>
          <w:sz w:val="28"/>
          <w:szCs w:val="28"/>
          <w:lang w:val="es-ES"/>
        </w:rPr>
        <w:t xml:space="preserve">a) desincentivar la inversión en bienes improductivos; b) </w:t>
      </w:r>
      <w:r w:rsidRPr="002F3D0A">
        <w:rPr>
          <w:rFonts w:ascii="Times New Roman" w:eastAsia="Calibri" w:hAnsi="Times New Roman" w:cs="Times New Roman"/>
          <w:color w:val="000000" w:themeColor="text1"/>
          <w:sz w:val="28"/>
          <w:szCs w:val="28"/>
        </w:rPr>
        <w:t>estimular el mercado de valores</w:t>
      </w:r>
      <w:r w:rsidRPr="002F3D0A">
        <w:rPr>
          <w:rStyle w:val="Refdenotaalpie"/>
          <w:rFonts w:ascii="Times New Roman" w:eastAsia="Calibri" w:hAnsi="Times New Roman" w:cs="Times New Roman"/>
          <w:color w:val="000000" w:themeColor="text1"/>
          <w:sz w:val="28"/>
          <w:szCs w:val="28"/>
        </w:rPr>
        <w:footnoteReference w:id="6"/>
      </w:r>
      <w:r w:rsidRPr="002F3D0A">
        <w:rPr>
          <w:rFonts w:ascii="Times New Roman" w:eastAsia="Calibri" w:hAnsi="Times New Roman" w:cs="Times New Roman"/>
          <w:color w:val="000000" w:themeColor="text1"/>
          <w:sz w:val="28"/>
          <w:szCs w:val="28"/>
        </w:rPr>
        <w:t xml:space="preserve">; c) </w:t>
      </w:r>
      <w:r w:rsidRPr="002F3D0A">
        <w:rPr>
          <w:rFonts w:ascii="Times New Roman" w:eastAsia="Calibri" w:hAnsi="Times New Roman" w:cs="Times New Roman"/>
          <w:color w:val="000000" w:themeColor="text1"/>
          <w:sz w:val="28"/>
          <w:szCs w:val="28"/>
          <w:lang w:val="es-ES"/>
        </w:rPr>
        <w:t>contribuir al crecimiento y eficiencia de la economía,</w:t>
      </w:r>
      <w:r w:rsidRPr="002F3D0A">
        <w:rPr>
          <w:rFonts w:ascii="Times New Roman" w:hAnsi="Times New Roman" w:cs="Times New Roman"/>
          <w:sz w:val="28"/>
          <w:szCs w:val="28"/>
        </w:rPr>
        <w:t xml:space="preserve"> d) reducir </w:t>
      </w:r>
      <w:r w:rsidRPr="002F3D0A">
        <w:rPr>
          <w:rFonts w:ascii="Times New Roman" w:eastAsia="Calibri" w:hAnsi="Times New Roman" w:cs="Times New Roman"/>
          <w:color w:val="000000" w:themeColor="text1"/>
          <w:sz w:val="28"/>
          <w:szCs w:val="28"/>
          <w:lang w:val="es-ES"/>
        </w:rPr>
        <w:t xml:space="preserve">los costos de financiamiento tanto del sector público como del sector privado; </w:t>
      </w:r>
      <w:r w:rsidRPr="002F3D0A">
        <w:rPr>
          <w:rFonts w:ascii="Times New Roman" w:eastAsia="Calibri" w:hAnsi="Times New Roman" w:cs="Times New Roman"/>
          <w:color w:val="000000" w:themeColor="text1"/>
          <w:sz w:val="28"/>
          <w:szCs w:val="28"/>
          <w:lang w:val="es-ES"/>
        </w:rPr>
        <w:t xml:space="preserve">y </w:t>
      </w:r>
      <w:r w:rsidRPr="002F3D0A">
        <w:rPr>
          <w:rFonts w:ascii="Times New Roman" w:eastAsia="Calibri" w:hAnsi="Times New Roman" w:cs="Times New Roman"/>
          <w:color w:val="000000" w:themeColor="text1"/>
          <w:sz w:val="28"/>
          <w:szCs w:val="28"/>
          <w:lang w:val="es-ES"/>
        </w:rPr>
        <w:t xml:space="preserve">e) contribuir </w:t>
      </w:r>
      <w:r w:rsidRPr="002F3D0A">
        <w:rPr>
          <w:rFonts w:ascii="Times New Roman" w:eastAsia="Calibri" w:hAnsi="Times New Roman" w:cs="Times New Roman"/>
          <w:color w:val="000000" w:themeColor="text1"/>
          <w:sz w:val="28"/>
          <w:szCs w:val="28"/>
          <w:lang w:val="es-ES"/>
        </w:rPr>
        <w:t xml:space="preserve">con la estabilidad macroeconómica. </w:t>
      </w:r>
      <w:bookmarkEnd w:id="15"/>
    </w:p>
    <w:p w:rsidR="00E720C4"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C1372A"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Las </w:t>
      </w:r>
      <w:r w:rsidRPr="002F3D0A">
        <w:rPr>
          <w:rFonts w:ascii="Times New Roman" w:eastAsia="Calibri" w:hAnsi="Times New Roman" w:cs="Times New Roman"/>
          <w:color w:val="000000" w:themeColor="text1"/>
          <w:sz w:val="28"/>
          <w:szCs w:val="28"/>
          <w:lang w:val="es-ES"/>
        </w:rPr>
        <w:t>acciones, inversiones en portafolio y cuentas por cobrar</w:t>
      </w:r>
      <w:r w:rsidRPr="002F3D0A">
        <w:rPr>
          <w:rFonts w:ascii="Times New Roman" w:eastAsia="Calibri" w:hAnsi="Times New Roman" w:cs="Times New Roman"/>
          <w:color w:val="000000" w:themeColor="text1"/>
          <w:sz w:val="28"/>
          <w:szCs w:val="28"/>
          <w:lang w:val="es-ES"/>
        </w:rPr>
        <w:t xml:space="preserve"> son activos que</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a</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 xml:space="preserve">tienen alta liquidez; b) </w:t>
      </w:r>
      <w:r w:rsidRPr="002F3D0A">
        <w:rPr>
          <w:rFonts w:ascii="Times New Roman" w:eastAsia="Calibri" w:hAnsi="Times New Roman" w:cs="Times New Roman"/>
          <w:color w:val="000000" w:themeColor="text1"/>
          <w:sz w:val="28"/>
          <w:szCs w:val="28"/>
        </w:rPr>
        <w:t xml:space="preserve">buscan generar crecimiento de capital a largo plazo; </w:t>
      </w:r>
      <w:r w:rsidRPr="002F3D0A">
        <w:rPr>
          <w:rFonts w:ascii="Times New Roman" w:eastAsia="Calibri" w:hAnsi="Times New Roman" w:cs="Times New Roman"/>
          <w:color w:val="000000" w:themeColor="text1"/>
          <w:sz w:val="28"/>
          <w:szCs w:val="28"/>
        </w:rPr>
        <w:t>c</w:t>
      </w:r>
      <w:r w:rsidRPr="002F3D0A">
        <w:rPr>
          <w:rFonts w:ascii="Times New Roman" w:eastAsia="Calibri" w:hAnsi="Times New Roman" w:cs="Times New Roman"/>
          <w:color w:val="000000" w:themeColor="text1"/>
          <w:sz w:val="28"/>
          <w:szCs w:val="28"/>
        </w:rPr>
        <w:t xml:space="preserve">) pueden aumentar las ganancias de capital incrementando, por lo tanto, la riqueza de su propietario; </w:t>
      </w:r>
      <w:r w:rsidRPr="002F3D0A">
        <w:rPr>
          <w:rFonts w:ascii="Times New Roman" w:eastAsia="Calibri" w:hAnsi="Times New Roman" w:cs="Times New Roman"/>
          <w:color w:val="000000" w:themeColor="text1"/>
          <w:sz w:val="28"/>
          <w:szCs w:val="28"/>
        </w:rPr>
        <w:t>d</w:t>
      </w:r>
      <w:r w:rsidRPr="002F3D0A">
        <w:rPr>
          <w:rFonts w:ascii="Times New Roman" w:eastAsia="Calibri" w:hAnsi="Times New Roman" w:cs="Times New Roman"/>
          <w:color w:val="000000" w:themeColor="text1"/>
          <w:sz w:val="28"/>
          <w:szCs w:val="28"/>
        </w:rPr>
        <w:t xml:space="preserve">) pueden generar ingresos periódicos en forma de dividendos, intereses u otros pagos, formando un flujo de efectivo para los inversionistas; y </w:t>
      </w:r>
      <w:r w:rsidRPr="002F3D0A">
        <w:rPr>
          <w:rFonts w:ascii="Times New Roman" w:eastAsia="Calibri" w:hAnsi="Times New Roman" w:cs="Times New Roman"/>
          <w:color w:val="000000" w:themeColor="text1"/>
          <w:sz w:val="28"/>
          <w:szCs w:val="28"/>
        </w:rPr>
        <w:t>e</w:t>
      </w:r>
      <w:r w:rsidRPr="002F3D0A">
        <w:rPr>
          <w:rFonts w:ascii="Times New Roman" w:eastAsia="Calibri" w:hAnsi="Times New Roman" w:cs="Times New Roman"/>
          <w:color w:val="000000" w:themeColor="text1"/>
          <w:sz w:val="28"/>
          <w:szCs w:val="28"/>
        </w:rPr>
        <w:t>)</w:t>
      </w:r>
      <w:r w:rsidRPr="002F3D0A">
        <w:rPr>
          <w:rFonts w:ascii="Times New Roman" w:eastAsia="Calibri" w:hAnsi="Times New Roman" w:cs="Times New Roman"/>
          <w:color w:val="000000" w:themeColor="text1"/>
          <w:sz w:val="28"/>
          <w:szCs w:val="28"/>
        </w:rPr>
        <w:t xml:space="preserve"> tienen </w:t>
      </w:r>
      <w:r w:rsidRPr="002F3D0A">
        <w:rPr>
          <w:rFonts w:ascii="Times New Roman" w:eastAsia="Calibri" w:hAnsi="Times New Roman" w:cs="Times New Roman"/>
          <w:color w:val="000000" w:themeColor="text1"/>
          <w:sz w:val="28"/>
          <w:szCs w:val="28"/>
        </w:rPr>
        <w:t>el potencial de ofrecer retornos que superan la tasa de inflación a largo plazo de manera que protegen el poder adquisitivo de los inversionistas y mantienen el valor del patrimonio en términos reales.</w:t>
      </w:r>
    </w:p>
    <w:p w:rsidR="00655383" w:rsidRPr="002F3D0A" w:rsidRDefault="002F3D0A" w:rsidP="00C1372A">
      <w:pPr>
        <w:pStyle w:val="Prrafodelista"/>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rPr>
        <w:t xml:space="preserve"> </w:t>
      </w:r>
    </w:p>
    <w:p w:rsidR="00655383"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En atención a las </w:t>
      </w:r>
      <w:r w:rsidRPr="002F3D0A">
        <w:rPr>
          <w:rFonts w:ascii="Times New Roman" w:eastAsia="Calibri" w:hAnsi="Times New Roman" w:cs="Times New Roman"/>
          <w:color w:val="000000" w:themeColor="text1"/>
          <w:sz w:val="28"/>
          <w:szCs w:val="28"/>
          <w:lang w:val="es-ES"/>
        </w:rPr>
        <w:t xml:space="preserve">características de las acciones, inversiones en portafolio y </w:t>
      </w:r>
      <w:r w:rsidRPr="002F3D0A">
        <w:rPr>
          <w:rFonts w:ascii="Times New Roman" w:eastAsia="Calibri" w:hAnsi="Times New Roman" w:cs="Times New Roman"/>
          <w:color w:val="000000" w:themeColor="text1"/>
          <w:sz w:val="28"/>
          <w:szCs w:val="28"/>
          <w:lang w:val="es-ES"/>
        </w:rPr>
        <w:t xml:space="preserve">cuentas por cobrar los inversionistas en este tipo de bienes tienen baja vocación de permanencia en el país y son sensibles ante impuestos como el de patrimonio. Así, las sociedades extranjeras </w:t>
      </w:r>
      <w:r w:rsidRPr="002F3D0A">
        <w:rPr>
          <w:rFonts w:ascii="Times New Roman" w:eastAsia="Calibri" w:hAnsi="Times New Roman" w:cs="Times New Roman"/>
          <w:color w:val="000000" w:themeColor="text1"/>
          <w:sz w:val="28"/>
          <w:szCs w:val="28"/>
          <w:lang w:val="es-ES"/>
        </w:rPr>
        <w:t>cuyo patrimonio</w:t>
      </w:r>
      <w:r w:rsidRPr="002F3D0A">
        <w:rPr>
          <w:rFonts w:ascii="Times New Roman" w:eastAsia="Calibri" w:hAnsi="Times New Roman" w:cs="Times New Roman"/>
          <w:color w:val="000000" w:themeColor="text1"/>
          <w:sz w:val="28"/>
          <w:szCs w:val="28"/>
          <w:lang w:val="es-ES"/>
        </w:rPr>
        <w:t xml:space="preserve"> está asociado a inversiones de cartera tienen las siguientes características: </w:t>
      </w:r>
      <w:r w:rsidRPr="002F3D0A">
        <w:rPr>
          <w:rFonts w:ascii="Times New Roman" w:eastAsia="Calibri" w:hAnsi="Times New Roman" w:cs="Times New Roman"/>
          <w:color w:val="000000" w:themeColor="text1"/>
          <w:sz w:val="28"/>
          <w:szCs w:val="28"/>
          <w:lang w:val="es-ES"/>
        </w:rPr>
        <w:t>a</w:t>
      </w:r>
      <w:r w:rsidRPr="002F3D0A">
        <w:rPr>
          <w:rFonts w:ascii="Times New Roman" w:eastAsia="Calibri" w:hAnsi="Times New Roman" w:cs="Times New Roman"/>
          <w:color w:val="000000" w:themeColor="text1"/>
          <w:sz w:val="28"/>
          <w:szCs w:val="28"/>
          <w:lang w:val="es-ES"/>
        </w:rPr>
        <w:t xml:space="preserve">) cuentan con un portafolio de activos líquidos, fácilmente convertibles en dinero; </w:t>
      </w:r>
      <w:r w:rsidRPr="002F3D0A">
        <w:rPr>
          <w:rFonts w:ascii="Times New Roman" w:eastAsia="Calibri" w:hAnsi="Times New Roman" w:cs="Times New Roman"/>
          <w:color w:val="000000" w:themeColor="text1"/>
          <w:sz w:val="28"/>
          <w:szCs w:val="28"/>
          <w:lang w:val="es-ES"/>
        </w:rPr>
        <w:t>b</w:t>
      </w:r>
      <w:r w:rsidRPr="002F3D0A">
        <w:rPr>
          <w:rFonts w:ascii="Times New Roman" w:eastAsia="Calibri" w:hAnsi="Times New Roman" w:cs="Times New Roman"/>
          <w:color w:val="000000" w:themeColor="text1"/>
          <w:sz w:val="28"/>
          <w:szCs w:val="28"/>
          <w:lang w:val="es-ES"/>
        </w:rPr>
        <w:t>) tienen la capacidad de moverse libremente entre la mayoría de economías de</w:t>
      </w:r>
      <w:r w:rsidRPr="002F3D0A">
        <w:rPr>
          <w:rFonts w:ascii="Times New Roman" w:eastAsia="Calibri" w:hAnsi="Times New Roman" w:cs="Times New Roman"/>
          <w:color w:val="000000" w:themeColor="text1"/>
          <w:sz w:val="28"/>
          <w:szCs w:val="28"/>
          <w:lang w:val="es-ES"/>
        </w:rPr>
        <w:t xml:space="preserve">l mundo; y </w:t>
      </w:r>
      <w:r w:rsidRPr="002F3D0A">
        <w:rPr>
          <w:rFonts w:ascii="Times New Roman" w:eastAsia="Calibri" w:hAnsi="Times New Roman" w:cs="Times New Roman"/>
          <w:color w:val="000000" w:themeColor="text1"/>
          <w:sz w:val="28"/>
          <w:szCs w:val="28"/>
          <w:lang w:val="es-ES"/>
        </w:rPr>
        <w:t>c</w:t>
      </w:r>
      <w:r w:rsidRPr="002F3D0A">
        <w:rPr>
          <w:rFonts w:ascii="Times New Roman" w:eastAsia="Calibri" w:hAnsi="Times New Roman" w:cs="Times New Roman"/>
          <w:color w:val="000000" w:themeColor="text1"/>
          <w:sz w:val="28"/>
          <w:szCs w:val="28"/>
          <w:lang w:val="es-ES"/>
        </w:rPr>
        <w:t>) buscan optimizar el retorno de su portafolio a través de mayores rentabilidades y menores riesgos.</w:t>
      </w:r>
    </w:p>
    <w:p w:rsidR="00C1372A" w:rsidRPr="002F3D0A" w:rsidRDefault="002F3D0A" w:rsidP="00C1372A">
      <w:pPr>
        <w:pStyle w:val="Prrafodelista"/>
        <w:ind w:left="1080"/>
        <w:rPr>
          <w:rFonts w:ascii="Times New Roman" w:eastAsia="Calibri" w:hAnsi="Times New Roman" w:cs="Times New Roman"/>
          <w:color w:val="000000" w:themeColor="text1"/>
          <w:sz w:val="28"/>
          <w:szCs w:val="28"/>
          <w:lang w:val="es-ES"/>
        </w:rPr>
      </w:pPr>
    </w:p>
    <w:p w:rsidR="001C0FC9"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Existe una relación directa entre la liquidez de los activos, la inversión y permanencia en el país</w:t>
      </w:r>
      <w:r w:rsidRPr="002F3D0A">
        <w:rPr>
          <w:rFonts w:ascii="Times New Roman" w:eastAsia="Calibri" w:hAnsi="Times New Roman" w:cs="Times New Roman"/>
          <w:color w:val="000000" w:themeColor="text1"/>
          <w:sz w:val="28"/>
          <w:szCs w:val="28"/>
          <w:lang w:val="es-ES"/>
        </w:rPr>
        <w:t>,</w:t>
      </w:r>
      <w:r w:rsidRPr="002F3D0A">
        <w:rPr>
          <w:rFonts w:ascii="Times New Roman" w:eastAsia="Calibri" w:hAnsi="Times New Roman" w:cs="Times New Roman"/>
          <w:color w:val="000000" w:themeColor="text1"/>
          <w:sz w:val="28"/>
          <w:szCs w:val="28"/>
          <w:lang w:val="es-ES"/>
        </w:rPr>
        <w:t xml:space="preserve"> y las cargas tributarias. Por ejemplo</w:t>
      </w:r>
      <w:r w:rsidRPr="002F3D0A">
        <w:rPr>
          <w:rFonts w:ascii="Times New Roman" w:eastAsia="Calibri" w:hAnsi="Times New Roman" w:cs="Times New Roman"/>
          <w:color w:val="000000" w:themeColor="text1"/>
          <w:sz w:val="28"/>
          <w:szCs w:val="28"/>
          <w:lang w:val="es-ES"/>
        </w:rPr>
        <w:t>, ha</w:t>
      </w:r>
      <w:r w:rsidRPr="002F3D0A">
        <w:rPr>
          <w:rFonts w:ascii="Times New Roman" w:eastAsia="Calibri" w:hAnsi="Times New Roman" w:cs="Times New Roman"/>
          <w:color w:val="000000" w:themeColor="text1"/>
          <w:sz w:val="28"/>
          <w:szCs w:val="28"/>
          <w:lang w:val="es-ES"/>
        </w:rPr>
        <w:t>y una</w:t>
      </w:r>
      <w:r w:rsidRPr="002F3D0A">
        <w:rPr>
          <w:rFonts w:ascii="Times New Roman" w:eastAsia="Calibri" w:hAnsi="Times New Roman" w:cs="Times New Roman"/>
          <w:color w:val="000000" w:themeColor="text1"/>
          <w:sz w:val="28"/>
          <w:szCs w:val="28"/>
          <w:lang w:val="es-ES"/>
        </w:rPr>
        <w:t xml:space="preserve"> relación entre la reducción de la carga impositiva a las sociedades extranjeras desde 2010 hasta 2024 y el correlativo aumento de los flujos anuales de capital extranjero, así como el aumento de compra de títulos de deuda pública por parte de inversionist</w:t>
      </w:r>
      <w:r w:rsidRPr="002F3D0A">
        <w:rPr>
          <w:rFonts w:ascii="Times New Roman" w:eastAsia="Calibri" w:hAnsi="Times New Roman" w:cs="Times New Roman"/>
          <w:color w:val="000000" w:themeColor="text1"/>
          <w:sz w:val="28"/>
          <w:szCs w:val="28"/>
          <w:lang w:val="es-ES"/>
        </w:rPr>
        <w:t>as extranjeros, que pasó de 2.2% en el año 2010 a 21.6% en el año 2023. Para febrero de 2024 los agentes extranjeros contribuyeron con el 38.7% en el volumen de compras en el mercado de renta variable</w:t>
      </w:r>
      <w:r w:rsidRPr="002F3D0A">
        <w:rPr>
          <w:rStyle w:val="Refdenotaalpie"/>
          <w:rFonts w:ascii="Times New Roman" w:eastAsia="Calibri" w:hAnsi="Times New Roman" w:cs="Times New Roman"/>
          <w:color w:val="000000" w:themeColor="text1"/>
          <w:sz w:val="28"/>
          <w:szCs w:val="28"/>
          <w:lang w:val="es-ES"/>
        </w:rPr>
        <w:footnoteReference w:id="7"/>
      </w:r>
      <w:r w:rsidRPr="002F3D0A">
        <w:rPr>
          <w:rFonts w:ascii="Times New Roman" w:eastAsia="Calibri" w:hAnsi="Times New Roman" w:cs="Times New Roman"/>
          <w:color w:val="000000" w:themeColor="text1"/>
          <w:sz w:val="28"/>
          <w:szCs w:val="28"/>
          <w:lang w:val="es-ES"/>
        </w:rPr>
        <w:t>.</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655383"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La inversión</w:t>
      </w:r>
      <w:r w:rsidRPr="002F3D0A">
        <w:rPr>
          <w:rFonts w:ascii="Times New Roman" w:eastAsia="Calibri" w:hAnsi="Times New Roman" w:cs="Times New Roman"/>
          <w:color w:val="000000" w:themeColor="text1"/>
          <w:sz w:val="28"/>
          <w:szCs w:val="28"/>
          <w:lang w:val="es-ES"/>
        </w:rPr>
        <w:t xml:space="preserve"> en</w:t>
      </w:r>
      <w:r w:rsidRPr="002F3D0A">
        <w:rPr>
          <w:rFonts w:ascii="Times New Roman" w:eastAsia="Calibri" w:hAnsi="Times New Roman" w:cs="Times New Roman"/>
          <w:color w:val="000000" w:themeColor="text1"/>
          <w:sz w:val="28"/>
          <w:szCs w:val="28"/>
          <w:lang w:val="es-ES"/>
        </w:rPr>
        <w:t xml:space="preserve"> acciones, inversiones en portafolio </w:t>
      </w:r>
      <w:r w:rsidRPr="002F3D0A">
        <w:rPr>
          <w:rFonts w:ascii="Times New Roman" w:eastAsia="Calibri" w:hAnsi="Times New Roman" w:cs="Times New Roman"/>
          <w:color w:val="000000" w:themeColor="text1"/>
          <w:sz w:val="28"/>
          <w:szCs w:val="28"/>
          <w:lang w:val="es-ES"/>
        </w:rPr>
        <w:t>y cuentas por cobrar es fundamental para el financiamiento externo en moneda local de diferentes actores económicos y, por ende, es necesaria para la estabilidad macroeconómica</w:t>
      </w:r>
      <w:r w:rsidRPr="002F3D0A">
        <w:rPr>
          <w:rStyle w:val="Refdenotaalpie"/>
          <w:rFonts w:ascii="Times New Roman" w:eastAsia="Calibri" w:hAnsi="Times New Roman" w:cs="Times New Roman"/>
          <w:color w:val="000000" w:themeColor="text1"/>
          <w:sz w:val="28"/>
          <w:szCs w:val="28"/>
          <w:lang w:val="es-ES"/>
        </w:rPr>
        <w:footnoteReference w:id="8"/>
      </w:r>
      <w:r w:rsidRPr="002F3D0A">
        <w:rPr>
          <w:rFonts w:ascii="Times New Roman" w:eastAsia="Calibri" w:hAnsi="Times New Roman" w:cs="Times New Roman"/>
          <w:color w:val="000000" w:themeColor="text1"/>
          <w:sz w:val="28"/>
          <w:szCs w:val="28"/>
          <w:lang w:val="es-ES"/>
        </w:rPr>
        <w:t xml:space="preserve">. </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7535B6"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rPr>
        <w:t>Por su parte, los otros tipos de activos</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que</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 xml:space="preserve">generan la sujeción pasiva al </w:t>
      </w:r>
      <w:r w:rsidRPr="002F3D0A">
        <w:rPr>
          <w:rFonts w:ascii="Times New Roman" w:eastAsia="Calibri" w:hAnsi="Times New Roman" w:cs="Times New Roman"/>
          <w:color w:val="000000" w:themeColor="text1"/>
          <w:sz w:val="28"/>
          <w:szCs w:val="28"/>
        </w:rPr>
        <w:t>impuesto al patrimonio</w:t>
      </w:r>
      <w:r w:rsidRPr="002F3D0A">
        <w:rPr>
          <w:rFonts w:ascii="Times New Roman" w:eastAsia="Calibri" w:hAnsi="Times New Roman" w:cs="Times New Roman"/>
          <w:color w:val="000000" w:themeColor="text1"/>
          <w:sz w:val="28"/>
          <w:szCs w:val="28"/>
        </w:rPr>
        <w:t xml:space="preserve">, como inmuebles, yates, obras de arte se caracterizan por: </w:t>
      </w:r>
      <w:r w:rsidRPr="002F3D0A">
        <w:rPr>
          <w:rFonts w:ascii="Times New Roman" w:eastAsia="Calibri" w:hAnsi="Times New Roman" w:cs="Times New Roman"/>
          <w:color w:val="000000" w:themeColor="text1"/>
          <w:sz w:val="28"/>
          <w:szCs w:val="28"/>
        </w:rPr>
        <w:t>a</w:t>
      </w:r>
      <w:r w:rsidRPr="002F3D0A">
        <w:rPr>
          <w:rFonts w:ascii="Times New Roman" w:eastAsia="Calibri" w:hAnsi="Times New Roman" w:cs="Times New Roman"/>
          <w:color w:val="000000" w:themeColor="text1"/>
          <w:sz w:val="28"/>
          <w:szCs w:val="28"/>
        </w:rPr>
        <w:t xml:space="preserve">) tratarse de bienes </w:t>
      </w:r>
      <w:r w:rsidRPr="002F3D0A">
        <w:rPr>
          <w:rFonts w:ascii="Times New Roman" w:eastAsia="Calibri" w:hAnsi="Times New Roman" w:cs="Times New Roman"/>
          <w:color w:val="000000" w:themeColor="text1"/>
          <w:sz w:val="28"/>
          <w:szCs w:val="28"/>
        </w:rPr>
        <w:t>con menor liquidez</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b</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 xml:space="preserve">algunos de esos bienes son suntuarios y </w:t>
      </w:r>
      <w:r w:rsidRPr="002F3D0A">
        <w:rPr>
          <w:rFonts w:ascii="Times New Roman" w:eastAsia="Calibri" w:hAnsi="Times New Roman" w:cs="Times New Roman"/>
          <w:color w:val="000000" w:themeColor="text1"/>
          <w:sz w:val="28"/>
          <w:szCs w:val="28"/>
        </w:rPr>
        <w:t xml:space="preserve">su valor adquisitivo es de un alto costo no retornable; </w:t>
      </w:r>
      <w:r w:rsidRPr="002F3D0A">
        <w:rPr>
          <w:rFonts w:ascii="Times New Roman" w:eastAsia="Calibri" w:hAnsi="Times New Roman" w:cs="Times New Roman"/>
          <w:color w:val="000000" w:themeColor="text1"/>
          <w:sz w:val="28"/>
          <w:szCs w:val="28"/>
        </w:rPr>
        <w:t>c</w:t>
      </w:r>
      <w:r w:rsidRPr="002F3D0A">
        <w:rPr>
          <w:rFonts w:ascii="Times New Roman" w:eastAsia="Calibri" w:hAnsi="Times New Roman" w:cs="Times New Roman"/>
          <w:color w:val="000000" w:themeColor="text1"/>
          <w:sz w:val="28"/>
          <w:szCs w:val="28"/>
        </w:rPr>
        <w:t>) los costos de mantenimiento so</w:t>
      </w:r>
      <w:r w:rsidRPr="002F3D0A">
        <w:rPr>
          <w:rFonts w:ascii="Times New Roman" w:eastAsia="Calibri" w:hAnsi="Times New Roman" w:cs="Times New Roman"/>
          <w:color w:val="000000" w:themeColor="text1"/>
          <w:sz w:val="28"/>
          <w:szCs w:val="28"/>
        </w:rPr>
        <w:t>n elevados y periódicos</w:t>
      </w:r>
      <w:r w:rsidRPr="002F3D0A">
        <w:rPr>
          <w:rFonts w:ascii="Times New Roman" w:eastAsia="Calibri" w:hAnsi="Times New Roman" w:cs="Times New Roman"/>
          <w:color w:val="000000" w:themeColor="text1"/>
          <w:sz w:val="28"/>
          <w:szCs w:val="28"/>
        </w:rPr>
        <w:t>; d) su rentabilidad es baja o nula.</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rPr>
        <w:t xml:space="preserve">En </w:t>
      </w:r>
      <w:r w:rsidRPr="002F3D0A">
        <w:rPr>
          <w:rFonts w:ascii="Times New Roman" w:eastAsia="Calibri" w:hAnsi="Times New Roman" w:cs="Times New Roman"/>
          <w:color w:val="000000" w:themeColor="text1"/>
          <w:sz w:val="28"/>
          <w:szCs w:val="28"/>
          <w:lang w:val="es-ES"/>
        </w:rPr>
        <w:t xml:space="preserve">atención a las características de </w:t>
      </w:r>
      <w:r w:rsidRPr="002F3D0A">
        <w:rPr>
          <w:rFonts w:ascii="Times New Roman" w:eastAsia="Calibri" w:hAnsi="Times New Roman" w:cs="Times New Roman"/>
          <w:color w:val="000000" w:themeColor="text1"/>
          <w:sz w:val="28"/>
          <w:szCs w:val="28"/>
          <w:lang w:val="es-ES"/>
        </w:rPr>
        <w:t xml:space="preserve">estos bienes </w:t>
      </w:r>
      <w:r w:rsidRPr="002F3D0A">
        <w:rPr>
          <w:rFonts w:ascii="Times New Roman" w:eastAsia="Calibri" w:hAnsi="Times New Roman" w:cs="Times New Roman"/>
          <w:color w:val="000000" w:themeColor="text1"/>
          <w:sz w:val="28"/>
          <w:szCs w:val="28"/>
        </w:rPr>
        <w:t>s</w:t>
      </w:r>
      <w:r w:rsidRPr="002F3D0A">
        <w:rPr>
          <w:rFonts w:ascii="Times New Roman" w:eastAsia="Calibri" w:hAnsi="Times New Roman" w:cs="Times New Roman"/>
          <w:color w:val="000000" w:themeColor="text1"/>
          <w:sz w:val="28"/>
          <w:szCs w:val="28"/>
        </w:rPr>
        <w:t>e trata de activos asociados a poblaciones de mayores ingresos</w:t>
      </w:r>
      <w:r w:rsidRPr="002F3D0A">
        <w:rPr>
          <w:rFonts w:ascii="Times New Roman" w:eastAsia="Calibri" w:hAnsi="Times New Roman" w:cs="Times New Roman"/>
          <w:color w:val="000000" w:themeColor="text1"/>
          <w:sz w:val="28"/>
          <w:szCs w:val="28"/>
        </w:rPr>
        <w:t xml:space="preserve"> y con</w:t>
      </w:r>
      <w:r w:rsidRPr="002F3D0A">
        <w:rPr>
          <w:rFonts w:ascii="Times New Roman" w:eastAsia="Calibri" w:hAnsi="Times New Roman" w:cs="Times New Roman"/>
          <w:color w:val="000000" w:themeColor="text1"/>
          <w:sz w:val="28"/>
          <w:szCs w:val="28"/>
        </w:rPr>
        <w:t xml:space="preserve"> </w:t>
      </w:r>
      <w:r w:rsidRPr="002F3D0A">
        <w:rPr>
          <w:rFonts w:ascii="Times New Roman" w:eastAsia="Calibri" w:hAnsi="Times New Roman" w:cs="Times New Roman"/>
          <w:color w:val="000000" w:themeColor="text1"/>
          <w:sz w:val="28"/>
          <w:szCs w:val="28"/>
          <w:lang w:val="es-ES"/>
        </w:rPr>
        <w:t>mayor vocación de permanencia en el p</w:t>
      </w:r>
      <w:r w:rsidRPr="002F3D0A">
        <w:rPr>
          <w:rFonts w:ascii="Times New Roman" w:eastAsia="Calibri" w:hAnsi="Times New Roman" w:cs="Times New Roman"/>
          <w:color w:val="000000" w:themeColor="text1"/>
          <w:sz w:val="28"/>
          <w:szCs w:val="28"/>
          <w:lang w:val="es-ES"/>
        </w:rPr>
        <w:t xml:space="preserve">aís, debido a que su actividad suele estar asociada la </w:t>
      </w:r>
      <w:r w:rsidRPr="002F3D0A">
        <w:rPr>
          <w:rFonts w:ascii="Times New Roman" w:eastAsia="Calibri" w:hAnsi="Times New Roman" w:cs="Times New Roman"/>
          <w:color w:val="000000" w:themeColor="text1"/>
          <w:sz w:val="28"/>
          <w:szCs w:val="28"/>
          <w:lang w:val="es-ES"/>
        </w:rPr>
        <w:t>obtención de rentas dentro de una actividad productiva en el país.</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3D6EC8"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A partir </w:t>
      </w:r>
      <w:r w:rsidRPr="002F3D0A">
        <w:rPr>
          <w:rFonts w:ascii="Times New Roman" w:eastAsia="Calibri" w:hAnsi="Times New Roman" w:cs="Times New Roman"/>
          <w:color w:val="000000" w:themeColor="text1"/>
          <w:sz w:val="28"/>
          <w:szCs w:val="28"/>
          <w:lang w:val="es-ES"/>
        </w:rPr>
        <w:t>de la distinción entre los bienes</w:t>
      </w:r>
      <w:r w:rsidRPr="002F3D0A">
        <w:rPr>
          <w:rFonts w:ascii="Times New Roman" w:eastAsia="Calibri" w:hAnsi="Times New Roman" w:cs="Times New Roman"/>
          <w:color w:val="000000" w:themeColor="text1"/>
          <w:sz w:val="28"/>
          <w:szCs w:val="28"/>
          <w:lang w:val="es-ES"/>
        </w:rPr>
        <w:t xml:space="preserve"> y la finalidad de la medida acusada,</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algunos intervinientes</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proponen que</w:t>
      </w:r>
      <w:r w:rsidRPr="002F3D0A">
        <w:rPr>
          <w:rFonts w:ascii="Times New Roman" w:hAnsi="Times New Roman" w:cs="Times New Roman"/>
          <w:sz w:val="28"/>
          <w:szCs w:val="28"/>
        </w:rPr>
        <w:t xml:space="preserve"> los sujetos no son comparables, pues la comparación solo resultaría viable respecto </w:t>
      </w:r>
      <w:r w:rsidRPr="002F3D0A">
        <w:rPr>
          <w:rFonts w:ascii="Times New Roman" w:hAnsi="Times New Roman" w:cs="Times New Roman"/>
          <w:sz w:val="28"/>
          <w:szCs w:val="28"/>
        </w:rPr>
        <w:t>sociedades</w:t>
      </w:r>
      <w:r w:rsidRPr="002F3D0A">
        <w:rPr>
          <w:rFonts w:ascii="Times New Roman" w:hAnsi="Times New Roman" w:cs="Times New Roman"/>
          <w:sz w:val="28"/>
          <w:szCs w:val="28"/>
        </w:rPr>
        <w:t xml:space="preserve"> que efect</w:t>
      </w:r>
      <w:r w:rsidRPr="002F3D0A">
        <w:rPr>
          <w:rFonts w:ascii="Times New Roman" w:hAnsi="Times New Roman" w:cs="Times New Roman"/>
          <w:sz w:val="28"/>
          <w:szCs w:val="28"/>
        </w:rPr>
        <w:t>úen</w:t>
      </w:r>
      <w:r w:rsidRPr="002F3D0A">
        <w:rPr>
          <w:rFonts w:ascii="Times New Roman" w:hAnsi="Times New Roman" w:cs="Times New Roman"/>
          <w:sz w:val="28"/>
          <w:szCs w:val="28"/>
        </w:rPr>
        <w:t xml:space="preserve"> el mismo tipo de inversiones</w:t>
      </w:r>
      <w:r w:rsidRPr="002F3D0A">
        <w:rPr>
          <w:rFonts w:ascii="Times New Roman" w:hAnsi="Times New Roman" w:cs="Times New Roman"/>
          <w:sz w:val="28"/>
          <w:szCs w:val="28"/>
        </w:rPr>
        <w:t>.</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0A385C"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En</w:t>
      </w:r>
      <w:r w:rsidRPr="002F3D0A">
        <w:rPr>
          <w:rFonts w:ascii="Times New Roman" w:eastAsia="Calibri" w:hAnsi="Times New Roman" w:cs="Times New Roman"/>
          <w:color w:val="000000" w:themeColor="text1"/>
          <w:sz w:val="28"/>
          <w:szCs w:val="28"/>
          <w:lang w:val="es-ES"/>
        </w:rPr>
        <w:t xml:space="preserve"> caso de que se considere que </w:t>
      </w:r>
      <w:r w:rsidRPr="002F3D0A">
        <w:rPr>
          <w:rFonts w:ascii="Times New Roman" w:hAnsi="Times New Roman" w:cs="Times New Roman"/>
          <w:sz w:val="28"/>
          <w:szCs w:val="28"/>
        </w:rPr>
        <w:t xml:space="preserve">los sujetos son comparables la diferenciación que propone la norma supera el test </w:t>
      </w:r>
      <w:r w:rsidRPr="002F3D0A">
        <w:rPr>
          <w:rFonts w:ascii="Times New Roman" w:hAnsi="Times New Roman" w:cs="Times New Roman"/>
          <w:sz w:val="28"/>
          <w:szCs w:val="28"/>
        </w:rPr>
        <w:t xml:space="preserve">leve </w:t>
      </w:r>
      <w:r w:rsidRPr="002F3D0A">
        <w:rPr>
          <w:rFonts w:ascii="Times New Roman" w:hAnsi="Times New Roman" w:cs="Times New Roman"/>
          <w:sz w:val="28"/>
          <w:szCs w:val="28"/>
        </w:rPr>
        <w:t xml:space="preserve">de igualdad, ya que </w:t>
      </w:r>
      <w:r w:rsidRPr="002F3D0A">
        <w:rPr>
          <w:rFonts w:ascii="Times New Roman" w:eastAsia="Calibri" w:hAnsi="Times New Roman" w:cs="Times New Roman"/>
          <w:color w:val="000000" w:themeColor="text1"/>
          <w:sz w:val="28"/>
          <w:szCs w:val="28"/>
          <w:lang w:val="es-ES"/>
        </w:rPr>
        <w:t>la disposición acusada</w:t>
      </w:r>
      <w:r w:rsidRPr="002F3D0A">
        <w:rPr>
          <w:rFonts w:ascii="Times New Roman" w:eastAsia="Calibri" w:hAnsi="Times New Roman" w:cs="Times New Roman"/>
          <w:color w:val="000000" w:themeColor="text1"/>
          <w:sz w:val="28"/>
          <w:szCs w:val="28"/>
          <w:lang w:val="es-ES"/>
        </w:rPr>
        <w:t>:</w:t>
      </w:r>
      <w:r w:rsidRPr="002F3D0A">
        <w:rPr>
          <w:rFonts w:ascii="Times New Roman" w:eastAsia="Calibri" w:hAnsi="Times New Roman" w:cs="Times New Roman"/>
          <w:color w:val="000000" w:themeColor="text1"/>
          <w:sz w:val="28"/>
          <w:szCs w:val="28"/>
          <w:lang w:val="es-ES"/>
        </w:rPr>
        <w:t xml:space="preserve"> a)</w:t>
      </w:r>
      <w:r w:rsidRPr="002F3D0A">
        <w:rPr>
          <w:rFonts w:ascii="Times New Roman" w:eastAsia="Calibri" w:hAnsi="Times New Roman" w:cs="Times New Roman"/>
          <w:color w:val="000000" w:themeColor="text1"/>
          <w:sz w:val="28"/>
          <w:szCs w:val="28"/>
          <w:lang w:val="es-ES"/>
        </w:rPr>
        <w:t xml:space="preserve"> tiene la finalidad de favorecer inversiones sobre activos productivos y, de esta forma, contribuir al crecimiento y eficiencia de la economía</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la lucha contra la desigualdad en el consumo y la promoción d</w:t>
      </w:r>
      <w:r w:rsidRPr="002F3D0A">
        <w:rPr>
          <w:rFonts w:ascii="Times New Roman" w:eastAsia="Calibri" w:hAnsi="Times New Roman" w:cs="Times New Roman"/>
          <w:color w:val="000000" w:themeColor="text1"/>
          <w:sz w:val="28"/>
          <w:szCs w:val="28"/>
          <w:lang w:val="es-ES"/>
        </w:rPr>
        <w:t>el bienestar de la población</w:t>
      </w:r>
      <w:r w:rsidRPr="002F3D0A">
        <w:rPr>
          <w:rFonts w:ascii="Times New Roman" w:eastAsia="Calibri" w:hAnsi="Times New Roman" w:cs="Times New Roman"/>
          <w:color w:val="000000" w:themeColor="text1"/>
          <w:sz w:val="28"/>
          <w:szCs w:val="28"/>
          <w:lang w:val="es-ES"/>
        </w:rPr>
        <w:t>; b) e</w:t>
      </w:r>
      <w:r w:rsidRPr="002F3D0A">
        <w:rPr>
          <w:rFonts w:ascii="Times New Roman" w:eastAsia="Calibri" w:hAnsi="Times New Roman" w:cs="Times New Roman"/>
          <w:color w:val="000000" w:themeColor="text1"/>
          <w:sz w:val="28"/>
          <w:szCs w:val="28"/>
          <w:lang w:val="es-ES"/>
        </w:rPr>
        <w:t>sta</w:t>
      </w:r>
      <w:r w:rsidRPr="002F3D0A">
        <w:rPr>
          <w:rFonts w:ascii="Times New Roman" w:eastAsia="Calibri" w:hAnsi="Times New Roman" w:cs="Times New Roman"/>
          <w:color w:val="000000" w:themeColor="text1"/>
          <w:sz w:val="28"/>
          <w:szCs w:val="28"/>
          <w:lang w:val="es-ES"/>
        </w:rPr>
        <w:t>s</w:t>
      </w:r>
      <w:r w:rsidRPr="002F3D0A">
        <w:rPr>
          <w:rFonts w:ascii="Times New Roman" w:eastAsia="Calibri" w:hAnsi="Times New Roman" w:cs="Times New Roman"/>
          <w:color w:val="000000" w:themeColor="text1"/>
          <w:sz w:val="28"/>
          <w:szCs w:val="28"/>
          <w:lang w:val="es-ES"/>
        </w:rPr>
        <w:t xml:space="preserve"> finalidad</w:t>
      </w:r>
      <w:r w:rsidRPr="002F3D0A">
        <w:rPr>
          <w:rFonts w:ascii="Times New Roman" w:eastAsia="Calibri" w:hAnsi="Times New Roman" w:cs="Times New Roman"/>
          <w:color w:val="000000" w:themeColor="text1"/>
          <w:sz w:val="28"/>
          <w:szCs w:val="28"/>
          <w:lang w:val="es-ES"/>
        </w:rPr>
        <w:t>es</w:t>
      </w:r>
      <w:r w:rsidRPr="002F3D0A">
        <w:rPr>
          <w:rFonts w:ascii="Times New Roman" w:eastAsia="Calibri" w:hAnsi="Times New Roman" w:cs="Times New Roman"/>
          <w:color w:val="000000" w:themeColor="text1"/>
          <w:sz w:val="28"/>
          <w:szCs w:val="28"/>
          <w:lang w:val="es-ES"/>
        </w:rPr>
        <w:t xml:space="preserve"> al tener un impacto positivo en la economía está</w:t>
      </w:r>
      <w:r w:rsidRPr="002F3D0A">
        <w:rPr>
          <w:rFonts w:ascii="Times New Roman" w:eastAsia="Calibri" w:hAnsi="Times New Roman" w:cs="Times New Roman"/>
          <w:color w:val="000000" w:themeColor="text1"/>
          <w:sz w:val="28"/>
          <w:szCs w:val="28"/>
          <w:lang w:val="es-ES"/>
        </w:rPr>
        <w:t>n</w:t>
      </w:r>
      <w:r w:rsidRPr="002F3D0A">
        <w:rPr>
          <w:rFonts w:ascii="Times New Roman" w:eastAsia="Calibri" w:hAnsi="Times New Roman" w:cs="Times New Roman"/>
          <w:color w:val="000000" w:themeColor="text1"/>
          <w:sz w:val="28"/>
          <w:szCs w:val="28"/>
          <w:lang w:val="es-ES"/>
        </w:rPr>
        <w:t xml:space="preserve"> relacionada</w:t>
      </w:r>
      <w:r w:rsidRPr="002F3D0A">
        <w:rPr>
          <w:rFonts w:ascii="Times New Roman" w:eastAsia="Calibri" w:hAnsi="Times New Roman" w:cs="Times New Roman"/>
          <w:color w:val="000000" w:themeColor="text1"/>
          <w:sz w:val="28"/>
          <w:szCs w:val="28"/>
          <w:lang w:val="es-ES"/>
        </w:rPr>
        <w:t>s</w:t>
      </w:r>
      <w:r w:rsidRPr="002F3D0A">
        <w:rPr>
          <w:rFonts w:ascii="Times New Roman" w:eastAsia="Calibri" w:hAnsi="Times New Roman" w:cs="Times New Roman"/>
          <w:color w:val="000000" w:themeColor="text1"/>
          <w:sz w:val="28"/>
          <w:szCs w:val="28"/>
          <w:lang w:val="es-ES"/>
        </w:rPr>
        <w:t xml:space="preserve"> con el derecho al trabajo, al mínimo vita</w:t>
      </w:r>
      <w:r w:rsidRPr="002F3D0A">
        <w:rPr>
          <w:rFonts w:ascii="Times New Roman" w:eastAsia="Calibri" w:hAnsi="Times New Roman" w:cs="Times New Roman"/>
          <w:color w:val="000000" w:themeColor="text1"/>
          <w:sz w:val="28"/>
          <w:szCs w:val="28"/>
          <w:lang w:val="es-ES"/>
        </w:rPr>
        <w:t xml:space="preserve">l, </w:t>
      </w:r>
      <w:r w:rsidRPr="002F3D0A">
        <w:rPr>
          <w:rFonts w:ascii="Times New Roman" w:eastAsia="Calibri" w:hAnsi="Times New Roman" w:cs="Times New Roman"/>
          <w:color w:val="000000" w:themeColor="text1"/>
          <w:sz w:val="28"/>
          <w:szCs w:val="28"/>
          <w:lang w:val="es-ES"/>
        </w:rPr>
        <w:t>a la igualdad;</w:t>
      </w:r>
      <w:r w:rsidRPr="002F3D0A">
        <w:rPr>
          <w:rFonts w:ascii="Times New Roman" w:eastAsia="Calibri" w:hAnsi="Times New Roman" w:cs="Times New Roman"/>
          <w:color w:val="000000" w:themeColor="text1"/>
          <w:sz w:val="28"/>
          <w:szCs w:val="28"/>
          <w:lang w:val="es-ES"/>
        </w:rPr>
        <w:t xml:space="preserve"> y la función social de la propiedad</w:t>
      </w:r>
      <w:r w:rsidRPr="002F3D0A">
        <w:rPr>
          <w:rFonts w:ascii="Times New Roman" w:eastAsia="Calibri" w:hAnsi="Times New Roman" w:cs="Times New Roman"/>
          <w:color w:val="000000" w:themeColor="text1"/>
          <w:sz w:val="28"/>
          <w:szCs w:val="28"/>
          <w:lang w:val="es-ES"/>
        </w:rPr>
        <w:t xml:space="preserve">; c) la distinción en el </w:t>
      </w:r>
      <w:r w:rsidRPr="002F3D0A">
        <w:rPr>
          <w:rFonts w:ascii="Times New Roman" w:eastAsia="Calibri" w:hAnsi="Times New Roman" w:cs="Times New Roman"/>
          <w:color w:val="000000" w:themeColor="text1"/>
          <w:sz w:val="28"/>
          <w:szCs w:val="28"/>
          <w:lang w:val="es-ES"/>
        </w:rPr>
        <w:t xml:space="preserve">gravamen </w:t>
      </w:r>
      <w:r w:rsidRPr="002F3D0A">
        <w:rPr>
          <w:rFonts w:ascii="Times New Roman" w:eastAsia="Calibri" w:hAnsi="Times New Roman" w:cs="Times New Roman"/>
          <w:color w:val="000000" w:themeColor="text1"/>
          <w:sz w:val="28"/>
          <w:szCs w:val="28"/>
        </w:rPr>
        <w:t xml:space="preserve">es adecuada y </w:t>
      </w:r>
      <w:r w:rsidRPr="002F3D0A">
        <w:rPr>
          <w:rFonts w:ascii="Times New Roman" w:eastAsia="Calibri" w:hAnsi="Times New Roman" w:cs="Times New Roman"/>
          <w:color w:val="000000" w:themeColor="text1"/>
          <w:sz w:val="28"/>
          <w:szCs w:val="28"/>
        </w:rPr>
        <w:t>conducente, pues desvía favorablemente la inversión de las sociedades o entidades extranjeras hacia bienes productivos.</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0A385C" w:rsidRPr="002F3D0A" w:rsidRDefault="002F3D0A" w:rsidP="00C1372A">
      <w:pPr>
        <w:pStyle w:val="Prrafodelista"/>
        <w:numPr>
          <w:ilvl w:val="0"/>
          <w:numId w:val="2"/>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Finalmente, los intervinientes señala</w:t>
      </w:r>
      <w:r w:rsidRPr="002F3D0A">
        <w:rPr>
          <w:rFonts w:ascii="Times New Roman" w:eastAsia="Calibri" w:hAnsi="Times New Roman" w:cs="Times New Roman"/>
          <w:color w:val="000000" w:themeColor="text1"/>
          <w:sz w:val="28"/>
          <w:szCs w:val="28"/>
          <w:lang w:val="es-ES"/>
        </w:rPr>
        <w:t>ro</w:t>
      </w:r>
      <w:r w:rsidRPr="002F3D0A">
        <w:rPr>
          <w:rFonts w:ascii="Times New Roman" w:eastAsia="Calibri" w:hAnsi="Times New Roman" w:cs="Times New Roman"/>
          <w:color w:val="000000" w:themeColor="text1"/>
          <w:sz w:val="28"/>
          <w:szCs w:val="28"/>
          <w:lang w:val="es-ES"/>
        </w:rPr>
        <w:t>n</w:t>
      </w:r>
      <w:r w:rsidRPr="002F3D0A">
        <w:rPr>
          <w:rFonts w:ascii="Times New Roman" w:eastAsia="Calibri" w:hAnsi="Times New Roman" w:cs="Times New Roman"/>
          <w:color w:val="000000" w:themeColor="text1"/>
          <w:sz w:val="28"/>
          <w:szCs w:val="28"/>
          <w:lang w:val="es-ES"/>
        </w:rPr>
        <w:t xml:space="preserve">, en líneas generales, </w:t>
      </w:r>
      <w:r w:rsidRPr="002F3D0A">
        <w:rPr>
          <w:rFonts w:ascii="Times New Roman" w:eastAsia="Calibri" w:hAnsi="Times New Roman" w:cs="Times New Roman"/>
          <w:color w:val="000000" w:themeColor="text1"/>
          <w:sz w:val="28"/>
          <w:szCs w:val="28"/>
          <w:lang w:val="es-ES"/>
        </w:rPr>
        <w:t>que la disposición toma en cuenta la capacidad contributiva de los sujet</w:t>
      </w:r>
      <w:r w:rsidRPr="002F3D0A">
        <w:rPr>
          <w:rFonts w:ascii="Times New Roman" w:eastAsia="Calibri" w:hAnsi="Times New Roman" w:cs="Times New Roman"/>
          <w:color w:val="000000" w:themeColor="text1"/>
          <w:sz w:val="28"/>
          <w:szCs w:val="28"/>
          <w:lang w:val="es-ES"/>
        </w:rPr>
        <w:t>os</w:t>
      </w:r>
      <w:r w:rsidRPr="002F3D0A">
        <w:rPr>
          <w:rFonts w:ascii="Times New Roman" w:eastAsia="Calibri" w:hAnsi="Times New Roman" w:cs="Times New Roman"/>
          <w:color w:val="000000" w:themeColor="text1"/>
          <w:sz w:val="28"/>
          <w:szCs w:val="28"/>
          <w:lang w:val="es-ES"/>
        </w:rPr>
        <w:t>;</w:t>
      </w:r>
      <w:r w:rsidRPr="002F3D0A">
        <w:rPr>
          <w:rFonts w:ascii="Times New Roman" w:eastAsia="Calibri" w:hAnsi="Times New Roman" w:cs="Times New Roman"/>
          <w:color w:val="000000" w:themeColor="text1"/>
          <w:sz w:val="28"/>
          <w:szCs w:val="28"/>
          <w:lang w:val="es-ES"/>
        </w:rPr>
        <w:t xml:space="preserve"> el impuesto al patrimonio obedece a las profundas desigualdades en relación con la capacidad contributiva</w:t>
      </w:r>
      <w:r w:rsidRPr="002F3D0A">
        <w:rPr>
          <w:rFonts w:ascii="Times New Roman" w:eastAsia="Calibri" w:hAnsi="Times New Roman" w:cs="Times New Roman"/>
          <w:color w:val="000000" w:themeColor="text1"/>
          <w:sz w:val="28"/>
          <w:szCs w:val="28"/>
          <w:lang w:val="es-ES"/>
        </w:rPr>
        <w:t xml:space="preserve"> y </w:t>
      </w:r>
      <w:r w:rsidRPr="002F3D0A">
        <w:rPr>
          <w:rFonts w:ascii="Times New Roman" w:eastAsia="Calibri" w:hAnsi="Times New Roman" w:cs="Times New Roman"/>
          <w:color w:val="000000" w:themeColor="text1"/>
          <w:sz w:val="28"/>
          <w:szCs w:val="28"/>
          <w:lang w:val="es-ES"/>
        </w:rPr>
        <w:t xml:space="preserve">permite que el </w:t>
      </w:r>
      <w:r w:rsidRPr="002F3D0A">
        <w:rPr>
          <w:rFonts w:ascii="Times New Roman" w:eastAsia="Calibri" w:hAnsi="Times New Roman" w:cs="Times New Roman"/>
          <w:color w:val="000000" w:themeColor="text1"/>
          <w:sz w:val="28"/>
          <w:szCs w:val="28"/>
          <w:lang w:val="es-ES"/>
        </w:rPr>
        <w:t xml:space="preserve">sistema </w:t>
      </w:r>
      <w:r w:rsidRPr="002F3D0A">
        <w:rPr>
          <w:rFonts w:ascii="Times New Roman" w:eastAsia="Calibri" w:hAnsi="Times New Roman" w:cs="Times New Roman"/>
          <w:color w:val="000000" w:themeColor="text1"/>
          <w:sz w:val="28"/>
          <w:szCs w:val="28"/>
          <w:lang w:val="es-ES"/>
        </w:rPr>
        <w:t xml:space="preserve">tributario sea </w:t>
      </w:r>
      <w:r w:rsidRPr="002F3D0A">
        <w:rPr>
          <w:rFonts w:ascii="Times New Roman" w:eastAsia="Calibri" w:hAnsi="Times New Roman" w:cs="Times New Roman"/>
          <w:color w:val="000000" w:themeColor="text1"/>
          <w:sz w:val="28"/>
          <w:szCs w:val="28"/>
          <w:lang w:val="es-ES"/>
        </w:rPr>
        <w:t>más equitativo</w:t>
      </w:r>
      <w:r w:rsidRPr="002F3D0A">
        <w:rPr>
          <w:rFonts w:ascii="Times New Roman" w:eastAsia="Calibri" w:hAnsi="Times New Roman" w:cs="Times New Roman"/>
          <w:color w:val="000000" w:themeColor="text1"/>
          <w:sz w:val="28"/>
          <w:szCs w:val="28"/>
          <w:lang w:val="es-ES"/>
        </w:rPr>
        <w:t xml:space="preserve"> desde una perspectiva vertical</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 xml:space="preserve">y </w:t>
      </w:r>
      <w:r w:rsidRPr="002F3D0A">
        <w:rPr>
          <w:rFonts w:ascii="Times New Roman" w:eastAsia="Calibri" w:hAnsi="Times New Roman" w:cs="Times New Roman"/>
          <w:color w:val="000000" w:themeColor="text1"/>
          <w:sz w:val="28"/>
          <w:szCs w:val="28"/>
          <w:lang w:val="es-ES"/>
        </w:rPr>
        <w:t>se incremente el recaudo para</w:t>
      </w:r>
      <w:r w:rsidRPr="002F3D0A">
        <w:rPr>
          <w:rFonts w:ascii="Times New Roman" w:eastAsia="Calibri" w:hAnsi="Times New Roman" w:cs="Times New Roman"/>
          <w:color w:val="000000" w:themeColor="text1"/>
          <w:sz w:val="28"/>
          <w:szCs w:val="28"/>
          <w:lang w:val="es-ES"/>
        </w:rPr>
        <w:t xml:space="preserve"> la inversión social  </w:t>
      </w:r>
    </w:p>
    <w:p w:rsidR="000436D3" w:rsidRPr="002F3D0A" w:rsidRDefault="002F3D0A" w:rsidP="00C1372A">
      <w:pPr>
        <w:ind w:left="709"/>
        <w:rPr>
          <w:rFonts w:ascii="Times New Roman" w:eastAsia="Calibri" w:hAnsi="Times New Roman" w:cs="Times New Roman"/>
          <w:color w:val="000000" w:themeColor="text1"/>
          <w:sz w:val="28"/>
          <w:szCs w:val="28"/>
          <w:lang w:val="es-ES"/>
        </w:rPr>
      </w:pPr>
    </w:p>
    <w:p w:rsidR="00CB4F16" w:rsidRPr="002F3D0A" w:rsidRDefault="002F3D0A" w:rsidP="000436D3">
      <w:pPr>
        <w:pStyle w:val="Prrafodelista"/>
        <w:numPr>
          <w:ilvl w:val="0"/>
          <w:numId w:val="1"/>
        </w:numPr>
        <w:ind w:left="0" w:firstLine="0"/>
        <w:rPr>
          <w:rFonts w:ascii="Times New Roman" w:eastAsia="Calibri" w:hAnsi="Times New Roman" w:cs="Times New Roman"/>
          <w:color w:val="000000" w:themeColor="text1"/>
          <w:sz w:val="28"/>
          <w:szCs w:val="28"/>
          <w:lang w:val="es-ES"/>
        </w:rPr>
      </w:pPr>
      <w:bookmarkStart w:id="16" w:name="_Hlk171084157"/>
      <w:r w:rsidRPr="002F3D0A">
        <w:rPr>
          <w:rFonts w:ascii="Times New Roman" w:eastAsia="Calibri" w:hAnsi="Times New Roman" w:cs="Times New Roman"/>
          <w:color w:val="000000" w:themeColor="text1"/>
          <w:sz w:val="28"/>
          <w:szCs w:val="28"/>
          <w:lang w:val="es-ES"/>
        </w:rPr>
        <w:t xml:space="preserve">Por </w:t>
      </w:r>
      <w:r w:rsidRPr="002F3D0A">
        <w:rPr>
          <w:rFonts w:ascii="Times New Roman" w:eastAsia="Calibri" w:hAnsi="Times New Roman" w:cs="Times New Roman"/>
          <w:color w:val="000000" w:themeColor="text1"/>
          <w:sz w:val="28"/>
          <w:szCs w:val="28"/>
          <w:lang w:val="es-ES"/>
        </w:rPr>
        <w:t>su parte, el Instituto Colombiano de Derecho Tributario</w:t>
      </w:r>
      <w:r w:rsidRPr="002F3D0A">
        <w:rPr>
          <w:rFonts w:ascii="Times New Roman" w:eastAsia="Calibri" w:hAnsi="Times New Roman" w:cs="Times New Roman"/>
          <w:color w:val="000000" w:themeColor="text1"/>
          <w:sz w:val="28"/>
          <w:szCs w:val="28"/>
          <w:lang w:val="es-ES"/>
        </w:rPr>
        <w:t xml:space="preserve"> y los ciudadanos</w:t>
      </w:r>
      <w:r w:rsidRPr="002F3D0A">
        <w:rPr>
          <w:rFonts w:ascii="Times New Roman" w:eastAsia="Calibri" w:hAnsi="Times New Roman" w:cs="Times New Roman"/>
          <w:color w:val="000000" w:themeColor="text1"/>
          <w:sz w:val="28"/>
          <w:szCs w:val="28"/>
          <w:lang w:val="es-ES"/>
        </w:rPr>
        <w:t xml:space="preserve"> María Alejandra Uribe, Christian Camilo Gómez Rivera, Felipe Camilo Gutiérrez Gómez, Daniel Ardila Silva y Jaime Felipe Bernal Rojas solicitaron que se declare la inxequibilidad de la</w:t>
      </w:r>
      <w:r w:rsidRPr="002F3D0A">
        <w:rPr>
          <w:rFonts w:ascii="Times New Roman" w:eastAsia="Calibri" w:hAnsi="Times New Roman" w:cs="Times New Roman"/>
          <w:color w:val="000000" w:themeColor="text1"/>
          <w:sz w:val="28"/>
          <w:szCs w:val="28"/>
          <w:lang w:val="es-ES"/>
        </w:rPr>
        <w:t xml:space="preserve"> disposición a partir de los siguientes elementos</w:t>
      </w:r>
      <w:bookmarkEnd w:id="16"/>
      <w:r w:rsidRPr="002F3D0A">
        <w:rPr>
          <w:rFonts w:ascii="Times New Roman" w:eastAsia="Calibri" w:hAnsi="Times New Roman" w:cs="Times New Roman"/>
          <w:color w:val="000000" w:themeColor="text1"/>
          <w:sz w:val="28"/>
          <w:szCs w:val="28"/>
          <w:lang w:val="es-ES"/>
        </w:rPr>
        <w:t>:</w:t>
      </w:r>
    </w:p>
    <w:p w:rsidR="000436D3" w:rsidRPr="002F3D0A" w:rsidRDefault="002F3D0A" w:rsidP="000436D3">
      <w:pPr>
        <w:rPr>
          <w:rFonts w:ascii="Times New Roman" w:eastAsia="Calibri" w:hAnsi="Times New Roman" w:cs="Times New Roman"/>
          <w:color w:val="000000" w:themeColor="text1"/>
          <w:sz w:val="28"/>
          <w:szCs w:val="28"/>
          <w:lang w:val="es-ES"/>
        </w:rPr>
      </w:pPr>
    </w:p>
    <w:p w:rsidR="003D6EC8"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N</w:t>
      </w:r>
      <w:r w:rsidRPr="002F3D0A">
        <w:rPr>
          <w:rFonts w:ascii="Times New Roman" w:eastAsia="Calibri" w:hAnsi="Times New Roman" w:cs="Times New Roman"/>
          <w:color w:val="000000" w:themeColor="text1"/>
          <w:sz w:val="28"/>
          <w:szCs w:val="28"/>
          <w:lang w:val="es-ES"/>
        </w:rPr>
        <w:t>o hay razones jurídicas ni económicas que sustenten la diferencia</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entre las sociedades o entidades extranjeras identificadas en la demanda.</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0436D3"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w:t>
      </w:r>
      <w:r w:rsidRPr="002F3D0A">
        <w:rPr>
          <w:rFonts w:ascii="Times New Roman" w:eastAsia="Calibri" w:hAnsi="Times New Roman" w:cs="Times New Roman"/>
          <w:color w:val="000000" w:themeColor="text1"/>
          <w:sz w:val="28"/>
          <w:szCs w:val="28"/>
          <w:lang w:val="es-ES"/>
        </w:rPr>
        <w:t xml:space="preserve">n el trámite legislativo no se expuso una justificación sobre la distinción de trato y aunque en la exposición de motivos se planteó la necesidad de privilegiar activos productivos no se </w:t>
      </w:r>
      <w:r w:rsidRPr="002F3D0A">
        <w:rPr>
          <w:rFonts w:ascii="Times New Roman" w:eastAsia="Calibri" w:hAnsi="Times New Roman" w:cs="Times New Roman"/>
          <w:color w:val="000000" w:themeColor="text1"/>
          <w:sz w:val="28"/>
          <w:szCs w:val="28"/>
          <w:lang w:val="es-ES"/>
        </w:rPr>
        <w:t xml:space="preserve">explicó </w:t>
      </w:r>
      <w:r w:rsidRPr="002F3D0A">
        <w:rPr>
          <w:rFonts w:ascii="Times New Roman" w:eastAsia="Calibri" w:hAnsi="Times New Roman" w:cs="Times New Roman"/>
          <w:color w:val="000000" w:themeColor="text1"/>
          <w:sz w:val="28"/>
          <w:szCs w:val="28"/>
          <w:lang w:val="es-ES"/>
        </w:rPr>
        <w:t>cómo se determina la productividad de los bienes.</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3D6EC8"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L</w:t>
      </w:r>
      <w:r w:rsidRPr="002F3D0A">
        <w:rPr>
          <w:rFonts w:ascii="Times New Roman" w:eastAsia="Calibri" w:hAnsi="Times New Roman" w:cs="Times New Roman"/>
          <w:color w:val="000000" w:themeColor="text1"/>
          <w:sz w:val="28"/>
          <w:szCs w:val="28"/>
          <w:lang w:val="es-ES"/>
        </w:rPr>
        <w:t xml:space="preserve">a </w:t>
      </w:r>
      <w:r w:rsidRPr="002F3D0A">
        <w:rPr>
          <w:rFonts w:ascii="Times New Roman" w:eastAsia="Calibri" w:hAnsi="Times New Roman" w:cs="Times New Roman"/>
          <w:color w:val="000000" w:themeColor="text1"/>
          <w:sz w:val="28"/>
          <w:szCs w:val="28"/>
          <w:lang w:val="es-ES"/>
        </w:rPr>
        <w:t>disposición acusada</w:t>
      </w:r>
      <w:r w:rsidRPr="002F3D0A">
        <w:rPr>
          <w:rFonts w:ascii="Times New Roman" w:eastAsia="Calibri" w:hAnsi="Times New Roman" w:cs="Times New Roman"/>
          <w:color w:val="000000" w:themeColor="text1"/>
          <w:sz w:val="28"/>
          <w:szCs w:val="28"/>
          <w:lang w:val="es-ES"/>
        </w:rPr>
        <w:t xml:space="preserve"> </w:t>
      </w:r>
      <w:r w:rsidRPr="002F3D0A">
        <w:rPr>
          <w:rFonts w:ascii="Times New Roman" w:eastAsia="Calibri" w:hAnsi="Times New Roman" w:cs="Times New Roman"/>
          <w:color w:val="000000" w:themeColor="text1"/>
          <w:sz w:val="28"/>
          <w:szCs w:val="28"/>
          <w:lang w:val="es-ES"/>
        </w:rPr>
        <w:t>orienta la inversión a un solo tipo de bienes</w:t>
      </w:r>
      <w:r w:rsidRPr="002F3D0A">
        <w:rPr>
          <w:rFonts w:ascii="Times New Roman" w:eastAsia="Calibri" w:hAnsi="Times New Roman" w:cs="Times New Roman"/>
          <w:color w:val="000000" w:themeColor="text1"/>
          <w:sz w:val="28"/>
          <w:szCs w:val="28"/>
          <w:lang w:val="es-ES"/>
        </w:rPr>
        <w:t xml:space="preserve"> y</w:t>
      </w:r>
      <w:r w:rsidRPr="002F3D0A">
        <w:rPr>
          <w:rFonts w:ascii="Times New Roman" w:eastAsia="Calibri" w:hAnsi="Times New Roman" w:cs="Times New Roman"/>
          <w:color w:val="000000" w:themeColor="text1"/>
          <w:sz w:val="28"/>
          <w:szCs w:val="28"/>
          <w:lang w:val="es-ES"/>
        </w:rPr>
        <w:t xml:space="preserve"> no </w:t>
      </w:r>
      <w:r w:rsidRPr="002F3D0A">
        <w:rPr>
          <w:rFonts w:ascii="Times New Roman" w:hAnsi="Times New Roman" w:cs="Times New Roman"/>
          <w:sz w:val="28"/>
          <w:szCs w:val="28"/>
        </w:rPr>
        <w:t>tiene en cuenta circunstancias particulares de activos en relación con los que el contribuyente pensó que serían rentables y</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por factores de fuerza mayor o caso fortuito</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resultan impr</w:t>
      </w:r>
      <w:r w:rsidRPr="002F3D0A">
        <w:rPr>
          <w:rFonts w:ascii="Times New Roman" w:hAnsi="Times New Roman" w:cs="Times New Roman"/>
          <w:sz w:val="28"/>
          <w:szCs w:val="28"/>
        </w:rPr>
        <w:t>oductivos</w:t>
      </w:r>
      <w:r w:rsidRPr="002F3D0A">
        <w:rPr>
          <w:rFonts w:ascii="Times New Roman" w:hAnsi="Times New Roman" w:cs="Times New Roman"/>
          <w:sz w:val="28"/>
          <w:szCs w:val="28"/>
        </w:rPr>
        <w:t>.</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0436D3"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hAnsi="Times New Roman" w:cs="Times New Roman"/>
          <w:sz w:val="28"/>
          <w:szCs w:val="28"/>
        </w:rPr>
        <w:t>La disposición</w:t>
      </w:r>
      <w:r w:rsidRPr="002F3D0A">
        <w:rPr>
          <w:rFonts w:ascii="Times New Roman" w:hAnsi="Times New Roman" w:cs="Times New Roman"/>
          <w:sz w:val="28"/>
          <w:szCs w:val="28"/>
        </w:rPr>
        <w:t xml:space="preserve"> genera distorsiones en el sistema tributario y económico, pues bienes inmuebles, yates, obras de arte</w:t>
      </w:r>
      <w:r w:rsidRPr="002F3D0A">
        <w:rPr>
          <w:rFonts w:ascii="Times New Roman" w:hAnsi="Times New Roman" w:cs="Times New Roman"/>
          <w:sz w:val="28"/>
          <w:szCs w:val="28"/>
        </w:rPr>
        <w:t>, entre otros</w:t>
      </w:r>
      <w:r w:rsidRPr="002F3D0A">
        <w:rPr>
          <w:rFonts w:ascii="Times New Roman" w:hAnsi="Times New Roman" w:cs="Times New Roman"/>
          <w:sz w:val="28"/>
          <w:szCs w:val="28"/>
        </w:rPr>
        <w:t xml:space="preserve"> pueden ser adquiridos por una sociedad extranjera cuando invierte en acciones si la sociedad en la que invi</w:t>
      </w:r>
      <w:r w:rsidRPr="002F3D0A">
        <w:rPr>
          <w:rFonts w:ascii="Times New Roman" w:hAnsi="Times New Roman" w:cs="Times New Roman"/>
          <w:sz w:val="28"/>
          <w:szCs w:val="28"/>
        </w:rPr>
        <w:t>erte</w:t>
      </w:r>
      <w:r w:rsidRPr="002F3D0A">
        <w:rPr>
          <w:rFonts w:ascii="Times New Roman" w:hAnsi="Times New Roman" w:cs="Times New Roman"/>
          <w:sz w:val="28"/>
          <w:szCs w:val="28"/>
        </w:rPr>
        <w:t xml:space="preserve"> es, a su vez, </w:t>
      </w:r>
      <w:r w:rsidRPr="002F3D0A">
        <w:rPr>
          <w:rFonts w:ascii="Times New Roman" w:hAnsi="Times New Roman" w:cs="Times New Roman"/>
          <w:sz w:val="28"/>
          <w:szCs w:val="28"/>
        </w:rPr>
        <w:t>propietaria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de ese tipo de bienes</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263D64"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Los sujetos son comparables, debido a que se trata personas jurídicas que efectúan inversiones de capital extranjero en el país a través de la propiedad sobre bienes o activos. </w:t>
      </w:r>
      <w:r w:rsidRPr="002F3D0A">
        <w:rPr>
          <w:rFonts w:ascii="Times New Roman" w:eastAsia="Calibri" w:hAnsi="Times New Roman" w:cs="Times New Roman"/>
          <w:color w:val="000000" w:themeColor="text1"/>
          <w:sz w:val="28"/>
          <w:szCs w:val="28"/>
          <w:lang w:val="es-ES"/>
        </w:rPr>
        <w:t>L</w:t>
      </w:r>
      <w:r w:rsidRPr="002F3D0A">
        <w:rPr>
          <w:rFonts w:ascii="Times New Roman" w:eastAsia="Calibri" w:hAnsi="Times New Roman" w:cs="Times New Roman"/>
          <w:color w:val="000000" w:themeColor="text1"/>
          <w:sz w:val="28"/>
          <w:szCs w:val="28"/>
          <w:lang w:val="es-ES"/>
        </w:rPr>
        <w:t>a diferencia sobre el tipo</w:t>
      </w:r>
      <w:r w:rsidRPr="002F3D0A">
        <w:rPr>
          <w:rFonts w:ascii="Times New Roman" w:eastAsia="Calibri" w:hAnsi="Times New Roman" w:cs="Times New Roman"/>
          <w:color w:val="000000" w:themeColor="text1"/>
          <w:sz w:val="28"/>
          <w:szCs w:val="28"/>
          <w:lang w:val="es-ES"/>
        </w:rPr>
        <w:t xml:space="preserve"> de bienes poseídos no elimina la comparabilidad, pues no hay pruebas jurídicas o económicas que demuestren que la diferencia entre el tipo de bienes poseídos genera una capacidad contributiva distinta.</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3D6EC8"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El trato diferencia a sociedades que están en el mis</w:t>
      </w:r>
      <w:r w:rsidRPr="002F3D0A">
        <w:rPr>
          <w:rFonts w:ascii="Times New Roman" w:eastAsia="Calibri" w:hAnsi="Times New Roman" w:cs="Times New Roman"/>
          <w:color w:val="000000" w:themeColor="text1"/>
          <w:sz w:val="28"/>
          <w:szCs w:val="28"/>
          <w:lang w:val="es-ES"/>
        </w:rPr>
        <w:t xml:space="preserve">mo plano fáctico y genera una desventaja para las sociedades </w:t>
      </w:r>
      <w:r w:rsidRPr="002F3D0A">
        <w:rPr>
          <w:rFonts w:ascii="Times New Roman" w:eastAsia="Calibri" w:hAnsi="Times New Roman" w:cs="Times New Roman"/>
          <w:color w:val="000000" w:themeColor="text1"/>
          <w:sz w:val="28"/>
          <w:szCs w:val="28"/>
          <w:lang w:val="es-ES"/>
        </w:rPr>
        <w:t>que serán sujetos pasivos del impuesto,</w:t>
      </w:r>
      <w:r w:rsidRPr="002F3D0A">
        <w:rPr>
          <w:rFonts w:ascii="Times New Roman" w:eastAsia="Calibri" w:hAnsi="Times New Roman" w:cs="Times New Roman"/>
          <w:color w:val="000000" w:themeColor="text1"/>
          <w:sz w:val="28"/>
          <w:szCs w:val="28"/>
          <w:lang w:val="es-ES"/>
        </w:rPr>
        <w:t xml:space="preserve"> pues su tributación en Colombia será mayor al del otro grupo que no es sujeto al impuesto al patrimonio.</w:t>
      </w:r>
    </w:p>
    <w:p w:rsidR="00C1372A"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263D64" w:rsidRPr="002F3D0A" w:rsidRDefault="002F3D0A" w:rsidP="00C1372A">
      <w:pPr>
        <w:pStyle w:val="Prrafodelista"/>
        <w:numPr>
          <w:ilvl w:val="0"/>
          <w:numId w:val="3"/>
        </w:numPr>
        <w:ind w:left="709"/>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El carácter permanente del tributo genera una </w:t>
      </w:r>
      <w:r w:rsidRPr="002F3D0A">
        <w:rPr>
          <w:rFonts w:ascii="Times New Roman" w:eastAsia="Calibri" w:hAnsi="Times New Roman" w:cs="Times New Roman"/>
          <w:color w:val="000000" w:themeColor="text1"/>
          <w:sz w:val="28"/>
          <w:szCs w:val="28"/>
          <w:lang w:val="es-ES"/>
        </w:rPr>
        <w:t>carga excesiva e injustificada y distorsiones económicas que pueden materializarse en competencias desleales o luchas económicas.</w:t>
      </w:r>
    </w:p>
    <w:p w:rsidR="005368AF" w:rsidRPr="002F3D0A" w:rsidRDefault="002F3D0A" w:rsidP="005368AF">
      <w:pPr>
        <w:pStyle w:val="Prrafodelista"/>
        <w:ind w:left="709"/>
        <w:rPr>
          <w:rFonts w:ascii="Times New Roman" w:eastAsia="Calibri" w:hAnsi="Times New Roman" w:cs="Times New Roman"/>
          <w:color w:val="000000" w:themeColor="text1"/>
          <w:sz w:val="28"/>
          <w:szCs w:val="28"/>
          <w:lang w:val="es-ES"/>
        </w:rPr>
      </w:pPr>
    </w:p>
    <w:p w:rsidR="00263D64" w:rsidRPr="002F3D0A" w:rsidRDefault="002F3D0A" w:rsidP="00C1372A">
      <w:pPr>
        <w:pStyle w:val="Prrafodelista"/>
        <w:numPr>
          <w:ilvl w:val="0"/>
          <w:numId w:val="3"/>
        </w:numPr>
        <w:ind w:left="709"/>
        <w:rPr>
          <w:rFonts w:ascii="Times New Roman" w:eastAsia="Calibri" w:hAnsi="Times New Roman" w:cs="Times New Roman"/>
          <w:bCs/>
          <w:color w:val="000000" w:themeColor="text1"/>
          <w:sz w:val="28"/>
          <w:szCs w:val="28"/>
        </w:rPr>
      </w:pPr>
      <w:r w:rsidRPr="002F3D0A">
        <w:rPr>
          <w:rFonts w:ascii="Times New Roman" w:eastAsia="Calibri" w:hAnsi="Times New Roman" w:cs="Times New Roman"/>
          <w:color w:val="000000" w:themeColor="text1"/>
          <w:sz w:val="28"/>
          <w:szCs w:val="28"/>
          <w:lang w:val="es-ES"/>
        </w:rPr>
        <w:t xml:space="preserve">La diferencia en el trato no está justificada, debido a que no considera la capacidad contributiva, lo que puede generar que </w:t>
      </w:r>
      <w:r w:rsidRPr="002F3D0A">
        <w:rPr>
          <w:rFonts w:ascii="Times New Roman" w:eastAsia="Calibri" w:hAnsi="Times New Roman" w:cs="Times New Roman"/>
          <w:color w:val="000000" w:themeColor="text1"/>
          <w:sz w:val="28"/>
          <w:szCs w:val="28"/>
          <w:lang w:val="es-ES"/>
        </w:rPr>
        <w:t>sociedades extranjeras con mayor capacidad contributiva tributen menos.</w:t>
      </w:r>
      <w:r w:rsidRPr="002F3D0A">
        <w:rPr>
          <w:rFonts w:ascii="Times New Roman" w:eastAsia="Calibri" w:hAnsi="Times New Roman" w:cs="Times New Roman"/>
          <w:color w:val="000000" w:themeColor="text1"/>
          <w:sz w:val="28"/>
          <w:szCs w:val="28"/>
          <w:lang w:val="es-ES"/>
        </w:rPr>
        <w:t xml:space="preserve"> En ese sentido, el</w:t>
      </w:r>
      <w:r w:rsidRPr="002F3D0A">
        <w:rPr>
          <w:rFonts w:ascii="Times New Roman" w:hAnsi="Times New Roman" w:cs="Times New Roman"/>
          <w:sz w:val="28"/>
          <w:szCs w:val="28"/>
        </w:rPr>
        <w:t xml:space="preserve"> </w:t>
      </w:r>
      <w:r w:rsidRPr="002F3D0A">
        <w:rPr>
          <w:rFonts w:ascii="Times New Roman" w:eastAsia="Calibri" w:hAnsi="Times New Roman" w:cs="Times New Roman"/>
          <w:color w:val="000000" w:themeColor="text1"/>
          <w:sz w:val="28"/>
          <w:szCs w:val="28"/>
        </w:rPr>
        <w:t>tipo de activo no atiende a las realidades económicas ni a la capacidad contributiva. Así, por ejemplo, un inmueble puede representar menor capacidad contributiva qu</w:t>
      </w:r>
      <w:r w:rsidRPr="002F3D0A">
        <w:rPr>
          <w:rFonts w:ascii="Times New Roman" w:eastAsia="Calibri" w:hAnsi="Times New Roman" w:cs="Times New Roman"/>
          <w:color w:val="000000" w:themeColor="text1"/>
          <w:sz w:val="28"/>
          <w:szCs w:val="28"/>
        </w:rPr>
        <w:t>e acciones o inversiones en portafolio y viceversa.</w:t>
      </w:r>
    </w:p>
    <w:p w:rsidR="005368AF" w:rsidRPr="002F3D0A" w:rsidRDefault="002F3D0A" w:rsidP="00C1372A">
      <w:pPr>
        <w:pStyle w:val="Prrafodelista"/>
        <w:ind w:left="709"/>
        <w:rPr>
          <w:rFonts w:ascii="Times New Roman" w:eastAsia="Calibri" w:hAnsi="Times New Roman" w:cs="Times New Roman"/>
          <w:color w:val="000000" w:themeColor="text1"/>
          <w:sz w:val="28"/>
          <w:szCs w:val="28"/>
          <w:lang w:val="es-ES"/>
        </w:rPr>
      </w:pPr>
    </w:p>
    <w:p w:rsidR="000436D3" w:rsidRPr="002F3D0A" w:rsidRDefault="002F3D0A" w:rsidP="00263D64">
      <w:pPr>
        <w:rPr>
          <w:rFonts w:ascii="Times New Roman" w:eastAsia="Calibri" w:hAnsi="Times New Roman" w:cs="Times New Roman"/>
          <w:b/>
          <w:color w:val="000000" w:themeColor="text1"/>
          <w:sz w:val="28"/>
          <w:szCs w:val="28"/>
          <w:lang w:val="es-ES"/>
        </w:rPr>
      </w:pPr>
      <w:r w:rsidRPr="002F3D0A">
        <w:rPr>
          <w:rFonts w:ascii="Times New Roman" w:eastAsia="Calibri" w:hAnsi="Times New Roman" w:cs="Times New Roman"/>
          <w:b/>
          <w:color w:val="000000" w:themeColor="text1"/>
          <w:sz w:val="28"/>
          <w:szCs w:val="28"/>
          <w:lang w:val="es-ES"/>
        </w:rPr>
        <w:t>Intervenciones en relación con el c</w:t>
      </w:r>
      <w:r w:rsidRPr="002F3D0A">
        <w:rPr>
          <w:rFonts w:ascii="Times New Roman" w:eastAsia="Calibri" w:hAnsi="Times New Roman" w:cs="Times New Roman"/>
          <w:b/>
          <w:color w:val="000000" w:themeColor="text1"/>
          <w:sz w:val="28"/>
          <w:szCs w:val="28"/>
          <w:lang w:val="es-ES"/>
        </w:rPr>
        <w:t xml:space="preserve">argo </w:t>
      </w:r>
      <w:r w:rsidRPr="002F3D0A">
        <w:rPr>
          <w:rFonts w:ascii="Times New Roman" w:hAnsi="Times New Roman" w:cs="Times New Roman"/>
          <w:b/>
          <w:color w:val="000000" w:themeColor="text1"/>
          <w:sz w:val="28"/>
          <w:szCs w:val="28"/>
          <w:lang w:val="es-ES"/>
        </w:rPr>
        <w:t xml:space="preserve">por violación de </w:t>
      </w:r>
      <w:r w:rsidRPr="002F3D0A">
        <w:rPr>
          <w:rFonts w:ascii="Times New Roman" w:hAnsi="Times New Roman" w:cs="Times New Roman"/>
          <w:b/>
          <w:color w:val="000000" w:themeColor="text1"/>
          <w:sz w:val="28"/>
          <w:szCs w:val="28"/>
          <w:lang w:val="es-ES"/>
        </w:rPr>
        <w:t>la competencia exclusiva de los</w:t>
      </w:r>
      <w:r w:rsidRPr="002F3D0A">
        <w:rPr>
          <w:rFonts w:ascii="Times New Roman" w:hAnsi="Times New Roman" w:cs="Times New Roman"/>
          <w:b/>
          <w:color w:val="000000" w:themeColor="text1"/>
          <w:sz w:val="28"/>
          <w:szCs w:val="28"/>
          <w:lang w:val="es-ES"/>
        </w:rPr>
        <w:t xml:space="preserve"> municipios</w:t>
      </w:r>
      <w:r w:rsidRPr="002F3D0A">
        <w:rPr>
          <w:rFonts w:ascii="Times New Roman" w:hAnsi="Times New Roman" w:cs="Times New Roman"/>
          <w:b/>
          <w:color w:val="000000" w:themeColor="text1"/>
          <w:sz w:val="28"/>
          <w:szCs w:val="28"/>
          <w:lang w:val="es-ES"/>
        </w:rPr>
        <w:t xml:space="preserve"> para gravar la propiedad inmueble</w:t>
      </w:r>
      <w:r w:rsidRPr="002F3D0A">
        <w:rPr>
          <w:rFonts w:ascii="Times New Roman" w:hAnsi="Times New Roman" w:cs="Times New Roman"/>
          <w:b/>
          <w:color w:val="000000" w:themeColor="text1"/>
          <w:sz w:val="28"/>
          <w:szCs w:val="28"/>
          <w:lang w:val="es-ES"/>
        </w:rPr>
        <w:t>. Artículos 287 y 317 de la Carta Política</w:t>
      </w:r>
    </w:p>
    <w:p w:rsidR="000436D3" w:rsidRPr="002F3D0A" w:rsidRDefault="002F3D0A" w:rsidP="000436D3">
      <w:pPr>
        <w:rPr>
          <w:rFonts w:ascii="Times New Roman" w:eastAsia="Calibri" w:hAnsi="Times New Roman" w:cs="Times New Roman"/>
          <w:color w:val="000000" w:themeColor="text1"/>
          <w:sz w:val="28"/>
          <w:szCs w:val="28"/>
          <w:lang w:val="es-ES"/>
        </w:rPr>
      </w:pPr>
    </w:p>
    <w:p w:rsidR="002A21F9" w:rsidRPr="002F3D0A" w:rsidRDefault="002F3D0A" w:rsidP="00AE3769">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DIAN, el Ministerio de Hacienda y Crédito Público, la Presidencia de la República, </w:t>
      </w:r>
      <w:r w:rsidRPr="002F3D0A">
        <w:rPr>
          <w:rFonts w:ascii="Times New Roman" w:eastAsia="Calibri" w:hAnsi="Times New Roman" w:cs="Times New Roman"/>
          <w:color w:val="000000" w:themeColor="text1"/>
          <w:sz w:val="28"/>
          <w:szCs w:val="28"/>
          <w:lang w:val="es-ES"/>
        </w:rPr>
        <w:t xml:space="preserve">la Universidad </w:t>
      </w:r>
      <w:r w:rsidRPr="002F3D0A">
        <w:rPr>
          <w:rFonts w:ascii="Times New Roman" w:hAnsi="Times New Roman" w:cs="Times New Roman"/>
          <w:sz w:val="28"/>
          <w:szCs w:val="28"/>
        </w:rPr>
        <w:t xml:space="preserve">del Rosario, </w:t>
      </w:r>
      <w:r w:rsidRPr="002F3D0A">
        <w:rPr>
          <w:rFonts w:ascii="Times New Roman" w:hAnsi="Times New Roman" w:cs="Times New Roman"/>
          <w:sz w:val="28"/>
          <w:szCs w:val="28"/>
        </w:rPr>
        <w:t xml:space="preserve">la </w:t>
      </w:r>
      <w:r w:rsidRPr="002F3D0A">
        <w:rPr>
          <w:rFonts w:ascii="Times New Roman" w:hAnsi="Times New Roman" w:cs="Times New Roman"/>
          <w:sz w:val="28"/>
          <w:szCs w:val="28"/>
        </w:rPr>
        <w:t>Universidad Javeriana</w:t>
      </w:r>
      <w:r w:rsidRPr="002F3D0A">
        <w:rPr>
          <w:rFonts w:ascii="Times New Roman" w:hAnsi="Times New Roman" w:cs="Times New Roman"/>
          <w:sz w:val="28"/>
          <w:szCs w:val="28"/>
        </w:rPr>
        <w:t>, la</w:t>
      </w:r>
      <w:r w:rsidRPr="002F3D0A">
        <w:rPr>
          <w:rFonts w:ascii="Times New Roman" w:hAnsi="Times New Roman" w:cs="Times New Roman"/>
          <w:sz w:val="28"/>
          <w:szCs w:val="28"/>
        </w:rPr>
        <w:t xml:space="preserve"> Universidad </w:t>
      </w:r>
      <w:r w:rsidRPr="002F3D0A">
        <w:rPr>
          <w:rFonts w:ascii="Times New Roman" w:hAnsi="Times New Roman" w:cs="Times New Roman"/>
          <w:sz w:val="28"/>
          <w:szCs w:val="28"/>
        </w:rPr>
        <w:t>Externado de Colombia, Dejusticia y la Universidad Libre solicitaron que se declare la exequibilidad</w:t>
      </w:r>
      <w:r w:rsidRPr="002F3D0A">
        <w:rPr>
          <w:rFonts w:ascii="Times New Roman" w:hAnsi="Times New Roman" w:cs="Times New Roman"/>
          <w:sz w:val="28"/>
          <w:szCs w:val="28"/>
        </w:rPr>
        <w:t xml:space="preserve"> de los artículos </w:t>
      </w:r>
      <w:r w:rsidRPr="002F3D0A">
        <w:rPr>
          <w:rFonts w:ascii="Times New Roman" w:hAnsi="Times New Roman" w:cs="Times New Roman"/>
          <w:sz w:val="28"/>
          <w:szCs w:val="28"/>
        </w:rPr>
        <w:t>36</w:t>
      </w:r>
      <w:r w:rsidRPr="002F3D0A">
        <w:rPr>
          <w:rFonts w:ascii="Times New Roman" w:hAnsi="Times New Roman" w:cs="Times New Roman"/>
          <w:sz w:val="28"/>
          <w:szCs w:val="28"/>
        </w:rPr>
        <w:t xml:space="preserve"> y </w:t>
      </w:r>
      <w:r w:rsidRPr="002F3D0A">
        <w:rPr>
          <w:rFonts w:ascii="Times New Roman" w:hAnsi="Times New Roman" w:cs="Times New Roman"/>
          <w:sz w:val="28"/>
          <w:szCs w:val="28"/>
        </w:rPr>
        <w:t>37</w:t>
      </w:r>
      <w:r w:rsidRPr="002F3D0A">
        <w:rPr>
          <w:rFonts w:ascii="Times New Roman" w:hAnsi="Times New Roman" w:cs="Times New Roman"/>
          <w:sz w:val="28"/>
          <w:szCs w:val="28"/>
        </w:rPr>
        <w:t xml:space="preserve"> de la Ley 2277 de 2022, que establecen la propiedad inmueble como parte de la base gravable del impuesto al patrimonio por las siguientes razones:</w:t>
      </w:r>
    </w:p>
    <w:p w:rsidR="00263D64" w:rsidRPr="002F3D0A" w:rsidRDefault="002F3D0A" w:rsidP="00263D64">
      <w:pPr>
        <w:rPr>
          <w:rFonts w:ascii="Times New Roman" w:eastAsia="Calibri" w:hAnsi="Times New Roman" w:cs="Times New Roman"/>
          <w:color w:val="000000" w:themeColor="text1"/>
          <w:sz w:val="28"/>
          <w:szCs w:val="28"/>
          <w:lang w:val="es-ES"/>
        </w:rPr>
      </w:pPr>
    </w:p>
    <w:p w:rsidR="00263D64" w:rsidRPr="002F3D0A" w:rsidRDefault="002F3D0A" w:rsidP="00C1372A">
      <w:pPr>
        <w:pStyle w:val="Prrafodelista"/>
        <w:numPr>
          <w:ilvl w:val="0"/>
          <w:numId w:val="4"/>
        </w:numPr>
        <w:ind w:left="709"/>
        <w:rPr>
          <w:rFonts w:ascii="Times New Roman" w:eastAsia="Calibri" w:hAnsi="Times New Roman" w:cs="Times New Roman"/>
          <w:color w:val="000000" w:themeColor="text1"/>
          <w:sz w:val="28"/>
          <w:szCs w:val="28"/>
          <w:lang w:val="es-ES"/>
        </w:rPr>
      </w:pPr>
      <w:r w:rsidRPr="002F3D0A">
        <w:rPr>
          <w:rFonts w:ascii="Times New Roman" w:hAnsi="Times New Roman" w:cs="Times New Roman"/>
          <w:sz w:val="28"/>
          <w:szCs w:val="28"/>
        </w:rPr>
        <w:t xml:space="preserve">El criterio vigente de la jurisprudencia constitucional, recogido en </w:t>
      </w:r>
      <w:r w:rsidRPr="002F3D0A">
        <w:rPr>
          <w:rFonts w:ascii="Times New Roman" w:eastAsia="Calibri" w:hAnsi="Times New Roman" w:cs="Times New Roman"/>
          <w:color w:val="000000" w:themeColor="text1"/>
          <w:sz w:val="28"/>
          <w:szCs w:val="28"/>
          <w:lang w:val="es-ES"/>
        </w:rPr>
        <w:t>las sentencia</w:t>
      </w:r>
      <w:r w:rsidRPr="002F3D0A">
        <w:rPr>
          <w:rFonts w:ascii="Times New Roman" w:eastAsia="Calibri" w:hAnsi="Times New Roman" w:cs="Times New Roman"/>
          <w:color w:val="000000" w:themeColor="text1"/>
          <w:sz w:val="28"/>
          <w:szCs w:val="28"/>
          <w:lang w:val="es-ES"/>
        </w:rPr>
        <w:t xml:space="preserve">s C-876 de 2002 y C-990 de 2004, considera que la inclusión de la propiedad inmueble en la base gravable del impuesto al patrimonio </w:t>
      </w:r>
      <w:r w:rsidRPr="002F3D0A">
        <w:rPr>
          <w:rFonts w:ascii="Times New Roman" w:eastAsia="Calibri" w:hAnsi="Times New Roman" w:cs="Times New Roman"/>
          <w:color w:val="000000" w:themeColor="text1"/>
          <w:sz w:val="28"/>
          <w:szCs w:val="28"/>
          <w:lang w:val="es-ES"/>
        </w:rPr>
        <w:t xml:space="preserve">no </w:t>
      </w:r>
      <w:r w:rsidRPr="002F3D0A">
        <w:rPr>
          <w:rFonts w:ascii="Times New Roman" w:eastAsia="Calibri" w:hAnsi="Times New Roman" w:cs="Times New Roman"/>
          <w:color w:val="000000" w:themeColor="text1"/>
          <w:sz w:val="28"/>
          <w:szCs w:val="28"/>
          <w:lang w:val="es-ES"/>
        </w:rPr>
        <w:t>transgrede el artículo 317 superio</w:t>
      </w:r>
      <w:r w:rsidRPr="002F3D0A">
        <w:rPr>
          <w:rFonts w:ascii="Times New Roman" w:eastAsia="Calibri" w:hAnsi="Times New Roman" w:cs="Times New Roman"/>
          <w:color w:val="000000" w:themeColor="text1"/>
          <w:sz w:val="28"/>
          <w:szCs w:val="28"/>
          <w:lang w:val="es-ES"/>
        </w:rPr>
        <w:t xml:space="preserve">r, particularmente </w:t>
      </w:r>
      <w:r w:rsidRPr="002F3D0A">
        <w:rPr>
          <w:rFonts w:ascii="Times New Roman" w:eastAsia="Calibri" w:hAnsi="Times New Roman" w:cs="Times New Roman"/>
          <w:color w:val="000000" w:themeColor="text1"/>
          <w:sz w:val="28"/>
          <w:szCs w:val="28"/>
          <w:lang w:val="es-ES"/>
        </w:rPr>
        <w:t xml:space="preserve">la autonomía fiscal de los municipios </w:t>
      </w:r>
      <w:r w:rsidRPr="002F3D0A">
        <w:rPr>
          <w:rFonts w:ascii="Times New Roman" w:eastAsia="Calibri" w:hAnsi="Times New Roman" w:cs="Times New Roman"/>
          <w:color w:val="000000" w:themeColor="text1"/>
          <w:sz w:val="28"/>
          <w:szCs w:val="28"/>
          <w:lang w:val="es-ES"/>
        </w:rPr>
        <w:t>y su competencia para gravar l</w:t>
      </w:r>
      <w:r w:rsidRPr="002F3D0A">
        <w:rPr>
          <w:rFonts w:ascii="Times New Roman" w:eastAsia="Calibri" w:hAnsi="Times New Roman" w:cs="Times New Roman"/>
          <w:color w:val="000000" w:themeColor="text1"/>
          <w:sz w:val="28"/>
          <w:szCs w:val="28"/>
          <w:lang w:val="es-ES"/>
        </w:rPr>
        <w:t>a propiedad inmueble</w:t>
      </w:r>
      <w:r w:rsidRPr="002F3D0A">
        <w:rPr>
          <w:rStyle w:val="Refdenotaalpie"/>
          <w:rFonts w:ascii="Times New Roman" w:eastAsia="Calibri" w:hAnsi="Times New Roman" w:cs="Times New Roman"/>
          <w:color w:val="000000" w:themeColor="text1"/>
          <w:sz w:val="28"/>
          <w:szCs w:val="28"/>
          <w:lang w:val="es-ES"/>
        </w:rPr>
        <w:footnoteReference w:id="9"/>
      </w:r>
      <w:r w:rsidRPr="002F3D0A">
        <w:rPr>
          <w:rFonts w:ascii="Times New Roman" w:eastAsia="Calibri" w:hAnsi="Times New Roman" w:cs="Times New Roman"/>
          <w:color w:val="000000" w:themeColor="text1"/>
          <w:sz w:val="28"/>
          <w:szCs w:val="28"/>
          <w:lang w:val="es-ES"/>
        </w:rPr>
        <w:t>.</w:t>
      </w:r>
      <w:r w:rsidRPr="002F3D0A">
        <w:rPr>
          <w:rFonts w:ascii="Times New Roman" w:eastAsia="Calibri" w:hAnsi="Times New Roman" w:cs="Times New Roman"/>
          <w:color w:val="000000" w:themeColor="text1"/>
          <w:sz w:val="28"/>
          <w:szCs w:val="28"/>
          <w:lang w:val="es-ES"/>
        </w:rPr>
        <w:t xml:space="preserve"> </w:t>
      </w:r>
    </w:p>
    <w:p w:rsidR="006B13D0" w:rsidRPr="002F3D0A" w:rsidRDefault="002F3D0A" w:rsidP="006B13D0">
      <w:pPr>
        <w:pStyle w:val="Prrafodelista"/>
        <w:ind w:left="709"/>
        <w:rPr>
          <w:rFonts w:ascii="Times New Roman" w:eastAsia="Calibri" w:hAnsi="Times New Roman" w:cs="Times New Roman"/>
          <w:color w:val="000000" w:themeColor="text1"/>
          <w:sz w:val="28"/>
          <w:szCs w:val="28"/>
          <w:lang w:val="es-ES"/>
        </w:rPr>
      </w:pPr>
    </w:p>
    <w:p w:rsidR="00DD66A4" w:rsidRPr="002F3D0A" w:rsidRDefault="002F3D0A" w:rsidP="00C1372A">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No hay razones que justifiquen un cambio en el criterio jurisprudencial vigente.</w:t>
      </w:r>
      <w:r w:rsidRPr="002F3D0A">
        <w:rPr>
          <w:rFonts w:ascii="Times New Roman" w:hAnsi="Times New Roman" w:cs="Times New Roman"/>
          <w:sz w:val="28"/>
        </w:rPr>
        <w:t xml:space="preserve"> </w:t>
      </w:r>
    </w:p>
    <w:p w:rsidR="006B13D0" w:rsidRPr="002F3D0A" w:rsidRDefault="002F3D0A" w:rsidP="006B13D0">
      <w:pPr>
        <w:pStyle w:val="Prrafodelista"/>
        <w:ind w:left="709"/>
        <w:rPr>
          <w:rFonts w:ascii="Times New Roman" w:hAnsi="Times New Roman" w:cs="Times New Roman"/>
          <w:sz w:val="28"/>
          <w:szCs w:val="28"/>
        </w:rPr>
      </w:pPr>
    </w:p>
    <w:p w:rsidR="00DD66A4" w:rsidRPr="002F3D0A" w:rsidRDefault="002F3D0A" w:rsidP="00C1372A">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L</w:t>
      </w:r>
      <w:r w:rsidRPr="002F3D0A">
        <w:rPr>
          <w:rFonts w:ascii="Times New Roman" w:hAnsi="Times New Roman" w:cs="Times New Roman"/>
          <w:sz w:val="28"/>
          <w:szCs w:val="28"/>
        </w:rPr>
        <w:t xml:space="preserve">a regla definida en el artículo 317 superior pretende evitar que el poder tributario del poder nacional acapare o se apropie del gravamen sobre la </w:t>
      </w:r>
      <w:r w:rsidRPr="002F3D0A">
        <w:rPr>
          <w:rFonts w:ascii="Times New Roman" w:hAnsi="Times New Roman" w:cs="Times New Roman"/>
          <w:sz w:val="28"/>
          <w:szCs w:val="28"/>
        </w:rPr>
        <w:t xml:space="preserve">propiedad inmueble, el cual se ejerce a través del impuesto predial por parte de los municipios. De este propósito no se deriva una prohibición de incluir bienes inmuebles en la base gravable de un impuesto global </w:t>
      </w:r>
      <w:r w:rsidRPr="002F3D0A">
        <w:rPr>
          <w:rFonts w:ascii="Times New Roman" w:hAnsi="Times New Roman" w:cs="Times New Roman"/>
          <w:sz w:val="28"/>
          <w:szCs w:val="28"/>
        </w:rPr>
        <w:t>sobre</w:t>
      </w:r>
      <w:r w:rsidRPr="002F3D0A">
        <w:rPr>
          <w:rFonts w:ascii="Times New Roman" w:hAnsi="Times New Roman" w:cs="Times New Roman"/>
          <w:sz w:val="28"/>
          <w:szCs w:val="28"/>
        </w:rPr>
        <w:t xml:space="preserve"> el patrimonio.</w:t>
      </w:r>
    </w:p>
    <w:p w:rsidR="006B13D0" w:rsidRPr="002F3D0A" w:rsidRDefault="002F3D0A" w:rsidP="006B13D0">
      <w:pPr>
        <w:pStyle w:val="Prrafodelista"/>
        <w:ind w:left="709"/>
        <w:rPr>
          <w:rFonts w:ascii="Times New Roman" w:hAnsi="Times New Roman" w:cs="Times New Roman"/>
          <w:sz w:val="28"/>
          <w:szCs w:val="28"/>
        </w:rPr>
      </w:pPr>
    </w:p>
    <w:p w:rsidR="00DD66A4" w:rsidRPr="002F3D0A" w:rsidRDefault="002F3D0A" w:rsidP="00C1372A">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 xml:space="preserve">La </w:t>
      </w:r>
      <w:r w:rsidRPr="002F3D0A">
        <w:rPr>
          <w:rFonts w:ascii="Times New Roman" w:hAnsi="Times New Roman" w:cs="Times New Roman"/>
          <w:sz w:val="28"/>
          <w:szCs w:val="28"/>
        </w:rPr>
        <w:t>competencia defin</w:t>
      </w:r>
      <w:r w:rsidRPr="002F3D0A">
        <w:rPr>
          <w:rFonts w:ascii="Times New Roman" w:hAnsi="Times New Roman" w:cs="Times New Roman"/>
          <w:sz w:val="28"/>
          <w:szCs w:val="28"/>
        </w:rPr>
        <w:t xml:space="preserve">ida en el artículo 317 no es una prohibición irrestricta, pues indica que “(…) solo los municipios podrán gravar la propiedad inmueble”. Sin embargo, agrega que ello “no obsta para que otras entidades impongan contribución de valorización”. De manera que, </w:t>
      </w:r>
      <w:r w:rsidRPr="002F3D0A">
        <w:rPr>
          <w:rFonts w:ascii="Times New Roman" w:hAnsi="Times New Roman" w:cs="Times New Roman"/>
          <w:sz w:val="28"/>
          <w:szCs w:val="28"/>
        </w:rPr>
        <w:t>la misma Carta Política permite la imposición de otros gravámenes sobre la propiedad inmueble.</w:t>
      </w:r>
    </w:p>
    <w:p w:rsidR="006B13D0" w:rsidRPr="002F3D0A" w:rsidRDefault="002F3D0A" w:rsidP="006B13D0">
      <w:pPr>
        <w:pStyle w:val="Prrafodelista"/>
        <w:ind w:left="709"/>
        <w:rPr>
          <w:rFonts w:ascii="Times New Roman" w:hAnsi="Times New Roman" w:cs="Times New Roman"/>
          <w:sz w:val="28"/>
          <w:szCs w:val="28"/>
        </w:rPr>
      </w:pPr>
    </w:p>
    <w:p w:rsidR="00DD66A4" w:rsidRPr="002F3D0A" w:rsidRDefault="002F3D0A" w:rsidP="00C1372A">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E</w:t>
      </w:r>
      <w:r w:rsidRPr="002F3D0A">
        <w:rPr>
          <w:rFonts w:ascii="Times New Roman" w:hAnsi="Times New Roman" w:cs="Times New Roman"/>
          <w:sz w:val="28"/>
          <w:szCs w:val="28"/>
        </w:rPr>
        <w:t xml:space="preserve">l artículo 317 superior define una regla de competencia sobre el hecho imponible, asunto que debe ser diferenciado de la materia imponible. </w:t>
      </w:r>
      <w:r w:rsidRPr="002F3D0A">
        <w:rPr>
          <w:rFonts w:ascii="Times New Roman" w:hAnsi="Times New Roman" w:cs="Times New Roman"/>
          <w:sz w:val="28"/>
          <w:szCs w:val="28"/>
        </w:rPr>
        <w:t>E</w:t>
      </w:r>
      <w:r w:rsidRPr="002F3D0A">
        <w:rPr>
          <w:rFonts w:ascii="Times New Roman" w:hAnsi="Times New Roman" w:cs="Times New Roman"/>
          <w:sz w:val="28"/>
          <w:szCs w:val="28"/>
        </w:rPr>
        <w:t>l artículo 317 sup</w:t>
      </w:r>
      <w:r w:rsidRPr="002F3D0A">
        <w:rPr>
          <w:rFonts w:ascii="Times New Roman" w:hAnsi="Times New Roman" w:cs="Times New Roman"/>
          <w:sz w:val="28"/>
          <w:szCs w:val="28"/>
        </w:rPr>
        <w:t>erior no prohíbe que la propiedad inmueble en tanto manifestación genérica de la capacidad económica o materia imponible sea considerada por el legislador para establecer un tributo del orden nacional, sino que prohíbe tributos del orden nacional que grave</w:t>
      </w:r>
      <w:r w:rsidRPr="002F3D0A">
        <w:rPr>
          <w:rFonts w:ascii="Times New Roman" w:hAnsi="Times New Roman" w:cs="Times New Roman"/>
          <w:sz w:val="28"/>
          <w:szCs w:val="28"/>
        </w:rPr>
        <w:t>n de manera específica la propiedad inmueble.</w:t>
      </w:r>
    </w:p>
    <w:p w:rsidR="006B13D0" w:rsidRPr="002F3D0A" w:rsidRDefault="002F3D0A" w:rsidP="006B13D0">
      <w:pPr>
        <w:pStyle w:val="Prrafodelista"/>
        <w:ind w:left="709"/>
        <w:rPr>
          <w:rFonts w:ascii="Times New Roman" w:hAnsi="Times New Roman" w:cs="Times New Roman"/>
          <w:sz w:val="28"/>
          <w:szCs w:val="28"/>
        </w:rPr>
      </w:pPr>
    </w:p>
    <w:p w:rsidR="00DD66A4" w:rsidRPr="002F3D0A" w:rsidRDefault="002F3D0A" w:rsidP="006B13D0">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L</w:t>
      </w:r>
      <w:r w:rsidRPr="002F3D0A">
        <w:rPr>
          <w:rFonts w:ascii="Times New Roman" w:hAnsi="Times New Roman" w:cs="Times New Roman"/>
          <w:sz w:val="28"/>
          <w:szCs w:val="28"/>
        </w:rPr>
        <w:t>a inclusión de la propiedad inmueble en la base gravable del impuesto al patrimonio no impide que los municipios continúen exigiendo el pago del impuesto predial ni de otros tributos como la participación en la plusvalía, el impuesto de delimitación urbana</w:t>
      </w:r>
      <w:r w:rsidRPr="002F3D0A">
        <w:rPr>
          <w:rFonts w:ascii="Times New Roman" w:hAnsi="Times New Roman" w:cs="Times New Roman"/>
          <w:sz w:val="28"/>
          <w:szCs w:val="28"/>
        </w:rPr>
        <w:t xml:space="preserve"> o la contribución por valorización derivada de obras municipales. </w:t>
      </w:r>
    </w:p>
    <w:p w:rsidR="006B13D0" w:rsidRPr="002F3D0A" w:rsidRDefault="002F3D0A" w:rsidP="006B13D0">
      <w:pPr>
        <w:pStyle w:val="Prrafodelista"/>
        <w:ind w:left="709"/>
        <w:rPr>
          <w:rFonts w:ascii="Times New Roman" w:hAnsi="Times New Roman" w:cs="Times New Roman"/>
          <w:sz w:val="28"/>
          <w:szCs w:val="28"/>
        </w:rPr>
      </w:pPr>
    </w:p>
    <w:p w:rsidR="00DD66A4" w:rsidRPr="002F3D0A" w:rsidRDefault="002F3D0A" w:rsidP="006B13D0">
      <w:pPr>
        <w:pStyle w:val="Prrafodelista"/>
        <w:numPr>
          <w:ilvl w:val="0"/>
          <w:numId w:val="4"/>
        </w:numPr>
        <w:ind w:left="709"/>
        <w:rPr>
          <w:rFonts w:ascii="Times New Roman" w:hAnsi="Times New Roman" w:cs="Times New Roman"/>
          <w:sz w:val="28"/>
          <w:szCs w:val="28"/>
        </w:rPr>
      </w:pPr>
      <w:r w:rsidRPr="002F3D0A">
        <w:rPr>
          <w:rFonts w:ascii="Times New Roman" w:hAnsi="Times New Roman" w:cs="Times New Roman"/>
          <w:sz w:val="28"/>
          <w:szCs w:val="28"/>
        </w:rPr>
        <w:t>Los municipios también se benefician del recaudo de impuestos nacionales como el de patrimonio a través del Sistema General de Participaciones</w:t>
      </w:r>
      <w:r w:rsidRPr="002F3D0A">
        <w:rPr>
          <w:rFonts w:ascii="Times New Roman" w:hAnsi="Times New Roman" w:cs="Times New Roman"/>
          <w:sz w:val="28"/>
          <w:szCs w:val="28"/>
        </w:rPr>
        <w:t>. Esto se evidencia en los siguientes datos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a) entre los años 2010 a 2020 los ingresos del Sistema General de Participaciones oscilaron entre $23 y $50 billones de pesos al año; b) según cifras del Departamento Nacional de Planeación entre el año 2000 y 2015 aproximadamente el 45% de los ingresos de</w:t>
      </w:r>
      <w:r w:rsidRPr="002F3D0A">
        <w:rPr>
          <w:rFonts w:ascii="Times New Roman" w:hAnsi="Times New Roman" w:cs="Times New Roman"/>
          <w:sz w:val="28"/>
          <w:szCs w:val="28"/>
        </w:rPr>
        <w:t xml:space="preserve"> los municipios proviene del Sistema General de Participaciones mientras el 36% proviene de ingresos municipales, de los cuales el impuesto predial representó el 32.4% del recaudo; c)</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las cifras sobre el porcentaje que representa el ingreso del Sistema Gen</w:t>
      </w:r>
      <w:r w:rsidRPr="002F3D0A">
        <w:rPr>
          <w:rFonts w:ascii="Times New Roman" w:hAnsi="Times New Roman" w:cs="Times New Roman"/>
          <w:sz w:val="28"/>
          <w:szCs w:val="28"/>
        </w:rPr>
        <w:t>eral de Participaciones incrementa</w:t>
      </w:r>
      <w:r w:rsidRPr="002F3D0A">
        <w:rPr>
          <w:rFonts w:ascii="Times New Roman" w:hAnsi="Times New Roman" w:cs="Times New Roman"/>
          <w:sz w:val="28"/>
          <w:szCs w:val="28"/>
        </w:rPr>
        <w:t>n</w:t>
      </w:r>
      <w:r w:rsidRPr="002F3D0A">
        <w:rPr>
          <w:rFonts w:ascii="Times New Roman" w:hAnsi="Times New Roman" w:cs="Times New Roman"/>
          <w:sz w:val="28"/>
          <w:szCs w:val="28"/>
        </w:rPr>
        <w:t xml:space="preserve"> en los municipios de sexta categoría, debido a la dificultad operativa para el recaudo del impuesto predial y la depreciación del costo de la tierra.</w:t>
      </w:r>
    </w:p>
    <w:p w:rsidR="00DD66A4" w:rsidRPr="002F3D0A" w:rsidRDefault="002F3D0A" w:rsidP="00144508">
      <w:pPr>
        <w:pStyle w:val="Prrafodelista"/>
        <w:ind w:left="1080"/>
        <w:rPr>
          <w:rFonts w:ascii="Times New Roman" w:eastAsia="Calibri" w:hAnsi="Times New Roman" w:cs="Times New Roman"/>
          <w:color w:val="000000" w:themeColor="text1"/>
          <w:sz w:val="28"/>
          <w:szCs w:val="28"/>
          <w:lang w:val="es-ES"/>
        </w:rPr>
      </w:pPr>
    </w:p>
    <w:p w:rsidR="00144508" w:rsidRPr="002F3D0A" w:rsidRDefault="002F3D0A" w:rsidP="00AE3769">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Por su parte, el Instituto Colombiano de Derecho Tributario y </w:t>
      </w:r>
      <w:r w:rsidRPr="002F3D0A">
        <w:rPr>
          <w:rFonts w:ascii="Times New Roman" w:eastAsia="Calibri" w:hAnsi="Times New Roman" w:cs="Times New Roman"/>
          <w:color w:val="000000" w:themeColor="text1"/>
          <w:sz w:val="28"/>
          <w:szCs w:val="28"/>
          <w:lang w:val="es-ES"/>
        </w:rPr>
        <w:t>los ciu</w:t>
      </w:r>
      <w:r w:rsidRPr="002F3D0A">
        <w:rPr>
          <w:rFonts w:ascii="Times New Roman" w:eastAsia="Calibri" w:hAnsi="Times New Roman" w:cs="Times New Roman"/>
          <w:color w:val="000000" w:themeColor="text1"/>
          <w:sz w:val="28"/>
          <w:szCs w:val="28"/>
          <w:lang w:val="es-ES"/>
        </w:rPr>
        <w:t xml:space="preserve">dadanos </w:t>
      </w:r>
      <w:r w:rsidRPr="002F3D0A">
        <w:rPr>
          <w:rFonts w:ascii="Times New Roman" w:eastAsia="Calibri" w:hAnsi="Times New Roman" w:cs="Times New Roman"/>
          <w:color w:val="000000" w:themeColor="text1"/>
          <w:sz w:val="28"/>
          <w:szCs w:val="28"/>
          <w:lang w:val="es-ES"/>
        </w:rPr>
        <w:t xml:space="preserve">María Alejandra Uribe, Christian Camilo Gómez Rivera, Felipe Camilo Gutiérrez Gómez, Daniel Ardila Silva y Jaime Felipe Bernal Rojas solicitaron que se declare la inexequibilidad </w:t>
      </w:r>
      <w:r w:rsidRPr="002F3D0A">
        <w:rPr>
          <w:rFonts w:ascii="Times New Roman" w:eastAsia="Calibri" w:hAnsi="Times New Roman" w:cs="Times New Roman"/>
          <w:color w:val="000000" w:themeColor="text1"/>
          <w:sz w:val="28"/>
          <w:szCs w:val="28"/>
          <w:lang w:val="es-ES"/>
        </w:rPr>
        <w:t xml:space="preserve">de los artículos 36 y 37 de la Ley 2277 de 2022 </w:t>
      </w:r>
      <w:r w:rsidRPr="002F3D0A">
        <w:rPr>
          <w:rFonts w:ascii="Times New Roman" w:eastAsia="Calibri" w:hAnsi="Times New Roman" w:cs="Times New Roman"/>
          <w:color w:val="000000" w:themeColor="text1"/>
          <w:sz w:val="28"/>
          <w:szCs w:val="28"/>
          <w:lang w:val="es-ES"/>
        </w:rPr>
        <w:t xml:space="preserve">a partir de los </w:t>
      </w:r>
      <w:r w:rsidRPr="002F3D0A">
        <w:rPr>
          <w:rFonts w:ascii="Times New Roman" w:eastAsia="Calibri" w:hAnsi="Times New Roman" w:cs="Times New Roman"/>
          <w:color w:val="000000" w:themeColor="text1"/>
          <w:sz w:val="28"/>
          <w:szCs w:val="28"/>
          <w:lang w:val="es-ES"/>
        </w:rPr>
        <w:t>siguientes elementos:</w:t>
      </w:r>
    </w:p>
    <w:p w:rsidR="00144508" w:rsidRPr="002F3D0A" w:rsidRDefault="002F3D0A" w:rsidP="00144508">
      <w:pPr>
        <w:pStyle w:val="Prrafodelista"/>
        <w:ind w:left="0"/>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L</w:t>
      </w:r>
      <w:r w:rsidRPr="002F3D0A">
        <w:rPr>
          <w:rFonts w:ascii="Times New Roman" w:eastAsia="Calibri" w:hAnsi="Times New Roman" w:cs="Times New Roman"/>
          <w:color w:val="000000" w:themeColor="text1"/>
          <w:sz w:val="28"/>
          <w:szCs w:val="28"/>
          <w:lang w:val="es-ES"/>
        </w:rPr>
        <w:t>a Corte Constitucional debe reconsiderar su tesis vigente que descarta que la inclusión de la propiedad inmueble en la base gravable del impuesto al patrimonio viol</w:t>
      </w:r>
      <w:r w:rsidRPr="002F3D0A">
        <w:rPr>
          <w:rFonts w:ascii="Times New Roman" w:eastAsia="Calibri" w:hAnsi="Times New Roman" w:cs="Times New Roman"/>
          <w:color w:val="000000" w:themeColor="text1"/>
          <w:sz w:val="28"/>
          <w:szCs w:val="28"/>
          <w:lang w:val="es-ES"/>
        </w:rPr>
        <w:t>e</w:t>
      </w:r>
      <w:r w:rsidRPr="002F3D0A">
        <w:rPr>
          <w:rFonts w:ascii="Times New Roman" w:eastAsia="Calibri" w:hAnsi="Times New Roman" w:cs="Times New Roman"/>
          <w:color w:val="000000" w:themeColor="text1"/>
          <w:sz w:val="28"/>
          <w:szCs w:val="28"/>
          <w:lang w:val="es-ES"/>
        </w:rPr>
        <w:t xml:space="preserve"> la regla constitucional definida en el artículo 317 de la Carta Po</w:t>
      </w:r>
      <w:r w:rsidRPr="002F3D0A">
        <w:rPr>
          <w:rFonts w:ascii="Times New Roman" w:eastAsia="Calibri" w:hAnsi="Times New Roman" w:cs="Times New Roman"/>
          <w:color w:val="000000" w:themeColor="text1"/>
          <w:sz w:val="28"/>
          <w:szCs w:val="28"/>
          <w:lang w:val="es-ES"/>
        </w:rPr>
        <w:t>lítica.</w:t>
      </w:r>
      <w:r w:rsidRPr="002F3D0A">
        <w:rPr>
          <w:rFonts w:ascii="Times New Roman" w:eastAsia="Calibri" w:hAnsi="Times New Roman" w:cs="Times New Roman"/>
          <w:color w:val="000000" w:themeColor="text1"/>
          <w:sz w:val="28"/>
          <w:szCs w:val="28"/>
          <w:lang w:val="es-ES"/>
        </w:rPr>
        <w:t xml:space="preserve"> Esto, porque: (a) </w:t>
      </w:r>
      <w:r w:rsidRPr="002F3D0A">
        <w:rPr>
          <w:rFonts w:ascii="Times New Roman" w:eastAsia="Calibri" w:hAnsi="Times New Roman" w:cs="Times New Roman"/>
          <w:color w:val="000000" w:themeColor="text1"/>
          <w:sz w:val="28"/>
          <w:szCs w:val="28"/>
          <w:lang w:val="es-ES"/>
        </w:rPr>
        <w:t>la base gravable del impuesto al patrimonio en su diseño actual solo permite restar las primeras 12.000 UVT de la casa de habitación, razón por la que en relación con las sociedades extranjeras el impuesto al patrimonio gravará la</w:t>
      </w:r>
      <w:r w:rsidRPr="002F3D0A">
        <w:rPr>
          <w:rFonts w:ascii="Times New Roman" w:eastAsia="Calibri" w:hAnsi="Times New Roman" w:cs="Times New Roman"/>
          <w:color w:val="000000" w:themeColor="text1"/>
          <w:sz w:val="28"/>
          <w:szCs w:val="28"/>
          <w:lang w:val="es-ES"/>
        </w:rPr>
        <w:t xml:space="preserve"> totalidad de su propiedad inmueble</w:t>
      </w:r>
      <w:r w:rsidRPr="002F3D0A">
        <w:rPr>
          <w:rFonts w:ascii="Times New Roman" w:eastAsia="Calibri" w:hAnsi="Times New Roman" w:cs="Times New Roman"/>
          <w:color w:val="000000" w:themeColor="text1"/>
          <w:sz w:val="28"/>
          <w:szCs w:val="28"/>
          <w:lang w:val="es-ES"/>
        </w:rPr>
        <w:t>; (b) el impuesto es permanente.</w:t>
      </w:r>
    </w:p>
    <w:p w:rsidR="006B13D0" w:rsidRPr="002F3D0A" w:rsidRDefault="002F3D0A" w:rsidP="006B13D0">
      <w:pPr>
        <w:pStyle w:val="Prrafodelista"/>
        <w:ind w:left="1080"/>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w:t>
      </w:r>
      <w:r w:rsidRPr="002F3D0A">
        <w:rPr>
          <w:rFonts w:ascii="Times New Roman" w:eastAsia="Calibri" w:hAnsi="Times New Roman" w:cs="Times New Roman"/>
          <w:color w:val="000000" w:themeColor="text1"/>
          <w:sz w:val="28"/>
          <w:szCs w:val="28"/>
          <w:lang w:val="es-ES"/>
        </w:rPr>
        <w:t>intención del constituyente primario fue que únicamente los municipios, como nuevos protagonistas en el modelo descentralizado acogido en la Constitución de 1991 pudieran gravar la pro</w:t>
      </w:r>
      <w:r w:rsidRPr="002F3D0A">
        <w:rPr>
          <w:rFonts w:ascii="Times New Roman" w:eastAsia="Calibri" w:hAnsi="Times New Roman" w:cs="Times New Roman"/>
          <w:color w:val="000000" w:themeColor="text1"/>
          <w:sz w:val="28"/>
          <w:szCs w:val="28"/>
          <w:lang w:val="es-ES"/>
        </w:rPr>
        <w:t>piedad inmueble. Por lo tanto, el artículo 317 superior debe ser entendido como una regla absoluta</w:t>
      </w:r>
      <w:r w:rsidRPr="002F3D0A">
        <w:rPr>
          <w:rFonts w:ascii="Times New Roman" w:eastAsia="Calibri" w:hAnsi="Times New Roman" w:cs="Times New Roman"/>
          <w:color w:val="000000" w:themeColor="text1"/>
          <w:sz w:val="28"/>
          <w:szCs w:val="28"/>
          <w:lang w:val="es-ES"/>
        </w:rPr>
        <w:t>.</w:t>
      </w:r>
    </w:p>
    <w:p w:rsidR="006B13D0" w:rsidRPr="002F3D0A" w:rsidRDefault="002F3D0A" w:rsidP="006B13D0">
      <w:pPr>
        <w:pStyle w:val="Prrafodelista"/>
        <w:ind w:left="1080"/>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E</w:t>
      </w:r>
      <w:r w:rsidRPr="002F3D0A">
        <w:rPr>
          <w:rFonts w:ascii="Times New Roman" w:eastAsia="Calibri" w:hAnsi="Times New Roman" w:cs="Times New Roman"/>
          <w:color w:val="000000" w:themeColor="text1"/>
          <w:sz w:val="28"/>
          <w:szCs w:val="28"/>
          <w:lang w:val="es-ES"/>
        </w:rPr>
        <w:t xml:space="preserve">l valor de la propiedad inmueble </w:t>
      </w:r>
      <w:r w:rsidRPr="002F3D0A">
        <w:rPr>
          <w:rFonts w:ascii="Times New Roman" w:eastAsia="Calibri" w:hAnsi="Times New Roman" w:cs="Times New Roman"/>
          <w:color w:val="000000" w:themeColor="text1"/>
          <w:sz w:val="28"/>
          <w:szCs w:val="28"/>
          <w:lang w:val="es-ES"/>
        </w:rPr>
        <w:t>hace parte de la</w:t>
      </w:r>
      <w:r w:rsidRPr="002F3D0A">
        <w:rPr>
          <w:rFonts w:ascii="Times New Roman" w:eastAsia="Calibri" w:hAnsi="Times New Roman" w:cs="Times New Roman"/>
          <w:color w:val="000000" w:themeColor="text1"/>
          <w:sz w:val="28"/>
          <w:szCs w:val="28"/>
          <w:lang w:val="es-ES"/>
        </w:rPr>
        <w:t xml:space="preserve"> base gravable del tributo, razón por la que resulta evidente que el impuesto al patrimonio sí grava la p</w:t>
      </w:r>
      <w:r w:rsidRPr="002F3D0A">
        <w:rPr>
          <w:rFonts w:ascii="Times New Roman" w:eastAsia="Calibri" w:hAnsi="Times New Roman" w:cs="Times New Roman"/>
          <w:color w:val="000000" w:themeColor="text1"/>
          <w:sz w:val="28"/>
          <w:szCs w:val="28"/>
          <w:lang w:val="es-ES"/>
        </w:rPr>
        <w:t>ropiedad inmueble.</w:t>
      </w:r>
    </w:p>
    <w:p w:rsidR="006B13D0" w:rsidRPr="002F3D0A" w:rsidRDefault="002F3D0A" w:rsidP="006B13D0">
      <w:pPr>
        <w:pStyle w:val="Prrafodelista"/>
        <w:ind w:left="1080"/>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La necesidad de proteger la autonomía fiscal de los municipios.</w:t>
      </w:r>
    </w:p>
    <w:p w:rsidR="006B13D0" w:rsidRPr="002F3D0A" w:rsidRDefault="002F3D0A" w:rsidP="006B13D0">
      <w:pPr>
        <w:pStyle w:val="Prrafodelista"/>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 xml:space="preserve">La jurisprudencia ha sostenido la constitucionalidad de la inclusión de la propiedad inmueble en la base gravable del impuesto al patrimonio, a partir de decisiones que han diferenciado </w:t>
      </w:r>
      <w:r w:rsidRPr="002F3D0A">
        <w:rPr>
          <w:rFonts w:ascii="Times New Roman" w:eastAsia="Calibri" w:hAnsi="Times New Roman" w:cs="Times New Roman"/>
          <w:color w:val="000000" w:themeColor="text1"/>
          <w:sz w:val="28"/>
          <w:szCs w:val="28"/>
          <w:lang w:val="es-ES"/>
        </w:rPr>
        <w:t>los hechos gravables del impuesto de renta</w:t>
      </w:r>
      <w:r w:rsidRPr="002F3D0A">
        <w:rPr>
          <w:rFonts w:ascii="Times New Roman" w:eastAsia="Calibri" w:hAnsi="Times New Roman" w:cs="Times New Roman"/>
          <w:color w:val="000000" w:themeColor="text1"/>
          <w:sz w:val="28"/>
          <w:szCs w:val="28"/>
          <w:lang w:val="es-ES"/>
        </w:rPr>
        <w:t xml:space="preserve"> y del impuesto patrimonio. </w:t>
      </w:r>
      <w:r w:rsidRPr="002F3D0A">
        <w:rPr>
          <w:rFonts w:ascii="Times New Roman" w:eastAsia="Calibri" w:hAnsi="Times New Roman" w:cs="Times New Roman"/>
          <w:color w:val="000000" w:themeColor="text1"/>
          <w:sz w:val="28"/>
          <w:szCs w:val="28"/>
          <w:lang w:val="es-ES"/>
        </w:rPr>
        <w:t>Este argumento no es adecuado, debido a que el impuesto de renta no grava la propiedad inmueble sino sus rendimientos</w:t>
      </w:r>
      <w:r w:rsidRPr="002F3D0A">
        <w:rPr>
          <w:rFonts w:ascii="Times New Roman" w:eastAsia="Calibri" w:hAnsi="Times New Roman" w:cs="Times New Roman"/>
          <w:color w:val="000000" w:themeColor="text1"/>
          <w:sz w:val="28"/>
          <w:szCs w:val="28"/>
          <w:lang w:val="es-ES"/>
        </w:rPr>
        <w:t>.</w:t>
      </w:r>
    </w:p>
    <w:p w:rsidR="006B13D0" w:rsidRPr="002F3D0A" w:rsidRDefault="002F3D0A" w:rsidP="006B13D0">
      <w:pPr>
        <w:pStyle w:val="Prrafodelista"/>
        <w:ind w:left="1080"/>
        <w:rPr>
          <w:rFonts w:ascii="Times New Roman" w:eastAsia="Calibri" w:hAnsi="Times New Roman" w:cs="Times New Roman"/>
          <w:color w:val="000000" w:themeColor="text1"/>
          <w:sz w:val="28"/>
          <w:szCs w:val="28"/>
          <w:lang w:val="es-ES"/>
        </w:rPr>
      </w:pPr>
    </w:p>
    <w:p w:rsidR="00144508" w:rsidRPr="002F3D0A" w:rsidRDefault="002F3D0A" w:rsidP="00144508">
      <w:pPr>
        <w:pStyle w:val="Prrafodelista"/>
        <w:numPr>
          <w:ilvl w:val="0"/>
          <w:numId w:val="5"/>
        </w:numPr>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La diferencia entre el patrimonio y la propiedad inmueble obedece a una concepción eminentemente civil, que desconoce que en la práctica</w:t>
      </w:r>
      <w:r w:rsidRPr="002F3D0A">
        <w:rPr>
          <w:rFonts w:ascii="Times New Roman" w:eastAsia="Calibri" w:hAnsi="Times New Roman" w:cs="Times New Roman"/>
          <w:color w:val="000000" w:themeColor="text1"/>
          <w:sz w:val="28"/>
          <w:szCs w:val="28"/>
          <w:lang w:val="es-ES"/>
        </w:rPr>
        <w:t xml:space="preserve"> el patrimonio de algunos contribuyentes solo está conformado por inmuebles y aunque cuenten con otro tipo de bienes la exclusión/inclusión de la propiedad inmueble genera una diferencia sustancial en el monto del gravamen</w:t>
      </w:r>
      <w:r w:rsidRPr="002F3D0A">
        <w:rPr>
          <w:rFonts w:ascii="Times New Roman" w:eastAsia="Calibri" w:hAnsi="Times New Roman" w:cs="Times New Roman"/>
          <w:color w:val="000000" w:themeColor="text1"/>
          <w:sz w:val="28"/>
          <w:szCs w:val="28"/>
          <w:lang w:val="es-ES"/>
        </w:rPr>
        <w:t>.</w:t>
      </w:r>
    </w:p>
    <w:p w:rsidR="00144508" w:rsidRPr="002F3D0A" w:rsidRDefault="002F3D0A" w:rsidP="00144508">
      <w:pPr>
        <w:pStyle w:val="Prrafodelista"/>
        <w:ind w:left="0"/>
        <w:rPr>
          <w:rFonts w:ascii="Times New Roman" w:eastAsia="Calibri" w:hAnsi="Times New Roman" w:cs="Times New Roman"/>
          <w:color w:val="000000" w:themeColor="text1"/>
          <w:sz w:val="28"/>
          <w:szCs w:val="28"/>
          <w:lang w:val="es-ES"/>
        </w:rPr>
      </w:pPr>
    </w:p>
    <w:p w:rsidR="0095042A" w:rsidRPr="002F3D0A" w:rsidRDefault="002F3D0A" w:rsidP="0095042A">
      <w:pPr>
        <w:rPr>
          <w:rFonts w:ascii="Times New Roman" w:hAnsi="Times New Roman" w:cs="Times New Roman"/>
          <w:b/>
          <w:sz w:val="28"/>
          <w:szCs w:val="28"/>
        </w:rPr>
      </w:pPr>
      <w:r w:rsidRPr="002F3D0A">
        <w:rPr>
          <w:rFonts w:ascii="Times New Roman" w:hAnsi="Times New Roman" w:cs="Times New Roman"/>
          <w:b/>
          <w:sz w:val="28"/>
          <w:szCs w:val="28"/>
        </w:rPr>
        <w:t xml:space="preserve">V. </w:t>
      </w:r>
      <w:r w:rsidRPr="002F3D0A">
        <w:rPr>
          <w:rFonts w:ascii="Times New Roman" w:hAnsi="Times New Roman" w:cs="Times New Roman"/>
          <w:b/>
          <w:sz w:val="28"/>
          <w:szCs w:val="28"/>
        </w:rPr>
        <w:t xml:space="preserve">CONCEPTO DE LA PROCURADORA </w:t>
      </w:r>
      <w:r w:rsidRPr="002F3D0A">
        <w:rPr>
          <w:rFonts w:ascii="Times New Roman" w:hAnsi="Times New Roman" w:cs="Times New Roman"/>
          <w:b/>
          <w:sz w:val="28"/>
          <w:szCs w:val="28"/>
        </w:rPr>
        <w:t>GENERAL DE LA NACIÓN</w:t>
      </w:r>
    </w:p>
    <w:p w:rsidR="0095042A" w:rsidRPr="002F3D0A" w:rsidRDefault="002F3D0A" w:rsidP="009D5CF8">
      <w:pPr>
        <w:pStyle w:val="Sinespaciado"/>
        <w:rPr>
          <w:rFonts w:ascii="Times New Roman" w:hAnsi="Times New Roman"/>
          <w:sz w:val="28"/>
        </w:rPr>
      </w:pPr>
    </w:p>
    <w:p w:rsidR="0095042A" w:rsidRPr="002F3D0A" w:rsidRDefault="002F3D0A" w:rsidP="009D5CF8">
      <w:pPr>
        <w:pStyle w:val="Prrafodelista"/>
        <w:numPr>
          <w:ilvl w:val="0"/>
          <w:numId w:val="1"/>
        </w:numPr>
        <w:ind w:left="0" w:firstLine="0"/>
        <w:rPr>
          <w:rFonts w:ascii="Times New Roman" w:hAnsi="Times New Roman" w:cs="Times New Roman"/>
          <w:sz w:val="28"/>
          <w:szCs w:val="28"/>
        </w:rPr>
      </w:pPr>
      <w:r w:rsidRPr="002F3D0A">
        <w:rPr>
          <w:rFonts w:ascii="Times New Roman" w:hAnsi="Times New Roman" w:cs="Times New Roman"/>
          <w:bCs/>
          <w:sz w:val="28"/>
          <w:szCs w:val="28"/>
        </w:rPr>
        <w:t>La Procurad</w:t>
      </w:r>
      <w:r w:rsidRPr="002F3D0A">
        <w:rPr>
          <w:rFonts w:ascii="Times New Roman" w:hAnsi="Times New Roman" w:cs="Times New Roman"/>
          <w:bCs/>
          <w:sz w:val="28"/>
          <w:szCs w:val="28"/>
        </w:rPr>
        <w:t xml:space="preserve">uría </w:t>
      </w:r>
      <w:r w:rsidRPr="002F3D0A">
        <w:rPr>
          <w:rFonts w:ascii="Times New Roman" w:hAnsi="Times New Roman" w:cs="Times New Roman"/>
          <w:bCs/>
          <w:sz w:val="28"/>
          <w:szCs w:val="28"/>
        </w:rPr>
        <w:t>General de la Nación rindió concepto y solicitó que se declare la inexequibilidad de los artículos 35, 36 y 37 de la Ley 2277 de 2022.</w:t>
      </w:r>
    </w:p>
    <w:p w:rsidR="006B13D0" w:rsidRPr="002F3D0A" w:rsidRDefault="002F3D0A" w:rsidP="006B13D0">
      <w:pPr>
        <w:pStyle w:val="Prrafodelista"/>
        <w:ind w:left="0"/>
        <w:rPr>
          <w:rFonts w:ascii="Times New Roman" w:hAnsi="Times New Roman" w:cs="Times New Roman"/>
          <w:sz w:val="28"/>
          <w:szCs w:val="28"/>
        </w:rPr>
      </w:pPr>
    </w:p>
    <w:p w:rsidR="0095042A" w:rsidRPr="002F3D0A" w:rsidRDefault="002F3D0A" w:rsidP="009D5CF8">
      <w:pPr>
        <w:pStyle w:val="Prrafodelista"/>
        <w:numPr>
          <w:ilvl w:val="0"/>
          <w:numId w:val="1"/>
        </w:numPr>
        <w:ind w:left="0" w:firstLine="0"/>
        <w:rPr>
          <w:rFonts w:ascii="Times New Roman" w:hAnsi="Times New Roman" w:cs="Times New Roman"/>
          <w:sz w:val="28"/>
          <w:szCs w:val="28"/>
        </w:rPr>
      </w:pPr>
      <w:r w:rsidRPr="002F3D0A">
        <w:rPr>
          <w:rFonts w:ascii="Times New Roman" w:hAnsi="Times New Roman" w:cs="Times New Roman"/>
          <w:sz w:val="28"/>
          <w:szCs w:val="28"/>
        </w:rPr>
        <w:t xml:space="preserve">La procuradora indicó que, tal y como lo señaló en el proceso D-15273, las normas </w:t>
      </w:r>
      <w:r w:rsidRPr="002F3D0A">
        <w:rPr>
          <w:rFonts w:ascii="Times New Roman" w:hAnsi="Times New Roman" w:cs="Times New Roman"/>
          <w:sz w:val="28"/>
          <w:szCs w:val="28"/>
        </w:rPr>
        <w:t>identificadas violan los principios de equidad, justicia y progresividad y no superan un test leve de proporcionalidad. Esto, debido a que, si bien el impuesto al patrimonio persigue importantes finalidades que se derivan de los artículos 2, 13 y 363 super</w:t>
      </w:r>
      <w:r w:rsidRPr="002F3D0A">
        <w:rPr>
          <w:rFonts w:ascii="Times New Roman" w:hAnsi="Times New Roman" w:cs="Times New Roman"/>
          <w:sz w:val="28"/>
          <w:szCs w:val="28"/>
        </w:rPr>
        <w:t>iores</w:t>
      </w:r>
      <w:r w:rsidRPr="002F3D0A">
        <w:rPr>
          <w:rFonts w:ascii="Times New Roman" w:hAnsi="Times New Roman" w:cs="Times New Roman"/>
          <w:sz w:val="28"/>
          <w:szCs w:val="28"/>
        </w:rPr>
        <w:t xml:space="preserve"> algunos</w:t>
      </w:r>
      <w:r w:rsidRPr="002F3D0A">
        <w:rPr>
          <w:rFonts w:ascii="Times New Roman" w:hAnsi="Times New Roman" w:cs="Times New Roman"/>
          <w:sz w:val="28"/>
          <w:szCs w:val="28"/>
        </w:rPr>
        <w:t xml:space="preserve"> estudios han demostrado que un impuesto al patrimonio de carácter permanente y que no tenga en cuenta la liquidez del contribuyente </w:t>
      </w:r>
      <w:r w:rsidRPr="002F3D0A">
        <w:rPr>
          <w:rFonts w:ascii="Times New Roman" w:hAnsi="Times New Roman" w:cs="Times New Roman"/>
          <w:sz w:val="28"/>
          <w:szCs w:val="28"/>
        </w:rPr>
        <w:t>no es un medio adecuado para enfrentar la desigualdad y la inequidad vertical del sistema</w:t>
      </w:r>
      <w:r w:rsidRPr="002F3D0A">
        <w:rPr>
          <w:rStyle w:val="Refdenotaalpie"/>
          <w:rFonts w:ascii="Times New Roman" w:hAnsi="Times New Roman" w:cs="Times New Roman"/>
          <w:sz w:val="28"/>
          <w:szCs w:val="28"/>
        </w:rPr>
        <w:footnoteReference w:id="10"/>
      </w:r>
      <w:r w:rsidRPr="002F3D0A">
        <w:rPr>
          <w:rFonts w:ascii="Times New Roman" w:hAnsi="Times New Roman" w:cs="Times New Roman"/>
          <w:sz w:val="28"/>
          <w:szCs w:val="28"/>
        </w:rPr>
        <w:t xml:space="preserve">. Sobre este punto, la procuradora explicó que los </w:t>
      </w:r>
      <w:r w:rsidRPr="002F3D0A">
        <w:rPr>
          <w:rFonts w:ascii="Times New Roman" w:hAnsi="Times New Roman" w:cs="Times New Roman"/>
          <w:sz w:val="28"/>
          <w:szCs w:val="28"/>
        </w:rPr>
        <w:t xml:space="preserve">patrimonios, a largo plazo, no generan </w:t>
      </w:r>
      <w:r w:rsidRPr="002F3D0A">
        <w:rPr>
          <w:rFonts w:ascii="Times New Roman" w:hAnsi="Times New Roman" w:cs="Times New Roman"/>
          <w:sz w:val="28"/>
          <w:szCs w:val="28"/>
        </w:rPr>
        <w:t>niveles de renta equivalente, razón por la que en algunos escenarios los contribuyentes deben disponer de sus bienes productivos y limitar sus emprendimientos en perj</w:t>
      </w:r>
      <w:r w:rsidRPr="002F3D0A">
        <w:rPr>
          <w:rFonts w:ascii="Times New Roman" w:hAnsi="Times New Roman" w:cs="Times New Roman"/>
          <w:sz w:val="28"/>
          <w:szCs w:val="28"/>
        </w:rPr>
        <w:t>uicio de la utilidad social de los mismos.</w:t>
      </w:r>
    </w:p>
    <w:p w:rsidR="0095042A" w:rsidRPr="002F3D0A" w:rsidRDefault="002F3D0A" w:rsidP="0095042A">
      <w:pPr>
        <w:pStyle w:val="Prrafodelista"/>
        <w:rPr>
          <w:rFonts w:ascii="Times New Roman" w:hAnsi="Times New Roman" w:cs="Times New Roman"/>
          <w:sz w:val="28"/>
          <w:szCs w:val="28"/>
        </w:rPr>
      </w:pPr>
    </w:p>
    <w:p w:rsidR="0095042A" w:rsidRPr="002F3D0A" w:rsidRDefault="002F3D0A" w:rsidP="0095042A">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sz w:val="28"/>
          <w:szCs w:val="28"/>
        </w:rPr>
        <w:t xml:space="preserve">De otra parte, la </w:t>
      </w:r>
      <w:r w:rsidRPr="002F3D0A">
        <w:rPr>
          <w:rFonts w:ascii="Times New Roman" w:hAnsi="Times New Roman" w:cs="Times New Roman"/>
          <w:sz w:val="28"/>
          <w:szCs w:val="28"/>
        </w:rPr>
        <w:t>p</w:t>
      </w:r>
      <w:r w:rsidRPr="002F3D0A">
        <w:rPr>
          <w:rFonts w:ascii="Times New Roman" w:hAnsi="Times New Roman" w:cs="Times New Roman"/>
          <w:sz w:val="28"/>
          <w:szCs w:val="28"/>
        </w:rPr>
        <w:t xml:space="preserve">rocuradora indicó que el trato diferencial dado a las empresas extranjeras también es inconstitucional porque si establecer un impuesto en función de la riqueza es irrazonable al no considerar </w:t>
      </w:r>
      <w:r w:rsidRPr="002F3D0A">
        <w:rPr>
          <w:rFonts w:ascii="Times New Roman" w:hAnsi="Times New Roman" w:cs="Times New Roman"/>
          <w:sz w:val="28"/>
          <w:szCs w:val="28"/>
        </w:rPr>
        <w:t xml:space="preserve">la verdadera capacidad </w:t>
      </w:r>
      <w:r w:rsidRPr="002F3D0A">
        <w:rPr>
          <w:rFonts w:ascii="Times New Roman" w:hAnsi="Times New Roman" w:cs="Times New Roman"/>
          <w:sz w:val="28"/>
          <w:szCs w:val="28"/>
        </w:rPr>
        <w:t>contributiva</w:t>
      </w:r>
      <w:r w:rsidRPr="002F3D0A">
        <w:rPr>
          <w:rFonts w:ascii="Times New Roman" w:hAnsi="Times New Roman" w:cs="Times New Roman"/>
          <w:sz w:val="28"/>
          <w:szCs w:val="28"/>
        </w:rPr>
        <w:t>, con más razón lo es incorporar distinciones en el cobro a partir del tipo de activo</w:t>
      </w:r>
      <w:r w:rsidRPr="002F3D0A">
        <w:rPr>
          <w:rFonts w:ascii="Times New Roman" w:hAnsi="Times New Roman" w:cs="Times New Roman"/>
          <w:sz w:val="28"/>
          <w:szCs w:val="28"/>
        </w:rPr>
        <w:t>s</w:t>
      </w:r>
      <w:r w:rsidRPr="002F3D0A">
        <w:rPr>
          <w:rFonts w:ascii="Times New Roman" w:hAnsi="Times New Roman" w:cs="Times New Roman"/>
          <w:sz w:val="28"/>
          <w:szCs w:val="28"/>
        </w:rPr>
        <w:t xml:space="preserve"> que posee el contribuyente. En concreto,</w:t>
      </w:r>
      <w:r w:rsidRPr="002F3D0A">
        <w:rPr>
          <w:rFonts w:ascii="Times New Roman" w:hAnsi="Times New Roman" w:cs="Times New Roman"/>
          <w:sz w:val="28"/>
          <w:szCs w:val="28"/>
        </w:rPr>
        <w:t xml:space="preserve"> para la </w:t>
      </w:r>
      <w:r w:rsidRPr="002F3D0A">
        <w:rPr>
          <w:rFonts w:ascii="Times New Roman" w:hAnsi="Times New Roman" w:cs="Times New Roman"/>
          <w:sz w:val="28"/>
          <w:szCs w:val="28"/>
        </w:rPr>
        <w:t xml:space="preserve">procuradora </w:t>
      </w:r>
      <w:r w:rsidRPr="002F3D0A">
        <w:rPr>
          <w:rFonts w:ascii="Times New Roman" w:hAnsi="Times New Roman" w:cs="Times New Roman"/>
          <w:sz w:val="28"/>
          <w:szCs w:val="28"/>
        </w:rPr>
        <w:t>el</w:t>
      </w:r>
      <w:r w:rsidRPr="002F3D0A">
        <w:rPr>
          <w:rFonts w:ascii="Times New Roman" w:hAnsi="Times New Roman" w:cs="Times New Roman"/>
          <w:sz w:val="28"/>
          <w:szCs w:val="28"/>
        </w:rPr>
        <w:t xml:space="preserve"> </w:t>
      </w:r>
      <w:bookmarkStart w:id="17" w:name="_Hlk171083340"/>
      <w:r w:rsidRPr="002F3D0A">
        <w:rPr>
          <w:rFonts w:ascii="Times New Roman" w:hAnsi="Times New Roman" w:cs="Times New Roman"/>
          <w:sz w:val="28"/>
          <w:szCs w:val="28"/>
        </w:rPr>
        <w:t>tipo de activo no atiende a las realidades económicas ni a la capacida</w:t>
      </w:r>
      <w:r w:rsidRPr="002F3D0A">
        <w:rPr>
          <w:rFonts w:ascii="Times New Roman" w:hAnsi="Times New Roman" w:cs="Times New Roman"/>
          <w:sz w:val="28"/>
          <w:szCs w:val="28"/>
        </w:rPr>
        <w:t>d contributiva. Así, por ejemplo, un inmueble puede representar menor capacidad contributiva que acciones o inversiones en portafolio y viceversa.</w:t>
      </w:r>
    </w:p>
    <w:bookmarkEnd w:id="17"/>
    <w:p w:rsidR="0095042A" w:rsidRPr="002F3D0A" w:rsidRDefault="002F3D0A" w:rsidP="0095042A">
      <w:pPr>
        <w:pStyle w:val="Prrafodelista"/>
        <w:rPr>
          <w:rFonts w:ascii="Times New Roman" w:hAnsi="Times New Roman" w:cs="Times New Roman"/>
          <w:bCs/>
          <w:sz w:val="28"/>
          <w:szCs w:val="28"/>
        </w:rPr>
      </w:pPr>
    </w:p>
    <w:p w:rsidR="0095042A" w:rsidRPr="002F3D0A" w:rsidRDefault="002F3D0A" w:rsidP="0095042A">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Como punto adicional, la procuradora indicó que la definición del impuesto al patrimonio resulta excesiva pa</w:t>
      </w:r>
      <w:r w:rsidRPr="002F3D0A">
        <w:rPr>
          <w:rFonts w:ascii="Times New Roman" w:hAnsi="Times New Roman" w:cs="Times New Roman"/>
          <w:bCs/>
          <w:sz w:val="28"/>
          <w:szCs w:val="28"/>
        </w:rPr>
        <w:t>ra el contribuyente porque genera una carga tributaria alta que promueve estrategias de elusión y evasión fiscal. En ese sentido, aunque el impuesto se presenta como una contribución relativamente baja (0.5% a 1.5%) termina siendo mucho más grande si es pe</w:t>
      </w:r>
      <w:r w:rsidRPr="002F3D0A">
        <w:rPr>
          <w:rFonts w:ascii="Times New Roman" w:hAnsi="Times New Roman" w:cs="Times New Roman"/>
          <w:bCs/>
          <w:sz w:val="28"/>
          <w:szCs w:val="28"/>
        </w:rPr>
        <w:t>rmanente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y recurrente cada año, y </w:t>
      </w:r>
      <w:r w:rsidRPr="002F3D0A">
        <w:rPr>
          <w:rFonts w:ascii="Times New Roman" w:hAnsi="Times New Roman" w:cs="Times New Roman"/>
          <w:bCs/>
          <w:sz w:val="28"/>
          <w:szCs w:val="28"/>
        </w:rPr>
        <w:t xml:space="preserve">además </w:t>
      </w:r>
      <w:r w:rsidRPr="002F3D0A">
        <w:rPr>
          <w:rFonts w:ascii="Times New Roman" w:hAnsi="Times New Roman" w:cs="Times New Roman"/>
          <w:bCs/>
          <w:sz w:val="28"/>
          <w:szCs w:val="28"/>
        </w:rPr>
        <w:t>se suma con los demás impuesto</w:t>
      </w:r>
      <w:r w:rsidRPr="002F3D0A">
        <w:rPr>
          <w:rFonts w:ascii="Times New Roman" w:hAnsi="Times New Roman" w:cs="Times New Roman"/>
          <w:bCs/>
          <w:sz w:val="28"/>
          <w:szCs w:val="28"/>
        </w:rPr>
        <w:t>s</w:t>
      </w:r>
      <w:r w:rsidRPr="002F3D0A">
        <w:rPr>
          <w:rFonts w:ascii="Times New Roman" w:hAnsi="Times New Roman" w:cs="Times New Roman"/>
          <w:bCs/>
          <w:sz w:val="28"/>
          <w:szCs w:val="28"/>
        </w:rPr>
        <w:t xml:space="preserve"> al patrimonio que se han pagado desde el año 2002 al punto que agotará el patrimonio </w:t>
      </w:r>
      <w:r w:rsidRPr="002F3D0A">
        <w:rPr>
          <w:rFonts w:ascii="Times New Roman" w:hAnsi="Times New Roman" w:cs="Times New Roman"/>
          <w:bCs/>
          <w:sz w:val="28"/>
          <w:szCs w:val="28"/>
        </w:rPr>
        <w:t>de los contribuyentes.</w:t>
      </w:r>
    </w:p>
    <w:p w:rsidR="0095042A" w:rsidRPr="002F3D0A" w:rsidRDefault="002F3D0A" w:rsidP="0095042A">
      <w:pPr>
        <w:pStyle w:val="Prrafodelista"/>
        <w:rPr>
          <w:rFonts w:ascii="Times New Roman" w:hAnsi="Times New Roman" w:cs="Times New Roman"/>
          <w:bCs/>
          <w:sz w:val="28"/>
          <w:szCs w:val="28"/>
        </w:rPr>
      </w:pPr>
    </w:p>
    <w:p w:rsidR="0095042A" w:rsidRPr="002F3D0A" w:rsidRDefault="002F3D0A" w:rsidP="0095042A">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Finalmente, </w:t>
      </w:r>
      <w:r w:rsidRPr="002F3D0A">
        <w:rPr>
          <w:rFonts w:ascii="Times New Roman" w:hAnsi="Times New Roman" w:cs="Times New Roman"/>
          <w:bCs/>
          <w:sz w:val="28"/>
          <w:szCs w:val="28"/>
        </w:rPr>
        <w:t xml:space="preserve">la procuradora indicó que, si bien en otras oportunidades </w:t>
      </w:r>
      <w:r w:rsidRPr="002F3D0A">
        <w:rPr>
          <w:rFonts w:ascii="Times New Roman" w:hAnsi="Times New Roman" w:cs="Times New Roman"/>
          <w:bCs/>
          <w:sz w:val="28"/>
          <w:szCs w:val="28"/>
        </w:rPr>
        <w:t xml:space="preserve">sostuvo que </w:t>
      </w:r>
      <w:r w:rsidRPr="002F3D0A">
        <w:rPr>
          <w:rFonts w:ascii="Times New Roman" w:hAnsi="Times New Roman" w:cs="Times New Roman"/>
          <w:bCs/>
          <w:sz w:val="28"/>
          <w:szCs w:val="28"/>
        </w:rPr>
        <w:t xml:space="preserve">la inclusión de la propiedad inmueble en la base gravable del impuesto al patrimonio no </w:t>
      </w:r>
      <w:r w:rsidRPr="002F3D0A">
        <w:rPr>
          <w:rFonts w:ascii="Times New Roman" w:hAnsi="Times New Roman" w:cs="Times New Roman"/>
          <w:bCs/>
          <w:sz w:val="28"/>
          <w:szCs w:val="28"/>
        </w:rPr>
        <w:t>transgrede</w:t>
      </w:r>
      <w:r w:rsidRPr="002F3D0A">
        <w:rPr>
          <w:rFonts w:ascii="Times New Roman" w:hAnsi="Times New Roman" w:cs="Times New Roman"/>
          <w:bCs/>
          <w:sz w:val="28"/>
          <w:szCs w:val="28"/>
        </w:rPr>
        <w:t>, por si sola, el artículo 317 superior</w:t>
      </w:r>
      <w:r w:rsidRPr="002F3D0A">
        <w:rPr>
          <w:rFonts w:ascii="Times New Roman" w:hAnsi="Times New Roman" w:cs="Times New Roman"/>
          <w:bCs/>
          <w:sz w:val="28"/>
          <w:szCs w:val="28"/>
        </w:rPr>
        <w:t xml:space="preserve"> lo cierto es que</w:t>
      </w:r>
      <w:r w:rsidRPr="002F3D0A">
        <w:rPr>
          <w:rFonts w:ascii="Times New Roman" w:hAnsi="Times New Roman" w:cs="Times New Roman"/>
          <w:bCs/>
          <w:sz w:val="28"/>
          <w:szCs w:val="28"/>
        </w:rPr>
        <w:t xml:space="preserve"> las consecuencias económicas desfavorables que genera el tributo por su carácter permanen</w:t>
      </w:r>
      <w:r w:rsidRPr="002F3D0A">
        <w:rPr>
          <w:rFonts w:ascii="Times New Roman" w:hAnsi="Times New Roman" w:cs="Times New Roman"/>
          <w:bCs/>
          <w:sz w:val="28"/>
          <w:szCs w:val="28"/>
        </w:rPr>
        <w:t xml:space="preserve">te si pueden afectar el propósito de fortalecer las finanzas territoriales que persigue la norma superior. Esto es así porque los municipios son rivales de la Nación y otras entidades territoriales, pues </w:t>
      </w:r>
      <w:r w:rsidRPr="002F3D0A">
        <w:rPr>
          <w:rFonts w:ascii="Times New Roman" w:hAnsi="Times New Roman" w:cs="Times New Roman"/>
          <w:bCs/>
          <w:sz w:val="28"/>
          <w:szCs w:val="28"/>
        </w:rPr>
        <w:t xml:space="preserve">los tributos de los diferentes órdenes recaen sobre </w:t>
      </w:r>
      <w:r w:rsidRPr="002F3D0A">
        <w:rPr>
          <w:rFonts w:ascii="Times New Roman" w:hAnsi="Times New Roman" w:cs="Times New Roman"/>
          <w:bCs/>
          <w:sz w:val="28"/>
          <w:szCs w:val="28"/>
        </w:rPr>
        <w:t>una</w:t>
      </w:r>
      <w:r w:rsidRPr="002F3D0A">
        <w:rPr>
          <w:rFonts w:ascii="Times New Roman" w:hAnsi="Times New Roman" w:cs="Times New Roman"/>
          <w:bCs/>
          <w:sz w:val="28"/>
          <w:szCs w:val="28"/>
        </w:rPr>
        <w:t xml:space="preserve"> sola capacidad contributiva</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que resulta gravad</w:t>
      </w:r>
      <w:r w:rsidRPr="002F3D0A">
        <w:rPr>
          <w:rFonts w:ascii="Times New Roman" w:hAnsi="Times New Roman" w:cs="Times New Roman"/>
          <w:bCs/>
          <w:sz w:val="28"/>
          <w:szCs w:val="28"/>
        </w:rPr>
        <w:t>a</w:t>
      </w:r>
      <w:r w:rsidRPr="002F3D0A">
        <w:rPr>
          <w:rFonts w:ascii="Times New Roman" w:hAnsi="Times New Roman" w:cs="Times New Roman"/>
          <w:bCs/>
          <w:sz w:val="28"/>
          <w:szCs w:val="28"/>
        </w:rPr>
        <w:t xml:space="preserve"> de dife</w:t>
      </w:r>
      <w:r w:rsidRPr="002F3D0A">
        <w:rPr>
          <w:rFonts w:ascii="Times New Roman" w:hAnsi="Times New Roman" w:cs="Times New Roman"/>
          <w:bCs/>
          <w:sz w:val="28"/>
          <w:szCs w:val="28"/>
        </w:rPr>
        <w:t>re</w:t>
      </w:r>
      <w:r w:rsidRPr="002F3D0A">
        <w:rPr>
          <w:rFonts w:ascii="Times New Roman" w:hAnsi="Times New Roman" w:cs="Times New Roman"/>
          <w:bCs/>
          <w:sz w:val="28"/>
          <w:szCs w:val="28"/>
        </w:rPr>
        <w:t>ntes formas. En ese sentido, cualquier imposición sobre la propiedad inmueble afecta potencialmente la principal fuente de financiación de los municipios</w:t>
      </w:r>
      <w:r w:rsidRPr="002F3D0A">
        <w:rPr>
          <w:rFonts w:ascii="Times New Roman" w:hAnsi="Times New Roman" w:cs="Times New Roman"/>
          <w:bCs/>
          <w:sz w:val="28"/>
          <w:szCs w:val="28"/>
        </w:rPr>
        <w:t>: el impuesto predial</w:t>
      </w:r>
      <w:r w:rsidRPr="002F3D0A">
        <w:rPr>
          <w:rFonts w:ascii="Times New Roman" w:hAnsi="Times New Roman" w:cs="Times New Roman"/>
          <w:bCs/>
          <w:sz w:val="28"/>
          <w:szCs w:val="28"/>
        </w:rPr>
        <w:t>. De manera que</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el </w:t>
      </w:r>
      <w:r w:rsidRPr="002F3D0A">
        <w:rPr>
          <w:rFonts w:ascii="Times New Roman" w:hAnsi="Times New Roman" w:cs="Times New Roman"/>
          <w:bCs/>
          <w:sz w:val="28"/>
          <w:szCs w:val="28"/>
        </w:rPr>
        <w:t xml:space="preserve">legislador cuando </w:t>
      </w:r>
      <w:r w:rsidRPr="002F3D0A">
        <w:rPr>
          <w:rFonts w:ascii="Times New Roman" w:hAnsi="Times New Roman" w:cs="Times New Roman"/>
          <w:bCs/>
          <w:sz w:val="28"/>
          <w:szCs w:val="28"/>
        </w:rPr>
        <w:t>impone a</w:t>
      </w:r>
      <w:r w:rsidRPr="002F3D0A">
        <w:rPr>
          <w:rFonts w:ascii="Times New Roman" w:hAnsi="Times New Roman" w:cs="Times New Roman"/>
          <w:bCs/>
          <w:sz w:val="28"/>
          <w:szCs w:val="28"/>
        </w:rPr>
        <w:t xml:space="preserve"> la propiedad inmueble un tributo adicional al impuesto predial extrae parte de la capacidad contributiva del contribuyente para favorecer a la Nación y esa capacidad contributiva podría ser usada por el legislador para crear otro</w:t>
      </w:r>
      <w:r w:rsidRPr="002F3D0A">
        <w:rPr>
          <w:rFonts w:ascii="Times New Roman" w:hAnsi="Times New Roman" w:cs="Times New Roman"/>
          <w:bCs/>
          <w:sz w:val="28"/>
          <w:szCs w:val="28"/>
        </w:rPr>
        <w:t>s tributos en favor de los municipios</w:t>
      </w:r>
      <w:r w:rsidRPr="002F3D0A">
        <w:rPr>
          <w:rFonts w:ascii="Times New Roman" w:hAnsi="Times New Roman" w:cs="Times New Roman"/>
          <w:bCs/>
          <w:sz w:val="28"/>
          <w:szCs w:val="28"/>
        </w:rPr>
        <w:t>.</w:t>
      </w:r>
    </w:p>
    <w:p w:rsidR="00755FCD" w:rsidRPr="002F3D0A" w:rsidRDefault="002F3D0A" w:rsidP="00755FCD">
      <w:pPr>
        <w:pStyle w:val="Prrafodelista"/>
        <w:ind w:left="0"/>
        <w:rPr>
          <w:rFonts w:ascii="Times New Roman" w:hAnsi="Times New Roman" w:cs="Times New Roman"/>
          <w:bCs/>
          <w:sz w:val="28"/>
          <w:szCs w:val="28"/>
        </w:rPr>
      </w:pPr>
    </w:p>
    <w:p w:rsidR="00263D64" w:rsidRPr="002F3D0A" w:rsidRDefault="002F3D0A" w:rsidP="009D5CF8">
      <w:pPr>
        <w:pStyle w:val="Prrafodelista"/>
        <w:ind w:left="0"/>
        <w:rPr>
          <w:rFonts w:ascii="Times New Roman" w:hAnsi="Times New Roman" w:cs="Times New Roman"/>
          <w:b/>
          <w:bCs/>
          <w:color w:val="000000" w:themeColor="text1"/>
          <w:sz w:val="28"/>
          <w:szCs w:val="28"/>
          <w:lang w:val="es-ES"/>
        </w:rPr>
      </w:pPr>
      <w:r w:rsidRPr="002F3D0A">
        <w:rPr>
          <w:rFonts w:ascii="Times New Roman" w:hAnsi="Times New Roman" w:cs="Times New Roman"/>
          <w:b/>
          <w:bCs/>
          <w:color w:val="000000" w:themeColor="text1"/>
          <w:sz w:val="28"/>
          <w:szCs w:val="28"/>
          <w:lang w:val="es-ES"/>
        </w:rPr>
        <w:t xml:space="preserve">VI. </w:t>
      </w:r>
      <w:r w:rsidRPr="002F3D0A">
        <w:rPr>
          <w:rFonts w:ascii="Times New Roman" w:hAnsi="Times New Roman" w:cs="Times New Roman"/>
          <w:b/>
          <w:bCs/>
          <w:color w:val="000000" w:themeColor="text1"/>
          <w:sz w:val="28"/>
          <w:szCs w:val="28"/>
          <w:lang w:val="es-ES"/>
        </w:rPr>
        <w:t>CONSIDERACIONES</w:t>
      </w:r>
    </w:p>
    <w:p w:rsidR="00263D64" w:rsidRPr="002F3D0A" w:rsidRDefault="002F3D0A" w:rsidP="00755FCD">
      <w:pPr>
        <w:pStyle w:val="Sinespaciado"/>
        <w:rPr>
          <w:rFonts w:ascii="Times New Roman" w:hAnsi="Times New Roman"/>
          <w:sz w:val="28"/>
        </w:rPr>
      </w:pPr>
    </w:p>
    <w:p w:rsidR="00263D64" w:rsidRPr="002F3D0A" w:rsidRDefault="002F3D0A" w:rsidP="009D5CF8">
      <w:pPr>
        <w:spacing w:line="360" w:lineRule="atLeast"/>
        <w:rPr>
          <w:rFonts w:ascii="Times New Roman" w:hAnsi="Times New Roman" w:cs="Times New Roman"/>
          <w:b/>
          <w:sz w:val="28"/>
          <w:szCs w:val="28"/>
        </w:rPr>
      </w:pPr>
      <w:r w:rsidRPr="002F3D0A">
        <w:rPr>
          <w:rFonts w:ascii="Times New Roman" w:hAnsi="Times New Roman" w:cs="Times New Roman"/>
          <w:b/>
          <w:sz w:val="28"/>
          <w:szCs w:val="28"/>
        </w:rPr>
        <w:t xml:space="preserve">A. </w:t>
      </w:r>
      <w:r w:rsidRPr="002F3D0A">
        <w:rPr>
          <w:rFonts w:ascii="Times New Roman" w:hAnsi="Times New Roman" w:cs="Times New Roman"/>
          <w:b/>
          <w:sz w:val="28"/>
          <w:szCs w:val="28"/>
        </w:rPr>
        <w:t>Competencia</w:t>
      </w:r>
    </w:p>
    <w:p w:rsidR="00263D64" w:rsidRPr="002F3D0A" w:rsidRDefault="002F3D0A" w:rsidP="00755FCD">
      <w:pPr>
        <w:pStyle w:val="Sinespaciado"/>
        <w:rPr>
          <w:rFonts w:ascii="Times New Roman" w:hAnsi="Times New Roman"/>
          <w:sz w:val="28"/>
        </w:rPr>
      </w:pPr>
    </w:p>
    <w:p w:rsidR="00387EFB" w:rsidRPr="002F3D0A" w:rsidRDefault="002F3D0A" w:rsidP="00387EFB">
      <w:pPr>
        <w:pStyle w:val="Prrafodelista"/>
        <w:numPr>
          <w:ilvl w:val="0"/>
          <w:numId w:val="1"/>
        </w:numPr>
        <w:ind w:left="0" w:firstLine="0"/>
        <w:rPr>
          <w:rFonts w:ascii="Times New Roman" w:hAnsi="Times New Roman" w:cs="Times New Roman"/>
          <w:sz w:val="28"/>
          <w:szCs w:val="28"/>
          <w:lang w:val="es-ES"/>
        </w:rPr>
      </w:pPr>
      <w:r w:rsidRPr="002F3D0A">
        <w:rPr>
          <w:rFonts w:ascii="Times New Roman" w:hAnsi="Times New Roman" w:cs="Times New Roman"/>
          <w:sz w:val="28"/>
          <w:szCs w:val="28"/>
          <w:lang w:val="es-ES"/>
        </w:rPr>
        <w:t xml:space="preserve">De conformidad con lo dispuesto en el artículo 241.4 de la Constitución Política, la Corte es competente para conocer y decidir definitivamente sobre la demanda de </w:t>
      </w:r>
      <w:r w:rsidRPr="002F3D0A">
        <w:rPr>
          <w:rFonts w:ascii="Times New Roman" w:hAnsi="Times New Roman" w:cs="Times New Roman"/>
          <w:sz w:val="28"/>
          <w:szCs w:val="28"/>
          <w:lang w:val="es-ES"/>
        </w:rPr>
        <w:t>inconstitucionalidad</w:t>
      </w:r>
      <w:r w:rsidRPr="002F3D0A">
        <w:rPr>
          <w:rFonts w:ascii="Times New Roman" w:hAnsi="Times New Roman" w:cs="Times New Roman"/>
          <w:sz w:val="28"/>
          <w:szCs w:val="28"/>
          <w:lang w:val="es-ES"/>
        </w:rPr>
        <w:t xml:space="preserve"> en el marco de este proceso</w:t>
      </w:r>
      <w:r w:rsidRPr="002F3D0A">
        <w:rPr>
          <w:rFonts w:ascii="Times New Roman" w:hAnsi="Times New Roman" w:cs="Times New Roman"/>
          <w:sz w:val="28"/>
          <w:szCs w:val="28"/>
          <w:lang w:val="es-ES"/>
        </w:rPr>
        <w:t xml:space="preserve">, dado que </w:t>
      </w:r>
      <w:r w:rsidRPr="002F3D0A">
        <w:rPr>
          <w:rFonts w:ascii="Times New Roman" w:hAnsi="Times New Roman" w:cs="Times New Roman"/>
          <w:sz w:val="28"/>
          <w:szCs w:val="28"/>
          <w:lang w:val="es-ES"/>
        </w:rPr>
        <w:t xml:space="preserve">en ella se </w:t>
      </w:r>
      <w:r w:rsidRPr="002F3D0A">
        <w:rPr>
          <w:rFonts w:ascii="Times New Roman" w:hAnsi="Times New Roman" w:cs="Times New Roman"/>
          <w:sz w:val="28"/>
          <w:szCs w:val="28"/>
          <w:lang w:val="es-ES"/>
        </w:rPr>
        <w:t>cuestionan normas contenidas en una ley de la República</w:t>
      </w:r>
      <w:r w:rsidRPr="002F3D0A">
        <w:rPr>
          <w:rFonts w:ascii="Times New Roman" w:hAnsi="Times New Roman" w:cs="Times New Roman"/>
          <w:bCs/>
          <w:sz w:val="28"/>
          <w:szCs w:val="28"/>
          <w:lang w:val="es-ES"/>
        </w:rPr>
        <w:t>.</w:t>
      </w:r>
    </w:p>
    <w:p w:rsidR="00263D64" w:rsidRPr="002F3D0A" w:rsidRDefault="002F3D0A" w:rsidP="00755FCD">
      <w:pPr>
        <w:pStyle w:val="Sinespaciado"/>
        <w:rPr>
          <w:rFonts w:ascii="Times New Roman" w:hAnsi="Times New Roman"/>
          <w:sz w:val="28"/>
        </w:rPr>
      </w:pPr>
    </w:p>
    <w:p w:rsidR="00252878" w:rsidRPr="002F3D0A" w:rsidRDefault="002F3D0A" w:rsidP="00D95074">
      <w:pPr>
        <w:pStyle w:val="Prrafodelista"/>
        <w:spacing w:line="360" w:lineRule="atLeast"/>
        <w:ind w:left="0"/>
        <w:rPr>
          <w:rFonts w:ascii="Times New Roman" w:hAnsi="Times New Roman" w:cs="Times New Roman"/>
          <w:b/>
          <w:sz w:val="28"/>
          <w:szCs w:val="28"/>
        </w:rPr>
      </w:pPr>
      <w:r w:rsidRPr="002F3D0A">
        <w:rPr>
          <w:rFonts w:ascii="Times New Roman" w:hAnsi="Times New Roman" w:cs="Times New Roman"/>
          <w:b/>
          <w:sz w:val="28"/>
          <w:szCs w:val="28"/>
        </w:rPr>
        <w:t xml:space="preserve">B. </w:t>
      </w:r>
      <w:r w:rsidRPr="002F3D0A">
        <w:rPr>
          <w:rFonts w:ascii="Times New Roman" w:hAnsi="Times New Roman" w:cs="Times New Roman"/>
          <w:b/>
          <w:sz w:val="28"/>
          <w:szCs w:val="28"/>
        </w:rPr>
        <w:t>Primera cuestión previa</w:t>
      </w:r>
      <w:r w:rsidRPr="002F3D0A">
        <w:rPr>
          <w:rFonts w:ascii="Times New Roman" w:hAnsi="Times New Roman" w:cs="Times New Roman"/>
          <w:b/>
          <w:sz w:val="28"/>
          <w:szCs w:val="28"/>
        </w:rPr>
        <w:t>:</w:t>
      </w:r>
      <w:r w:rsidRPr="002F3D0A">
        <w:rPr>
          <w:rFonts w:ascii="Times New Roman" w:hAnsi="Times New Roman" w:cs="Times New Roman"/>
          <w:b/>
          <w:sz w:val="28"/>
          <w:szCs w:val="28"/>
        </w:rPr>
        <w:t xml:space="preserve"> la </w:t>
      </w:r>
      <w:r w:rsidRPr="002F3D0A">
        <w:rPr>
          <w:rFonts w:ascii="Times New Roman" w:hAnsi="Times New Roman" w:cs="Times New Roman"/>
          <w:b/>
          <w:sz w:val="28"/>
          <w:szCs w:val="28"/>
        </w:rPr>
        <w:t>cosa juzga</w:t>
      </w:r>
      <w:r w:rsidRPr="002F3D0A">
        <w:rPr>
          <w:rFonts w:ascii="Times New Roman" w:hAnsi="Times New Roman" w:cs="Times New Roman"/>
          <w:b/>
          <w:sz w:val="28"/>
          <w:szCs w:val="28"/>
        </w:rPr>
        <w:t>da. Reiteración de jurisprudencia</w:t>
      </w:r>
    </w:p>
    <w:p w:rsidR="00014619" w:rsidRPr="002F3D0A" w:rsidRDefault="002F3D0A" w:rsidP="00D95074">
      <w:pPr>
        <w:pStyle w:val="Prrafodelista"/>
        <w:spacing w:line="360" w:lineRule="atLeast"/>
        <w:ind w:left="0"/>
        <w:rPr>
          <w:rFonts w:ascii="Times New Roman" w:hAnsi="Times New Roman" w:cs="Times New Roman"/>
          <w:bCs/>
          <w:sz w:val="28"/>
          <w:szCs w:val="28"/>
        </w:rPr>
      </w:pPr>
    </w:p>
    <w:p w:rsidR="00014619" w:rsidRPr="002F3D0A" w:rsidRDefault="002F3D0A" w:rsidP="00C503B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E</w:t>
      </w:r>
      <w:r w:rsidRPr="002F3D0A">
        <w:rPr>
          <w:rFonts w:ascii="Times New Roman" w:hAnsi="Times New Roman" w:cs="Times New Roman"/>
          <w:bCs/>
          <w:sz w:val="28"/>
          <w:szCs w:val="28"/>
        </w:rPr>
        <w:t xml:space="preserve">l Ministerio de Hacienda y Crédito Público indicó que en relación con el cargo por violación del artículo 317 superior se configura la cosa juzgada material con respecto a lo decidido en las sentencias </w:t>
      </w:r>
      <w:r w:rsidRPr="002F3D0A">
        <w:rPr>
          <w:rFonts w:ascii="Times New Roman" w:hAnsi="Times New Roman" w:cs="Times New Roman"/>
          <w:sz w:val="28"/>
          <w:szCs w:val="28"/>
        </w:rPr>
        <w:t>C-876 de 2002 y C-990 de 2004</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Por lo tanto, como prim</w:t>
      </w:r>
      <w:r w:rsidRPr="002F3D0A">
        <w:rPr>
          <w:rFonts w:ascii="Times New Roman" w:hAnsi="Times New Roman" w:cs="Times New Roman"/>
          <w:bCs/>
          <w:sz w:val="28"/>
          <w:szCs w:val="28"/>
        </w:rPr>
        <w:t xml:space="preserve">era cuestión preliminar </w:t>
      </w:r>
      <w:r w:rsidRPr="002F3D0A">
        <w:rPr>
          <w:rFonts w:ascii="Times New Roman" w:hAnsi="Times New Roman" w:cs="Times New Roman"/>
          <w:sz w:val="28"/>
          <w:szCs w:val="28"/>
        </w:rPr>
        <w:t>pasa la Sala a determinar si en el presente asunto se configura la cosa juzgada.</w:t>
      </w:r>
    </w:p>
    <w:p w:rsidR="00014619" w:rsidRPr="002F3D0A" w:rsidRDefault="002F3D0A" w:rsidP="00014619">
      <w:pPr>
        <w:pStyle w:val="Prrafodelista"/>
        <w:ind w:left="0"/>
        <w:rPr>
          <w:rFonts w:ascii="Times New Roman" w:hAnsi="Times New Roman" w:cs="Times New Roman"/>
          <w:bCs/>
          <w:sz w:val="28"/>
          <w:szCs w:val="28"/>
        </w:rPr>
      </w:pPr>
    </w:p>
    <w:p w:rsidR="004F520E" w:rsidRPr="002F3D0A" w:rsidRDefault="002F3D0A" w:rsidP="004F520E">
      <w:pPr>
        <w:pStyle w:val="Prrafodelista"/>
        <w:numPr>
          <w:ilvl w:val="0"/>
          <w:numId w:val="1"/>
        </w:numPr>
        <w:ind w:left="0" w:firstLine="0"/>
        <w:rPr>
          <w:rFonts w:ascii="Times New Roman" w:hAnsi="Times New Roman" w:cs="Times New Roman"/>
          <w:b/>
          <w:bCs/>
          <w:color w:val="000000" w:themeColor="text1"/>
          <w:sz w:val="28"/>
          <w:szCs w:val="28"/>
          <w:lang w:val="es-ES"/>
        </w:rPr>
      </w:pPr>
      <w:r w:rsidRPr="002F3D0A">
        <w:rPr>
          <w:rFonts w:ascii="Times New Roman" w:hAnsi="Times New Roman" w:cs="Times New Roman"/>
          <w:color w:val="000000" w:themeColor="text1"/>
          <w:sz w:val="28"/>
          <w:szCs w:val="28"/>
          <w:lang w:val="es-ES"/>
        </w:rPr>
        <w:t xml:space="preserve">La cosa juzgada constitucional encuentra sustento en el artículo 243 de la Constitución que dispone que las sentencias que la Corte dicta “en </w:t>
      </w:r>
      <w:r w:rsidRPr="002F3D0A">
        <w:rPr>
          <w:rFonts w:ascii="Times New Roman" w:hAnsi="Times New Roman" w:cs="Times New Roman"/>
          <w:color w:val="000000" w:themeColor="text1"/>
          <w:sz w:val="28"/>
          <w:szCs w:val="28"/>
          <w:lang w:val="es-ES"/>
        </w:rPr>
        <w:t>ejercicio del control jurisdiccional hacen tránsito a cosa juzgada constitucional”, razón por la cual “[n]inguna autoridad podrá reproducir el contenido material del acto jurídico declarado inexequible por razones de fondo, mientras subsistan en la Carta l</w:t>
      </w:r>
      <w:r w:rsidRPr="002F3D0A">
        <w:rPr>
          <w:rFonts w:ascii="Times New Roman" w:hAnsi="Times New Roman" w:cs="Times New Roman"/>
          <w:color w:val="000000" w:themeColor="text1"/>
          <w:sz w:val="28"/>
          <w:szCs w:val="28"/>
          <w:lang w:val="es-ES"/>
        </w:rPr>
        <w:t>as disposiciones que sirvieron para hacer la confrontación entre la norma ordinaria y la Constitución”</w:t>
      </w:r>
      <w:r w:rsidRPr="002F3D0A">
        <w:rPr>
          <w:rStyle w:val="Refdenotaalpie"/>
          <w:rFonts w:ascii="Times New Roman" w:hAnsi="Times New Roman" w:cs="Times New Roman"/>
          <w:color w:val="000000" w:themeColor="text1"/>
          <w:sz w:val="28"/>
          <w:szCs w:val="28"/>
          <w:lang w:val="es-ES"/>
        </w:rPr>
        <w:footnoteReference w:id="11"/>
      </w:r>
      <w:r w:rsidRPr="002F3D0A">
        <w:rPr>
          <w:rFonts w:ascii="Times New Roman" w:hAnsi="Times New Roman" w:cs="Times New Roman"/>
          <w:color w:val="000000" w:themeColor="text1"/>
          <w:sz w:val="28"/>
          <w:szCs w:val="28"/>
          <w:lang w:val="es-ES"/>
        </w:rPr>
        <w:t>. Por su parte, los artículos 48 de la Ley Estatutaria 270 de 1996 y 21 del Decreto Ley 2067 de 1991 señalan que todas las sentencias que profiera la Cor</w:t>
      </w:r>
      <w:r w:rsidRPr="002F3D0A">
        <w:rPr>
          <w:rFonts w:ascii="Times New Roman" w:hAnsi="Times New Roman" w:cs="Times New Roman"/>
          <w:color w:val="000000" w:themeColor="text1"/>
          <w:sz w:val="28"/>
          <w:szCs w:val="28"/>
          <w:lang w:val="es-ES"/>
        </w:rPr>
        <w:t>te en ejercicio de sus competencias de control abstracto “son definitivas, de obligatorio cumplimiento y tienen efectos [generales]”</w:t>
      </w:r>
      <w:r w:rsidRPr="002F3D0A">
        <w:rPr>
          <w:rStyle w:val="Refdenotaalpie"/>
          <w:rFonts w:ascii="Times New Roman" w:hAnsi="Times New Roman" w:cs="Times New Roman"/>
          <w:color w:val="000000" w:themeColor="text1"/>
          <w:sz w:val="28"/>
          <w:szCs w:val="28"/>
          <w:lang w:val="es-ES"/>
        </w:rPr>
        <w:footnoteReference w:id="12"/>
      </w:r>
      <w:r w:rsidRPr="002F3D0A">
        <w:rPr>
          <w:rFonts w:ascii="Times New Roman" w:hAnsi="Times New Roman" w:cs="Times New Roman"/>
          <w:color w:val="000000" w:themeColor="text1"/>
          <w:sz w:val="28"/>
          <w:szCs w:val="28"/>
          <w:lang w:val="es-ES"/>
        </w:rPr>
        <w:t>. Por esas razones, en principio, la Sala Plena no puede pronunciarse sobre un asunto debatido y fallado con anterioridad.</w:t>
      </w:r>
    </w:p>
    <w:p w:rsidR="004F520E" w:rsidRPr="002F3D0A" w:rsidRDefault="002F3D0A" w:rsidP="004F520E">
      <w:pPr>
        <w:pStyle w:val="Prrafodelista"/>
        <w:ind w:left="0" w:hanging="11"/>
        <w:rPr>
          <w:rFonts w:ascii="Times New Roman" w:hAnsi="Times New Roman" w:cs="Times New Roman"/>
          <w:color w:val="000000" w:themeColor="text1"/>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b/>
          <w:bCs/>
          <w:color w:val="000000" w:themeColor="text1"/>
          <w:sz w:val="28"/>
          <w:szCs w:val="28"/>
          <w:lang w:val="es-ES"/>
        </w:rPr>
      </w:pPr>
      <w:r w:rsidRPr="002F3D0A">
        <w:rPr>
          <w:rFonts w:ascii="Times New Roman" w:hAnsi="Times New Roman" w:cs="Times New Roman"/>
          <w:color w:val="000000" w:themeColor="text1"/>
          <w:sz w:val="28"/>
          <w:szCs w:val="28"/>
          <w:lang w:val="es-ES"/>
        </w:rPr>
        <w:t>En las sentencias C-101 de 2022 y C-227 de 2023, la Sala reiteró que, para determinar si se configura la cosa juzgada, existen tres parámetros que deben concurrir en cada caso concreto. Primero, que la demanda proponga estudiar el mismo contenido normativ</w:t>
      </w:r>
      <w:r w:rsidRPr="002F3D0A">
        <w:rPr>
          <w:rFonts w:ascii="Times New Roman" w:hAnsi="Times New Roman" w:cs="Times New Roman"/>
          <w:color w:val="000000" w:themeColor="text1"/>
          <w:sz w:val="28"/>
          <w:szCs w:val="28"/>
          <w:lang w:val="es-ES"/>
        </w:rPr>
        <w:t xml:space="preserve">o de una proposición jurídica ya estudiada en una sentencia anterior. Segundo, que se presenten los mismos argumentos o cuestionamientos en el fallo antecedente. </w:t>
      </w:r>
      <w:r w:rsidRPr="002F3D0A">
        <w:rPr>
          <w:rFonts w:ascii="Times New Roman" w:hAnsi="Times New Roman" w:cs="Times New Roman"/>
          <w:sz w:val="28"/>
          <w:szCs w:val="28"/>
          <w:shd w:val="clear" w:color="auto" w:fill="FFFFFF"/>
          <w:lang w:val="es-ES"/>
        </w:rPr>
        <w:t>Sin embargo, en este criterio se debe precisar que en el caso del control automático e integra</w:t>
      </w:r>
      <w:r w:rsidRPr="002F3D0A">
        <w:rPr>
          <w:rFonts w:ascii="Times New Roman" w:hAnsi="Times New Roman" w:cs="Times New Roman"/>
          <w:sz w:val="28"/>
          <w:szCs w:val="28"/>
          <w:shd w:val="clear" w:color="auto" w:fill="FFFFFF"/>
          <w:lang w:val="es-ES"/>
        </w:rPr>
        <w:t xml:space="preserve">l no se tienen en cuenta los argumentos planteados, dado que, en general, la decisión que allí se toma hace tránsito a cosa juzgada absoluta. </w:t>
      </w:r>
      <w:r w:rsidRPr="002F3D0A">
        <w:rPr>
          <w:rFonts w:ascii="Times New Roman" w:hAnsi="Times New Roman" w:cs="Times New Roman"/>
          <w:color w:val="000000" w:themeColor="text1"/>
          <w:sz w:val="28"/>
          <w:szCs w:val="28"/>
          <w:lang w:val="es-ES"/>
        </w:rPr>
        <w:t>Tercero, que no haya variado el parámetro normativo de control</w:t>
      </w:r>
      <w:r w:rsidRPr="002F3D0A">
        <w:rPr>
          <w:rStyle w:val="Refdenotaalpie"/>
          <w:rFonts w:ascii="Times New Roman" w:hAnsi="Times New Roman" w:cs="Times New Roman"/>
          <w:color w:val="000000" w:themeColor="text1"/>
          <w:sz w:val="28"/>
          <w:szCs w:val="28"/>
          <w:lang w:val="es-ES"/>
        </w:rPr>
        <w:footnoteReference w:id="13"/>
      </w:r>
      <w:r w:rsidRPr="002F3D0A">
        <w:rPr>
          <w:rFonts w:ascii="Times New Roman" w:hAnsi="Times New Roman" w:cs="Times New Roman"/>
          <w:color w:val="000000" w:themeColor="text1"/>
          <w:sz w:val="28"/>
          <w:szCs w:val="28"/>
          <w:lang w:val="es-ES"/>
        </w:rPr>
        <w:t xml:space="preserve">. </w:t>
      </w:r>
    </w:p>
    <w:p w:rsidR="004F520E" w:rsidRPr="002F3D0A" w:rsidRDefault="002F3D0A" w:rsidP="004F520E">
      <w:pPr>
        <w:pStyle w:val="Prrafodelista"/>
        <w:ind w:left="0" w:hanging="11"/>
        <w:rPr>
          <w:rFonts w:ascii="Times New Roman" w:hAnsi="Times New Roman" w:cs="Times New Roman"/>
          <w:color w:val="000000" w:themeColor="text1"/>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b/>
          <w:bCs/>
          <w:color w:val="000000" w:themeColor="text1"/>
          <w:sz w:val="28"/>
          <w:szCs w:val="28"/>
          <w:lang w:val="es-ES"/>
        </w:rPr>
      </w:pPr>
      <w:r w:rsidRPr="002F3D0A">
        <w:rPr>
          <w:rFonts w:ascii="Times New Roman" w:hAnsi="Times New Roman" w:cs="Times New Roman"/>
          <w:color w:val="000000" w:themeColor="text1"/>
          <w:sz w:val="28"/>
          <w:szCs w:val="28"/>
          <w:lang w:val="es-ES"/>
        </w:rPr>
        <w:t>La jurisprudencia de esta Corporación desarroll</w:t>
      </w:r>
      <w:r w:rsidRPr="002F3D0A">
        <w:rPr>
          <w:rFonts w:ascii="Times New Roman" w:hAnsi="Times New Roman" w:cs="Times New Roman"/>
          <w:color w:val="000000" w:themeColor="text1"/>
          <w:sz w:val="28"/>
          <w:szCs w:val="28"/>
          <w:lang w:val="es-ES"/>
        </w:rPr>
        <w:t>ó una tipología de esta figura con el fin de identificar su configuración en casos concretos, así como su alcance</w:t>
      </w:r>
      <w:r w:rsidRPr="002F3D0A">
        <w:rPr>
          <w:rStyle w:val="Refdenotaalpie"/>
          <w:rFonts w:ascii="Times New Roman" w:hAnsi="Times New Roman" w:cs="Times New Roman"/>
          <w:color w:val="000000" w:themeColor="text1"/>
          <w:sz w:val="28"/>
          <w:szCs w:val="28"/>
          <w:lang w:val="es-ES"/>
        </w:rPr>
        <w:footnoteReference w:id="14"/>
      </w:r>
      <w:r w:rsidRPr="002F3D0A">
        <w:rPr>
          <w:rFonts w:ascii="Times New Roman" w:hAnsi="Times New Roman" w:cs="Times New Roman"/>
          <w:color w:val="000000" w:themeColor="text1"/>
          <w:sz w:val="28"/>
          <w:szCs w:val="28"/>
          <w:lang w:val="es-ES"/>
        </w:rPr>
        <w:t>. En la sentencia C-039 de 2021, la Corte hizo un recuento de los diferentes tipos de cosa juzgada constitucional</w:t>
      </w:r>
      <w:r w:rsidRPr="002F3D0A">
        <w:rPr>
          <w:rStyle w:val="Refdenotaalpie"/>
          <w:rFonts w:ascii="Times New Roman" w:hAnsi="Times New Roman" w:cs="Times New Roman"/>
          <w:color w:val="000000" w:themeColor="text1"/>
          <w:sz w:val="28"/>
          <w:szCs w:val="28"/>
          <w:lang w:val="es-ES"/>
        </w:rPr>
        <w:footnoteReference w:id="15"/>
      </w:r>
      <w:r w:rsidRPr="002F3D0A">
        <w:rPr>
          <w:rFonts w:ascii="Times New Roman" w:hAnsi="Times New Roman" w:cs="Times New Roman"/>
          <w:color w:val="000000" w:themeColor="text1"/>
          <w:sz w:val="28"/>
          <w:szCs w:val="28"/>
          <w:lang w:val="es-ES"/>
        </w:rPr>
        <w:t>. En primer lugar, existe la</w:t>
      </w:r>
      <w:r w:rsidRPr="002F3D0A">
        <w:rPr>
          <w:rFonts w:ascii="Times New Roman" w:hAnsi="Times New Roman" w:cs="Times New Roman"/>
          <w:color w:val="000000" w:themeColor="text1"/>
          <w:sz w:val="28"/>
          <w:szCs w:val="28"/>
          <w:lang w:val="es-ES"/>
        </w:rPr>
        <w:t xml:space="preserve"> cosa juzgada formal que opera cuando la Sala Plena ya se pronunció sobre la disposición demandada y que trae como consecuencia que la Corte Constitucional deba estarse a lo resuelto en la sentencia previa. En segundo lugar, existe la cosa juzgada material</w:t>
      </w:r>
      <w:r w:rsidRPr="002F3D0A">
        <w:rPr>
          <w:rFonts w:ascii="Times New Roman" w:hAnsi="Times New Roman" w:cs="Times New Roman"/>
          <w:color w:val="000000" w:themeColor="text1"/>
          <w:sz w:val="28"/>
          <w:szCs w:val="28"/>
          <w:lang w:val="es-ES"/>
        </w:rPr>
        <w:t xml:space="preserve"> que se presenta cuando se acusa una disposición que es formalmente distinta, pero que tiene un contenido normativo idéntico al de otra que ya fue controlada por esta Corporación en sede de control de constitucionalidad</w:t>
      </w:r>
      <w:r w:rsidRPr="002F3D0A">
        <w:rPr>
          <w:rStyle w:val="Refdenotaalpie"/>
          <w:rFonts w:ascii="Times New Roman" w:hAnsi="Times New Roman" w:cs="Times New Roman"/>
          <w:color w:val="000000" w:themeColor="text1"/>
          <w:sz w:val="28"/>
          <w:szCs w:val="28"/>
          <w:lang w:val="es-ES"/>
        </w:rPr>
        <w:footnoteReference w:id="16"/>
      </w:r>
      <w:r w:rsidRPr="002F3D0A">
        <w:rPr>
          <w:rFonts w:ascii="Times New Roman" w:hAnsi="Times New Roman" w:cs="Times New Roman"/>
          <w:color w:val="000000" w:themeColor="text1"/>
          <w:sz w:val="28"/>
          <w:szCs w:val="28"/>
          <w:lang w:val="es-ES"/>
        </w:rPr>
        <w:t>. Desde esa perspectiva, para defini</w:t>
      </w:r>
      <w:r w:rsidRPr="002F3D0A">
        <w:rPr>
          <w:rFonts w:ascii="Times New Roman" w:hAnsi="Times New Roman" w:cs="Times New Roman"/>
          <w:color w:val="000000" w:themeColor="text1"/>
          <w:sz w:val="28"/>
          <w:szCs w:val="28"/>
          <w:lang w:val="es-ES"/>
        </w:rPr>
        <w:t>r si en un caso concreto se genera la cosa juzgada material, hay que evaluar si existe una decisión de constitucionalidad anterior sobre una regla de derecho idéntica, pero contenida en distintas disposiciones jurídicas y, luego, determinar cuál es el nive</w:t>
      </w:r>
      <w:r w:rsidRPr="002F3D0A">
        <w:rPr>
          <w:rFonts w:ascii="Times New Roman" w:hAnsi="Times New Roman" w:cs="Times New Roman"/>
          <w:color w:val="000000" w:themeColor="text1"/>
          <w:sz w:val="28"/>
          <w:szCs w:val="28"/>
          <w:lang w:val="es-ES"/>
        </w:rPr>
        <w:t>l de “similitud entre los cargos del pasado y del presente y el análisis constitucional de fondo sobre la proposición jurídica”</w:t>
      </w:r>
      <w:r w:rsidRPr="002F3D0A">
        <w:rPr>
          <w:rStyle w:val="Refdenotaalpie"/>
          <w:rFonts w:ascii="Times New Roman" w:hAnsi="Times New Roman" w:cs="Times New Roman"/>
          <w:color w:val="000000" w:themeColor="text1"/>
          <w:sz w:val="28"/>
          <w:szCs w:val="28"/>
          <w:lang w:val="es-ES"/>
        </w:rPr>
        <w:footnoteReference w:id="17"/>
      </w:r>
      <w:r w:rsidRPr="002F3D0A">
        <w:rPr>
          <w:rFonts w:ascii="Times New Roman" w:hAnsi="Times New Roman" w:cs="Times New Roman"/>
          <w:color w:val="000000" w:themeColor="text1"/>
          <w:sz w:val="28"/>
          <w:szCs w:val="28"/>
          <w:lang w:val="es-ES"/>
        </w:rPr>
        <w:t xml:space="preserve">. En efecto, para que se configure ese fenómeno, es necesario que exista “identidad de </w:t>
      </w:r>
      <w:r w:rsidRPr="002F3D0A">
        <w:rPr>
          <w:rFonts w:ascii="Times New Roman" w:hAnsi="Times New Roman" w:cs="Times New Roman"/>
          <w:i/>
          <w:iCs/>
          <w:color w:val="000000" w:themeColor="text1"/>
          <w:sz w:val="28"/>
          <w:szCs w:val="28"/>
          <w:lang w:val="es-ES"/>
        </w:rPr>
        <w:t>causa petendi</w:t>
      </w:r>
      <w:r w:rsidRPr="002F3D0A">
        <w:rPr>
          <w:rFonts w:ascii="Times New Roman" w:hAnsi="Times New Roman" w:cs="Times New Roman"/>
          <w:color w:val="000000" w:themeColor="text1"/>
          <w:sz w:val="28"/>
          <w:szCs w:val="28"/>
          <w:lang w:val="es-ES"/>
        </w:rPr>
        <w:t>”</w:t>
      </w:r>
      <w:r w:rsidRPr="002F3D0A">
        <w:rPr>
          <w:rStyle w:val="Refdenotaalpie"/>
          <w:rFonts w:ascii="Times New Roman" w:hAnsi="Times New Roman" w:cs="Times New Roman"/>
          <w:color w:val="000000" w:themeColor="text1"/>
          <w:sz w:val="28"/>
          <w:szCs w:val="28"/>
          <w:lang w:val="es-ES"/>
        </w:rPr>
        <w:footnoteReference w:id="18"/>
      </w:r>
      <w:r w:rsidRPr="002F3D0A">
        <w:rPr>
          <w:rFonts w:ascii="Times New Roman" w:hAnsi="Times New Roman" w:cs="Times New Roman"/>
          <w:color w:val="000000" w:themeColor="text1"/>
          <w:sz w:val="28"/>
          <w:szCs w:val="28"/>
          <w:lang w:val="es-ES"/>
        </w:rPr>
        <w:t xml:space="preserve">. </w:t>
      </w:r>
    </w:p>
    <w:p w:rsidR="004F520E" w:rsidRPr="002F3D0A" w:rsidRDefault="002F3D0A" w:rsidP="004F520E">
      <w:pPr>
        <w:pStyle w:val="Prrafodelista"/>
        <w:ind w:left="0" w:hanging="11"/>
        <w:rPr>
          <w:rFonts w:ascii="Times New Roman" w:hAnsi="Times New Roman" w:cs="Times New Roman"/>
          <w:color w:val="000000" w:themeColor="text1"/>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b/>
          <w:bCs/>
          <w:color w:val="000000" w:themeColor="text1"/>
          <w:sz w:val="28"/>
          <w:szCs w:val="28"/>
          <w:lang w:val="es-ES"/>
        </w:rPr>
      </w:pPr>
      <w:r w:rsidRPr="002F3D0A">
        <w:rPr>
          <w:rFonts w:ascii="Times New Roman" w:hAnsi="Times New Roman" w:cs="Times New Roman"/>
          <w:color w:val="000000" w:themeColor="text1"/>
          <w:sz w:val="28"/>
          <w:szCs w:val="28"/>
          <w:lang w:val="es-ES"/>
        </w:rPr>
        <w:t>En tercer lugar, la Sa</w:t>
      </w:r>
      <w:r w:rsidRPr="002F3D0A">
        <w:rPr>
          <w:rFonts w:ascii="Times New Roman" w:hAnsi="Times New Roman" w:cs="Times New Roman"/>
          <w:color w:val="000000" w:themeColor="text1"/>
          <w:sz w:val="28"/>
          <w:szCs w:val="28"/>
          <w:lang w:val="es-ES"/>
        </w:rPr>
        <w:t>la distingue la cosa juzgada absoluta de la relativa y de la aparente. La absoluta se presenta cuando, en la sentencia previa, la Sala Plena no limitó el pronunciamiento de constitucionalidad sobre el enunciado normativo analizado a unos cargos determinado</w:t>
      </w:r>
      <w:r w:rsidRPr="002F3D0A">
        <w:rPr>
          <w:rFonts w:ascii="Times New Roman" w:hAnsi="Times New Roman" w:cs="Times New Roman"/>
          <w:color w:val="000000" w:themeColor="text1"/>
          <w:sz w:val="28"/>
          <w:szCs w:val="28"/>
          <w:lang w:val="es-ES"/>
        </w:rPr>
        <w:t>s, de manera que esa disposición no puede ser examinada nuevamente, pues se entiende que el control de constitucionalidad se ejerció respecto a la integralidad de la Constitución. La cosa juzgada absoluta también se presenta cuando la Corte declara la inex</w:t>
      </w:r>
      <w:r w:rsidRPr="002F3D0A">
        <w:rPr>
          <w:rFonts w:ascii="Times New Roman" w:hAnsi="Times New Roman" w:cs="Times New Roman"/>
          <w:color w:val="000000" w:themeColor="text1"/>
          <w:sz w:val="28"/>
          <w:szCs w:val="28"/>
          <w:lang w:val="es-ES"/>
        </w:rPr>
        <w:t>equibilidad de una norma jurídica</w:t>
      </w:r>
      <w:r w:rsidRPr="002F3D0A">
        <w:rPr>
          <w:rStyle w:val="Refdenotaalpie"/>
          <w:rFonts w:ascii="Times New Roman" w:hAnsi="Times New Roman" w:cs="Times New Roman"/>
          <w:color w:val="000000" w:themeColor="text1"/>
          <w:sz w:val="28"/>
          <w:szCs w:val="28"/>
          <w:lang w:val="es-ES"/>
        </w:rPr>
        <w:footnoteReference w:id="19"/>
      </w:r>
      <w:r w:rsidRPr="002F3D0A">
        <w:rPr>
          <w:rFonts w:ascii="Times New Roman" w:hAnsi="Times New Roman" w:cs="Times New Roman"/>
          <w:color w:val="000000" w:themeColor="text1"/>
          <w:sz w:val="28"/>
          <w:szCs w:val="28"/>
          <w:lang w:val="es-ES"/>
        </w:rPr>
        <w:t xml:space="preserve">. Por el contrario, la cosa juzgada relativa opera cuando, de forma explícita o implícita, la Sala Plena restringió los efectos de su decisión a los cargos analizados, razón por la cual es posible un nuevo pronunciamiento </w:t>
      </w:r>
      <w:r w:rsidRPr="002F3D0A">
        <w:rPr>
          <w:rFonts w:ascii="Times New Roman" w:hAnsi="Times New Roman" w:cs="Times New Roman"/>
          <w:color w:val="000000" w:themeColor="text1"/>
          <w:sz w:val="28"/>
          <w:szCs w:val="28"/>
          <w:lang w:val="es-ES"/>
        </w:rPr>
        <w:t>sobre la disposición en caso de que la misma sea acusada por cargos nuevos, distintos a los ya examinados. Por su lado, la cosa juzgada aparente se configura cuando, a pesar de haberse proferido “una decisión en la parte resolutiva declarando la exequibili</w:t>
      </w:r>
      <w:r w:rsidRPr="002F3D0A">
        <w:rPr>
          <w:rFonts w:ascii="Times New Roman" w:hAnsi="Times New Roman" w:cs="Times New Roman"/>
          <w:color w:val="000000" w:themeColor="text1"/>
          <w:sz w:val="28"/>
          <w:szCs w:val="28"/>
          <w:lang w:val="es-ES"/>
        </w:rPr>
        <w:t>dad, en realidad no se efectuó análisis alguno de constitucionalidad”</w:t>
      </w:r>
      <w:r w:rsidRPr="002F3D0A">
        <w:rPr>
          <w:rStyle w:val="Refdenotaalpie"/>
          <w:rFonts w:ascii="Times New Roman" w:hAnsi="Times New Roman" w:cs="Times New Roman"/>
          <w:color w:val="000000" w:themeColor="text1"/>
          <w:sz w:val="28"/>
          <w:szCs w:val="28"/>
          <w:lang w:val="es-ES"/>
        </w:rPr>
        <w:footnoteReference w:id="20"/>
      </w:r>
      <w:r w:rsidRPr="002F3D0A">
        <w:rPr>
          <w:rFonts w:ascii="Times New Roman" w:hAnsi="Times New Roman" w:cs="Times New Roman"/>
          <w:color w:val="000000" w:themeColor="text1"/>
          <w:sz w:val="28"/>
          <w:szCs w:val="28"/>
          <w:lang w:val="es-ES"/>
        </w:rPr>
        <w:t xml:space="preserve"> de forma que la Corte puede pronunciarse de fondo sobre la disposición respectiva</w:t>
      </w:r>
      <w:r w:rsidRPr="002F3D0A">
        <w:rPr>
          <w:rStyle w:val="Refdenotaalpie"/>
          <w:rFonts w:ascii="Times New Roman" w:hAnsi="Times New Roman" w:cs="Times New Roman"/>
          <w:color w:val="000000" w:themeColor="text1"/>
          <w:sz w:val="28"/>
          <w:szCs w:val="28"/>
          <w:lang w:val="es-ES"/>
        </w:rPr>
        <w:footnoteReference w:id="21"/>
      </w:r>
      <w:r w:rsidRPr="002F3D0A">
        <w:rPr>
          <w:rFonts w:ascii="Times New Roman" w:hAnsi="Times New Roman" w:cs="Times New Roman"/>
          <w:color w:val="000000" w:themeColor="text1"/>
          <w:sz w:val="28"/>
          <w:szCs w:val="28"/>
          <w:lang w:val="es-ES"/>
        </w:rPr>
        <w:t xml:space="preserve">.  </w:t>
      </w:r>
    </w:p>
    <w:p w:rsidR="004F520E" w:rsidRPr="002F3D0A" w:rsidRDefault="002F3D0A" w:rsidP="004F520E">
      <w:pPr>
        <w:pStyle w:val="Prrafodelista"/>
        <w:ind w:left="0" w:right="-232"/>
        <w:rPr>
          <w:rFonts w:ascii="Times New Roman" w:hAnsi="Times New Roman" w:cs="Times New Roman"/>
          <w:b/>
          <w:bCs/>
          <w:color w:val="000000" w:themeColor="text1"/>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b/>
          <w:bCs/>
          <w:color w:val="000000" w:themeColor="text1"/>
          <w:sz w:val="28"/>
          <w:szCs w:val="28"/>
          <w:lang w:val="es-ES"/>
        </w:rPr>
      </w:pPr>
      <w:r w:rsidRPr="002F3D0A">
        <w:rPr>
          <w:rFonts w:ascii="Times New Roman" w:hAnsi="Times New Roman" w:cs="Times New Roman"/>
          <w:sz w:val="28"/>
          <w:szCs w:val="28"/>
          <w:lang w:val="es-ES"/>
        </w:rPr>
        <w:t>De otra parte, la Corte diferencia los efectos de la cosa juzgada constitucional material y de la cosa juzgada formal dependiendo de si su decisión es de exequibilidad o inexequibilidad</w:t>
      </w:r>
      <w:r w:rsidRPr="002F3D0A">
        <w:rPr>
          <w:rStyle w:val="Refdenotaalpie"/>
          <w:rFonts w:ascii="Times New Roman" w:hAnsi="Times New Roman" w:cs="Times New Roman"/>
          <w:sz w:val="28"/>
          <w:szCs w:val="28"/>
          <w:lang w:val="es-ES"/>
        </w:rPr>
        <w:footnoteReference w:id="22"/>
      </w:r>
      <w:r w:rsidRPr="002F3D0A">
        <w:rPr>
          <w:rFonts w:ascii="Times New Roman" w:hAnsi="Times New Roman" w:cs="Times New Roman"/>
          <w:sz w:val="28"/>
          <w:szCs w:val="28"/>
          <w:lang w:val="es-ES"/>
        </w:rPr>
        <w:t>. En el caso de que la norma sea declarada conforme a la Constitución,</w:t>
      </w:r>
      <w:r w:rsidRPr="002F3D0A">
        <w:rPr>
          <w:rFonts w:ascii="Times New Roman" w:hAnsi="Times New Roman" w:cs="Times New Roman"/>
          <w:sz w:val="28"/>
          <w:szCs w:val="28"/>
          <w:lang w:val="es-ES"/>
        </w:rPr>
        <w:t xml:space="preserve"> se presentan varias situaciones</w:t>
      </w:r>
      <w:r w:rsidRPr="002F3D0A">
        <w:rPr>
          <w:rStyle w:val="Refdenotaalpie"/>
          <w:rFonts w:ascii="Times New Roman" w:hAnsi="Times New Roman" w:cs="Times New Roman"/>
          <w:sz w:val="28"/>
          <w:szCs w:val="28"/>
          <w:lang w:val="es-ES"/>
        </w:rPr>
        <w:footnoteReference w:id="23"/>
      </w:r>
      <w:r w:rsidRPr="002F3D0A">
        <w:rPr>
          <w:rFonts w:ascii="Times New Roman" w:hAnsi="Times New Roman" w:cs="Times New Roman"/>
          <w:sz w:val="28"/>
          <w:szCs w:val="28"/>
          <w:lang w:val="es-ES"/>
        </w:rPr>
        <w:t xml:space="preserve">: (i) la intangibilidad del fallo puede limitarse de manera expresa o implícita por la Corte, como se indicó mediante la cosa juzgada relativa; (ii) su declaratoria brinda seguridad jurídica a los operadores jurídicos para </w:t>
      </w:r>
      <w:r w:rsidRPr="002F3D0A">
        <w:rPr>
          <w:rFonts w:ascii="Times New Roman" w:hAnsi="Times New Roman" w:cs="Times New Roman"/>
          <w:sz w:val="28"/>
          <w:szCs w:val="28"/>
          <w:lang w:val="es-ES"/>
        </w:rPr>
        <w:t>que continúen aplicando la disposición; y (iii) la competencia de la Corte para estudiar una nueva demanda contra ese mismo precepto o uno nuevo que reproduzca el mismo contenido normativo por razones similares podría llevarse a cabo únicamente ante el deb</w:t>
      </w:r>
      <w:r w:rsidRPr="002F3D0A">
        <w:rPr>
          <w:rFonts w:ascii="Times New Roman" w:hAnsi="Times New Roman" w:cs="Times New Roman"/>
          <w:sz w:val="28"/>
          <w:szCs w:val="28"/>
          <w:lang w:val="es-ES"/>
        </w:rPr>
        <w:t>ilitamiento de la cosa juzgada</w:t>
      </w:r>
      <w:r w:rsidRPr="002F3D0A">
        <w:rPr>
          <w:rStyle w:val="Refdenotaalpie"/>
          <w:rFonts w:ascii="Times New Roman" w:hAnsi="Times New Roman" w:cs="Times New Roman"/>
          <w:sz w:val="28"/>
          <w:szCs w:val="28"/>
          <w:lang w:val="es-ES"/>
        </w:rPr>
        <w:footnoteReference w:id="24"/>
      </w:r>
      <w:r w:rsidRPr="002F3D0A">
        <w:rPr>
          <w:rFonts w:ascii="Times New Roman" w:hAnsi="Times New Roman" w:cs="Times New Roman"/>
          <w:sz w:val="28"/>
          <w:szCs w:val="28"/>
          <w:lang w:val="es-ES"/>
        </w:rPr>
        <w:t xml:space="preserve">, lo que ocurre con la modificación de la norma constitucional en la que se apoyaba, el cambio en la significación material de la Constitución y la variación del contexto jurídico, social o económico en el que fue objeto del </w:t>
      </w:r>
      <w:r w:rsidRPr="002F3D0A">
        <w:rPr>
          <w:rFonts w:ascii="Times New Roman" w:hAnsi="Times New Roman" w:cs="Times New Roman"/>
          <w:sz w:val="28"/>
          <w:szCs w:val="28"/>
          <w:lang w:val="es-ES"/>
        </w:rPr>
        <w:t>control de constitucionalidad</w:t>
      </w:r>
      <w:r w:rsidRPr="002F3D0A">
        <w:rPr>
          <w:rStyle w:val="Refdenotaalpie"/>
          <w:rFonts w:ascii="Times New Roman" w:hAnsi="Times New Roman" w:cs="Times New Roman"/>
          <w:sz w:val="28"/>
          <w:szCs w:val="28"/>
          <w:lang w:val="es-ES"/>
        </w:rPr>
        <w:footnoteReference w:id="25"/>
      </w:r>
      <w:r w:rsidRPr="002F3D0A">
        <w:rPr>
          <w:rFonts w:ascii="Times New Roman" w:hAnsi="Times New Roman" w:cs="Times New Roman"/>
          <w:sz w:val="28"/>
          <w:szCs w:val="28"/>
          <w:lang w:val="es-ES"/>
        </w:rPr>
        <w:t xml:space="preserve">. </w:t>
      </w:r>
    </w:p>
    <w:p w:rsidR="004F520E" w:rsidRPr="002F3D0A" w:rsidRDefault="002F3D0A" w:rsidP="004F520E">
      <w:pPr>
        <w:pStyle w:val="Prrafodelista"/>
        <w:rPr>
          <w:rFonts w:ascii="Times New Roman" w:hAnsi="Times New Roman" w:cs="Times New Roman"/>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sz w:val="28"/>
          <w:szCs w:val="28"/>
          <w:lang w:val="es-ES"/>
        </w:rPr>
      </w:pPr>
      <w:r w:rsidRPr="002F3D0A">
        <w:rPr>
          <w:rFonts w:ascii="Times New Roman" w:hAnsi="Times New Roman" w:cs="Times New Roman"/>
          <w:sz w:val="28"/>
          <w:szCs w:val="28"/>
          <w:lang w:val="es-ES"/>
        </w:rPr>
        <w:t>Por ello, cuando la decisión previa es de exequibilidad -simple o condicionada-, se aplican las siguientes reglas. Primero, si se configura una cosa juzgada formal y no existen razones que la debiliten, la Corte debe estar</w:t>
      </w:r>
      <w:r w:rsidRPr="002F3D0A">
        <w:rPr>
          <w:rFonts w:ascii="Times New Roman" w:hAnsi="Times New Roman" w:cs="Times New Roman"/>
          <w:sz w:val="28"/>
          <w:szCs w:val="28"/>
          <w:lang w:val="es-ES"/>
        </w:rPr>
        <w:t>se a lo resuelto en la sentencia anterior que declaró exequible la misma disposición. Segundo, cuando se configura una cosa juzgada material: (a) el magistrado sustanciador no puede decretarla en la fase de admisibilidad</w:t>
      </w:r>
      <w:r w:rsidRPr="002F3D0A">
        <w:rPr>
          <w:rStyle w:val="Refdenotaalpie"/>
          <w:rFonts w:ascii="Times New Roman" w:hAnsi="Times New Roman" w:cs="Times New Roman"/>
          <w:sz w:val="28"/>
          <w:szCs w:val="28"/>
          <w:lang w:val="es-ES"/>
        </w:rPr>
        <w:footnoteReference w:id="26"/>
      </w:r>
      <w:r w:rsidRPr="002F3D0A">
        <w:rPr>
          <w:rFonts w:ascii="Times New Roman" w:hAnsi="Times New Roman" w:cs="Times New Roman"/>
          <w:sz w:val="28"/>
          <w:szCs w:val="28"/>
          <w:lang w:val="es-ES"/>
        </w:rPr>
        <w:t xml:space="preserve"> y (b) salvo que existan motivos qu</w:t>
      </w:r>
      <w:r w:rsidRPr="002F3D0A">
        <w:rPr>
          <w:rFonts w:ascii="Times New Roman" w:hAnsi="Times New Roman" w:cs="Times New Roman"/>
          <w:sz w:val="28"/>
          <w:szCs w:val="28"/>
          <w:lang w:val="es-ES"/>
        </w:rPr>
        <w:t>e la enerven, la Sala Plena no sólo debe estarse a lo resuelto en el fallo anterior, sino que también debe declarar exequible la disposición ahora controlada conforme a lo dispuesto en la sentencia anterior</w:t>
      </w:r>
      <w:r w:rsidRPr="002F3D0A">
        <w:rPr>
          <w:rStyle w:val="Refdenotaalpie"/>
          <w:rFonts w:ascii="Times New Roman" w:hAnsi="Times New Roman" w:cs="Times New Roman"/>
          <w:sz w:val="28"/>
          <w:szCs w:val="28"/>
          <w:lang w:val="es-ES"/>
        </w:rPr>
        <w:footnoteReference w:id="27"/>
      </w:r>
      <w:r w:rsidRPr="002F3D0A">
        <w:rPr>
          <w:rFonts w:ascii="Times New Roman" w:hAnsi="Times New Roman" w:cs="Times New Roman"/>
          <w:sz w:val="28"/>
          <w:szCs w:val="28"/>
          <w:lang w:val="es-ES"/>
        </w:rPr>
        <w:t xml:space="preserve">. </w:t>
      </w:r>
    </w:p>
    <w:p w:rsidR="004F520E" w:rsidRPr="002F3D0A" w:rsidRDefault="002F3D0A" w:rsidP="004F520E">
      <w:pPr>
        <w:rPr>
          <w:rFonts w:ascii="Times New Roman" w:hAnsi="Times New Roman" w:cs="Times New Roman"/>
          <w:sz w:val="28"/>
          <w:szCs w:val="28"/>
          <w:lang w:val="es-ES"/>
        </w:rPr>
      </w:pPr>
    </w:p>
    <w:p w:rsidR="004F520E" w:rsidRPr="002F3D0A" w:rsidRDefault="002F3D0A" w:rsidP="004F520E">
      <w:pPr>
        <w:pStyle w:val="Prrafodelista"/>
        <w:numPr>
          <w:ilvl w:val="0"/>
          <w:numId w:val="1"/>
        </w:numPr>
        <w:ind w:left="0" w:firstLine="0"/>
        <w:rPr>
          <w:rFonts w:ascii="Times New Roman" w:hAnsi="Times New Roman" w:cs="Times New Roman"/>
          <w:sz w:val="28"/>
          <w:szCs w:val="28"/>
          <w:lang w:val="es-ES"/>
        </w:rPr>
      </w:pPr>
      <w:r w:rsidRPr="002F3D0A">
        <w:rPr>
          <w:rFonts w:ascii="Times New Roman" w:hAnsi="Times New Roman" w:cs="Times New Roman"/>
          <w:sz w:val="28"/>
          <w:szCs w:val="28"/>
          <w:lang w:val="es-ES"/>
        </w:rPr>
        <w:t>Por el contrario, cuando la decisión previa e</w:t>
      </w:r>
      <w:r w:rsidRPr="002F3D0A">
        <w:rPr>
          <w:rFonts w:ascii="Times New Roman" w:hAnsi="Times New Roman" w:cs="Times New Roman"/>
          <w:sz w:val="28"/>
          <w:szCs w:val="28"/>
          <w:lang w:val="es-ES"/>
        </w:rPr>
        <w:t>s de inexequibilidad y se configura una cosa juzgada material, se aplican las siguientes reglas. En la etapa de admisibilidad, la demanda no puede ser rechazada de plano, pues la norma acusada hace parte del ordenamiento jurídico</w:t>
      </w:r>
      <w:r w:rsidRPr="002F3D0A">
        <w:rPr>
          <w:rStyle w:val="Refdenotaalpie"/>
          <w:rFonts w:ascii="Times New Roman" w:hAnsi="Times New Roman" w:cs="Times New Roman"/>
          <w:sz w:val="28"/>
          <w:szCs w:val="28"/>
          <w:lang w:val="es-ES"/>
        </w:rPr>
        <w:footnoteReference w:id="28"/>
      </w:r>
      <w:r w:rsidRPr="002F3D0A">
        <w:rPr>
          <w:rFonts w:ascii="Times New Roman" w:hAnsi="Times New Roman" w:cs="Times New Roman"/>
          <w:sz w:val="28"/>
          <w:szCs w:val="28"/>
          <w:lang w:val="es-ES"/>
        </w:rPr>
        <w:t>. Además, una vez admitida</w:t>
      </w:r>
      <w:r w:rsidRPr="002F3D0A">
        <w:rPr>
          <w:rFonts w:ascii="Times New Roman" w:hAnsi="Times New Roman" w:cs="Times New Roman"/>
          <w:sz w:val="28"/>
          <w:szCs w:val="28"/>
          <w:lang w:val="es-ES"/>
        </w:rPr>
        <w:t xml:space="preserve"> la acción pública, es relevante identificar el fundamento de la inexequibilidad de la decisión previa, ya sea por razones de fondo o de procedimiento</w:t>
      </w:r>
      <w:r w:rsidRPr="002F3D0A">
        <w:rPr>
          <w:rStyle w:val="Refdenotaalpie"/>
          <w:rFonts w:ascii="Times New Roman" w:hAnsi="Times New Roman" w:cs="Times New Roman"/>
          <w:sz w:val="28"/>
          <w:szCs w:val="28"/>
          <w:lang w:val="es-ES"/>
        </w:rPr>
        <w:footnoteReference w:id="29"/>
      </w:r>
      <w:r w:rsidRPr="002F3D0A">
        <w:rPr>
          <w:rFonts w:ascii="Times New Roman" w:hAnsi="Times New Roman" w:cs="Times New Roman"/>
          <w:sz w:val="28"/>
          <w:szCs w:val="28"/>
          <w:lang w:val="es-ES"/>
        </w:rPr>
        <w:t>. En el evento en el que la declaratoria de inexequibilidad obedezca a un defecto de forma en la expedici</w:t>
      </w:r>
      <w:r w:rsidRPr="002F3D0A">
        <w:rPr>
          <w:rFonts w:ascii="Times New Roman" w:hAnsi="Times New Roman" w:cs="Times New Roman"/>
          <w:sz w:val="28"/>
          <w:szCs w:val="28"/>
          <w:lang w:val="es-ES"/>
        </w:rPr>
        <w:t>ón de la norma, el legislador está facultado para reproducir su contenido en una disposición posterior</w:t>
      </w:r>
      <w:r w:rsidRPr="002F3D0A">
        <w:rPr>
          <w:rStyle w:val="Refdenotaalpie"/>
          <w:rFonts w:ascii="Times New Roman" w:hAnsi="Times New Roman" w:cs="Times New Roman"/>
          <w:sz w:val="28"/>
          <w:szCs w:val="28"/>
          <w:lang w:val="es-ES"/>
        </w:rPr>
        <w:footnoteReference w:id="30"/>
      </w:r>
      <w:r w:rsidRPr="002F3D0A">
        <w:rPr>
          <w:rFonts w:ascii="Times New Roman" w:hAnsi="Times New Roman" w:cs="Times New Roman"/>
          <w:sz w:val="28"/>
          <w:szCs w:val="28"/>
          <w:lang w:val="es-ES"/>
        </w:rPr>
        <w:t>. En cambio, si el Congreso replica un contenido normativo previamente declarado inexequible por vicios de fondo y subsisten en la Constitución las dispo</w:t>
      </w:r>
      <w:r w:rsidRPr="002F3D0A">
        <w:rPr>
          <w:rFonts w:ascii="Times New Roman" w:hAnsi="Times New Roman" w:cs="Times New Roman"/>
          <w:sz w:val="28"/>
          <w:szCs w:val="28"/>
          <w:lang w:val="es-ES"/>
        </w:rPr>
        <w:t>siciones que sirvieron para realizar el control de constitucionalidad, la cosa juzgada material exige estarse a lo resuelto en el pronunciamiento anterior y, en consecuencia, declarar la inexequibilidad del nuevo precepto, en virtud de lo señalado en el ar</w:t>
      </w:r>
      <w:r w:rsidRPr="002F3D0A">
        <w:rPr>
          <w:rFonts w:ascii="Times New Roman" w:hAnsi="Times New Roman" w:cs="Times New Roman"/>
          <w:sz w:val="28"/>
          <w:szCs w:val="28"/>
          <w:lang w:val="es-ES"/>
        </w:rPr>
        <w:t>tículo 243 de la Constitución</w:t>
      </w:r>
      <w:r w:rsidRPr="002F3D0A">
        <w:rPr>
          <w:rStyle w:val="Refdenotaalpie"/>
          <w:rFonts w:ascii="Times New Roman" w:hAnsi="Times New Roman" w:cs="Times New Roman"/>
          <w:sz w:val="28"/>
          <w:szCs w:val="28"/>
          <w:lang w:val="es-ES"/>
        </w:rPr>
        <w:footnoteReference w:id="31"/>
      </w:r>
      <w:r w:rsidRPr="002F3D0A">
        <w:rPr>
          <w:rFonts w:ascii="Times New Roman" w:hAnsi="Times New Roman" w:cs="Times New Roman"/>
          <w:sz w:val="28"/>
          <w:szCs w:val="28"/>
          <w:lang w:val="es-ES"/>
        </w:rPr>
        <w:t xml:space="preserve">. </w:t>
      </w:r>
    </w:p>
    <w:p w:rsidR="004F520E" w:rsidRPr="002F3D0A" w:rsidRDefault="002F3D0A" w:rsidP="004F520E">
      <w:pPr>
        <w:pStyle w:val="Prrafodelista"/>
        <w:ind w:left="0"/>
        <w:rPr>
          <w:rFonts w:ascii="Times New Roman" w:hAnsi="Times New Roman" w:cs="Times New Roman"/>
          <w:sz w:val="28"/>
          <w:szCs w:val="28"/>
          <w:lang w:val="es-ES"/>
        </w:rPr>
      </w:pPr>
    </w:p>
    <w:p w:rsidR="004F520E" w:rsidRPr="002F3D0A" w:rsidRDefault="002F3D0A" w:rsidP="004F520E">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hAnsi="Times New Roman" w:cs="Times New Roman"/>
          <w:sz w:val="28"/>
          <w:szCs w:val="28"/>
          <w:lang w:val="es-ES"/>
        </w:rPr>
        <w:t>Por otro lado, en situaciones en las que el enunciado legal queda suprimido del ordenamiento jurídico, es decir, cuando la decisión previa es de inexequibilidad, la cosa juzgada siempre será absoluta</w:t>
      </w:r>
      <w:r w:rsidRPr="002F3D0A">
        <w:rPr>
          <w:rStyle w:val="Refdenotaalpie"/>
          <w:rFonts w:ascii="Times New Roman" w:hAnsi="Times New Roman" w:cs="Times New Roman"/>
          <w:sz w:val="28"/>
          <w:szCs w:val="28"/>
          <w:lang w:val="es-ES"/>
        </w:rPr>
        <w:footnoteReference w:id="32"/>
      </w:r>
      <w:r w:rsidRPr="002F3D0A">
        <w:rPr>
          <w:rFonts w:ascii="Times New Roman" w:hAnsi="Times New Roman" w:cs="Times New Roman"/>
          <w:sz w:val="28"/>
          <w:szCs w:val="28"/>
          <w:lang w:val="es-ES"/>
        </w:rPr>
        <w:t xml:space="preserve">. Estos efectos </w:t>
      </w:r>
      <w:r w:rsidRPr="002F3D0A">
        <w:rPr>
          <w:rFonts w:ascii="Times New Roman" w:hAnsi="Times New Roman" w:cs="Times New Roman"/>
          <w:sz w:val="28"/>
          <w:szCs w:val="28"/>
          <w:lang w:val="es-ES"/>
        </w:rPr>
        <w:t>ocurren con independencia del parámetro de constitucionalidad que desconoció la norma invalidada, pues ya no forma parte del sistema jurídico</w:t>
      </w:r>
      <w:r w:rsidRPr="002F3D0A">
        <w:rPr>
          <w:rStyle w:val="Refdenotaalpie"/>
          <w:rFonts w:ascii="Times New Roman" w:hAnsi="Times New Roman" w:cs="Times New Roman"/>
          <w:sz w:val="28"/>
          <w:szCs w:val="28"/>
          <w:lang w:val="es-ES"/>
        </w:rPr>
        <w:footnoteReference w:id="33"/>
      </w:r>
      <w:r w:rsidRPr="002F3D0A">
        <w:rPr>
          <w:rFonts w:ascii="Times New Roman" w:hAnsi="Times New Roman" w:cs="Times New Roman"/>
          <w:sz w:val="28"/>
          <w:szCs w:val="28"/>
          <w:lang w:val="es-ES"/>
        </w:rPr>
        <w:t>. En otras palabras “no existe objeto para un nuevo pronunciamiento de esta Corporación”</w:t>
      </w:r>
      <w:r w:rsidRPr="002F3D0A">
        <w:rPr>
          <w:rStyle w:val="Refdenotaalpie"/>
          <w:rFonts w:ascii="Times New Roman" w:hAnsi="Times New Roman" w:cs="Times New Roman"/>
          <w:sz w:val="28"/>
          <w:szCs w:val="28"/>
          <w:lang w:val="es-ES"/>
        </w:rPr>
        <w:footnoteReference w:id="34"/>
      </w:r>
      <w:r w:rsidRPr="002F3D0A">
        <w:rPr>
          <w:rFonts w:ascii="Times New Roman" w:hAnsi="Times New Roman" w:cs="Times New Roman"/>
          <w:sz w:val="28"/>
          <w:szCs w:val="28"/>
          <w:lang w:val="es-ES"/>
        </w:rPr>
        <w:t>, y las autoridades tiene</w:t>
      </w:r>
      <w:r w:rsidRPr="002F3D0A">
        <w:rPr>
          <w:rFonts w:ascii="Times New Roman" w:hAnsi="Times New Roman" w:cs="Times New Roman"/>
          <w:sz w:val="28"/>
          <w:szCs w:val="28"/>
          <w:lang w:val="es-ES"/>
        </w:rPr>
        <w:t>n prohibido reproducir esa proposición jurídica.</w:t>
      </w:r>
    </w:p>
    <w:p w:rsidR="004F520E" w:rsidRPr="002F3D0A" w:rsidRDefault="002F3D0A" w:rsidP="004F520E">
      <w:pPr>
        <w:pStyle w:val="Prrafodelista"/>
        <w:rPr>
          <w:rFonts w:ascii="Times New Roman" w:eastAsia="Calibri" w:hAnsi="Times New Roman" w:cs="Times New Roman"/>
          <w:color w:val="000000" w:themeColor="text1"/>
          <w:sz w:val="28"/>
          <w:szCs w:val="28"/>
          <w:lang w:val="es-ES"/>
        </w:rPr>
      </w:pPr>
    </w:p>
    <w:p w:rsidR="004F520E" w:rsidRPr="002F3D0A" w:rsidRDefault="002F3D0A" w:rsidP="004F520E">
      <w:pPr>
        <w:pStyle w:val="Prrafodelista"/>
        <w:numPr>
          <w:ilvl w:val="0"/>
          <w:numId w:val="1"/>
        </w:numPr>
        <w:ind w:left="0" w:firstLine="0"/>
        <w:rPr>
          <w:rFonts w:ascii="Times New Roman" w:eastAsia="Calibri" w:hAnsi="Times New Roman" w:cs="Times New Roman"/>
          <w:color w:val="000000" w:themeColor="text1"/>
          <w:sz w:val="28"/>
          <w:szCs w:val="28"/>
          <w:lang w:val="es-ES"/>
        </w:rPr>
      </w:pPr>
      <w:r w:rsidRPr="002F3D0A">
        <w:rPr>
          <w:rFonts w:ascii="Times New Roman" w:eastAsia="Calibri" w:hAnsi="Times New Roman" w:cs="Times New Roman"/>
          <w:color w:val="000000" w:themeColor="text1"/>
          <w:sz w:val="28"/>
          <w:szCs w:val="28"/>
          <w:lang w:val="es-ES"/>
        </w:rPr>
        <w:t>A continuación, se sintetizan</w:t>
      </w:r>
      <w:r w:rsidRPr="002F3D0A">
        <w:rPr>
          <w:rFonts w:ascii="Times New Roman" w:eastAsia="Calibri" w:hAnsi="Times New Roman" w:cs="Times New Roman"/>
          <w:color w:val="000000" w:themeColor="text1"/>
          <w:sz w:val="28"/>
          <w:szCs w:val="28"/>
          <w:lang w:val="es-ES"/>
        </w:rPr>
        <w:t xml:space="preserve"> las tipologías de la cosa juzgada constitucional</w:t>
      </w:r>
    </w:p>
    <w:p w:rsidR="001775F4" w:rsidRPr="002F3D0A" w:rsidRDefault="002F3D0A" w:rsidP="001775F4">
      <w:pPr>
        <w:pStyle w:val="Prrafodelista"/>
        <w:rPr>
          <w:rFonts w:ascii="Times New Roman" w:eastAsia="Calibri" w:hAnsi="Times New Roman" w:cs="Times New Roman"/>
          <w:color w:val="000000" w:themeColor="text1"/>
          <w:sz w:val="28"/>
          <w:szCs w:val="24"/>
          <w:lang w:val="es-ES"/>
        </w:rPr>
      </w:pPr>
    </w:p>
    <w:p w:rsidR="001775F4" w:rsidRPr="002F3D0A" w:rsidRDefault="002F3D0A" w:rsidP="001775F4">
      <w:pPr>
        <w:jc w:val="center"/>
        <w:rPr>
          <w:rFonts w:ascii="Times New Roman" w:hAnsi="Times New Roman" w:cs="Times New Roman"/>
          <w:b/>
          <w:bCs/>
          <w:color w:val="000000" w:themeColor="text1"/>
          <w:sz w:val="28"/>
          <w:szCs w:val="24"/>
        </w:rPr>
      </w:pPr>
      <w:r w:rsidRPr="002F3D0A">
        <w:rPr>
          <w:rFonts w:ascii="Times New Roman" w:hAnsi="Times New Roman" w:cs="Times New Roman"/>
          <w:b/>
          <w:bCs/>
          <w:color w:val="000000" w:themeColor="text1"/>
          <w:sz w:val="28"/>
          <w:szCs w:val="24"/>
        </w:rPr>
        <w:t>Tabla</w:t>
      </w:r>
      <w:r w:rsidRPr="002F3D0A">
        <w:rPr>
          <w:rFonts w:ascii="Times New Roman" w:hAnsi="Times New Roman" w:cs="Times New Roman"/>
          <w:b/>
          <w:bCs/>
          <w:color w:val="000000" w:themeColor="text1"/>
          <w:sz w:val="28"/>
          <w:szCs w:val="24"/>
        </w:rPr>
        <w:t xml:space="preserve"> 2</w:t>
      </w:r>
      <w:r w:rsidRPr="002F3D0A">
        <w:rPr>
          <w:rFonts w:ascii="Times New Roman" w:hAnsi="Times New Roman" w:cs="Times New Roman"/>
          <w:b/>
          <w:bCs/>
          <w:color w:val="000000" w:themeColor="text1"/>
          <w:sz w:val="28"/>
          <w:szCs w:val="24"/>
        </w:rPr>
        <w:t xml:space="preserve">- </w:t>
      </w:r>
      <w:r w:rsidRPr="002F3D0A">
        <w:rPr>
          <w:rFonts w:ascii="Times New Roman" w:hAnsi="Times New Roman" w:cs="Times New Roman"/>
          <w:b/>
          <w:bCs/>
          <w:color w:val="000000" w:themeColor="text1"/>
          <w:sz w:val="28"/>
          <w:szCs w:val="24"/>
        </w:rPr>
        <w:t>Tipologías de la cosa juzgada constitucional</w:t>
      </w:r>
    </w:p>
    <w:p w:rsidR="004F520E" w:rsidRPr="002F3D0A" w:rsidRDefault="002F3D0A" w:rsidP="004F520E">
      <w:pPr>
        <w:jc w:val="center"/>
        <w:rPr>
          <w:rFonts w:ascii="Times New Roman" w:hAnsi="Times New Roman" w:cs="Times New Roman"/>
          <w:b/>
          <w:bCs/>
          <w:color w:val="000000" w:themeColor="text1"/>
          <w:sz w:val="28"/>
          <w:szCs w:val="24"/>
          <w:lang w:val="es-ES"/>
        </w:rPr>
      </w:pPr>
    </w:p>
    <w:tbl>
      <w:tblPr>
        <w:tblStyle w:val="Tablaconcuadrcula"/>
        <w:tblW w:w="0" w:type="auto"/>
        <w:tblLook w:val="04A0" w:firstRow="1" w:lastRow="0" w:firstColumn="1" w:lastColumn="0" w:noHBand="0" w:noVBand="1"/>
      </w:tblPr>
      <w:tblGrid>
        <w:gridCol w:w="1271"/>
        <w:gridCol w:w="3686"/>
        <w:gridCol w:w="3871"/>
      </w:tblGrid>
      <w:tr w:rsidR="004F520E" w:rsidRPr="002F3D0A" w:rsidTr="004F520E">
        <w:tc>
          <w:tcPr>
            <w:tcW w:w="1271" w:type="dxa"/>
            <w:shd w:val="clear" w:color="auto" w:fill="DEEAF6" w:themeFill="accent1" w:themeFillTint="33"/>
          </w:tcPr>
          <w:p w:rsidR="004F520E" w:rsidRPr="002F3D0A" w:rsidRDefault="002F3D0A" w:rsidP="004F520E">
            <w:pPr>
              <w:jc w:val="cente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Tipología </w:t>
            </w:r>
          </w:p>
        </w:tc>
        <w:tc>
          <w:tcPr>
            <w:tcW w:w="3686" w:type="dxa"/>
            <w:shd w:val="clear" w:color="auto" w:fill="DEEAF6" w:themeFill="accent1" w:themeFillTint="33"/>
          </w:tcPr>
          <w:p w:rsidR="004F520E" w:rsidRPr="002F3D0A" w:rsidRDefault="002F3D0A" w:rsidP="004F520E">
            <w:pPr>
              <w:jc w:val="cente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Concepto </w:t>
            </w:r>
          </w:p>
        </w:tc>
        <w:tc>
          <w:tcPr>
            <w:tcW w:w="3871" w:type="dxa"/>
            <w:shd w:val="clear" w:color="auto" w:fill="DEEAF6" w:themeFill="accent1" w:themeFillTint="33"/>
          </w:tcPr>
          <w:p w:rsidR="004F520E" w:rsidRPr="002F3D0A" w:rsidRDefault="002F3D0A" w:rsidP="004F520E">
            <w:pPr>
              <w:jc w:val="cente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Consecuencias en los procesos que se encuentren en</w:t>
            </w:r>
            <w:r w:rsidRPr="002F3D0A">
              <w:rPr>
                <w:rFonts w:ascii="Times New Roman" w:hAnsi="Times New Roman" w:cs="Times New Roman"/>
                <w:b/>
                <w:bCs/>
                <w:color w:val="000000" w:themeColor="text1"/>
                <w:sz w:val="28"/>
                <w:szCs w:val="24"/>
                <w:lang w:val="es-ES"/>
              </w:rPr>
              <w:t xml:space="preserve"> curso</w:t>
            </w:r>
          </w:p>
        </w:tc>
      </w:tr>
      <w:tr w:rsidR="004F520E" w:rsidRPr="002F3D0A" w:rsidTr="004F520E">
        <w:tc>
          <w:tcPr>
            <w:tcW w:w="1271" w:type="dxa"/>
            <w:vMerge w:val="restart"/>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Cosa juzgada formal</w:t>
            </w:r>
          </w:p>
        </w:tc>
        <w:tc>
          <w:tcPr>
            <w:tcW w:w="3686" w:type="dxa"/>
            <w:vMerge w:val="restart"/>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Se presenta cuando la Sala Plena de la Corte Constitucional ya se pronunció sobre la disposición demandada. Esta tipología recae sobre los textos normativos sometidos a control</w:t>
            </w:r>
            <w:r w:rsidRPr="002F3D0A">
              <w:rPr>
                <w:rFonts w:ascii="Times New Roman" w:hAnsi="Times New Roman" w:cs="Times New Roman"/>
                <w:color w:val="000000" w:themeColor="text1"/>
                <w:sz w:val="28"/>
                <w:szCs w:val="24"/>
                <w:vertAlign w:val="superscript"/>
                <w:lang w:val="es-ES"/>
              </w:rPr>
              <w:footnoteReference w:id="35"/>
            </w:r>
            <w:r w:rsidRPr="002F3D0A">
              <w:rPr>
                <w:rFonts w:ascii="Times New Roman" w:hAnsi="Times New Roman" w:cs="Times New Roman"/>
                <w:color w:val="000000" w:themeColor="text1"/>
                <w:sz w:val="28"/>
                <w:szCs w:val="24"/>
                <w:lang w:val="es-ES"/>
              </w:rPr>
              <w:t>.</w:t>
            </w:r>
          </w:p>
        </w:tc>
        <w:tc>
          <w:tcPr>
            <w:tcW w:w="3871"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b/>
                <w:bCs/>
                <w:color w:val="000000" w:themeColor="text1"/>
                <w:sz w:val="28"/>
                <w:szCs w:val="24"/>
                <w:lang w:val="es-ES"/>
              </w:rPr>
              <w:t>Decisión previa de exequibilidad.</w:t>
            </w:r>
            <w:r w:rsidRPr="002F3D0A">
              <w:rPr>
                <w:rFonts w:ascii="Times New Roman" w:hAnsi="Times New Roman" w:cs="Times New Roman"/>
                <w:color w:val="000000" w:themeColor="text1"/>
                <w:sz w:val="28"/>
                <w:szCs w:val="24"/>
                <w:lang w:val="es-ES"/>
              </w:rPr>
              <w:t xml:space="preserve"> La Corte debe estarse a lo resuelto en la sentencia previa que declaró la exequibilidad de la misma disposición, salvo que existan razones que debiliten la cosa juzgada.</w:t>
            </w:r>
          </w:p>
        </w:tc>
      </w:tr>
      <w:tr w:rsidR="004F520E" w:rsidRPr="002F3D0A" w:rsidTr="004F520E">
        <w:tc>
          <w:tcPr>
            <w:tcW w:w="1271" w:type="dxa"/>
            <w:vMerge/>
          </w:tcPr>
          <w:p w:rsidR="004F520E" w:rsidRPr="002F3D0A" w:rsidRDefault="002F3D0A" w:rsidP="004F520E">
            <w:pPr>
              <w:rPr>
                <w:rFonts w:ascii="Times New Roman" w:hAnsi="Times New Roman" w:cs="Times New Roman"/>
                <w:b/>
                <w:bCs/>
                <w:color w:val="000000" w:themeColor="text1"/>
                <w:sz w:val="28"/>
                <w:szCs w:val="24"/>
                <w:lang w:val="es-ES"/>
              </w:rPr>
            </w:pPr>
          </w:p>
        </w:tc>
        <w:tc>
          <w:tcPr>
            <w:tcW w:w="3686" w:type="dxa"/>
            <w:vMerge/>
          </w:tcPr>
          <w:p w:rsidR="004F520E" w:rsidRPr="002F3D0A" w:rsidRDefault="002F3D0A" w:rsidP="004F520E">
            <w:pPr>
              <w:rPr>
                <w:rFonts w:ascii="Times New Roman" w:hAnsi="Times New Roman" w:cs="Times New Roman"/>
                <w:color w:val="000000" w:themeColor="text1"/>
                <w:sz w:val="28"/>
                <w:szCs w:val="24"/>
                <w:lang w:val="es-ES"/>
              </w:rPr>
            </w:pPr>
          </w:p>
        </w:tc>
        <w:tc>
          <w:tcPr>
            <w:tcW w:w="3871"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Decisión previa de inexequibilidad. </w:t>
            </w:r>
            <w:r w:rsidRPr="002F3D0A">
              <w:rPr>
                <w:rFonts w:ascii="Times New Roman" w:hAnsi="Times New Roman" w:cs="Times New Roman"/>
                <w:color w:val="000000" w:themeColor="text1"/>
                <w:sz w:val="28"/>
                <w:szCs w:val="24"/>
                <w:lang w:val="es-ES"/>
              </w:rPr>
              <w:t>La Corte debe estarse a lo resuelto en la sent</w:t>
            </w:r>
            <w:r w:rsidRPr="002F3D0A">
              <w:rPr>
                <w:rFonts w:ascii="Times New Roman" w:hAnsi="Times New Roman" w:cs="Times New Roman"/>
                <w:color w:val="000000" w:themeColor="text1"/>
                <w:sz w:val="28"/>
                <w:szCs w:val="24"/>
                <w:lang w:val="es-ES"/>
              </w:rPr>
              <w:t>encia previa que declaró la inexequibilidad de la misma disposición.</w:t>
            </w:r>
          </w:p>
        </w:tc>
      </w:tr>
      <w:tr w:rsidR="004F520E" w:rsidRPr="002F3D0A" w:rsidTr="004F520E">
        <w:tc>
          <w:tcPr>
            <w:tcW w:w="1271" w:type="dxa"/>
            <w:vMerge w:val="restart"/>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Cosa juzgada material </w:t>
            </w:r>
          </w:p>
        </w:tc>
        <w:tc>
          <w:tcPr>
            <w:tcW w:w="3686" w:type="dxa"/>
            <w:vMerge w:val="restart"/>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 xml:space="preserve">Se presenta cuando se acusa una disposición que es formalmente distinta, pero que tiene un contenido normativo idéntico al de otra que ya fue controlada por esta </w:t>
            </w:r>
            <w:r w:rsidRPr="002F3D0A">
              <w:rPr>
                <w:rFonts w:ascii="Times New Roman" w:hAnsi="Times New Roman" w:cs="Times New Roman"/>
                <w:color w:val="000000" w:themeColor="text1"/>
                <w:sz w:val="28"/>
                <w:szCs w:val="24"/>
                <w:lang w:val="es-ES"/>
              </w:rPr>
              <w:t>Corporación en sede de control de constitucionalidad. El juez debe evaluar: (i) si existe una decisión de constitucionalidad anterior sobre una regla de derecho idéntica, pero contenida en distintas disposiciones jurídicas; y luego (ii) determinar si hay i</w:t>
            </w:r>
            <w:r w:rsidRPr="002F3D0A">
              <w:rPr>
                <w:rFonts w:ascii="Times New Roman" w:hAnsi="Times New Roman" w:cs="Times New Roman"/>
                <w:color w:val="000000" w:themeColor="text1"/>
                <w:sz w:val="28"/>
                <w:szCs w:val="24"/>
                <w:lang w:val="es-ES"/>
              </w:rPr>
              <w:t>dentidad entre los cargos del pasado y del presente y el análisis constitucional de fondo sobre la proposición jurídica. Este estudio no recae sobre la disposición, sino sobre los contenidos normativos</w:t>
            </w:r>
            <w:r w:rsidRPr="002F3D0A">
              <w:rPr>
                <w:rFonts w:ascii="Times New Roman" w:hAnsi="Times New Roman" w:cs="Times New Roman"/>
                <w:color w:val="000000" w:themeColor="text1"/>
                <w:sz w:val="28"/>
                <w:szCs w:val="24"/>
                <w:vertAlign w:val="superscript"/>
                <w:lang w:val="es-ES"/>
              </w:rPr>
              <w:footnoteReference w:id="36"/>
            </w:r>
            <w:r w:rsidRPr="002F3D0A">
              <w:rPr>
                <w:rFonts w:ascii="Times New Roman" w:hAnsi="Times New Roman" w:cs="Times New Roman"/>
                <w:color w:val="000000" w:themeColor="text1"/>
                <w:sz w:val="28"/>
                <w:szCs w:val="24"/>
                <w:lang w:val="es-ES"/>
              </w:rPr>
              <w:t>.</w:t>
            </w:r>
          </w:p>
        </w:tc>
        <w:tc>
          <w:tcPr>
            <w:tcW w:w="3871" w:type="dxa"/>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Decisión previa de exequibilidad. </w:t>
            </w:r>
            <w:r w:rsidRPr="002F3D0A">
              <w:rPr>
                <w:rFonts w:ascii="Times New Roman" w:hAnsi="Times New Roman" w:cs="Times New Roman"/>
                <w:color w:val="000000" w:themeColor="text1"/>
                <w:sz w:val="28"/>
                <w:szCs w:val="24"/>
                <w:lang w:val="es-ES"/>
              </w:rPr>
              <w:t>La Corte debe esta</w:t>
            </w:r>
            <w:r w:rsidRPr="002F3D0A">
              <w:rPr>
                <w:rFonts w:ascii="Times New Roman" w:hAnsi="Times New Roman" w:cs="Times New Roman"/>
                <w:color w:val="000000" w:themeColor="text1"/>
                <w:sz w:val="28"/>
                <w:szCs w:val="24"/>
                <w:lang w:val="es-ES"/>
              </w:rPr>
              <w:t xml:space="preserve">rse a lo resuelto en la decisión previa que declaró la exequibilidad del mismo contenido normativo y, por consiguiente, declarar exequible la disposición ahora controlada, salvo que existan razones que debiliten la cosa juzgada. </w:t>
            </w:r>
          </w:p>
          <w:p w:rsidR="004F520E" w:rsidRPr="002F3D0A" w:rsidRDefault="002F3D0A" w:rsidP="004F520E">
            <w:pPr>
              <w:rPr>
                <w:rFonts w:ascii="Times New Roman" w:hAnsi="Times New Roman" w:cs="Times New Roman"/>
                <w:color w:val="000000" w:themeColor="text1"/>
                <w:sz w:val="28"/>
                <w:szCs w:val="24"/>
                <w:lang w:val="es-ES"/>
              </w:rPr>
            </w:pPr>
          </w:p>
        </w:tc>
      </w:tr>
      <w:tr w:rsidR="004F520E" w:rsidRPr="002F3D0A" w:rsidTr="004F520E">
        <w:trPr>
          <w:trHeight w:val="1932"/>
        </w:trPr>
        <w:tc>
          <w:tcPr>
            <w:tcW w:w="1271" w:type="dxa"/>
            <w:vMerge/>
            <w:tcBorders>
              <w:bottom w:val="single" w:sz="4" w:space="0" w:color="auto"/>
            </w:tcBorders>
          </w:tcPr>
          <w:p w:rsidR="004F520E" w:rsidRPr="002F3D0A" w:rsidRDefault="002F3D0A" w:rsidP="004F520E">
            <w:pPr>
              <w:rPr>
                <w:rFonts w:ascii="Times New Roman" w:hAnsi="Times New Roman" w:cs="Times New Roman"/>
                <w:b/>
                <w:bCs/>
                <w:color w:val="000000" w:themeColor="text1"/>
                <w:sz w:val="28"/>
                <w:szCs w:val="24"/>
                <w:lang w:val="es-ES"/>
              </w:rPr>
            </w:pPr>
          </w:p>
        </w:tc>
        <w:tc>
          <w:tcPr>
            <w:tcW w:w="3686" w:type="dxa"/>
            <w:vMerge/>
            <w:tcBorders>
              <w:bottom w:val="single" w:sz="4" w:space="0" w:color="auto"/>
            </w:tcBorders>
          </w:tcPr>
          <w:p w:rsidR="004F520E" w:rsidRPr="002F3D0A" w:rsidRDefault="002F3D0A" w:rsidP="004F520E">
            <w:pPr>
              <w:rPr>
                <w:rFonts w:ascii="Times New Roman" w:hAnsi="Times New Roman" w:cs="Times New Roman"/>
                <w:color w:val="000000" w:themeColor="text1"/>
                <w:sz w:val="28"/>
                <w:szCs w:val="24"/>
                <w:lang w:val="es-ES"/>
              </w:rPr>
            </w:pPr>
          </w:p>
        </w:tc>
        <w:tc>
          <w:tcPr>
            <w:tcW w:w="3871" w:type="dxa"/>
            <w:tcBorders>
              <w:bottom w:val="single" w:sz="4" w:space="0" w:color="auto"/>
            </w:tcBorders>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Decisión previa de ine</w:t>
            </w:r>
            <w:r w:rsidRPr="002F3D0A">
              <w:rPr>
                <w:rFonts w:ascii="Times New Roman" w:hAnsi="Times New Roman" w:cs="Times New Roman"/>
                <w:b/>
                <w:bCs/>
                <w:color w:val="000000" w:themeColor="text1"/>
                <w:sz w:val="28"/>
                <w:szCs w:val="24"/>
                <w:lang w:val="es-ES"/>
              </w:rPr>
              <w:t xml:space="preserve">xequibilidad. </w:t>
            </w:r>
            <w:r w:rsidRPr="002F3D0A">
              <w:rPr>
                <w:rFonts w:ascii="Times New Roman" w:hAnsi="Times New Roman" w:cs="Times New Roman"/>
                <w:color w:val="000000" w:themeColor="text1"/>
                <w:sz w:val="28"/>
                <w:szCs w:val="24"/>
                <w:lang w:val="es-ES"/>
              </w:rPr>
              <w:t xml:space="preserve">La Corte debe estarse a lo resuelto en la sentencia previa que declaró la inexequibilidad del mismo contenido normativo y, por lo tanto, declarar inexequible la disposición ahora controlada, en virtud de lo dispuesto en el artículo 243 de la </w:t>
            </w:r>
            <w:r w:rsidRPr="002F3D0A">
              <w:rPr>
                <w:rFonts w:ascii="Times New Roman" w:hAnsi="Times New Roman" w:cs="Times New Roman"/>
                <w:color w:val="000000" w:themeColor="text1"/>
                <w:sz w:val="28"/>
                <w:szCs w:val="24"/>
                <w:lang w:val="es-ES"/>
              </w:rPr>
              <w:t>Constitución.</w:t>
            </w:r>
          </w:p>
        </w:tc>
      </w:tr>
      <w:tr w:rsidR="004F520E" w:rsidRPr="002F3D0A" w:rsidTr="004F520E">
        <w:tc>
          <w:tcPr>
            <w:tcW w:w="1271" w:type="dxa"/>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Cosa juzgada absoluta </w:t>
            </w:r>
          </w:p>
        </w:tc>
        <w:tc>
          <w:tcPr>
            <w:tcW w:w="3686"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Se presenta en dos casos: primero, cuando la Corte declara la inexequibilidad</w:t>
            </w:r>
            <w:r w:rsidRPr="002F3D0A">
              <w:rPr>
                <w:rFonts w:ascii="Times New Roman" w:hAnsi="Times New Roman" w:cs="Times New Roman"/>
                <w:color w:val="000000" w:themeColor="text1"/>
                <w:sz w:val="28"/>
                <w:szCs w:val="24"/>
                <w:lang w:val="es-ES"/>
              </w:rPr>
              <w:t xml:space="preserve"> de una norma y, por lo tanto, la expulsa del ordenamiento. Segundo, cuando el control de constitucionalidad se ejerció respecto a la integralidad de la Carta. </w:t>
            </w:r>
          </w:p>
        </w:tc>
        <w:tc>
          <w:tcPr>
            <w:tcW w:w="3871"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La Corte debe estarse a lo resuelto en la sentencia previa.</w:t>
            </w:r>
          </w:p>
        </w:tc>
      </w:tr>
      <w:tr w:rsidR="004F520E" w:rsidRPr="002F3D0A" w:rsidTr="004F520E">
        <w:tc>
          <w:tcPr>
            <w:tcW w:w="1271" w:type="dxa"/>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Cosa juzgada relativa </w:t>
            </w:r>
          </w:p>
        </w:tc>
        <w:tc>
          <w:tcPr>
            <w:tcW w:w="3686"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Se presenta</w:t>
            </w:r>
            <w:r w:rsidRPr="002F3D0A">
              <w:rPr>
                <w:rFonts w:ascii="Times New Roman" w:hAnsi="Times New Roman" w:cs="Times New Roman"/>
                <w:color w:val="000000" w:themeColor="text1"/>
                <w:sz w:val="28"/>
                <w:szCs w:val="24"/>
                <w:lang w:val="es-ES"/>
              </w:rPr>
              <w:t xml:space="preserve"> cuando la Corte Constitucional restringió los efectos de su decisión a los cargos analizados. </w:t>
            </w:r>
          </w:p>
        </w:tc>
        <w:tc>
          <w:tcPr>
            <w:tcW w:w="3871"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 xml:space="preserve">Es posible un nuevo pronunciamiento sobre la disposición únicamente por cargos nuevos.  </w:t>
            </w:r>
          </w:p>
        </w:tc>
      </w:tr>
      <w:tr w:rsidR="004F520E" w:rsidRPr="002F3D0A" w:rsidTr="004F520E">
        <w:tc>
          <w:tcPr>
            <w:tcW w:w="1271" w:type="dxa"/>
          </w:tcPr>
          <w:p w:rsidR="004F520E" w:rsidRPr="002F3D0A" w:rsidRDefault="002F3D0A" w:rsidP="004F520E">
            <w:pPr>
              <w:rPr>
                <w:rFonts w:ascii="Times New Roman" w:hAnsi="Times New Roman" w:cs="Times New Roman"/>
                <w:b/>
                <w:bCs/>
                <w:color w:val="000000" w:themeColor="text1"/>
                <w:sz w:val="28"/>
                <w:szCs w:val="24"/>
                <w:lang w:val="es-ES"/>
              </w:rPr>
            </w:pPr>
            <w:r w:rsidRPr="002F3D0A">
              <w:rPr>
                <w:rFonts w:ascii="Times New Roman" w:hAnsi="Times New Roman" w:cs="Times New Roman"/>
                <w:b/>
                <w:bCs/>
                <w:color w:val="000000" w:themeColor="text1"/>
                <w:sz w:val="28"/>
                <w:szCs w:val="24"/>
                <w:lang w:val="es-ES"/>
              </w:rPr>
              <w:t xml:space="preserve">Cosa juzgada aparente </w:t>
            </w:r>
          </w:p>
        </w:tc>
        <w:tc>
          <w:tcPr>
            <w:tcW w:w="3686"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 xml:space="preserve">Se presenta cuando la Corte Constitucional formalmente declara la exequibilidad de una disposición, pero en realidad no hay un estudio de constitucionalidad en la decisión. </w:t>
            </w:r>
          </w:p>
        </w:tc>
        <w:tc>
          <w:tcPr>
            <w:tcW w:w="3871" w:type="dxa"/>
          </w:tcPr>
          <w:p w:rsidR="004F520E" w:rsidRPr="002F3D0A" w:rsidRDefault="002F3D0A" w:rsidP="004F520E">
            <w:pPr>
              <w:rPr>
                <w:rFonts w:ascii="Times New Roman" w:hAnsi="Times New Roman" w:cs="Times New Roman"/>
                <w:color w:val="000000" w:themeColor="text1"/>
                <w:sz w:val="28"/>
                <w:szCs w:val="24"/>
                <w:lang w:val="es-ES"/>
              </w:rPr>
            </w:pPr>
            <w:r w:rsidRPr="002F3D0A">
              <w:rPr>
                <w:rFonts w:ascii="Times New Roman" w:hAnsi="Times New Roman" w:cs="Times New Roman"/>
                <w:color w:val="000000" w:themeColor="text1"/>
                <w:sz w:val="28"/>
                <w:szCs w:val="24"/>
                <w:lang w:val="es-ES"/>
              </w:rPr>
              <w:t>Es posible un nuevo pronunciamiento sobre la disposición.</w:t>
            </w:r>
          </w:p>
        </w:tc>
      </w:tr>
    </w:tbl>
    <w:p w:rsidR="009A4C50" w:rsidRPr="002F3D0A" w:rsidRDefault="002F3D0A" w:rsidP="009A4C50">
      <w:pPr>
        <w:pStyle w:val="Sombreadovistoso-nfasis31"/>
        <w:ind w:left="0"/>
        <w:rPr>
          <w:rFonts w:eastAsia="SimSun"/>
          <w:lang w:eastAsia="hi-IN" w:bidi="hi-IN"/>
        </w:rPr>
      </w:pPr>
    </w:p>
    <w:p w:rsidR="00E9755E" w:rsidRPr="002F3D0A" w:rsidRDefault="002F3D0A" w:rsidP="00E9755E">
      <w:pPr>
        <w:pStyle w:val="Prrafodelista"/>
        <w:numPr>
          <w:ilvl w:val="0"/>
          <w:numId w:val="1"/>
        </w:numPr>
        <w:tabs>
          <w:tab w:val="left" w:pos="1134"/>
        </w:tabs>
        <w:ind w:left="0" w:firstLine="0"/>
        <w:rPr>
          <w:rFonts w:ascii="Times New Roman" w:hAnsi="Times New Roman" w:cs="Times New Roman"/>
          <w:bCs/>
          <w:sz w:val="28"/>
          <w:szCs w:val="28"/>
          <w:lang w:val="es-ES"/>
        </w:rPr>
      </w:pPr>
      <w:r w:rsidRPr="002F3D0A">
        <w:rPr>
          <w:rFonts w:ascii="Times New Roman" w:hAnsi="Times New Roman" w:cs="Times New Roman"/>
          <w:bCs/>
          <w:sz w:val="28"/>
          <w:szCs w:val="28"/>
          <w:lang w:val="es-ES"/>
        </w:rPr>
        <w:t xml:space="preserve">En relación con la </w:t>
      </w:r>
      <w:r w:rsidRPr="002F3D0A">
        <w:rPr>
          <w:rFonts w:ascii="Times New Roman" w:hAnsi="Times New Roman" w:cs="Times New Roman"/>
          <w:bCs/>
          <w:sz w:val="28"/>
          <w:szCs w:val="28"/>
          <w:lang w:val="es-ES"/>
        </w:rPr>
        <w:t>cosa juzgada formal, la Sala verificará en primer lugar si existen pronunciamientos previos por parte de esta Corporación respecto de los preceptos normativos cuestionados en el presente trámite, en los que se haya decidido sobre su constitucionalidad a pa</w:t>
      </w:r>
      <w:r w:rsidRPr="002F3D0A">
        <w:rPr>
          <w:rFonts w:ascii="Times New Roman" w:hAnsi="Times New Roman" w:cs="Times New Roman"/>
          <w:bCs/>
          <w:sz w:val="28"/>
          <w:szCs w:val="28"/>
          <w:lang w:val="es-ES"/>
        </w:rPr>
        <w:t>rtir de los mismos cargos formulados por los aquí demandantes.</w:t>
      </w:r>
    </w:p>
    <w:p w:rsidR="00E9755E" w:rsidRPr="002F3D0A" w:rsidRDefault="002F3D0A" w:rsidP="00E9755E">
      <w:pPr>
        <w:pStyle w:val="Prrafodelista"/>
        <w:tabs>
          <w:tab w:val="left" w:pos="1134"/>
        </w:tabs>
        <w:ind w:left="0"/>
        <w:rPr>
          <w:rFonts w:ascii="Times New Roman" w:hAnsi="Times New Roman" w:cs="Times New Roman"/>
          <w:bCs/>
          <w:sz w:val="28"/>
          <w:szCs w:val="28"/>
          <w:lang w:val="es-ES"/>
        </w:rPr>
      </w:pPr>
    </w:p>
    <w:p w:rsidR="009A4C50" w:rsidRPr="002F3D0A" w:rsidRDefault="002F3D0A" w:rsidP="00E9755E">
      <w:pPr>
        <w:pStyle w:val="Prrafodelista"/>
        <w:numPr>
          <w:ilvl w:val="0"/>
          <w:numId w:val="1"/>
        </w:numPr>
        <w:tabs>
          <w:tab w:val="left" w:pos="1134"/>
        </w:tabs>
        <w:ind w:left="0" w:firstLine="0"/>
        <w:rPr>
          <w:rFonts w:ascii="Times New Roman" w:hAnsi="Times New Roman" w:cs="Times New Roman"/>
          <w:bCs/>
          <w:sz w:val="28"/>
          <w:szCs w:val="28"/>
          <w:lang w:val="es-ES"/>
        </w:rPr>
      </w:pPr>
      <w:r w:rsidRPr="002F3D0A">
        <w:rPr>
          <w:rFonts w:ascii="Times New Roman" w:hAnsi="Times New Roman" w:cs="Times New Roman"/>
          <w:sz w:val="28"/>
          <w:szCs w:val="28"/>
        </w:rPr>
        <w:t>Según el sistema de consulta de la Corte Constitucional</w:t>
      </w:r>
      <w:r w:rsidRPr="002F3D0A">
        <w:rPr>
          <w:rStyle w:val="Refdenotaalpie"/>
          <w:rFonts w:ascii="Times New Roman" w:hAnsi="Times New Roman" w:cs="Times New Roman"/>
          <w:sz w:val="28"/>
          <w:szCs w:val="28"/>
        </w:rPr>
        <w:footnoteReference w:id="37"/>
      </w:r>
      <w:r w:rsidRPr="002F3D0A">
        <w:rPr>
          <w:rFonts w:ascii="Times New Roman" w:hAnsi="Times New Roman" w:cs="Times New Roman"/>
          <w:sz w:val="28"/>
          <w:szCs w:val="28"/>
        </w:rPr>
        <w:t xml:space="preserve">, además del expediente de la referencia D-15564, </w:t>
      </w:r>
      <w:r w:rsidRPr="002F3D0A">
        <w:rPr>
          <w:rFonts w:ascii="Times New Roman" w:hAnsi="Times New Roman" w:cs="Times New Roman"/>
          <w:sz w:val="28"/>
          <w:szCs w:val="28"/>
        </w:rPr>
        <w:t xml:space="preserve">se registra la </w:t>
      </w:r>
      <w:r w:rsidRPr="002F3D0A">
        <w:rPr>
          <w:rFonts w:ascii="Times New Roman" w:hAnsi="Times New Roman" w:cs="Times New Roman"/>
          <w:sz w:val="28"/>
          <w:szCs w:val="28"/>
        </w:rPr>
        <w:t xml:space="preserve">sentencia C-393 de 2023, </w:t>
      </w:r>
      <w:r w:rsidRPr="002F3D0A">
        <w:rPr>
          <w:rFonts w:ascii="Times New Roman" w:hAnsi="Times New Roman" w:cs="Times New Roman"/>
          <w:sz w:val="28"/>
          <w:szCs w:val="28"/>
        </w:rPr>
        <w:t xml:space="preserve">en </w:t>
      </w:r>
      <w:r w:rsidRPr="002F3D0A">
        <w:rPr>
          <w:rFonts w:ascii="Times New Roman" w:hAnsi="Times New Roman" w:cs="Times New Roman"/>
          <w:sz w:val="28"/>
          <w:szCs w:val="28"/>
        </w:rPr>
        <w:t xml:space="preserve">la cual </w:t>
      </w:r>
      <w:r w:rsidRPr="002F3D0A">
        <w:rPr>
          <w:rFonts w:ascii="Times New Roman" w:hAnsi="Times New Roman" w:cs="Times New Roman"/>
          <w:sz w:val="28"/>
          <w:szCs w:val="28"/>
        </w:rPr>
        <w:t xml:space="preserve">la Sala </w:t>
      </w:r>
      <w:r w:rsidRPr="002F3D0A">
        <w:rPr>
          <w:rFonts w:ascii="Times New Roman" w:hAnsi="Times New Roman" w:cs="Times New Roman"/>
          <w:sz w:val="28"/>
          <w:szCs w:val="28"/>
        </w:rPr>
        <w:t xml:space="preserve">decidió inhibirse </w:t>
      </w:r>
      <w:r w:rsidRPr="002F3D0A">
        <w:rPr>
          <w:rFonts w:ascii="Times New Roman" w:hAnsi="Times New Roman" w:cs="Times New Roman"/>
          <w:sz w:val="28"/>
          <w:szCs w:val="28"/>
        </w:rPr>
        <w:t>para</w:t>
      </w:r>
      <w:r w:rsidRPr="002F3D0A">
        <w:rPr>
          <w:rFonts w:ascii="Times New Roman" w:hAnsi="Times New Roman" w:cs="Times New Roman"/>
          <w:sz w:val="28"/>
          <w:szCs w:val="28"/>
        </w:rPr>
        <w:t xml:space="preserve"> decidir sobre la constitucionalidad del artículo 37 (parcial) de la Ley 2277 de 2022 por la ineptitud sustantiva de la demanda.</w:t>
      </w:r>
      <w:r w:rsidRPr="002F3D0A">
        <w:rPr>
          <w:rFonts w:ascii="Times New Roman" w:hAnsi="Times New Roman" w:cs="Times New Roman"/>
          <w:sz w:val="28"/>
          <w:szCs w:val="28"/>
        </w:rPr>
        <w:t xml:space="preserve"> Igualmente, para el momento de esta decisión</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está</w:t>
      </w:r>
      <w:r w:rsidRPr="002F3D0A">
        <w:rPr>
          <w:rFonts w:ascii="Times New Roman" w:hAnsi="Times New Roman" w:cs="Times New Roman"/>
          <w:sz w:val="28"/>
          <w:szCs w:val="28"/>
        </w:rPr>
        <w:t>n</w:t>
      </w:r>
      <w:r w:rsidRPr="002F3D0A">
        <w:rPr>
          <w:rFonts w:ascii="Times New Roman" w:hAnsi="Times New Roman" w:cs="Times New Roman"/>
          <w:sz w:val="28"/>
          <w:szCs w:val="28"/>
        </w:rPr>
        <w:t xml:space="preserve"> en trámite los</w:t>
      </w:r>
      <w:r w:rsidRPr="002F3D0A">
        <w:rPr>
          <w:rFonts w:ascii="Times New Roman" w:hAnsi="Times New Roman" w:cs="Times New Roman"/>
          <w:sz w:val="28"/>
          <w:szCs w:val="28"/>
        </w:rPr>
        <w:t xml:space="preserve"> expedientes acumulados D-15273 y 15275</w:t>
      </w:r>
      <w:r w:rsidRPr="002F3D0A">
        <w:rPr>
          <w:rFonts w:ascii="Times New Roman" w:hAnsi="Times New Roman" w:cs="Times New Roman"/>
          <w:sz w:val="28"/>
          <w:szCs w:val="28"/>
        </w:rPr>
        <w:t xml:space="preserve"> en los que</w:t>
      </w:r>
      <w:r w:rsidRPr="002F3D0A">
        <w:rPr>
          <w:rFonts w:ascii="Times New Roman" w:eastAsia="SimSun" w:hAnsi="Times New Roman" w:cs="Times New Roman"/>
          <w:color w:val="000000"/>
          <w:kern w:val="1"/>
          <w:sz w:val="28"/>
          <w:szCs w:val="28"/>
          <w:lang w:val="es-ES" w:eastAsia="hi-IN" w:bidi="hi-IN"/>
        </w:rPr>
        <w:t xml:space="preserve"> </w:t>
      </w:r>
      <w:r w:rsidRPr="002F3D0A">
        <w:rPr>
          <w:rFonts w:ascii="Times New Roman" w:eastAsia="SimSun" w:hAnsi="Times New Roman" w:cs="Times New Roman"/>
          <w:color w:val="000000"/>
          <w:kern w:val="1"/>
          <w:sz w:val="28"/>
          <w:szCs w:val="28"/>
          <w:lang w:val="es-ES" w:eastAsia="hi-IN" w:bidi="hi-IN"/>
        </w:rPr>
        <w:t>se present</w:t>
      </w:r>
      <w:r w:rsidRPr="002F3D0A">
        <w:rPr>
          <w:rFonts w:ascii="Times New Roman" w:eastAsia="SimSun" w:hAnsi="Times New Roman" w:cs="Times New Roman"/>
          <w:color w:val="000000"/>
          <w:kern w:val="1"/>
          <w:sz w:val="28"/>
          <w:szCs w:val="28"/>
          <w:lang w:val="es-ES" w:eastAsia="hi-IN" w:bidi="hi-IN"/>
        </w:rPr>
        <w:t xml:space="preserve">aron cargos contra </w:t>
      </w:r>
      <w:r w:rsidRPr="002F3D0A">
        <w:rPr>
          <w:rFonts w:ascii="Times New Roman" w:eastAsia="SimSun" w:hAnsi="Times New Roman" w:cs="Times New Roman"/>
          <w:color w:val="000000"/>
          <w:kern w:val="1"/>
          <w:sz w:val="28"/>
          <w:szCs w:val="28"/>
          <w:lang w:val="es-ES" w:eastAsia="hi-IN" w:bidi="hi-IN"/>
        </w:rPr>
        <w:t xml:space="preserve">los </w:t>
      </w:r>
      <w:r w:rsidRPr="002F3D0A">
        <w:rPr>
          <w:rFonts w:ascii="Times New Roman" w:eastAsia="SimSun" w:hAnsi="Times New Roman" w:cs="Times New Roman"/>
          <w:color w:val="000000"/>
          <w:kern w:val="1"/>
          <w:sz w:val="28"/>
          <w:szCs w:val="28"/>
          <w:lang w:val="es-ES" w:eastAsia="hi-IN" w:bidi="hi-IN"/>
        </w:rPr>
        <w:t>artículo</w:t>
      </w:r>
      <w:r w:rsidRPr="002F3D0A">
        <w:rPr>
          <w:rFonts w:ascii="Times New Roman" w:eastAsia="SimSun" w:hAnsi="Times New Roman" w:cs="Times New Roman"/>
          <w:color w:val="000000"/>
          <w:kern w:val="1"/>
          <w:sz w:val="28"/>
          <w:szCs w:val="28"/>
          <w:lang w:val="es-ES" w:eastAsia="hi-IN" w:bidi="hi-IN"/>
        </w:rPr>
        <w:t>s</w:t>
      </w:r>
      <w:r w:rsidRPr="002F3D0A">
        <w:rPr>
          <w:rFonts w:ascii="Times New Roman" w:eastAsia="SimSun" w:hAnsi="Times New Roman" w:cs="Times New Roman"/>
          <w:color w:val="000000"/>
          <w:kern w:val="1"/>
          <w:sz w:val="28"/>
          <w:szCs w:val="28"/>
          <w:lang w:val="es-ES" w:eastAsia="hi-IN" w:bidi="hi-IN"/>
        </w:rPr>
        <w:t xml:space="preserve"> 35 y 37 de la Ley</w:t>
      </w:r>
      <w:r w:rsidRPr="002F3D0A">
        <w:rPr>
          <w:rFonts w:ascii="Times New Roman" w:eastAsia="SimSun" w:hAnsi="Times New Roman" w:cs="Times New Roman"/>
          <w:color w:val="000000"/>
          <w:kern w:val="1"/>
          <w:sz w:val="28"/>
          <w:szCs w:val="28"/>
          <w:lang w:val="es-ES" w:eastAsia="hi-IN" w:bidi="hi-IN"/>
        </w:rPr>
        <w:t xml:space="preserve"> 2277 de 2022,</w:t>
      </w:r>
      <w:r w:rsidRPr="002F3D0A">
        <w:rPr>
          <w:rFonts w:ascii="Times New Roman" w:eastAsia="SimSun" w:hAnsi="Times New Roman" w:cs="Times New Roman"/>
          <w:color w:val="000000"/>
          <w:kern w:val="1"/>
          <w:sz w:val="28"/>
          <w:szCs w:val="28"/>
          <w:lang w:val="es-ES" w:eastAsia="hi-IN" w:bidi="hi-IN"/>
        </w:rPr>
        <w:t xml:space="preserve"> pero no se ha emitido una decisión. Por lo tanto, no existen decisiones previas sobre las </w:t>
      </w:r>
      <w:r w:rsidRPr="002F3D0A">
        <w:rPr>
          <w:rFonts w:ascii="Times New Roman" w:eastAsia="SimSun" w:hAnsi="Times New Roman" w:cs="Times New Roman"/>
          <w:color w:val="000000"/>
          <w:kern w:val="1"/>
          <w:sz w:val="28"/>
          <w:szCs w:val="28"/>
          <w:lang w:val="es-ES" w:eastAsia="hi-IN" w:bidi="hi-IN"/>
        </w:rPr>
        <w:t xml:space="preserve">disposiciones </w:t>
      </w:r>
      <w:r w:rsidRPr="002F3D0A">
        <w:rPr>
          <w:rFonts w:ascii="Times New Roman" w:eastAsia="SimSun" w:hAnsi="Times New Roman" w:cs="Times New Roman"/>
          <w:color w:val="000000"/>
          <w:kern w:val="1"/>
          <w:sz w:val="28"/>
          <w:szCs w:val="28"/>
          <w:lang w:val="es-ES" w:eastAsia="hi-IN" w:bidi="hi-IN"/>
        </w:rPr>
        <w:t xml:space="preserve">acusadas que configuren cosa juzgada formal. </w:t>
      </w:r>
    </w:p>
    <w:p w:rsidR="006E1EE7" w:rsidRPr="002F3D0A" w:rsidRDefault="002F3D0A" w:rsidP="006E1EE7">
      <w:pPr>
        <w:pStyle w:val="Prrafodelista"/>
        <w:ind w:left="0"/>
        <w:rPr>
          <w:rFonts w:ascii="Times New Roman" w:eastAsia="SimSun" w:hAnsi="Times New Roman" w:cs="Times New Roman"/>
          <w:color w:val="000000" w:themeColor="text1"/>
          <w:kern w:val="1"/>
          <w:sz w:val="28"/>
          <w:szCs w:val="28"/>
          <w:lang w:val="es-ES" w:eastAsia="hi-IN" w:bidi="hi-IN"/>
        </w:rPr>
      </w:pPr>
    </w:p>
    <w:p w:rsidR="00014619" w:rsidRPr="002F3D0A" w:rsidRDefault="002F3D0A" w:rsidP="00014619">
      <w:pPr>
        <w:pStyle w:val="Prrafodelista"/>
        <w:numPr>
          <w:ilvl w:val="0"/>
          <w:numId w:val="1"/>
        </w:numPr>
        <w:ind w:left="0" w:firstLine="0"/>
        <w:rPr>
          <w:rFonts w:ascii="Times New Roman" w:eastAsia="SimSun" w:hAnsi="Times New Roman" w:cs="Times New Roman"/>
          <w:color w:val="000000"/>
          <w:kern w:val="1"/>
          <w:sz w:val="28"/>
          <w:szCs w:val="28"/>
          <w:lang w:val="es-ES" w:eastAsia="hi-IN" w:bidi="hi-IN"/>
        </w:rPr>
      </w:pPr>
      <w:r w:rsidRPr="002F3D0A">
        <w:rPr>
          <w:rFonts w:ascii="Times New Roman" w:hAnsi="Times New Roman" w:cs="Times New Roman"/>
          <w:bCs/>
          <w:color w:val="000000" w:themeColor="text1"/>
          <w:sz w:val="28"/>
          <w:szCs w:val="28"/>
        </w:rPr>
        <w:t xml:space="preserve">Así, descartada la cosa juzgada formal </w:t>
      </w:r>
      <w:r w:rsidRPr="002F3D0A">
        <w:rPr>
          <w:rFonts w:ascii="Times New Roman" w:hAnsi="Times New Roman" w:cs="Times New Roman"/>
          <w:bCs/>
          <w:color w:val="000000" w:themeColor="text1"/>
          <w:sz w:val="28"/>
          <w:szCs w:val="28"/>
        </w:rPr>
        <w:t>pasa la Sala a evaluar</w:t>
      </w:r>
      <w:r w:rsidRPr="002F3D0A">
        <w:rPr>
          <w:rFonts w:ascii="Times New Roman" w:hAnsi="Times New Roman" w:cs="Times New Roman"/>
          <w:bCs/>
          <w:color w:val="000000" w:themeColor="text1"/>
          <w:sz w:val="28"/>
          <w:szCs w:val="28"/>
        </w:rPr>
        <w:t xml:space="preserve"> </w:t>
      </w:r>
      <w:r w:rsidRPr="002F3D0A">
        <w:rPr>
          <w:rFonts w:ascii="Times New Roman" w:hAnsi="Times New Roman" w:cs="Times New Roman"/>
          <w:b/>
          <w:bCs/>
          <w:color w:val="000000" w:themeColor="text1"/>
          <w:sz w:val="28"/>
          <w:szCs w:val="28"/>
        </w:rPr>
        <w:t>la configuración de la cosa juzgada material</w:t>
      </w:r>
      <w:r w:rsidRPr="002F3D0A">
        <w:rPr>
          <w:rFonts w:ascii="Times New Roman" w:hAnsi="Times New Roman" w:cs="Times New Roman"/>
          <w:bCs/>
          <w:color w:val="000000" w:themeColor="text1"/>
          <w:sz w:val="28"/>
          <w:szCs w:val="28"/>
        </w:rPr>
        <w:t xml:space="preserve">. Este fenómeno </w:t>
      </w:r>
      <w:r w:rsidRPr="002F3D0A">
        <w:rPr>
          <w:rFonts w:ascii="Times New Roman" w:hAnsi="Times New Roman" w:cs="Times New Roman"/>
          <w:bCs/>
          <w:color w:val="000000" w:themeColor="text1"/>
          <w:sz w:val="28"/>
          <w:szCs w:val="28"/>
        </w:rPr>
        <w:t xml:space="preserve">se configura cuando se comprueba la coincidencia del </w:t>
      </w:r>
      <w:r w:rsidRPr="002F3D0A">
        <w:rPr>
          <w:rFonts w:ascii="Times New Roman" w:hAnsi="Times New Roman" w:cs="Times New Roman"/>
          <w:color w:val="000000" w:themeColor="text1"/>
          <w:sz w:val="28"/>
          <w:szCs w:val="28"/>
          <w:shd w:val="clear" w:color="auto" w:fill="FFFFFF"/>
        </w:rPr>
        <w:t>contenido normativo más allá de los aspectos formales que diferencian las disposiciones revisadas o cuando existen varia</w:t>
      </w:r>
      <w:r w:rsidRPr="002F3D0A">
        <w:rPr>
          <w:rFonts w:ascii="Times New Roman" w:hAnsi="Times New Roman" w:cs="Times New Roman"/>
          <w:color w:val="000000" w:themeColor="text1"/>
          <w:sz w:val="28"/>
          <w:szCs w:val="28"/>
          <w:shd w:val="clear" w:color="auto" w:fill="FFFFFF"/>
        </w:rPr>
        <w:t xml:space="preserve">ciones de una misma disposición siempre que no se afecte el sentido esencial del mismo. </w:t>
      </w:r>
      <w:r w:rsidRPr="002F3D0A">
        <w:rPr>
          <w:rFonts w:ascii="Times New Roman" w:hAnsi="Times New Roman" w:cs="Times New Roman"/>
          <w:bCs/>
          <w:color w:val="000000" w:themeColor="text1"/>
          <w:sz w:val="28"/>
          <w:szCs w:val="28"/>
        </w:rPr>
        <w:t>Para determinar la configuración de la cosa juzgada material deben seguirse los siguientes pasos: (i) e</w:t>
      </w:r>
      <w:r w:rsidRPr="002F3D0A">
        <w:rPr>
          <w:rFonts w:ascii="Times New Roman" w:eastAsia="SimSun" w:hAnsi="Times New Roman" w:cs="Times New Roman"/>
          <w:color w:val="000000" w:themeColor="text1"/>
          <w:kern w:val="1"/>
          <w:sz w:val="28"/>
          <w:szCs w:val="28"/>
          <w:lang w:val="es-ES" w:eastAsia="hi-IN" w:bidi="hi-IN"/>
        </w:rPr>
        <w:t>valuar</w:t>
      </w:r>
      <w:r w:rsidRPr="002F3D0A">
        <w:rPr>
          <w:rFonts w:ascii="Times New Roman" w:eastAsia="SimSun" w:hAnsi="Times New Roman" w:cs="Times New Roman"/>
          <w:color w:val="000000" w:themeColor="text1"/>
          <w:kern w:val="1"/>
          <w:sz w:val="28"/>
          <w:szCs w:val="28"/>
          <w:lang w:val="es-ES" w:eastAsia="hi-IN" w:bidi="hi-IN"/>
        </w:rPr>
        <w:t xml:space="preserve"> si existe una decisión de constitucionalidad anterior sobr</w:t>
      </w:r>
      <w:r w:rsidRPr="002F3D0A">
        <w:rPr>
          <w:rFonts w:ascii="Times New Roman" w:eastAsia="SimSun" w:hAnsi="Times New Roman" w:cs="Times New Roman"/>
          <w:color w:val="000000" w:themeColor="text1"/>
          <w:kern w:val="1"/>
          <w:sz w:val="28"/>
          <w:szCs w:val="28"/>
          <w:lang w:val="es-ES" w:eastAsia="hi-IN" w:bidi="hi-IN"/>
        </w:rPr>
        <w:t xml:space="preserve">e una regla de derecho idéntica, pero contenida en otra disposición; (ii) determinar el nivel de “similitud entre los cargos del pasado y del presente </w:t>
      </w:r>
      <w:r w:rsidRPr="002F3D0A">
        <w:rPr>
          <w:rFonts w:ascii="Times New Roman" w:eastAsia="SimSun" w:hAnsi="Times New Roman" w:cs="Times New Roman"/>
          <w:color w:val="000000"/>
          <w:kern w:val="1"/>
          <w:sz w:val="28"/>
          <w:szCs w:val="28"/>
          <w:lang w:val="es-ES" w:eastAsia="hi-IN" w:bidi="hi-IN"/>
        </w:rPr>
        <w:t>y el análisis constitucional de fondo sobre la proposición jurídica”</w:t>
      </w:r>
      <w:r w:rsidRPr="002F3D0A">
        <w:rPr>
          <w:rFonts w:ascii="Times New Roman" w:hAnsi="Times New Roman" w:cs="Times New Roman"/>
          <w:sz w:val="28"/>
          <w:vertAlign w:val="superscript"/>
          <w:lang w:val="es-ES" w:eastAsia="hi-IN" w:bidi="hi-IN"/>
        </w:rPr>
        <w:footnoteReference w:id="38"/>
      </w:r>
      <w:r w:rsidRPr="002F3D0A">
        <w:rPr>
          <w:rFonts w:ascii="Times New Roman" w:eastAsia="SimSun" w:hAnsi="Times New Roman" w:cs="Times New Roman"/>
          <w:color w:val="000000"/>
          <w:kern w:val="1"/>
          <w:sz w:val="28"/>
          <w:szCs w:val="28"/>
          <w:lang w:val="es-ES" w:eastAsia="hi-IN" w:bidi="hi-IN"/>
        </w:rPr>
        <w:t xml:space="preserve">; y (iii) </w:t>
      </w:r>
      <w:r w:rsidRPr="002F3D0A">
        <w:rPr>
          <w:rFonts w:ascii="Times New Roman" w:hAnsi="Times New Roman" w:cs="Times New Roman"/>
          <w:bCs/>
          <w:sz w:val="28"/>
          <w:szCs w:val="28"/>
        </w:rPr>
        <w:t xml:space="preserve">verificar que no </w:t>
      </w:r>
      <w:r w:rsidRPr="002F3D0A">
        <w:rPr>
          <w:rFonts w:ascii="Times New Roman" w:hAnsi="Times New Roman" w:cs="Times New Roman"/>
          <w:bCs/>
          <w:sz w:val="28"/>
          <w:szCs w:val="28"/>
        </w:rPr>
        <w:t xml:space="preserve">exista </w:t>
      </w:r>
      <w:r w:rsidRPr="002F3D0A">
        <w:rPr>
          <w:rFonts w:ascii="Times New Roman" w:hAnsi="Times New Roman" w:cs="Times New Roman"/>
          <w:bCs/>
          <w:sz w:val="28"/>
          <w:szCs w:val="28"/>
        </w:rPr>
        <w:t>una variación en el parámetro de control.</w:t>
      </w:r>
    </w:p>
    <w:p w:rsidR="00014619" w:rsidRPr="002F3D0A" w:rsidRDefault="002F3D0A" w:rsidP="00014619">
      <w:pPr>
        <w:pStyle w:val="Prrafodelista"/>
        <w:rPr>
          <w:rFonts w:ascii="Times New Roman" w:eastAsia="SimSun" w:hAnsi="Times New Roman" w:cs="Times New Roman"/>
          <w:color w:val="000000"/>
          <w:kern w:val="1"/>
          <w:sz w:val="28"/>
          <w:szCs w:val="28"/>
          <w:lang w:val="es-ES" w:eastAsia="hi-IN" w:bidi="hi-IN"/>
        </w:rPr>
      </w:pPr>
    </w:p>
    <w:p w:rsidR="00014619" w:rsidRPr="002F3D0A" w:rsidRDefault="002F3D0A" w:rsidP="00014619">
      <w:pPr>
        <w:pStyle w:val="Prrafodelista"/>
        <w:numPr>
          <w:ilvl w:val="0"/>
          <w:numId w:val="1"/>
        </w:numPr>
        <w:ind w:left="0" w:firstLine="0"/>
        <w:rPr>
          <w:rFonts w:ascii="Times New Roman" w:eastAsia="SimSun" w:hAnsi="Times New Roman" w:cs="Times New Roman"/>
          <w:color w:val="000000"/>
          <w:kern w:val="1"/>
          <w:sz w:val="28"/>
          <w:szCs w:val="28"/>
          <w:lang w:val="es-ES" w:eastAsia="hi-IN" w:bidi="hi-IN"/>
        </w:rPr>
      </w:pPr>
      <w:r w:rsidRPr="002F3D0A">
        <w:rPr>
          <w:rFonts w:ascii="Times New Roman" w:eastAsia="SimSun" w:hAnsi="Times New Roman" w:cs="Times New Roman"/>
          <w:color w:val="000000"/>
          <w:kern w:val="1"/>
          <w:sz w:val="28"/>
          <w:szCs w:val="28"/>
          <w:lang w:val="es-ES" w:eastAsia="hi-IN" w:bidi="hi-IN"/>
        </w:rPr>
        <w:t>En la definición del primer elemento, el juez constitucional debe tener en cuenta algunos criterios que le permitan determinar que, aunque formalmente las disposiciones difieran, materialmente corresponden al mism</w:t>
      </w:r>
      <w:r w:rsidRPr="002F3D0A">
        <w:rPr>
          <w:rFonts w:ascii="Times New Roman" w:eastAsia="SimSun" w:hAnsi="Times New Roman" w:cs="Times New Roman"/>
          <w:color w:val="000000"/>
          <w:kern w:val="1"/>
          <w:sz w:val="28"/>
          <w:szCs w:val="28"/>
          <w:lang w:val="es-ES" w:eastAsia="hi-IN" w:bidi="hi-IN"/>
        </w:rPr>
        <w:t xml:space="preserve">o contenido normativo. Así, </w:t>
      </w:r>
      <w:r w:rsidRPr="002F3D0A">
        <w:rPr>
          <w:rFonts w:ascii="Times New Roman" w:eastAsia="SimSun" w:hAnsi="Times New Roman" w:cs="Times New Roman"/>
          <w:color w:val="000000"/>
          <w:kern w:val="1"/>
          <w:sz w:val="28"/>
          <w:szCs w:val="28"/>
          <w:lang w:val="es-ES" w:eastAsia="hi-IN" w:bidi="hi-IN"/>
        </w:rPr>
        <w:t xml:space="preserve">la jurisprudencia </w:t>
      </w:r>
      <w:r w:rsidRPr="002F3D0A">
        <w:rPr>
          <w:rFonts w:ascii="Times New Roman" w:eastAsia="SimSun" w:hAnsi="Times New Roman" w:cs="Times New Roman"/>
          <w:color w:val="000000"/>
          <w:kern w:val="1"/>
          <w:sz w:val="28"/>
          <w:szCs w:val="28"/>
          <w:lang w:val="es-ES" w:eastAsia="hi-IN" w:bidi="hi-IN"/>
        </w:rPr>
        <w:t xml:space="preserve">ha destacado que en el examen de la coincidencia material entre las disposiciones </w:t>
      </w:r>
      <w:r w:rsidRPr="002F3D0A">
        <w:rPr>
          <w:rFonts w:ascii="Times New Roman" w:eastAsia="SimSun" w:hAnsi="Times New Roman" w:cs="Times New Roman"/>
          <w:color w:val="000000"/>
          <w:kern w:val="1"/>
          <w:sz w:val="28"/>
          <w:szCs w:val="28"/>
          <w:lang w:val="es-ES" w:eastAsia="hi-IN" w:bidi="hi-IN"/>
        </w:rPr>
        <w:t xml:space="preserve">la Corte </w:t>
      </w:r>
      <w:r w:rsidRPr="002F3D0A">
        <w:rPr>
          <w:rFonts w:ascii="Times New Roman" w:eastAsia="SimSun" w:hAnsi="Times New Roman" w:cs="Times New Roman"/>
          <w:color w:val="000000"/>
          <w:kern w:val="1"/>
          <w:sz w:val="28"/>
          <w:szCs w:val="28"/>
          <w:lang w:val="es-ES" w:eastAsia="hi-IN" w:bidi="hi-IN"/>
        </w:rPr>
        <w:t>debe establecer que: (i) los efectos jurídicos de las normas sean exactamente los mismos; y (ii) la coincidencia del co</w:t>
      </w:r>
      <w:r w:rsidRPr="002F3D0A">
        <w:rPr>
          <w:rFonts w:ascii="Times New Roman" w:eastAsia="SimSun" w:hAnsi="Times New Roman" w:cs="Times New Roman"/>
          <w:color w:val="000000"/>
          <w:kern w:val="1"/>
          <w:sz w:val="28"/>
          <w:szCs w:val="28"/>
          <w:lang w:val="es-ES" w:eastAsia="hi-IN" w:bidi="hi-IN"/>
        </w:rPr>
        <w:t>ntexto normativo y fáctico</w:t>
      </w:r>
      <w:r w:rsidRPr="002F3D0A">
        <w:rPr>
          <w:rStyle w:val="Refdenotaalpie"/>
          <w:rFonts w:ascii="Times New Roman" w:eastAsia="SimSun" w:hAnsi="Times New Roman" w:cs="Times New Roman"/>
          <w:color w:val="000000"/>
          <w:kern w:val="1"/>
          <w:sz w:val="28"/>
          <w:szCs w:val="28"/>
          <w:lang w:val="es-ES" w:eastAsia="hi-IN" w:bidi="hi-IN"/>
        </w:rPr>
        <w:footnoteReference w:id="39"/>
      </w:r>
      <w:r w:rsidRPr="002F3D0A">
        <w:rPr>
          <w:rFonts w:ascii="Times New Roman" w:eastAsia="SimSun" w:hAnsi="Times New Roman" w:cs="Times New Roman"/>
          <w:color w:val="000000"/>
          <w:kern w:val="1"/>
          <w:sz w:val="28"/>
          <w:szCs w:val="28"/>
          <w:lang w:val="es-ES" w:eastAsia="hi-IN" w:bidi="hi-IN"/>
        </w:rPr>
        <w:t>.</w:t>
      </w:r>
    </w:p>
    <w:p w:rsidR="00014619" w:rsidRPr="002F3D0A" w:rsidRDefault="002F3D0A" w:rsidP="00014619">
      <w:pPr>
        <w:pStyle w:val="Prrafodelista"/>
        <w:ind w:left="0"/>
        <w:rPr>
          <w:rFonts w:ascii="Times New Roman" w:eastAsia="Calibri" w:hAnsi="Times New Roman" w:cs="Times New Roman"/>
          <w:color w:val="000000" w:themeColor="text1"/>
          <w:sz w:val="28"/>
          <w:szCs w:val="28"/>
          <w:lang w:val="es-ES"/>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Ahora bien, la cosa juzgada material, a su vez, se ha </w:t>
      </w:r>
      <w:r w:rsidRPr="002F3D0A">
        <w:rPr>
          <w:rFonts w:ascii="Times New Roman" w:hAnsi="Times New Roman" w:cs="Times New Roman"/>
          <w:bCs/>
          <w:sz w:val="28"/>
          <w:szCs w:val="28"/>
        </w:rPr>
        <w:t xml:space="preserve">clasificado </w:t>
      </w:r>
      <w:r w:rsidRPr="002F3D0A">
        <w:rPr>
          <w:rFonts w:ascii="Times New Roman" w:hAnsi="Times New Roman" w:cs="Times New Roman"/>
          <w:bCs/>
          <w:sz w:val="28"/>
          <w:szCs w:val="28"/>
        </w:rPr>
        <w:t>entre cosa juzgada material en sentido estricto y cosa juzgada material en sentido amplio</w:t>
      </w:r>
      <w:r w:rsidRPr="002F3D0A">
        <w:rPr>
          <w:rFonts w:ascii="Times New Roman" w:hAnsi="Times New Roman" w:cs="Times New Roman"/>
          <w:bCs/>
          <w:sz w:val="28"/>
          <w:szCs w:val="28"/>
        </w:rPr>
        <w:t xml:space="preserve">. Estas categorías </w:t>
      </w:r>
      <w:r w:rsidRPr="002F3D0A">
        <w:rPr>
          <w:rFonts w:ascii="Times New Roman" w:hAnsi="Times New Roman" w:cs="Times New Roman"/>
          <w:bCs/>
          <w:sz w:val="28"/>
          <w:szCs w:val="28"/>
        </w:rPr>
        <w:t xml:space="preserve">atienden al </w:t>
      </w:r>
      <w:r w:rsidRPr="002F3D0A">
        <w:rPr>
          <w:rFonts w:ascii="Times New Roman" w:hAnsi="Times New Roman" w:cs="Times New Roman"/>
          <w:bCs/>
          <w:sz w:val="28"/>
          <w:szCs w:val="28"/>
        </w:rPr>
        <w:t xml:space="preserve">sentido de la decisión de constitucionalidad, </w:t>
      </w:r>
      <w:r w:rsidRPr="002F3D0A">
        <w:rPr>
          <w:rFonts w:ascii="Times New Roman" w:hAnsi="Times New Roman" w:cs="Times New Roman"/>
          <w:bCs/>
          <w:sz w:val="28"/>
          <w:szCs w:val="28"/>
        </w:rPr>
        <w:t>tal y como se ilustra en la siguiente tabla:</w:t>
      </w:r>
    </w:p>
    <w:p w:rsidR="006B0E25" w:rsidRPr="002F3D0A" w:rsidRDefault="002F3D0A" w:rsidP="00014619">
      <w:pPr>
        <w:pStyle w:val="Prrafodelista"/>
        <w:ind w:left="0"/>
        <w:rPr>
          <w:rFonts w:ascii="Times New Roman" w:hAnsi="Times New Roman" w:cs="Times New Roman"/>
          <w:bCs/>
          <w:sz w:val="28"/>
          <w:szCs w:val="28"/>
        </w:rPr>
      </w:pPr>
    </w:p>
    <w:p w:rsidR="006B0E25" w:rsidRPr="002F3D0A" w:rsidRDefault="002F3D0A" w:rsidP="00AB4816">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Tabla</w:t>
      </w:r>
      <w:r w:rsidRPr="002F3D0A">
        <w:rPr>
          <w:rFonts w:ascii="Times New Roman" w:hAnsi="Times New Roman" w:cs="Times New Roman"/>
          <w:b/>
          <w:bCs/>
          <w:sz w:val="28"/>
          <w:szCs w:val="24"/>
        </w:rPr>
        <w:t xml:space="preserve"> 4</w:t>
      </w:r>
      <w:r w:rsidRPr="002F3D0A">
        <w:rPr>
          <w:rFonts w:ascii="Times New Roman" w:hAnsi="Times New Roman" w:cs="Times New Roman"/>
          <w:b/>
          <w:bCs/>
          <w:sz w:val="28"/>
          <w:szCs w:val="24"/>
        </w:rPr>
        <w:t>- Los elementos de la cosa juzgada material y su tipología</w:t>
      </w:r>
    </w:p>
    <w:p w:rsidR="00014619" w:rsidRPr="002F3D0A" w:rsidRDefault="002F3D0A" w:rsidP="00AB4816">
      <w:pPr>
        <w:pStyle w:val="Prrafodelista"/>
        <w:ind w:left="0"/>
        <w:jc w:val="center"/>
        <w:rPr>
          <w:rFonts w:ascii="Times New Roman" w:hAnsi="Times New Roman" w:cs="Times New Roman"/>
          <w:bCs/>
          <w:sz w:val="28"/>
          <w:szCs w:val="28"/>
        </w:rPr>
      </w:pPr>
    </w:p>
    <w:tbl>
      <w:tblPr>
        <w:tblStyle w:val="Tablaconcuadrcula"/>
        <w:tblW w:w="0" w:type="auto"/>
        <w:tblLook w:val="04A0" w:firstRow="1" w:lastRow="0" w:firstColumn="1" w:lastColumn="0" w:noHBand="0" w:noVBand="1"/>
      </w:tblPr>
      <w:tblGrid>
        <w:gridCol w:w="1083"/>
        <w:gridCol w:w="1747"/>
        <w:gridCol w:w="3828"/>
        <w:gridCol w:w="2172"/>
      </w:tblGrid>
      <w:tr w:rsidR="00014619" w:rsidRPr="002F3D0A" w:rsidTr="00A01DE6">
        <w:tc>
          <w:tcPr>
            <w:tcW w:w="1083" w:type="dxa"/>
            <w:shd w:val="clear" w:color="auto" w:fill="D5DCE4" w:themeFill="text2" w:themeFillTint="33"/>
          </w:tcPr>
          <w:p w:rsidR="00014619"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Tipo</w:t>
            </w:r>
          </w:p>
        </w:tc>
        <w:tc>
          <w:tcPr>
            <w:tcW w:w="1747" w:type="dxa"/>
            <w:shd w:val="clear" w:color="auto" w:fill="D5DCE4" w:themeFill="text2" w:themeFillTint="33"/>
          </w:tcPr>
          <w:p w:rsidR="00014619"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Alcance</w:t>
            </w:r>
          </w:p>
        </w:tc>
        <w:tc>
          <w:tcPr>
            <w:tcW w:w="3828" w:type="dxa"/>
            <w:shd w:val="clear" w:color="auto" w:fill="D5DCE4" w:themeFill="text2" w:themeFillTint="33"/>
          </w:tcPr>
          <w:p w:rsidR="00014619" w:rsidRPr="002F3D0A" w:rsidRDefault="002F3D0A" w:rsidP="00014619">
            <w:pPr>
              <w:pStyle w:val="Prrafodelista"/>
              <w:ind w:left="0"/>
              <w:jc w:val="center"/>
              <w:rPr>
                <w:rFonts w:ascii="Times New Roman" w:hAnsi="Times New Roman" w:cs="Times New Roman"/>
                <w:b/>
                <w:bCs/>
                <w:sz w:val="28"/>
                <w:szCs w:val="24"/>
                <w:lang w:val="es-ES"/>
              </w:rPr>
            </w:pPr>
          </w:p>
          <w:p w:rsidR="00014619" w:rsidRPr="002F3D0A" w:rsidRDefault="002F3D0A" w:rsidP="00014619">
            <w:pPr>
              <w:pStyle w:val="Prrafodelista"/>
              <w:ind w:left="0"/>
              <w:jc w:val="center"/>
              <w:rPr>
                <w:rFonts w:ascii="Times New Roman" w:hAnsi="Times New Roman" w:cs="Times New Roman"/>
                <w:b/>
                <w:bCs/>
                <w:sz w:val="28"/>
                <w:szCs w:val="24"/>
                <w:lang w:val="es-ES"/>
              </w:rPr>
            </w:pPr>
            <w:r w:rsidRPr="002F3D0A">
              <w:rPr>
                <w:rFonts w:ascii="Times New Roman" w:hAnsi="Times New Roman" w:cs="Times New Roman"/>
                <w:b/>
                <w:bCs/>
                <w:sz w:val="28"/>
                <w:szCs w:val="24"/>
                <w:lang w:val="es-ES"/>
              </w:rPr>
              <w:t>Elementos</w:t>
            </w:r>
          </w:p>
        </w:tc>
        <w:tc>
          <w:tcPr>
            <w:tcW w:w="2172" w:type="dxa"/>
            <w:shd w:val="clear" w:color="auto" w:fill="D5DCE4" w:themeFill="text2" w:themeFillTint="33"/>
          </w:tcPr>
          <w:p w:rsidR="00014619" w:rsidRPr="002F3D0A" w:rsidRDefault="002F3D0A" w:rsidP="00014619">
            <w:pPr>
              <w:pStyle w:val="Prrafodelista"/>
              <w:ind w:left="0"/>
              <w:jc w:val="center"/>
              <w:rPr>
                <w:rFonts w:ascii="Times New Roman" w:hAnsi="Times New Roman" w:cs="Times New Roman"/>
                <w:b/>
                <w:bCs/>
                <w:sz w:val="28"/>
                <w:szCs w:val="24"/>
                <w:lang w:val="es-ES"/>
              </w:rPr>
            </w:pPr>
          </w:p>
          <w:p w:rsidR="00014619" w:rsidRPr="002F3D0A" w:rsidRDefault="002F3D0A" w:rsidP="0051495F">
            <w:pPr>
              <w:pStyle w:val="Prrafodelista"/>
              <w:ind w:left="0"/>
              <w:jc w:val="center"/>
              <w:rPr>
                <w:rFonts w:ascii="Times New Roman" w:hAnsi="Times New Roman" w:cs="Times New Roman"/>
                <w:b/>
                <w:bCs/>
                <w:sz w:val="28"/>
                <w:szCs w:val="24"/>
                <w:lang w:val="es-ES"/>
              </w:rPr>
            </w:pPr>
            <w:r w:rsidRPr="002F3D0A">
              <w:rPr>
                <w:rFonts w:ascii="Times New Roman" w:hAnsi="Times New Roman" w:cs="Times New Roman"/>
                <w:b/>
                <w:bCs/>
                <w:sz w:val="28"/>
                <w:szCs w:val="24"/>
                <w:lang w:val="es-ES"/>
              </w:rPr>
              <w:t>Efecto</w:t>
            </w:r>
          </w:p>
        </w:tc>
      </w:tr>
      <w:tr w:rsidR="00014619" w:rsidRPr="002F3D0A" w:rsidTr="006B0E25">
        <w:tc>
          <w:tcPr>
            <w:tcW w:w="1083" w:type="dxa"/>
          </w:tcPr>
          <w:p w:rsidR="00014619" w:rsidRPr="002F3D0A" w:rsidRDefault="002F3D0A" w:rsidP="00014619">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 xml:space="preserve">Cosa juzgada material en sentido estricto </w:t>
            </w:r>
          </w:p>
        </w:tc>
        <w:tc>
          <w:tcPr>
            <w:tcW w:w="1747" w:type="dxa"/>
          </w:tcPr>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Existe una sentencia previa que declaró la inexequibilidad del mismo contenido normativo que se demanda.</w:t>
            </w:r>
          </w:p>
          <w:p w:rsidR="00014619" w:rsidRPr="002F3D0A" w:rsidRDefault="002F3D0A" w:rsidP="00014619">
            <w:pPr>
              <w:pStyle w:val="Prrafodelista"/>
              <w:ind w:left="0"/>
              <w:rPr>
                <w:rFonts w:ascii="Times New Roman" w:hAnsi="Times New Roman" w:cs="Times New Roman"/>
                <w:bCs/>
                <w:sz w:val="28"/>
                <w:szCs w:val="24"/>
              </w:rPr>
            </w:pP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La decisión de inexequibilidad se sustentó en razones de fondo y no en vicios formales.</w:t>
            </w:r>
          </w:p>
        </w:tc>
        <w:tc>
          <w:tcPr>
            <w:tcW w:w="3828" w:type="dxa"/>
          </w:tcPr>
          <w:p w:rsidR="00014619" w:rsidRPr="002F3D0A" w:rsidRDefault="002F3D0A" w:rsidP="00014619">
            <w:pPr>
              <w:pStyle w:val="Prrafodelista"/>
              <w:ind w:left="0"/>
              <w:rPr>
                <w:rFonts w:ascii="Times New Roman" w:hAnsi="Times New Roman" w:cs="Times New Roman"/>
                <w:bCs/>
                <w:iCs/>
                <w:sz w:val="28"/>
                <w:szCs w:val="24"/>
                <w:lang w:val="es-ES"/>
              </w:rPr>
            </w:pPr>
            <w:r w:rsidRPr="002F3D0A">
              <w:rPr>
                <w:rFonts w:ascii="Times New Roman" w:hAnsi="Times New Roman" w:cs="Times New Roman"/>
                <w:bCs/>
                <w:sz w:val="28"/>
                <w:szCs w:val="24"/>
                <w:lang w:val="es-ES"/>
              </w:rPr>
              <w:t xml:space="preserve">1. </w:t>
            </w:r>
            <w:r w:rsidRPr="002F3D0A">
              <w:rPr>
                <w:rFonts w:ascii="Times New Roman" w:hAnsi="Times New Roman" w:cs="Times New Roman"/>
                <w:bCs/>
                <w:sz w:val="28"/>
                <w:szCs w:val="24"/>
                <w:lang w:val="es-ES"/>
              </w:rPr>
              <w:t>Un</w:t>
            </w:r>
            <w:r w:rsidRPr="002F3D0A">
              <w:rPr>
                <w:rFonts w:ascii="Times New Roman" w:hAnsi="Times New Roman" w:cs="Times New Roman"/>
                <w:bCs/>
                <w:iCs/>
                <w:sz w:val="28"/>
                <w:szCs w:val="24"/>
                <w:lang w:val="es-ES"/>
              </w:rPr>
              <w:t>a norma declarada inexequible previamente</w:t>
            </w:r>
            <w:r w:rsidRPr="002F3D0A">
              <w:rPr>
                <w:rFonts w:ascii="Times New Roman" w:hAnsi="Times New Roman" w:cs="Times New Roman"/>
                <w:bCs/>
                <w:iCs/>
                <w:sz w:val="28"/>
                <w:szCs w:val="24"/>
                <w:lang w:val="es-ES"/>
              </w:rPr>
              <w:t xml:space="preserve"> por razones de fondo</w:t>
            </w:r>
            <w:r w:rsidRPr="002F3D0A">
              <w:rPr>
                <w:rFonts w:ascii="Times New Roman" w:hAnsi="Times New Roman" w:cs="Times New Roman"/>
                <w:bCs/>
                <w:iCs/>
                <w:sz w:val="28"/>
                <w:szCs w:val="24"/>
                <w:lang w:val="es-ES"/>
              </w:rPr>
              <w:t>.</w:t>
            </w:r>
          </w:p>
          <w:p w:rsidR="00254E64" w:rsidRPr="002F3D0A" w:rsidRDefault="002F3D0A" w:rsidP="00014619">
            <w:pPr>
              <w:pStyle w:val="Prrafodelista"/>
              <w:ind w:left="0"/>
              <w:rPr>
                <w:rFonts w:ascii="Times New Roman" w:hAnsi="Times New Roman" w:cs="Times New Roman"/>
                <w:bCs/>
                <w:iCs/>
                <w:sz w:val="28"/>
                <w:szCs w:val="24"/>
                <w:lang w:val="es-ES"/>
              </w:rPr>
            </w:pPr>
          </w:p>
          <w:p w:rsidR="00014619" w:rsidRPr="002F3D0A" w:rsidRDefault="002F3D0A" w:rsidP="00014619">
            <w:pPr>
              <w:pStyle w:val="Prrafodelista"/>
              <w:ind w:left="0"/>
              <w:rPr>
                <w:rFonts w:ascii="Times New Roman" w:hAnsi="Times New Roman" w:cs="Times New Roman"/>
                <w:bCs/>
                <w:sz w:val="28"/>
                <w:szCs w:val="24"/>
                <w:lang w:val="es-ES"/>
              </w:rPr>
            </w:pPr>
            <w:r w:rsidRPr="002F3D0A">
              <w:rPr>
                <w:rFonts w:ascii="Times New Roman" w:hAnsi="Times New Roman" w:cs="Times New Roman"/>
                <w:bCs/>
                <w:iCs/>
                <w:sz w:val="28"/>
                <w:szCs w:val="24"/>
                <w:lang w:val="es-ES"/>
              </w:rPr>
              <w:t xml:space="preserve">2. </w:t>
            </w:r>
            <w:r w:rsidRPr="002F3D0A">
              <w:rPr>
                <w:rFonts w:ascii="Times New Roman" w:hAnsi="Times New Roman" w:cs="Times New Roman"/>
                <w:bCs/>
                <w:iCs/>
                <w:sz w:val="28"/>
                <w:szCs w:val="24"/>
                <w:lang w:val="es-ES"/>
              </w:rPr>
              <w:t>Una demanda contra una misma norma, esto es, que el contenido material del texto examinado sea igual a aquel que fue declarado inexequible por razones de fondo.</w:t>
            </w:r>
          </w:p>
          <w:p w:rsidR="00254E64" w:rsidRPr="002F3D0A" w:rsidRDefault="002F3D0A" w:rsidP="00254E64">
            <w:pPr>
              <w:pStyle w:val="Prrafodelista"/>
              <w:ind w:left="0"/>
              <w:rPr>
                <w:rFonts w:ascii="Times New Roman" w:hAnsi="Times New Roman" w:cs="Times New Roman"/>
                <w:bCs/>
                <w:iCs/>
                <w:sz w:val="28"/>
                <w:szCs w:val="24"/>
              </w:rPr>
            </w:pPr>
            <w:r w:rsidRPr="002F3D0A">
              <w:rPr>
                <w:rFonts w:ascii="Times New Roman" w:hAnsi="Times New Roman" w:cs="Times New Roman"/>
                <w:bCs/>
                <w:iCs/>
                <w:sz w:val="28"/>
                <w:szCs w:val="24"/>
              </w:rPr>
              <w:t xml:space="preserve"> </w:t>
            </w:r>
          </w:p>
          <w:p w:rsidR="00014619" w:rsidRPr="002F3D0A" w:rsidRDefault="002F3D0A" w:rsidP="00254E64">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3.</w:t>
            </w:r>
            <w:r w:rsidRPr="002F3D0A">
              <w:rPr>
                <w:rFonts w:ascii="Times New Roman" w:hAnsi="Times New Roman" w:cs="Times New Roman"/>
                <w:bCs/>
                <w:sz w:val="28"/>
                <w:szCs w:val="24"/>
              </w:rPr>
              <w:t> S</w:t>
            </w:r>
            <w:r w:rsidRPr="002F3D0A">
              <w:rPr>
                <w:rFonts w:ascii="Times New Roman" w:hAnsi="Times New Roman" w:cs="Times New Roman"/>
                <w:bCs/>
                <w:iCs/>
                <w:sz w:val="28"/>
                <w:szCs w:val="24"/>
                <w:lang w:val="es-ES"/>
              </w:rPr>
              <w:t>ubsisten</w:t>
            </w:r>
            <w:r w:rsidRPr="002F3D0A">
              <w:rPr>
                <w:rFonts w:ascii="Times New Roman" w:hAnsi="Times New Roman" w:cs="Times New Roman"/>
                <w:bCs/>
                <w:iCs/>
                <w:sz w:val="28"/>
                <w:szCs w:val="24"/>
                <w:lang w:val="es-ES"/>
              </w:rPr>
              <w:t xml:space="preserve"> las disposiciones constitucionales que sirvieron de sustento a la decisión de inexequibilidad.</w:t>
            </w:r>
          </w:p>
        </w:tc>
        <w:tc>
          <w:tcPr>
            <w:tcW w:w="2172" w:type="dxa"/>
          </w:tcPr>
          <w:p w:rsidR="00014619" w:rsidRPr="002F3D0A" w:rsidRDefault="002F3D0A" w:rsidP="00014619">
            <w:pPr>
              <w:pStyle w:val="Prrafodelista"/>
              <w:ind w:left="0"/>
              <w:rPr>
                <w:rFonts w:ascii="Times New Roman" w:hAnsi="Times New Roman" w:cs="Times New Roman"/>
                <w:bCs/>
                <w:sz w:val="28"/>
                <w:szCs w:val="24"/>
                <w:lang w:val="es-ES"/>
              </w:rPr>
            </w:pPr>
            <w:r w:rsidRPr="002F3D0A">
              <w:rPr>
                <w:rFonts w:ascii="Times New Roman" w:hAnsi="Times New Roman" w:cs="Times New Roman"/>
                <w:bCs/>
                <w:sz w:val="28"/>
                <w:szCs w:val="24"/>
              </w:rPr>
              <w:t>Declarar la inexequibilidad de la nueva norma objeto de análisis.</w:t>
            </w:r>
          </w:p>
        </w:tc>
      </w:tr>
      <w:tr w:rsidR="00014619" w:rsidRPr="002F3D0A" w:rsidTr="006B0E25">
        <w:trPr>
          <w:trHeight w:val="85"/>
        </w:trPr>
        <w:tc>
          <w:tcPr>
            <w:tcW w:w="1083" w:type="dxa"/>
          </w:tcPr>
          <w:p w:rsidR="00014619" w:rsidRPr="002F3D0A" w:rsidRDefault="002F3D0A" w:rsidP="00014619">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Cosa juzgada material en sentido amplio o lato</w:t>
            </w:r>
          </w:p>
        </w:tc>
        <w:tc>
          <w:tcPr>
            <w:tcW w:w="1747" w:type="dxa"/>
          </w:tcPr>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Existe una sentencia previa que declara la exe</w:t>
            </w:r>
            <w:r w:rsidRPr="002F3D0A">
              <w:rPr>
                <w:rFonts w:ascii="Times New Roman" w:hAnsi="Times New Roman" w:cs="Times New Roman"/>
                <w:bCs/>
                <w:sz w:val="28"/>
                <w:szCs w:val="24"/>
              </w:rPr>
              <w:t>quibilidad o exequibilidad condicionada del mismo contenido normativo que se demanda.</w:t>
            </w:r>
          </w:p>
          <w:p w:rsidR="00014619" w:rsidRPr="002F3D0A" w:rsidRDefault="002F3D0A" w:rsidP="00014619">
            <w:pPr>
              <w:pStyle w:val="Prrafodelista"/>
              <w:ind w:left="0"/>
              <w:rPr>
                <w:rFonts w:ascii="Times New Roman" w:hAnsi="Times New Roman" w:cs="Times New Roman"/>
                <w:bCs/>
                <w:sz w:val="28"/>
                <w:szCs w:val="24"/>
              </w:rPr>
            </w:pP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La decisión de exequibilidad se sustentó en razones de fondo y no en vicios formales.</w:t>
            </w:r>
          </w:p>
        </w:tc>
        <w:tc>
          <w:tcPr>
            <w:tcW w:w="3828" w:type="dxa"/>
          </w:tcPr>
          <w:p w:rsidR="00014619" w:rsidRPr="002F3D0A" w:rsidRDefault="002F3D0A" w:rsidP="00014619">
            <w:pPr>
              <w:pStyle w:val="Prrafodelista"/>
              <w:ind w:left="0"/>
              <w:rPr>
                <w:rFonts w:ascii="Times New Roman" w:hAnsi="Times New Roman" w:cs="Times New Roman"/>
                <w:bCs/>
                <w:sz w:val="28"/>
                <w:szCs w:val="24"/>
                <w:lang w:val="es-ES"/>
              </w:rPr>
            </w:pPr>
            <w:r w:rsidRPr="002F3D0A">
              <w:rPr>
                <w:rFonts w:ascii="Times New Roman" w:hAnsi="Times New Roman" w:cs="Times New Roman"/>
                <w:bCs/>
                <w:sz w:val="28"/>
                <w:szCs w:val="24"/>
                <w:lang w:val="es-ES"/>
              </w:rPr>
              <w:t>1.</w:t>
            </w:r>
            <w:r w:rsidRPr="002F3D0A">
              <w:rPr>
                <w:rFonts w:ascii="Times New Roman" w:hAnsi="Times New Roman" w:cs="Times New Roman"/>
                <w:bCs/>
                <w:sz w:val="28"/>
                <w:szCs w:val="24"/>
                <w:lang w:val="es-ES"/>
              </w:rPr>
              <w:t xml:space="preserve"> Una norma declarada exequible o exequible condicionada</w:t>
            </w:r>
            <w:r w:rsidRPr="002F3D0A">
              <w:rPr>
                <w:rFonts w:ascii="Times New Roman" w:hAnsi="Times New Roman" w:cs="Times New Roman"/>
                <w:bCs/>
                <w:sz w:val="28"/>
                <w:szCs w:val="24"/>
                <w:lang w:val="es-ES"/>
              </w:rPr>
              <w:t xml:space="preserve"> por razones de fondo</w:t>
            </w:r>
            <w:r w:rsidRPr="002F3D0A">
              <w:rPr>
                <w:rFonts w:ascii="Times New Roman" w:hAnsi="Times New Roman" w:cs="Times New Roman"/>
                <w:bCs/>
                <w:sz w:val="28"/>
                <w:szCs w:val="24"/>
                <w:lang w:val="es-ES"/>
              </w:rPr>
              <w:t>.</w:t>
            </w:r>
          </w:p>
          <w:p w:rsidR="00254E64" w:rsidRPr="002F3D0A" w:rsidRDefault="002F3D0A" w:rsidP="00014619">
            <w:pPr>
              <w:pStyle w:val="Prrafodelista"/>
              <w:ind w:left="0"/>
              <w:rPr>
                <w:rFonts w:ascii="Times New Roman" w:hAnsi="Times New Roman" w:cs="Times New Roman"/>
                <w:bCs/>
                <w:iCs/>
                <w:sz w:val="28"/>
                <w:szCs w:val="24"/>
                <w:lang w:val="es-ES"/>
              </w:rPr>
            </w:pPr>
          </w:p>
          <w:p w:rsidR="00014619" w:rsidRPr="002F3D0A" w:rsidRDefault="002F3D0A" w:rsidP="00014619">
            <w:pPr>
              <w:pStyle w:val="Prrafodelista"/>
              <w:ind w:left="0"/>
              <w:rPr>
                <w:rFonts w:ascii="Times New Roman" w:hAnsi="Times New Roman" w:cs="Times New Roman"/>
                <w:bCs/>
                <w:iCs/>
                <w:sz w:val="28"/>
                <w:szCs w:val="24"/>
              </w:rPr>
            </w:pPr>
            <w:r w:rsidRPr="002F3D0A">
              <w:rPr>
                <w:rFonts w:ascii="Times New Roman" w:hAnsi="Times New Roman" w:cs="Times New Roman"/>
                <w:bCs/>
                <w:iCs/>
                <w:sz w:val="28"/>
                <w:szCs w:val="24"/>
                <w:lang w:val="es-ES"/>
              </w:rPr>
              <w:t xml:space="preserve">2. </w:t>
            </w:r>
            <w:r w:rsidRPr="002F3D0A">
              <w:rPr>
                <w:rFonts w:ascii="Times New Roman" w:hAnsi="Times New Roman" w:cs="Times New Roman"/>
                <w:bCs/>
                <w:iCs/>
                <w:sz w:val="28"/>
                <w:szCs w:val="24"/>
                <w:lang w:val="es-ES"/>
              </w:rPr>
              <w:t xml:space="preserve">Una demanda contra un mismo sentido normativo, esto es, que el contenido material del texto examinado </w:t>
            </w:r>
            <w:r w:rsidRPr="002F3D0A">
              <w:rPr>
                <w:rFonts w:ascii="Times New Roman" w:hAnsi="Times New Roman" w:cs="Times New Roman"/>
                <w:bCs/>
                <w:iCs/>
                <w:sz w:val="28"/>
                <w:szCs w:val="24"/>
                <w:lang w:val="es-ES"/>
              </w:rPr>
              <w:t xml:space="preserve">sea </w:t>
            </w:r>
            <w:r w:rsidRPr="002F3D0A">
              <w:rPr>
                <w:rFonts w:ascii="Times New Roman" w:hAnsi="Times New Roman" w:cs="Times New Roman"/>
                <w:bCs/>
                <w:iCs/>
                <w:sz w:val="28"/>
                <w:szCs w:val="24"/>
                <w:lang w:val="es-ES"/>
              </w:rPr>
              <w:t>igual a aquel que fue declarado exequible o exequible condicionado.</w:t>
            </w:r>
          </w:p>
          <w:p w:rsidR="00254E64" w:rsidRPr="002F3D0A" w:rsidRDefault="002F3D0A" w:rsidP="00014619">
            <w:pPr>
              <w:pStyle w:val="Prrafodelista"/>
              <w:ind w:left="0"/>
              <w:rPr>
                <w:rFonts w:ascii="Times New Roman" w:hAnsi="Times New Roman" w:cs="Times New Roman"/>
                <w:sz w:val="28"/>
                <w:szCs w:val="24"/>
              </w:rPr>
            </w:pP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sz w:val="28"/>
                <w:szCs w:val="24"/>
              </w:rPr>
              <w:t>3.</w:t>
            </w:r>
            <w:r w:rsidRPr="002F3D0A">
              <w:rPr>
                <w:rFonts w:ascii="Times New Roman" w:hAnsi="Times New Roman" w:cs="Times New Roman"/>
                <w:sz w:val="28"/>
                <w:szCs w:val="24"/>
              </w:rPr>
              <w:t xml:space="preserve"> I</w:t>
            </w:r>
            <w:r w:rsidRPr="002F3D0A">
              <w:rPr>
                <w:rFonts w:ascii="Times New Roman" w:hAnsi="Times New Roman" w:cs="Times New Roman"/>
                <w:bCs/>
                <w:sz w:val="28"/>
                <w:szCs w:val="24"/>
              </w:rPr>
              <w:t>dentidad entre los cargo</w:t>
            </w:r>
            <w:r w:rsidRPr="002F3D0A">
              <w:rPr>
                <w:rFonts w:ascii="Times New Roman" w:hAnsi="Times New Roman" w:cs="Times New Roman"/>
                <w:bCs/>
                <w:sz w:val="28"/>
                <w:szCs w:val="24"/>
              </w:rPr>
              <w:t>s de inconstitucionalidad</w:t>
            </w:r>
            <w:r w:rsidRPr="002F3D0A">
              <w:rPr>
                <w:rFonts w:ascii="Times New Roman" w:hAnsi="Times New Roman" w:cs="Times New Roman"/>
                <w:bCs/>
                <w:sz w:val="28"/>
                <w:szCs w:val="24"/>
              </w:rPr>
              <w:t>.</w:t>
            </w:r>
          </w:p>
          <w:p w:rsidR="00254E64" w:rsidRPr="002F3D0A" w:rsidRDefault="002F3D0A" w:rsidP="00254E64">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 </w:t>
            </w:r>
          </w:p>
          <w:p w:rsidR="006B0E25" w:rsidRPr="002F3D0A" w:rsidRDefault="002F3D0A" w:rsidP="006B0E25">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4</w:t>
            </w:r>
            <w:r w:rsidRPr="002F3D0A">
              <w:rPr>
                <w:rFonts w:ascii="Times New Roman" w:hAnsi="Times New Roman" w:cs="Times New Roman"/>
                <w:bCs/>
                <w:sz w:val="28"/>
                <w:szCs w:val="24"/>
              </w:rPr>
              <w:t xml:space="preserve">. </w:t>
            </w:r>
            <w:r w:rsidRPr="002F3D0A">
              <w:rPr>
                <w:rFonts w:ascii="Times New Roman" w:hAnsi="Times New Roman" w:cs="Times New Roman"/>
                <w:bCs/>
                <w:sz w:val="28"/>
                <w:szCs w:val="24"/>
              </w:rPr>
              <w:t>No se presente una</w:t>
            </w:r>
            <w:r w:rsidRPr="002F3D0A">
              <w:rPr>
                <w:rFonts w:ascii="Times New Roman" w:hAnsi="Times New Roman" w:cs="Times New Roman"/>
                <w:bCs/>
                <w:sz w:val="28"/>
                <w:szCs w:val="24"/>
              </w:rPr>
              <w:t xml:space="preserve"> variación de </w:t>
            </w:r>
            <w:r w:rsidRPr="002F3D0A">
              <w:rPr>
                <w:rFonts w:ascii="Times New Roman" w:hAnsi="Times New Roman" w:cs="Times New Roman"/>
                <w:bCs/>
                <w:iCs/>
                <w:sz w:val="28"/>
                <w:szCs w:val="24"/>
                <w:lang w:val="es-ES"/>
              </w:rPr>
              <w:t>las disposiciones constitucionales que sirvieron de sustento a la decisión de exequibilidad o exequibilidad condicionada.</w:t>
            </w:r>
          </w:p>
        </w:tc>
        <w:tc>
          <w:tcPr>
            <w:tcW w:w="2172" w:type="dxa"/>
          </w:tcPr>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Estarse a lo resuelto en la sentencia que se pronunció sobre la disposición con el mismo contenido normativo y declarar:</w:t>
            </w: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(i)  la exequibilidad simple o</w:t>
            </w: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(ii) la exequibilidad condicionada de la disposición acusada, lo cual incluye la reproducción de los condicionamientos exigidos por la Corte</w:t>
            </w:r>
            <w:r w:rsidRPr="002F3D0A">
              <w:rPr>
                <w:rStyle w:val="Refdenotaalpie"/>
                <w:rFonts w:ascii="Times New Roman" w:hAnsi="Times New Roman" w:cs="Times New Roman"/>
                <w:bCs/>
                <w:sz w:val="28"/>
                <w:szCs w:val="24"/>
              </w:rPr>
              <w:footnoteReference w:id="40"/>
            </w:r>
            <w:r w:rsidRPr="002F3D0A">
              <w:rPr>
                <w:rFonts w:ascii="Times New Roman" w:hAnsi="Times New Roman" w:cs="Times New Roman"/>
                <w:bCs/>
                <w:sz w:val="28"/>
                <w:szCs w:val="24"/>
              </w:rPr>
              <w:t>.</w:t>
            </w:r>
          </w:p>
          <w:p w:rsidR="00014619" w:rsidRPr="002F3D0A" w:rsidRDefault="002F3D0A" w:rsidP="00014619">
            <w:pPr>
              <w:pStyle w:val="Prrafodelista"/>
              <w:ind w:left="0"/>
              <w:rPr>
                <w:rFonts w:ascii="Times New Roman" w:hAnsi="Times New Roman" w:cs="Times New Roman"/>
                <w:bCs/>
                <w:sz w:val="28"/>
                <w:szCs w:val="24"/>
              </w:rPr>
            </w:pPr>
          </w:p>
          <w:p w:rsidR="00014619" w:rsidRPr="002F3D0A" w:rsidRDefault="002F3D0A" w:rsidP="00014619">
            <w:pPr>
              <w:pStyle w:val="Prrafodelista"/>
              <w:ind w:left="0"/>
              <w:rPr>
                <w:rFonts w:ascii="Times New Roman" w:hAnsi="Times New Roman" w:cs="Times New Roman"/>
                <w:bCs/>
                <w:sz w:val="28"/>
                <w:szCs w:val="24"/>
              </w:rPr>
            </w:pPr>
          </w:p>
        </w:tc>
      </w:tr>
    </w:tbl>
    <w:p w:rsidR="00014619" w:rsidRPr="002F3D0A" w:rsidRDefault="002F3D0A" w:rsidP="00014619">
      <w:pPr>
        <w:pStyle w:val="Prrafodelista"/>
        <w:rPr>
          <w:rFonts w:ascii="Times New Roman" w:hAnsi="Times New Roman" w:cs="Times New Roman"/>
          <w:color w:val="2D2D2D"/>
          <w:sz w:val="28"/>
          <w:szCs w:val="28"/>
          <w:shd w:val="clear" w:color="auto" w:fill="FFFFFF"/>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L</w:t>
      </w:r>
      <w:r w:rsidRPr="002F3D0A">
        <w:rPr>
          <w:rFonts w:ascii="Times New Roman" w:hAnsi="Times New Roman" w:cs="Times New Roman"/>
          <w:bCs/>
          <w:sz w:val="28"/>
          <w:szCs w:val="28"/>
        </w:rPr>
        <w:t xml:space="preserve">uego de </w:t>
      </w:r>
      <w:r w:rsidRPr="002F3D0A">
        <w:rPr>
          <w:rFonts w:ascii="Times New Roman" w:hAnsi="Times New Roman" w:cs="Times New Roman"/>
          <w:bCs/>
          <w:sz w:val="28"/>
          <w:szCs w:val="28"/>
        </w:rPr>
        <w:t>identificar los</w:t>
      </w:r>
      <w:r w:rsidRPr="002F3D0A">
        <w:rPr>
          <w:rFonts w:ascii="Times New Roman" w:hAnsi="Times New Roman" w:cs="Times New Roman"/>
          <w:bCs/>
          <w:sz w:val="28"/>
          <w:szCs w:val="28"/>
        </w:rPr>
        <w:t xml:space="preserve"> presupuestos </w:t>
      </w:r>
      <w:r w:rsidRPr="002F3D0A">
        <w:rPr>
          <w:rFonts w:ascii="Times New Roman" w:hAnsi="Times New Roman" w:cs="Times New Roman"/>
          <w:bCs/>
          <w:sz w:val="28"/>
          <w:szCs w:val="28"/>
        </w:rPr>
        <w:t>para que se configure la</w:t>
      </w:r>
      <w:r w:rsidRPr="002F3D0A">
        <w:rPr>
          <w:rFonts w:ascii="Times New Roman" w:hAnsi="Times New Roman" w:cs="Times New Roman"/>
          <w:bCs/>
          <w:sz w:val="28"/>
          <w:szCs w:val="28"/>
        </w:rPr>
        <w:t xml:space="preserve"> cosa juzgada material en sentido amplio o lato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la Corte </w:t>
      </w:r>
      <w:r w:rsidRPr="002F3D0A">
        <w:rPr>
          <w:rFonts w:ascii="Times New Roman" w:hAnsi="Times New Roman" w:cs="Times New Roman"/>
          <w:bCs/>
          <w:sz w:val="28"/>
          <w:szCs w:val="28"/>
        </w:rPr>
        <w:t>examinará si en el presente asunto se configura dicho fenómeno con respecto a las sentencias C-876 de 2002 y C-990 de 2004 como lo planteó el Ministerio de Hacienda. De acuerdo con los elementos desc</w:t>
      </w:r>
      <w:r w:rsidRPr="002F3D0A">
        <w:rPr>
          <w:rFonts w:ascii="Times New Roman" w:hAnsi="Times New Roman" w:cs="Times New Roman"/>
          <w:bCs/>
          <w:sz w:val="28"/>
          <w:szCs w:val="28"/>
        </w:rPr>
        <w:t xml:space="preserve">ritos </w:t>
      </w:r>
      <w:r w:rsidRPr="002F3D0A">
        <w:rPr>
          <w:rFonts w:ascii="Times New Roman" w:hAnsi="Times New Roman" w:cs="Times New Roman"/>
          <w:bCs/>
          <w:sz w:val="28"/>
          <w:szCs w:val="28"/>
        </w:rPr>
        <w:t xml:space="preserve">en la tabla </w:t>
      </w:r>
      <w:r w:rsidRPr="002F3D0A">
        <w:rPr>
          <w:rFonts w:ascii="Times New Roman" w:hAnsi="Times New Roman" w:cs="Times New Roman"/>
          <w:bCs/>
          <w:sz w:val="28"/>
          <w:szCs w:val="28"/>
        </w:rPr>
        <w:t>se advierte que:</w:t>
      </w:r>
    </w:p>
    <w:p w:rsidR="00014619" w:rsidRPr="002F3D0A" w:rsidRDefault="002F3D0A" w:rsidP="00014619">
      <w:pPr>
        <w:pStyle w:val="Prrafodelista"/>
        <w:ind w:left="0"/>
        <w:rPr>
          <w:rFonts w:ascii="Times New Roman" w:hAnsi="Times New Roman" w:cs="Times New Roman"/>
          <w:bCs/>
          <w:sz w:val="28"/>
          <w:szCs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Primero, existe</w:t>
      </w:r>
      <w:r w:rsidRPr="002F3D0A">
        <w:rPr>
          <w:rFonts w:ascii="Times New Roman" w:hAnsi="Times New Roman" w:cs="Times New Roman"/>
          <w:bCs/>
          <w:sz w:val="28"/>
          <w:szCs w:val="28"/>
        </w:rPr>
        <w:t>n</w:t>
      </w:r>
      <w:r w:rsidRPr="002F3D0A">
        <w:rPr>
          <w:rFonts w:ascii="Times New Roman" w:hAnsi="Times New Roman" w:cs="Times New Roman"/>
          <w:bCs/>
          <w:sz w:val="28"/>
          <w:szCs w:val="28"/>
        </w:rPr>
        <w:t xml:space="preserve"> dos normas relacionadas con la base gravable de impuestos al patrimonio, las cuales corresponden al artículo 4 del Decreto 1388 de 2002 y el artículo 17 de la Ley 863 de 2003</w:t>
      </w:r>
      <w:r w:rsidRPr="002F3D0A">
        <w:rPr>
          <w:rFonts w:ascii="Times New Roman" w:hAnsi="Times New Roman" w:cs="Times New Roman"/>
          <w:bCs/>
          <w:sz w:val="28"/>
          <w:szCs w:val="28"/>
        </w:rPr>
        <w:t>. Estas normas</w:t>
      </w:r>
      <w:r w:rsidRPr="002F3D0A">
        <w:rPr>
          <w:rFonts w:ascii="Times New Roman" w:hAnsi="Times New Roman" w:cs="Times New Roman"/>
          <w:bCs/>
          <w:sz w:val="28"/>
          <w:szCs w:val="28"/>
        </w:rPr>
        <w:t xml:space="preserve"> se declararon exequibles en las sentencias C-876 de 2002 y C-990 de 2004</w:t>
      </w:r>
      <w:r w:rsidRPr="002F3D0A">
        <w:rPr>
          <w:rFonts w:ascii="Times New Roman" w:hAnsi="Times New Roman" w:cs="Times New Roman"/>
          <w:bCs/>
          <w:sz w:val="28"/>
          <w:szCs w:val="28"/>
        </w:rPr>
        <w:t xml:space="preserve"> por razones de fondo</w:t>
      </w:r>
      <w:r w:rsidRPr="002F3D0A">
        <w:rPr>
          <w:rFonts w:ascii="Times New Roman" w:hAnsi="Times New Roman" w:cs="Times New Roman"/>
          <w:bCs/>
          <w:sz w:val="28"/>
          <w:szCs w:val="28"/>
        </w:rPr>
        <w:t>.</w:t>
      </w:r>
    </w:p>
    <w:p w:rsidR="00014619" w:rsidRPr="002F3D0A" w:rsidRDefault="002F3D0A" w:rsidP="00014619">
      <w:pPr>
        <w:pStyle w:val="Prrafodelista"/>
        <w:rPr>
          <w:rFonts w:ascii="Times New Roman" w:hAnsi="Times New Roman" w:cs="Times New Roman"/>
          <w:bCs/>
          <w:sz w:val="28"/>
          <w:szCs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Segundo, es necesario determinar si el contenido normativo de las disposiciones declaradas exequibles en las sentencias en mención coincide con la disposición </w:t>
      </w:r>
      <w:r w:rsidRPr="002F3D0A">
        <w:rPr>
          <w:rFonts w:ascii="Times New Roman" w:hAnsi="Times New Roman" w:cs="Times New Roman"/>
          <w:bCs/>
          <w:sz w:val="28"/>
          <w:szCs w:val="28"/>
        </w:rPr>
        <w:t xml:space="preserve">que se demanda en esta oportunidad. Para ese propósito, siguiendo la jurisprudencia constitucional, la Sala debe tener en cuenta tanto el tenor literal de las disposiciones como el contexto normativo en el que se insertan, </w:t>
      </w:r>
      <w:r w:rsidRPr="002F3D0A">
        <w:rPr>
          <w:rFonts w:ascii="Times New Roman" w:hAnsi="Times New Roman" w:cs="Times New Roman"/>
          <w:bCs/>
          <w:sz w:val="28"/>
          <w:szCs w:val="28"/>
        </w:rPr>
        <w:t xml:space="preserve">ya que estos </w:t>
      </w:r>
      <w:r w:rsidRPr="002F3D0A">
        <w:rPr>
          <w:rFonts w:ascii="Times New Roman" w:hAnsi="Times New Roman" w:cs="Times New Roman"/>
          <w:bCs/>
          <w:sz w:val="28"/>
          <w:szCs w:val="28"/>
        </w:rPr>
        <w:t>elementos permiten d</w:t>
      </w:r>
      <w:r w:rsidRPr="002F3D0A">
        <w:rPr>
          <w:rFonts w:ascii="Times New Roman" w:hAnsi="Times New Roman" w:cs="Times New Roman"/>
          <w:bCs/>
          <w:sz w:val="28"/>
          <w:szCs w:val="28"/>
        </w:rPr>
        <w:t xml:space="preserve">eterminar si se trata del mismo sentido normativo. Así, en la siguiente tabla se describirán las disposiciones examinadas en las sentencias C-876 de 2002 y C-990 de 2004, y la que se </w:t>
      </w:r>
      <w:r w:rsidRPr="002F3D0A">
        <w:rPr>
          <w:rFonts w:ascii="Times New Roman" w:hAnsi="Times New Roman" w:cs="Times New Roman"/>
          <w:bCs/>
          <w:sz w:val="28"/>
          <w:szCs w:val="28"/>
        </w:rPr>
        <w:t>demanda</w:t>
      </w:r>
      <w:r w:rsidRPr="002F3D0A">
        <w:rPr>
          <w:rFonts w:ascii="Times New Roman" w:hAnsi="Times New Roman" w:cs="Times New Roman"/>
          <w:bCs/>
          <w:sz w:val="28"/>
          <w:szCs w:val="28"/>
        </w:rPr>
        <w:t xml:space="preserve"> en esta oportunidad:</w:t>
      </w:r>
    </w:p>
    <w:p w:rsidR="0051495F" w:rsidRPr="002F3D0A" w:rsidRDefault="002F3D0A" w:rsidP="0051495F">
      <w:pPr>
        <w:pStyle w:val="Prrafodelista"/>
        <w:rPr>
          <w:rFonts w:ascii="Times New Roman" w:hAnsi="Times New Roman" w:cs="Times New Roman"/>
          <w:bCs/>
          <w:sz w:val="28"/>
          <w:szCs w:val="28"/>
        </w:rPr>
      </w:pPr>
    </w:p>
    <w:p w:rsidR="0051495F" w:rsidRPr="002F3D0A" w:rsidRDefault="002F3D0A" w:rsidP="0051495F">
      <w:pPr>
        <w:pStyle w:val="Prrafodelista"/>
        <w:ind w:left="0"/>
        <w:rPr>
          <w:rFonts w:ascii="Times New Roman" w:hAnsi="Times New Roman" w:cs="Times New Roman"/>
          <w:b/>
          <w:bCs/>
          <w:sz w:val="28"/>
          <w:szCs w:val="28"/>
        </w:rPr>
      </w:pPr>
      <w:r w:rsidRPr="002F3D0A">
        <w:rPr>
          <w:rFonts w:ascii="Times New Roman" w:hAnsi="Times New Roman" w:cs="Times New Roman"/>
          <w:b/>
          <w:bCs/>
          <w:sz w:val="28"/>
          <w:szCs w:val="24"/>
        </w:rPr>
        <w:t>Tabla 5</w:t>
      </w:r>
      <w:r w:rsidRPr="002F3D0A">
        <w:rPr>
          <w:rFonts w:ascii="Times New Roman" w:hAnsi="Times New Roman" w:cs="Times New Roman"/>
          <w:b/>
          <w:bCs/>
          <w:sz w:val="28"/>
          <w:szCs w:val="24"/>
        </w:rPr>
        <w:t>- Disposiciones sobre el contenido d</w:t>
      </w:r>
      <w:r w:rsidRPr="002F3D0A">
        <w:rPr>
          <w:rFonts w:ascii="Times New Roman" w:hAnsi="Times New Roman" w:cs="Times New Roman"/>
          <w:b/>
          <w:bCs/>
          <w:sz w:val="28"/>
          <w:szCs w:val="24"/>
        </w:rPr>
        <w:t>el impuesto al patrimonio examinadas en la sentencia C-876 de 2002, C-990 de 2004 y en esta sentencia</w:t>
      </w:r>
    </w:p>
    <w:p w:rsidR="00014619" w:rsidRPr="002F3D0A" w:rsidRDefault="002F3D0A" w:rsidP="00014619">
      <w:pPr>
        <w:pStyle w:val="Prrafodelista"/>
        <w:rPr>
          <w:rFonts w:ascii="Times New Roman" w:hAnsi="Times New Roman" w:cs="Times New Roman"/>
          <w:bCs/>
          <w:sz w:val="28"/>
          <w:szCs w:val="28"/>
        </w:rPr>
      </w:pPr>
    </w:p>
    <w:tbl>
      <w:tblPr>
        <w:tblStyle w:val="Tablaconcuadrcula"/>
        <w:tblW w:w="0" w:type="auto"/>
        <w:tblInd w:w="-5" w:type="dxa"/>
        <w:tblLook w:val="04A0" w:firstRow="1" w:lastRow="0" w:firstColumn="1" w:lastColumn="0" w:noHBand="0" w:noVBand="1"/>
      </w:tblPr>
      <w:tblGrid>
        <w:gridCol w:w="1418"/>
        <w:gridCol w:w="7371"/>
      </w:tblGrid>
      <w:tr w:rsidR="00014619" w:rsidRPr="002F3D0A" w:rsidTr="006B0E25">
        <w:tc>
          <w:tcPr>
            <w:tcW w:w="1418" w:type="dxa"/>
            <w:shd w:val="clear" w:color="auto" w:fill="DEEAF6" w:themeFill="accent1" w:themeFillTint="33"/>
          </w:tcPr>
          <w:p w:rsidR="006476BD"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Disposición</w:t>
            </w:r>
          </w:p>
          <w:p w:rsidR="006476BD" w:rsidRPr="002F3D0A" w:rsidRDefault="002F3D0A" w:rsidP="00014619">
            <w:pPr>
              <w:pStyle w:val="Prrafodelista"/>
              <w:ind w:left="0"/>
              <w:jc w:val="center"/>
              <w:rPr>
                <w:rFonts w:ascii="Times New Roman" w:hAnsi="Times New Roman" w:cs="Times New Roman"/>
                <w:b/>
                <w:bCs/>
                <w:sz w:val="28"/>
                <w:szCs w:val="24"/>
              </w:rPr>
            </w:pPr>
          </w:p>
        </w:tc>
        <w:tc>
          <w:tcPr>
            <w:tcW w:w="7371" w:type="dxa"/>
            <w:shd w:val="clear" w:color="auto" w:fill="DEEAF6" w:themeFill="accent1" w:themeFillTint="33"/>
          </w:tcPr>
          <w:p w:rsidR="006476BD"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Contenido normativo</w:t>
            </w:r>
          </w:p>
        </w:tc>
      </w:tr>
      <w:tr w:rsidR="00014619" w:rsidRPr="002F3D0A" w:rsidTr="006B0E25">
        <w:tc>
          <w:tcPr>
            <w:tcW w:w="1418" w:type="dxa"/>
          </w:tcPr>
          <w:p w:rsidR="006476BD" w:rsidRPr="002F3D0A" w:rsidRDefault="002F3D0A" w:rsidP="006476BD">
            <w:pPr>
              <w:pStyle w:val="Prrafodelista"/>
              <w:ind w:left="0"/>
              <w:jc w:val="center"/>
              <w:rPr>
                <w:rFonts w:ascii="Times New Roman" w:hAnsi="Times New Roman" w:cs="Times New Roman"/>
                <w:b/>
                <w:bCs/>
                <w:sz w:val="28"/>
                <w:szCs w:val="24"/>
              </w:rPr>
            </w:pPr>
          </w:p>
          <w:p w:rsidR="006476BD" w:rsidRPr="002F3D0A" w:rsidRDefault="002F3D0A" w:rsidP="006476BD">
            <w:pPr>
              <w:pStyle w:val="Prrafodelista"/>
              <w:ind w:left="0"/>
              <w:jc w:val="center"/>
              <w:rPr>
                <w:rFonts w:ascii="Times New Roman" w:hAnsi="Times New Roman" w:cs="Times New Roman"/>
                <w:b/>
                <w:bCs/>
                <w:sz w:val="28"/>
                <w:szCs w:val="24"/>
              </w:rPr>
            </w:pPr>
          </w:p>
          <w:p w:rsidR="00014619" w:rsidRPr="002F3D0A" w:rsidRDefault="002F3D0A" w:rsidP="006476BD">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Decreto 1388 de 2002</w:t>
            </w:r>
            <w:r w:rsidRPr="002F3D0A">
              <w:rPr>
                <w:rStyle w:val="Refdenotaalpie"/>
                <w:rFonts w:ascii="Times New Roman" w:hAnsi="Times New Roman" w:cs="Times New Roman"/>
                <w:b/>
                <w:bCs/>
                <w:sz w:val="28"/>
                <w:szCs w:val="24"/>
              </w:rPr>
              <w:footnoteReference w:id="41"/>
            </w:r>
          </w:p>
        </w:tc>
        <w:tc>
          <w:tcPr>
            <w:tcW w:w="7371" w:type="dxa"/>
          </w:tcPr>
          <w:p w:rsidR="00014619" w:rsidRPr="002F3D0A" w:rsidRDefault="002F3D0A" w:rsidP="00014619">
            <w:pPr>
              <w:pStyle w:val="Prrafodelista"/>
              <w:ind w:left="0"/>
              <w:rPr>
                <w:rFonts w:ascii="Times New Roman" w:hAnsi="Times New Roman" w:cs="Times New Roman"/>
                <w:bCs/>
                <w:iCs/>
                <w:color w:val="2D2D2D"/>
                <w:sz w:val="28"/>
                <w:szCs w:val="24"/>
                <w:shd w:val="clear" w:color="auto" w:fill="FFFFFF"/>
              </w:rPr>
            </w:pPr>
            <w:r w:rsidRPr="002F3D0A">
              <w:rPr>
                <w:rFonts w:ascii="Times New Roman" w:hAnsi="Times New Roman" w:cs="Times New Roman"/>
                <w:b/>
                <w:bCs/>
                <w:iCs/>
                <w:color w:val="2D2D2D"/>
                <w:sz w:val="28"/>
                <w:szCs w:val="24"/>
                <w:shd w:val="clear" w:color="auto" w:fill="FFFFFF"/>
              </w:rPr>
              <w:t>Artículo 4.</w:t>
            </w:r>
            <w:r w:rsidRPr="002F3D0A">
              <w:rPr>
                <w:rFonts w:ascii="Times New Roman" w:hAnsi="Times New Roman" w:cs="Times New Roman"/>
                <w:b/>
                <w:bCs/>
                <w:iCs/>
                <w:color w:val="2D2D2D"/>
                <w:sz w:val="28"/>
                <w:szCs w:val="24"/>
                <w:shd w:val="clear" w:color="auto" w:fill="FFFFFF"/>
              </w:rPr>
              <w:t xml:space="preserve"> </w:t>
            </w:r>
            <w:r w:rsidRPr="002F3D0A">
              <w:rPr>
                <w:rFonts w:ascii="Times New Roman" w:hAnsi="Times New Roman" w:cs="Times New Roman"/>
                <w:bCs/>
                <w:iCs/>
                <w:color w:val="2D2D2D"/>
                <w:sz w:val="28"/>
                <w:szCs w:val="24"/>
                <w:shd w:val="clear" w:color="auto" w:fill="FFFFFF"/>
              </w:rPr>
              <w:t>Base gravable.</w:t>
            </w:r>
            <w:r w:rsidRPr="002F3D0A">
              <w:rPr>
                <w:rFonts w:ascii="Times New Roman" w:hAnsi="Times New Roman" w:cs="Times New Roman"/>
                <w:bCs/>
                <w:iCs/>
                <w:color w:val="2D2D2D"/>
                <w:sz w:val="28"/>
                <w:szCs w:val="24"/>
                <w:shd w:val="clear" w:color="auto" w:fill="FFFFFF"/>
              </w:rPr>
              <w:t xml:space="preserve"> </w:t>
            </w:r>
            <w:r w:rsidRPr="002F3D0A">
              <w:rPr>
                <w:rFonts w:ascii="Times New Roman" w:hAnsi="Times New Roman" w:cs="Times New Roman"/>
                <w:bCs/>
                <w:iCs/>
                <w:color w:val="2D2D2D"/>
                <w:sz w:val="28"/>
                <w:szCs w:val="24"/>
                <w:shd w:val="clear" w:color="auto" w:fill="FFFFFF"/>
              </w:rPr>
              <w:t xml:space="preserve">La base gravable del impuesto está constituida por el patrimonio </w:t>
            </w:r>
            <w:r w:rsidRPr="002F3D0A">
              <w:rPr>
                <w:rFonts w:ascii="Times New Roman" w:hAnsi="Times New Roman" w:cs="Times New Roman"/>
                <w:bCs/>
                <w:iCs/>
                <w:color w:val="2D2D2D"/>
                <w:sz w:val="28"/>
                <w:szCs w:val="24"/>
                <w:shd w:val="clear" w:color="auto" w:fill="FFFFFF"/>
              </w:rPr>
              <w:t>líquido poseído a 31 de agosto de 2002, el cual se presume que en ningún caso será inferior al declarado a 31 de diciembre de 2001.</w:t>
            </w:r>
          </w:p>
          <w:p w:rsidR="00014619" w:rsidRPr="002F3D0A" w:rsidRDefault="002F3D0A" w:rsidP="00014619">
            <w:pPr>
              <w:pStyle w:val="Prrafodelista"/>
              <w:ind w:left="0"/>
              <w:rPr>
                <w:rFonts w:ascii="Times New Roman" w:hAnsi="Times New Roman" w:cs="Times New Roman"/>
                <w:bCs/>
                <w:iCs/>
                <w:color w:val="2D2D2D"/>
                <w:sz w:val="28"/>
                <w:szCs w:val="24"/>
                <w:shd w:val="clear" w:color="auto" w:fill="FFFFFF"/>
              </w:rPr>
            </w:pPr>
          </w:p>
          <w:p w:rsidR="00014619" w:rsidRPr="002F3D0A" w:rsidRDefault="002F3D0A" w:rsidP="00014619">
            <w:pPr>
              <w:pStyle w:val="Prrafodelista"/>
              <w:ind w:left="0"/>
              <w:rPr>
                <w:rFonts w:ascii="Times New Roman" w:hAnsi="Times New Roman" w:cs="Times New Roman"/>
                <w:bCs/>
                <w:iCs/>
                <w:color w:val="2D2D2D"/>
                <w:sz w:val="28"/>
                <w:szCs w:val="24"/>
                <w:shd w:val="clear" w:color="auto" w:fill="FFFFFF"/>
              </w:rPr>
            </w:pPr>
            <w:r w:rsidRPr="002F3D0A">
              <w:rPr>
                <w:rFonts w:ascii="Times New Roman" w:hAnsi="Times New Roman" w:cs="Times New Roman"/>
                <w:b/>
                <w:bCs/>
                <w:iCs/>
                <w:color w:val="2D2D2D"/>
                <w:sz w:val="28"/>
                <w:szCs w:val="24"/>
                <w:shd w:val="clear" w:color="auto" w:fill="FFFFFF"/>
              </w:rPr>
              <w:t>Artículo 5.</w:t>
            </w:r>
            <w:r w:rsidRPr="002F3D0A">
              <w:rPr>
                <w:rFonts w:ascii="Times New Roman" w:hAnsi="Times New Roman" w:cs="Times New Roman"/>
                <w:b/>
                <w:bCs/>
                <w:iCs/>
                <w:color w:val="2D2D2D"/>
                <w:sz w:val="28"/>
                <w:szCs w:val="24"/>
                <w:shd w:val="clear" w:color="auto" w:fill="FFFFFF"/>
              </w:rPr>
              <w:t xml:space="preserve"> </w:t>
            </w:r>
            <w:r w:rsidRPr="002F3D0A">
              <w:rPr>
                <w:rFonts w:ascii="Times New Roman" w:hAnsi="Times New Roman" w:cs="Times New Roman"/>
                <w:bCs/>
                <w:iCs/>
                <w:color w:val="2D2D2D"/>
                <w:sz w:val="28"/>
                <w:szCs w:val="24"/>
                <w:shd w:val="clear" w:color="auto" w:fill="FFFFFF"/>
              </w:rPr>
              <w:t>Exclusiones de la base gravable.</w:t>
            </w:r>
            <w:r w:rsidRPr="002F3D0A">
              <w:rPr>
                <w:rFonts w:ascii="Times New Roman" w:hAnsi="Times New Roman" w:cs="Times New Roman"/>
                <w:bCs/>
                <w:iCs/>
                <w:color w:val="2D2D2D"/>
                <w:sz w:val="28"/>
                <w:szCs w:val="24"/>
                <w:shd w:val="clear" w:color="auto" w:fill="FFFFFF"/>
              </w:rPr>
              <w:t xml:space="preserve"> </w:t>
            </w:r>
            <w:r w:rsidRPr="002F3D0A">
              <w:rPr>
                <w:rFonts w:ascii="Times New Roman" w:hAnsi="Times New Roman" w:cs="Times New Roman"/>
                <w:bCs/>
                <w:iCs/>
                <w:color w:val="2D2D2D"/>
                <w:sz w:val="28"/>
                <w:szCs w:val="24"/>
                <w:shd w:val="clear" w:color="auto" w:fill="FFFFFF"/>
              </w:rPr>
              <w:t>De la base gravable indicada en el artículo anterior se descontará el valor pa</w:t>
            </w:r>
            <w:r w:rsidRPr="002F3D0A">
              <w:rPr>
                <w:rFonts w:ascii="Times New Roman" w:hAnsi="Times New Roman" w:cs="Times New Roman"/>
                <w:bCs/>
                <w:iCs/>
                <w:color w:val="2D2D2D"/>
                <w:sz w:val="28"/>
                <w:szCs w:val="24"/>
                <w:shd w:val="clear" w:color="auto" w:fill="FFFFFF"/>
              </w:rPr>
              <w:t>trimonial neto de las acciones o aportes poseídos en sociedades nacionales a 31 de agosto de 2002. Tratándose de las personas naturales, adicionalmente se descontarán los aportes obligatorios a los fondos de pensiones.</w:t>
            </w: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iCs/>
                <w:color w:val="2D2D2D"/>
                <w:sz w:val="28"/>
                <w:szCs w:val="24"/>
                <w:shd w:val="clear" w:color="auto" w:fill="FFFFFF"/>
              </w:rPr>
              <w:t xml:space="preserve">En ningún caso, el monto a descontar </w:t>
            </w:r>
            <w:r w:rsidRPr="002F3D0A">
              <w:rPr>
                <w:rFonts w:ascii="Times New Roman" w:hAnsi="Times New Roman" w:cs="Times New Roman"/>
                <w:bCs/>
                <w:iCs/>
                <w:color w:val="2D2D2D"/>
                <w:sz w:val="28"/>
                <w:szCs w:val="24"/>
                <w:shd w:val="clear" w:color="auto" w:fill="FFFFFF"/>
              </w:rPr>
              <w:t>podrá ser superior al valor que se hubiese podido descontar a 31 de diciembre de 2001.</w:t>
            </w:r>
          </w:p>
        </w:tc>
      </w:tr>
      <w:tr w:rsidR="00014619" w:rsidRPr="002F3D0A" w:rsidTr="006B0E25">
        <w:trPr>
          <w:trHeight w:val="2695"/>
        </w:trPr>
        <w:tc>
          <w:tcPr>
            <w:tcW w:w="1418" w:type="dxa"/>
          </w:tcPr>
          <w:p w:rsidR="00014619" w:rsidRPr="002F3D0A" w:rsidRDefault="002F3D0A" w:rsidP="00014619">
            <w:pPr>
              <w:pStyle w:val="Prrafodelista"/>
              <w:ind w:left="0"/>
              <w:jc w:val="center"/>
              <w:rPr>
                <w:rFonts w:ascii="Times New Roman" w:hAnsi="Times New Roman" w:cs="Times New Roman"/>
                <w:b/>
                <w:bCs/>
                <w:sz w:val="28"/>
                <w:szCs w:val="24"/>
              </w:rPr>
            </w:pPr>
          </w:p>
          <w:p w:rsidR="006476BD"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Ley 863 de 2003</w:t>
            </w:r>
            <w:r w:rsidRPr="002F3D0A">
              <w:rPr>
                <w:rStyle w:val="Refdenotaalpie"/>
                <w:rFonts w:ascii="Times New Roman" w:hAnsi="Times New Roman" w:cs="Times New Roman"/>
                <w:b/>
                <w:bCs/>
                <w:sz w:val="28"/>
                <w:szCs w:val="24"/>
              </w:rPr>
              <w:footnoteReference w:id="42"/>
            </w:r>
          </w:p>
          <w:p w:rsidR="00014619" w:rsidRPr="002F3D0A" w:rsidRDefault="002F3D0A" w:rsidP="00014619">
            <w:pPr>
              <w:pStyle w:val="Prrafodelista"/>
              <w:ind w:left="0"/>
              <w:jc w:val="center"/>
              <w:rPr>
                <w:rFonts w:ascii="Times New Roman" w:hAnsi="Times New Roman" w:cs="Times New Roman"/>
                <w:b/>
                <w:bCs/>
                <w:sz w:val="28"/>
                <w:szCs w:val="24"/>
              </w:rPr>
            </w:pPr>
          </w:p>
          <w:p w:rsidR="00014619" w:rsidRPr="002F3D0A" w:rsidRDefault="002F3D0A" w:rsidP="00014619">
            <w:pPr>
              <w:pStyle w:val="Prrafodelista"/>
              <w:ind w:left="0"/>
              <w:rPr>
                <w:rFonts w:ascii="Times New Roman" w:hAnsi="Times New Roman" w:cs="Times New Roman"/>
                <w:bCs/>
                <w:sz w:val="28"/>
                <w:szCs w:val="24"/>
              </w:rPr>
            </w:pPr>
          </w:p>
        </w:tc>
        <w:tc>
          <w:tcPr>
            <w:tcW w:w="7371" w:type="dxa"/>
          </w:tcPr>
          <w:p w:rsidR="00014619" w:rsidRPr="002F3D0A" w:rsidRDefault="002F3D0A" w:rsidP="00014619">
            <w:pPr>
              <w:pStyle w:val="Prrafodelista"/>
              <w:ind w:left="0"/>
              <w:rPr>
                <w:rFonts w:ascii="Times New Roman" w:hAnsi="Times New Roman" w:cs="Times New Roman"/>
                <w:b/>
                <w:bCs/>
                <w:iCs/>
                <w:color w:val="2D2D2D"/>
                <w:sz w:val="28"/>
                <w:szCs w:val="24"/>
                <w:shd w:val="clear" w:color="auto" w:fill="FFFFFF"/>
              </w:rPr>
            </w:pPr>
          </w:p>
          <w:p w:rsidR="00014619" w:rsidRPr="002F3D0A" w:rsidRDefault="002F3D0A" w:rsidP="00014619">
            <w:pPr>
              <w:pStyle w:val="Prrafodelista"/>
              <w:ind w:left="0"/>
              <w:rPr>
                <w:rFonts w:ascii="Times New Roman" w:hAnsi="Times New Roman" w:cs="Times New Roman"/>
                <w:iCs/>
                <w:color w:val="2D2D2D"/>
                <w:sz w:val="28"/>
                <w:szCs w:val="24"/>
                <w:shd w:val="clear" w:color="auto" w:fill="FFFFFF"/>
              </w:rPr>
            </w:pPr>
            <w:r w:rsidRPr="002F3D0A">
              <w:rPr>
                <w:rFonts w:ascii="Times New Roman" w:hAnsi="Times New Roman" w:cs="Times New Roman"/>
                <w:b/>
                <w:bCs/>
                <w:iCs/>
                <w:color w:val="2D2D2D"/>
                <w:sz w:val="28"/>
                <w:szCs w:val="24"/>
                <w:shd w:val="clear" w:color="auto" w:fill="FFFFFF"/>
              </w:rPr>
              <w:t>Artículo 17.</w:t>
            </w:r>
            <w:r w:rsidRPr="002F3D0A">
              <w:rPr>
                <w:rFonts w:ascii="Times New Roman" w:hAnsi="Times New Roman" w:cs="Times New Roman"/>
                <w:b/>
                <w:bCs/>
                <w:iCs/>
                <w:color w:val="2D2D2D"/>
                <w:sz w:val="28"/>
                <w:szCs w:val="24"/>
                <w:shd w:val="clear" w:color="auto" w:fill="FFFFFF"/>
              </w:rPr>
              <w:t xml:space="preserve"> </w:t>
            </w:r>
            <w:r w:rsidRPr="002F3D0A">
              <w:rPr>
                <w:rFonts w:ascii="Times New Roman" w:hAnsi="Times New Roman" w:cs="Times New Roman"/>
                <w:iCs/>
                <w:color w:val="2D2D2D"/>
                <w:sz w:val="28"/>
                <w:szCs w:val="24"/>
                <w:shd w:val="clear" w:color="auto" w:fill="FFFFFF"/>
              </w:rPr>
              <w:t>Modifícase el Capítulo V del Título II del Libro Primero del Estatuto Tributario, con los siguientes artículos:</w:t>
            </w:r>
          </w:p>
          <w:p w:rsidR="00014619" w:rsidRPr="002F3D0A" w:rsidRDefault="002F3D0A" w:rsidP="00014619">
            <w:pPr>
              <w:pStyle w:val="Prrafodelista"/>
              <w:ind w:left="0"/>
              <w:rPr>
                <w:rFonts w:ascii="Times New Roman" w:hAnsi="Times New Roman" w:cs="Times New Roman"/>
                <w:bCs/>
                <w:sz w:val="28"/>
                <w:szCs w:val="24"/>
              </w:rPr>
            </w:pPr>
          </w:p>
          <w:p w:rsidR="00014619" w:rsidRPr="002F3D0A" w:rsidRDefault="002F3D0A" w:rsidP="00014619">
            <w:pPr>
              <w:pStyle w:val="Prrafodelista"/>
              <w:ind w:left="0"/>
              <w:rPr>
                <w:rFonts w:ascii="Times New Roman" w:hAnsi="Times New Roman" w:cs="Times New Roman"/>
                <w:bCs/>
                <w:sz w:val="28"/>
                <w:szCs w:val="24"/>
              </w:rPr>
            </w:pPr>
            <w:r w:rsidRPr="002F3D0A">
              <w:rPr>
                <w:rFonts w:ascii="Times New Roman" w:hAnsi="Times New Roman" w:cs="Times New Roman"/>
                <w:bCs/>
                <w:sz w:val="28"/>
                <w:szCs w:val="24"/>
              </w:rPr>
              <w:t xml:space="preserve">Artículo 295. Base gravable. La base imponible del Impuesto al Patrimonio está constituida por </w:t>
            </w:r>
            <w:bookmarkStart w:id="18" w:name="_Hlk171686981"/>
            <w:r w:rsidRPr="002F3D0A">
              <w:rPr>
                <w:rFonts w:ascii="Times New Roman" w:hAnsi="Times New Roman" w:cs="Times New Roman"/>
                <w:bCs/>
                <w:sz w:val="28"/>
                <w:szCs w:val="24"/>
              </w:rPr>
              <w:t>el valor del patrimonio líquido del contribuyente poseído el 1º de enero de cada año gravable</w:t>
            </w:r>
            <w:bookmarkEnd w:id="18"/>
            <w:r w:rsidRPr="002F3D0A">
              <w:rPr>
                <w:rFonts w:ascii="Times New Roman" w:hAnsi="Times New Roman" w:cs="Times New Roman"/>
                <w:bCs/>
                <w:sz w:val="28"/>
                <w:szCs w:val="24"/>
              </w:rPr>
              <w:t>, determinado conforme lo previsto en el Título II del Libro I del E</w:t>
            </w:r>
            <w:r w:rsidRPr="002F3D0A">
              <w:rPr>
                <w:rFonts w:ascii="Times New Roman" w:hAnsi="Times New Roman" w:cs="Times New Roman"/>
                <w:bCs/>
                <w:sz w:val="28"/>
                <w:szCs w:val="24"/>
              </w:rPr>
              <w:t xml:space="preserve">statuto Tributario, </w:t>
            </w:r>
            <w:bookmarkStart w:id="19" w:name="_Hlk171687008"/>
            <w:r w:rsidRPr="002F3D0A">
              <w:rPr>
                <w:rFonts w:ascii="Times New Roman" w:hAnsi="Times New Roman" w:cs="Times New Roman"/>
                <w:bCs/>
                <w:sz w:val="28"/>
                <w:szCs w:val="24"/>
              </w:rPr>
              <w:t xml:space="preserve">excluyendo el valor patrimonial neto de las acciones o aportes poseídos </w:t>
            </w:r>
            <w:bookmarkEnd w:id="19"/>
            <w:r w:rsidRPr="002F3D0A">
              <w:rPr>
                <w:rFonts w:ascii="Times New Roman" w:hAnsi="Times New Roman" w:cs="Times New Roman"/>
                <w:bCs/>
                <w:sz w:val="28"/>
                <w:szCs w:val="24"/>
              </w:rPr>
              <w:t>en sociedades nacionales, así como los primeros doscientos millones de pesos ($200.000.000) (valor año base 2003) del valor de la casa o apartamento de habitación.</w:t>
            </w:r>
          </w:p>
        </w:tc>
      </w:tr>
      <w:tr w:rsidR="00014619" w:rsidRPr="002F3D0A" w:rsidTr="006B0E25">
        <w:tc>
          <w:tcPr>
            <w:tcW w:w="1418" w:type="dxa"/>
          </w:tcPr>
          <w:p w:rsidR="00014619" w:rsidRPr="002F3D0A" w:rsidRDefault="002F3D0A" w:rsidP="00014619">
            <w:pPr>
              <w:jc w:val="center"/>
              <w:rPr>
                <w:rFonts w:ascii="Times New Roman" w:hAnsi="Times New Roman" w:cs="Times New Roman"/>
                <w:b/>
                <w:bCs/>
                <w:sz w:val="28"/>
                <w:szCs w:val="24"/>
              </w:rPr>
            </w:pPr>
          </w:p>
          <w:p w:rsidR="006476BD" w:rsidRPr="002F3D0A" w:rsidRDefault="002F3D0A" w:rsidP="00014619">
            <w:pPr>
              <w:jc w:val="center"/>
              <w:rPr>
                <w:rFonts w:ascii="Times New Roman" w:hAnsi="Times New Roman" w:cs="Times New Roman"/>
                <w:b/>
                <w:bCs/>
                <w:sz w:val="28"/>
                <w:szCs w:val="24"/>
              </w:rPr>
            </w:pPr>
          </w:p>
          <w:p w:rsidR="00014619" w:rsidRPr="002F3D0A" w:rsidRDefault="002F3D0A" w:rsidP="00014619">
            <w:pPr>
              <w:jc w:val="center"/>
              <w:rPr>
                <w:rFonts w:ascii="Times New Roman" w:hAnsi="Times New Roman" w:cs="Times New Roman"/>
                <w:b/>
                <w:bCs/>
                <w:sz w:val="28"/>
                <w:szCs w:val="24"/>
              </w:rPr>
            </w:pPr>
            <w:r w:rsidRPr="002F3D0A">
              <w:rPr>
                <w:rFonts w:ascii="Times New Roman" w:hAnsi="Times New Roman" w:cs="Times New Roman"/>
                <w:b/>
                <w:bCs/>
                <w:sz w:val="28"/>
                <w:szCs w:val="24"/>
              </w:rPr>
              <w:t>Ley 2277 de 2022</w:t>
            </w:r>
            <w:r w:rsidRPr="002F3D0A">
              <w:rPr>
                <w:rStyle w:val="Refdenotaalpie"/>
                <w:rFonts w:ascii="Times New Roman" w:hAnsi="Times New Roman" w:cs="Times New Roman"/>
                <w:b/>
                <w:bCs/>
                <w:sz w:val="28"/>
                <w:szCs w:val="24"/>
              </w:rPr>
              <w:footnoteReference w:id="43"/>
            </w:r>
          </w:p>
          <w:p w:rsidR="00014619" w:rsidRPr="002F3D0A" w:rsidRDefault="002F3D0A" w:rsidP="00014619">
            <w:pPr>
              <w:jc w:val="center"/>
              <w:rPr>
                <w:rFonts w:ascii="Times New Roman" w:hAnsi="Times New Roman" w:cs="Times New Roman"/>
                <w:b/>
                <w:bCs/>
                <w:sz w:val="28"/>
                <w:szCs w:val="24"/>
              </w:rPr>
            </w:pPr>
          </w:p>
          <w:p w:rsidR="00014619" w:rsidRPr="002F3D0A" w:rsidRDefault="002F3D0A" w:rsidP="006476BD">
            <w:pPr>
              <w:jc w:val="center"/>
              <w:rPr>
                <w:rFonts w:ascii="Times New Roman" w:hAnsi="Times New Roman" w:cs="Times New Roman"/>
                <w:bCs/>
                <w:sz w:val="28"/>
                <w:szCs w:val="24"/>
              </w:rPr>
            </w:pPr>
          </w:p>
        </w:tc>
        <w:tc>
          <w:tcPr>
            <w:tcW w:w="7371" w:type="dxa"/>
          </w:tcPr>
          <w:p w:rsidR="00014619" w:rsidRPr="002F3D0A" w:rsidRDefault="002F3D0A" w:rsidP="00014619">
            <w:pPr>
              <w:rPr>
                <w:rFonts w:ascii="Times New Roman" w:hAnsi="Times New Roman" w:cs="Times New Roman"/>
                <w:bCs/>
                <w:sz w:val="28"/>
                <w:szCs w:val="24"/>
              </w:rPr>
            </w:pPr>
          </w:p>
          <w:p w:rsidR="00014619" w:rsidRPr="002F3D0A" w:rsidRDefault="002F3D0A" w:rsidP="00014619">
            <w:pPr>
              <w:rPr>
                <w:rFonts w:ascii="Times New Roman" w:hAnsi="Times New Roman" w:cs="Times New Roman"/>
                <w:bCs/>
                <w:sz w:val="28"/>
                <w:szCs w:val="24"/>
              </w:rPr>
            </w:pPr>
            <w:r w:rsidRPr="002F3D0A">
              <w:rPr>
                <w:rFonts w:ascii="Times New Roman" w:hAnsi="Times New Roman" w:cs="Times New Roman"/>
                <w:b/>
                <w:bCs/>
                <w:sz w:val="28"/>
                <w:szCs w:val="24"/>
              </w:rPr>
              <w:t>Artículo 37.</w:t>
            </w:r>
            <w:r w:rsidRPr="002F3D0A">
              <w:rPr>
                <w:rFonts w:ascii="Times New Roman" w:hAnsi="Times New Roman" w:cs="Times New Roman"/>
                <w:bCs/>
                <w:sz w:val="28"/>
                <w:szCs w:val="24"/>
              </w:rPr>
              <w:t xml:space="preserve"> </w:t>
            </w:r>
            <w:r w:rsidRPr="002F3D0A">
              <w:rPr>
                <w:rFonts w:ascii="Times New Roman" w:hAnsi="Times New Roman" w:cs="Times New Roman"/>
                <w:bCs/>
                <w:sz w:val="28"/>
                <w:szCs w:val="24"/>
              </w:rPr>
              <w:t>Adiciónese el Artículo 295-3 al Estatuto Tributario, así:</w:t>
            </w:r>
          </w:p>
          <w:p w:rsidR="00014619" w:rsidRPr="002F3D0A" w:rsidRDefault="002F3D0A" w:rsidP="00014619">
            <w:pPr>
              <w:pStyle w:val="Prrafodelista"/>
              <w:rPr>
                <w:rFonts w:ascii="Times New Roman" w:hAnsi="Times New Roman" w:cs="Times New Roman"/>
                <w:bCs/>
                <w:sz w:val="28"/>
                <w:szCs w:val="24"/>
              </w:rPr>
            </w:pPr>
          </w:p>
          <w:p w:rsidR="00014619" w:rsidRPr="002F3D0A" w:rsidRDefault="002F3D0A" w:rsidP="008F07D5">
            <w:pPr>
              <w:rPr>
                <w:rFonts w:ascii="Times New Roman" w:hAnsi="Times New Roman" w:cs="Times New Roman"/>
                <w:bCs/>
                <w:sz w:val="28"/>
                <w:szCs w:val="24"/>
              </w:rPr>
            </w:pPr>
            <w:r w:rsidRPr="002F3D0A">
              <w:rPr>
                <w:rFonts w:ascii="Times New Roman" w:hAnsi="Times New Roman" w:cs="Times New Roman"/>
                <w:bCs/>
                <w:sz w:val="28"/>
                <w:szCs w:val="24"/>
              </w:rPr>
              <w:t xml:space="preserve">Artículo 295-3. Base gravable. La base gravable del impuesto al patrimonio es el valor del patrimonio bruto del sujeto pasivo poseído a primero (1) de enero de cada año menos las deudas a cargo del mismo vigentes en esa misma fecha, determinado conforme a </w:t>
            </w:r>
            <w:r w:rsidRPr="002F3D0A">
              <w:rPr>
                <w:rFonts w:ascii="Times New Roman" w:hAnsi="Times New Roman" w:cs="Times New Roman"/>
                <w:bCs/>
                <w:sz w:val="28"/>
                <w:szCs w:val="24"/>
              </w:rPr>
              <w:t xml:space="preserve">lo previsto en el Título II del Libro I de este Estatuto, sin perjuicio de las reglas especiales señaladas en este </w:t>
            </w:r>
            <w:r w:rsidRPr="002F3D0A">
              <w:rPr>
                <w:rFonts w:ascii="Times New Roman" w:hAnsi="Times New Roman" w:cs="Times New Roman"/>
                <w:bCs/>
                <w:sz w:val="28"/>
                <w:szCs w:val="24"/>
              </w:rPr>
              <w:t>A</w:t>
            </w:r>
            <w:r w:rsidRPr="002F3D0A">
              <w:rPr>
                <w:rFonts w:ascii="Times New Roman" w:hAnsi="Times New Roman" w:cs="Times New Roman"/>
                <w:bCs/>
                <w:sz w:val="28"/>
                <w:szCs w:val="24"/>
              </w:rPr>
              <w:t>rtículo.</w:t>
            </w:r>
          </w:p>
          <w:p w:rsidR="00014619" w:rsidRPr="002F3D0A" w:rsidRDefault="002F3D0A" w:rsidP="00014619">
            <w:pPr>
              <w:rPr>
                <w:rFonts w:ascii="Times New Roman" w:hAnsi="Times New Roman" w:cs="Times New Roman"/>
                <w:bCs/>
                <w:sz w:val="28"/>
                <w:szCs w:val="24"/>
              </w:rPr>
            </w:pPr>
            <w:r w:rsidRPr="002F3D0A">
              <w:rPr>
                <w:rFonts w:ascii="Times New Roman" w:hAnsi="Times New Roman" w:cs="Times New Roman"/>
                <w:bCs/>
                <w:sz w:val="28"/>
                <w:szCs w:val="24"/>
              </w:rPr>
              <w:t>En el caso de las personas naturales, se excluyen las primeras doce mil (12.000) UVT del valor patrimonial de su casa o apartamento</w:t>
            </w:r>
            <w:r w:rsidRPr="002F3D0A">
              <w:rPr>
                <w:rFonts w:ascii="Times New Roman" w:hAnsi="Times New Roman" w:cs="Times New Roman"/>
                <w:bCs/>
                <w:sz w:val="28"/>
                <w:szCs w:val="24"/>
              </w:rPr>
              <w:t xml:space="preserve"> de habitación. Esta exclusión aplica únicamente respecto a la casa o apartamento en donde efectivamente viva la persona natural la mayor parte del tiempo, por lo que no quedan cobijados por esta exclusión los inmuebles de recreo, segundas viviendas u otro</w:t>
            </w:r>
            <w:r w:rsidRPr="002F3D0A">
              <w:rPr>
                <w:rFonts w:ascii="Times New Roman" w:hAnsi="Times New Roman" w:cs="Times New Roman"/>
                <w:bCs/>
                <w:sz w:val="28"/>
                <w:szCs w:val="24"/>
              </w:rPr>
              <w:t xml:space="preserve"> inmueble que no cumpla con la condición de ser el lugar en donde habita la persona natural.</w:t>
            </w:r>
          </w:p>
          <w:p w:rsidR="00014619" w:rsidRPr="002F3D0A" w:rsidRDefault="002F3D0A" w:rsidP="003B0017">
            <w:pPr>
              <w:rPr>
                <w:rFonts w:ascii="Times New Roman" w:hAnsi="Times New Roman" w:cs="Times New Roman"/>
                <w:bCs/>
                <w:sz w:val="28"/>
                <w:szCs w:val="24"/>
              </w:rPr>
            </w:pPr>
            <w:r w:rsidRPr="002F3D0A">
              <w:rPr>
                <w:rFonts w:ascii="Times New Roman" w:hAnsi="Times New Roman" w:cs="Times New Roman"/>
                <w:bCs/>
                <w:sz w:val="28"/>
                <w:szCs w:val="24"/>
              </w:rPr>
              <w:t>(….)</w:t>
            </w:r>
          </w:p>
        </w:tc>
      </w:tr>
    </w:tbl>
    <w:p w:rsidR="00014619" w:rsidRPr="002F3D0A" w:rsidRDefault="002F3D0A" w:rsidP="00014619">
      <w:pPr>
        <w:pStyle w:val="Prrafodelista"/>
        <w:ind w:left="0"/>
        <w:rPr>
          <w:rFonts w:ascii="Times New Roman" w:hAnsi="Times New Roman" w:cs="Times New Roman"/>
          <w:bCs/>
          <w:sz w:val="28"/>
          <w:szCs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En las </w:t>
      </w:r>
      <w:r w:rsidRPr="002F3D0A">
        <w:rPr>
          <w:rFonts w:ascii="Times New Roman" w:hAnsi="Times New Roman" w:cs="Times New Roman"/>
          <w:bCs/>
          <w:sz w:val="28"/>
          <w:szCs w:val="28"/>
        </w:rPr>
        <w:t xml:space="preserve">tres </w:t>
      </w:r>
      <w:r w:rsidRPr="002F3D0A">
        <w:rPr>
          <w:rFonts w:ascii="Times New Roman" w:hAnsi="Times New Roman" w:cs="Times New Roman"/>
          <w:bCs/>
          <w:sz w:val="28"/>
          <w:szCs w:val="28"/>
        </w:rPr>
        <w:t>disposiciones existen coincidencias en lo que respecta a la inclusión de la propiedad inmueble</w:t>
      </w:r>
      <w:r w:rsidRPr="002F3D0A">
        <w:rPr>
          <w:rFonts w:ascii="Times New Roman" w:hAnsi="Times New Roman" w:cs="Times New Roman"/>
          <w:bCs/>
          <w:sz w:val="28"/>
          <w:szCs w:val="28"/>
        </w:rPr>
        <w:t xml:space="preserve"> en la base gravable del impuesto</w:t>
      </w:r>
      <w:r w:rsidRPr="002F3D0A">
        <w:rPr>
          <w:rFonts w:ascii="Times New Roman" w:hAnsi="Times New Roman" w:cs="Times New Roman"/>
          <w:bCs/>
          <w:sz w:val="28"/>
          <w:szCs w:val="28"/>
        </w:rPr>
        <w:t xml:space="preserve"> al patrimonio</w:t>
      </w:r>
      <w:r w:rsidRPr="002F3D0A">
        <w:rPr>
          <w:rFonts w:ascii="Times New Roman" w:hAnsi="Times New Roman" w:cs="Times New Roman"/>
          <w:bCs/>
          <w:sz w:val="28"/>
          <w:szCs w:val="28"/>
        </w:rPr>
        <w:t>. Sin embargo, no se trata del mismo contenido normativo, debido a que las disposiciones se insertan en contextos normativos diferentes. En efecto, en las tres disposiciones se incluye la propiedad inmueble como parte de la base gravable en impuestos al pa</w:t>
      </w:r>
      <w:r w:rsidRPr="002F3D0A">
        <w:rPr>
          <w:rFonts w:ascii="Times New Roman" w:hAnsi="Times New Roman" w:cs="Times New Roman"/>
          <w:bCs/>
          <w:sz w:val="28"/>
          <w:szCs w:val="28"/>
        </w:rPr>
        <w:t xml:space="preserve">trimonio </w:t>
      </w:r>
      <w:r w:rsidRPr="002F3D0A">
        <w:rPr>
          <w:rFonts w:ascii="Times New Roman" w:hAnsi="Times New Roman" w:cs="Times New Roman"/>
          <w:bCs/>
          <w:sz w:val="28"/>
          <w:szCs w:val="28"/>
        </w:rPr>
        <w:t>que cuentan con</w:t>
      </w:r>
      <w:r w:rsidRPr="002F3D0A">
        <w:rPr>
          <w:rFonts w:ascii="Times New Roman" w:hAnsi="Times New Roman" w:cs="Times New Roman"/>
          <w:bCs/>
          <w:sz w:val="28"/>
          <w:szCs w:val="28"/>
        </w:rPr>
        <w:t xml:space="preserve"> diseños normativos</w:t>
      </w:r>
      <w:r w:rsidRPr="002F3D0A">
        <w:rPr>
          <w:rFonts w:ascii="Times New Roman" w:hAnsi="Times New Roman" w:cs="Times New Roman"/>
          <w:bCs/>
          <w:sz w:val="28"/>
          <w:szCs w:val="28"/>
        </w:rPr>
        <w:t xml:space="preserve"> y </w:t>
      </w:r>
      <w:r w:rsidRPr="002F3D0A">
        <w:rPr>
          <w:rFonts w:ascii="Times New Roman" w:hAnsi="Times New Roman" w:cs="Times New Roman"/>
          <w:bCs/>
          <w:sz w:val="28"/>
          <w:szCs w:val="28"/>
        </w:rPr>
        <w:t>temporalidades</w:t>
      </w:r>
      <w:r w:rsidRPr="002F3D0A">
        <w:rPr>
          <w:rFonts w:ascii="Times New Roman" w:hAnsi="Times New Roman" w:cs="Times New Roman"/>
          <w:bCs/>
          <w:sz w:val="28"/>
          <w:szCs w:val="28"/>
        </w:rPr>
        <w:t xml:space="preserve"> distintas, creados en contextos diferentes y con propósitos disimiles. </w:t>
      </w:r>
      <w:r w:rsidRPr="002F3D0A">
        <w:rPr>
          <w:rFonts w:ascii="Times New Roman" w:hAnsi="Times New Roman" w:cs="Times New Roman"/>
          <w:bCs/>
          <w:sz w:val="28"/>
          <w:szCs w:val="28"/>
        </w:rPr>
        <w:t>Así, como lo ha establecido esta corporación en otras oportunidades sobre bases gravables del impuesto al patrimonio</w:t>
      </w:r>
      <w:r w:rsidRPr="002F3D0A">
        <w:rPr>
          <w:rStyle w:val="Refdenotaalpie"/>
          <w:rFonts w:ascii="Times New Roman" w:hAnsi="Times New Roman" w:cs="Times New Roman"/>
          <w:bCs/>
          <w:sz w:val="28"/>
          <w:szCs w:val="28"/>
        </w:rPr>
        <w:footnoteReference w:id="44"/>
      </w:r>
      <w:r w:rsidRPr="002F3D0A">
        <w:rPr>
          <w:rFonts w:ascii="Times New Roman" w:hAnsi="Times New Roman" w:cs="Times New Roman"/>
          <w:bCs/>
          <w:sz w:val="28"/>
          <w:szCs w:val="28"/>
        </w:rPr>
        <w:t xml:space="preserve"> se trata </w:t>
      </w:r>
      <w:r w:rsidRPr="002F3D0A">
        <w:rPr>
          <w:rFonts w:ascii="Times New Roman" w:hAnsi="Times New Roman" w:cs="Times New Roman"/>
          <w:bCs/>
          <w:sz w:val="28"/>
          <w:szCs w:val="28"/>
        </w:rPr>
        <w:t>de contenidos normativos diferentes</w:t>
      </w:r>
      <w:r w:rsidRPr="002F3D0A">
        <w:rPr>
          <w:rFonts w:ascii="Times New Roman" w:hAnsi="Times New Roman" w:cs="Times New Roman"/>
          <w:bCs/>
          <w:sz w:val="28"/>
          <w:szCs w:val="28"/>
        </w:rPr>
        <w:t xml:space="preserve"> por los siguientes factores:</w:t>
      </w:r>
    </w:p>
    <w:p w:rsidR="00014619" w:rsidRPr="002F3D0A" w:rsidRDefault="002F3D0A" w:rsidP="00014619">
      <w:pPr>
        <w:pStyle w:val="Prrafodelista"/>
        <w:rPr>
          <w:rFonts w:ascii="Times New Roman" w:hAnsi="Times New Roman" w:cs="Times New Roman"/>
          <w:bCs/>
          <w:sz w:val="28"/>
          <w:szCs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La temporalidad del tributo.</w:t>
      </w:r>
      <w:r w:rsidRPr="002F3D0A">
        <w:rPr>
          <w:rFonts w:ascii="Times New Roman" w:hAnsi="Times New Roman" w:cs="Times New Roman"/>
          <w:bCs/>
          <w:sz w:val="28"/>
          <w:szCs w:val="28"/>
        </w:rPr>
        <w:t xml:space="preserve"> El impuesto al patrimonio examinado en la sentencia C</w:t>
      </w:r>
      <w:r w:rsidRPr="002F3D0A">
        <w:rPr>
          <w:rFonts w:ascii="Times New Roman" w:hAnsi="Times New Roman" w:cs="Times New Roman"/>
          <w:bCs/>
          <w:sz w:val="28"/>
          <w:szCs w:val="28"/>
        </w:rPr>
        <w:t>-876 de 2002</w:t>
      </w:r>
      <w:r w:rsidRPr="002F3D0A">
        <w:rPr>
          <w:rFonts w:ascii="Times New Roman" w:hAnsi="Times New Roman" w:cs="Times New Roman"/>
          <w:bCs/>
          <w:sz w:val="28"/>
          <w:szCs w:val="28"/>
        </w:rPr>
        <w:t xml:space="preserve"> tenía vigencia de un año</w:t>
      </w:r>
      <w:r w:rsidRPr="002F3D0A">
        <w:rPr>
          <w:rFonts w:ascii="Times New Roman" w:hAnsi="Times New Roman" w:cs="Times New Roman"/>
          <w:bCs/>
          <w:sz w:val="28"/>
          <w:szCs w:val="28"/>
        </w:rPr>
        <w:t xml:space="preserve">. Por su parte, </w:t>
      </w:r>
      <w:r w:rsidRPr="002F3D0A">
        <w:rPr>
          <w:rFonts w:ascii="Times New Roman" w:hAnsi="Times New Roman" w:cs="Times New Roman"/>
          <w:bCs/>
          <w:sz w:val="28"/>
          <w:szCs w:val="28"/>
        </w:rPr>
        <w:t>el examinado en la sentencia C-990 de 2004 te</w:t>
      </w:r>
      <w:r w:rsidRPr="002F3D0A">
        <w:rPr>
          <w:rFonts w:ascii="Times New Roman" w:hAnsi="Times New Roman" w:cs="Times New Roman"/>
          <w:bCs/>
          <w:sz w:val="28"/>
          <w:szCs w:val="28"/>
        </w:rPr>
        <w:t xml:space="preserve">nía vigencia para los años gravables 2004, 2005 y </w:t>
      </w:r>
      <w:r w:rsidRPr="002F3D0A">
        <w:rPr>
          <w:rFonts w:ascii="Times New Roman" w:hAnsi="Times New Roman" w:cs="Times New Roman"/>
          <w:bCs/>
          <w:sz w:val="28"/>
          <w:szCs w:val="28"/>
        </w:rPr>
        <w:t>2006. Finalmente,</w:t>
      </w:r>
      <w:r w:rsidRPr="002F3D0A">
        <w:rPr>
          <w:rFonts w:ascii="Times New Roman" w:hAnsi="Times New Roman" w:cs="Times New Roman"/>
          <w:bCs/>
          <w:sz w:val="28"/>
          <w:szCs w:val="28"/>
        </w:rPr>
        <w:t xml:space="preserve"> el impuesto al patrimonio examinado en esta oportunidad es permanente. Esta diferencia sobre </w:t>
      </w:r>
      <w:r w:rsidRPr="002F3D0A">
        <w:rPr>
          <w:rFonts w:ascii="Times New Roman" w:hAnsi="Times New Roman" w:cs="Times New Roman"/>
          <w:bCs/>
          <w:sz w:val="28"/>
          <w:szCs w:val="28"/>
        </w:rPr>
        <w:t>la temporalidad d</w:t>
      </w:r>
      <w:r w:rsidRPr="002F3D0A">
        <w:rPr>
          <w:rFonts w:ascii="Times New Roman" w:hAnsi="Times New Roman" w:cs="Times New Roman"/>
          <w:bCs/>
          <w:sz w:val="28"/>
          <w:szCs w:val="28"/>
        </w:rPr>
        <w:t xml:space="preserve">el tributo en el que se enmarca la norma acusada ha sido </w:t>
      </w:r>
      <w:r w:rsidRPr="002F3D0A">
        <w:rPr>
          <w:rFonts w:ascii="Times New Roman" w:hAnsi="Times New Roman" w:cs="Times New Roman"/>
          <w:bCs/>
          <w:sz w:val="28"/>
          <w:szCs w:val="28"/>
        </w:rPr>
        <w:t>considerada</w:t>
      </w:r>
      <w:r w:rsidRPr="002F3D0A">
        <w:rPr>
          <w:rFonts w:ascii="Times New Roman" w:hAnsi="Times New Roman" w:cs="Times New Roman"/>
          <w:bCs/>
          <w:sz w:val="28"/>
          <w:szCs w:val="28"/>
        </w:rPr>
        <w:t xml:space="preserve"> en el examen de constitucionalidad </w:t>
      </w:r>
      <w:r w:rsidRPr="002F3D0A">
        <w:rPr>
          <w:rFonts w:ascii="Times New Roman" w:hAnsi="Times New Roman" w:cs="Times New Roman"/>
          <w:bCs/>
          <w:sz w:val="28"/>
          <w:szCs w:val="28"/>
        </w:rPr>
        <w:t xml:space="preserve">efectuado en anteriores oportunidades </w:t>
      </w:r>
      <w:r w:rsidRPr="002F3D0A">
        <w:rPr>
          <w:rFonts w:ascii="Times New Roman" w:hAnsi="Times New Roman" w:cs="Times New Roman"/>
          <w:bCs/>
          <w:sz w:val="28"/>
          <w:szCs w:val="28"/>
        </w:rPr>
        <w:t>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incide en el alcance del tributo</w:t>
      </w:r>
      <w:r w:rsidRPr="002F3D0A">
        <w:rPr>
          <w:rFonts w:ascii="Times New Roman" w:hAnsi="Times New Roman" w:cs="Times New Roman"/>
          <w:bCs/>
          <w:sz w:val="28"/>
          <w:szCs w:val="28"/>
        </w:rPr>
        <w:t>. En efecto, gran parte de la argumentación de los demandantes e intervinientes toma</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en cuenta la temporalidad del tributo</w:t>
      </w:r>
      <w:r w:rsidRPr="002F3D0A">
        <w:rPr>
          <w:rFonts w:ascii="Times New Roman" w:hAnsi="Times New Roman" w:cs="Times New Roman"/>
          <w:bCs/>
          <w:sz w:val="28"/>
          <w:szCs w:val="28"/>
        </w:rPr>
        <w:t xml:space="preserve"> cuestionado en esta oport</w:t>
      </w:r>
      <w:r w:rsidRPr="002F3D0A">
        <w:rPr>
          <w:rFonts w:ascii="Times New Roman" w:hAnsi="Times New Roman" w:cs="Times New Roman"/>
          <w:bCs/>
          <w:sz w:val="28"/>
          <w:szCs w:val="28"/>
        </w:rPr>
        <w:t>unidad</w:t>
      </w:r>
      <w:r w:rsidRPr="002F3D0A">
        <w:rPr>
          <w:rFonts w:ascii="Times New Roman" w:hAnsi="Times New Roman" w:cs="Times New Roman"/>
          <w:bCs/>
          <w:sz w:val="28"/>
          <w:szCs w:val="28"/>
        </w:rPr>
        <w:t xml:space="preserve"> como </w:t>
      </w:r>
      <w:r w:rsidRPr="002F3D0A">
        <w:rPr>
          <w:rFonts w:ascii="Times New Roman" w:hAnsi="Times New Roman" w:cs="Times New Roman"/>
          <w:bCs/>
          <w:sz w:val="28"/>
          <w:szCs w:val="28"/>
        </w:rPr>
        <w:t xml:space="preserve">un </w:t>
      </w:r>
      <w:r w:rsidRPr="002F3D0A">
        <w:rPr>
          <w:rFonts w:ascii="Times New Roman" w:hAnsi="Times New Roman" w:cs="Times New Roman"/>
          <w:bCs/>
          <w:sz w:val="28"/>
          <w:szCs w:val="28"/>
        </w:rPr>
        <w:t xml:space="preserve">factor </w:t>
      </w:r>
      <w:r w:rsidRPr="002F3D0A">
        <w:rPr>
          <w:rFonts w:ascii="Times New Roman" w:hAnsi="Times New Roman" w:cs="Times New Roman"/>
          <w:bCs/>
          <w:sz w:val="28"/>
          <w:szCs w:val="28"/>
        </w:rPr>
        <w:t xml:space="preserve">relevante </w:t>
      </w:r>
      <w:r w:rsidRPr="002F3D0A">
        <w:rPr>
          <w:rFonts w:ascii="Times New Roman" w:hAnsi="Times New Roman" w:cs="Times New Roman"/>
          <w:bCs/>
          <w:sz w:val="28"/>
          <w:szCs w:val="28"/>
        </w:rPr>
        <w:t>sobre la comprensión de la disposición acusada</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su alcance</w:t>
      </w:r>
      <w:r w:rsidRPr="002F3D0A">
        <w:rPr>
          <w:rFonts w:ascii="Times New Roman" w:hAnsi="Times New Roman" w:cs="Times New Roman"/>
          <w:bCs/>
          <w:sz w:val="28"/>
          <w:szCs w:val="28"/>
        </w:rPr>
        <w:t xml:space="preserve"> y constitucionalidad</w:t>
      </w:r>
      <w:r w:rsidRPr="002F3D0A">
        <w:rPr>
          <w:rStyle w:val="Refdenotaalpie"/>
          <w:rFonts w:ascii="Times New Roman" w:hAnsi="Times New Roman" w:cs="Times New Roman"/>
          <w:bCs/>
          <w:sz w:val="28"/>
          <w:szCs w:val="28"/>
        </w:rPr>
        <w:footnoteReference w:id="45"/>
      </w:r>
      <w:r w:rsidRPr="002F3D0A">
        <w:rPr>
          <w:rFonts w:ascii="Times New Roman" w:hAnsi="Times New Roman" w:cs="Times New Roman"/>
          <w:bCs/>
          <w:sz w:val="28"/>
          <w:szCs w:val="28"/>
        </w:rPr>
        <w:t>.</w:t>
      </w:r>
    </w:p>
    <w:p w:rsidR="00014619" w:rsidRPr="002F3D0A" w:rsidRDefault="002F3D0A" w:rsidP="003B0017">
      <w:pPr>
        <w:pStyle w:val="Sinespaciado"/>
        <w:rPr>
          <w:rFonts w:ascii="Times New Roman" w:hAnsi="Times New Roman"/>
          <w:sz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La deducibilidad de la propiedad inmueble</w:t>
      </w:r>
      <w:r w:rsidRPr="002F3D0A">
        <w:rPr>
          <w:rFonts w:ascii="Times New Roman" w:hAnsi="Times New Roman" w:cs="Times New Roman"/>
          <w:bCs/>
          <w:sz w:val="28"/>
          <w:szCs w:val="28"/>
        </w:rPr>
        <w:t>. El impuesto al patrimonio examinado en la sentencia C-876 de 2002 prohibía deducir de la renta gra</w:t>
      </w:r>
      <w:r w:rsidRPr="002F3D0A">
        <w:rPr>
          <w:rFonts w:ascii="Times New Roman" w:hAnsi="Times New Roman" w:cs="Times New Roman"/>
          <w:bCs/>
          <w:sz w:val="28"/>
          <w:szCs w:val="28"/>
        </w:rPr>
        <w:t xml:space="preserve">vable la propiedad inmueble. Por su parte, el tributo examinado en la sentencia C-990 de 2004 </w:t>
      </w:r>
      <w:r w:rsidRPr="002F3D0A">
        <w:rPr>
          <w:rFonts w:ascii="Times New Roman" w:hAnsi="Times New Roman" w:cs="Times New Roman"/>
          <w:bCs/>
          <w:sz w:val="28"/>
          <w:szCs w:val="28"/>
        </w:rPr>
        <w:t xml:space="preserve">permitía deducir los </w:t>
      </w:r>
      <w:r w:rsidRPr="002F3D0A">
        <w:rPr>
          <w:rFonts w:ascii="Times New Roman" w:hAnsi="Times New Roman" w:cs="Times New Roman"/>
          <w:bCs/>
          <w:sz w:val="28"/>
          <w:szCs w:val="28"/>
        </w:rPr>
        <w:t>primeros doscientos millones de pesos ($200.000.000) del valor de la casa o apartamento de habitación.</w:t>
      </w:r>
      <w:r w:rsidRPr="002F3D0A">
        <w:rPr>
          <w:rFonts w:ascii="Times New Roman" w:hAnsi="Times New Roman" w:cs="Times New Roman"/>
          <w:bCs/>
          <w:sz w:val="28"/>
          <w:szCs w:val="28"/>
        </w:rPr>
        <w:t xml:space="preserve"> Finalmente, en el impuesto que hoy exa</w:t>
      </w:r>
      <w:r w:rsidRPr="002F3D0A">
        <w:rPr>
          <w:rFonts w:ascii="Times New Roman" w:hAnsi="Times New Roman" w:cs="Times New Roman"/>
          <w:bCs/>
          <w:sz w:val="28"/>
          <w:szCs w:val="28"/>
        </w:rPr>
        <w:t xml:space="preserve">mina la Sala </w:t>
      </w:r>
      <w:r w:rsidRPr="002F3D0A">
        <w:rPr>
          <w:rFonts w:ascii="Times New Roman" w:hAnsi="Times New Roman" w:cs="Times New Roman"/>
          <w:bCs/>
          <w:sz w:val="28"/>
          <w:szCs w:val="28"/>
        </w:rPr>
        <w:t>se excluyen las primeras doce mil (12.000) UVT del valor patrimonial de casa o apartamento de habitación</w:t>
      </w:r>
      <w:r w:rsidRPr="002F3D0A">
        <w:rPr>
          <w:rFonts w:ascii="Times New Roman" w:hAnsi="Times New Roman" w:cs="Times New Roman"/>
          <w:bCs/>
          <w:sz w:val="28"/>
          <w:szCs w:val="28"/>
        </w:rPr>
        <w:t xml:space="preserve"> de las personas naturales</w:t>
      </w:r>
      <w:r w:rsidRPr="002F3D0A">
        <w:rPr>
          <w:rFonts w:ascii="Times New Roman" w:hAnsi="Times New Roman" w:cs="Times New Roman"/>
          <w:bCs/>
          <w:sz w:val="28"/>
          <w:szCs w:val="28"/>
        </w:rPr>
        <w:t xml:space="preserve">. La posibilidad de deducción de parte de la propiedad inmueble fue considerada en la sentencia C-990 de 2004 en </w:t>
      </w:r>
      <w:r w:rsidRPr="002F3D0A">
        <w:rPr>
          <w:rFonts w:ascii="Times New Roman" w:hAnsi="Times New Roman" w:cs="Times New Roman"/>
          <w:bCs/>
          <w:sz w:val="28"/>
          <w:szCs w:val="28"/>
        </w:rPr>
        <w:t>el examen de constitucionalidad y está directamente relacionada con el contenido normativo que se acusa.</w:t>
      </w:r>
    </w:p>
    <w:p w:rsidR="00014619" w:rsidRPr="002F3D0A" w:rsidRDefault="002F3D0A" w:rsidP="00014619">
      <w:pPr>
        <w:pStyle w:val="Prrafodelista"/>
        <w:rPr>
          <w:rFonts w:ascii="Times New Roman" w:hAnsi="Times New Roman" w:cs="Times New Roman"/>
          <w:bCs/>
          <w:sz w:val="28"/>
          <w:szCs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La finalidad del tributo.</w:t>
      </w:r>
      <w:r w:rsidRPr="002F3D0A">
        <w:rPr>
          <w:rFonts w:ascii="Times New Roman" w:hAnsi="Times New Roman" w:cs="Times New Roman"/>
          <w:bCs/>
          <w:sz w:val="28"/>
          <w:szCs w:val="28"/>
        </w:rPr>
        <w:t xml:space="preserve"> El impuesto al patrimonio examinado en la sentencia </w:t>
      </w:r>
      <w:r w:rsidRPr="002F3D0A">
        <w:rPr>
          <w:rFonts w:ascii="Times New Roman" w:hAnsi="Times New Roman" w:cs="Times New Roman"/>
          <w:sz w:val="28"/>
          <w:szCs w:val="28"/>
        </w:rPr>
        <w:t>C</w:t>
      </w:r>
      <w:r w:rsidRPr="002F3D0A">
        <w:rPr>
          <w:rFonts w:ascii="Times New Roman" w:hAnsi="Times New Roman" w:cs="Times New Roman"/>
          <w:bCs/>
          <w:sz w:val="28"/>
          <w:szCs w:val="28"/>
        </w:rPr>
        <w:t xml:space="preserve">-876 de 2002 estaba </w:t>
      </w:r>
      <w:r w:rsidRPr="002F3D0A">
        <w:rPr>
          <w:rFonts w:ascii="Times New Roman" w:hAnsi="Times New Roman" w:cs="Times New Roman"/>
          <w:sz w:val="28"/>
          <w:szCs w:val="28"/>
        </w:rPr>
        <w:t xml:space="preserve">destinado a atender los gastos del Presupuesto </w:t>
      </w:r>
      <w:r w:rsidRPr="002F3D0A">
        <w:rPr>
          <w:rFonts w:ascii="Times New Roman" w:hAnsi="Times New Roman" w:cs="Times New Roman"/>
          <w:sz w:val="28"/>
          <w:szCs w:val="28"/>
        </w:rPr>
        <w:t>General de la Nación necesarios para preservar la seguridad democrática</w:t>
      </w:r>
      <w:r w:rsidRPr="002F3D0A">
        <w:rPr>
          <w:rFonts w:ascii="Times New Roman" w:hAnsi="Times New Roman" w:cs="Times New Roman"/>
          <w:sz w:val="28"/>
          <w:szCs w:val="28"/>
        </w:rPr>
        <w:t xml:space="preserve"> en el marco del estado de conmoción interior</w:t>
      </w:r>
      <w:r w:rsidRPr="002F3D0A">
        <w:rPr>
          <w:rFonts w:ascii="Times New Roman" w:hAnsi="Times New Roman" w:cs="Times New Roman"/>
          <w:bCs/>
          <w:sz w:val="28"/>
          <w:szCs w:val="28"/>
        </w:rPr>
        <w:t>. Por su parte,</w:t>
      </w:r>
      <w:r w:rsidRPr="002F3D0A">
        <w:rPr>
          <w:rFonts w:ascii="Times New Roman" w:hAnsi="Times New Roman" w:cs="Times New Roman"/>
          <w:bCs/>
          <w:sz w:val="28"/>
          <w:szCs w:val="28"/>
        </w:rPr>
        <w:t xml:space="preserve"> el </w:t>
      </w:r>
      <w:r w:rsidRPr="002F3D0A">
        <w:rPr>
          <w:rFonts w:ascii="Times New Roman" w:hAnsi="Times New Roman" w:cs="Times New Roman"/>
          <w:bCs/>
          <w:sz w:val="28"/>
          <w:szCs w:val="28"/>
        </w:rPr>
        <w:t xml:space="preserve">impuesto </w:t>
      </w:r>
      <w:r w:rsidRPr="002F3D0A">
        <w:rPr>
          <w:rFonts w:ascii="Times New Roman" w:hAnsi="Times New Roman" w:cs="Times New Roman"/>
          <w:bCs/>
          <w:sz w:val="28"/>
          <w:szCs w:val="28"/>
        </w:rPr>
        <w:t>examinado en la sentencia C-990 de 2004</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hizo parte de una</w:t>
      </w:r>
      <w:r w:rsidRPr="002F3D0A">
        <w:rPr>
          <w:rFonts w:ascii="Times New Roman" w:hAnsi="Times New Roman" w:cs="Times New Roman"/>
          <w:bCs/>
          <w:sz w:val="28"/>
          <w:szCs w:val="28"/>
        </w:rPr>
        <w:t xml:space="preserve"> reforma tributaria que </w:t>
      </w:r>
      <w:r w:rsidRPr="002F3D0A">
        <w:rPr>
          <w:rFonts w:ascii="Times New Roman" w:hAnsi="Times New Roman" w:cs="Times New Roman"/>
          <w:bCs/>
          <w:sz w:val="28"/>
          <w:szCs w:val="28"/>
        </w:rPr>
        <w:t xml:space="preserve">buscaba </w:t>
      </w:r>
      <w:r w:rsidRPr="002F3D0A">
        <w:rPr>
          <w:rFonts w:ascii="Times New Roman" w:hAnsi="Times New Roman" w:cs="Times New Roman"/>
          <w:bCs/>
          <w:sz w:val="28"/>
          <w:szCs w:val="28"/>
        </w:rPr>
        <w:t>estimular el crecimient</w:t>
      </w:r>
      <w:r w:rsidRPr="002F3D0A">
        <w:rPr>
          <w:rFonts w:ascii="Times New Roman" w:hAnsi="Times New Roman" w:cs="Times New Roman"/>
          <w:bCs/>
          <w:sz w:val="28"/>
          <w:szCs w:val="28"/>
        </w:rPr>
        <w:t xml:space="preserve">o económico y sanear las finanzas públicas. Finalmente, </w:t>
      </w:r>
      <w:r w:rsidRPr="002F3D0A">
        <w:rPr>
          <w:rFonts w:ascii="Times New Roman" w:hAnsi="Times New Roman" w:cs="Times New Roman"/>
          <w:bCs/>
          <w:sz w:val="28"/>
          <w:szCs w:val="28"/>
        </w:rPr>
        <w:t xml:space="preserve">el impuesto al patrimonio examinado en esta oportunidad </w:t>
      </w:r>
      <w:r w:rsidRPr="002F3D0A">
        <w:rPr>
          <w:rFonts w:ascii="Times New Roman" w:hAnsi="Times New Roman" w:cs="Times New Roman"/>
          <w:bCs/>
          <w:sz w:val="28"/>
          <w:szCs w:val="28"/>
        </w:rPr>
        <w:t>se inserta en</w:t>
      </w:r>
      <w:r w:rsidRPr="002F3D0A">
        <w:rPr>
          <w:rFonts w:ascii="Times New Roman" w:hAnsi="Times New Roman" w:cs="Times New Roman"/>
          <w:bCs/>
          <w:sz w:val="28"/>
          <w:szCs w:val="28"/>
        </w:rPr>
        <w:t xml:space="preserve"> una reforma tributaria que busca apoyar e</w:t>
      </w:r>
      <w:r w:rsidRPr="002F3D0A">
        <w:rPr>
          <w:rFonts w:ascii="Times New Roman" w:hAnsi="Times New Roman" w:cs="Times New Roman"/>
          <w:bCs/>
          <w:sz w:val="28"/>
          <w:szCs w:val="28"/>
        </w:rPr>
        <w:t>l gasto social en la lucha por la igualdad y la justicia social y consolidar el ajuste fi</w:t>
      </w:r>
      <w:r w:rsidRPr="002F3D0A">
        <w:rPr>
          <w:rFonts w:ascii="Times New Roman" w:hAnsi="Times New Roman" w:cs="Times New Roman"/>
          <w:bCs/>
          <w:sz w:val="28"/>
          <w:szCs w:val="28"/>
        </w:rPr>
        <w:t>scal.</w:t>
      </w:r>
    </w:p>
    <w:p w:rsidR="00014619" w:rsidRPr="002F3D0A" w:rsidRDefault="002F3D0A" w:rsidP="004123DA">
      <w:pPr>
        <w:pStyle w:val="Sinespaciado"/>
        <w:rPr>
          <w:rFonts w:ascii="Times New Roman" w:hAnsi="Times New Roman"/>
          <w:sz w:val="28"/>
        </w:rPr>
      </w:pPr>
    </w:p>
    <w:p w:rsidR="00014619" w:rsidRPr="002F3D0A" w:rsidRDefault="002F3D0A" w:rsidP="0001461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Por último, debe tenerse en cuenta que e</w:t>
      </w:r>
      <w:r w:rsidRPr="002F3D0A">
        <w:rPr>
          <w:rFonts w:ascii="Times New Roman" w:hAnsi="Times New Roman" w:cs="Times New Roman"/>
          <w:bCs/>
          <w:sz w:val="28"/>
          <w:szCs w:val="28"/>
        </w:rPr>
        <w:t xml:space="preserve">n otras oportunidades la Corte ha descartado la cosa juzgada material </w:t>
      </w:r>
      <w:r w:rsidRPr="002F3D0A">
        <w:rPr>
          <w:rFonts w:ascii="Times New Roman" w:hAnsi="Times New Roman" w:cs="Times New Roman"/>
          <w:bCs/>
          <w:sz w:val="28"/>
          <w:szCs w:val="28"/>
        </w:rPr>
        <w:t xml:space="preserve">frente a disposiciones que incluyen la propiedad inmueble en la base gravable del impuesto al patrimonio: </w:t>
      </w:r>
      <w:r w:rsidRPr="002F3D0A">
        <w:rPr>
          <w:rFonts w:ascii="Times New Roman" w:hAnsi="Times New Roman" w:cs="Times New Roman"/>
          <w:bCs/>
          <w:sz w:val="28"/>
          <w:szCs w:val="28"/>
        </w:rPr>
        <w:t xml:space="preserve">sentencias C-990 de 2004 y C-257 </w:t>
      </w:r>
      <w:r w:rsidRPr="002F3D0A">
        <w:rPr>
          <w:rFonts w:ascii="Times New Roman" w:hAnsi="Times New Roman" w:cs="Times New Roman"/>
          <w:bCs/>
          <w:sz w:val="28"/>
          <w:szCs w:val="28"/>
        </w:rPr>
        <w:t xml:space="preserve">de 2022. </w:t>
      </w:r>
    </w:p>
    <w:p w:rsidR="00014619" w:rsidRPr="002F3D0A" w:rsidRDefault="002F3D0A" w:rsidP="00014619">
      <w:pPr>
        <w:pStyle w:val="Prrafodelista"/>
        <w:rPr>
          <w:rFonts w:ascii="Times New Roman" w:hAnsi="Times New Roman" w:cs="Times New Roman"/>
          <w:bCs/>
          <w:sz w:val="28"/>
          <w:szCs w:val="28"/>
        </w:rPr>
      </w:pPr>
    </w:p>
    <w:p w:rsidR="00014619" w:rsidRPr="002F3D0A" w:rsidRDefault="002F3D0A" w:rsidP="00947050">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lang w:val="es-ES"/>
        </w:rPr>
        <w:t>A</w:t>
      </w:r>
      <w:r w:rsidRPr="002F3D0A">
        <w:rPr>
          <w:rFonts w:ascii="Times New Roman" w:hAnsi="Times New Roman" w:cs="Times New Roman"/>
          <w:bCs/>
          <w:sz w:val="28"/>
          <w:szCs w:val="28"/>
          <w:lang w:val="es-ES"/>
        </w:rPr>
        <w:t>sí,</w:t>
      </w:r>
      <w:r w:rsidRPr="002F3D0A">
        <w:rPr>
          <w:rFonts w:ascii="Times New Roman" w:hAnsi="Times New Roman" w:cs="Times New Roman"/>
          <w:bCs/>
          <w:sz w:val="28"/>
          <w:szCs w:val="28"/>
          <w:lang w:val="es-ES"/>
        </w:rPr>
        <w:t xml:space="preserve"> a partir de los elementos expuestos el juicio de constitucionalidad efectuado en las sentencias C-990 de 2004 y C-876 de 2002 sobre otras disposiciones que </w:t>
      </w:r>
      <w:r w:rsidRPr="002F3D0A">
        <w:rPr>
          <w:rFonts w:ascii="Times New Roman" w:hAnsi="Times New Roman" w:cs="Times New Roman"/>
          <w:bCs/>
          <w:sz w:val="28"/>
          <w:szCs w:val="28"/>
          <w:lang w:val="es-ES"/>
        </w:rPr>
        <w:t>integraron</w:t>
      </w:r>
      <w:r w:rsidRPr="002F3D0A">
        <w:rPr>
          <w:rFonts w:ascii="Times New Roman" w:hAnsi="Times New Roman" w:cs="Times New Roman"/>
          <w:bCs/>
          <w:sz w:val="28"/>
          <w:szCs w:val="28"/>
          <w:lang w:val="es-ES"/>
        </w:rPr>
        <w:t xml:space="preserve"> la propiedad inmueble en la base gravable del impuesto al patrimonio no configura cosa juzgada material con respecto </w:t>
      </w:r>
      <w:r w:rsidRPr="002F3D0A">
        <w:rPr>
          <w:rFonts w:ascii="Times New Roman" w:hAnsi="Times New Roman" w:cs="Times New Roman"/>
          <w:bCs/>
          <w:sz w:val="28"/>
          <w:szCs w:val="28"/>
          <w:lang w:val="es-ES"/>
        </w:rPr>
        <w:t>al artículo 37 de la Ley 2277 de 2022</w:t>
      </w:r>
      <w:r w:rsidRPr="002F3D0A">
        <w:rPr>
          <w:rFonts w:ascii="Times New Roman" w:hAnsi="Times New Roman" w:cs="Times New Roman"/>
          <w:bCs/>
          <w:sz w:val="28"/>
          <w:szCs w:val="28"/>
          <w:lang w:val="es-ES"/>
        </w:rPr>
        <w:t>, pues si bien las disposiciones presentan un texto similar no se trata del mismo contenido normativo</w:t>
      </w:r>
      <w:r w:rsidRPr="002F3D0A">
        <w:rPr>
          <w:rFonts w:ascii="Times New Roman" w:hAnsi="Times New Roman" w:cs="Times New Roman"/>
          <w:bCs/>
          <w:sz w:val="28"/>
          <w:szCs w:val="28"/>
          <w:lang w:val="es-ES"/>
        </w:rPr>
        <w:t xml:space="preserve">, el cual </w:t>
      </w:r>
      <w:r w:rsidRPr="002F3D0A">
        <w:rPr>
          <w:rFonts w:ascii="Times New Roman" w:hAnsi="Times New Roman" w:cs="Times New Roman"/>
          <w:bCs/>
          <w:sz w:val="28"/>
          <w:szCs w:val="28"/>
          <w:lang w:val="es-ES"/>
        </w:rPr>
        <w:t>difiere en apartes de su</w:t>
      </w:r>
      <w:r w:rsidRPr="002F3D0A">
        <w:rPr>
          <w:rFonts w:ascii="Times New Roman" w:hAnsi="Times New Roman" w:cs="Times New Roman"/>
          <w:bCs/>
          <w:sz w:val="28"/>
          <w:szCs w:val="28"/>
          <w:lang w:val="es-ES"/>
        </w:rPr>
        <w:t xml:space="preserve"> redacción</w:t>
      </w:r>
      <w:r w:rsidRPr="002F3D0A">
        <w:rPr>
          <w:rFonts w:ascii="Times New Roman" w:hAnsi="Times New Roman" w:cs="Times New Roman"/>
          <w:bCs/>
          <w:sz w:val="28"/>
          <w:szCs w:val="28"/>
          <w:lang w:val="es-ES"/>
        </w:rPr>
        <w:t>,</w:t>
      </w:r>
      <w:r w:rsidRPr="002F3D0A">
        <w:rPr>
          <w:rFonts w:ascii="Times New Roman" w:hAnsi="Times New Roman" w:cs="Times New Roman"/>
          <w:bCs/>
          <w:sz w:val="28"/>
          <w:szCs w:val="28"/>
          <w:lang w:val="es-ES"/>
        </w:rPr>
        <w:t xml:space="preserve"> en las reglas sobre la inclusión de ese tipo de propiedad en la base gravabl</w:t>
      </w:r>
      <w:r w:rsidRPr="002F3D0A">
        <w:rPr>
          <w:rFonts w:ascii="Times New Roman" w:hAnsi="Times New Roman" w:cs="Times New Roman"/>
          <w:bCs/>
          <w:sz w:val="28"/>
          <w:szCs w:val="28"/>
          <w:lang w:val="es-ES"/>
        </w:rPr>
        <w:t>e</w:t>
      </w:r>
      <w:r w:rsidRPr="002F3D0A">
        <w:rPr>
          <w:rFonts w:ascii="Times New Roman" w:hAnsi="Times New Roman" w:cs="Times New Roman"/>
          <w:bCs/>
          <w:sz w:val="28"/>
          <w:szCs w:val="28"/>
          <w:lang w:val="es-ES"/>
        </w:rPr>
        <w:t xml:space="preserve"> y</w:t>
      </w:r>
      <w:r w:rsidRPr="002F3D0A">
        <w:rPr>
          <w:rFonts w:ascii="Times New Roman" w:hAnsi="Times New Roman" w:cs="Times New Roman"/>
          <w:bCs/>
          <w:sz w:val="28"/>
          <w:szCs w:val="28"/>
          <w:lang w:val="es-ES"/>
        </w:rPr>
        <w:t xml:space="preserve"> en el tributo del que hacen parte. Estos elementos g</w:t>
      </w:r>
      <w:r w:rsidRPr="002F3D0A">
        <w:rPr>
          <w:rFonts w:ascii="Times New Roman" w:hAnsi="Times New Roman" w:cs="Times New Roman"/>
          <w:bCs/>
          <w:sz w:val="28"/>
          <w:szCs w:val="28"/>
          <w:lang w:val="es-ES"/>
        </w:rPr>
        <w:t>eneran un contexto normativo diferente</w:t>
      </w:r>
      <w:r w:rsidRPr="002F3D0A">
        <w:rPr>
          <w:rFonts w:ascii="Times New Roman" w:hAnsi="Times New Roman" w:cs="Times New Roman"/>
          <w:bCs/>
          <w:sz w:val="28"/>
          <w:szCs w:val="28"/>
          <w:lang w:val="es-ES"/>
        </w:rPr>
        <w:t xml:space="preserve"> que descarta la identidad de las normas</w:t>
      </w:r>
      <w:r w:rsidRPr="002F3D0A">
        <w:rPr>
          <w:rFonts w:ascii="Times New Roman" w:hAnsi="Times New Roman" w:cs="Times New Roman"/>
          <w:bCs/>
          <w:sz w:val="28"/>
          <w:szCs w:val="28"/>
          <w:lang w:val="es-ES"/>
        </w:rPr>
        <w:t xml:space="preserve"> y, por ende, la cosa juzgada material.</w:t>
      </w:r>
    </w:p>
    <w:p w:rsidR="00B0714D" w:rsidRPr="002F3D0A" w:rsidRDefault="002F3D0A" w:rsidP="00947050">
      <w:pPr>
        <w:pStyle w:val="Prrafodelista"/>
        <w:rPr>
          <w:rFonts w:ascii="Times New Roman" w:hAnsi="Times New Roman" w:cs="Times New Roman"/>
          <w:bCs/>
          <w:sz w:val="28"/>
          <w:szCs w:val="28"/>
        </w:rPr>
      </w:pPr>
    </w:p>
    <w:p w:rsidR="00B0714D" w:rsidRPr="002F3D0A" w:rsidRDefault="002F3D0A" w:rsidP="00947050">
      <w:pPr>
        <w:pStyle w:val="Prrafodelista"/>
        <w:ind w:left="0"/>
        <w:rPr>
          <w:rFonts w:ascii="Times New Roman" w:hAnsi="Times New Roman" w:cs="Times New Roman"/>
          <w:b/>
          <w:bCs/>
          <w:sz w:val="28"/>
          <w:szCs w:val="28"/>
        </w:rPr>
      </w:pPr>
      <w:r w:rsidRPr="002F3D0A">
        <w:rPr>
          <w:rFonts w:ascii="Times New Roman" w:hAnsi="Times New Roman" w:cs="Times New Roman"/>
          <w:b/>
          <w:bCs/>
          <w:sz w:val="28"/>
          <w:szCs w:val="28"/>
        </w:rPr>
        <w:t xml:space="preserve">C. </w:t>
      </w:r>
      <w:r w:rsidRPr="002F3D0A">
        <w:rPr>
          <w:rFonts w:ascii="Times New Roman" w:hAnsi="Times New Roman" w:cs="Times New Roman"/>
          <w:b/>
          <w:bCs/>
          <w:sz w:val="28"/>
          <w:szCs w:val="28"/>
        </w:rPr>
        <w:t xml:space="preserve">Segunda cuestión previa: la aptitud de los cargos </w:t>
      </w:r>
    </w:p>
    <w:p w:rsidR="00B0714D" w:rsidRPr="002F3D0A" w:rsidRDefault="002F3D0A" w:rsidP="00947050">
      <w:pPr>
        <w:pStyle w:val="Prrafodelista"/>
        <w:ind w:left="0"/>
        <w:rPr>
          <w:rFonts w:ascii="Times New Roman" w:hAnsi="Times New Roman" w:cs="Times New Roman"/>
          <w:bCs/>
          <w:sz w:val="28"/>
          <w:szCs w:val="28"/>
        </w:rPr>
      </w:pPr>
    </w:p>
    <w:p w:rsidR="00AA620E" w:rsidRPr="002F3D0A" w:rsidRDefault="002F3D0A" w:rsidP="00947050">
      <w:pPr>
        <w:pStyle w:val="Sombreadovistoso-nfasis31"/>
        <w:numPr>
          <w:ilvl w:val="0"/>
          <w:numId w:val="1"/>
        </w:numPr>
        <w:ind w:left="0" w:firstLine="0"/>
        <w:rPr>
          <w:b/>
          <w:bCs/>
          <w:color w:val="auto"/>
        </w:rPr>
      </w:pPr>
      <w:r w:rsidRPr="002F3D0A">
        <w:rPr>
          <w:color w:val="auto"/>
        </w:rPr>
        <w:t xml:space="preserve">El numeral 3° del artículo 2° del Decreto Ley 2067 de 1991 establece que las demandas de inconstitucionalidad deben contener las razones por las cuales se </w:t>
      </w:r>
      <w:r w:rsidRPr="002F3D0A">
        <w:rPr>
          <w:color w:val="auto"/>
        </w:rPr>
        <w:t>estima que las normas cuestionadas vulneran la Constitución, es decir, el concepto de la violación</w:t>
      </w:r>
      <w:r w:rsidRPr="002F3D0A">
        <w:rPr>
          <w:rStyle w:val="Refdenotaalpie"/>
          <w:color w:val="auto"/>
        </w:rPr>
        <w:footnoteReference w:id="46"/>
      </w:r>
      <w:r w:rsidRPr="002F3D0A">
        <w:rPr>
          <w:color w:val="auto"/>
        </w:rPr>
        <w:t>. Inicialmente, le corresponde al magistrado sustanciador verificar la satisfacción de este requisito al decidir si la demanda es apta para ser admitida</w:t>
      </w:r>
      <w:r w:rsidRPr="002F3D0A">
        <w:rPr>
          <w:rStyle w:val="Refdenotaalpie"/>
          <w:color w:val="auto"/>
        </w:rPr>
        <w:footnoteReference w:id="47"/>
      </w:r>
      <w:r w:rsidRPr="002F3D0A">
        <w:rPr>
          <w:color w:val="auto"/>
        </w:rPr>
        <w:t>. Si</w:t>
      </w:r>
      <w:r w:rsidRPr="002F3D0A">
        <w:rPr>
          <w:color w:val="auto"/>
        </w:rPr>
        <w:t xml:space="preserve">n embargo, esto no impide que la Sala Plena examine de nuevo el cumplimiento de dicha exigencia en la sentencia, más cuando para ese momento ya se cuenta con las intervenciones de los ciudadanos, de las entidades y organizaciones invitadas a participar en </w:t>
      </w:r>
      <w:r w:rsidRPr="002F3D0A">
        <w:rPr>
          <w:color w:val="auto"/>
        </w:rPr>
        <w:t xml:space="preserve">el trámite, así como de la Procuraduría General de la Nación. Tales intervenciones, necesariamente presentadas con posterioridad a la admisión de la demanda, pueden aportarle a la Sala Plena elementos de juicio sobre los presupuestos de aptitud sustantiva </w:t>
      </w:r>
      <w:r w:rsidRPr="002F3D0A">
        <w:rPr>
          <w:color w:val="auto"/>
        </w:rPr>
        <w:t xml:space="preserve">de la demanda, </w:t>
      </w:r>
      <w:r w:rsidRPr="002F3D0A">
        <w:rPr>
          <w:color w:val="auto"/>
        </w:rPr>
        <w:t xml:space="preserve">los cuales son indispensables </w:t>
      </w:r>
      <w:r w:rsidRPr="002F3D0A">
        <w:rPr>
          <w:color w:val="auto"/>
        </w:rPr>
        <w:t>para que la Corte pueda emitir un pronunciamiento de fondo</w:t>
      </w:r>
      <w:r w:rsidRPr="002F3D0A">
        <w:rPr>
          <w:rStyle w:val="Refdenotaalpie"/>
          <w:color w:val="auto"/>
        </w:rPr>
        <w:footnoteReference w:id="48"/>
      </w:r>
      <w:r w:rsidRPr="002F3D0A">
        <w:rPr>
          <w:color w:val="auto"/>
        </w:rPr>
        <w:t>.</w:t>
      </w:r>
    </w:p>
    <w:p w:rsidR="00AA620E" w:rsidRPr="002F3D0A" w:rsidRDefault="002F3D0A" w:rsidP="00947050">
      <w:pPr>
        <w:pStyle w:val="Sinespaciado"/>
        <w:contextualSpacing/>
        <w:rPr>
          <w:rFonts w:ascii="Times New Roman" w:hAnsi="Times New Roman"/>
          <w:sz w:val="28"/>
        </w:rPr>
      </w:pPr>
    </w:p>
    <w:p w:rsidR="005C2E09" w:rsidRPr="002F3D0A" w:rsidRDefault="002F3D0A" w:rsidP="00947050">
      <w:pPr>
        <w:pStyle w:val="Sombreadovistoso-nfasis31"/>
        <w:numPr>
          <w:ilvl w:val="0"/>
          <w:numId w:val="1"/>
        </w:numPr>
        <w:ind w:left="0" w:firstLine="0"/>
        <w:rPr>
          <w:b/>
          <w:bCs/>
          <w:color w:val="auto"/>
        </w:rPr>
      </w:pPr>
      <w:r w:rsidRPr="002F3D0A">
        <w:rPr>
          <w:color w:val="auto"/>
        </w:rPr>
        <w:t>En la sentencia C-1052 de 2001, esta Corte determinó que el correcto planteamiento del concepto de la v</w:t>
      </w:r>
      <w:r w:rsidRPr="002F3D0A">
        <w:rPr>
          <w:color w:val="auto"/>
        </w:rPr>
        <w:t>iolación</w:t>
      </w:r>
      <w:r w:rsidRPr="002F3D0A">
        <w:rPr>
          <w:color w:val="auto"/>
        </w:rPr>
        <w:t xml:space="preserve"> exige que los cargos de inconstitucio</w:t>
      </w:r>
      <w:r w:rsidRPr="002F3D0A">
        <w:rPr>
          <w:color w:val="auto"/>
        </w:rPr>
        <w:t>nalidad estén fundamentados en razones claras, ciertas, específicas, pertinentes y suficientes, atributos que han sido objeto de cuantiosos pronunciamientos por parte de esta Corporación</w:t>
      </w:r>
      <w:r w:rsidRPr="002F3D0A">
        <w:rPr>
          <w:rStyle w:val="Refdenotaalpie"/>
          <w:color w:val="auto"/>
        </w:rPr>
        <w:footnoteReference w:id="49"/>
      </w:r>
      <w:r w:rsidRPr="002F3D0A">
        <w:rPr>
          <w:color w:val="auto"/>
        </w:rPr>
        <w:t xml:space="preserve">. En </w:t>
      </w:r>
      <w:r w:rsidRPr="002F3D0A">
        <w:rPr>
          <w:color w:val="auto"/>
        </w:rPr>
        <w:t xml:space="preserve">la </w:t>
      </w:r>
      <w:r w:rsidRPr="002F3D0A">
        <w:rPr>
          <w:color w:val="auto"/>
        </w:rPr>
        <w:t>sentencia C-385 de 2022</w:t>
      </w:r>
      <w:r w:rsidRPr="002F3D0A">
        <w:rPr>
          <w:rStyle w:val="Refdenotaalpie"/>
          <w:color w:val="auto"/>
        </w:rPr>
        <w:footnoteReference w:id="50"/>
      </w:r>
      <w:r w:rsidRPr="002F3D0A">
        <w:rPr>
          <w:color w:val="auto"/>
        </w:rPr>
        <w:t xml:space="preserve">, la Corte sintetizó el contenido de </w:t>
      </w:r>
      <w:r w:rsidRPr="002F3D0A">
        <w:rPr>
          <w:color w:val="auto"/>
        </w:rPr>
        <w:t>tales requisitos en los siguientes términos:</w:t>
      </w:r>
    </w:p>
    <w:p w:rsidR="005C2E09" w:rsidRPr="002F3D0A" w:rsidRDefault="002F3D0A" w:rsidP="005C2E09">
      <w:pPr>
        <w:pStyle w:val="Prrafodelista"/>
        <w:shd w:val="clear" w:color="auto" w:fill="FFFFFF"/>
        <w:ind w:left="360" w:right="49"/>
        <w:rPr>
          <w:rFonts w:ascii="Times New Roman" w:hAnsi="Times New Roman" w:cs="Times New Roman"/>
          <w:sz w:val="28"/>
          <w:szCs w:val="20"/>
          <w:shd w:val="clear" w:color="auto" w:fill="FFFFFF"/>
        </w:rPr>
      </w:pPr>
      <w:bookmarkStart w:id="20" w:name="_Hlk153641817"/>
    </w:p>
    <w:p w:rsidR="005C2E09" w:rsidRPr="002F3D0A" w:rsidRDefault="002F3D0A" w:rsidP="005C2E09">
      <w:pPr>
        <w:pStyle w:val="Prrafodelista"/>
        <w:shd w:val="clear" w:color="auto" w:fill="FFFFFF"/>
        <w:ind w:left="360" w:right="49"/>
        <w:rPr>
          <w:rFonts w:ascii="Times New Roman" w:hAnsi="Times New Roman" w:cs="Times New Roman"/>
          <w:b/>
          <w:bCs/>
          <w:sz w:val="28"/>
          <w:szCs w:val="24"/>
        </w:rPr>
      </w:pPr>
      <w:r w:rsidRPr="002F3D0A">
        <w:rPr>
          <w:rFonts w:ascii="Times New Roman" w:hAnsi="Times New Roman" w:cs="Times New Roman"/>
          <w:sz w:val="28"/>
          <w:szCs w:val="24"/>
          <w:shd w:val="clear" w:color="auto" w:fill="FFFFFF"/>
        </w:rPr>
        <w:t>“</w:t>
      </w:r>
      <w:r w:rsidRPr="002F3D0A">
        <w:rPr>
          <w:rFonts w:ascii="Times New Roman" w:hAnsi="Times New Roman" w:cs="Times New Roman"/>
          <w:sz w:val="28"/>
          <w:szCs w:val="24"/>
          <w:shd w:val="clear" w:color="auto" w:fill="FFFFFF"/>
        </w:rPr>
        <w:t>(</w:t>
      </w:r>
      <w:r w:rsidRPr="002F3D0A">
        <w:rPr>
          <w:rFonts w:ascii="Times New Roman" w:hAnsi="Times New Roman" w:cs="Times New Roman"/>
          <w:sz w:val="28"/>
          <w:szCs w:val="24"/>
          <w:shd w:val="clear" w:color="auto" w:fill="FFFFFF"/>
        </w:rPr>
        <w:t>…</w:t>
      </w:r>
      <w:r w:rsidRPr="002F3D0A">
        <w:rPr>
          <w:rFonts w:ascii="Times New Roman" w:hAnsi="Times New Roman" w:cs="Times New Roman"/>
          <w:sz w:val="28"/>
          <w:szCs w:val="24"/>
          <w:shd w:val="clear" w:color="auto" w:fill="FFFFFF"/>
        </w:rPr>
        <w:t xml:space="preserve">) </w:t>
      </w:r>
      <w:r w:rsidRPr="002F3D0A">
        <w:rPr>
          <w:rFonts w:ascii="Times New Roman" w:hAnsi="Times New Roman" w:cs="Times New Roman"/>
          <w:sz w:val="28"/>
          <w:szCs w:val="24"/>
          <w:shd w:val="clear" w:color="auto" w:fill="FFFFFF"/>
        </w:rPr>
        <w:t xml:space="preserve">las acusaciones deben: (i) ser suficientemente comprensibles (claridad); (ii) recaer sobre el contenido real de la disposición acusada y no sobre uno inferido por quien demanda (certeza); (iii) demostrar </w:t>
      </w:r>
      <w:r w:rsidRPr="002F3D0A">
        <w:rPr>
          <w:rFonts w:ascii="Times New Roman" w:hAnsi="Times New Roman" w:cs="Times New Roman"/>
          <w:sz w:val="28"/>
          <w:szCs w:val="24"/>
          <w:shd w:val="clear" w:color="auto" w:fill="FFFFFF"/>
        </w:rPr>
        <w:t xml:space="preserve">cómo la disposición vulnera la Constitución Política, mediante argumentos determinados, concretos, precisos y particulares sobre la norma en juicio (especificidad); (iv) ofrecer razonamientos de índole constitucional que se refieran al contenido normativo </w:t>
      </w:r>
      <w:r w:rsidRPr="002F3D0A">
        <w:rPr>
          <w:rFonts w:ascii="Times New Roman" w:hAnsi="Times New Roman" w:cs="Times New Roman"/>
          <w:sz w:val="28"/>
          <w:szCs w:val="24"/>
          <w:shd w:val="clear" w:color="auto" w:fill="FFFFFF"/>
        </w:rPr>
        <w:t>de las disposiciones demandadas (pertinencia); y (v) suscitar una mínima duda sobre la constitucionalidad de la norma que se estima contraria a la Carta Política (suficiencia).”</w:t>
      </w:r>
      <w:bookmarkEnd w:id="20"/>
      <w:r w:rsidRPr="002F3D0A">
        <w:rPr>
          <w:rFonts w:ascii="Times New Roman" w:hAnsi="Times New Roman" w:cs="Times New Roman"/>
          <w:sz w:val="28"/>
          <w:szCs w:val="24"/>
        </w:rPr>
        <w:t xml:space="preserve"> </w:t>
      </w:r>
    </w:p>
    <w:p w:rsidR="005C2E09" w:rsidRPr="002F3D0A" w:rsidRDefault="002F3D0A" w:rsidP="005C2E09">
      <w:pPr>
        <w:pStyle w:val="Prrafodelista"/>
        <w:rPr>
          <w:rFonts w:ascii="Times New Roman" w:hAnsi="Times New Roman" w:cs="Times New Roman"/>
          <w:sz w:val="28"/>
        </w:rPr>
      </w:pPr>
    </w:p>
    <w:p w:rsidR="00AA620E" w:rsidRPr="002F3D0A" w:rsidRDefault="002F3D0A" w:rsidP="005C2E09">
      <w:pPr>
        <w:pStyle w:val="Sombreadovistoso-nfasis31"/>
        <w:numPr>
          <w:ilvl w:val="0"/>
          <w:numId w:val="1"/>
        </w:numPr>
        <w:ind w:left="0" w:firstLine="0"/>
        <w:rPr>
          <w:b/>
          <w:bCs/>
          <w:color w:val="auto"/>
        </w:rPr>
      </w:pPr>
      <w:r w:rsidRPr="002F3D0A">
        <w:rPr>
          <w:color w:val="auto"/>
        </w:rPr>
        <w:t>En sus intervenciones,</w:t>
      </w:r>
      <w:r w:rsidRPr="002F3D0A">
        <w:rPr>
          <w:color w:val="auto"/>
        </w:rPr>
        <w:t xml:space="preserve"> </w:t>
      </w:r>
      <w:r w:rsidRPr="002F3D0A">
        <w:rPr>
          <w:color w:val="auto"/>
        </w:rPr>
        <w:t xml:space="preserve">la </w:t>
      </w:r>
      <w:r w:rsidRPr="002F3D0A">
        <w:rPr>
          <w:rFonts w:eastAsia="Calibri"/>
          <w:color w:val="000000" w:themeColor="text1"/>
          <w:lang w:eastAsia="es-CO"/>
        </w:rPr>
        <w:t>DIAN, el Ministerio de Hacienda y Crédito Público,</w:t>
      </w:r>
      <w:r w:rsidRPr="002F3D0A">
        <w:rPr>
          <w:rFonts w:eastAsia="Calibri"/>
          <w:color w:val="000000" w:themeColor="text1"/>
          <w:lang w:eastAsia="es-CO"/>
        </w:rPr>
        <w:t xml:space="preserve"> y la Presidencia de la República</w:t>
      </w:r>
      <w:r w:rsidRPr="002F3D0A">
        <w:rPr>
          <w:color w:val="auto"/>
        </w:rPr>
        <w:t xml:space="preserve"> cuestionaron la aptitud sustantiva de los cargos. </w:t>
      </w:r>
      <w:r w:rsidRPr="002F3D0A">
        <w:rPr>
          <w:color w:val="auto"/>
        </w:rPr>
        <w:t>En consecuencia, la Sala verificará si las demandas bajo examen cumplen o no con las referidas exigencias, con especial atención a los reproches que en este sentido formula</w:t>
      </w:r>
      <w:r w:rsidRPr="002F3D0A">
        <w:rPr>
          <w:color w:val="auto"/>
        </w:rPr>
        <w:t>ron los intervinientes.</w:t>
      </w:r>
    </w:p>
    <w:p w:rsidR="00D95074" w:rsidRPr="002F3D0A" w:rsidRDefault="002F3D0A" w:rsidP="00755FCD">
      <w:pPr>
        <w:pStyle w:val="Sinespaciado"/>
        <w:rPr>
          <w:rFonts w:ascii="Times New Roman" w:hAnsi="Times New Roman"/>
          <w:sz w:val="28"/>
        </w:rPr>
      </w:pPr>
    </w:p>
    <w:p w:rsidR="00823429" w:rsidRPr="002F3D0A" w:rsidRDefault="002F3D0A" w:rsidP="005C2E0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El</w:t>
      </w:r>
      <w:r w:rsidRPr="002F3D0A">
        <w:rPr>
          <w:rFonts w:ascii="Times New Roman" w:hAnsi="Times New Roman" w:cs="Times New Roman"/>
          <w:b/>
          <w:bCs/>
          <w:sz w:val="28"/>
          <w:szCs w:val="28"/>
        </w:rPr>
        <w:t xml:space="preserve"> cargo por violación </w:t>
      </w:r>
      <w:r w:rsidRPr="002F3D0A">
        <w:rPr>
          <w:rFonts w:ascii="Times New Roman" w:hAnsi="Times New Roman" w:cs="Times New Roman"/>
          <w:b/>
          <w:bCs/>
          <w:sz w:val="28"/>
          <w:szCs w:val="28"/>
        </w:rPr>
        <w:t xml:space="preserve">del </w:t>
      </w:r>
      <w:r w:rsidRPr="002F3D0A">
        <w:rPr>
          <w:rFonts w:ascii="Times New Roman" w:hAnsi="Times New Roman" w:cs="Times New Roman"/>
          <w:b/>
          <w:bCs/>
          <w:color w:val="000000" w:themeColor="text1"/>
          <w:sz w:val="28"/>
          <w:szCs w:val="28"/>
        </w:rPr>
        <w:t>principio de equidad horizontal</w:t>
      </w:r>
      <w:r w:rsidRPr="002F3D0A">
        <w:rPr>
          <w:rFonts w:ascii="Times New Roman" w:hAnsi="Times New Roman" w:cs="Times New Roman"/>
          <w:b/>
          <w:bCs/>
          <w:color w:val="000000" w:themeColor="text1"/>
          <w:sz w:val="28"/>
          <w:szCs w:val="28"/>
        </w:rPr>
        <w:t xml:space="preserve"> </w:t>
      </w:r>
      <w:r w:rsidRPr="002F3D0A">
        <w:rPr>
          <w:rFonts w:ascii="Times New Roman" w:hAnsi="Times New Roman" w:cs="Times New Roman"/>
          <w:b/>
          <w:bCs/>
          <w:color w:val="000000" w:themeColor="text1"/>
          <w:sz w:val="28"/>
          <w:szCs w:val="28"/>
        </w:rPr>
        <w:t xml:space="preserve">no cumple los requisitos de aptitud. </w:t>
      </w:r>
      <w:r w:rsidRPr="002F3D0A">
        <w:rPr>
          <w:rFonts w:ascii="Times New Roman" w:hAnsi="Times New Roman" w:cs="Times New Roman"/>
          <w:bCs/>
          <w:color w:val="000000" w:themeColor="text1"/>
          <w:sz w:val="28"/>
          <w:szCs w:val="28"/>
        </w:rPr>
        <w:t>Para el examen de la aptitud de</w:t>
      </w:r>
      <w:r w:rsidRPr="002F3D0A">
        <w:rPr>
          <w:rFonts w:ascii="Times New Roman" w:hAnsi="Times New Roman" w:cs="Times New Roman"/>
          <w:bCs/>
          <w:color w:val="000000" w:themeColor="text1"/>
          <w:sz w:val="28"/>
          <w:szCs w:val="28"/>
        </w:rPr>
        <w:t xml:space="preserve"> este</w:t>
      </w:r>
      <w:r w:rsidRPr="002F3D0A">
        <w:rPr>
          <w:rFonts w:ascii="Times New Roman" w:hAnsi="Times New Roman" w:cs="Times New Roman"/>
          <w:bCs/>
          <w:color w:val="000000" w:themeColor="text1"/>
          <w:sz w:val="28"/>
          <w:szCs w:val="28"/>
        </w:rPr>
        <w:t xml:space="preserve"> cargo debe tenerse en cuenta </w:t>
      </w:r>
      <w:r w:rsidRPr="002F3D0A">
        <w:rPr>
          <w:rFonts w:ascii="Times New Roman" w:hAnsi="Times New Roman" w:cs="Times New Roman"/>
          <w:bCs/>
          <w:color w:val="000000" w:themeColor="text1"/>
          <w:sz w:val="28"/>
          <w:szCs w:val="28"/>
        </w:rPr>
        <w:t>la</w:t>
      </w:r>
      <w:r w:rsidRPr="002F3D0A">
        <w:rPr>
          <w:rFonts w:ascii="Times New Roman" w:eastAsia="Calibri" w:hAnsi="Times New Roman" w:cs="Times New Roman"/>
          <w:bCs/>
          <w:color w:val="000000" w:themeColor="text1"/>
          <w:sz w:val="28"/>
          <w:szCs w:val="28"/>
        </w:rPr>
        <w:t xml:space="preserve"> especial carga argumentativa que la jurisprudencia exige para la formulación de un </w:t>
      </w:r>
      <w:r w:rsidRPr="002F3D0A">
        <w:rPr>
          <w:rFonts w:ascii="Times New Roman" w:eastAsia="Calibri" w:hAnsi="Times New Roman" w:cs="Times New Roman"/>
          <w:bCs/>
          <w:color w:val="000000" w:themeColor="text1"/>
          <w:sz w:val="28"/>
          <w:szCs w:val="28"/>
        </w:rPr>
        <w:t xml:space="preserve">reproche </w:t>
      </w:r>
      <w:r w:rsidRPr="002F3D0A">
        <w:rPr>
          <w:rFonts w:ascii="Times New Roman" w:eastAsia="Calibri" w:hAnsi="Times New Roman" w:cs="Times New Roman"/>
          <w:bCs/>
          <w:color w:val="000000" w:themeColor="text1"/>
          <w:sz w:val="28"/>
          <w:szCs w:val="28"/>
        </w:rPr>
        <w:t xml:space="preserve">por </w:t>
      </w:r>
      <w:r w:rsidRPr="002F3D0A">
        <w:rPr>
          <w:rFonts w:ascii="Times New Roman" w:eastAsia="Calibri" w:hAnsi="Times New Roman" w:cs="Times New Roman"/>
          <w:bCs/>
          <w:color w:val="000000" w:themeColor="text1"/>
          <w:sz w:val="28"/>
          <w:szCs w:val="28"/>
        </w:rPr>
        <w:t xml:space="preserve">vulneración de la </w:t>
      </w:r>
      <w:r w:rsidRPr="002F3D0A">
        <w:rPr>
          <w:rFonts w:ascii="Times New Roman" w:eastAsia="Calibri" w:hAnsi="Times New Roman" w:cs="Times New Roman"/>
          <w:bCs/>
          <w:color w:val="000000" w:themeColor="text1"/>
          <w:sz w:val="28"/>
          <w:szCs w:val="28"/>
        </w:rPr>
        <w:t xml:space="preserve">equidad horizontal </w:t>
      </w:r>
      <w:r w:rsidRPr="002F3D0A">
        <w:rPr>
          <w:rFonts w:ascii="Times New Roman" w:eastAsia="Calibri" w:hAnsi="Times New Roman" w:cs="Times New Roman"/>
          <w:bCs/>
          <w:color w:val="000000" w:themeColor="text1"/>
          <w:sz w:val="28"/>
          <w:szCs w:val="28"/>
        </w:rPr>
        <w:t>como manifestación del mandato de igualdad en el campo tributario</w:t>
      </w:r>
      <w:r w:rsidRPr="002F3D0A">
        <w:rPr>
          <w:rFonts w:ascii="Times New Roman" w:eastAsia="Calibri" w:hAnsi="Times New Roman" w:cs="Times New Roman"/>
          <w:bCs/>
          <w:color w:val="000000" w:themeColor="text1"/>
          <w:sz w:val="28"/>
          <w:szCs w:val="28"/>
        </w:rPr>
        <w:t xml:space="preserve">. Esta carga argumentativa exige una debida </w:t>
      </w:r>
      <w:r w:rsidRPr="002F3D0A">
        <w:rPr>
          <w:rFonts w:ascii="Times New Roman" w:eastAsia="Calibri" w:hAnsi="Times New Roman" w:cs="Times New Roman"/>
          <w:bCs/>
          <w:color w:val="000000" w:themeColor="text1"/>
          <w:sz w:val="28"/>
          <w:szCs w:val="28"/>
        </w:rPr>
        <w:t xml:space="preserve">definición </w:t>
      </w:r>
      <w:r w:rsidRPr="002F3D0A">
        <w:rPr>
          <w:rFonts w:ascii="Times New Roman" w:eastAsia="Calibri" w:hAnsi="Times New Roman" w:cs="Times New Roman"/>
          <w:bCs/>
          <w:color w:val="000000" w:themeColor="text1"/>
          <w:sz w:val="28"/>
          <w:szCs w:val="28"/>
        </w:rPr>
        <w:t>de</w:t>
      </w:r>
      <w:r w:rsidRPr="002F3D0A">
        <w:rPr>
          <w:rFonts w:ascii="Times New Roman" w:eastAsia="Calibri" w:hAnsi="Times New Roman" w:cs="Times New Roman"/>
          <w:bCs/>
          <w:color w:val="000000" w:themeColor="text1"/>
          <w:sz w:val="28"/>
          <w:szCs w:val="28"/>
        </w:rPr>
        <w:t>:</w:t>
      </w:r>
      <w:r w:rsidRPr="002F3D0A">
        <w:rPr>
          <w:rFonts w:ascii="Times New Roman" w:eastAsia="Calibri" w:hAnsi="Times New Roman" w:cs="Times New Roman"/>
          <w:bCs/>
          <w:color w:val="000000" w:themeColor="text1"/>
          <w:sz w:val="28"/>
          <w:szCs w:val="28"/>
        </w:rPr>
        <w:t xml:space="preserve"> </w:t>
      </w:r>
      <w:r w:rsidRPr="002F3D0A">
        <w:rPr>
          <w:rFonts w:ascii="Times New Roman" w:eastAsia="Calibri" w:hAnsi="Times New Roman" w:cs="Times New Roman"/>
          <w:bCs/>
          <w:color w:val="000000" w:themeColor="text1"/>
          <w:sz w:val="28"/>
          <w:szCs w:val="28"/>
        </w:rPr>
        <w:t xml:space="preserve">(i) </w:t>
      </w:r>
      <w:r w:rsidRPr="002F3D0A">
        <w:rPr>
          <w:rFonts w:ascii="Times New Roman" w:eastAsia="Calibri" w:hAnsi="Times New Roman" w:cs="Times New Roman"/>
          <w:bCs/>
          <w:color w:val="000000" w:themeColor="text1"/>
          <w:sz w:val="28"/>
          <w:szCs w:val="28"/>
        </w:rPr>
        <w:t xml:space="preserve">los sujetos o situaciones </w:t>
      </w:r>
      <w:r w:rsidRPr="002F3D0A">
        <w:rPr>
          <w:rFonts w:ascii="Times New Roman" w:eastAsia="Calibri" w:hAnsi="Times New Roman" w:cs="Times New Roman"/>
          <w:bCs/>
          <w:color w:val="000000" w:themeColor="text1"/>
          <w:sz w:val="28"/>
          <w:szCs w:val="28"/>
        </w:rPr>
        <w:t>objeto de comparación; (ii)</w:t>
      </w:r>
      <w:r w:rsidRPr="002F3D0A">
        <w:rPr>
          <w:rFonts w:ascii="Times New Roman" w:eastAsia="Calibri" w:hAnsi="Times New Roman" w:cs="Times New Roman"/>
          <w:bCs/>
          <w:color w:val="000000" w:themeColor="text1"/>
          <w:sz w:val="28"/>
          <w:szCs w:val="28"/>
        </w:rPr>
        <w:t xml:space="preserve"> </w:t>
      </w:r>
      <w:r w:rsidRPr="002F3D0A">
        <w:rPr>
          <w:rFonts w:ascii="Times New Roman" w:eastAsia="Calibri" w:hAnsi="Times New Roman" w:cs="Times New Roman"/>
          <w:bCs/>
          <w:color w:val="000000" w:themeColor="text1"/>
          <w:sz w:val="28"/>
          <w:szCs w:val="28"/>
        </w:rPr>
        <w:t>la identificación</w:t>
      </w:r>
      <w:r w:rsidRPr="002F3D0A">
        <w:rPr>
          <w:rFonts w:ascii="Times New Roman" w:eastAsia="Calibri" w:hAnsi="Times New Roman" w:cs="Times New Roman"/>
          <w:bCs/>
          <w:color w:val="000000" w:themeColor="text1"/>
          <w:sz w:val="28"/>
          <w:szCs w:val="28"/>
        </w:rPr>
        <w:t xml:space="preserve"> de la distinción de trato; y (iii) la exposición de las razones por las que se considera que </w:t>
      </w:r>
      <w:r w:rsidRPr="002F3D0A">
        <w:rPr>
          <w:rFonts w:ascii="Times New Roman" w:eastAsia="Calibri" w:hAnsi="Times New Roman" w:cs="Times New Roman"/>
          <w:bCs/>
          <w:color w:val="000000" w:themeColor="text1"/>
          <w:sz w:val="28"/>
          <w:szCs w:val="28"/>
        </w:rPr>
        <w:t>la distinción</w:t>
      </w:r>
      <w:r w:rsidRPr="002F3D0A">
        <w:rPr>
          <w:rFonts w:ascii="Times New Roman" w:eastAsia="Calibri" w:hAnsi="Times New Roman" w:cs="Times New Roman"/>
          <w:bCs/>
          <w:color w:val="000000" w:themeColor="text1"/>
          <w:sz w:val="28"/>
          <w:szCs w:val="28"/>
        </w:rPr>
        <w:t xml:space="preserve"> de trato vulnera la Constitución y carece de justificación</w:t>
      </w:r>
      <w:r w:rsidRPr="002F3D0A">
        <w:rPr>
          <w:rStyle w:val="Refdenotaalpie"/>
          <w:rFonts w:ascii="Times New Roman" w:eastAsia="Calibri" w:hAnsi="Times New Roman" w:cs="Times New Roman"/>
          <w:bCs/>
          <w:color w:val="000000" w:themeColor="text1"/>
          <w:sz w:val="28"/>
          <w:szCs w:val="28"/>
        </w:rPr>
        <w:footnoteReference w:id="51"/>
      </w:r>
      <w:r w:rsidRPr="002F3D0A">
        <w:rPr>
          <w:rFonts w:ascii="Times New Roman" w:eastAsia="Calibri" w:hAnsi="Times New Roman" w:cs="Times New Roman"/>
          <w:bCs/>
          <w:color w:val="000000" w:themeColor="text1"/>
          <w:sz w:val="28"/>
          <w:szCs w:val="28"/>
        </w:rPr>
        <w:t xml:space="preserve">. </w:t>
      </w:r>
    </w:p>
    <w:p w:rsidR="009727E7" w:rsidRPr="002F3D0A" w:rsidRDefault="002F3D0A" w:rsidP="009727E7">
      <w:pPr>
        <w:pStyle w:val="Prrafodelista"/>
        <w:rPr>
          <w:rFonts w:ascii="Times New Roman" w:hAnsi="Times New Roman" w:cs="Times New Roman"/>
          <w:bCs/>
          <w:sz w:val="28"/>
          <w:szCs w:val="28"/>
        </w:rPr>
      </w:pPr>
    </w:p>
    <w:p w:rsidR="00823429" w:rsidRPr="002F3D0A" w:rsidRDefault="002F3D0A" w:rsidP="005C2E09">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A partir</w:t>
      </w:r>
      <w:r w:rsidRPr="002F3D0A">
        <w:rPr>
          <w:rFonts w:ascii="Times New Roman" w:hAnsi="Times New Roman" w:cs="Times New Roman"/>
          <w:bCs/>
          <w:sz w:val="28"/>
          <w:szCs w:val="28"/>
        </w:rPr>
        <w:t xml:space="preserve"> de las exigencias descritas, la Sala encuentra que en el presente asunto los demandantes </w:t>
      </w:r>
      <w:r w:rsidRPr="002F3D0A">
        <w:rPr>
          <w:rFonts w:ascii="Times New Roman" w:hAnsi="Times New Roman" w:cs="Times New Roman"/>
          <w:bCs/>
          <w:sz w:val="28"/>
          <w:szCs w:val="28"/>
        </w:rPr>
        <w:t>no cumplieron las cargas argumentativas para la construcción de un cargo por violación del principio de equidad</w:t>
      </w:r>
      <w:r w:rsidRPr="002F3D0A">
        <w:rPr>
          <w:rFonts w:ascii="Times New Roman" w:hAnsi="Times New Roman" w:cs="Times New Roman"/>
          <w:bCs/>
          <w:sz w:val="28"/>
          <w:szCs w:val="28"/>
        </w:rPr>
        <w:t xml:space="preserve"> horizontal</w:t>
      </w:r>
      <w:r w:rsidRPr="002F3D0A">
        <w:rPr>
          <w:rFonts w:ascii="Times New Roman" w:hAnsi="Times New Roman" w:cs="Times New Roman"/>
          <w:bCs/>
          <w:sz w:val="28"/>
          <w:szCs w:val="28"/>
        </w:rPr>
        <w:t>. Esto, debido a que</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si </w:t>
      </w:r>
      <w:r w:rsidRPr="002F3D0A">
        <w:rPr>
          <w:rFonts w:ascii="Times New Roman" w:hAnsi="Times New Roman" w:cs="Times New Roman"/>
          <w:bCs/>
          <w:sz w:val="28"/>
          <w:szCs w:val="28"/>
        </w:rPr>
        <w:t xml:space="preserve">bien identificaron </w:t>
      </w:r>
      <w:r w:rsidRPr="002F3D0A">
        <w:rPr>
          <w:rFonts w:ascii="Times New Roman" w:hAnsi="Times New Roman" w:cs="Times New Roman"/>
          <w:bCs/>
          <w:sz w:val="28"/>
          <w:szCs w:val="28"/>
        </w:rPr>
        <w:t>los sujetos de comparación y la distinción de trato</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plantearon argumentos muy generales </w:t>
      </w:r>
      <w:r w:rsidRPr="002F3D0A">
        <w:rPr>
          <w:rFonts w:ascii="Times New Roman" w:hAnsi="Times New Roman" w:cs="Times New Roman"/>
          <w:bCs/>
          <w:sz w:val="28"/>
          <w:szCs w:val="28"/>
        </w:rPr>
        <w:t xml:space="preserve">a partir de los que no es posible determinar por qué la </w:t>
      </w:r>
      <w:r w:rsidRPr="002F3D0A">
        <w:rPr>
          <w:rFonts w:ascii="Times New Roman" w:hAnsi="Times New Roman" w:cs="Times New Roman"/>
          <w:bCs/>
          <w:sz w:val="28"/>
          <w:szCs w:val="28"/>
        </w:rPr>
        <w:t>disposición</w:t>
      </w:r>
      <w:r w:rsidRPr="002F3D0A">
        <w:rPr>
          <w:rFonts w:ascii="Times New Roman" w:hAnsi="Times New Roman" w:cs="Times New Roman"/>
          <w:bCs/>
          <w:sz w:val="28"/>
          <w:szCs w:val="28"/>
        </w:rPr>
        <w:t xml:space="preserve"> acusada vulnera la Constitución Política</w:t>
      </w:r>
      <w:r w:rsidRPr="002F3D0A">
        <w:rPr>
          <w:rFonts w:ascii="Times New Roman" w:hAnsi="Times New Roman" w:cs="Times New Roman"/>
          <w:bCs/>
          <w:sz w:val="28"/>
          <w:szCs w:val="28"/>
        </w:rPr>
        <w:t xml:space="preserve">. Adicionalmente, </w:t>
      </w:r>
      <w:r w:rsidRPr="002F3D0A">
        <w:rPr>
          <w:rFonts w:ascii="Times New Roman" w:hAnsi="Times New Roman" w:cs="Times New Roman"/>
          <w:bCs/>
          <w:sz w:val="28"/>
          <w:szCs w:val="28"/>
        </w:rPr>
        <w:t>en sus planteamientos</w:t>
      </w:r>
      <w:r w:rsidRPr="002F3D0A">
        <w:rPr>
          <w:rFonts w:ascii="Times New Roman" w:hAnsi="Times New Roman" w:cs="Times New Roman"/>
          <w:bCs/>
          <w:sz w:val="28"/>
          <w:szCs w:val="28"/>
        </w:rPr>
        <w:t xml:space="preserve"> los actores</w:t>
      </w:r>
      <w:r w:rsidRPr="002F3D0A">
        <w:rPr>
          <w:rFonts w:ascii="Times New Roman" w:hAnsi="Times New Roman" w:cs="Times New Roman"/>
          <w:bCs/>
          <w:sz w:val="28"/>
          <w:szCs w:val="28"/>
        </w:rPr>
        <w:t xml:space="preserve"> dejaron</w:t>
      </w:r>
      <w:r w:rsidRPr="002F3D0A">
        <w:rPr>
          <w:rFonts w:ascii="Times New Roman" w:hAnsi="Times New Roman" w:cs="Times New Roman"/>
          <w:bCs/>
          <w:sz w:val="28"/>
          <w:szCs w:val="28"/>
        </w:rPr>
        <w:t xml:space="preserve"> de considerar la finalidad de la </w:t>
      </w:r>
      <w:r w:rsidRPr="002F3D0A">
        <w:rPr>
          <w:rFonts w:ascii="Times New Roman" w:hAnsi="Times New Roman" w:cs="Times New Roman"/>
          <w:bCs/>
          <w:sz w:val="28"/>
          <w:szCs w:val="28"/>
        </w:rPr>
        <w:t>medida,</w:t>
      </w:r>
      <w:r w:rsidRPr="002F3D0A">
        <w:rPr>
          <w:rFonts w:ascii="Times New Roman" w:hAnsi="Times New Roman" w:cs="Times New Roman"/>
          <w:bCs/>
          <w:sz w:val="28"/>
          <w:szCs w:val="28"/>
        </w:rPr>
        <w:t xml:space="preserve"> así como </w:t>
      </w:r>
      <w:r w:rsidRPr="002F3D0A">
        <w:rPr>
          <w:rFonts w:ascii="Times New Roman" w:hAnsi="Times New Roman" w:cs="Times New Roman"/>
          <w:bCs/>
          <w:sz w:val="28"/>
          <w:szCs w:val="28"/>
        </w:rPr>
        <w:t>las características de los bienes a partir de los cuales el legislador</w:t>
      </w:r>
      <w:r w:rsidRPr="002F3D0A">
        <w:rPr>
          <w:rFonts w:ascii="Times New Roman" w:hAnsi="Times New Roman" w:cs="Times New Roman"/>
          <w:bCs/>
          <w:sz w:val="28"/>
          <w:szCs w:val="28"/>
        </w:rPr>
        <w:t xml:space="preserve"> diferenció</w:t>
      </w:r>
      <w:r w:rsidRPr="002F3D0A">
        <w:rPr>
          <w:rFonts w:ascii="Times New Roman" w:hAnsi="Times New Roman" w:cs="Times New Roman"/>
          <w:bCs/>
          <w:sz w:val="28"/>
          <w:szCs w:val="28"/>
        </w:rPr>
        <w:t xml:space="preserve"> la sujeción pasiva del impuesto al patrimonio para las sociedades extranjeras.</w:t>
      </w:r>
    </w:p>
    <w:p w:rsidR="00E330FF" w:rsidRPr="002F3D0A" w:rsidRDefault="002F3D0A" w:rsidP="00E330FF">
      <w:pPr>
        <w:pStyle w:val="Prrafodelista"/>
        <w:rPr>
          <w:rFonts w:ascii="Times New Roman" w:hAnsi="Times New Roman" w:cs="Times New Roman"/>
          <w:bCs/>
          <w:sz w:val="28"/>
          <w:szCs w:val="28"/>
        </w:rPr>
      </w:pPr>
    </w:p>
    <w:p w:rsidR="00DC2D36" w:rsidRPr="002F3D0A" w:rsidRDefault="002F3D0A" w:rsidP="00E90CB4">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Los demandantes no presentaron razones sufi</w:t>
      </w:r>
      <w:r w:rsidRPr="002F3D0A">
        <w:rPr>
          <w:rFonts w:ascii="Times New Roman" w:hAnsi="Times New Roman" w:cs="Times New Roman"/>
          <w:bCs/>
          <w:sz w:val="28"/>
          <w:szCs w:val="28"/>
        </w:rPr>
        <w:t>cientes que demuestren que la distinción de trato entre las sociedades extranjeras destinatarias de las normas demandadas era injustificado. Esto, debido a que los actores se limitaron a señalar que la distinción carecía de justificación, a mencionar algun</w:t>
      </w:r>
      <w:r w:rsidRPr="002F3D0A">
        <w:rPr>
          <w:rFonts w:ascii="Times New Roman" w:hAnsi="Times New Roman" w:cs="Times New Roman"/>
          <w:bCs/>
          <w:sz w:val="28"/>
          <w:szCs w:val="28"/>
        </w:rPr>
        <w:t>as medidas tributarias previas sobre la sujeción pasiva del impuesto al patrimonio y sentencias en las que se han expulsado del ordenamiento disposición tributarias que prevén tratos discriminatorios injustificado</w:t>
      </w:r>
      <w:r w:rsidRPr="002F3D0A">
        <w:rPr>
          <w:rFonts w:ascii="Times New Roman" w:hAnsi="Times New Roman" w:cs="Times New Roman"/>
          <w:bCs/>
          <w:sz w:val="28"/>
          <w:szCs w:val="28"/>
        </w:rPr>
        <w:t>s</w:t>
      </w:r>
      <w:r w:rsidRPr="002F3D0A">
        <w:rPr>
          <w:rFonts w:ascii="Times New Roman" w:hAnsi="Times New Roman" w:cs="Times New Roman"/>
          <w:bCs/>
          <w:sz w:val="28"/>
          <w:szCs w:val="28"/>
        </w:rPr>
        <w:t xml:space="preserve">, y a exponer consecuencias subjetivas de </w:t>
      </w:r>
      <w:r w:rsidRPr="002F3D0A">
        <w:rPr>
          <w:rFonts w:ascii="Times New Roman" w:hAnsi="Times New Roman" w:cs="Times New Roman"/>
          <w:bCs/>
          <w:sz w:val="28"/>
          <w:szCs w:val="28"/>
        </w:rPr>
        <w:t>la norma. Estos argumentos son excesivamente generales y están fundados en alusiones a normas de rango legal que no constituyen parámetros de control de constitucionalidad.</w:t>
      </w:r>
    </w:p>
    <w:p w:rsidR="00DC2D36" w:rsidRPr="002F3D0A" w:rsidRDefault="002F3D0A" w:rsidP="00DC2D36">
      <w:pPr>
        <w:pStyle w:val="Prrafodelista"/>
        <w:rPr>
          <w:rFonts w:ascii="Times New Roman" w:hAnsi="Times New Roman" w:cs="Times New Roman"/>
          <w:bCs/>
          <w:sz w:val="28"/>
          <w:szCs w:val="28"/>
        </w:rPr>
      </w:pPr>
    </w:p>
    <w:p w:rsidR="00E90CB4" w:rsidRPr="002F3D0A" w:rsidRDefault="002F3D0A" w:rsidP="00E90CB4">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Adicionalmente, el cargo </w:t>
      </w:r>
      <w:r w:rsidRPr="002F3D0A">
        <w:rPr>
          <w:rFonts w:ascii="Times New Roman" w:hAnsi="Times New Roman" w:cs="Times New Roman"/>
          <w:bCs/>
          <w:sz w:val="28"/>
          <w:szCs w:val="28"/>
        </w:rPr>
        <w:t>omitió</w:t>
      </w:r>
      <w:r w:rsidRPr="002F3D0A">
        <w:rPr>
          <w:rFonts w:ascii="Times New Roman" w:hAnsi="Times New Roman" w:cs="Times New Roman"/>
          <w:bCs/>
          <w:sz w:val="28"/>
          <w:szCs w:val="28"/>
        </w:rPr>
        <w:t xml:space="preserve"> las finalidades de la medida acusada</w:t>
      </w:r>
      <w:r w:rsidRPr="002F3D0A">
        <w:rPr>
          <w:rFonts w:ascii="Times New Roman" w:hAnsi="Times New Roman" w:cs="Times New Roman"/>
          <w:bCs/>
          <w:sz w:val="28"/>
          <w:szCs w:val="28"/>
        </w:rPr>
        <w:t xml:space="preserve">, pues se limitó a indicar que </w:t>
      </w:r>
      <w:r w:rsidRPr="002F3D0A">
        <w:rPr>
          <w:rFonts w:ascii="Times New Roman" w:hAnsi="Times New Roman" w:cs="Times New Roman"/>
          <w:bCs/>
          <w:sz w:val="28"/>
          <w:szCs w:val="28"/>
        </w:rPr>
        <w:t xml:space="preserve">en la exposición de motivos </w:t>
      </w:r>
      <w:r w:rsidRPr="002F3D0A">
        <w:rPr>
          <w:rFonts w:ascii="Times New Roman" w:hAnsi="Times New Roman" w:cs="Times New Roman"/>
          <w:bCs/>
          <w:sz w:val="28"/>
          <w:szCs w:val="28"/>
        </w:rPr>
        <w:t xml:space="preserve">no se hizo una referencia expresa a la distinción cuestionada. </w:t>
      </w:r>
      <w:r w:rsidRPr="002F3D0A">
        <w:rPr>
          <w:rFonts w:ascii="Times New Roman" w:hAnsi="Times New Roman" w:cs="Times New Roman"/>
          <w:bCs/>
          <w:sz w:val="28"/>
          <w:szCs w:val="28"/>
        </w:rPr>
        <w:t>Sin embargo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lang w:val="es-ES"/>
        </w:rPr>
        <w:t>en el trámite legislativo se indicó que la ley persigue diferentes objetivos, entre ellos el aumento del recaudo e incent</w:t>
      </w:r>
      <w:r w:rsidRPr="002F3D0A">
        <w:rPr>
          <w:rFonts w:ascii="Times New Roman" w:hAnsi="Times New Roman" w:cs="Times New Roman"/>
          <w:bCs/>
          <w:sz w:val="28"/>
          <w:szCs w:val="28"/>
          <w:lang w:val="es-ES"/>
        </w:rPr>
        <w:t>ivar la adquisición de cierto tipo de bienes que se consideran valiosos para el legislador. Estos propósitos no fueron considerados por los demandantes de cara a la distinción acusada</w:t>
      </w:r>
      <w:r w:rsidRPr="002F3D0A">
        <w:rPr>
          <w:rFonts w:ascii="Times New Roman" w:hAnsi="Times New Roman" w:cs="Times New Roman"/>
          <w:bCs/>
          <w:sz w:val="28"/>
          <w:szCs w:val="28"/>
          <w:lang w:val="es-ES"/>
        </w:rPr>
        <w:t xml:space="preserve"> y</w:t>
      </w:r>
      <w:r w:rsidRPr="002F3D0A">
        <w:rPr>
          <w:rFonts w:ascii="Times New Roman" w:hAnsi="Times New Roman" w:cs="Times New Roman"/>
          <w:bCs/>
          <w:sz w:val="28"/>
          <w:szCs w:val="28"/>
          <w:lang w:val="es-ES"/>
        </w:rPr>
        <w:t xml:space="preserve"> tampoco indag</w:t>
      </w:r>
      <w:r w:rsidRPr="002F3D0A">
        <w:rPr>
          <w:rFonts w:ascii="Times New Roman" w:hAnsi="Times New Roman" w:cs="Times New Roman"/>
          <w:bCs/>
          <w:sz w:val="28"/>
          <w:szCs w:val="28"/>
          <w:lang w:val="es-ES"/>
        </w:rPr>
        <w:t>aron</w:t>
      </w:r>
      <w:r w:rsidRPr="002F3D0A">
        <w:rPr>
          <w:rFonts w:ascii="Times New Roman" w:hAnsi="Times New Roman" w:cs="Times New Roman"/>
          <w:bCs/>
          <w:sz w:val="28"/>
          <w:szCs w:val="28"/>
          <w:lang w:val="es-ES"/>
        </w:rPr>
        <w:t xml:space="preserve"> por finalidades específicas de esa distinción que pu</w:t>
      </w:r>
      <w:r w:rsidRPr="002F3D0A">
        <w:rPr>
          <w:rFonts w:ascii="Times New Roman" w:hAnsi="Times New Roman" w:cs="Times New Roman"/>
          <w:bCs/>
          <w:sz w:val="28"/>
          <w:szCs w:val="28"/>
          <w:lang w:val="es-ES"/>
        </w:rPr>
        <w:t>eden rastrearse en el ordenamiento y que fueron planteadas por los intervinientes en el trámite</w:t>
      </w:r>
      <w:r w:rsidRPr="002F3D0A">
        <w:rPr>
          <w:rStyle w:val="Refdenotaalpie"/>
          <w:rFonts w:ascii="Times New Roman" w:hAnsi="Times New Roman" w:cs="Times New Roman"/>
          <w:bCs/>
          <w:sz w:val="28"/>
          <w:szCs w:val="28"/>
          <w:lang w:val="es-ES"/>
        </w:rPr>
        <w:footnoteReference w:id="52"/>
      </w:r>
      <w:r w:rsidRPr="002F3D0A">
        <w:rPr>
          <w:rFonts w:ascii="Times New Roman" w:hAnsi="Times New Roman" w:cs="Times New Roman"/>
          <w:bCs/>
          <w:sz w:val="28"/>
          <w:szCs w:val="28"/>
          <w:lang w:val="es-ES"/>
        </w:rPr>
        <w:t xml:space="preserve">. Las finalidades de las medidas </w:t>
      </w:r>
      <w:r w:rsidRPr="002F3D0A">
        <w:rPr>
          <w:rFonts w:ascii="Times New Roman" w:hAnsi="Times New Roman" w:cs="Times New Roman"/>
          <w:bCs/>
          <w:sz w:val="28"/>
          <w:szCs w:val="28"/>
          <w:lang w:val="es-ES"/>
        </w:rPr>
        <w:t xml:space="preserve">no </w:t>
      </w:r>
      <w:r w:rsidRPr="002F3D0A">
        <w:rPr>
          <w:rFonts w:ascii="Times New Roman" w:hAnsi="Times New Roman" w:cs="Times New Roman"/>
          <w:bCs/>
          <w:sz w:val="28"/>
          <w:szCs w:val="28"/>
          <w:lang w:val="es-ES"/>
        </w:rPr>
        <w:t>se tomaron en cuenta para la definición del criterio de comparación entre los grupos</w:t>
      </w:r>
      <w:r w:rsidRPr="002F3D0A">
        <w:rPr>
          <w:rFonts w:ascii="Times New Roman" w:hAnsi="Times New Roman" w:cs="Times New Roman"/>
          <w:bCs/>
          <w:sz w:val="28"/>
          <w:szCs w:val="28"/>
          <w:lang w:val="es-ES"/>
        </w:rPr>
        <w:t xml:space="preserve"> identificados, el cual se planteó en términos genéricos al señalar que los sujetos son comparables por “</w:t>
      </w:r>
      <w:r w:rsidRPr="002F3D0A">
        <w:rPr>
          <w:rFonts w:ascii="Times New Roman" w:hAnsi="Times New Roman" w:cs="Times New Roman"/>
          <w:bCs/>
          <w:sz w:val="28"/>
          <w:szCs w:val="28"/>
        </w:rPr>
        <w:t>su naturaleza, sus características y su capacidad económica”</w:t>
      </w:r>
      <w:r w:rsidRPr="002F3D0A">
        <w:rPr>
          <w:rStyle w:val="Refdenotaalpie"/>
          <w:rFonts w:ascii="Times New Roman" w:hAnsi="Times New Roman" w:cs="Times New Roman"/>
          <w:bCs/>
          <w:sz w:val="28"/>
          <w:szCs w:val="28"/>
        </w:rPr>
        <w:footnoteReference w:id="53"/>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Esto, a pesar de que: </w:t>
      </w:r>
    </w:p>
    <w:p w:rsidR="00E90CB4" w:rsidRPr="002F3D0A" w:rsidRDefault="002F3D0A" w:rsidP="00E90CB4">
      <w:pPr>
        <w:rPr>
          <w:rFonts w:ascii="Times New Roman" w:eastAsia="Calibri" w:hAnsi="Times New Roman" w:cs="Times New Roman"/>
          <w:bCs/>
          <w:i/>
          <w:iCs/>
          <w:color w:val="000000" w:themeColor="text1"/>
          <w:sz w:val="28"/>
          <w:szCs w:val="28"/>
          <w:lang w:eastAsia="es-MX"/>
        </w:rPr>
      </w:pPr>
    </w:p>
    <w:p w:rsidR="00E90CB4" w:rsidRPr="002F3D0A" w:rsidRDefault="002F3D0A" w:rsidP="00E90CB4">
      <w:pPr>
        <w:ind w:left="708"/>
        <w:rPr>
          <w:rFonts w:ascii="Times New Roman" w:eastAsia="Calibri" w:hAnsi="Times New Roman" w:cs="Times New Roman"/>
          <w:bCs/>
          <w:color w:val="000000" w:themeColor="text1"/>
          <w:sz w:val="28"/>
          <w:szCs w:val="24"/>
          <w:lang w:eastAsia="es-MX"/>
        </w:rPr>
      </w:pPr>
      <w:r w:rsidRPr="002F3D0A">
        <w:rPr>
          <w:rFonts w:ascii="Times New Roman" w:eastAsia="Calibri" w:hAnsi="Times New Roman" w:cs="Times New Roman"/>
          <w:bCs/>
          <w:iCs/>
          <w:color w:val="000000" w:themeColor="text1"/>
          <w:sz w:val="28"/>
          <w:szCs w:val="24"/>
          <w:lang w:eastAsia="es-MX"/>
        </w:rPr>
        <w:t>“para precisar si el trato diferente a dos grupos de situaciones</w:t>
      </w:r>
      <w:r w:rsidRPr="002F3D0A">
        <w:rPr>
          <w:rFonts w:ascii="Times New Roman" w:eastAsia="Calibri" w:hAnsi="Times New Roman" w:cs="Times New Roman"/>
          <w:bCs/>
          <w:iCs/>
          <w:color w:val="000000" w:themeColor="text1"/>
          <w:sz w:val="28"/>
          <w:szCs w:val="24"/>
          <w:lang w:eastAsia="es-MX"/>
        </w:rPr>
        <w:t xml:space="preserve"> o personas desconoce o no la igualdad es necesario establecer un criterio o tertium comparationis a partir del cual se pueda determinar si las situaciones o las personas son o no iguales. Ahora bien, es obvio que ese criterio no puede ser arbitrario, sino</w:t>
      </w:r>
      <w:r w:rsidRPr="002F3D0A">
        <w:rPr>
          <w:rFonts w:ascii="Times New Roman" w:eastAsia="Calibri" w:hAnsi="Times New Roman" w:cs="Times New Roman"/>
          <w:bCs/>
          <w:iCs/>
          <w:color w:val="000000" w:themeColor="text1"/>
          <w:sz w:val="28"/>
          <w:szCs w:val="24"/>
          <w:lang w:eastAsia="es-MX"/>
        </w:rPr>
        <w:t xml:space="preserve"> que debe ser relevante, de acuerdo a la finalidad misma que persigue el trato normativo que se analiza</w:t>
      </w:r>
      <w:r w:rsidRPr="002F3D0A">
        <w:rPr>
          <w:rFonts w:ascii="Times New Roman" w:eastAsia="Calibri" w:hAnsi="Times New Roman" w:cs="Times New Roman"/>
          <w:iCs/>
          <w:color w:val="000000" w:themeColor="text1"/>
          <w:sz w:val="28"/>
          <w:szCs w:val="24"/>
          <w:lang w:eastAsia="es-MX"/>
        </w:rPr>
        <w:t>”</w:t>
      </w:r>
      <w:r w:rsidRPr="002F3D0A">
        <w:rPr>
          <w:rFonts w:ascii="Times New Roman" w:eastAsia="Calibri" w:hAnsi="Times New Roman" w:cs="Times New Roman"/>
          <w:bCs/>
          <w:iCs/>
          <w:color w:val="000000" w:themeColor="text1"/>
          <w:sz w:val="28"/>
          <w:szCs w:val="24"/>
          <w:lang w:eastAsia="es-MX"/>
        </w:rPr>
        <w:t>.</w:t>
      </w:r>
      <w:r w:rsidRPr="002F3D0A">
        <w:rPr>
          <w:rFonts w:ascii="Times New Roman" w:eastAsia="Calibri" w:hAnsi="Times New Roman" w:cs="Times New Roman"/>
          <w:bCs/>
          <w:color w:val="000000" w:themeColor="text1"/>
          <w:sz w:val="28"/>
          <w:szCs w:val="24"/>
          <w:vertAlign w:val="superscript"/>
          <w:lang w:eastAsia="es-MX"/>
        </w:rPr>
        <w:footnoteReference w:id="54"/>
      </w:r>
      <w:r w:rsidRPr="002F3D0A">
        <w:rPr>
          <w:rFonts w:ascii="Times New Roman" w:eastAsia="Calibri" w:hAnsi="Times New Roman" w:cs="Times New Roman"/>
          <w:bCs/>
          <w:color w:val="000000" w:themeColor="text1"/>
          <w:sz w:val="28"/>
          <w:szCs w:val="24"/>
          <w:lang w:eastAsia="es-MX"/>
        </w:rPr>
        <w:t xml:space="preserve"> </w:t>
      </w:r>
    </w:p>
    <w:p w:rsidR="005F5C0E" w:rsidRPr="002F3D0A" w:rsidRDefault="002F3D0A" w:rsidP="005F5C0E">
      <w:pPr>
        <w:pStyle w:val="Prrafodelista"/>
        <w:rPr>
          <w:rFonts w:ascii="Times New Roman" w:hAnsi="Times New Roman" w:cs="Times New Roman"/>
          <w:bCs/>
          <w:sz w:val="28"/>
          <w:szCs w:val="28"/>
          <w:lang w:val="es-ES"/>
        </w:rPr>
      </w:pPr>
    </w:p>
    <w:p w:rsidR="005628D8" w:rsidRPr="002F3D0A" w:rsidRDefault="002F3D0A" w:rsidP="00D54FC6">
      <w:pPr>
        <w:pStyle w:val="Prrafodelista"/>
        <w:numPr>
          <w:ilvl w:val="0"/>
          <w:numId w:val="1"/>
        </w:numPr>
        <w:ind w:left="0" w:firstLine="0"/>
        <w:rPr>
          <w:rFonts w:ascii="Times New Roman" w:hAnsi="Times New Roman" w:cs="Times New Roman"/>
          <w:bCs/>
          <w:sz w:val="28"/>
          <w:szCs w:val="28"/>
          <w:lang w:val="es-US"/>
        </w:rPr>
      </w:pPr>
      <w:r w:rsidRPr="002F3D0A">
        <w:rPr>
          <w:rFonts w:ascii="Times New Roman" w:hAnsi="Times New Roman" w:cs="Times New Roman"/>
          <w:bCs/>
          <w:sz w:val="28"/>
          <w:szCs w:val="28"/>
          <w:lang w:val="es-US"/>
        </w:rPr>
        <w:t>De otra parte,</w:t>
      </w:r>
      <w:r w:rsidRPr="002F3D0A">
        <w:rPr>
          <w:rFonts w:ascii="Times New Roman" w:hAnsi="Times New Roman" w:cs="Times New Roman"/>
          <w:bCs/>
          <w:sz w:val="28"/>
          <w:szCs w:val="28"/>
          <w:lang w:val="es-US"/>
        </w:rPr>
        <w:t xml:space="preserve"> </w:t>
      </w:r>
      <w:r w:rsidRPr="002F3D0A">
        <w:rPr>
          <w:rFonts w:ascii="Times New Roman" w:hAnsi="Times New Roman" w:cs="Times New Roman"/>
          <w:bCs/>
          <w:sz w:val="28"/>
          <w:szCs w:val="28"/>
          <w:lang w:val="es-ES"/>
        </w:rPr>
        <w:t xml:space="preserve">los demandantes tampoco consideraron las características de los activos a partir de los cuales la disposición acusada diferencia a </w:t>
      </w:r>
      <w:r w:rsidRPr="002F3D0A">
        <w:rPr>
          <w:rFonts w:ascii="Times New Roman" w:hAnsi="Times New Roman" w:cs="Times New Roman"/>
          <w:bCs/>
          <w:sz w:val="28"/>
          <w:szCs w:val="28"/>
          <w:lang w:val="es-ES"/>
        </w:rPr>
        <w:t>las sociedades extranjeras en la sujeción pasiva del impuesto al patrimonio, particularmente de las acciones, cuentas por cobrar e inversiones de portafolio.</w:t>
      </w:r>
      <w:r w:rsidRPr="002F3D0A">
        <w:rPr>
          <w:rFonts w:ascii="Times New Roman" w:hAnsi="Times New Roman" w:cs="Times New Roman"/>
          <w:bCs/>
          <w:sz w:val="28"/>
          <w:szCs w:val="28"/>
          <w:lang w:val="es-ES"/>
        </w:rPr>
        <w:t xml:space="preserve"> Los activos a partir de los que la disposición plantea la distinción son los siguientes: </w:t>
      </w:r>
    </w:p>
    <w:p w:rsidR="005628D8" w:rsidRPr="002F3D0A" w:rsidRDefault="002F3D0A" w:rsidP="005628D8">
      <w:pPr>
        <w:pStyle w:val="Prrafodelista"/>
        <w:ind w:left="0"/>
        <w:rPr>
          <w:rFonts w:ascii="Times New Roman" w:hAnsi="Times New Roman" w:cs="Times New Roman"/>
          <w:bCs/>
          <w:sz w:val="28"/>
          <w:szCs w:val="28"/>
          <w:lang w:val="es-US"/>
        </w:rPr>
      </w:pPr>
    </w:p>
    <w:tbl>
      <w:tblPr>
        <w:tblStyle w:val="Tablaconcuadrcula"/>
        <w:tblW w:w="0" w:type="auto"/>
        <w:tblLook w:val="04A0" w:firstRow="1" w:lastRow="0" w:firstColumn="1" w:lastColumn="0" w:noHBand="0" w:noVBand="1"/>
      </w:tblPr>
      <w:tblGrid>
        <w:gridCol w:w="1390"/>
        <w:gridCol w:w="7440"/>
      </w:tblGrid>
      <w:tr w:rsidR="005628D8" w:rsidRPr="002F3D0A" w:rsidTr="00D54FC6">
        <w:tc>
          <w:tcPr>
            <w:tcW w:w="1271" w:type="dxa"/>
            <w:shd w:val="clear" w:color="auto" w:fill="D5DCE4" w:themeFill="text2" w:themeFillTint="33"/>
          </w:tcPr>
          <w:p w:rsidR="005628D8" w:rsidRPr="002F3D0A" w:rsidRDefault="002F3D0A" w:rsidP="00D54FC6">
            <w:pPr>
              <w:pStyle w:val="Prrafodelista"/>
              <w:ind w:left="0"/>
              <w:rPr>
                <w:rFonts w:ascii="Times New Roman" w:hAnsi="Times New Roman" w:cs="Times New Roman"/>
                <w:b/>
                <w:bCs/>
                <w:sz w:val="28"/>
                <w:szCs w:val="24"/>
              </w:rPr>
            </w:pPr>
          </w:p>
          <w:p w:rsidR="005628D8" w:rsidRPr="002F3D0A" w:rsidRDefault="002F3D0A" w:rsidP="00D54FC6">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Acciones</w:t>
            </w:r>
          </w:p>
        </w:tc>
        <w:tc>
          <w:tcPr>
            <w:tcW w:w="7559" w:type="dxa"/>
          </w:tcPr>
          <w:p w:rsidR="005628D8" w:rsidRPr="002F3D0A" w:rsidRDefault="002F3D0A" w:rsidP="00D54FC6">
            <w:pPr>
              <w:pStyle w:val="Prrafodelista"/>
              <w:ind w:left="0"/>
              <w:rPr>
                <w:rFonts w:ascii="Times New Roman" w:hAnsi="Times New Roman" w:cs="Times New Roman"/>
                <w:bCs/>
                <w:iCs/>
                <w:color w:val="000000" w:themeColor="text1"/>
                <w:sz w:val="28"/>
                <w:szCs w:val="24"/>
              </w:rPr>
            </w:pPr>
          </w:p>
          <w:p w:rsidR="005628D8" w:rsidRPr="002F3D0A" w:rsidRDefault="002F3D0A" w:rsidP="00D54FC6">
            <w:pPr>
              <w:pStyle w:val="Prrafodelista"/>
              <w:ind w:left="0"/>
              <w:rPr>
                <w:rFonts w:ascii="Times New Roman" w:hAnsi="Times New Roman" w:cs="Times New Roman"/>
                <w:color w:val="000000" w:themeColor="text1"/>
                <w:sz w:val="28"/>
                <w:szCs w:val="24"/>
                <w:shd w:val="clear" w:color="auto" w:fill="FFFFFF"/>
              </w:rPr>
            </w:pPr>
            <w:r w:rsidRPr="002F3D0A">
              <w:rPr>
                <w:rFonts w:ascii="Times New Roman" w:hAnsi="Times New Roman" w:cs="Times New Roman"/>
                <w:bCs/>
                <w:iCs/>
                <w:color w:val="000000" w:themeColor="text1"/>
                <w:sz w:val="28"/>
                <w:szCs w:val="24"/>
              </w:rPr>
              <w:t>Las acciones en las que se divide el capital de una sociedad son títulos valores “de contenido corporativo, que representan una participación homogénea o una parte alícuota de capital social"</w:t>
            </w:r>
            <w:r w:rsidRPr="002F3D0A">
              <w:rPr>
                <w:rStyle w:val="Refdenotaalpie"/>
                <w:rFonts w:ascii="Times New Roman" w:hAnsi="Times New Roman" w:cs="Times New Roman"/>
                <w:bCs/>
                <w:iCs/>
                <w:color w:val="000000" w:themeColor="text1"/>
                <w:sz w:val="28"/>
                <w:szCs w:val="24"/>
              </w:rPr>
              <w:footnoteReference w:id="55"/>
            </w:r>
            <w:r w:rsidRPr="002F3D0A">
              <w:rPr>
                <w:rFonts w:ascii="Times New Roman" w:hAnsi="Times New Roman" w:cs="Times New Roman"/>
                <w:bCs/>
                <w:iCs/>
                <w:color w:val="000000" w:themeColor="text1"/>
                <w:sz w:val="28"/>
                <w:szCs w:val="24"/>
              </w:rPr>
              <w:t xml:space="preserve"> </w:t>
            </w:r>
            <w:r w:rsidRPr="002F3D0A">
              <w:rPr>
                <w:rFonts w:ascii="Times New Roman" w:hAnsi="Times New Roman" w:cs="Times New Roman"/>
                <w:color w:val="000000" w:themeColor="text1"/>
                <w:sz w:val="28"/>
                <w:szCs w:val="24"/>
                <w:shd w:val="clear" w:color="auto" w:fill="FFFFFF"/>
              </w:rPr>
              <w:t>Las acciones son indivisibles, nominativas, de negoci</w:t>
            </w:r>
            <w:r w:rsidRPr="002F3D0A">
              <w:rPr>
                <w:rFonts w:ascii="Times New Roman" w:hAnsi="Times New Roman" w:cs="Times New Roman"/>
                <w:color w:val="000000" w:themeColor="text1"/>
                <w:sz w:val="28"/>
                <w:szCs w:val="24"/>
                <w:shd w:val="clear" w:color="auto" w:fill="FFFFFF"/>
              </w:rPr>
              <w:t>ación libre a menos que se estipule derecho de preferencia</w:t>
            </w:r>
            <w:r w:rsidRPr="002F3D0A">
              <w:rPr>
                <w:rStyle w:val="Refdenotaalpie"/>
                <w:rFonts w:ascii="Times New Roman" w:hAnsi="Times New Roman" w:cs="Times New Roman"/>
                <w:color w:val="000000" w:themeColor="text1"/>
                <w:sz w:val="28"/>
                <w:szCs w:val="24"/>
                <w:shd w:val="clear" w:color="auto" w:fill="FFFFFF"/>
              </w:rPr>
              <w:footnoteReference w:id="56"/>
            </w:r>
            <w:r w:rsidRPr="002F3D0A">
              <w:rPr>
                <w:rFonts w:ascii="Times New Roman" w:hAnsi="Times New Roman" w:cs="Times New Roman"/>
                <w:color w:val="000000" w:themeColor="text1"/>
                <w:sz w:val="28"/>
                <w:szCs w:val="24"/>
                <w:shd w:val="clear" w:color="auto" w:fill="FFFFFF"/>
              </w:rPr>
              <w:t>.</w:t>
            </w:r>
          </w:p>
          <w:p w:rsidR="005628D8" w:rsidRPr="002F3D0A" w:rsidRDefault="002F3D0A" w:rsidP="00D54FC6">
            <w:pPr>
              <w:pStyle w:val="Prrafodelista"/>
              <w:ind w:left="0"/>
              <w:rPr>
                <w:rFonts w:ascii="Times New Roman" w:hAnsi="Times New Roman" w:cs="Times New Roman"/>
                <w:bCs/>
                <w:color w:val="000000" w:themeColor="text1"/>
                <w:sz w:val="28"/>
                <w:szCs w:val="24"/>
              </w:rPr>
            </w:pPr>
          </w:p>
        </w:tc>
      </w:tr>
      <w:tr w:rsidR="005628D8" w:rsidRPr="002F3D0A" w:rsidTr="00D54FC6">
        <w:tc>
          <w:tcPr>
            <w:tcW w:w="1271" w:type="dxa"/>
            <w:shd w:val="clear" w:color="auto" w:fill="D5DCE4" w:themeFill="text2" w:themeFillTint="33"/>
          </w:tcPr>
          <w:p w:rsidR="005628D8" w:rsidRPr="002F3D0A" w:rsidRDefault="002F3D0A" w:rsidP="00D54FC6">
            <w:pPr>
              <w:pStyle w:val="Prrafodelista"/>
              <w:ind w:left="0"/>
              <w:rPr>
                <w:rFonts w:ascii="Times New Roman" w:hAnsi="Times New Roman" w:cs="Times New Roman"/>
                <w:b/>
                <w:bCs/>
                <w:sz w:val="28"/>
                <w:szCs w:val="24"/>
              </w:rPr>
            </w:pPr>
          </w:p>
          <w:p w:rsidR="005628D8" w:rsidRPr="002F3D0A" w:rsidRDefault="002F3D0A" w:rsidP="00D54FC6">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Cuentas por cobrar</w:t>
            </w:r>
          </w:p>
        </w:tc>
        <w:tc>
          <w:tcPr>
            <w:tcW w:w="7559" w:type="dxa"/>
          </w:tcPr>
          <w:p w:rsidR="005628D8" w:rsidRPr="002F3D0A" w:rsidRDefault="002F3D0A" w:rsidP="00D54FC6">
            <w:pPr>
              <w:pStyle w:val="Prrafodelista"/>
              <w:ind w:left="0"/>
              <w:rPr>
                <w:rFonts w:ascii="Times New Roman" w:hAnsi="Times New Roman" w:cs="Times New Roman"/>
                <w:color w:val="000000" w:themeColor="text1"/>
                <w:spacing w:val="2"/>
                <w:sz w:val="28"/>
                <w:szCs w:val="24"/>
                <w:shd w:val="clear" w:color="auto" w:fill="FFFFFF"/>
              </w:rPr>
            </w:pPr>
          </w:p>
          <w:p w:rsidR="005628D8" w:rsidRPr="002F3D0A" w:rsidRDefault="002F3D0A" w:rsidP="00D54FC6">
            <w:pPr>
              <w:pStyle w:val="Prrafodelista"/>
              <w:ind w:left="0"/>
              <w:rPr>
                <w:rFonts w:ascii="Times New Roman" w:hAnsi="Times New Roman" w:cs="Times New Roman"/>
                <w:bCs/>
                <w:color w:val="000000" w:themeColor="text1"/>
                <w:sz w:val="28"/>
                <w:szCs w:val="24"/>
              </w:rPr>
            </w:pPr>
            <w:r w:rsidRPr="002F3D0A">
              <w:rPr>
                <w:rFonts w:ascii="Times New Roman" w:hAnsi="Times New Roman" w:cs="Times New Roman"/>
                <w:color w:val="000000" w:themeColor="text1"/>
                <w:spacing w:val="2"/>
                <w:sz w:val="28"/>
                <w:szCs w:val="24"/>
                <w:shd w:val="clear" w:color="auto" w:fill="FFFFFF"/>
              </w:rPr>
              <w:t>Las cuentas y documentos por cobrar representan derechos a reclamar efectivo u otros bienes y servicios, como consecuencia de préstamos y otras operaciones a crédito</w:t>
            </w:r>
            <w:r w:rsidRPr="002F3D0A">
              <w:rPr>
                <w:rStyle w:val="Refdenotaalpie"/>
                <w:rFonts w:ascii="Times New Roman" w:hAnsi="Times New Roman" w:cs="Times New Roman"/>
                <w:color w:val="000000" w:themeColor="text1"/>
                <w:spacing w:val="2"/>
                <w:sz w:val="28"/>
                <w:szCs w:val="24"/>
                <w:shd w:val="clear" w:color="auto" w:fill="FFFFFF"/>
              </w:rPr>
              <w:footnoteReference w:id="57"/>
            </w:r>
            <w:r w:rsidRPr="002F3D0A">
              <w:rPr>
                <w:rFonts w:ascii="Times New Roman" w:hAnsi="Times New Roman" w:cs="Times New Roman"/>
                <w:color w:val="000000" w:themeColor="text1"/>
                <w:spacing w:val="2"/>
                <w:sz w:val="28"/>
                <w:szCs w:val="24"/>
                <w:shd w:val="clear" w:color="auto" w:fill="FFFFFF"/>
              </w:rPr>
              <w:t xml:space="preserve">. </w:t>
            </w:r>
            <w:r w:rsidRPr="002F3D0A">
              <w:rPr>
                <w:rFonts w:ascii="Times New Roman" w:hAnsi="Times New Roman" w:cs="Times New Roman"/>
                <w:color w:val="000000" w:themeColor="text1"/>
                <w:spacing w:val="2"/>
                <w:sz w:val="28"/>
                <w:szCs w:val="24"/>
                <w:shd w:val="clear" w:color="auto" w:fill="FFFFFF"/>
              </w:rPr>
              <w:t xml:space="preserve">Se </w:t>
            </w:r>
            <w:r w:rsidRPr="002F3D0A">
              <w:rPr>
                <w:rFonts w:ascii="Times New Roman" w:hAnsi="Times New Roman" w:cs="Times New Roman"/>
                <w:color w:val="000000" w:themeColor="text1"/>
                <w:spacing w:val="2"/>
                <w:sz w:val="28"/>
                <w:szCs w:val="24"/>
                <w:shd w:val="clear" w:color="auto" w:fill="FFFFFF"/>
              </w:rPr>
              <w:t>trata de d</w:t>
            </w:r>
            <w:r w:rsidRPr="002F3D0A">
              <w:rPr>
                <w:rFonts w:ascii="Times New Roman" w:hAnsi="Times New Roman" w:cs="Times New Roman"/>
                <w:bCs/>
                <w:color w:val="000000" w:themeColor="text1"/>
                <w:sz w:val="28"/>
                <w:szCs w:val="24"/>
              </w:rPr>
              <w:t>erechos de crédito o derechos personales.</w:t>
            </w:r>
            <w:r w:rsidRPr="002F3D0A">
              <w:rPr>
                <w:rStyle w:val="Refdenotaalpie"/>
                <w:rFonts w:ascii="Times New Roman" w:hAnsi="Times New Roman" w:cs="Times New Roman"/>
                <w:bCs/>
                <w:color w:val="000000" w:themeColor="text1"/>
                <w:sz w:val="28"/>
                <w:szCs w:val="24"/>
              </w:rPr>
              <w:footnoteReference w:id="58"/>
            </w:r>
          </w:p>
          <w:p w:rsidR="005628D8" w:rsidRPr="002F3D0A" w:rsidRDefault="002F3D0A" w:rsidP="00D54FC6">
            <w:pPr>
              <w:pStyle w:val="Prrafodelista"/>
              <w:ind w:left="0"/>
              <w:rPr>
                <w:rFonts w:ascii="Times New Roman" w:hAnsi="Times New Roman" w:cs="Times New Roman"/>
                <w:bCs/>
                <w:color w:val="000000" w:themeColor="text1"/>
                <w:sz w:val="28"/>
                <w:szCs w:val="24"/>
              </w:rPr>
            </w:pPr>
          </w:p>
        </w:tc>
      </w:tr>
      <w:tr w:rsidR="005628D8" w:rsidRPr="002F3D0A" w:rsidTr="00D54FC6">
        <w:tc>
          <w:tcPr>
            <w:tcW w:w="1271" w:type="dxa"/>
            <w:shd w:val="clear" w:color="auto" w:fill="D5DCE4" w:themeFill="text2" w:themeFillTint="33"/>
          </w:tcPr>
          <w:p w:rsidR="005628D8" w:rsidRPr="002F3D0A" w:rsidRDefault="002F3D0A" w:rsidP="00D54FC6">
            <w:pPr>
              <w:pStyle w:val="Sinespaciado"/>
              <w:rPr>
                <w:rFonts w:ascii="Times New Roman" w:hAnsi="Times New Roman"/>
                <w:b/>
                <w:sz w:val="28"/>
              </w:rPr>
            </w:pPr>
          </w:p>
          <w:p w:rsidR="005628D8" w:rsidRPr="002F3D0A" w:rsidRDefault="002F3D0A" w:rsidP="00D54FC6">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Inversiones de portafolio</w:t>
            </w:r>
          </w:p>
          <w:p w:rsidR="005628D8" w:rsidRPr="002F3D0A" w:rsidRDefault="002F3D0A" w:rsidP="00D54FC6">
            <w:pPr>
              <w:pStyle w:val="Prrafodelista"/>
              <w:ind w:left="0"/>
              <w:rPr>
                <w:rFonts w:ascii="Times New Roman" w:hAnsi="Times New Roman" w:cs="Times New Roman"/>
                <w:b/>
                <w:bCs/>
                <w:sz w:val="28"/>
                <w:szCs w:val="24"/>
              </w:rPr>
            </w:pPr>
          </w:p>
          <w:p w:rsidR="005628D8" w:rsidRPr="002F3D0A" w:rsidRDefault="002F3D0A" w:rsidP="00D54FC6">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Decreto 119 de 2017</w:t>
            </w:r>
          </w:p>
          <w:p w:rsidR="005628D8" w:rsidRPr="002F3D0A" w:rsidRDefault="002F3D0A" w:rsidP="00D54FC6">
            <w:pPr>
              <w:pStyle w:val="Prrafodelista"/>
              <w:ind w:left="0"/>
              <w:rPr>
                <w:rFonts w:ascii="Times New Roman" w:hAnsi="Times New Roman" w:cs="Times New Roman"/>
                <w:b/>
                <w:bCs/>
                <w:sz w:val="28"/>
                <w:szCs w:val="24"/>
              </w:rPr>
            </w:pPr>
            <w:r w:rsidRPr="002F3D0A">
              <w:rPr>
                <w:rFonts w:ascii="Times New Roman" w:hAnsi="Times New Roman" w:cs="Times New Roman"/>
                <w:b/>
                <w:bCs/>
                <w:sz w:val="28"/>
                <w:szCs w:val="24"/>
              </w:rPr>
              <w:t>Artículo 2.17.2.2.1.2</w:t>
            </w:r>
          </w:p>
        </w:tc>
        <w:tc>
          <w:tcPr>
            <w:tcW w:w="7559" w:type="dxa"/>
          </w:tcPr>
          <w:p w:rsidR="005628D8" w:rsidRPr="002F3D0A" w:rsidRDefault="002F3D0A" w:rsidP="00D54FC6">
            <w:pPr>
              <w:shd w:val="clear" w:color="auto" w:fill="FFFFFF"/>
              <w:spacing w:before="100" w:beforeAutospacing="1" w:after="100" w:afterAutospacing="1"/>
              <w:rPr>
                <w:rFonts w:ascii="Times New Roman" w:eastAsia="Times New Roman" w:hAnsi="Times New Roman" w:cs="Times New Roman"/>
                <w:color w:val="000000" w:themeColor="text1"/>
                <w:sz w:val="28"/>
                <w:szCs w:val="24"/>
              </w:rPr>
            </w:pPr>
            <w:r w:rsidRPr="002F3D0A">
              <w:rPr>
                <w:rFonts w:ascii="Times New Roman" w:eastAsia="Times New Roman" w:hAnsi="Times New Roman" w:cs="Times New Roman"/>
                <w:color w:val="000000" w:themeColor="text1"/>
                <w:sz w:val="28"/>
                <w:szCs w:val="24"/>
              </w:rPr>
              <w:t>i) Los valores inscritos en el Registro Nacional de Valores y Emisores (RNVE)</w:t>
            </w:r>
            <w:r w:rsidRPr="002F3D0A">
              <w:rPr>
                <w:rStyle w:val="Refdenotaalpie"/>
                <w:rFonts w:ascii="Times New Roman" w:eastAsia="Times New Roman" w:hAnsi="Times New Roman" w:cs="Times New Roman"/>
                <w:color w:val="000000" w:themeColor="text1"/>
                <w:sz w:val="28"/>
                <w:szCs w:val="24"/>
              </w:rPr>
              <w:footnoteReference w:id="59"/>
            </w:r>
            <w:r w:rsidRPr="002F3D0A">
              <w:rPr>
                <w:rFonts w:ascii="Times New Roman" w:eastAsia="Times New Roman" w:hAnsi="Times New Roman" w:cs="Times New Roman"/>
                <w:color w:val="000000" w:themeColor="text1"/>
                <w:sz w:val="28"/>
                <w:szCs w:val="24"/>
              </w:rPr>
              <w:t>, o listados en Sistemas de Cotización de Valores del</w:t>
            </w:r>
            <w:r w:rsidRPr="002F3D0A">
              <w:rPr>
                <w:rFonts w:ascii="Times New Roman" w:eastAsia="Times New Roman" w:hAnsi="Times New Roman" w:cs="Times New Roman"/>
                <w:color w:val="000000" w:themeColor="text1"/>
                <w:sz w:val="28"/>
                <w:szCs w:val="24"/>
              </w:rPr>
              <w:t xml:space="preserve"> Extranjero, de acuerdo con el Capítulo 1</w:t>
            </w:r>
            <w:r w:rsidRPr="002F3D0A">
              <w:rPr>
                <w:rStyle w:val="Refdenotaalpie"/>
                <w:rFonts w:ascii="Times New Roman" w:eastAsia="Times New Roman" w:hAnsi="Times New Roman" w:cs="Times New Roman"/>
                <w:color w:val="000000" w:themeColor="text1"/>
                <w:sz w:val="28"/>
                <w:szCs w:val="24"/>
              </w:rPr>
              <w:footnoteReference w:id="60"/>
            </w:r>
            <w:r w:rsidRPr="002F3D0A">
              <w:rPr>
                <w:rFonts w:ascii="Times New Roman" w:eastAsia="Times New Roman" w:hAnsi="Times New Roman" w:cs="Times New Roman"/>
                <w:color w:val="000000" w:themeColor="text1"/>
                <w:sz w:val="28"/>
                <w:szCs w:val="24"/>
              </w:rPr>
              <w:t xml:space="preserve"> del Título 6</w:t>
            </w:r>
            <w:r w:rsidRPr="002F3D0A">
              <w:rPr>
                <w:rStyle w:val="Refdenotaalpie"/>
                <w:rFonts w:ascii="Times New Roman" w:eastAsia="Times New Roman" w:hAnsi="Times New Roman" w:cs="Times New Roman"/>
                <w:color w:val="000000" w:themeColor="text1"/>
                <w:sz w:val="28"/>
                <w:szCs w:val="24"/>
              </w:rPr>
              <w:footnoteReference w:id="61"/>
            </w:r>
            <w:r w:rsidRPr="002F3D0A">
              <w:rPr>
                <w:rFonts w:ascii="Times New Roman" w:eastAsia="Times New Roman" w:hAnsi="Times New Roman" w:cs="Times New Roman"/>
                <w:color w:val="000000" w:themeColor="text1"/>
                <w:sz w:val="28"/>
                <w:szCs w:val="24"/>
              </w:rPr>
              <w:t xml:space="preserve"> del Libro 15</w:t>
            </w:r>
            <w:r w:rsidRPr="002F3D0A">
              <w:rPr>
                <w:rStyle w:val="Refdenotaalpie"/>
                <w:rFonts w:ascii="Times New Roman" w:eastAsia="Times New Roman" w:hAnsi="Times New Roman" w:cs="Times New Roman"/>
                <w:color w:val="000000" w:themeColor="text1"/>
                <w:sz w:val="28"/>
                <w:szCs w:val="24"/>
              </w:rPr>
              <w:footnoteReference w:id="62"/>
            </w:r>
            <w:r w:rsidRPr="002F3D0A">
              <w:rPr>
                <w:rFonts w:ascii="Times New Roman" w:eastAsia="Times New Roman" w:hAnsi="Times New Roman" w:cs="Times New Roman"/>
                <w:color w:val="000000" w:themeColor="text1"/>
                <w:sz w:val="28"/>
                <w:szCs w:val="24"/>
              </w:rPr>
              <w:t xml:space="preserve"> de la Parte 2 del Decreto 2555 de 2010</w:t>
            </w:r>
            <w:r w:rsidRPr="002F3D0A">
              <w:rPr>
                <w:rStyle w:val="Refdenotaalpie"/>
                <w:rFonts w:ascii="Times New Roman" w:eastAsia="Times New Roman" w:hAnsi="Times New Roman" w:cs="Times New Roman"/>
                <w:color w:val="000000" w:themeColor="text1"/>
                <w:sz w:val="28"/>
                <w:szCs w:val="24"/>
              </w:rPr>
              <w:footnoteReference w:id="63"/>
            </w:r>
            <w:r w:rsidRPr="002F3D0A">
              <w:rPr>
                <w:rFonts w:ascii="Times New Roman" w:eastAsia="Times New Roman" w:hAnsi="Times New Roman" w:cs="Times New Roman"/>
                <w:color w:val="000000" w:themeColor="text1"/>
                <w:sz w:val="28"/>
                <w:szCs w:val="24"/>
              </w:rPr>
              <w:t xml:space="preserve"> </w:t>
            </w:r>
            <w:r w:rsidRPr="002F3D0A">
              <w:rPr>
                <w:rFonts w:ascii="Times New Roman" w:eastAsia="Times New Roman" w:hAnsi="Times New Roman" w:cs="Times New Roman"/>
                <w:color w:val="000000" w:themeColor="text1"/>
                <w:sz w:val="28"/>
                <w:szCs w:val="24"/>
              </w:rPr>
              <w:t xml:space="preserve"> </w:t>
            </w:r>
            <w:r w:rsidRPr="002F3D0A">
              <w:rPr>
                <w:rFonts w:ascii="Times New Roman" w:hAnsi="Times New Roman" w:cs="Times New Roman"/>
                <w:color w:val="000000" w:themeColor="text1"/>
                <w:sz w:val="28"/>
                <w:szCs w:val="24"/>
                <w:shd w:val="clear" w:color="auto" w:fill="FFFFFF"/>
              </w:rPr>
              <w:t>excepto los mencionados en los ordinales ii) y vii) del literal a) del presente artículo</w:t>
            </w:r>
            <w:r w:rsidRPr="002F3D0A">
              <w:rPr>
                <w:rStyle w:val="Refdenotaalpie"/>
                <w:rFonts w:ascii="Times New Roman" w:hAnsi="Times New Roman" w:cs="Times New Roman"/>
                <w:color w:val="000000" w:themeColor="text1"/>
                <w:sz w:val="28"/>
                <w:szCs w:val="24"/>
                <w:shd w:val="clear" w:color="auto" w:fill="FFFFFF"/>
              </w:rPr>
              <w:footnoteReference w:id="64"/>
            </w:r>
            <w:r w:rsidRPr="002F3D0A">
              <w:rPr>
                <w:rFonts w:ascii="Times New Roman" w:eastAsia="Times New Roman" w:hAnsi="Times New Roman" w:cs="Times New Roman"/>
                <w:color w:val="000000" w:themeColor="text1"/>
                <w:sz w:val="28"/>
                <w:szCs w:val="24"/>
              </w:rPr>
              <w:t>.</w:t>
            </w:r>
          </w:p>
          <w:p w:rsidR="005628D8" w:rsidRPr="002F3D0A" w:rsidRDefault="002F3D0A" w:rsidP="00D54FC6">
            <w:pPr>
              <w:shd w:val="clear" w:color="auto" w:fill="FFFFFF"/>
              <w:spacing w:before="100" w:beforeAutospacing="1" w:after="100" w:afterAutospacing="1"/>
              <w:rPr>
                <w:rFonts w:ascii="Times New Roman" w:eastAsia="Times New Roman" w:hAnsi="Times New Roman" w:cs="Times New Roman"/>
                <w:color w:val="000000" w:themeColor="text1"/>
                <w:sz w:val="28"/>
                <w:szCs w:val="24"/>
              </w:rPr>
            </w:pPr>
            <w:r w:rsidRPr="002F3D0A">
              <w:rPr>
                <w:rFonts w:ascii="Times New Roman" w:eastAsia="Times New Roman" w:hAnsi="Times New Roman" w:cs="Times New Roman"/>
                <w:color w:val="000000" w:themeColor="text1"/>
                <w:sz w:val="28"/>
                <w:szCs w:val="24"/>
              </w:rPr>
              <w:t>ii) Las participaciones en fondos de inversión colect</w:t>
            </w:r>
            <w:r w:rsidRPr="002F3D0A">
              <w:rPr>
                <w:rFonts w:ascii="Times New Roman" w:eastAsia="Times New Roman" w:hAnsi="Times New Roman" w:cs="Times New Roman"/>
                <w:color w:val="000000" w:themeColor="text1"/>
                <w:sz w:val="28"/>
                <w:szCs w:val="24"/>
              </w:rPr>
              <w:t>iva de que trata la Parte 3 del Decreto 2555 de 2010, o la norma que lo modifique o sustituya</w:t>
            </w:r>
            <w:r w:rsidRPr="002F3D0A">
              <w:rPr>
                <w:rStyle w:val="Refdenotaalpie"/>
                <w:rFonts w:ascii="Times New Roman" w:eastAsia="Times New Roman" w:hAnsi="Times New Roman" w:cs="Times New Roman"/>
                <w:color w:val="000000" w:themeColor="text1"/>
                <w:sz w:val="28"/>
                <w:szCs w:val="24"/>
              </w:rPr>
              <w:footnoteReference w:id="65"/>
            </w:r>
            <w:r w:rsidRPr="002F3D0A">
              <w:rPr>
                <w:rFonts w:ascii="Times New Roman" w:eastAsia="Times New Roman" w:hAnsi="Times New Roman" w:cs="Times New Roman"/>
                <w:color w:val="000000" w:themeColor="text1"/>
                <w:sz w:val="28"/>
                <w:szCs w:val="24"/>
              </w:rPr>
              <w:t>. </w:t>
            </w:r>
          </w:p>
          <w:p w:rsidR="005628D8" w:rsidRPr="002F3D0A" w:rsidRDefault="002F3D0A" w:rsidP="00D54FC6">
            <w:pPr>
              <w:shd w:val="clear" w:color="auto" w:fill="FFFFFF"/>
              <w:spacing w:before="100" w:beforeAutospacing="1" w:after="100" w:afterAutospacing="1"/>
              <w:rPr>
                <w:rFonts w:ascii="Times New Roman" w:hAnsi="Times New Roman" w:cs="Times New Roman"/>
                <w:bCs/>
                <w:color w:val="000000" w:themeColor="text1"/>
                <w:sz w:val="28"/>
                <w:szCs w:val="24"/>
              </w:rPr>
            </w:pPr>
            <w:r w:rsidRPr="002F3D0A">
              <w:rPr>
                <w:rFonts w:ascii="Times New Roman" w:eastAsia="Times New Roman" w:hAnsi="Times New Roman" w:cs="Times New Roman"/>
                <w:color w:val="000000" w:themeColor="text1"/>
                <w:sz w:val="28"/>
                <w:szCs w:val="24"/>
              </w:rPr>
              <w:t>iii) Las participaciones en programas de certificados de depósitos negociables representativos de valores.</w:t>
            </w:r>
          </w:p>
        </w:tc>
      </w:tr>
    </w:tbl>
    <w:p w:rsidR="005628D8" w:rsidRPr="002F3D0A" w:rsidRDefault="002F3D0A" w:rsidP="005628D8">
      <w:pPr>
        <w:pStyle w:val="Prrafodelista"/>
        <w:ind w:left="0"/>
        <w:rPr>
          <w:rFonts w:ascii="Times New Roman" w:hAnsi="Times New Roman" w:cs="Times New Roman"/>
          <w:bCs/>
          <w:sz w:val="28"/>
          <w:szCs w:val="28"/>
          <w:lang w:val="es-US"/>
        </w:rPr>
      </w:pPr>
    </w:p>
    <w:p w:rsidR="005F5C0E" w:rsidRPr="002F3D0A" w:rsidRDefault="002F3D0A" w:rsidP="00D54FC6">
      <w:pPr>
        <w:pStyle w:val="Prrafodelista"/>
        <w:numPr>
          <w:ilvl w:val="0"/>
          <w:numId w:val="1"/>
        </w:numPr>
        <w:ind w:left="0" w:firstLine="0"/>
        <w:rPr>
          <w:rFonts w:ascii="Times New Roman" w:hAnsi="Times New Roman" w:cs="Times New Roman"/>
          <w:bCs/>
          <w:sz w:val="28"/>
          <w:szCs w:val="28"/>
          <w:lang w:val="es-US"/>
        </w:rPr>
      </w:pPr>
      <w:r w:rsidRPr="002F3D0A">
        <w:rPr>
          <w:rFonts w:ascii="Times New Roman" w:hAnsi="Times New Roman" w:cs="Times New Roman"/>
          <w:bCs/>
          <w:sz w:val="28"/>
          <w:szCs w:val="28"/>
          <w:lang w:val="es-ES"/>
        </w:rPr>
        <w:t xml:space="preserve"> Los ciudadanos no señalaron</w:t>
      </w:r>
      <w:r w:rsidRPr="002F3D0A">
        <w:rPr>
          <w:rFonts w:ascii="Times New Roman" w:hAnsi="Times New Roman" w:cs="Times New Roman"/>
          <w:sz w:val="28"/>
        </w:rPr>
        <w:t xml:space="preserve"> </w:t>
      </w:r>
      <w:r w:rsidRPr="002F3D0A">
        <w:rPr>
          <w:rFonts w:ascii="Times New Roman" w:hAnsi="Times New Roman" w:cs="Times New Roman"/>
          <w:bCs/>
          <w:sz w:val="28"/>
          <w:szCs w:val="28"/>
          <w:lang w:val="es-ES"/>
        </w:rPr>
        <w:t xml:space="preserve">por qué los rasgos de los activos </w:t>
      </w:r>
      <w:r w:rsidRPr="002F3D0A">
        <w:rPr>
          <w:rFonts w:ascii="Times New Roman" w:hAnsi="Times New Roman" w:cs="Times New Roman"/>
          <w:bCs/>
          <w:sz w:val="28"/>
          <w:szCs w:val="28"/>
          <w:lang w:val="es-ES"/>
        </w:rPr>
        <w:t>definidos</w:t>
      </w:r>
      <w:r w:rsidRPr="002F3D0A">
        <w:rPr>
          <w:rFonts w:ascii="Times New Roman" w:hAnsi="Times New Roman" w:cs="Times New Roman"/>
          <w:bCs/>
          <w:sz w:val="28"/>
          <w:szCs w:val="28"/>
          <w:lang w:val="es-ES"/>
        </w:rPr>
        <w:t xml:space="preserve"> en la norma no son un criterio relevante y suficiente para la exclusión tributari</w:t>
      </w:r>
      <w:r w:rsidRPr="002F3D0A">
        <w:rPr>
          <w:rFonts w:ascii="Times New Roman" w:hAnsi="Times New Roman" w:cs="Times New Roman"/>
          <w:bCs/>
          <w:sz w:val="28"/>
          <w:szCs w:val="28"/>
          <w:lang w:val="es-ES"/>
        </w:rPr>
        <w:t>a</w:t>
      </w:r>
      <w:r w:rsidRPr="002F3D0A">
        <w:rPr>
          <w:rFonts w:ascii="Times New Roman" w:hAnsi="Times New Roman" w:cs="Times New Roman"/>
          <w:bCs/>
          <w:sz w:val="28"/>
          <w:szCs w:val="28"/>
          <w:lang w:val="es-ES"/>
        </w:rPr>
        <w:t xml:space="preserve"> ni por qué</w:t>
      </w:r>
      <w:r w:rsidRPr="002F3D0A">
        <w:rPr>
          <w:rFonts w:ascii="Times New Roman" w:hAnsi="Times New Roman" w:cs="Times New Roman"/>
          <w:bCs/>
          <w:sz w:val="28"/>
          <w:szCs w:val="28"/>
          <w:lang w:val="es-ES"/>
        </w:rPr>
        <w:t xml:space="preserve"> </w:t>
      </w:r>
      <w:r w:rsidRPr="002F3D0A">
        <w:rPr>
          <w:rFonts w:ascii="Times New Roman" w:hAnsi="Times New Roman" w:cs="Times New Roman"/>
          <w:bCs/>
          <w:sz w:val="28"/>
          <w:szCs w:val="28"/>
          <w:lang w:val="es-ES"/>
        </w:rPr>
        <w:t xml:space="preserve">esos activos </w:t>
      </w:r>
      <w:r w:rsidRPr="002F3D0A">
        <w:rPr>
          <w:rFonts w:ascii="Times New Roman" w:hAnsi="Times New Roman" w:cs="Times New Roman"/>
          <w:bCs/>
          <w:sz w:val="28"/>
          <w:szCs w:val="28"/>
          <w:lang w:val="es-ES"/>
        </w:rPr>
        <w:t>son equiparables a otro tipo de bienes</w:t>
      </w:r>
      <w:r w:rsidRPr="002F3D0A">
        <w:rPr>
          <w:rFonts w:ascii="Times New Roman" w:hAnsi="Times New Roman" w:cs="Times New Roman"/>
          <w:bCs/>
          <w:sz w:val="28"/>
          <w:szCs w:val="28"/>
          <w:lang w:val="es-ES"/>
        </w:rPr>
        <w:t xml:space="preserve">. En general, los actores omitieron precisar cómo </w:t>
      </w:r>
      <w:r w:rsidRPr="002F3D0A">
        <w:rPr>
          <w:rFonts w:ascii="Times New Roman" w:hAnsi="Times New Roman" w:cs="Times New Roman"/>
          <w:bCs/>
          <w:sz w:val="28"/>
          <w:szCs w:val="28"/>
          <w:lang w:val="es-ES"/>
        </w:rPr>
        <w:t xml:space="preserve">la definición de </w:t>
      </w:r>
      <w:r w:rsidRPr="002F3D0A">
        <w:rPr>
          <w:rFonts w:ascii="Times New Roman" w:hAnsi="Times New Roman" w:cs="Times New Roman"/>
          <w:bCs/>
          <w:sz w:val="28"/>
          <w:szCs w:val="28"/>
          <w:lang w:val="es-ES"/>
        </w:rPr>
        <w:t>la exención a partir de los bienes mencionados transgredió el margen</w:t>
      </w:r>
      <w:r w:rsidRPr="002F3D0A">
        <w:rPr>
          <w:rFonts w:ascii="Times New Roman" w:hAnsi="Times New Roman" w:cs="Times New Roman"/>
          <w:bCs/>
          <w:sz w:val="28"/>
          <w:szCs w:val="28"/>
          <w:lang w:val="es-ES"/>
        </w:rPr>
        <w:t xml:space="preserve"> de configuración del legislador en materia impositiva.</w:t>
      </w:r>
    </w:p>
    <w:p w:rsidR="005F5C0E" w:rsidRPr="002F3D0A" w:rsidRDefault="002F3D0A" w:rsidP="005F5C0E">
      <w:pPr>
        <w:pStyle w:val="Prrafodelista"/>
        <w:rPr>
          <w:rFonts w:ascii="Times New Roman" w:hAnsi="Times New Roman" w:cs="Times New Roman"/>
          <w:bCs/>
          <w:sz w:val="28"/>
          <w:szCs w:val="28"/>
          <w:lang w:val="es-ES"/>
        </w:rPr>
      </w:pPr>
    </w:p>
    <w:p w:rsidR="005F5C0E" w:rsidRPr="002F3D0A" w:rsidRDefault="002F3D0A" w:rsidP="00D54FC6">
      <w:pPr>
        <w:pStyle w:val="Prrafodelista"/>
        <w:numPr>
          <w:ilvl w:val="0"/>
          <w:numId w:val="1"/>
        </w:numPr>
        <w:ind w:left="0" w:firstLine="0"/>
        <w:rPr>
          <w:rFonts w:ascii="Times New Roman" w:hAnsi="Times New Roman" w:cs="Times New Roman"/>
          <w:bCs/>
          <w:sz w:val="28"/>
          <w:szCs w:val="28"/>
          <w:lang w:val="es-US"/>
        </w:rPr>
      </w:pPr>
      <w:r w:rsidRPr="002F3D0A">
        <w:rPr>
          <w:rFonts w:ascii="Times New Roman" w:hAnsi="Times New Roman" w:cs="Times New Roman"/>
          <w:bCs/>
          <w:sz w:val="28"/>
          <w:szCs w:val="28"/>
          <w:lang w:val="es-ES"/>
        </w:rPr>
        <w:t xml:space="preserve"> </w:t>
      </w:r>
      <w:r w:rsidRPr="002F3D0A">
        <w:rPr>
          <w:rFonts w:ascii="Times New Roman" w:hAnsi="Times New Roman" w:cs="Times New Roman"/>
          <w:bCs/>
          <w:sz w:val="28"/>
          <w:szCs w:val="28"/>
          <w:lang w:val="es-ES"/>
        </w:rPr>
        <w:t xml:space="preserve">En síntesis, el carácter general de los planteamientos de la </w:t>
      </w:r>
      <w:r w:rsidRPr="002F3D0A">
        <w:rPr>
          <w:rFonts w:ascii="Times New Roman" w:hAnsi="Times New Roman" w:cs="Times New Roman"/>
          <w:bCs/>
          <w:sz w:val="28"/>
          <w:szCs w:val="28"/>
          <w:lang w:val="es-ES"/>
        </w:rPr>
        <w:t>demanda afectó</w:t>
      </w:r>
      <w:r w:rsidRPr="002F3D0A">
        <w:rPr>
          <w:rFonts w:ascii="Times New Roman" w:hAnsi="Times New Roman" w:cs="Times New Roman"/>
          <w:bCs/>
          <w:sz w:val="28"/>
          <w:szCs w:val="28"/>
          <w:lang w:val="es-ES"/>
        </w:rPr>
        <w:t xml:space="preserve"> </w:t>
      </w:r>
      <w:r w:rsidRPr="002F3D0A">
        <w:rPr>
          <w:rFonts w:ascii="Times New Roman" w:hAnsi="Times New Roman" w:cs="Times New Roman"/>
          <w:bCs/>
          <w:sz w:val="28"/>
          <w:szCs w:val="28"/>
          <w:lang w:val="es-ES"/>
        </w:rPr>
        <w:t xml:space="preserve">la pertinencia, especificidad y suficiencia del cargo </w:t>
      </w:r>
      <w:r w:rsidRPr="002F3D0A">
        <w:rPr>
          <w:rFonts w:ascii="Times New Roman" w:hAnsi="Times New Roman" w:cs="Times New Roman"/>
          <w:bCs/>
          <w:sz w:val="28"/>
          <w:szCs w:val="28"/>
          <w:lang w:val="es-ES"/>
        </w:rPr>
        <w:t>de inconstitucionalidad</w:t>
      </w:r>
      <w:r w:rsidRPr="002F3D0A">
        <w:rPr>
          <w:rFonts w:ascii="Times New Roman" w:hAnsi="Times New Roman" w:cs="Times New Roman"/>
          <w:bCs/>
          <w:sz w:val="28"/>
          <w:szCs w:val="28"/>
          <w:lang w:val="es-ES"/>
        </w:rPr>
        <w:t xml:space="preserve">, pues </w:t>
      </w:r>
      <w:r w:rsidRPr="002F3D0A">
        <w:rPr>
          <w:rFonts w:ascii="Times New Roman" w:hAnsi="Times New Roman" w:cs="Times New Roman"/>
          <w:bCs/>
          <w:sz w:val="28"/>
          <w:szCs w:val="28"/>
          <w:lang w:val="es-ES"/>
        </w:rPr>
        <w:t xml:space="preserve">los actores se limitaron a </w:t>
      </w:r>
      <w:r w:rsidRPr="002F3D0A">
        <w:rPr>
          <w:rFonts w:ascii="Times New Roman" w:hAnsi="Times New Roman" w:cs="Times New Roman"/>
          <w:bCs/>
          <w:sz w:val="28"/>
          <w:szCs w:val="28"/>
          <w:lang w:val="es-ES"/>
        </w:rPr>
        <w:t xml:space="preserve">identificar </w:t>
      </w:r>
      <w:r w:rsidRPr="002F3D0A">
        <w:rPr>
          <w:rFonts w:ascii="Times New Roman" w:hAnsi="Times New Roman" w:cs="Times New Roman"/>
          <w:bCs/>
          <w:sz w:val="28"/>
          <w:szCs w:val="28"/>
          <w:lang w:val="es-ES"/>
        </w:rPr>
        <w:t xml:space="preserve">la distinción de trato </w:t>
      </w:r>
      <w:r w:rsidRPr="002F3D0A">
        <w:rPr>
          <w:rFonts w:ascii="Times New Roman" w:hAnsi="Times New Roman" w:cs="Times New Roman"/>
          <w:bCs/>
          <w:sz w:val="28"/>
          <w:szCs w:val="28"/>
          <w:lang w:val="es-ES"/>
        </w:rPr>
        <w:t>y dej</w:t>
      </w:r>
      <w:r w:rsidRPr="002F3D0A">
        <w:rPr>
          <w:rFonts w:ascii="Times New Roman" w:hAnsi="Times New Roman" w:cs="Times New Roman"/>
          <w:bCs/>
          <w:sz w:val="28"/>
          <w:szCs w:val="28"/>
          <w:lang w:val="es-ES"/>
        </w:rPr>
        <w:t>aron</w:t>
      </w:r>
      <w:r w:rsidRPr="002F3D0A">
        <w:rPr>
          <w:rFonts w:ascii="Times New Roman" w:hAnsi="Times New Roman" w:cs="Times New Roman"/>
          <w:bCs/>
          <w:sz w:val="28"/>
          <w:szCs w:val="28"/>
          <w:lang w:val="es-ES"/>
        </w:rPr>
        <w:t xml:space="preserve"> de</w:t>
      </w:r>
      <w:r w:rsidRPr="002F3D0A">
        <w:rPr>
          <w:rFonts w:ascii="Times New Roman" w:hAnsi="Times New Roman" w:cs="Times New Roman"/>
          <w:bCs/>
          <w:sz w:val="28"/>
          <w:szCs w:val="28"/>
          <w:lang w:val="es-ES"/>
        </w:rPr>
        <w:t xml:space="preserve"> </w:t>
      </w:r>
      <w:r w:rsidRPr="002F3D0A">
        <w:rPr>
          <w:rFonts w:ascii="Times New Roman" w:hAnsi="Times New Roman" w:cs="Times New Roman"/>
          <w:bCs/>
          <w:sz w:val="28"/>
          <w:szCs w:val="28"/>
          <w:lang w:val="es-ES"/>
        </w:rPr>
        <w:t>considerar las finalidades de la ley</w:t>
      </w:r>
      <w:r w:rsidRPr="002F3D0A">
        <w:rPr>
          <w:rFonts w:ascii="Times New Roman" w:hAnsi="Times New Roman" w:cs="Times New Roman"/>
          <w:bCs/>
          <w:sz w:val="28"/>
          <w:szCs w:val="28"/>
          <w:lang w:val="es-ES"/>
        </w:rPr>
        <w:t xml:space="preserve"> y </w:t>
      </w:r>
      <w:r w:rsidRPr="002F3D0A">
        <w:rPr>
          <w:rFonts w:ascii="Times New Roman" w:hAnsi="Times New Roman" w:cs="Times New Roman"/>
          <w:bCs/>
          <w:sz w:val="28"/>
          <w:szCs w:val="28"/>
          <w:lang w:val="es-ES"/>
        </w:rPr>
        <w:t xml:space="preserve">los rasgos de los bienes a partir de los que planteó la distinción, </w:t>
      </w:r>
      <w:r w:rsidRPr="002F3D0A">
        <w:rPr>
          <w:rFonts w:ascii="Times New Roman" w:hAnsi="Times New Roman" w:cs="Times New Roman"/>
          <w:bCs/>
          <w:sz w:val="28"/>
          <w:szCs w:val="28"/>
          <w:lang w:val="es-ES"/>
        </w:rPr>
        <w:t>omitieron delimitar el criterio de comparaci</w:t>
      </w:r>
      <w:r w:rsidRPr="002F3D0A">
        <w:rPr>
          <w:rFonts w:ascii="Times New Roman" w:hAnsi="Times New Roman" w:cs="Times New Roman"/>
          <w:bCs/>
          <w:sz w:val="28"/>
          <w:szCs w:val="28"/>
          <w:lang w:val="es-ES"/>
        </w:rPr>
        <w:t xml:space="preserve">ón y no plantearon las </w:t>
      </w:r>
      <w:r w:rsidRPr="002F3D0A">
        <w:rPr>
          <w:rFonts w:ascii="Times New Roman" w:hAnsi="Times New Roman" w:cs="Times New Roman"/>
          <w:bCs/>
          <w:sz w:val="28"/>
          <w:szCs w:val="28"/>
          <w:lang w:val="es-ES"/>
        </w:rPr>
        <w:t>razones</w:t>
      </w:r>
      <w:r w:rsidRPr="002F3D0A">
        <w:rPr>
          <w:rFonts w:ascii="Times New Roman" w:hAnsi="Times New Roman" w:cs="Times New Roman"/>
          <w:bCs/>
          <w:sz w:val="28"/>
          <w:szCs w:val="28"/>
          <w:lang w:val="es-ES"/>
        </w:rPr>
        <w:t xml:space="preserve"> específicas</w:t>
      </w:r>
      <w:r w:rsidRPr="002F3D0A">
        <w:rPr>
          <w:rFonts w:ascii="Times New Roman" w:hAnsi="Times New Roman" w:cs="Times New Roman"/>
          <w:bCs/>
          <w:sz w:val="28"/>
          <w:szCs w:val="28"/>
          <w:lang w:val="es-ES"/>
        </w:rPr>
        <w:t xml:space="preserve"> por las que la medida transgrede la Constitución.</w:t>
      </w:r>
    </w:p>
    <w:p w:rsidR="005F5C0E" w:rsidRPr="002F3D0A" w:rsidRDefault="002F3D0A" w:rsidP="005F5C0E">
      <w:pPr>
        <w:pStyle w:val="Prrafodelista"/>
        <w:ind w:left="0"/>
        <w:rPr>
          <w:rFonts w:ascii="Times New Roman" w:hAnsi="Times New Roman" w:cs="Times New Roman"/>
          <w:bCs/>
          <w:sz w:val="28"/>
          <w:szCs w:val="28"/>
          <w:lang w:val="es-US"/>
        </w:rPr>
      </w:pPr>
    </w:p>
    <w:p w:rsidR="00625F51" w:rsidRPr="002F3D0A" w:rsidRDefault="002F3D0A" w:rsidP="00B51ED0">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 xml:space="preserve">El </w:t>
      </w:r>
      <w:r w:rsidRPr="002F3D0A">
        <w:rPr>
          <w:rFonts w:ascii="Times New Roman" w:hAnsi="Times New Roman" w:cs="Times New Roman"/>
          <w:b/>
          <w:bCs/>
          <w:sz w:val="28"/>
          <w:szCs w:val="28"/>
        </w:rPr>
        <w:t>cargo por violación de la competencia de los municipios para gravar la propiedad inmueble</w:t>
      </w:r>
      <w:r w:rsidRPr="002F3D0A">
        <w:rPr>
          <w:rFonts w:ascii="Times New Roman" w:hAnsi="Times New Roman" w:cs="Times New Roman"/>
          <w:b/>
          <w:bCs/>
          <w:sz w:val="28"/>
          <w:szCs w:val="28"/>
        </w:rPr>
        <w:t xml:space="preserve"> no cumple los requisitos de aptitud</w:t>
      </w:r>
      <w:r w:rsidRPr="002F3D0A">
        <w:rPr>
          <w:rFonts w:ascii="Times New Roman" w:hAnsi="Times New Roman" w:cs="Times New Roman"/>
          <w:bCs/>
          <w:sz w:val="28"/>
          <w:szCs w:val="28"/>
        </w:rPr>
        <w:t xml:space="preserve">. Con respecto a este cargo, la </w:t>
      </w:r>
      <w:r w:rsidRPr="002F3D0A">
        <w:rPr>
          <w:rFonts w:ascii="Times New Roman" w:hAnsi="Times New Roman" w:cs="Times New Roman"/>
          <w:bCs/>
          <w:sz w:val="28"/>
          <w:szCs w:val="28"/>
        </w:rPr>
        <w:t>DIAN, el Ministerio de Hacienda y la Presidencia de la República indicaron que los demandantes no cumplieron con la carga argumentativa requerida para que se modifique la tesis jurisprudencial vigente, definida en las sentencias C-</w:t>
      </w:r>
      <w:r w:rsidRPr="002F3D0A">
        <w:rPr>
          <w:rFonts w:ascii="Times New Roman" w:hAnsi="Times New Roman" w:cs="Times New Roman"/>
          <w:bCs/>
          <w:sz w:val="28"/>
          <w:szCs w:val="28"/>
        </w:rPr>
        <w:t>876 de 2002</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y C-990 de 20</w:t>
      </w:r>
      <w:r w:rsidRPr="002F3D0A">
        <w:rPr>
          <w:rFonts w:ascii="Times New Roman" w:hAnsi="Times New Roman" w:cs="Times New Roman"/>
          <w:bCs/>
          <w:sz w:val="28"/>
          <w:szCs w:val="28"/>
        </w:rPr>
        <w:t>04</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que descarta que la inclusión de la propiedad inmueble en la base gravable del impuesto al patrimonio viole la </w:t>
      </w:r>
      <w:r w:rsidRPr="002F3D0A">
        <w:rPr>
          <w:rFonts w:ascii="Times New Roman" w:hAnsi="Times New Roman" w:cs="Times New Roman"/>
          <w:bCs/>
          <w:sz w:val="28"/>
          <w:szCs w:val="28"/>
        </w:rPr>
        <w:t xml:space="preserve">regla constitucional </w:t>
      </w:r>
      <w:r w:rsidRPr="002F3D0A">
        <w:rPr>
          <w:rFonts w:ascii="Times New Roman" w:hAnsi="Times New Roman" w:cs="Times New Roman"/>
          <w:bCs/>
          <w:sz w:val="28"/>
          <w:szCs w:val="28"/>
        </w:rPr>
        <w:t>del artículo 317 superior</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que establece</w:t>
      </w:r>
      <w:r w:rsidRPr="002F3D0A">
        <w:rPr>
          <w:rFonts w:ascii="Times New Roman" w:hAnsi="Times New Roman" w:cs="Times New Roman"/>
          <w:bCs/>
          <w:sz w:val="28"/>
          <w:szCs w:val="28"/>
        </w:rPr>
        <w:t xml:space="preserve"> la competencia</w:t>
      </w:r>
      <w:r w:rsidRPr="002F3D0A">
        <w:rPr>
          <w:rFonts w:ascii="Times New Roman" w:hAnsi="Times New Roman" w:cs="Times New Roman"/>
          <w:bCs/>
          <w:sz w:val="28"/>
          <w:szCs w:val="28"/>
        </w:rPr>
        <w:t xml:space="preserve"> de los municipios para gravar la propiedad inmueble</w:t>
      </w:r>
      <w:r w:rsidRPr="002F3D0A">
        <w:rPr>
          <w:rFonts w:ascii="Times New Roman" w:hAnsi="Times New Roman" w:cs="Times New Roman"/>
          <w:bCs/>
          <w:sz w:val="28"/>
          <w:szCs w:val="28"/>
        </w:rPr>
        <w:t>.</w:t>
      </w:r>
    </w:p>
    <w:p w:rsidR="00E87340" w:rsidRPr="002F3D0A" w:rsidRDefault="002F3D0A" w:rsidP="00E87340">
      <w:pPr>
        <w:pStyle w:val="Prrafodelista"/>
        <w:ind w:left="0"/>
        <w:rPr>
          <w:rFonts w:ascii="Times New Roman" w:hAnsi="Times New Roman" w:cs="Times New Roman"/>
          <w:bCs/>
          <w:sz w:val="28"/>
          <w:szCs w:val="28"/>
        </w:rPr>
      </w:pPr>
    </w:p>
    <w:p w:rsidR="00AE2068" w:rsidRPr="002F3D0A" w:rsidRDefault="002F3D0A" w:rsidP="00B6529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Para examinar este cuestionamiento sobre la aptitud del cargo es necesario tener en cuenta tres elementos relevantes: (i) </w:t>
      </w:r>
      <w:r w:rsidRPr="002F3D0A">
        <w:rPr>
          <w:rFonts w:ascii="Times New Roman" w:hAnsi="Times New Roman" w:cs="Times New Roman"/>
          <w:bCs/>
          <w:sz w:val="28"/>
          <w:szCs w:val="28"/>
        </w:rPr>
        <w:t>el criterio jurisprudencial vigente en relación con la inclusión de la propiedad inmueble en la base gravable del impuesto al patrimon</w:t>
      </w:r>
      <w:r w:rsidRPr="002F3D0A">
        <w:rPr>
          <w:rFonts w:ascii="Times New Roman" w:hAnsi="Times New Roman" w:cs="Times New Roman"/>
          <w:bCs/>
          <w:sz w:val="28"/>
          <w:szCs w:val="28"/>
        </w:rPr>
        <w:t xml:space="preserve">io; (ii) la carga argumentativa cuando la inconstitucionalidad de una disposición se propone a partir de un cambio </w:t>
      </w:r>
      <w:r w:rsidRPr="002F3D0A">
        <w:rPr>
          <w:rFonts w:ascii="Times New Roman" w:hAnsi="Times New Roman" w:cs="Times New Roman"/>
          <w:bCs/>
          <w:sz w:val="28"/>
          <w:szCs w:val="28"/>
        </w:rPr>
        <w:t>del precedente constitucional</w:t>
      </w:r>
      <w:r w:rsidRPr="002F3D0A">
        <w:rPr>
          <w:rFonts w:ascii="Times New Roman" w:hAnsi="Times New Roman" w:cs="Times New Roman"/>
          <w:bCs/>
          <w:sz w:val="28"/>
          <w:szCs w:val="28"/>
        </w:rPr>
        <w:t>; y (iii) los argumentos expuestos en el cargo que se examina.</w:t>
      </w:r>
    </w:p>
    <w:p w:rsidR="00DF5C72" w:rsidRPr="002F3D0A" w:rsidRDefault="002F3D0A" w:rsidP="00DF5C72">
      <w:pPr>
        <w:pStyle w:val="Prrafodelista"/>
        <w:rPr>
          <w:rFonts w:ascii="Times New Roman" w:hAnsi="Times New Roman" w:cs="Times New Roman"/>
          <w:bCs/>
          <w:sz w:val="28"/>
          <w:szCs w:val="28"/>
        </w:rPr>
      </w:pPr>
    </w:p>
    <w:p w:rsidR="00DF5C72" w:rsidRPr="002F3D0A" w:rsidRDefault="002F3D0A" w:rsidP="00B6529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sz w:val="28"/>
          <w:szCs w:val="28"/>
        </w:rPr>
        <w:t xml:space="preserve">El criterio jurisprudencial vigente en relación </w:t>
      </w:r>
      <w:r w:rsidRPr="002F3D0A">
        <w:rPr>
          <w:rFonts w:ascii="Times New Roman" w:hAnsi="Times New Roman" w:cs="Times New Roman"/>
          <w:b/>
          <w:sz w:val="28"/>
          <w:szCs w:val="28"/>
        </w:rPr>
        <w:t>con la inclusión de la propiedad inmueble en la base gravable del impuesto al patrimonio.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Tal y como lo reconocieron los actores en la demanda</w:t>
      </w:r>
      <w:r w:rsidRPr="002F3D0A">
        <w:rPr>
          <w:rFonts w:ascii="Times New Roman" w:hAnsi="Times New Roman" w:cs="Times New Roman"/>
          <w:bCs/>
          <w:sz w:val="28"/>
          <w:szCs w:val="28"/>
        </w:rPr>
        <w:t xml:space="preserve"> y</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lo señalaron </w:t>
      </w:r>
      <w:r w:rsidRPr="002F3D0A">
        <w:rPr>
          <w:rFonts w:ascii="Times New Roman" w:hAnsi="Times New Roman" w:cs="Times New Roman"/>
          <w:bCs/>
          <w:sz w:val="28"/>
          <w:szCs w:val="28"/>
        </w:rPr>
        <w:t xml:space="preserve">los diferentes intervinientes en este proceso de constitucionalidad, este Tribunal </w:t>
      </w:r>
      <w:r w:rsidRPr="002F3D0A">
        <w:rPr>
          <w:rFonts w:ascii="Times New Roman" w:hAnsi="Times New Roman" w:cs="Times New Roman"/>
          <w:bCs/>
          <w:sz w:val="28"/>
          <w:szCs w:val="28"/>
        </w:rPr>
        <w:t>ha examinado en</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dos oportunidades </w:t>
      </w:r>
      <w:r w:rsidRPr="002F3D0A">
        <w:rPr>
          <w:rFonts w:ascii="Times New Roman" w:hAnsi="Times New Roman" w:cs="Times New Roman"/>
          <w:bCs/>
          <w:sz w:val="28"/>
          <w:szCs w:val="28"/>
        </w:rPr>
        <w:t xml:space="preserve">si la inclusión de </w:t>
      </w:r>
      <w:r w:rsidRPr="002F3D0A">
        <w:rPr>
          <w:rFonts w:ascii="Times New Roman" w:hAnsi="Times New Roman" w:cs="Times New Roman"/>
          <w:bCs/>
          <w:sz w:val="28"/>
          <w:szCs w:val="28"/>
        </w:rPr>
        <w:t>la propiedad inmueble en la base gravable del impuesto al patrimonio</w:t>
      </w:r>
      <w:r w:rsidRPr="002F3D0A">
        <w:rPr>
          <w:rFonts w:ascii="Times New Roman" w:hAnsi="Times New Roman" w:cs="Times New Roman"/>
          <w:bCs/>
          <w:sz w:val="28"/>
          <w:szCs w:val="28"/>
        </w:rPr>
        <w:t xml:space="preserve"> transgrede el artículo 317 de la Carta Política</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E</w:t>
      </w:r>
      <w:r w:rsidRPr="002F3D0A">
        <w:rPr>
          <w:rFonts w:ascii="Times New Roman" w:hAnsi="Times New Roman" w:cs="Times New Roman"/>
          <w:bCs/>
          <w:sz w:val="28"/>
          <w:szCs w:val="28"/>
        </w:rPr>
        <w:t>l</w:t>
      </w:r>
      <w:r w:rsidRPr="002F3D0A">
        <w:rPr>
          <w:rFonts w:ascii="Times New Roman" w:hAnsi="Times New Roman" w:cs="Times New Roman"/>
          <w:bCs/>
          <w:sz w:val="28"/>
          <w:szCs w:val="28"/>
        </w:rPr>
        <w:t xml:space="preserve"> examen de este problema </w:t>
      </w:r>
      <w:r w:rsidRPr="002F3D0A">
        <w:rPr>
          <w:rFonts w:ascii="Times New Roman" w:hAnsi="Times New Roman" w:cs="Times New Roman"/>
          <w:bCs/>
          <w:sz w:val="28"/>
          <w:szCs w:val="28"/>
        </w:rPr>
        <w:t>jurídico adelantado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en las sentencias C-876 de 2002 y C-990 de 2004 se sintetiza </w:t>
      </w:r>
      <w:r w:rsidRPr="002F3D0A">
        <w:rPr>
          <w:rFonts w:ascii="Times New Roman" w:hAnsi="Times New Roman" w:cs="Times New Roman"/>
          <w:bCs/>
          <w:sz w:val="28"/>
          <w:szCs w:val="28"/>
        </w:rPr>
        <w:t>a continuación:</w:t>
      </w:r>
    </w:p>
    <w:p w:rsidR="00C657FD" w:rsidRPr="002F3D0A" w:rsidRDefault="002F3D0A" w:rsidP="00C657FD">
      <w:pPr>
        <w:pStyle w:val="Prrafodelista"/>
        <w:rPr>
          <w:rFonts w:ascii="Times New Roman" w:hAnsi="Times New Roman" w:cs="Times New Roman"/>
          <w:bCs/>
          <w:sz w:val="28"/>
          <w:szCs w:val="28"/>
        </w:rPr>
      </w:pPr>
    </w:p>
    <w:p w:rsidR="00C657FD" w:rsidRPr="002F3D0A" w:rsidRDefault="002F3D0A" w:rsidP="00C657FD">
      <w:pPr>
        <w:pStyle w:val="Prrafodelista"/>
        <w:ind w:left="0"/>
        <w:rPr>
          <w:rFonts w:ascii="Times New Roman" w:hAnsi="Times New Roman" w:cs="Times New Roman"/>
          <w:b/>
          <w:bCs/>
          <w:sz w:val="28"/>
          <w:szCs w:val="28"/>
        </w:rPr>
      </w:pPr>
      <w:r w:rsidRPr="002F3D0A">
        <w:rPr>
          <w:rFonts w:ascii="Times New Roman" w:hAnsi="Times New Roman" w:cs="Times New Roman"/>
          <w:b/>
          <w:bCs/>
          <w:sz w:val="28"/>
          <w:szCs w:val="28"/>
        </w:rPr>
        <w:t>Tabla</w:t>
      </w:r>
      <w:r w:rsidRPr="002F3D0A">
        <w:rPr>
          <w:rFonts w:ascii="Times New Roman" w:hAnsi="Times New Roman" w:cs="Times New Roman"/>
          <w:b/>
          <w:bCs/>
          <w:sz w:val="28"/>
          <w:szCs w:val="28"/>
        </w:rPr>
        <w:t xml:space="preserve"> 6</w:t>
      </w:r>
      <w:r w:rsidRPr="002F3D0A">
        <w:rPr>
          <w:rFonts w:ascii="Times New Roman" w:hAnsi="Times New Roman" w:cs="Times New Roman"/>
          <w:b/>
          <w:bCs/>
          <w:sz w:val="28"/>
          <w:szCs w:val="28"/>
        </w:rPr>
        <w:t xml:space="preserve"> – El criterio jurisprudencial vigente sobre la inclusión de la propiedad inmueble en la base gravable del impuesto al patrimonio a la luz del artículo 317 superior</w:t>
      </w:r>
    </w:p>
    <w:p w:rsidR="00C73F8C" w:rsidRPr="002F3D0A" w:rsidRDefault="002F3D0A" w:rsidP="00C73F8C">
      <w:pPr>
        <w:pStyle w:val="Prrafodelista"/>
        <w:ind w:left="0"/>
        <w:rPr>
          <w:rFonts w:ascii="Times New Roman" w:hAnsi="Times New Roman" w:cs="Times New Roman"/>
          <w:bCs/>
          <w:sz w:val="28"/>
          <w:szCs w:val="28"/>
        </w:rPr>
      </w:pPr>
    </w:p>
    <w:tbl>
      <w:tblPr>
        <w:tblStyle w:val="Tablaconcuadrcula"/>
        <w:tblW w:w="0" w:type="auto"/>
        <w:tblInd w:w="-5" w:type="dxa"/>
        <w:tblLook w:val="04A0" w:firstRow="1" w:lastRow="0" w:firstColumn="1" w:lastColumn="0" w:noHBand="0" w:noVBand="1"/>
      </w:tblPr>
      <w:tblGrid>
        <w:gridCol w:w="4536"/>
        <w:gridCol w:w="4299"/>
      </w:tblGrid>
      <w:tr w:rsidR="00DF5C72" w:rsidRPr="002F3D0A" w:rsidTr="006476BD">
        <w:tc>
          <w:tcPr>
            <w:tcW w:w="4536" w:type="dxa"/>
            <w:shd w:val="clear" w:color="auto" w:fill="DEEAF6" w:themeFill="accent1" w:themeFillTint="33"/>
          </w:tcPr>
          <w:p w:rsidR="00581C78" w:rsidRPr="002F3D0A" w:rsidRDefault="002F3D0A" w:rsidP="005E066D">
            <w:pPr>
              <w:pStyle w:val="Prrafodelista"/>
              <w:ind w:left="0"/>
              <w:jc w:val="center"/>
              <w:rPr>
                <w:rFonts w:ascii="Times New Roman" w:hAnsi="Times New Roman" w:cs="Times New Roman"/>
                <w:b/>
                <w:bCs/>
                <w:sz w:val="28"/>
                <w:szCs w:val="24"/>
              </w:rPr>
            </w:pPr>
          </w:p>
          <w:p w:rsidR="00DF5C72" w:rsidRPr="002F3D0A" w:rsidRDefault="002F3D0A" w:rsidP="005E066D">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S</w:t>
            </w:r>
            <w:r w:rsidRPr="002F3D0A">
              <w:rPr>
                <w:rFonts w:ascii="Times New Roman" w:hAnsi="Times New Roman" w:cs="Times New Roman"/>
                <w:b/>
                <w:bCs/>
                <w:sz w:val="28"/>
                <w:szCs w:val="24"/>
              </w:rPr>
              <w:t xml:space="preserve">entencia </w:t>
            </w:r>
            <w:r w:rsidRPr="002F3D0A">
              <w:rPr>
                <w:rFonts w:ascii="Times New Roman" w:hAnsi="Times New Roman" w:cs="Times New Roman"/>
                <w:b/>
                <w:bCs/>
                <w:sz w:val="28"/>
                <w:szCs w:val="24"/>
              </w:rPr>
              <w:t>C</w:t>
            </w:r>
            <w:r w:rsidRPr="002F3D0A">
              <w:rPr>
                <w:rFonts w:ascii="Times New Roman" w:hAnsi="Times New Roman" w:cs="Times New Roman"/>
                <w:b/>
                <w:bCs/>
                <w:sz w:val="28"/>
                <w:szCs w:val="24"/>
              </w:rPr>
              <w:t>-876 de 2002</w:t>
            </w:r>
          </w:p>
        </w:tc>
        <w:tc>
          <w:tcPr>
            <w:tcW w:w="4299" w:type="dxa"/>
            <w:shd w:val="clear" w:color="auto" w:fill="DEEAF6" w:themeFill="accent1" w:themeFillTint="33"/>
          </w:tcPr>
          <w:p w:rsidR="00581C78" w:rsidRPr="002F3D0A" w:rsidRDefault="002F3D0A" w:rsidP="005E066D">
            <w:pPr>
              <w:pStyle w:val="Prrafodelista"/>
              <w:ind w:left="0"/>
              <w:jc w:val="center"/>
              <w:rPr>
                <w:rFonts w:ascii="Times New Roman" w:hAnsi="Times New Roman" w:cs="Times New Roman"/>
                <w:b/>
                <w:bCs/>
                <w:sz w:val="28"/>
                <w:szCs w:val="24"/>
              </w:rPr>
            </w:pPr>
          </w:p>
          <w:p w:rsidR="00DF5C72" w:rsidRPr="002F3D0A" w:rsidRDefault="002F3D0A" w:rsidP="005E066D">
            <w:pPr>
              <w:pStyle w:val="Prrafodelista"/>
              <w:ind w:left="0"/>
              <w:jc w:val="center"/>
              <w:rPr>
                <w:rFonts w:ascii="Times New Roman" w:hAnsi="Times New Roman" w:cs="Times New Roman"/>
                <w:b/>
                <w:bCs/>
                <w:sz w:val="28"/>
                <w:szCs w:val="24"/>
              </w:rPr>
            </w:pPr>
            <w:r w:rsidRPr="002F3D0A">
              <w:rPr>
                <w:rFonts w:ascii="Times New Roman" w:hAnsi="Times New Roman" w:cs="Times New Roman"/>
                <w:b/>
                <w:bCs/>
                <w:sz w:val="28"/>
                <w:szCs w:val="24"/>
              </w:rPr>
              <w:t>S</w:t>
            </w:r>
            <w:r w:rsidRPr="002F3D0A">
              <w:rPr>
                <w:rFonts w:ascii="Times New Roman" w:hAnsi="Times New Roman" w:cs="Times New Roman"/>
                <w:b/>
                <w:bCs/>
                <w:sz w:val="28"/>
                <w:szCs w:val="24"/>
              </w:rPr>
              <w:t>entencia</w:t>
            </w:r>
            <w:r w:rsidRPr="002F3D0A">
              <w:rPr>
                <w:rFonts w:ascii="Times New Roman" w:hAnsi="Times New Roman" w:cs="Times New Roman"/>
                <w:b/>
                <w:bCs/>
                <w:sz w:val="28"/>
                <w:szCs w:val="24"/>
              </w:rPr>
              <w:t xml:space="preserve"> C</w:t>
            </w:r>
            <w:r w:rsidRPr="002F3D0A">
              <w:rPr>
                <w:rFonts w:ascii="Times New Roman" w:hAnsi="Times New Roman" w:cs="Times New Roman"/>
                <w:b/>
                <w:bCs/>
                <w:sz w:val="28"/>
                <w:szCs w:val="24"/>
              </w:rPr>
              <w:t>-990 de 2004</w:t>
            </w:r>
          </w:p>
          <w:p w:rsidR="00581C78" w:rsidRPr="002F3D0A" w:rsidRDefault="002F3D0A" w:rsidP="005E066D">
            <w:pPr>
              <w:pStyle w:val="Prrafodelista"/>
              <w:ind w:left="0"/>
              <w:jc w:val="center"/>
              <w:rPr>
                <w:rFonts w:ascii="Times New Roman" w:hAnsi="Times New Roman" w:cs="Times New Roman"/>
                <w:b/>
                <w:bCs/>
                <w:sz w:val="28"/>
                <w:szCs w:val="24"/>
              </w:rPr>
            </w:pPr>
          </w:p>
        </w:tc>
      </w:tr>
      <w:tr w:rsidR="00DF5C72" w:rsidRPr="002F3D0A" w:rsidTr="00755FCD">
        <w:tc>
          <w:tcPr>
            <w:tcW w:w="4536" w:type="dxa"/>
          </w:tcPr>
          <w:p w:rsidR="00A7644E" w:rsidRPr="002F3D0A" w:rsidRDefault="002F3D0A" w:rsidP="00DF5C72">
            <w:pPr>
              <w:pStyle w:val="Prrafodelista"/>
              <w:ind w:left="0"/>
              <w:rPr>
                <w:rFonts w:ascii="Times New Roman" w:hAnsi="Times New Roman" w:cs="Times New Roman"/>
                <w:iCs/>
                <w:color w:val="2D2D2D"/>
                <w:sz w:val="28"/>
                <w:szCs w:val="24"/>
                <w:shd w:val="clear" w:color="auto" w:fill="FFFFFF"/>
              </w:rPr>
            </w:pPr>
            <w:r w:rsidRPr="002F3D0A">
              <w:rPr>
                <w:rFonts w:ascii="Times New Roman" w:hAnsi="Times New Roman" w:cs="Times New Roman"/>
                <w:b/>
                <w:bCs/>
                <w:sz w:val="28"/>
                <w:szCs w:val="24"/>
              </w:rPr>
              <w:t>Norma examinada:</w:t>
            </w:r>
            <w:r w:rsidRPr="002F3D0A">
              <w:rPr>
                <w:rFonts w:ascii="Times New Roman" w:hAnsi="Times New Roman" w:cs="Times New Roman"/>
                <w:bCs/>
                <w:sz w:val="28"/>
                <w:szCs w:val="24"/>
              </w:rPr>
              <w:t xml:space="preserve"> </w:t>
            </w:r>
            <w:r w:rsidRPr="002F3D0A">
              <w:rPr>
                <w:rFonts w:ascii="Times New Roman" w:hAnsi="Times New Roman" w:cs="Times New Roman"/>
                <w:bCs/>
                <w:sz w:val="28"/>
                <w:szCs w:val="24"/>
              </w:rPr>
              <w:t>Decreto Legislativo</w:t>
            </w:r>
            <w:r w:rsidRPr="002F3D0A">
              <w:rPr>
                <w:rFonts w:ascii="Times New Roman" w:hAnsi="Times New Roman" w:cs="Times New Roman"/>
                <w:bCs/>
                <w:sz w:val="28"/>
                <w:szCs w:val="24"/>
              </w:rPr>
              <w:t xml:space="preserve"> 1838 de 2002, que creó el </w:t>
            </w:r>
            <w:r w:rsidRPr="002F3D0A">
              <w:rPr>
                <w:rFonts w:ascii="Times New Roman" w:hAnsi="Times New Roman" w:cs="Times New Roman"/>
                <w:iCs/>
                <w:color w:val="2D2D2D"/>
                <w:sz w:val="28"/>
                <w:szCs w:val="24"/>
                <w:shd w:val="clear" w:color="auto" w:fill="FFFFFF"/>
              </w:rPr>
              <w:t xml:space="preserve">impuesto para preservar la seguridad democrática. </w:t>
            </w:r>
          </w:p>
          <w:p w:rsidR="00DF5C72" w:rsidRPr="002F3D0A" w:rsidRDefault="002F3D0A" w:rsidP="00DF5C72">
            <w:pPr>
              <w:pStyle w:val="Prrafodelista"/>
              <w:ind w:left="0"/>
              <w:rPr>
                <w:rFonts w:ascii="Times New Roman" w:hAnsi="Times New Roman" w:cs="Times New Roman"/>
                <w:color w:val="2D2D2D"/>
                <w:sz w:val="28"/>
                <w:szCs w:val="24"/>
                <w:shd w:val="clear" w:color="auto" w:fill="FFFFFF"/>
              </w:rPr>
            </w:pPr>
            <w:r w:rsidRPr="002F3D0A">
              <w:rPr>
                <w:rFonts w:ascii="Times New Roman" w:hAnsi="Times New Roman" w:cs="Times New Roman"/>
                <w:iCs/>
                <w:color w:val="2D2D2D"/>
                <w:sz w:val="28"/>
                <w:szCs w:val="24"/>
                <w:shd w:val="clear" w:color="auto" w:fill="FFFFFF"/>
              </w:rPr>
              <w:t>Este impuesto se destinaría a conjurar el estado</w:t>
            </w:r>
            <w:r w:rsidRPr="002F3D0A">
              <w:rPr>
                <w:rFonts w:ascii="Times New Roman" w:hAnsi="Times New Roman" w:cs="Times New Roman"/>
                <w:color w:val="2D2D2D"/>
                <w:sz w:val="28"/>
                <w:szCs w:val="24"/>
                <w:shd w:val="clear" w:color="auto" w:fill="FFFFFF"/>
              </w:rPr>
              <w:t xml:space="preserve"> de Conmoción Interior declarado mediante el Decreto 1837 de 2001</w:t>
            </w:r>
            <w:r w:rsidRPr="002F3D0A">
              <w:rPr>
                <w:rFonts w:ascii="Times New Roman" w:hAnsi="Times New Roman" w:cs="Times New Roman"/>
                <w:color w:val="2D2D2D"/>
                <w:sz w:val="28"/>
                <w:szCs w:val="24"/>
                <w:shd w:val="clear" w:color="auto" w:fill="FFFFFF"/>
              </w:rPr>
              <w:t>.</w:t>
            </w:r>
          </w:p>
          <w:p w:rsidR="00A34503" w:rsidRPr="002F3D0A" w:rsidRDefault="002F3D0A" w:rsidP="00DF5C72">
            <w:pPr>
              <w:pStyle w:val="Prrafodelista"/>
              <w:ind w:left="0"/>
              <w:rPr>
                <w:rFonts w:ascii="Times New Roman" w:hAnsi="Times New Roman" w:cs="Times New Roman"/>
                <w:color w:val="2D2D2D"/>
                <w:sz w:val="28"/>
                <w:szCs w:val="24"/>
                <w:shd w:val="clear" w:color="auto" w:fill="FFFFFF"/>
              </w:rPr>
            </w:pPr>
          </w:p>
          <w:p w:rsidR="00A7644E" w:rsidRPr="002F3D0A" w:rsidRDefault="002F3D0A" w:rsidP="00DF5C72">
            <w:pPr>
              <w:pStyle w:val="Prrafodelista"/>
              <w:ind w:left="0"/>
              <w:rPr>
                <w:rFonts w:ascii="Times New Roman" w:hAnsi="Times New Roman" w:cs="Times New Roman"/>
                <w:color w:val="2D2D2D"/>
                <w:sz w:val="28"/>
                <w:szCs w:val="24"/>
                <w:shd w:val="clear" w:color="auto" w:fill="FFFFFF"/>
              </w:rPr>
            </w:pPr>
            <w:r w:rsidRPr="002F3D0A">
              <w:rPr>
                <w:rFonts w:ascii="Times New Roman" w:hAnsi="Times New Roman" w:cs="Times New Roman"/>
                <w:b/>
                <w:bCs/>
                <w:sz w:val="28"/>
                <w:szCs w:val="24"/>
              </w:rPr>
              <w:t>Base gravable:</w:t>
            </w:r>
            <w:r w:rsidRPr="002F3D0A">
              <w:rPr>
                <w:rFonts w:ascii="Times New Roman" w:hAnsi="Times New Roman" w:cs="Times New Roman"/>
                <w:bCs/>
                <w:sz w:val="28"/>
                <w:szCs w:val="24"/>
              </w:rPr>
              <w:t xml:space="preserve"> </w:t>
            </w:r>
            <w:r w:rsidRPr="002F3D0A">
              <w:rPr>
                <w:rFonts w:ascii="Times New Roman" w:hAnsi="Times New Roman" w:cs="Times New Roman"/>
                <w:color w:val="2D2D2D"/>
                <w:sz w:val="28"/>
                <w:szCs w:val="24"/>
                <w:shd w:val="clear" w:color="auto" w:fill="FFFFFF"/>
              </w:rPr>
              <w:t xml:space="preserve">el patrimonio líquido poseído a 31 de agosto de 2002, de la cual no se podía </w:t>
            </w:r>
            <w:bookmarkStart w:id="21" w:name="_Hlk171525915"/>
            <w:r w:rsidRPr="002F3D0A">
              <w:rPr>
                <w:rFonts w:ascii="Times New Roman" w:hAnsi="Times New Roman" w:cs="Times New Roman"/>
                <w:color w:val="2D2D2D"/>
                <w:sz w:val="28"/>
                <w:szCs w:val="24"/>
                <w:shd w:val="clear" w:color="auto" w:fill="FFFFFF"/>
              </w:rPr>
              <w:t>excluir ni descontar valor alguno por la posesión de bienes inmueble.</w:t>
            </w:r>
          </w:p>
          <w:bookmarkEnd w:id="21"/>
          <w:p w:rsidR="00581C78" w:rsidRPr="002F3D0A" w:rsidRDefault="002F3D0A" w:rsidP="00DF5C72">
            <w:pPr>
              <w:pStyle w:val="Prrafodelista"/>
              <w:ind w:left="0"/>
              <w:rPr>
                <w:rFonts w:ascii="Times New Roman" w:hAnsi="Times New Roman" w:cs="Times New Roman"/>
                <w:color w:val="2D2D2D"/>
                <w:sz w:val="28"/>
                <w:szCs w:val="24"/>
                <w:shd w:val="clear" w:color="auto" w:fill="FFFFFF"/>
              </w:rPr>
            </w:pPr>
          </w:p>
          <w:p w:rsidR="00A7644E" w:rsidRPr="002F3D0A" w:rsidRDefault="002F3D0A" w:rsidP="00DF5C72">
            <w:pPr>
              <w:pStyle w:val="Prrafodelista"/>
              <w:ind w:left="0"/>
              <w:rPr>
                <w:rFonts w:ascii="Times New Roman" w:hAnsi="Times New Roman" w:cs="Times New Roman"/>
                <w:bCs/>
                <w:sz w:val="28"/>
                <w:szCs w:val="24"/>
              </w:rPr>
            </w:pPr>
            <w:r w:rsidRPr="002F3D0A">
              <w:rPr>
                <w:rFonts w:ascii="Times New Roman" w:hAnsi="Times New Roman" w:cs="Times New Roman"/>
                <w:b/>
                <w:bCs/>
                <w:sz w:val="28"/>
                <w:szCs w:val="24"/>
              </w:rPr>
              <w:t>Tipo de examen:</w:t>
            </w:r>
            <w:r w:rsidRPr="002F3D0A">
              <w:rPr>
                <w:rFonts w:ascii="Times New Roman" w:hAnsi="Times New Roman" w:cs="Times New Roman"/>
                <w:bCs/>
                <w:sz w:val="28"/>
                <w:szCs w:val="24"/>
              </w:rPr>
              <w:t xml:space="preserve"> control integral</w:t>
            </w:r>
            <w:r w:rsidRPr="002F3D0A">
              <w:rPr>
                <w:rFonts w:ascii="Times New Roman" w:hAnsi="Times New Roman" w:cs="Times New Roman"/>
                <w:bCs/>
                <w:sz w:val="28"/>
                <w:szCs w:val="24"/>
              </w:rPr>
              <w:t>.</w:t>
            </w:r>
          </w:p>
          <w:p w:rsidR="00D37826" w:rsidRPr="002F3D0A" w:rsidRDefault="002F3D0A" w:rsidP="00DF5C72">
            <w:pPr>
              <w:pStyle w:val="Prrafodelista"/>
              <w:ind w:left="0"/>
              <w:rPr>
                <w:rFonts w:ascii="Times New Roman" w:hAnsi="Times New Roman" w:cs="Times New Roman"/>
                <w:bCs/>
                <w:sz w:val="28"/>
                <w:szCs w:val="24"/>
              </w:rPr>
            </w:pPr>
          </w:p>
        </w:tc>
        <w:tc>
          <w:tcPr>
            <w:tcW w:w="4299" w:type="dxa"/>
          </w:tcPr>
          <w:p w:rsidR="00DF5C72" w:rsidRPr="002F3D0A" w:rsidRDefault="002F3D0A" w:rsidP="00DF5C72">
            <w:pPr>
              <w:pStyle w:val="Prrafodelista"/>
              <w:ind w:left="0"/>
              <w:rPr>
                <w:rFonts w:ascii="Times New Roman" w:hAnsi="Times New Roman" w:cs="Times New Roman"/>
                <w:color w:val="2D2D2D"/>
                <w:sz w:val="28"/>
                <w:szCs w:val="24"/>
                <w:shd w:val="clear" w:color="auto" w:fill="FFFFFF"/>
              </w:rPr>
            </w:pPr>
            <w:r w:rsidRPr="002F3D0A">
              <w:rPr>
                <w:rFonts w:ascii="Times New Roman" w:hAnsi="Times New Roman" w:cs="Times New Roman"/>
                <w:b/>
                <w:bCs/>
                <w:sz w:val="28"/>
                <w:szCs w:val="24"/>
              </w:rPr>
              <w:t>Norma examinada:</w:t>
            </w:r>
            <w:r w:rsidRPr="002F3D0A">
              <w:rPr>
                <w:rFonts w:ascii="Times New Roman" w:hAnsi="Times New Roman" w:cs="Times New Roman"/>
                <w:bCs/>
                <w:sz w:val="28"/>
                <w:szCs w:val="24"/>
              </w:rPr>
              <w:t xml:space="preserve"> </w:t>
            </w:r>
            <w:r w:rsidRPr="002F3D0A">
              <w:rPr>
                <w:rFonts w:ascii="Times New Roman" w:hAnsi="Times New Roman" w:cs="Times New Roman"/>
                <w:color w:val="2D2D2D"/>
                <w:sz w:val="28"/>
                <w:szCs w:val="24"/>
                <w:shd w:val="clear" w:color="auto" w:fill="FFFFFF"/>
              </w:rPr>
              <w:t>artículo 17 (parcial) y otros de la Ley 863 de 2003</w:t>
            </w:r>
            <w:r w:rsidRPr="002F3D0A">
              <w:rPr>
                <w:rFonts w:ascii="Times New Roman" w:hAnsi="Times New Roman" w:cs="Times New Roman"/>
                <w:color w:val="2D2D2D"/>
                <w:sz w:val="28"/>
                <w:szCs w:val="24"/>
                <w:shd w:val="clear" w:color="auto" w:fill="FFFFFF"/>
              </w:rPr>
              <w:t xml:space="preserve">, que </w:t>
            </w:r>
            <w:r w:rsidRPr="002F3D0A">
              <w:rPr>
                <w:rFonts w:ascii="Times New Roman" w:hAnsi="Times New Roman" w:cs="Times New Roman"/>
                <w:color w:val="2D2D2D"/>
                <w:sz w:val="28"/>
                <w:szCs w:val="24"/>
                <w:shd w:val="clear" w:color="auto" w:fill="FFFFFF"/>
              </w:rPr>
              <w:t>estableció los elementos del</w:t>
            </w:r>
            <w:r w:rsidRPr="002F3D0A">
              <w:rPr>
                <w:rFonts w:ascii="Times New Roman" w:hAnsi="Times New Roman" w:cs="Times New Roman"/>
                <w:color w:val="2D2D2D"/>
                <w:sz w:val="28"/>
                <w:szCs w:val="24"/>
                <w:shd w:val="clear" w:color="auto" w:fill="FFFFFF"/>
              </w:rPr>
              <w:t xml:space="preserve"> impuesto al patrimonio</w:t>
            </w:r>
            <w:r w:rsidRPr="002F3D0A">
              <w:rPr>
                <w:rFonts w:ascii="Times New Roman" w:hAnsi="Times New Roman" w:cs="Times New Roman"/>
                <w:color w:val="2D2D2D"/>
                <w:sz w:val="28"/>
                <w:szCs w:val="24"/>
                <w:shd w:val="clear" w:color="auto" w:fill="FFFFFF"/>
              </w:rPr>
              <w:t xml:space="preserve"> de los años gravables 2004, 2005 y 2006.</w:t>
            </w:r>
          </w:p>
          <w:p w:rsidR="00A34503" w:rsidRPr="002F3D0A" w:rsidRDefault="002F3D0A" w:rsidP="00DF5C72">
            <w:pPr>
              <w:pStyle w:val="Prrafodelista"/>
              <w:ind w:left="0"/>
              <w:rPr>
                <w:rFonts w:ascii="Times New Roman" w:hAnsi="Times New Roman" w:cs="Times New Roman"/>
                <w:color w:val="2D2D2D"/>
                <w:sz w:val="28"/>
                <w:szCs w:val="24"/>
                <w:shd w:val="clear" w:color="auto" w:fill="FFFFFF"/>
              </w:rPr>
            </w:pPr>
          </w:p>
          <w:p w:rsidR="00586E9D" w:rsidRPr="002F3D0A" w:rsidRDefault="002F3D0A" w:rsidP="00DF5C72">
            <w:pPr>
              <w:pStyle w:val="Prrafodelista"/>
              <w:ind w:left="0"/>
              <w:rPr>
                <w:rFonts w:ascii="Times New Roman" w:hAnsi="Times New Roman" w:cs="Times New Roman"/>
                <w:color w:val="2D2D2D"/>
                <w:sz w:val="28"/>
                <w:szCs w:val="24"/>
                <w:shd w:val="clear" w:color="auto" w:fill="FFFFFF"/>
              </w:rPr>
            </w:pPr>
            <w:r w:rsidRPr="002F3D0A">
              <w:rPr>
                <w:rFonts w:ascii="Times New Roman" w:hAnsi="Times New Roman" w:cs="Times New Roman"/>
                <w:b/>
                <w:color w:val="2D2D2D"/>
                <w:sz w:val="28"/>
                <w:szCs w:val="24"/>
                <w:shd w:val="clear" w:color="auto" w:fill="FFFFFF"/>
              </w:rPr>
              <w:t>Bas</w:t>
            </w:r>
            <w:r w:rsidRPr="002F3D0A">
              <w:rPr>
                <w:rFonts w:ascii="Times New Roman" w:hAnsi="Times New Roman" w:cs="Times New Roman"/>
                <w:b/>
                <w:color w:val="2D2D2D"/>
                <w:sz w:val="28"/>
                <w:szCs w:val="24"/>
                <w:shd w:val="clear" w:color="auto" w:fill="FFFFFF"/>
              </w:rPr>
              <w:t>e</w:t>
            </w:r>
            <w:r w:rsidRPr="002F3D0A">
              <w:rPr>
                <w:rFonts w:ascii="Times New Roman" w:hAnsi="Times New Roman" w:cs="Times New Roman"/>
                <w:b/>
                <w:color w:val="2D2D2D"/>
                <w:sz w:val="28"/>
                <w:szCs w:val="24"/>
                <w:shd w:val="clear" w:color="auto" w:fill="FFFFFF"/>
              </w:rPr>
              <w:t xml:space="preserve"> gravable:</w:t>
            </w:r>
            <w:r w:rsidRPr="002F3D0A">
              <w:rPr>
                <w:rFonts w:ascii="Times New Roman" w:hAnsi="Times New Roman" w:cs="Times New Roman"/>
                <w:color w:val="2D2D2D"/>
                <w:sz w:val="28"/>
                <w:szCs w:val="24"/>
                <w:shd w:val="clear" w:color="auto" w:fill="FFFFFF"/>
              </w:rPr>
              <w:t xml:space="preserve"> el valor del patrimonio líquido del contribuyente poseído el 1º de enero de cada año gravable,</w:t>
            </w:r>
            <w:r w:rsidRPr="002F3D0A">
              <w:rPr>
                <w:rFonts w:ascii="Times New Roman" w:hAnsi="Times New Roman" w:cs="Times New Roman"/>
                <w:sz w:val="28"/>
                <w:szCs w:val="24"/>
              </w:rPr>
              <w:t xml:space="preserve"> </w:t>
            </w:r>
            <w:r w:rsidRPr="002F3D0A">
              <w:rPr>
                <w:rFonts w:ascii="Times New Roman" w:hAnsi="Times New Roman" w:cs="Times New Roman"/>
                <w:color w:val="2D2D2D"/>
                <w:sz w:val="28"/>
                <w:szCs w:val="24"/>
                <w:shd w:val="clear" w:color="auto" w:fill="FFFFFF"/>
              </w:rPr>
              <w:t>excluyendo el valor patrimonial neto de las acciones o aportes poseídos en sociedades nacionales, así como los primeros doscientos millones de pesos ($200.000.0</w:t>
            </w:r>
            <w:r w:rsidRPr="002F3D0A">
              <w:rPr>
                <w:rFonts w:ascii="Times New Roman" w:hAnsi="Times New Roman" w:cs="Times New Roman"/>
                <w:color w:val="2D2D2D"/>
                <w:sz w:val="28"/>
                <w:szCs w:val="24"/>
                <w:shd w:val="clear" w:color="auto" w:fill="FFFFFF"/>
              </w:rPr>
              <w:t>00) del valor de la casa o apartamento de habitación.</w:t>
            </w:r>
          </w:p>
          <w:p w:rsidR="00586E9D" w:rsidRPr="002F3D0A" w:rsidRDefault="002F3D0A" w:rsidP="00DF5C72">
            <w:pPr>
              <w:pStyle w:val="Prrafodelista"/>
              <w:ind w:left="0"/>
              <w:rPr>
                <w:rFonts w:ascii="Times New Roman" w:hAnsi="Times New Roman" w:cs="Times New Roman"/>
                <w:color w:val="2D2D2D"/>
                <w:sz w:val="28"/>
                <w:szCs w:val="24"/>
                <w:shd w:val="clear" w:color="auto" w:fill="FFFFFF"/>
              </w:rPr>
            </w:pPr>
          </w:p>
          <w:p w:rsidR="00586E9D" w:rsidRPr="002F3D0A" w:rsidRDefault="002F3D0A" w:rsidP="00DF5C72">
            <w:pPr>
              <w:pStyle w:val="Prrafodelista"/>
              <w:ind w:left="0"/>
              <w:rPr>
                <w:rFonts w:ascii="Times New Roman" w:hAnsi="Times New Roman" w:cs="Times New Roman"/>
                <w:color w:val="2D2D2D"/>
                <w:sz w:val="28"/>
                <w:szCs w:val="24"/>
                <w:shd w:val="clear" w:color="auto" w:fill="FFFFFF"/>
              </w:rPr>
            </w:pPr>
            <w:r w:rsidRPr="002F3D0A">
              <w:rPr>
                <w:rFonts w:ascii="Times New Roman" w:hAnsi="Times New Roman" w:cs="Times New Roman"/>
                <w:b/>
                <w:color w:val="2D2D2D"/>
                <w:sz w:val="28"/>
                <w:szCs w:val="24"/>
                <w:shd w:val="clear" w:color="auto" w:fill="FFFFFF"/>
              </w:rPr>
              <w:t>Tipo de examen</w:t>
            </w:r>
            <w:r w:rsidRPr="002F3D0A">
              <w:rPr>
                <w:rFonts w:ascii="Times New Roman" w:hAnsi="Times New Roman" w:cs="Times New Roman"/>
                <w:color w:val="2D2D2D"/>
                <w:sz w:val="28"/>
                <w:szCs w:val="24"/>
                <w:shd w:val="clear" w:color="auto" w:fill="FFFFFF"/>
              </w:rPr>
              <w:t xml:space="preserve">: </w:t>
            </w:r>
            <w:r w:rsidRPr="002F3D0A">
              <w:rPr>
                <w:rFonts w:ascii="Times New Roman" w:hAnsi="Times New Roman" w:cs="Times New Roman"/>
                <w:color w:val="2D2D2D"/>
                <w:sz w:val="28"/>
                <w:szCs w:val="24"/>
                <w:shd w:val="clear" w:color="auto" w:fill="FFFFFF"/>
              </w:rPr>
              <w:t>cargo por violación del artículo 317 de la Carta Política</w:t>
            </w:r>
          </w:p>
          <w:p w:rsidR="00586E9D" w:rsidRPr="002F3D0A" w:rsidRDefault="002F3D0A" w:rsidP="00DF5C72">
            <w:pPr>
              <w:pStyle w:val="Prrafodelista"/>
              <w:ind w:left="0"/>
              <w:rPr>
                <w:rFonts w:ascii="Times New Roman" w:hAnsi="Times New Roman" w:cs="Times New Roman"/>
                <w:bCs/>
                <w:sz w:val="28"/>
                <w:szCs w:val="24"/>
              </w:rPr>
            </w:pPr>
          </w:p>
        </w:tc>
      </w:tr>
      <w:tr w:rsidR="00DF5C72" w:rsidRPr="002F3D0A" w:rsidTr="00755FCD">
        <w:tc>
          <w:tcPr>
            <w:tcW w:w="4536" w:type="dxa"/>
          </w:tcPr>
          <w:p w:rsidR="00B908F4" w:rsidRPr="002F3D0A" w:rsidRDefault="002F3D0A" w:rsidP="005E066D">
            <w:pPr>
              <w:shd w:val="clear" w:color="auto" w:fill="FFFFFF"/>
              <w:spacing w:after="160" w:line="235" w:lineRule="atLeast"/>
              <w:rPr>
                <w:rFonts w:ascii="Times New Roman" w:hAnsi="Times New Roman" w:cs="Times New Roman"/>
                <w:bCs/>
                <w:sz w:val="28"/>
                <w:szCs w:val="24"/>
              </w:rPr>
            </w:pPr>
            <w:r w:rsidRPr="002F3D0A">
              <w:rPr>
                <w:rFonts w:ascii="Times New Roman" w:hAnsi="Times New Roman" w:cs="Times New Roman"/>
                <w:b/>
                <w:bCs/>
                <w:color w:val="000000" w:themeColor="text1"/>
                <w:sz w:val="28"/>
                <w:szCs w:val="24"/>
              </w:rPr>
              <w:t>Regla</w:t>
            </w:r>
            <w:r w:rsidRPr="002F3D0A">
              <w:rPr>
                <w:rFonts w:ascii="Times New Roman" w:hAnsi="Times New Roman" w:cs="Times New Roman"/>
                <w:bCs/>
                <w:color w:val="000000" w:themeColor="text1"/>
                <w:sz w:val="28"/>
                <w:szCs w:val="24"/>
              </w:rPr>
              <w:t xml:space="preserve">: la prohibición contenida en el artículo 317 superior solamente se refiere a aquellos casos en que se pretenda por </w:t>
            </w:r>
            <w:r w:rsidRPr="002F3D0A">
              <w:rPr>
                <w:rFonts w:ascii="Times New Roman" w:hAnsi="Times New Roman" w:cs="Times New Roman"/>
                <w:bCs/>
                <w:color w:val="000000" w:themeColor="text1"/>
                <w:sz w:val="28"/>
                <w:szCs w:val="24"/>
              </w:rPr>
              <w:t>entidades diferentes a los municipios establecer tributos que recaigan de manera directa y específica sobre</w:t>
            </w:r>
            <w:r w:rsidRPr="002F3D0A">
              <w:rPr>
                <w:rFonts w:ascii="Times New Roman" w:hAnsi="Times New Roman" w:cs="Times New Roman"/>
                <w:bCs/>
                <w:color w:val="000000" w:themeColor="text1"/>
                <w:sz w:val="28"/>
                <w:szCs w:val="24"/>
              </w:rPr>
              <w:t xml:space="preserve"> la propiedad inmueble</w:t>
            </w:r>
            <w:r w:rsidRPr="002F3D0A">
              <w:rPr>
                <w:rFonts w:ascii="Times New Roman" w:hAnsi="Times New Roman" w:cs="Times New Roman"/>
                <w:bCs/>
                <w:color w:val="000000" w:themeColor="text1"/>
                <w:sz w:val="28"/>
                <w:szCs w:val="24"/>
              </w:rPr>
              <w:t xml:space="preserve">. De manera que, </w:t>
            </w:r>
            <w:r w:rsidRPr="002F3D0A">
              <w:rPr>
                <w:rFonts w:ascii="Times New Roman" w:hAnsi="Times New Roman" w:cs="Times New Roman"/>
                <w:iCs/>
                <w:color w:val="000000" w:themeColor="text1"/>
                <w:sz w:val="28"/>
                <w:szCs w:val="24"/>
                <w:shd w:val="clear" w:color="auto" w:fill="FFFFFF"/>
              </w:rPr>
              <w:t xml:space="preserve">no todo tributo que tome como referencia de alguna manera la propiedad inmueble implica el establecimiento de </w:t>
            </w:r>
            <w:r w:rsidRPr="002F3D0A">
              <w:rPr>
                <w:rFonts w:ascii="Times New Roman" w:hAnsi="Times New Roman" w:cs="Times New Roman"/>
                <w:iCs/>
                <w:color w:val="000000" w:themeColor="text1"/>
                <w:sz w:val="28"/>
                <w:szCs w:val="24"/>
                <w:shd w:val="clear" w:color="auto" w:fill="FFFFFF"/>
              </w:rPr>
              <w:t xml:space="preserve">un gravamen sobre </w:t>
            </w:r>
            <w:r w:rsidRPr="002F3D0A">
              <w:rPr>
                <w:rFonts w:ascii="Times New Roman" w:hAnsi="Times New Roman" w:cs="Times New Roman"/>
                <w:iCs/>
                <w:color w:val="000000" w:themeColor="text1"/>
                <w:sz w:val="28"/>
                <w:szCs w:val="24"/>
                <w:shd w:val="clear" w:color="auto" w:fill="FFFFFF"/>
              </w:rPr>
              <w:t>ese tipo de propiedad.</w:t>
            </w:r>
          </w:p>
        </w:tc>
        <w:tc>
          <w:tcPr>
            <w:tcW w:w="4299" w:type="dxa"/>
          </w:tcPr>
          <w:p w:rsidR="00DF5C72" w:rsidRPr="002F3D0A" w:rsidRDefault="002F3D0A" w:rsidP="00DF5C72">
            <w:pPr>
              <w:pStyle w:val="Prrafodelista"/>
              <w:ind w:left="0"/>
              <w:rPr>
                <w:rFonts w:ascii="Times New Roman" w:hAnsi="Times New Roman" w:cs="Times New Roman"/>
                <w:iCs/>
                <w:color w:val="000000" w:themeColor="text1"/>
                <w:sz w:val="28"/>
                <w:szCs w:val="24"/>
                <w:shd w:val="clear" w:color="auto" w:fill="FFFFFF"/>
              </w:rPr>
            </w:pPr>
            <w:r w:rsidRPr="002F3D0A">
              <w:rPr>
                <w:rFonts w:ascii="Times New Roman" w:hAnsi="Times New Roman" w:cs="Times New Roman"/>
                <w:b/>
                <w:bCs/>
                <w:color w:val="000000" w:themeColor="text1"/>
                <w:sz w:val="28"/>
                <w:szCs w:val="24"/>
              </w:rPr>
              <w:t>Regla</w:t>
            </w:r>
            <w:r w:rsidRPr="002F3D0A">
              <w:rPr>
                <w:rFonts w:ascii="Times New Roman" w:hAnsi="Times New Roman" w:cs="Times New Roman"/>
                <w:bCs/>
                <w:color w:val="000000" w:themeColor="text1"/>
                <w:sz w:val="28"/>
                <w:szCs w:val="24"/>
              </w:rPr>
              <w:t>: la prohibición contenida en el artículo 317 superior solamente se refiere a aquellos casos en que se pretenda por entidades diferentes a los municipios establecer tributos que recaigan de manera directa y específica sobre la propiedad inmueble. De manera</w:t>
            </w:r>
            <w:r w:rsidRPr="002F3D0A">
              <w:rPr>
                <w:rFonts w:ascii="Times New Roman" w:hAnsi="Times New Roman" w:cs="Times New Roman"/>
                <w:bCs/>
                <w:color w:val="000000" w:themeColor="text1"/>
                <w:sz w:val="28"/>
                <w:szCs w:val="24"/>
              </w:rPr>
              <w:t xml:space="preserve"> que, </w:t>
            </w:r>
            <w:r w:rsidRPr="002F3D0A">
              <w:rPr>
                <w:rFonts w:ascii="Times New Roman" w:hAnsi="Times New Roman" w:cs="Times New Roman"/>
                <w:iCs/>
                <w:color w:val="000000" w:themeColor="text1"/>
                <w:sz w:val="28"/>
                <w:szCs w:val="24"/>
                <w:shd w:val="clear" w:color="auto" w:fill="FFFFFF"/>
              </w:rPr>
              <w:t>no todo tributo que tome como referencia de alguna manera la propiedad inmueble implica el establecimiento de un gravamen sobre ese tipo de propiedad.</w:t>
            </w:r>
          </w:p>
          <w:p w:rsidR="000B4C35" w:rsidRPr="002F3D0A" w:rsidRDefault="002F3D0A" w:rsidP="00DF5C72">
            <w:pPr>
              <w:pStyle w:val="Prrafodelista"/>
              <w:ind w:left="0"/>
              <w:rPr>
                <w:rFonts w:ascii="Times New Roman" w:hAnsi="Times New Roman" w:cs="Times New Roman"/>
                <w:bCs/>
                <w:sz w:val="28"/>
                <w:szCs w:val="24"/>
              </w:rPr>
            </w:pPr>
          </w:p>
        </w:tc>
      </w:tr>
      <w:tr w:rsidR="005E066D" w:rsidRPr="002F3D0A" w:rsidTr="00755FCD">
        <w:tc>
          <w:tcPr>
            <w:tcW w:w="4536" w:type="dxa"/>
          </w:tcPr>
          <w:p w:rsidR="005E066D" w:rsidRPr="002F3D0A" w:rsidRDefault="002F3D0A" w:rsidP="005E066D">
            <w:pPr>
              <w:pStyle w:val="Prrafodelista"/>
              <w:ind w:left="0"/>
              <w:rPr>
                <w:rFonts w:ascii="Times New Roman" w:hAnsi="Times New Roman" w:cs="Times New Roman"/>
                <w:bCs/>
                <w:color w:val="000000" w:themeColor="text1"/>
                <w:sz w:val="28"/>
                <w:szCs w:val="24"/>
              </w:rPr>
            </w:pPr>
            <w:r w:rsidRPr="002F3D0A">
              <w:rPr>
                <w:rFonts w:ascii="Times New Roman" w:hAnsi="Times New Roman" w:cs="Times New Roman"/>
                <w:bCs/>
                <w:color w:val="000000" w:themeColor="text1"/>
                <w:sz w:val="28"/>
                <w:szCs w:val="24"/>
              </w:rPr>
              <w:t>Las razones expuestas en relación con el artículo 317 de la Constitución:</w:t>
            </w:r>
          </w:p>
          <w:p w:rsidR="005E066D" w:rsidRPr="002F3D0A" w:rsidRDefault="002F3D0A" w:rsidP="005E066D">
            <w:pPr>
              <w:pStyle w:val="Prrafodelista"/>
              <w:ind w:left="0"/>
              <w:rPr>
                <w:rFonts w:ascii="Times New Roman" w:hAnsi="Times New Roman" w:cs="Times New Roman"/>
                <w:bCs/>
                <w:color w:val="000000" w:themeColor="text1"/>
                <w:sz w:val="28"/>
                <w:szCs w:val="24"/>
              </w:rPr>
            </w:pPr>
          </w:p>
          <w:p w:rsidR="005E066D" w:rsidRPr="002F3D0A" w:rsidRDefault="002F3D0A" w:rsidP="005E066D">
            <w:pPr>
              <w:pStyle w:val="Prrafodelista"/>
              <w:ind w:left="0"/>
              <w:rPr>
                <w:rFonts w:ascii="Times New Roman" w:hAnsi="Times New Roman" w:cs="Times New Roman"/>
                <w:bCs/>
                <w:color w:val="000000" w:themeColor="text1"/>
                <w:sz w:val="28"/>
                <w:szCs w:val="24"/>
              </w:rPr>
            </w:pPr>
            <w:r w:rsidRPr="002F3D0A">
              <w:rPr>
                <w:rFonts w:ascii="Times New Roman" w:hAnsi="Times New Roman" w:cs="Times New Roman"/>
                <w:bCs/>
                <w:color w:val="000000" w:themeColor="text1"/>
                <w:sz w:val="28"/>
                <w:szCs w:val="24"/>
              </w:rPr>
              <w:t>1. El artículo 317 establece tanto una garantía para los contribuyentes, en el sentido de que su derecho de propiedad inmueble no será objeto de varios y simultáneos gravámenes por parte de distintas entidades territoriales, como una salvaguarda para los m</w:t>
            </w:r>
            <w:r w:rsidRPr="002F3D0A">
              <w:rPr>
                <w:rFonts w:ascii="Times New Roman" w:hAnsi="Times New Roman" w:cs="Times New Roman"/>
                <w:bCs/>
                <w:color w:val="000000" w:themeColor="text1"/>
                <w:sz w:val="28"/>
                <w:szCs w:val="24"/>
              </w:rPr>
              <w:t xml:space="preserve">unicipios, cuyas rentas se derivan en buena parte del impuesto predial </w:t>
            </w:r>
          </w:p>
          <w:p w:rsidR="005E066D" w:rsidRPr="002F3D0A" w:rsidRDefault="002F3D0A" w:rsidP="005E066D">
            <w:pPr>
              <w:pStyle w:val="Prrafodelista"/>
              <w:ind w:left="0"/>
              <w:rPr>
                <w:rFonts w:ascii="Times New Roman" w:hAnsi="Times New Roman" w:cs="Times New Roman"/>
                <w:bCs/>
                <w:color w:val="000000" w:themeColor="text1"/>
                <w:sz w:val="28"/>
                <w:szCs w:val="24"/>
              </w:rPr>
            </w:pPr>
          </w:p>
          <w:p w:rsidR="005E066D" w:rsidRPr="002F3D0A" w:rsidRDefault="002F3D0A" w:rsidP="005E066D">
            <w:pPr>
              <w:pStyle w:val="Prrafodelista"/>
              <w:ind w:left="0"/>
              <w:rPr>
                <w:rFonts w:ascii="Times New Roman" w:hAnsi="Times New Roman" w:cs="Times New Roman"/>
                <w:bCs/>
                <w:color w:val="000000" w:themeColor="text1"/>
                <w:sz w:val="28"/>
                <w:szCs w:val="24"/>
              </w:rPr>
            </w:pPr>
            <w:r w:rsidRPr="002F3D0A">
              <w:rPr>
                <w:rFonts w:ascii="Times New Roman" w:hAnsi="Times New Roman" w:cs="Times New Roman"/>
                <w:bCs/>
                <w:color w:val="000000" w:themeColor="text1"/>
                <w:sz w:val="28"/>
                <w:szCs w:val="24"/>
              </w:rPr>
              <w:t>2. La reserva está referida de manera exclusiva a la propiedad en cuanto esta sea el objeto del gravamen.</w:t>
            </w:r>
          </w:p>
          <w:p w:rsidR="005E066D" w:rsidRPr="002F3D0A" w:rsidRDefault="002F3D0A" w:rsidP="005E066D">
            <w:pPr>
              <w:pStyle w:val="Prrafodelista"/>
              <w:ind w:left="0"/>
              <w:rPr>
                <w:rFonts w:ascii="Times New Roman" w:hAnsi="Times New Roman" w:cs="Times New Roman"/>
                <w:bCs/>
                <w:color w:val="000000" w:themeColor="text1"/>
                <w:sz w:val="28"/>
                <w:szCs w:val="24"/>
              </w:rPr>
            </w:pPr>
          </w:p>
          <w:p w:rsidR="005E066D" w:rsidRPr="002F3D0A" w:rsidRDefault="002F3D0A" w:rsidP="005E066D">
            <w:pPr>
              <w:shd w:val="clear" w:color="auto" w:fill="FFFFFF"/>
              <w:spacing w:after="160" w:line="235" w:lineRule="atLeast"/>
              <w:rPr>
                <w:rFonts w:ascii="Times New Roman" w:hAnsi="Times New Roman" w:cs="Times New Roman"/>
                <w:color w:val="000000" w:themeColor="text1"/>
                <w:sz w:val="28"/>
                <w:szCs w:val="24"/>
                <w:shd w:val="clear" w:color="auto" w:fill="FFFFFF"/>
              </w:rPr>
            </w:pPr>
            <w:r w:rsidRPr="002F3D0A">
              <w:rPr>
                <w:rFonts w:ascii="Times New Roman" w:hAnsi="Times New Roman" w:cs="Times New Roman"/>
                <w:bCs/>
                <w:color w:val="000000" w:themeColor="text1"/>
                <w:sz w:val="28"/>
                <w:szCs w:val="24"/>
              </w:rPr>
              <w:t xml:space="preserve">3. El patrimonio es: (i) un concepto abstracto elaborado por el legislador </w:t>
            </w:r>
            <w:r w:rsidRPr="002F3D0A">
              <w:rPr>
                <w:rFonts w:ascii="Times New Roman" w:hAnsi="Times New Roman" w:cs="Times New Roman"/>
                <w:bCs/>
                <w:color w:val="000000" w:themeColor="text1"/>
                <w:sz w:val="28"/>
                <w:szCs w:val="24"/>
              </w:rPr>
              <w:t>para determinados fines; (ii) es una universalidad jurídica, conformada por un conjunto de bienes y derechos susceptibles de valoración económica; (iii) para efectos tributarios se diferencia el patrimonio líquido del patrimonio bruto; (iv) e</w:t>
            </w:r>
            <w:r w:rsidRPr="002F3D0A">
              <w:rPr>
                <w:rFonts w:ascii="Times New Roman" w:hAnsi="Times New Roman" w:cs="Times New Roman"/>
                <w:color w:val="000000" w:themeColor="text1"/>
                <w:sz w:val="28"/>
                <w:szCs w:val="24"/>
                <w:shd w:val="clear" w:color="auto" w:fill="FFFFFF"/>
              </w:rPr>
              <w:t>l Estatuto Tri</w:t>
            </w:r>
            <w:r w:rsidRPr="002F3D0A">
              <w:rPr>
                <w:rFonts w:ascii="Times New Roman" w:hAnsi="Times New Roman" w:cs="Times New Roman"/>
                <w:color w:val="000000" w:themeColor="text1"/>
                <w:sz w:val="28"/>
                <w:szCs w:val="24"/>
                <w:shd w:val="clear" w:color="auto" w:fill="FFFFFF"/>
              </w:rPr>
              <w:t>butario define como bienes apreciables en dinero los derechos reales y personales e incluye entre los bienes que conforman el patrimonio fiscal del contribuyente los derechos reales sobre inmuebles ubicados en el territorio nacional.</w:t>
            </w:r>
          </w:p>
          <w:p w:rsidR="005E066D" w:rsidRPr="002F3D0A" w:rsidRDefault="002F3D0A" w:rsidP="005E066D">
            <w:pPr>
              <w:shd w:val="clear" w:color="auto" w:fill="FFFFFF"/>
              <w:spacing w:after="160" w:line="235" w:lineRule="atLeast"/>
              <w:rPr>
                <w:rFonts w:ascii="Times New Roman" w:hAnsi="Times New Roman" w:cs="Times New Roman"/>
                <w:color w:val="000000" w:themeColor="text1"/>
                <w:sz w:val="28"/>
                <w:szCs w:val="24"/>
                <w:shd w:val="clear" w:color="auto" w:fill="FFFFFF"/>
              </w:rPr>
            </w:pPr>
            <w:r w:rsidRPr="002F3D0A">
              <w:rPr>
                <w:rFonts w:ascii="Times New Roman" w:hAnsi="Times New Roman" w:cs="Times New Roman"/>
                <w:color w:val="000000" w:themeColor="text1"/>
                <w:sz w:val="28"/>
                <w:szCs w:val="24"/>
                <w:shd w:val="clear" w:color="auto" w:fill="FFFFFF"/>
              </w:rPr>
              <w:t>4. El impuesto sobre e</w:t>
            </w:r>
            <w:r w:rsidRPr="002F3D0A">
              <w:rPr>
                <w:rFonts w:ascii="Times New Roman" w:hAnsi="Times New Roman" w:cs="Times New Roman"/>
                <w:color w:val="000000" w:themeColor="text1"/>
                <w:sz w:val="28"/>
                <w:szCs w:val="24"/>
                <w:shd w:val="clear" w:color="auto" w:fill="FFFFFF"/>
              </w:rPr>
              <w:t>l patrimonio: (i) es un gravamen personal; (ii) el contribuyente del impuesto de patrimonio es determinado; (iii) admite reducciones de la base gravable, por ejemplo, de los pasivos, debido a que el tributo no recae no sobre un bien específico sino sobre l</w:t>
            </w:r>
            <w:r w:rsidRPr="002F3D0A">
              <w:rPr>
                <w:rFonts w:ascii="Times New Roman" w:hAnsi="Times New Roman" w:cs="Times New Roman"/>
                <w:color w:val="000000" w:themeColor="text1"/>
                <w:sz w:val="28"/>
                <w:szCs w:val="24"/>
                <w:shd w:val="clear" w:color="auto" w:fill="FFFFFF"/>
              </w:rPr>
              <w:t>a universalidad jurídica; (iv) los inmuebles integran el patrimonio porque están en capacidad de generar aprovechamiento económico.</w:t>
            </w:r>
          </w:p>
          <w:p w:rsidR="005E066D" w:rsidRPr="002F3D0A" w:rsidRDefault="002F3D0A" w:rsidP="005E066D">
            <w:pPr>
              <w:shd w:val="clear" w:color="auto" w:fill="FFFFFF"/>
              <w:spacing w:after="160" w:line="235" w:lineRule="atLeast"/>
              <w:rPr>
                <w:rFonts w:ascii="Times New Roman" w:hAnsi="Times New Roman" w:cs="Times New Roman"/>
                <w:color w:val="000000" w:themeColor="text1"/>
                <w:sz w:val="28"/>
                <w:szCs w:val="24"/>
                <w:shd w:val="clear" w:color="auto" w:fill="FFFFFF"/>
              </w:rPr>
            </w:pPr>
            <w:r w:rsidRPr="002F3D0A">
              <w:rPr>
                <w:rFonts w:ascii="Times New Roman" w:hAnsi="Times New Roman" w:cs="Times New Roman"/>
                <w:color w:val="000000" w:themeColor="text1"/>
                <w:sz w:val="28"/>
                <w:szCs w:val="24"/>
                <w:shd w:val="clear" w:color="auto" w:fill="FFFFFF"/>
              </w:rPr>
              <w:t>5. El impuesto predial: (i) es un gravamen real constituido a favor del municipio donde está ubicado el bien; (ii) el sujeto</w:t>
            </w:r>
            <w:r w:rsidRPr="002F3D0A">
              <w:rPr>
                <w:rFonts w:ascii="Times New Roman" w:hAnsi="Times New Roman" w:cs="Times New Roman"/>
                <w:color w:val="000000" w:themeColor="text1"/>
                <w:sz w:val="28"/>
                <w:szCs w:val="24"/>
                <w:shd w:val="clear" w:color="auto" w:fill="FFFFFF"/>
              </w:rPr>
              <w:t xml:space="preserve"> pasivo del impuesto es indeterminado (propietario pleno, poseedor, usufructuario, nudo propietario etc., quien pague el impuesto no puede alegar pago de lo no debido); </w:t>
            </w:r>
            <w:r w:rsidRPr="002F3D0A">
              <w:rPr>
                <w:rFonts w:ascii="Times New Roman" w:hAnsi="Times New Roman" w:cs="Times New Roman"/>
                <w:color w:val="000000" w:themeColor="text1"/>
                <w:sz w:val="28"/>
                <w:szCs w:val="24"/>
                <w:shd w:val="clear" w:color="auto" w:fill="FFFFFF"/>
              </w:rPr>
              <w:br/>
              <w:t>(iii) la base gravable del impuesto predial no admite deducciones; (iv) el impuesto se</w:t>
            </w:r>
            <w:r w:rsidRPr="002F3D0A">
              <w:rPr>
                <w:rFonts w:ascii="Times New Roman" w:hAnsi="Times New Roman" w:cs="Times New Roman"/>
                <w:color w:val="000000" w:themeColor="text1"/>
                <w:sz w:val="28"/>
                <w:szCs w:val="24"/>
                <w:shd w:val="clear" w:color="auto" w:fill="FFFFFF"/>
              </w:rPr>
              <w:t xml:space="preserve"> funda en la ocupación que del espacio público hace el bien.</w:t>
            </w:r>
          </w:p>
          <w:p w:rsidR="005E066D" w:rsidRPr="002F3D0A" w:rsidRDefault="002F3D0A" w:rsidP="005E066D">
            <w:pPr>
              <w:shd w:val="clear" w:color="auto" w:fill="FFFFFF"/>
              <w:spacing w:after="160" w:line="235" w:lineRule="atLeast"/>
              <w:rPr>
                <w:rFonts w:ascii="Times New Roman" w:hAnsi="Times New Roman" w:cs="Times New Roman"/>
                <w:b/>
                <w:bCs/>
                <w:color w:val="000000" w:themeColor="text1"/>
                <w:sz w:val="28"/>
                <w:szCs w:val="24"/>
              </w:rPr>
            </w:pPr>
            <w:r w:rsidRPr="002F3D0A">
              <w:rPr>
                <w:rFonts w:ascii="Times New Roman" w:hAnsi="Times New Roman" w:cs="Times New Roman"/>
                <w:bCs/>
                <w:sz w:val="28"/>
                <w:szCs w:val="24"/>
              </w:rPr>
              <w:t xml:space="preserve">6. De acuerdo con la jurisprudencia desarrollada hasta el momento </w:t>
            </w:r>
            <w:r w:rsidRPr="002F3D0A">
              <w:rPr>
                <w:rFonts w:ascii="Times New Roman" w:hAnsi="Times New Roman" w:cs="Times New Roman"/>
                <w:color w:val="2D2D2D"/>
                <w:sz w:val="28"/>
                <w:szCs w:val="24"/>
                <w:shd w:val="clear" w:color="auto" w:fill="FFFFFF"/>
              </w:rPr>
              <w:t>no existe una regla constitucional que impida que los bienes inmuebles, como elementos del patrimonio, sirvan de parámetro o refe</w:t>
            </w:r>
            <w:r w:rsidRPr="002F3D0A">
              <w:rPr>
                <w:rFonts w:ascii="Times New Roman" w:hAnsi="Times New Roman" w:cs="Times New Roman"/>
                <w:color w:val="2D2D2D"/>
                <w:sz w:val="28"/>
                <w:szCs w:val="24"/>
                <w:shd w:val="clear" w:color="auto" w:fill="FFFFFF"/>
              </w:rPr>
              <w:t>rente del impuesto de renta.</w:t>
            </w:r>
          </w:p>
        </w:tc>
        <w:tc>
          <w:tcPr>
            <w:tcW w:w="4299" w:type="dxa"/>
          </w:tcPr>
          <w:p w:rsidR="00A34503" w:rsidRPr="002F3D0A" w:rsidRDefault="002F3D0A" w:rsidP="00A34503">
            <w:pPr>
              <w:pStyle w:val="Prrafodelista"/>
              <w:ind w:left="0"/>
              <w:rPr>
                <w:rFonts w:ascii="Times New Roman" w:hAnsi="Times New Roman" w:cs="Times New Roman"/>
                <w:bCs/>
                <w:color w:val="000000" w:themeColor="text1"/>
                <w:sz w:val="28"/>
                <w:szCs w:val="24"/>
              </w:rPr>
            </w:pPr>
            <w:r w:rsidRPr="002F3D0A">
              <w:rPr>
                <w:rFonts w:ascii="Times New Roman" w:hAnsi="Times New Roman" w:cs="Times New Roman"/>
                <w:bCs/>
                <w:color w:val="000000" w:themeColor="text1"/>
                <w:sz w:val="28"/>
                <w:szCs w:val="24"/>
              </w:rPr>
              <w:t>Las razones expuestas en relación con el artículo 317 de la Constitución:</w:t>
            </w:r>
          </w:p>
          <w:p w:rsidR="005E066D" w:rsidRPr="002F3D0A" w:rsidRDefault="002F3D0A" w:rsidP="00DF5C72">
            <w:pPr>
              <w:pStyle w:val="Prrafodelista"/>
              <w:ind w:left="0"/>
              <w:rPr>
                <w:rFonts w:ascii="Times New Roman" w:hAnsi="Times New Roman" w:cs="Times New Roman"/>
                <w:bCs/>
                <w:sz w:val="28"/>
                <w:szCs w:val="24"/>
              </w:rPr>
            </w:pPr>
          </w:p>
          <w:p w:rsidR="00A34503" w:rsidRPr="002F3D0A" w:rsidRDefault="002F3D0A" w:rsidP="00A34503">
            <w:pPr>
              <w:rPr>
                <w:rFonts w:ascii="Times New Roman" w:hAnsi="Times New Roman" w:cs="Times New Roman"/>
                <w:bCs/>
                <w:sz w:val="28"/>
                <w:szCs w:val="24"/>
              </w:rPr>
            </w:pPr>
            <w:r w:rsidRPr="002F3D0A">
              <w:rPr>
                <w:rFonts w:ascii="Times New Roman" w:hAnsi="Times New Roman" w:cs="Times New Roman"/>
                <w:bCs/>
                <w:sz w:val="28"/>
                <w:szCs w:val="24"/>
              </w:rPr>
              <w:t>1. Reiteró los argumentos desarrollados en la sentencia C-876 de 2002.</w:t>
            </w:r>
          </w:p>
          <w:p w:rsidR="00D95074" w:rsidRPr="002F3D0A" w:rsidRDefault="002F3D0A" w:rsidP="00A34503">
            <w:pPr>
              <w:rPr>
                <w:rFonts w:ascii="Times New Roman" w:hAnsi="Times New Roman" w:cs="Times New Roman"/>
                <w:bCs/>
                <w:sz w:val="28"/>
                <w:szCs w:val="24"/>
              </w:rPr>
            </w:pPr>
          </w:p>
          <w:p w:rsidR="00A34503" w:rsidRPr="002F3D0A" w:rsidRDefault="002F3D0A" w:rsidP="00A34503">
            <w:pPr>
              <w:rPr>
                <w:rFonts w:ascii="Times New Roman" w:hAnsi="Times New Roman" w:cs="Times New Roman"/>
                <w:color w:val="2D2D2D"/>
                <w:sz w:val="28"/>
                <w:szCs w:val="24"/>
                <w:shd w:val="clear" w:color="auto" w:fill="FFFFFF"/>
              </w:rPr>
            </w:pPr>
            <w:r w:rsidRPr="002F3D0A">
              <w:rPr>
                <w:rFonts w:ascii="Times New Roman" w:hAnsi="Times New Roman" w:cs="Times New Roman"/>
                <w:bCs/>
                <w:sz w:val="28"/>
                <w:szCs w:val="24"/>
              </w:rPr>
              <w:t xml:space="preserve">2. Agregó que la </w:t>
            </w:r>
            <w:r w:rsidRPr="002F3D0A">
              <w:rPr>
                <w:rFonts w:ascii="Times New Roman" w:hAnsi="Times New Roman" w:cs="Times New Roman"/>
                <w:color w:val="000000"/>
                <w:sz w:val="28"/>
                <w:szCs w:val="24"/>
                <w:shd w:val="clear" w:color="auto" w:fill="FFFFFF"/>
              </w:rPr>
              <w:t xml:space="preserve">exclusión de la base gravable del impuesto al patrimonio de </w:t>
            </w:r>
            <w:r w:rsidRPr="002F3D0A">
              <w:rPr>
                <w:rFonts w:ascii="Times New Roman" w:hAnsi="Times New Roman" w:cs="Times New Roman"/>
                <w:color w:val="2D2D2D"/>
                <w:sz w:val="28"/>
                <w:szCs w:val="24"/>
                <w:shd w:val="clear" w:color="auto" w:fill="FFFFFF"/>
              </w:rPr>
              <w:t>los</w:t>
            </w:r>
            <w:r w:rsidRPr="002F3D0A">
              <w:rPr>
                <w:rFonts w:ascii="Times New Roman" w:hAnsi="Times New Roman" w:cs="Times New Roman"/>
                <w:color w:val="2D2D2D"/>
                <w:sz w:val="28"/>
                <w:szCs w:val="24"/>
                <w:shd w:val="clear" w:color="auto" w:fill="FFFFFF"/>
              </w:rPr>
              <w:t xml:space="preserve"> primeros doscientos millones de pesos ($200.000.000) del valor de la casa o apartamento de habitación, muestra que lo que se grava es el patrimonio de la persona y no su propiedad inmueble.</w:t>
            </w:r>
          </w:p>
          <w:p w:rsidR="00A34503" w:rsidRPr="002F3D0A" w:rsidRDefault="002F3D0A" w:rsidP="00A34503">
            <w:pPr>
              <w:rPr>
                <w:rFonts w:ascii="Times New Roman" w:hAnsi="Times New Roman" w:cs="Times New Roman"/>
                <w:bCs/>
                <w:sz w:val="28"/>
                <w:szCs w:val="24"/>
              </w:rPr>
            </w:pPr>
          </w:p>
          <w:p w:rsidR="00581C78" w:rsidRPr="002F3D0A" w:rsidRDefault="002F3D0A" w:rsidP="00A34503">
            <w:pPr>
              <w:rPr>
                <w:rFonts w:ascii="Times New Roman" w:hAnsi="Times New Roman" w:cs="Times New Roman"/>
                <w:bCs/>
                <w:sz w:val="28"/>
                <w:szCs w:val="24"/>
              </w:rPr>
            </w:pPr>
            <w:r w:rsidRPr="002F3D0A">
              <w:rPr>
                <w:rFonts w:ascii="Times New Roman" w:hAnsi="Times New Roman" w:cs="Times New Roman"/>
                <w:bCs/>
                <w:sz w:val="28"/>
                <w:szCs w:val="24"/>
              </w:rPr>
              <w:t xml:space="preserve">3. </w:t>
            </w:r>
            <w:r w:rsidRPr="002F3D0A">
              <w:rPr>
                <w:rFonts w:ascii="Times New Roman" w:hAnsi="Times New Roman" w:cs="Times New Roman"/>
                <w:color w:val="000000"/>
                <w:sz w:val="28"/>
                <w:szCs w:val="24"/>
                <w:shd w:val="clear" w:color="auto" w:fill="FFFFFF"/>
              </w:rPr>
              <w:t>También aclaró que el impuesto al patrimonio no es un impuest</w:t>
            </w:r>
            <w:r w:rsidRPr="002F3D0A">
              <w:rPr>
                <w:rFonts w:ascii="Times New Roman" w:hAnsi="Times New Roman" w:cs="Times New Roman"/>
                <w:color w:val="000000"/>
                <w:sz w:val="28"/>
                <w:szCs w:val="24"/>
                <w:shd w:val="clear" w:color="auto" w:fill="FFFFFF"/>
              </w:rPr>
              <w:t>o nacional sobre la propiedad inmueble, pues la base gravable del mismo está constituida por el patrimonio líquido de los sujetos pasivos a 1° de enero de cada año gravable. “Es decir que solo de manera mediata la propiedad inmueble es tomada como referent</w:t>
            </w:r>
            <w:r w:rsidRPr="002F3D0A">
              <w:rPr>
                <w:rFonts w:ascii="Times New Roman" w:hAnsi="Times New Roman" w:cs="Times New Roman"/>
                <w:color w:val="000000"/>
                <w:sz w:val="28"/>
                <w:szCs w:val="24"/>
                <w:shd w:val="clear" w:color="auto" w:fill="FFFFFF"/>
              </w:rPr>
              <w:t xml:space="preserve">e, y ello simplemente como uno de los elementos que pueden componer el patrimonio bruto del contribuyente, patrimonio bruto al que habrá que restarle el monto de las deudas a cargo del mismo, vigentes en esa fecha para obtener el patrimonio líquido que es </w:t>
            </w:r>
            <w:r w:rsidRPr="002F3D0A">
              <w:rPr>
                <w:rFonts w:ascii="Times New Roman" w:hAnsi="Times New Roman" w:cs="Times New Roman"/>
                <w:color w:val="000000"/>
                <w:sz w:val="28"/>
                <w:szCs w:val="24"/>
                <w:shd w:val="clear" w:color="auto" w:fill="FFFFFF"/>
              </w:rPr>
              <w:t>sobre el que recae efectivamente el cobro del impuesto.”</w:t>
            </w:r>
          </w:p>
        </w:tc>
      </w:tr>
    </w:tbl>
    <w:p w:rsidR="00E10D27" w:rsidRPr="002F3D0A" w:rsidRDefault="002F3D0A" w:rsidP="00DF5C72">
      <w:pPr>
        <w:pStyle w:val="Prrafodelista"/>
        <w:rPr>
          <w:rFonts w:ascii="Times New Roman" w:hAnsi="Times New Roman" w:cs="Times New Roman"/>
          <w:bCs/>
          <w:sz w:val="28"/>
          <w:szCs w:val="20"/>
        </w:rPr>
      </w:pPr>
    </w:p>
    <w:p w:rsidR="00DF5C72" w:rsidRPr="002F3D0A" w:rsidRDefault="002F3D0A" w:rsidP="00B6529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A partir de los dos pronunciamientos descritos en la tabla se advierte que </w:t>
      </w:r>
      <w:r w:rsidRPr="002F3D0A">
        <w:rPr>
          <w:rFonts w:ascii="Times New Roman" w:hAnsi="Times New Roman" w:cs="Times New Roman"/>
          <w:bCs/>
          <w:color w:val="000000" w:themeColor="text1"/>
          <w:sz w:val="28"/>
          <w:szCs w:val="28"/>
        </w:rPr>
        <w:t xml:space="preserve">en </w:t>
      </w:r>
      <w:r w:rsidRPr="002F3D0A">
        <w:rPr>
          <w:rFonts w:ascii="Times New Roman" w:hAnsi="Times New Roman" w:cs="Times New Roman"/>
          <w:bCs/>
          <w:color w:val="000000" w:themeColor="text1"/>
          <w:sz w:val="28"/>
          <w:szCs w:val="28"/>
        </w:rPr>
        <w:t xml:space="preserve">relación con </w:t>
      </w:r>
      <w:r w:rsidRPr="002F3D0A">
        <w:rPr>
          <w:rFonts w:ascii="Times New Roman" w:hAnsi="Times New Roman" w:cs="Times New Roman"/>
          <w:bCs/>
          <w:color w:val="000000" w:themeColor="text1"/>
          <w:sz w:val="28"/>
          <w:szCs w:val="28"/>
        </w:rPr>
        <w:t>el artículo 317 superior</w:t>
      </w:r>
      <w:r w:rsidRPr="002F3D0A">
        <w:rPr>
          <w:rFonts w:ascii="Times New Roman" w:hAnsi="Times New Roman" w:cs="Times New Roman"/>
          <w:bCs/>
          <w:color w:val="000000" w:themeColor="text1"/>
          <w:sz w:val="28"/>
          <w:szCs w:val="28"/>
        </w:rPr>
        <w:t>, el cual señala que</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s</w:t>
      </w:r>
      <w:r w:rsidRPr="002F3D0A">
        <w:rPr>
          <w:rFonts w:ascii="Times New Roman" w:hAnsi="Times New Roman" w:cs="Times New Roman"/>
          <w:color w:val="000000" w:themeColor="text1"/>
          <w:sz w:val="28"/>
          <w:szCs w:val="28"/>
        </w:rPr>
        <w:t>olo los municipios podrán gravar la propiedad inmueble”</w:t>
      </w:r>
      <w:r w:rsidRPr="002F3D0A">
        <w:rPr>
          <w:rFonts w:ascii="Times New Roman" w:hAnsi="Times New Roman" w:cs="Times New Roman"/>
          <w:color w:val="000000" w:themeColor="text1"/>
          <w:sz w:val="28"/>
          <w:szCs w:val="28"/>
        </w:rPr>
        <w:t xml:space="preserve"> existe </w:t>
      </w:r>
      <w:r w:rsidRPr="002F3D0A">
        <w:rPr>
          <w:rFonts w:ascii="Times New Roman" w:hAnsi="Times New Roman" w:cs="Times New Roman"/>
          <w:color w:val="000000" w:themeColor="text1"/>
          <w:sz w:val="28"/>
          <w:szCs w:val="28"/>
        </w:rPr>
        <w:t>un criterio</w:t>
      </w:r>
      <w:r w:rsidRPr="002F3D0A">
        <w:rPr>
          <w:rFonts w:ascii="Times New Roman" w:hAnsi="Times New Roman" w:cs="Times New Roman"/>
          <w:color w:val="000000" w:themeColor="text1"/>
          <w:sz w:val="28"/>
          <w:szCs w:val="28"/>
        </w:rPr>
        <w:t xml:space="preserve"> jurisprudencial vigente que establece que la limitación prevista en la norma</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 xml:space="preserve">constitucional </w:t>
      </w:r>
      <w:r w:rsidRPr="002F3D0A">
        <w:rPr>
          <w:rFonts w:ascii="Times New Roman" w:hAnsi="Times New Roman" w:cs="Times New Roman"/>
          <w:color w:val="000000" w:themeColor="text1"/>
          <w:sz w:val="28"/>
          <w:szCs w:val="28"/>
        </w:rPr>
        <w:t xml:space="preserve">únicamente </w:t>
      </w:r>
      <w:r w:rsidRPr="002F3D0A">
        <w:rPr>
          <w:rFonts w:ascii="Times New Roman" w:hAnsi="Times New Roman" w:cs="Times New Roman"/>
          <w:color w:val="000000" w:themeColor="text1"/>
          <w:sz w:val="28"/>
          <w:szCs w:val="28"/>
        </w:rPr>
        <w:t>se</w:t>
      </w:r>
      <w:r w:rsidRPr="002F3D0A">
        <w:rPr>
          <w:rFonts w:ascii="Times New Roman" w:hAnsi="Times New Roman" w:cs="Times New Roman"/>
          <w:bCs/>
          <w:color w:val="000000" w:themeColor="text1"/>
          <w:sz w:val="28"/>
          <w:szCs w:val="28"/>
        </w:rPr>
        <w:t xml:space="preserve"> refiere a aquellos casos en </w:t>
      </w:r>
      <w:r w:rsidRPr="002F3D0A">
        <w:rPr>
          <w:rFonts w:ascii="Times New Roman" w:hAnsi="Times New Roman" w:cs="Times New Roman"/>
          <w:bCs/>
          <w:color w:val="000000" w:themeColor="text1"/>
          <w:sz w:val="28"/>
          <w:szCs w:val="28"/>
        </w:rPr>
        <w:t xml:space="preserve">los </w:t>
      </w:r>
      <w:r w:rsidRPr="002F3D0A">
        <w:rPr>
          <w:rFonts w:ascii="Times New Roman" w:hAnsi="Times New Roman" w:cs="Times New Roman"/>
          <w:bCs/>
          <w:color w:val="000000" w:themeColor="text1"/>
          <w:sz w:val="28"/>
          <w:szCs w:val="28"/>
        </w:rPr>
        <w:t xml:space="preserve">que </w:t>
      </w:r>
      <w:r w:rsidRPr="002F3D0A">
        <w:rPr>
          <w:rFonts w:ascii="Times New Roman" w:hAnsi="Times New Roman" w:cs="Times New Roman"/>
          <w:bCs/>
          <w:color w:val="000000" w:themeColor="text1"/>
          <w:sz w:val="28"/>
          <w:szCs w:val="28"/>
        </w:rPr>
        <w:t xml:space="preserve">entidades diferentes a los municipios </w:t>
      </w:r>
      <w:r w:rsidRPr="002F3D0A">
        <w:rPr>
          <w:rFonts w:ascii="Times New Roman" w:hAnsi="Times New Roman" w:cs="Times New Roman"/>
          <w:bCs/>
          <w:color w:val="000000" w:themeColor="text1"/>
          <w:sz w:val="28"/>
          <w:szCs w:val="28"/>
        </w:rPr>
        <w:t xml:space="preserve">pretendan </w:t>
      </w:r>
      <w:r w:rsidRPr="002F3D0A">
        <w:rPr>
          <w:rFonts w:ascii="Times New Roman" w:hAnsi="Times New Roman" w:cs="Times New Roman"/>
          <w:bCs/>
          <w:color w:val="000000" w:themeColor="text1"/>
          <w:sz w:val="28"/>
          <w:szCs w:val="28"/>
        </w:rPr>
        <w:t xml:space="preserve">establecer tributos que recaigan </w:t>
      </w:r>
      <w:r w:rsidRPr="002F3D0A">
        <w:rPr>
          <w:rFonts w:ascii="Times New Roman" w:hAnsi="Times New Roman" w:cs="Times New Roman"/>
          <w:b/>
          <w:bCs/>
          <w:color w:val="000000" w:themeColor="text1"/>
          <w:sz w:val="28"/>
          <w:szCs w:val="28"/>
          <w:u w:val="single"/>
        </w:rPr>
        <w:t xml:space="preserve">de manera </w:t>
      </w:r>
      <w:r w:rsidRPr="002F3D0A">
        <w:rPr>
          <w:rFonts w:ascii="Times New Roman" w:hAnsi="Times New Roman" w:cs="Times New Roman"/>
          <w:b/>
          <w:bCs/>
          <w:color w:val="000000" w:themeColor="text1"/>
          <w:sz w:val="28"/>
          <w:szCs w:val="28"/>
          <w:u w:val="single"/>
        </w:rPr>
        <w:t>directa y específica</w:t>
      </w:r>
      <w:r w:rsidRPr="002F3D0A">
        <w:rPr>
          <w:rFonts w:ascii="Times New Roman" w:hAnsi="Times New Roman" w:cs="Times New Roman"/>
          <w:bCs/>
          <w:color w:val="000000" w:themeColor="text1"/>
          <w:sz w:val="28"/>
          <w:szCs w:val="28"/>
        </w:rPr>
        <w:t xml:space="preserve"> sobre la propiedad inmueble. De </w:t>
      </w:r>
      <w:r w:rsidRPr="002F3D0A">
        <w:rPr>
          <w:rFonts w:ascii="Times New Roman" w:hAnsi="Times New Roman" w:cs="Times New Roman"/>
          <w:bCs/>
          <w:color w:val="000000" w:themeColor="text1"/>
          <w:sz w:val="28"/>
          <w:szCs w:val="28"/>
        </w:rPr>
        <w:t>ahí</w:t>
      </w:r>
      <w:r w:rsidRPr="002F3D0A">
        <w:rPr>
          <w:rFonts w:ascii="Times New Roman" w:hAnsi="Times New Roman" w:cs="Times New Roman"/>
          <w:bCs/>
          <w:color w:val="000000" w:themeColor="text1"/>
          <w:sz w:val="28"/>
          <w:szCs w:val="28"/>
        </w:rPr>
        <w:t xml:space="preserve"> que, no todo tributo que tome como referencia de alguna manera </w:t>
      </w:r>
      <w:r w:rsidRPr="002F3D0A">
        <w:rPr>
          <w:rFonts w:ascii="Times New Roman" w:hAnsi="Times New Roman" w:cs="Times New Roman"/>
          <w:bCs/>
          <w:color w:val="000000" w:themeColor="text1"/>
          <w:sz w:val="28"/>
          <w:szCs w:val="28"/>
        </w:rPr>
        <w:t>la propiedad</w:t>
      </w:r>
      <w:r w:rsidRPr="002F3D0A">
        <w:rPr>
          <w:rFonts w:ascii="Times New Roman" w:hAnsi="Times New Roman" w:cs="Times New Roman"/>
          <w:bCs/>
          <w:color w:val="000000" w:themeColor="text1"/>
          <w:sz w:val="28"/>
          <w:szCs w:val="28"/>
        </w:rPr>
        <w:t xml:space="preserve"> inmueble implica el establecimiento de un gravamen sobre ese tipo de propiedad que contraríe la norma constitucional citada.</w:t>
      </w:r>
    </w:p>
    <w:p w:rsidR="00F07E0C" w:rsidRPr="002F3D0A" w:rsidRDefault="002F3D0A" w:rsidP="00F07E0C">
      <w:pPr>
        <w:pStyle w:val="Prrafodelista"/>
        <w:rPr>
          <w:rFonts w:ascii="Times New Roman" w:hAnsi="Times New Roman" w:cs="Times New Roman"/>
          <w:bCs/>
          <w:sz w:val="28"/>
          <w:szCs w:val="28"/>
        </w:rPr>
      </w:pPr>
    </w:p>
    <w:p w:rsidR="00F07E0C" w:rsidRPr="002F3D0A" w:rsidRDefault="002F3D0A" w:rsidP="00B6529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sz w:val="28"/>
          <w:szCs w:val="28"/>
        </w:rPr>
        <w:t>La carga argumentativa cuando la inconstitucionalidad de una disposición se propone a partir de un cambio del precedente constitu</w:t>
      </w:r>
      <w:r w:rsidRPr="002F3D0A">
        <w:rPr>
          <w:rFonts w:ascii="Times New Roman" w:hAnsi="Times New Roman" w:cs="Times New Roman"/>
          <w:b/>
          <w:sz w:val="28"/>
          <w:szCs w:val="28"/>
        </w:rPr>
        <w:t>cional.</w:t>
      </w:r>
      <w:r w:rsidRPr="002F3D0A">
        <w:rPr>
          <w:rFonts w:ascii="Times New Roman" w:hAnsi="Times New Roman" w:cs="Times New Roman"/>
          <w:bCs/>
          <w:sz w:val="28"/>
          <w:szCs w:val="28"/>
        </w:rPr>
        <w:t xml:space="preserve"> L</w:t>
      </w:r>
      <w:r w:rsidRPr="002F3D0A">
        <w:rPr>
          <w:rFonts w:ascii="Times New Roman" w:hAnsi="Times New Roman" w:cs="Times New Roman"/>
          <w:bCs/>
          <w:sz w:val="28"/>
          <w:szCs w:val="28"/>
        </w:rPr>
        <w:t xml:space="preserve">a jurisprudencia de esta Corporación también ha señalado que cuando se formula un cargo </w:t>
      </w:r>
      <w:r w:rsidRPr="002F3D0A">
        <w:rPr>
          <w:rFonts w:ascii="Times New Roman" w:hAnsi="Times New Roman" w:cs="Times New Roman"/>
          <w:bCs/>
          <w:sz w:val="28"/>
          <w:szCs w:val="28"/>
        </w:rPr>
        <w:t>que pretende un</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cambio de la jurisprudencia constitucional el </w:t>
      </w:r>
      <w:r w:rsidRPr="002F3D0A">
        <w:rPr>
          <w:rFonts w:ascii="Times New Roman" w:hAnsi="Times New Roman" w:cs="Times New Roman"/>
          <w:bCs/>
          <w:color w:val="000000" w:themeColor="text1"/>
          <w:sz w:val="28"/>
          <w:szCs w:val="28"/>
        </w:rPr>
        <w:t xml:space="preserve">demandante tiene la carga de presentar argumentos razonables y suficientes en los que justifique </w:t>
      </w:r>
      <w:r w:rsidRPr="002F3D0A">
        <w:rPr>
          <w:rFonts w:ascii="Times New Roman" w:hAnsi="Times New Roman" w:cs="Times New Roman"/>
          <w:bCs/>
          <w:color w:val="000000" w:themeColor="text1"/>
          <w:sz w:val="28"/>
          <w:szCs w:val="28"/>
        </w:rPr>
        <w:t xml:space="preserve">por qué procede </w:t>
      </w:r>
      <w:r w:rsidRPr="002F3D0A">
        <w:rPr>
          <w:rFonts w:ascii="Times New Roman" w:hAnsi="Times New Roman" w:cs="Times New Roman"/>
          <w:bCs/>
          <w:color w:val="000000" w:themeColor="text1"/>
          <w:sz w:val="28"/>
          <w:szCs w:val="28"/>
        </w:rPr>
        <w:t>esa modificación sobre reglas jurisprudenciales</w:t>
      </w:r>
      <w:r w:rsidRPr="002F3D0A">
        <w:rPr>
          <w:rFonts w:ascii="Times New Roman" w:hAnsi="Times New Roman" w:cs="Times New Roman"/>
          <w:bCs/>
          <w:color w:val="000000" w:themeColor="text1"/>
          <w:sz w:val="28"/>
          <w:szCs w:val="28"/>
        </w:rPr>
        <w:t xml:space="preserve"> vigente</w:t>
      </w:r>
      <w:r w:rsidRPr="002F3D0A">
        <w:rPr>
          <w:rFonts w:ascii="Times New Roman" w:hAnsi="Times New Roman" w:cs="Times New Roman"/>
          <w:bCs/>
          <w:color w:val="000000" w:themeColor="text1"/>
          <w:sz w:val="28"/>
          <w:szCs w:val="28"/>
        </w:rPr>
        <w:t>s</w:t>
      </w:r>
      <w:r w:rsidRPr="002F3D0A">
        <w:rPr>
          <w:rFonts w:ascii="Times New Roman" w:hAnsi="Times New Roman" w:cs="Times New Roman"/>
          <w:bCs/>
          <w:color w:val="000000" w:themeColor="text1"/>
          <w:sz w:val="28"/>
          <w:szCs w:val="28"/>
        </w:rPr>
        <w:t>. Este tipo de argumentación se cumple a través de dos exigencias: (i)</w:t>
      </w:r>
      <w:r w:rsidRPr="002F3D0A">
        <w:rPr>
          <w:rFonts w:ascii="Times New Roman" w:hAnsi="Times New Roman" w:cs="Times New Roman"/>
          <w:bCs/>
          <w:color w:val="000000" w:themeColor="text1"/>
          <w:sz w:val="28"/>
          <w:szCs w:val="28"/>
        </w:rPr>
        <w:t xml:space="preserve"> identificar la pretensión de modificar</w:t>
      </w:r>
      <w:r w:rsidRPr="002F3D0A">
        <w:rPr>
          <w:rFonts w:ascii="Times New Roman" w:hAnsi="Times New Roman" w:cs="Times New Roman"/>
          <w:bCs/>
          <w:color w:val="000000" w:themeColor="text1"/>
          <w:sz w:val="28"/>
          <w:szCs w:val="28"/>
        </w:rPr>
        <w:t xml:space="preserve"> el precedente constitucional</w:t>
      </w:r>
      <w:r w:rsidRPr="002F3D0A">
        <w:rPr>
          <w:rFonts w:ascii="Times New Roman" w:hAnsi="Times New Roman" w:cs="Times New Roman"/>
          <w:bCs/>
          <w:color w:val="000000" w:themeColor="text1"/>
          <w:sz w:val="28"/>
          <w:szCs w:val="28"/>
        </w:rPr>
        <w:t xml:space="preserve">; y (ii) exponer las razones por las que, a </w:t>
      </w:r>
      <w:r w:rsidRPr="002F3D0A">
        <w:rPr>
          <w:rFonts w:ascii="Times New Roman" w:hAnsi="Times New Roman" w:cs="Times New Roman"/>
          <w:bCs/>
          <w:color w:val="000000" w:themeColor="text1"/>
          <w:sz w:val="28"/>
          <w:szCs w:val="28"/>
        </w:rPr>
        <w:t>juicio del demandante, la interpretación alternativa o el criterio constitucional propuesto en la demanda materializan</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de mejor forma</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los mandatos constitucionales</w:t>
      </w:r>
      <w:r w:rsidRPr="002F3D0A">
        <w:rPr>
          <w:rStyle w:val="Refdenotaalpie"/>
          <w:rFonts w:ascii="Times New Roman" w:hAnsi="Times New Roman" w:cs="Times New Roman"/>
          <w:bCs/>
          <w:color w:val="000000" w:themeColor="text1"/>
          <w:sz w:val="28"/>
          <w:szCs w:val="28"/>
        </w:rPr>
        <w:footnoteReference w:id="66"/>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Sobre estas condiciones, la sentencia C-393 de </w:t>
      </w:r>
      <w:r w:rsidRPr="002F3D0A">
        <w:rPr>
          <w:rFonts w:ascii="Times New Roman" w:hAnsi="Times New Roman" w:cs="Times New Roman"/>
          <w:bCs/>
          <w:color w:val="000000" w:themeColor="text1"/>
          <w:sz w:val="28"/>
          <w:szCs w:val="28"/>
        </w:rPr>
        <w:t>2023 precisó</w:t>
      </w:r>
      <w:r w:rsidRPr="002F3D0A">
        <w:rPr>
          <w:rFonts w:ascii="Times New Roman" w:hAnsi="Times New Roman" w:cs="Times New Roman"/>
          <w:bCs/>
          <w:color w:val="000000" w:themeColor="text1"/>
          <w:sz w:val="28"/>
          <w:szCs w:val="28"/>
        </w:rPr>
        <w:t xml:space="preserve"> que los demandantes tienen l</w:t>
      </w:r>
      <w:r w:rsidRPr="002F3D0A">
        <w:rPr>
          <w:rFonts w:ascii="Times New Roman" w:hAnsi="Times New Roman" w:cs="Times New Roman"/>
          <w:bCs/>
          <w:color w:val="000000" w:themeColor="text1"/>
          <w:sz w:val="28"/>
          <w:szCs w:val="28"/>
        </w:rPr>
        <w:t xml:space="preserve">a carga de identificar que </w:t>
      </w:r>
      <w:r w:rsidRPr="002F3D0A">
        <w:rPr>
          <w:rFonts w:ascii="Times New Roman" w:hAnsi="Times New Roman" w:cs="Times New Roman"/>
          <w:color w:val="000000" w:themeColor="text1"/>
          <w:sz w:val="28"/>
          <w:szCs w:val="28"/>
          <w:shd w:val="clear" w:color="auto" w:fill="FFFFFF"/>
        </w:rPr>
        <w:t>el criterio jurisprudencia</w:t>
      </w:r>
      <w:r w:rsidRPr="002F3D0A">
        <w:rPr>
          <w:rFonts w:ascii="Times New Roman" w:hAnsi="Times New Roman" w:cs="Times New Roman"/>
          <w:color w:val="000000" w:themeColor="text1"/>
          <w:sz w:val="28"/>
          <w:szCs w:val="28"/>
          <w:shd w:val="clear" w:color="auto" w:fill="FFFFFF"/>
        </w:rPr>
        <w:t>l</w:t>
      </w:r>
      <w:r w:rsidRPr="002F3D0A">
        <w:rPr>
          <w:rFonts w:ascii="Times New Roman" w:hAnsi="Times New Roman" w:cs="Times New Roman"/>
          <w:color w:val="000000" w:themeColor="text1"/>
          <w:sz w:val="28"/>
          <w:szCs w:val="28"/>
          <w:shd w:val="clear" w:color="auto" w:fill="FFFFFF"/>
        </w:rPr>
        <w:t xml:space="preserve"> vigente incurre en un “yerro manifiesto y de una entidad tal que justifique alterar la regla de decisión existente”</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Estas exigencias </w:t>
      </w:r>
      <w:r w:rsidRPr="002F3D0A">
        <w:rPr>
          <w:rFonts w:ascii="Times New Roman" w:hAnsi="Times New Roman" w:cs="Times New Roman"/>
          <w:bCs/>
          <w:color w:val="000000" w:themeColor="text1"/>
          <w:sz w:val="28"/>
          <w:szCs w:val="28"/>
        </w:rPr>
        <w:t xml:space="preserve">argumentativas </w:t>
      </w:r>
      <w:r w:rsidRPr="002F3D0A">
        <w:rPr>
          <w:rFonts w:ascii="Times New Roman" w:hAnsi="Times New Roman" w:cs="Times New Roman"/>
          <w:bCs/>
          <w:color w:val="000000" w:themeColor="text1"/>
          <w:sz w:val="28"/>
          <w:szCs w:val="28"/>
        </w:rPr>
        <w:t xml:space="preserve">obedecen a la fuerza del precedente constitucional, </w:t>
      </w:r>
      <w:r w:rsidRPr="002F3D0A">
        <w:rPr>
          <w:rFonts w:ascii="Times New Roman" w:hAnsi="Times New Roman" w:cs="Times New Roman"/>
          <w:bCs/>
          <w:color w:val="000000" w:themeColor="text1"/>
          <w:sz w:val="28"/>
          <w:szCs w:val="28"/>
        </w:rPr>
        <w:t>la seguridad jurídica</w:t>
      </w:r>
      <w:r w:rsidRPr="002F3D0A">
        <w:rPr>
          <w:rFonts w:ascii="Times New Roman" w:hAnsi="Times New Roman" w:cs="Times New Roman"/>
          <w:bCs/>
          <w:color w:val="000000" w:themeColor="text1"/>
          <w:sz w:val="28"/>
          <w:szCs w:val="28"/>
        </w:rPr>
        <w:t xml:space="preserve"> y el principio de igualdad</w:t>
      </w:r>
      <w:r w:rsidRPr="002F3D0A">
        <w:rPr>
          <w:rFonts w:ascii="Times New Roman" w:hAnsi="Times New Roman" w:cs="Times New Roman"/>
          <w:bCs/>
          <w:color w:val="000000" w:themeColor="text1"/>
          <w:sz w:val="28"/>
          <w:szCs w:val="28"/>
        </w:rPr>
        <w:t>.</w:t>
      </w:r>
    </w:p>
    <w:p w:rsidR="00B65296" w:rsidRPr="002F3D0A" w:rsidRDefault="002F3D0A" w:rsidP="00B65296">
      <w:pPr>
        <w:pStyle w:val="Prrafodelista"/>
        <w:rPr>
          <w:rFonts w:ascii="Times New Roman" w:hAnsi="Times New Roman" w:cs="Times New Roman"/>
          <w:b/>
          <w:bCs/>
          <w:sz w:val="28"/>
          <w:szCs w:val="28"/>
        </w:rPr>
      </w:pPr>
    </w:p>
    <w:p w:rsidR="008C6052" w:rsidRPr="002F3D0A" w:rsidRDefault="002F3D0A" w:rsidP="00ED73DC">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
          <w:bCs/>
          <w:sz w:val="28"/>
          <w:szCs w:val="28"/>
        </w:rPr>
        <w:t>El examen de las razones propuestas en el cargo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Lo primero que debe precisarse es que los actores señalaron que </w:t>
      </w:r>
      <w:r w:rsidRPr="002F3D0A">
        <w:rPr>
          <w:rFonts w:ascii="Times New Roman" w:hAnsi="Times New Roman" w:cs="Times New Roman"/>
          <w:bCs/>
          <w:sz w:val="28"/>
          <w:szCs w:val="28"/>
        </w:rPr>
        <w:t xml:space="preserve">el precedente de las </w:t>
      </w:r>
      <w:bookmarkStart w:id="22" w:name="_Hlk178846333"/>
      <w:r w:rsidRPr="002F3D0A">
        <w:rPr>
          <w:rFonts w:ascii="Times New Roman" w:hAnsi="Times New Roman" w:cs="Times New Roman"/>
          <w:bCs/>
          <w:sz w:val="28"/>
          <w:szCs w:val="28"/>
        </w:rPr>
        <w:t xml:space="preserve">sentencias C-876 de 2002 y C-990 de 2004 </w:t>
      </w:r>
      <w:bookmarkEnd w:id="22"/>
      <w:r w:rsidRPr="002F3D0A">
        <w:rPr>
          <w:rFonts w:ascii="Times New Roman" w:hAnsi="Times New Roman" w:cs="Times New Roman"/>
          <w:bCs/>
          <w:sz w:val="28"/>
          <w:szCs w:val="28"/>
        </w:rPr>
        <w:t>no es aplicable para el presen</w:t>
      </w:r>
      <w:r w:rsidRPr="002F3D0A">
        <w:rPr>
          <w:rFonts w:ascii="Times New Roman" w:hAnsi="Times New Roman" w:cs="Times New Roman"/>
          <w:bCs/>
          <w:sz w:val="28"/>
          <w:szCs w:val="28"/>
        </w:rPr>
        <w:t>te asunto, a pesar de que el cargo cuestiona la inclusión de la propiedad inmueble en la base gravable del impuesto al patrimonio a la luz del artículo 317 superior</w:t>
      </w:r>
      <w:r w:rsidRPr="002F3D0A">
        <w:rPr>
          <w:rFonts w:ascii="Times New Roman" w:hAnsi="Times New Roman" w:cs="Times New Roman"/>
          <w:bCs/>
          <w:sz w:val="28"/>
          <w:szCs w:val="28"/>
        </w:rPr>
        <w:t xml:space="preserve">, que corresponde al mismo </w:t>
      </w:r>
      <w:r w:rsidRPr="002F3D0A">
        <w:rPr>
          <w:rFonts w:ascii="Times New Roman" w:hAnsi="Times New Roman" w:cs="Times New Roman"/>
          <w:bCs/>
          <w:sz w:val="28"/>
          <w:szCs w:val="28"/>
        </w:rPr>
        <w:t>problema jurídico</w:t>
      </w:r>
      <w:r w:rsidRPr="002F3D0A">
        <w:rPr>
          <w:rFonts w:ascii="Times New Roman" w:hAnsi="Times New Roman" w:cs="Times New Roman"/>
          <w:bCs/>
          <w:sz w:val="28"/>
          <w:szCs w:val="28"/>
        </w:rPr>
        <w:t xml:space="preserve"> decidido en las sentencias en mención</w:t>
      </w:r>
      <w:r w:rsidRPr="002F3D0A">
        <w:rPr>
          <w:rFonts w:ascii="Times New Roman" w:hAnsi="Times New Roman" w:cs="Times New Roman"/>
          <w:bCs/>
          <w:sz w:val="28"/>
          <w:szCs w:val="28"/>
        </w:rPr>
        <w:t xml:space="preserve">. Para sustentar </w:t>
      </w:r>
      <w:r w:rsidRPr="002F3D0A">
        <w:rPr>
          <w:rFonts w:ascii="Times New Roman" w:hAnsi="Times New Roman" w:cs="Times New Roman"/>
          <w:bCs/>
          <w:sz w:val="28"/>
          <w:szCs w:val="28"/>
        </w:rPr>
        <w:t>su postura los ciudadanos</w:t>
      </w:r>
      <w:r w:rsidRPr="002F3D0A">
        <w:rPr>
          <w:rFonts w:ascii="Times New Roman" w:hAnsi="Times New Roman" w:cs="Times New Roman"/>
          <w:bCs/>
          <w:sz w:val="28"/>
          <w:szCs w:val="28"/>
        </w:rPr>
        <w:t xml:space="preserve"> se limitaron a identificar dos diferencias entre los impuestos examinados en las sentencias </w:t>
      </w:r>
      <w:r w:rsidRPr="002F3D0A">
        <w:rPr>
          <w:rFonts w:ascii="Times New Roman" w:hAnsi="Times New Roman" w:cs="Times New Roman"/>
          <w:bCs/>
          <w:sz w:val="28"/>
          <w:szCs w:val="28"/>
        </w:rPr>
        <w:t>previas</w:t>
      </w:r>
      <w:r w:rsidRPr="002F3D0A">
        <w:rPr>
          <w:rFonts w:ascii="Times New Roman" w:hAnsi="Times New Roman" w:cs="Times New Roman"/>
          <w:bCs/>
          <w:sz w:val="28"/>
          <w:szCs w:val="28"/>
        </w:rPr>
        <w:t xml:space="preserve"> y los rasgos del tributo cuestionado en esta oportunidad. En particular, aludieron a</w:t>
      </w:r>
      <w:r w:rsidRPr="002F3D0A">
        <w:rPr>
          <w:rFonts w:ascii="Times New Roman" w:hAnsi="Times New Roman" w:cs="Times New Roman"/>
          <w:bCs/>
          <w:sz w:val="28"/>
          <w:szCs w:val="28"/>
        </w:rPr>
        <w:t>: (i) e</w:t>
      </w:r>
      <w:r w:rsidRPr="002F3D0A">
        <w:rPr>
          <w:rFonts w:ascii="Times New Roman" w:hAnsi="Times New Roman" w:cs="Times New Roman"/>
          <w:bCs/>
          <w:sz w:val="28"/>
          <w:szCs w:val="28"/>
        </w:rPr>
        <w:t xml:space="preserve">l carácter permanente </w:t>
      </w:r>
      <w:r w:rsidRPr="002F3D0A">
        <w:rPr>
          <w:rFonts w:ascii="Times New Roman" w:hAnsi="Times New Roman" w:cs="Times New Roman"/>
          <w:bCs/>
          <w:sz w:val="28"/>
          <w:szCs w:val="28"/>
        </w:rPr>
        <w:t xml:space="preserve">del tributo y </w:t>
      </w:r>
      <w:r w:rsidRPr="002F3D0A">
        <w:rPr>
          <w:rFonts w:ascii="Times New Roman" w:hAnsi="Times New Roman" w:cs="Times New Roman"/>
          <w:bCs/>
          <w:sz w:val="28"/>
          <w:szCs w:val="28"/>
        </w:rPr>
        <w:t xml:space="preserve">(ii) </w:t>
      </w:r>
      <w:r w:rsidRPr="002F3D0A">
        <w:rPr>
          <w:rFonts w:ascii="Times New Roman" w:hAnsi="Times New Roman" w:cs="Times New Roman"/>
          <w:bCs/>
          <w:sz w:val="28"/>
          <w:szCs w:val="28"/>
        </w:rPr>
        <w:t xml:space="preserve">a la imposibilidad </w:t>
      </w:r>
      <w:r w:rsidRPr="002F3D0A">
        <w:rPr>
          <w:rFonts w:ascii="Times New Roman" w:hAnsi="Times New Roman" w:cs="Times New Roman"/>
          <w:bCs/>
          <w:sz w:val="28"/>
          <w:szCs w:val="28"/>
        </w:rPr>
        <w:t xml:space="preserve">para algunos sujetos como las sociedades extranjeras </w:t>
      </w:r>
      <w:r w:rsidRPr="002F3D0A">
        <w:rPr>
          <w:rFonts w:ascii="Times New Roman" w:hAnsi="Times New Roman" w:cs="Times New Roman"/>
          <w:bCs/>
          <w:sz w:val="28"/>
          <w:szCs w:val="28"/>
        </w:rPr>
        <w:t xml:space="preserve">de deducir de la base gravable una proporción de la propiedad </w:t>
      </w:r>
      <w:r w:rsidRPr="002F3D0A">
        <w:rPr>
          <w:rFonts w:ascii="Times New Roman" w:hAnsi="Times New Roman" w:cs="Times New Roman"/>
          <w:bCs/>
          <w:sz w:val="28"/>
          <w:szCs w:val="28"/>
        </w:rPr>
        <w:t>inmueble.</w:t>
      </w:r>
    </w:p>
    <w:p w:rsidR="008C6052" w:rsidRPr="002F3D0A" w:rsidRDefault="002F3D0A" w:rsidP="008C6052">
      <w:pPr>
        <w:pStyle w:val="Prrafodelista"/>
        <w:rPr>
          <w:rFonts w:ascii="Times New Roman" w:hAnsi="Times New Roman" w:cs="Times New Roman"/>
          <w:bCs/>
          <w:sz w:val="28"/>
          <w:szCs w:val="28"/>
        </w:rPr>
      </w:pPr>
    </w:p>
    <w:p w:rsidR="002776F7" w:rsidRPr="002F3D0A" w:rsidRDefault="002F3D0A" w:rsidP="008274AE">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Los elementos mencionados por los demandantes no logra</w:t>
      </w:r>
      <w:r w:rsidRPr="002F3D0A">
        <w:rPr>
          <w:rFonts w:ascii="Times New Roman" w:hAnsi="Times New Roman" w:cs="Times New Roman"/>
          <w:bCs/>
          <w:sz w:val="28"/>
          <w:szCs w:val="28"/>
        </w:rPr>
        <w:t xml:space="preserve">ron </w:t>
      </w:r>
      <w:r w:rsidRPr="002F3D0A">
        <w:rPr>
          <w:rFonts w:ascii="Times New Roman" w:hAnsi="Times New Roman" w:cs="Times New Roman"/>
          <w:bCs/>
          <w:sz w:val="28"/>
          <w:szCs w:val="28"/>
        </w:rPr>
        <w:t>evidenciar que el precedente fijad</w:t>
      </w:r>
      <w:r w:rsidRPr="002F3D0A">
        <w:rPr>
          <w:rFonts w:ascii="Times New Roman" w:hAnsi="Times New Roman" w:cs="Times New Roman"/>
          <w:bCs/>
          <w:sz w:val="28"/>
          <w:szCs w:val="28"/>
        </w:rPr>
        <w:t xml:space="preserve">o en las sentencias C-876 de 2002 y C-990 de 2004 no es aplicable al asunto que proponen en la demanda. Esto, porque hicieron una alusión general al carácter permanente del impuesto sin explicar cómo ese rasgo </w:t>
      </w:r>
      <w:r w:rsidRPr="002F3D0A">
        <w:rPr>
          <w:rFonts w:ascii="Times New Roman" w:hAnsi="Times New Roman" w:cs="Times New Roman"/>
          <w:bCs/>
          <w:sz w:val="28"/>
          <w:szCs w:val="28"/>
        </w:rPr>
        <w:t xml:space="preserve">diferencia </w:t>
      </w:r>
      <w:r w:rsidRPr="002F3D0A">
        <w:rPr>
          <w:rFonts w:ascii="Times New Roman" w:hAnsi="Times New Roman" w:cs="Times New Roman"/>
          <w:bCs/>
          <w:sz w:val="28"/>
          <w:szCs w:val="28"/>
        </w:rPr>
        <w:t>el cargo que proponen d</w:t>
      </w:r>
      <w:r w:rsidRPr="002F3D0A">
        <w:rPr>
          <w:rFonts w:ascii="Times New Roman" w:hAnsi="Times New Roman" w:cs="Times New Roman"/>
          <w:bCs/>
          <w:sz w:val="28"/>
          <w:szCs w:val="28"/>
        </w:rPr>
        <w:t xml:space="preserve">el problema </w:t>
      </w:r>
      <w:r w:rsidRPr="002F3D0A">
        <w:rPr>
          <w:rFonts w:ascii="Times New Roman" w:hAnsi="Times New Roman" w:cs="Times New Roman"/>
          <w:bCs/>
          <w:sz w:val="28"/>
          <w:szCs w:val="28"/>
        </w:rPr>
        <w:t>jurídico examinado en el</w:t>
      </w:r>
      <w:r w:rsidRPr="002F3D0A">
        <w:rPr>
          <w:rFonts w:ascii="Times New Roman" w:hAnsi="Times New Roman" w:cs="Times New Roman"/>
          <w:bCs/>
          <w:sz w:val="28"/>
          <w:szCs w:val="28"/>
        </w:rPr>
        <w:t xml:space="preserve"> precedente vigente</w:t>
      </w:r>
      <w:r w:rsidRPr="002F3D0A">
        <w:rPr>
          <w:rFonts w:ascii="Times New Roman" w:hAnsi="Times New Roman" w:cs="Times New Roman"/>
          <w:bCs/>
          <w:sz w:val="28"/>
          <w:szCs w:val="28"/>
        </w:rPr>
        <w:t xml:space="preserve"> que establece el alcance de la competencia de los municipios para gravar la propiedad inmueble prevista en el artículo 317 de la Constitución Política</w:t>
      </w:r>
      <w:r w:rsidRPr="002F3D0A">
        <w:rPr>
          <w:rFonts w:ascii="Times New Roman" w:hAnsi="Times New Roman" w:cs="Times New Roman"/>
          <w:bCs/>
          <w:sz w:val="28"/>
          <w:szCs w:val="28"/>
        </w:rPr>
        <w:t>. Adicionalmente, omitieron considerar que en el diseño del im</w:t>
      </w:r>
      <w:r w:rsidRPr="002F3D0A">
        <w:rPr>
          <w:rFonts w:ascii="Times New Roman" w:hAnsi="Times New Roman" w:cs="Times New Roman"/>
          <w:bCs/>
          <w:sz w:val="28"/>
          <w:szCs w:val="28"/>
        </w:rPr>
        <w:t>puesto examinado en la sentencia C-876 de 2002 no se permitía en ningún caso deducir la propiedad inmueble de la base gravable y en el tributo examinado en la sentencia C-990 de 2004 algunos sujetos como las sociedades tampoco podían deducir una proporción</w:t>
      </w:r>
      <w:r w:rsidRPr="002F3D0A">
        <w:rPr>
          <w:rFonts w:ascii="Times New Roman" w:hAnsi="Times New Roman" w:cs="Times New Roman"/>
          <w:bCs/>
          <w:sz w:val="28"/>
          <w:szCs w:val="28"/>
        </w:rPr>
        <w:t xml:space="preserve"> de la propiedad inmueble de la base gravable.</w:t>
      </w:r>
    </w:p>
    <w:p w:rsidR="008C6052" w:rsidRPr="002F3D0A" w:rsidRDefault="002F3D0A" w:rsidP="008C6052">
      <w:pPr>
        <w:pStyle w:val="Prrafodelista"/>
        <w:rPr>
          <w:rFonts w:ascii="Times New Roman" w:hAnsi="Times New Roman" w:cs="Times New Roman"/>
          <w:bCs/>
          <w:sz w:val="28"/>
          <w:szCs w:val="28"/>
        </w:rPr>
      </w:pPr>
    </w:p>
    <w:p w:rsidR="002837BC" w:rsidRPr="002F3D0A" w:rsidRDefault="002F3D0A" w:rsidP="008274AE">
      <w:pPr>
        <w:pStyle w:val="Prrafodelista"/>
        <w:numPr>
          <w:ilvl w:val="0"/>
          <w:numId w:val="1"/>
        </w:numPr>
        <w:ind w:left="0" w:firstLine="0"/>
        <w:rPr>
          <w:rStyle w:val="normaltextrun"/>
          <w:rFonts w:ascii="Times New Roman" w:hAnsi="Times New Roman" w:cs="Times New Roman"/>
          <w:bCs/>
          <w:color w:val="000000" w:themeColor="text1"/>
          <w:sz w:val="28"/>
          <w:szCs w:val="28"/>
        </w:rPr>
      </w:pPr>
      <w:r w:rsidRPr="002F3D0A">
        <w:rPr>
          <w:rFonts w:ascii="Times New Roman" w:hAnsi="Times New Roman" w:cs="Times New Roman"/>
          <w:bCs/>
          <w:color w:val="000000" w:themeColor="text1"/>
          <w:sz w:val="28"/>
          <w:szCs w:val="28"/>
        </w:rPr>
        <w:t xml:space="preserve">De manera que, </w:t>
      </w:r>
      <w:r w:rsidRPr="002F3D0A">
        <w:rPr>
          <w:rFonts w:ascii="Times New Roman" w:hAnsi="Times New Roman" w:cs="Times New Roman"/>
          <w:bCs/>
          <w:color w:val="000000" w:themeColor="text1"/>
          <w:sz w:val="28"/>
          <w:szCs w:val="28"/>
        </w:rPr>
        <w:t xml:space="preserve">los actores no presentaron elementos que permitan establecer que el precedente definido en las sentencias C-876 de 2002 y C-990 de 2004 no resulta aplicable al cargo que proponen en la demanda por violación del artículo 317 superior. </w:t>
      </w:r>
      <w:r w:rsidRPr="002F3D0A">
        <w:rPr>
          <w:rStyle w:val="normaltextrun"/>
          <w:rFonts w:ascii="Times New Roman" w:hAnsi="Times New Roman" w:cs="Times New Roman"/>
          <w:color w:val="000000" w:themeColor="text1"/>
          <w:sz w:val="28"/>
          <w:szCs w:val="28"/>
          <w:shd w:val="clear" w:color="auto" w:fill="FFFFFF"/>
        </w:rPr>
        <w:t>Admitir que por el sol</w:t>
      </w:r>
      <w:r w:rsidRPr="002F3D0A">
        <w:rPr>
          <w:rStyle w:val="normaltextrun"/>
          <w:rFonts w:ascii="Times New Roman" w:hAnsi="Times New Roman" w:cs="Times New Roman"/>
          <w:color w:val="000000" w:themeColor="text1"/>
          <w:sz w:val="28"/>
          <w:szCs w:val="28"/>
          <w:shd w:val="clear" w:color="auto" w:fill="FFFFFF"/>
        </w:rPr>
        <w:t xml:space="preserve">o hecho de que los demandantes indiquen que un precedente constitucional no es aplicable se </w:t>
      </w:r>
      <w:r w:rsidRPr="002F3D0A">
        <w:rPr>
          <w:rStyle w:val="normaltextrun"/>
          <w:rFonts w:ascii="Times New Roman" w:hAnsi="Times New Roman" w:cs="Times New Roman"/>
          <w:color w:val="000000" w:themeColor="text1"/>
          <w:sz w:val="28"/>
          <w:szCs w:val="28"/>
          <w:shd w:val="clear" w:color="auto" w:fill="FFFFFF"/>
        </w:rPr>
        <w:t>pued</w:t>
      </w:r>
      <w:r w:rsidRPr="002F3D0A">
        <w:rPr>
          <w:rStyle w:val="normaltextrun"/>
          <w:rFonts w:ascii="Times New Roman" w:hAnsi="Times New Roman" w:cs="Times New Roman"/>
          <w:color w:val="000000" w:themeColor="text1"/>
          <w:sz w:val="28"/>
          <w:szCs w:val="28"/>
          <w:shd w:val="clear" w:color="auto" w:fill="FFFFFF"/>
        </w:rPr>
        <w:t>a</w:t>
      </w:r>
      <w:r w:rsidRPr="002F3D0A">
        <w:rPr>
          <w:rStyle w:val="normaltextrun"/>
          <w:rFonts w:ascii="Times New Roman" w:hAnsi="Times New Roman" w:cs="Times New Roman"/>
          <w:color w:val="000000" w:themeColor="text1"/>
          <w:sz w:val="28"/>
          <w:szCs w:val="28"/>
          <w:shd w:val="clear" w:color="auto" w:fill="FFFFFF"/>
        </w:rPr>
        <w:t xml:space="preserve"> desconocer la vinculatoriedad de un precedente constitucional</w:t>
      </w:r>
      <w:r w:rsidRPr="002F3D0A">
        <w:rPr>
          <w:rStyle w:val="normaltextrun"/>
          <w:rFonts w:ascii="Times New Roman" w:hAnsi="Times New Roman" w:cs="Times New Roman"/>
          <w:color w:val="000000" w:themeColor="text1"/>
          <w:sz w:val="28"/>
          <w:szCs w:val="28"/>
          <w:shd w:val="clear" w:color="auto" w:fill="FFFFFF"/>
        </w:rPr>
        <w:t xml:space="preserve"> afecta</w:t>
      </w:r>
      <w:r w:rsidRPr="002F3D0A">
        <w:rPr>
          <w:rStyle w:val="normaltextrun"/>
          <w:rFonts w:ascii="Times New Roman" w:hAnsi="Times New Roman" w:cs="Times New Roman"/>
          <w:color w:val="000000" w:themeColor="text1"/>
          <w:sz w:val="28"/>
          <w:szCs w:val="28"/>
          <w:shd w:val="clear" w:color="auto" w:fill="FFFFFF"/>
        </w:rPr>
        <w:t>ría</w:t>
      </w:r>
      <w:r w:rsidRPr="002F3D0A">
        <w:rPr>
          <w:rStyle w:val="normaltextrun"/>
          <w:rFonts w:ascii="Times New Roman" w:hAnsi="Times New Roman" w:cs="Times New Roman"/>
          <w:color w:val="000000" w:themeColor="text1"/>
          <w:sz w:val="28"/>
          <w:szCs w:val="28"/>
          <w:shd w:val="clear" w:color="auto" w:fill="FFFFFF"/>
        </w:rPr>
        <w:t xml:space="preserve"> </w:t>
      </w:r>
      <w:r w:rsidRPr="002F3D0A">
        <w:rPr>
          <w:rStyle w:val="normaltextrun"/>
          <w:rFonts w:ascii="Times New Roman" w:hAnsi="Times New Roman" w:cs="Times New Roman"/>
          <w:color w:val="000000" w:themeColor="text1"/>
          <w:sz w:val="28"/>
          <w:szCs w:val="28"/>
          <w:shd w:val="clear" w:color="auto" w:fill="FFFFFF"/>
        </w:rPr>
        <w:t>la supremacía constitucional y los mandatos de igualdad</w:t>
      </w:r>
      <w:r w:rsidRPr="002F3D0A">
        <w:rPr>
          <w:rStyle w:val="normaltextrun"/>
          <w:rFonts w:ascii="Times New Roman" w:hAnsi="Times New Roman" w:cs="Times New Roman"/>
          <w:color w:val="000000" w:themeColor="text1"/>
          <w:sz w:val="28"/>
          <w:szCs w:val="28"/>
          <w:shd w:val="clear" w:color="auto" w:fill="FFFFFF"/>
        </w:rPr>
        <w:t xml:space="preserve"> y la seguridad jurídica.</w:t>
      </w:r>
    </w:p>
    <w:p w:rsidR="002837BC" w:rsidRPr="002F3D0A" w:rsidRDefault="002F3D0A" w:rsidP="002837BC">
      <w:pPr>
        <w:pStyle w:val="Prrafodelista"/>
        <w:rPr>
          <w:rStyle w:val="normaltextrun"/>
          <w:rFonts w:ascii="Times New Roman" w:hAnsi="Times New Roman" w:cs="Times New Roman"/>
          <w:color w:val="000000" w:themeColor="text1"/>
          <w:sz w:val="28"/>
          <w:szCs w:val="28"/>
          <w:shd w:val="clear" w:color="auto" w:fill="FFFFFF"/>
        </w:rPr>
      </w:pPr>
    </w:p>
    <w:p w:rsidR="00B644F9" w:rsidRPr="002F3D0A" w:rsidRDefault="002F3D0A" w:rsidP="008274AE">
      <w:pPr>
        <w:pStyle w:val="Prrafodelista"/>
        <w:numPr>
          <w:ilvl w:val="0"/>
          <w:numId w:val="1"/>
        </w:numPr>
        <w:ind w:left="0" w:firstLine="0"/>
        <w:rPr>
          <w:rStyle w:val="normaltextrun"/>
          <w:rFonts w:ascii="Times New Roman" w:hAnsi="Times New Roman" w:cs="Times New Roman"/>
          <w:bCs/>
          <w:color w:val="000000" w:themeColor="text1"/>
          <w:sz w:val="28"/>
          <w:szCs w:val="28"/>
        </w:rPr>
      </w:pPr>
      <w:r w:rsidRPr="002F3D0A">
        <w:rPr>
          <w:rStyle w:val="normaltextrun"/>
          <w:rFonts w:ascii="Times New Roman" w:hAnsi="Times New Roman" w:cs="Times New Roman"/>
          <w:color w:val="000000" w:themeColor="text1"/>
          <w:sz w:val="28"/>
          <w:szCs w:val="28"/>
          <w:shd w:val="clear" w:color="auto" w:fill="FFFFFF"/>
        </w:rPr>
        <w:t xml:space="preserve"> </w:t>
      </w:r>
      <w:r w:rsidRPr="002F3D0A">
        <w:rPr>
          <w:rStyle w:val="normaltextrun"/>
          <w:rFonts w:ascii="Times New Roman" w:hAnsi="Times New Roman" w:cs="Times New Roman"/>
          <w:color w:val="000000" w:themeColor="text1"/>
          <w:sz w:val="28"/>
          <w:szCs w:val="28"/>
          <w:shd w:val="clear" w:color="auto" w:fill="FFFFFF"/>
        </w:rPr>
        <w:t xml:space="preserve">En </w:t>
      </w:r>
      <w:r w:rsidRPr="002F3D0A">
        <w:rPr>
          <w:rStyle w:val="normaltextrun"/>
          <w:rFonts w:ascii="Times New Roman" w:hAnsi="Times New Roman" w:cs="Times New Roman"/>
          <w:color w:val="000000" w:themeColor="text1"/>
          <w:sz w:val="28"/>
          <w:szCs w:val="28"/>
          <w:shd w:val="clear" w:color="auto" w:fill="FFFFFF"/>
        </w:rPr>
        <w:t xml:space="preserve">el presente asunto no puede perderse de vista que </w:t>
      </w:r>
      <w:r w:rsidRPr="002F3D0A">
        <w:rPr>
          <w:rStyle w:val="normaltextrun"/>
          <w:rFonts w:ascii="Times New Roman" w:hAnsi="Times New Roman" w:cs="Times New Roman"/>
          <w:color w:val="000000" w:themeColor="text1"/>
          <w:sz w:val="28"/>
          <w:szCs w:val="28"/>
          <w:shd w:val="clear" w:color="auto" w:fill="FFFFFF"/>
        </w:rPr>
        <w:t xml:space="preserve">la existencia de un precedente constitucional en </w:t>
      </w:r>
      <w:r w:rsidRPr="002F3D0A">
        <w:rPr>
          <w:rStyle w:val="normaltextrun"/>
          <w:rFonts w:ascii="Times New Roman" w:hAnsi="Times New Roman" w:cs="Times New Roman"/>
          <w:color w:val="000000" w:themeColor="text1"/>
          <w:sz w:val="28"/>
          <w:szCs w:val="28"/>
          <w:shd w:val="clear" w:color="auto" w:fill="FFFFFF"/>
        </w:rPr>
        <w:t>relación con la inclusión de la propiedad inmueble en la base gravable de impuestos al patrimonio a la luz</w:t>
      </w:r>
      <w:r w:rsidRPr="002F3D0A">
        <w:rPr>
          <w:rStyle w:val="normaltextrun"/>
          <w:rFonts w:ascii="Times New Roman" w:hAnsi="Times New Roman" w:cs="Times New Roman"/>
          <w:color w:val="000000" w:themeColor="text1"/>
          <w:sz w:val="28"/>
          <w:szCs w:val="28"/>
          <w:shd w:val="clear" w:color="auto" w:fill="FFFFFF"/>
        </w:rPr>
        <w:t xml:space="preserve"> del artículo 317 superior ha sido reconocido en</w:t>
      </w:r>
      <w:r w:rsidRPr="002F3D0A">
        <w:rPr>
          <w:rStyle w:val="normaltextrun"/>
          <w:rFonts w:ascii="Times New Roman" w:hAnsi="Times New Roman" w:cs="Times New Roman"/>
          <w:color w:val="000000" w:themeColor="text1"/>
          <w:sz w:val="28"/>
          <w:szCs w:val="28"/>
          <w:shd w:val="clear" w:color="auto" w:fill="FFFFFF"/>
        </w:rPr>
        <w:t xml:space="preserve"> ot</w:t>
      </w:r>
      <w:r w:rsidRPr="002F3D0A">
        <w:rPr>
          <w:rStyle w:val="normaltextrun"/>
          <w:rFonts w:ascii="Times New Roman" w:hAnsi="Times New Roman" w:cs="Times New Roman"/>
          <w:color w:val="000000" w:themeColor="text1"/>
          <w:sz w:val="28"/>
          <w:szCs w:val="28"/>
          <w:shd w:val="clear" w:color="auto" w:fill="FFFFFF"/>
        </w:rPr>
        <w:t>ras oportunidades por esta Corporación. Así</w:t>
      </w:r>
      <w:r w:rsidRPr="002F3D0A">
        <w:rPr>
          <w:rStyle w:val="normaltextrun"/>
          <w:rFonts w:ascii="Times New Roman" w:hAnsi="Times New Roman" w:cs="Times New Roman"/>
          <w:color w:val="000000" w:themeColor="text1"/>
          <w:sz w:val="28"/>
          <w:szCs w:val="28"/>
          <w:shd w:val="clear" w:color="auto" w:fill="FFFFFF"/>
        </w:rPr>
        <w:t xml:space="preserve"> </w:t>
      </w:r>
      <w:r w:rsidRPr="002F3D0A">
        <w:rPr>
          <w:rStyle w:val="normaltextrun"/>
          <w:rFonts w:ascii="Times New Roman" w:hAnsi="Times New Roman" w:cs="Times New Roman"/>
          <w:color w:val="000000" w:themeColor="text1"/>
          <w:sz w:val="28"/>
          <w:szCs w:val="28"/>
          <w:shd w:val="clear" w:color="auto" w:fill="FFFFFF"/>
        </w:rPr>
        <w:t>se reconoció en la</w:t>
      </w:r>
      <w:r w:rsidRPr="002F3D0A">
        <w:rPr>
          <w:rStyle w:val="normaltextrun"/>
          <w:rFonts w:ascii="Times New Roman" w:hAnsi="Times New Roman" w:cs="Times New Roman"/>
          <w:color w:val="000000" w:themeColor="text1"/>
          <w:sz w:val="28"/>
          <w:szCs w:val="28"/>
          <w:shd w:val="clear" w:color="auto" w:fill="FFFFFF"/>
        </w:rPr>
        <w:t xml:space="preserve"> sentencia C-393 de 2023 </w:t>
      </w:r>
      <w:r w:rsidRPr="002F3D0A">
        <w:rPr>
          <w:rStyle w:val="normaltextrun"/>
          <w:rFonts w:ascii="Times New Roman" w:hAnsi="Times New Roman" w:cs="Times New Roman"/>
          <w:color w:val="000000" w:themeColor="text1"/>
          <w:sz w:val="28"/>
          <w:szCs w:val="28"/>
          <w:shd w:val="clear" w:color="auto" w:fill="FFFFFF"/>
        </w:rPr>
        <w:t>al examinar un cargo que cuestionaba</w:t>
      </w:r>
      <w:r w:rsidRPr="002F3D0A">
        <w:rPr>
          <w:rStyle w:val="normaltextrun"/>
          <w:rFonts w:ascii="Times New Roman" w:hAnsi="Times New Roman" w:cs="Times New Roman"/>
          <w:color w:val="000000" w:themeColor="text1"/>
          <w:sz w:val="28"/>
          <w:szCs w:val="28"/>
          <w:shd w:val="clear" w:color="auto" w:fill="FFFFFF"/>
        </w:rPr>
        <w:t xml:space="preserve"> la misma disposición que acá se acusa</w:t>
      </w:r>
      <w:r w:rsidRPr="002F3D0A">
        <w:rPr>
          <w:rStyle w:val="normaltextrun"/>
          <w:rFonts w:ascii="Times New Roman" w:hAnsi="Times New Roman" w:cs="Times New Roman"/>
          <w:color w:val="000000" w:themeColor="text1"/>
          <w:sz w:val="28"/>
          <w:szCs w:val="28"/>
          <w:shd w:val="clear" w:color="auto" w:fill="FFFFFF"/>
        </w:rPr>
        <w:t xml:space="preserve"> </w:t>
      </w:r>
      <w:r w:rsidRPr="002F3D0A">
        <w:rPr>
          <w:rStyle w:val="normaltextrun"/>
          <w:rFonts w:ascii="Times New Roman" w:hAnsi="Times New Roman" w:cs="Times New Roman"/>
          <w:color w:val="000000" w:themeColor="text1"/>
          <w:sz w:val="28"/>
          <w:szCs w:val="28"/>
          <w:shd w:val="clear" w:color="auto" w:fill="FFFFFF"/>
        </w:rPr>
        <w:t xml:space="preserve">bajo el mismo parámetro constitucional </w:t>
      </w:r>
      <w:r w:rsidRPr="002F3D0A">
        <w:rPr>
          <w:rStyle w:val="normaltextrun"/>
          <w:rFonts w:ascii="Times New Roman" w:hAnsi="Times New Roman" w:cs="Times New Roman"/>
          <w:color w:val="000000" w:themeColor="text1"/>
          <w:sz w:val="28"/>
          <w:szCs w:val="28"/>
          <w:shd w:val="clear" w:color="auto" w:fill="FFFFFF"/>
        </w:rPr>
        <w:t>y en</w:t>
      </w:r>
      <w:r w:rsidRPr="002F3D0A">
        <w:rPr>
          <w:rStyle w:val="normaltextrun"/>
          <w:rFonts w:ascii="Times New Roman" w:hAnsi="Times New Roman" w:cs="Times New Roman"/>
          <w:color w:val="000000" w:themeColor="text1"/>
          <w:sz w:val="28"/>
          <w:szCs w:val="28"/>
          <w:shd w:val="clear" w:color="auto" w:fill="FFFFFF"/>
        </w:rPr>
        <w:t xml:space="preserve"> la sentencia C-257 de 2022 en la que se examinó un</w:t>
      </w:r>
      <w:r w:rsidRPr="002F3D0A">
        <w:rPr>
          <w:rStyle w:val="normaltextrun"/>
          <w:rFonts w:ascii="Times New Roman" w:hAnsi="Times New Roman" w:cs="Times New Roman"/>
          <w:color w:val="000000" w:themeColor="text1"/>
          <w:sz w:val="28"/>
          <w:szCs w:val="28"/>
          <w:shd w:val="clear" w:color="auto" w:fill="FFFFFF"/>
        </w:rPr>
        <w:t xml:space="preserve"> cargo contra la base gravable del impuesto al patrimonio creado en la Ley 2010 de 2019. </w:t>
      </w:r>
      <w:r w:rsidRPr="002F3D0A">
        <w:rPr>
          <w:rStyle w:val="normaltextrun"/>
          <w:rFonts w:ascii="Times New Roman" w:hAnsi="Times New Roman" w:cs="Times New Roman"/>
          <w:color w:val="000000" w:themeColor="text1"/>
          <w:sz w:val="28"/>
          <w:szCs w:val="28"/>
          <w:shd w:val="clear" w:color="auto" w:fill="FFFFFF"/>
        </w:rPr>
        <w:t>En esta última sentencia, la Corte descartó la cosa juzgada derivada de las sentencias C-876 de 2002 y C-990 de 2004, pero reconoció la existencia del precedente en lo</w:t>
      </w:r>
      <w:r w:rsidRPr="002F3D0A">
        <w:rPr>
          <w:rStyle w:val="normaltextrun"/>
          <w:rFonts w:ascii="Times New Roman" w:hAnsi="Times New Roman" w:cs="Times New Roman"/>
          <w:color w:val="000000" w:themeColor="text1"/>
          <w:sz w:val="28"/>
          <w:szCs w:val="28"/>
          <w:shd w:val="clear" w:color="auto" w:fill="FFFFFF"/>
        </w:rPr>
        <w:t>s siguientes términos:</w:t>
      </w:r>
    </w:p>
    <w:p w:rsidR="005F351D" w:rsidRPr="002F3D0A" w:rsidRDefault="002F3D0A" w:rsidP="005F351D">
      <w:pPr>
        <w:pStyle w:val="Prrafodelista"/>
        <w:ind w:left="0"/>
        <w:rPr>
          <w:rFonts w:ascii="Times New Roman" w:hAnsi="Times New Roman" w:cs="Times New Roman"/>
          <w:bCs/>
          <w:color w:val="000000" w:themeColor="text1"/>
          <w:sz w:val="28"/>
          <w:szCs w:val="28"/>
        </w:rPr>
      </w:pPr>
    </w:p>
    <w:p w:rsidR="005F351D" w:rsidRPr="002F3D0A" w:rsidRDefault="002F3D0A" w:rsidP="005F351D">
      <w:pPr>
        <w:pStyle w:val="Prrafodelista"/>
        <w:rPr>
          <w:rStyle w:val="normaltextrun"/>
          <w:rFonts w:ascii="Times New Roman" w:hAnsi="Times New Roman" w:cs="Times New Roman"/>
          <w:bCs/>
          <w:color w:val="000000" w:themeColor="text1"/>
          <w:sz w:val="28"/>
          <w:szCs w:val="24"/>
        </w:rPr>
      </w:pPr>
      <w:r w:rsidRPr="002F3D0A">
        <w:rPr>
          <w:rStyle w:val="normaltextrun"/>
          <w:rFonts w:ascii="Times New Roman" w:hAnsi="Times New Roman" w:cs="Times New Roman"/>
          <w:bCs/>
          <w:color w:val="000000" w:themeColor="text1"/>
          <w:sz w:val="28"/>
          <w:szCs w:val="24"/>
        </w:rPr>
        <w:t xml:space="preserve">“(…) si bien se ha constatado que de las sentencias C-876 de 2002 y C-990 de 2004 no deriva una cosa juzgada que impida un análisis de fondo, no puede pasarse por alto que dichos pronunciamientos se erigen como un precedente </w:t>
      </w:r>
      <w:r w:rsidRPr="002F3D0A">
        <w:rPr>
          <w:rStyle w:val="normaltextrun"/>
          <w:rFonts w:ascii="Times New Roman" w:hAnsi="Times New Roman" w:cs="Times New Roman"/>
          <w:bCs/>
          <w:color w:val="000000" w:themeColor="text1"/>
          <w:sz w:val="28"/>
          <w:szCs w:val="24"/>
        </w:rPr>
        <w:t>relevante para el presente análisis.</w:t>
      </w:r>
    </w:p>
    <w:p w:rsidR="005F351D" w:rsidRPr="002F3D0A" w:rsidRDefault="002F3D0A" w:rsidP="005F351D">
      <w:pPr>
        <w:pStyle w:val="Prrafodelista"/>
        <w:rPr>
          <w:rStyle w:val="normaltextrun"/>
          <w:rFonts w:ascii="Times New Roman" w:hAnsi="Times New Roman" w:cs="Times New Roman"/>
          <w:bCs/>
          <w:color w:val="000000" w:themeColor="text1"/>
          <w:sz w:val="28"/>
          <w:szCs w:val="24"/>
        </w:rPr>
      </w:pPr>
    </w:p>
    <w:p w:rsidR="005F351D" w:rsidRPr="002F3D0A" w:rsidRDefault="002F3D0A" w:rsidP="005F351D">
      <w:pPr>
        <w:pStyle w:val="Prrafodelista"/>
        <w:rPr>
          <w:rStyle w:val="normaltextrun"/>
          <w:rFonts w:ascii="Times New Roman" w:hAnsi="Times New Roman" w:cs="Times New Roman"/>
          <w:bCs/>
          <w:color w:val="000000" w:themeColor="text1"/>
          <w:sz w:val="28"/>
          <w:szCs w:val="24"/>
        </w:rPr>
      </w:pPr>
      <w:r w:rsidRPr="002F3D0A">
        <w:rPr>
          <w:rStyle w:val="normaltextrun"/>
          <w:rFonts w:ascii="Times New Roman" w:hAnsi="Times New Roman" w:cs="Times New Roman"/>
          <w:bCs/>
          <w:color w:val="000000" w:themeColor="text1"/>
          <w:sz w:val="28"/>
          <w:szCs w:val="24"/>
        </w:rPr>
        <w:t xml:space="preserve"> Esto, pues se verifica la existencia de elementos análogos, relacionados con un posible gravamen a la propiedad inmueble, instrumentado a través de gravámenes sobre el patrimonio. En dichos fallos, esta corporación contrastó el artículo 317 constitucional</w:t>
      </w:r>
      <w:r w:rsidRPr="002F3D0A">
        <w:rPr>
          <w:rStyle w:val="normaltextrun"/>
          <w:rFonts w:ascii="Times New Roman" w:hAnsi="Times New Roman" w:cs="Times New Roman"/>
          <w:bCs/>
          <w:color w:val="000000" w:themeColor="text1"/>
          <w:sz w:val="28"/>
          <w:szCs w:val="24"/>
        </w:rPr>
        <w:t xml:space="preserve"> con disposiciones legales análogas a la ahora analizada, por la incorporación de la propiedad inmueble a la base gravable de gravámenes sobre el patrimonio. En ambos casos, el resultado del análisis de la Corte Constitucional determinó que una base gravab</w:t>
      </w:r>
      <w:r w:rsidRPr="002F3D0A">
        <w:rPr>
          <w:rStyle w:val="normaltextrun"/>
          <w:rFonts w:ascii="Times New Roman" w:hAnsi="Times New Roman" w:cs="Times New Roman"/>
          <w:bCs/>
          <w:color w:val="000000" w:themeColor="text1"/>
          <w:sz w:val="28"/>
          <w:szCs w:val="24"/>
        </w:rPr>
        <w:t>le así instituida por el legislador no infringe la reserva tributaria conferida por el constituyente a los municipios, al por recaer sobre instituciones jurídicas diferente. Así, las bases gravables analizadas recaían sobre el patrimonio como realidad jurí</w:t>
      </w:r>
      <w:r w:rsidRPr="002F3D0A">
        <w:rPr>
          <w:rStyle w:val="normaltextrun"/>
          <w:rFonts w:ascii="Times New Roman" w:hAnsi="Times New Roman" w:cs="Times New Roman"/>
          <w:bCs/>
          <w:color w:val="000000" w:themeColor="text1"/>
          <w:sz w:val="28"/>
          <w:szCs w:val="24"/>
        </w:rPr>
        <w:t>dica distinguible de la propiedad inmueble, mientras que el artículo 317 constitucional solamente reserva en favor de los municipios aquellos gravámenes que recaigan directamente sobre esta última. Lo anterior implica que, desde un punto de vista sustantiv</w:t>
      </w:r>
      <w:r w:rsidRPr="002F3D0A">
        <w:rPr>
          <w:rStyle w:val="normaltextrun"/>
          <w:rFonts w:ascii="Times New Roman" w:hAnsi="Times New Roman" w:cs="Times New Roman"/>
          <w:bCs/>
          <w:color w:val="000000" w:themeColor="text1"/>
          <w:sz w:val="28"/>
          <w:szCs w:val="24"/>
        </w:rPr>
        <w:t>o, la cuestión jurídica resuelta entonces y la que ocupa ahora a la Sala Plena guarden correspondencia y por ello lo decidido por la Corte en las sentencias C-876 de 2002 y C-990 de 2004 constituya un precedente relevante para el análisis de constitucional</w:t>
      </w:r>
      <w:r w:rsidRPr="002F3D0A">
        <w:rPr>
          <w:rStyle w:val="normaltextrun"/>
          <w:rFonts w:ascii="Times New Roman" w:hAnsi="Times New Roman" w:cs="Times New Roman"/>
          <w:bCs/>
          <w:color w:val="000000" w:themeColor="text1"/>
          <w:sz w:val="28"/>
          <w:szCs w:val="24"/>
        </w:rPr>
        <w:t>idad.”</w:t>
      </w:r>
    </w:p>
    <w:p w:rsidR="00B644F9" w:rsidRPr="002F3D0A" w:rsidRDefault="002F3D0A" w:rsidP="00B644F9">
      <w:pPr>
        <w:pStyle w:val="Prrafodelista"/>
        <w:rPr>
          <w:rStyle w:val="normaltextrun"/>
          <w:rFonts w:ascii="Times New Roman" w:hAnsi="Times New Roman" w:cs="Times New Roman"/>
          <w:color w:val="000000"/>
          <w:sz w:val="28"/>
          <w:szCs w:val="28"/>
          <w:shd w:val="clear" w:color="auto" w:fill="FFFFFF"/>
        </w:rPr>
      </w:pPr>
    </w:p>
    <w:p w:rsidR="00B644F9" w:rsidRPr="002F3D0A" w:rsidRDefault="002F3D0A" w:rsidP="008274AE">
      <w:pPr>
        <w:pStyle w:val="Prrafodelista"/>
        <w:numPr>
          <w:ilvl w:val="0"/>
          <w:numId w:val="1"/>
        </w:numPr>
        <w:ind w:left="0" w:firstLine="0"/>
        <w:rPr>
          <w:rStyle w:val="normaltextrun"/>
          <w:rFonts w:ascii="Times New Roman" w:hAnsi="Times New Roman" w:cs="Times New Roman"/>
          <w:bCs/>
          <w:sz w:val="28"/>
          <w:szCs w:val="28"/>
        </w:rPr>
      </w:pPr>
      <w:r w:rsidRPr="002F3D0A">
        <w:rPr>
          <w:rStyle w:val="normaltextrun"/>
          <w:rFonts w:ascii="Times New Roman" w:hAnsi="Times New Roman" w:cs="Times New Roman"/>
          <w:color w:val="000000"/>
          <w:sz w:val="28"/>
          <w:szCs w:val="28"/>
          <w:shd w:val="clear" w:color="auto" w:fill="FFFFFF"/>
        </w:rPr>
        <w:t xml:space="preserve">En ese mismo sentido, </w:t>
      </w:r>
      <w:r w:rsidRPr="002F3D0A">
        <w:rPr>
          <w:rStyle w:val="normaltextrun"/>
          <w:rFonts w:ascii="Times New Roman" w:hAnsi="Times New Roman" w:cs="Times New Roman"/>
          <w:color w:val="000000"/>
          <w:sz w:val="28"/>
          <w:szCs w:val="28"/>
          <w:shd w:val="clear" w:color="auto" w:fill="FFFFFF"/>
        </w:rPr>
        <w:t xml:space="preserve">en el presente asunto se advierte que </w:t>
      </w:r>
      <w:r w:rsidRPr="002F3D0A">
        <w:rPr>
          <w:rStyle w:val="normaltextrun"/>
          <w:rFonts w:ascii="Times New Roman" w:hAnsi="Times New Roman" w:cs="Times New Roman"/>
          <w:color w:val="000000"/>
          <w:sz w:val="28"/>
          <w:szCs w:val="28"/>
          <w:shd w:val="clear" w:color="auto" w:fill="FFFFFF"/>
        </w:rPr>
        <w:t>el problema jurídico que proponen los demandantes en el cargo en el que cuestiona</w:t>
      </w:r>
      <w:r w:rsidRPr="002F3D0A">
        <w:rPr>
          <w:rStyle w:val="normaltextrun"/>
          <w:rFonts w:ascii="Times New Roman" w:hAnsi="Times New Roman" w:cs="Times New Roman"/>
          <w:color w:val="000000"/>
          <w:sz w:val="28"/>
          <w:szCs w:val="28"/>
          <w:shd w:val="clear" w:color="auto" w:fill="FFFFFF"/>
        </w:rPr>
        <w:t>n</w:t>
      </w:r>
      <w:r w:rsidRPr="002F3D0A">
        <w:rPr>
          <w:rStyle w:val="normaltextrun"/>
          <w:rFonts w:ascii="Times New Roman" w:hAnsi="Times New Roman" w:cs="Times New Roman"/>
          <w:color w:val="000000"/>
          <w:sz w:val="28"/>
          <w:szCs w:val="28"/>
          <w:shd w:val="clear" w:color="auto" w:fill="FFFFFF"/>
        </w:rPr>
        <w:t xml:space="preserve"> la violación del artículo 317 superior por la inclusión de la propiedad inmueble en la base gravable del </w:t>
      </w:r>
      <w:r w:rsidRPr="002F3D0A">
        <w:rPr>
          <w:rStyle w:val="normaltextrun"/>
          <w:rFonts w:ascii="Times New Roman" w:hAnsi="Times New Roman" w:cs="Times New Roman"/>
          <w:color w:val="000000"/>
          <w:sz w:val="28"/>
          <w:szCs w:val="28"/>
          <w:shd w:val="clear" w:color="auto" w:fill="FFFFFF"/>
        </w:rPr>
        <w:t>impuesto al patrimonio coincide con los problemas jurídicos abordados en las sentencias C-876 de 2002 y C-990 de 2004. De manera que, se trata de</w:t>
      </w:r>
      <w:r w:rsidRPr="002F3D0A">
        <w:rPr>
          <w:rStyle w:val="normaltextrun"/>
          <w:rFonts w:ascii="Times New Roman" w:hAnsi="Times New Roman" w:cs="Times New Roman"/>
          <w:color w:val="000000"/>
          <w:sz w:val="28"/>
          <w:szCs w:val="28"/>
          <w:shd w:val="clear" w:color="auto" w:fill="FFFFFF"/>
        </w:rPr>
        <w:t xml:space="preserve"> un</w:t>
      </w:r>
      <w:r w:rsidRPr="002F3D0A">
        <w:rPr>
          <w:rStyle w:val="normaltextrun"/>
          <w:rFonts w:ascii="Times New Roman" w:hAnsi="Times New Roman" w:cs="Times New Roman"/>
          <w:color w:val="000000"/>
          <w:sz w:val="28"/>
          <w:szCs w:val="28"/>
          <w:shd w:val="clear" w:color="auto" w:fill="FFFFFF"/>
        </w:rPr>
        <w:t xml:space="preserve"> precedente relevante para el caso, cuya vinculatoriedad no puede ser descartada con alusiones genéricas sobre otros rasgos del impuesto. </w:t>
      </w:r>
    </w:p>
    <w:p w:rsidR="00BA546B" w:rsidRPr="002F3D0A" w:rsidRDefault="002F3D0A" w:rsidP="00BA546B">
      <w:pPr>
        <w:pStyle w:val="Prrafodelista"/>
        <w:ind w:left="0"/>
        <w:rPr>
          <w:rStyle w:val="normaltextrun"/>
          <w:rFonts w:ascii="Times New Roman" w:hAnsi="Times New Roman" w:cs="Times New Roman"/>
          <w:bCs/>
          <w:sz w:val="28"/>
          <w:szCs w:val="28"/>
        </w:rPr>
      </w:pPr>
    </w:p>
    <w:p w:rsidR="00BA546B" w:rsidRPr="002F3D0A" w:rsidRDefault="002F3D0A" w:rsidP="008274AE">
      <w:pPr>
        <w:pStyle w:val="Prrafodelista"/>
        <w:numPr>
          <w:ilvl w:val="0"/>
          <w:numId w:val="1"/>
        </w:numPr>
        <w:ind w:left="0" w:firstLine="0"/>
        <w:rPr>
          <w:rStyle w:val="normaltextrun"/>
          <w:rFonts w:ascii="Times New Roman" w:hAnsi="Times New Roman" w:cs="Times New Roman"/>
          <w:bCs/>
          <w:sz w:val="28"/>
          <w:szCs w:val="28"/>
        </w:rPr>
      </w:pPr>
      <w:r w:rsidRPr="002F3D0A">
        <w:rPr>
          <w:rStyle w:val="normaltextrun"/>
          <w:rFonts w:ascii="Times New Roman" w:hAnsi="Times New Roman" w:cs="Times New Roman"/>
          <w:bCs/>
          <w:sz w:val="28"/>
          <w:szCs w:val="28"/>
        </w:rPr>
        <w:t>Por lo tanto, en el presente caso los ciudadanos no lograron evidenciar que el precedente de las sentencias C-876 de</w:t>
      </w:r>
      <w:r w:rsidRPr="002F3D0A">
        <w:rPr>
          <w:rStyle w:val="normaltextrun"/>
          <w:rFonts w:ascii="Times New Roman" w:hAnsi="Times New Roman" w:cs="Times New Roman"/>
          <w:bCs/>
          <w:sz w:val="28"/>
          <w:szCs w:val="28"/>
        </w:rPr>
        <w:t xml:space="preserve"> 2002 y C-990 de 2004 no resultara aplicable al presente asunto. </w:t>
      </w:r>
    </w:p>
    <w:p w:rsidR="003274A1" w:rsidRPr="002F3D0A" w:rsidRDefault="002F3D0A" w:rsidP="003274A1">
      <w:pPr>
        <w:pStyle w:val="Prrafodelista"/>
        <w:rPr>
          <w:rFonts w:ascii="Times New Roman" w:hAnsi="Times New Roman" w:cs="Times New Roman"/>
          <w:bCs/>
          <w:sz w:val="28"/>
          <w:szCs w:val="28"/>
        </w:rPr>
      </w:pPr>
    </w:p>
    <w:p w:rsidR="00EB1510" w:rsidRPr="002F3D0A" w:rsidRDefault="002F3D0A" w:rsidP="008274AE">
      <w:pPr>
        <w:pStyle w:val="Prrafodelista"/>
        <w:numPr>
          <w:ilvl w:val="0"/>
          <w:numId w:val="1"/>
        </w:numPr>
        <w:ind w:left="0" w:firstLine="0"/>
        <w:rPr>
          <w:rStyle w:val="normaltextrun"/>
          <w:rFonts w:ascii="Times New Roman" w:hAnsi="Times New Roman" w:cs="Times New Roman"/>
          <w:bCs/>
          <w:sz w:val="28"/>
          <w:szCs w:val="28"/>
        </w:rPr>
      </w:pPr>
      <w:r w:rsidRPr="002F3D0A">
        <w:rPr>
          <w:rFonts w:ascii="Times New Roman" w:hAnsi="Times New Roman" w:cs="Times New Roman"/>
          <w:bCs/>
          <w:sz w:val="28"/>
          <w:szCs w:val="28"/>
        </w:rPr>
        <w:t xml:space="preserve">Ahora bien, en el cargo los demandantes </w:t>
      </w:r>
      <w:r w:rsidRPr="002F3D0A">
        <w:rPr>
          <w:rFonts w:ascii="Times New Roman" w:hAnsi="Times New Roman" w:cs="Times New Roman"/>
          <w:bCs/>
          <w:sz w:val="28"/>
          <w:szCs w:val="28"/>
        </w:rPr>
        <w:t>reconocieron</w:t>
      </w:r>
      <w:r w:rsidRPr="002F3D0A">
        <w:rPr>
          <w:rStyle w:val="normaltextrun"/>
          <w:rFonts w:ascii="Times New Roman" w:hAnsi="Times New Roman" w:cs="Times New Roman"/>
          <w:color w:val="000000"/>
          <w:sz w:val="28"/>
          <w:szCs w:val="28"/>
          <w:shd w:val="clear" w:color="auto" w:fill="FFFFFF"/>
        </w:rPr>
        <w:t xml:space="preserve"> que la Corte ha examinado el mismo problema jurídico que plantean en esta oportunidad e indicaron que</w:t>
      </w:r>
      <w:r w:rsidRPr="002F3D0A">
        <w:rPr>
          <w:rStyle w:val="normaltextrun"/>
          <w:rFonts w:ascii="Times New Roman" w:hAnsi="Times New Roman" w:cs="Times New Roman"/>
          <w:color w:val="000000"/>
          <w:sz w:val="28"/>
          <w:szCs w:val="28"/>
          <w:shd w:val="clear" w:color="auto" w:fill="FFFFFF"/>
        </w:rPr>
        <w:t xml:space="preserve"> a partir de los elementos identifi</w:t>
      </w:r>
      <w:r w:rsidRPr="002F3D0A">
        <w:rPr>
          <w:rStyle w:val="normaltextrun"/>
          <w:rFonts w:ascii="Times New Roman" w:hAnsi="Times New Roman" w:cs="Times New Roman"/>
          <w:color w:val="000000"/>
          <w:sz w:val="28"/>
          <w:szCs w:val="28"/>
          <w:shd w:val="clear" w:color="auto" w:fill="FFFFFF"/>
        </w:rPr>
        <w:t>cados -el carácter permanente del tributo y la situación de algunos sujetos que no pueden deducir ninguna porción de la propiedad inmueble de la base gravable</w:t>
      </w:r>
      <w:r w:rsidRPr="002F3D0A">
        <w:rPr>
          <w:rStyle w:val="normaltextrun"/>
          <w:rFonts w:ascii="Times New Roman" w:hAnsi="Times New Roman" w:cs="Times New Roman"/>
          <w:color w:val="000000"/>
          <w:sz w:val="28"/>
          <w:szCs w:val="28"/>
          <w:shd w:val="clear" w:color="auto" w:fill="FFFFFF"/>
        </w:rPr>
        <w:t>-</w:t>
      </w:r>
      <w:r w:rsidRPr="002F3D0A">
        <w:rPr>
          <w:rStyle w:val="normaltextrun"/>
          <w:rFonts w:ascii="Times New Roman" w:hAnsi="Times New Roman" w:cs="Times New Roman"/>
          <w:color w:val="000000"/>
          <w:sz w:val="28"/>
          <w:szCs w:val="28"/>
          <w:shd w:val="clear" w:color="auto" w:fill="FFFFFF"/>
        </w:rPr>
        <w:t xml:space="preserve"> resulta necesario “llevar a cabo un nuevo análisis sobre la posibilidad que se tiene a través del impuesto al patrimonio de gravar los bienes inmuebles de los contribuyentes”</w:t>
      </w:r>
      <w:r w:rsidRPr="002F3D0A">
        <w:rPr>
          <w:rStyle w:val="Refdenotaalpie"/>
          <w:rFonts w:ascii="Times New Roman" w:hAnsi="Times New Roman" w:cs="Times New Roman"/>
          <w:color w:val="000000"/>
          <w:sz w:val="28"/>
          <w:szCs w:val="28"/>
          <w:shd w:val="clear" w:color="auto" w:fill="FFFFFF"/>
        </w:rPr>
        <w:footnoteReference w:id="67"/>
      </w:r>
      <w:r w:rsidRPr="002F3D0A">
        <w:rPr>
          <w:rStyle w:val="normaltextrun"/>
          <w:rFonts w:ascii="Times New Roman" w:hAnsi="Times New Roman" w:cs="Times New Roman"/>
          <w:color w:val="000000"/>
          <w:sz w:val="28"/>
          <w:szCs w:val="28"/>
          <w:shd w:val="clear" w:color="auto" w:fill="FFFFFF"/>
        </w:rPr>
        <w:t>.</w:t>
      </w:r>
      <w:r w:rsidRPr="002F3D0A">
        <w:rPr>
          <w:rStyle w:val="normaltextrun"/>
          <w:rFonts w:ascii="Times New Roman" w:hAnsi="Times New Roman" w:cs="Times New Roman"/>
          <w:color w:val="000000"/>
          <w:sz w:val="28"/>
          <w:szCs w:val="28"/>
          <w:shd w:val="clear" w:color="auto" w:fill="FFFFFF"/>
        </w:rPr>
        <w:t xml:space="preserve"> </w:t>
      </w:r>
      <w:r w:rsidRPr="002F3D0A">
        <w:rPr>
          <w:rStyle w:val="normaltextrun"/>
          <w:rFonts w:ascii="Times New Roman" w:hAnsi="Times New Roman" w:cs="Times New Roman"/>
          <w:color w:val="000000"/>
          <w:sz w:val="28"/>
          <w:szCs w:val="28"/>
          <w:shd w:val="clear" w:color="auto" w:fill="FFFFFF"/>
        </w:rPr>
        <w:t>E</w:t>
      </w:r>
      <w:r w:rsidRPr="002F3D0A">
        <w:rPr>
          <w:rStyle w:val="normaltextrun"/>
          <w:rFonts w:ascii="Times New Roman" w:hAnsi="Times New Roman" w:cs="Times New Roman"/>
          <w:color w:val="000000"/>
          <w:sz w:val="28"/>
          <w:szCs w:val="28"/>
          <w:shd w:val="clear" w:color="auto" w:fill="FFFFFF"/>
        </w:rPr>
        <w:t xml:space="preserve">l </w:t>
      </w:r>
      <w:r w:rsidRPr="002F3D0A">
        <w:rPr>
          <w:rStyle w:val="normaltextrun"/>
          <w:rFonts w:ascii="Times New Roman" w:hAnsi="Times New Roman" w:cs="Times New Roman"/>
          <w:color w:val="000000"/>
          <w:sz w:val="28"/>
          <w:szCs w:val="28"/>
          <w:shd w:val="clear" w:color="auto" w:fill="FFFFFF"/>
        </w:rPr>
        <w:t>resultado de ese nuevo examen que</w:t>
      </w:r>
      <w:r w:rsidRPr="002F3D0A">
        <w:rPr>
          <w:rStyle w:val="normaltextrun"/>
          <w:rFonts w:ascii="Times New Roman" w:hAnsi="Times New Roman" w:cs="Times New Roman"/>
          <w:color w:val="000000"/>
          <w:sz w:val="28"/>
          <w:szCs w:val="28"/>
          <w:shd w:val="clear" w:color="auto" w:fill="FFFFFF"/>
        </w:rPr>
        <w:t xml:space="preserve"> proponen</w:t>
      </w:r>
      <w:r w:rsidRPr="002F3D0A">
        <w:rPr>
          <w:rStyle w:val="normaltextrun"/>
          <w:rFonts w:ascii="Times New Roman" w:hAnsi="Times New Roman" w:cs="Times New Roman"/>
          <w:color w:val="000000"/>
          <w:sz w:val="28"/>
          <w:szCs w:val="28"/>
          <w:shd w:val="clear" w:color="auto" w:fill="FFFFFF"/>
        </w:rPr>
        <w:t>, a su juicio,</w:t>
      </w:r>
      <w:r w:rsidRPr="002F3D0A">
        <w:rPr>
          <w:rStyle w:val="normaltextrun"/>
          <w:rFonts w:ascii="Times New Roman" w:hAnsi="Times New Roman" w:cs="Times New Roman"/>
          <w:color w:val="000000"/>
          <w:sz w:val="28"/>
          <w:szCs w:val="28"/>
          <w:shd w:val="clear" w:color="auto" w:fill="FFFFFF"/>
        </w:rPr>
        <w:t xml:space="preserve"> debería conducir a</w:t>
      </w:r>
      <w:r w:rsidRPr="002F3D0A">
        <w:rPr>
          <w:rStyle w:val="normaltextrun"/>
          <w:rFonts w:ascii="Times New Roman" w:hAnsi="Times New Roman" w:cs="Times New Roman"/>
          <w:color w:val="000000"/>
          <w:sz w:val="28"/>
          <w:szCs w:val="28"/>
          <w:shd w:val="clear" w:color="auto" w:fill="FFFFFF"/>
        </w:rPr>
        <w:t xml:space="preserve"> la inconstitucionalidad de la disposición acusada</w:t>
      </w:r>
      <w:r w:rsidRPr="002F3D0A">
        <w:rPr>
          <w:rStyle w:val="normaltextrun"/>
          <w:rFonts w:ascii="Times New Roman" w:hAnsi="Times New Roman" w:cs="Times New Roman"/>
          <w:color w:val="000000"/>
          <w:sz w:val="28"/>
          <w:szCs w:val="28"/>
          <w:shd w:val="clear" w:color="auto" w:fill="FFFFFF"/>
        </w:rPr>
        <w:t xml:space="preserve">, </w:t>
      </w:r>
      <w:r w:rsidRPr="002F3D0A">
        <w:rPr>
          <w:rStyle w:val="normaltextrun"/>
          <w:rFonts w:ascii="Times New Roman" w:hAnsi="Times New Roman" w:cs="Times New Roman"/>
          <w:color w:val="000000"/>
          <w:sz w:val="28"/>
          <w:szCs w:val="28"/>
          <w:shd w:val="clear" w:color="auto" w:fill="FFFFFF"/>
        </w:rPr>
        <w:t>esto es, a</w:t>
      </w:r>
      <w:r w:rsidRPr="002F3D0A">
        <w:rPr>
          <w:rStyle w:val="normaltextrun"/>
          <w:rFonts w:ascii="Times New Roman" w:hAnsi="Times New Roman" w:cs="Times New Roman"/>
          <w:color w:val="000000"/>
          <w:sz w:val="28"/>
          <w:szCs w:val="28"/>
          <w:shd w:val="clear" w:color="auto" w:fill="FFFFFF"/>
        </w:rPr>
        <w:t xml:space="preserve"> una conclusión opuesta a la del precedente vigente.</w:t>
      </w:r>
    </w:p>
    <w:p w:rsidR="00EB1510" w:rsidRPr="002F3D0A" w:rsidRDefault="002F3D0A" w:rsidP="00EB1510">
      <w:pPr>
        <w:pStyle w:val="Prrafodelista"/>
        <w:rPr>
          <w:rStyle w:val="normaltextrun"/>
          <w:rFonts w:ascii="Times New Roman" w:hAnsi="Times New Roman" w:cs="Times New Roman"/>
          <w:color w:val="000000"/>
          <w:sz w:val="28"/>
          <w:szCs w:val="28"/>
          <w:shd w:val="clear" w:color="auto" w:fill="FFFFFF"/>
        </w:rPr>
      </w:pPr>
    </w:p>
    <w:p w:rsidR="00D6458B" w:rsidRPr="002F3D0A" w:rsidRDefault="002F3D0A" w:rsidP="008274AE">
      <w:pPr>
        <w:pStyle w:val="Prrafodelista"/>
        <w:numPr>
          <w:ilvl w:val="0"/>
          <w:numId w:val="1"/>
        </w:numPr>
        <w:ind w:left="0" w:firstLine="0"/>
        <w:rPr>
          <w:rFonts w:ascii="Times New Roman" w:hAnsi="Times New Roman" w:cs="Times New Roman"/>
          <w:bCs/>
          <w:sz w:val="28"/>
          <w:szCs w:val="28"/>
        </w:rPr>
      </w:pPr>
      <w:r w:rsidRPr="002F3D0A">
        <w:rPr>
          <w:rStyle w:val="normaltextrun"/>
          <w:rFonts w:ascii="Times New Roman" w:hAnsi="Times New Roman" w:cs="Times New Roman"/>
          <w:color w:val="000000"/>
          <w:sz w:val="28"/>
          <w:szCs w:val="28"/>
          <w:shd w:val="clear" w:color="auto" w:fill="FFFFFF"/>
        </w:rPr>
        <w:t xml:space="preserve">El </w:t>
      </w:r>
      <w:r w:rsidRPr="002F3D0A">
        <w:rPr>
          <w:rStyle w:val="normaltextrun"/>
          <w:rFonts w:ascii="Times New Roman" w:hAnsi="Times New Roman" w:cs="Times New Roman"/>
          <w:color w:val="000000"/>
          <w:sz w:val="28"/>
          <w:szCs w:val="28"/>
          <w:shd w:val="clear" w:color="auto" w:fill="FFFFFF"/>
        </w:rPr>
        <w:t>planteamiento</w:t>
      </w:r>
      <w:r w:rsidRPr="002F3D0A">
        <w:rPr>
          <w:rStyle w:val="normaltextrun"/>
          <w:rFonts w:ascii="Times New Roman" w:hAnsi="Times New Roman" w:cs="Times New Roman"/>
          <w:color w:val="000000"/>
          <w:sz w:val="28"/>
          <w:szCs w:val="28"/>
          <w:shd w:val="clear" w:color="auto" w:fill="FFFFFF"/>
        </w:rPr>
        <w:t xml:space="preserve"> </w:t>
      </w:r>
      <w:r w:rsidRPr="002F3D0A">
        <w:rPr>
          <w:rStyle w:val="normaltextrun"/>
          <w:rFonts w:ascii="Times New Roman" w:hAnsi="Times New Roman" w:cs="Times New Roman"/>
          <w:color w:val="000000"/>
          <w:sz w:val="28"/>
          <w:szCs w:val="28"/>
          <w:shd w:val="clear" w:color="auto" w:fill="FFFFFF"/>
        </w:rPr>
        <w:t xml:space="preserve">descrito corresponde a una solicitud de </w:t>
      </w:r>
      <w:r w:rsidRPr="002F3D0A">
        <w:rPr>
          <w:rStyle w:val="normaltextrun"/>
          <w:rFonts w:ascii="Times New Roman" w:hAnsi="Times New Roman" w:cs="Times New Roman"/>
          <w:color w:val="000000"/>
          <w:sz w:val="28"/>
          <w:szCs w:val="28"/>
          <w:shd w:val="clear" w:color="auto" w:fill="FFFFFF"/>
        </w:rPr>
        <w:t>c</w:t>
      </w:r>
      <w:r w:rsidRPr="002F3D0A">
        <w:rPr>
          <w:rStyle w:val="normaltextrun"/>
          <w:rFonts w:ascii="Times New Roman" w:hAnsi="Times New Roman" w:cs="Times New Roman"/>
          <w:color w:val="000000"/>
          <w:sz w:val="28"/>
          <w:szCs w:val="28"/>
          <w:shd w:val="clear" w:color="auto" w:fill="FFFFFF"/>
        </w:rPr>
        <w:t>ambio de precedente</w:t>
      </w:r>
      <w:r w:rsidRPr="002F3D0A">
        <w:rPr>
          <w:rStyle w:val="normaltextrun"/>
          <w:rFonts w:ascii="Times New Roman" w:hAnsi="Times New Roman" w:cs="Times New Roman"/>
          <w:color w:val="000000"/>
          <w:sz w:val="28"/>
          <w:szCs w:val="28"/>
          <w:shd w:val="clear" w:color="auto" w:fill="FFFFFF"/>
        </w:rPr>
        <w:t xml:space="preserve"> tal y como lo interpretó la sentencia C-257 de 2022 al exigir las cargas de argumentación reforzada para el cambio de precedente frente a un cargo que no identificó el criterio jurisprudencial vigente ni pidió un cambio de precedente de forma expresa, per</w:t>
      </w:r>
      <w:r w:rsidRPr="002F3D0A">
        <w:rPr>
          <w:rStyle w:val="normaltextrun"/>
          <w:rFonts w:ascii="Times New Roman" w:hAnsi="Times New Roman" w:cs="Times New Roman"/>
          <w:color w:val="000000"/>
          <w:sz w:val="28"/>
          <w:szCs w:val="28"/>
          <w:shd w:val="clear" w:color="auto" w:fill="FFFFFF"/>
        </w:rPr>
        <w:t>o planteó una pretensión que se oponía al criterio definido en las sentencias C-876 de 2002 y C-990 de 2004. En efecto</w:t>
      </w:r>
      <w:r w:rsidRPr="002F3D0A">
        <w:rPr>
          <w:rStyle w:val="normaltextrun"/>
          <w:rFonts w:ascii="Times New Roman" w:hAnsi="Times New Roman" w:cs="Times New Roman"/>
          <w:color w:val="000000"/>
          <w:sz w:val="28"/>
          <w:szCs w:val="28"/>
          <w:shd w:val="clear" w:color="auto" w:fill="FFFFFF"/>
        </w:rPr>
        <w:t xml:space="preserve">, </w:t>
      </w:r>
      <w:r w:rsidRPr="002F3D0A">
        <w:rPr>
          <w:rStyle w:val="normaltextrun"/>
          <w:rFonts w:ascii="Times New Roman" w:hAnsi="Times New Roman" w:cs="Times New Roman"/>
          <w:color w:val="000000"/>
          <w:sz w:val="28"/>
          <w:szCs w:val="28"/>
          <w:shd w:val="clear" w:color="auto" w:fill="FFFFFF"/>
        </w:rPr>
        <w:t>el cargo examinado en este caso, de</w:t>
      </w:r>
      <w:r w:rsidRPr="002F3D0A">
        <w:rPr>
          <w:rStyle w:val="normaltextrun"/>
          <w:rFonts w:ascii="Times New Roman" w:hAnsi="Times New Roman" w:cs="Times New Roman"/>
          <w:color w:val="000000"/>
          <w:sz w:val="28"/>
          <w:szCs w:val="28"/>
          <w:shd w:val="clear" w:color="auto" w:fill="FFFFFF"/>
        </w:rPr>
        <w:t xml:space="preserve"> un lado</w:t>
      </w:r>
      <w:r w:rsidRPr="002F3D0A">
        <w:rPr>
          <w:rStyle w:val="normaltextrun"/>
          <w:rFonts w:ascii="Times New Roman" w:hAnsi="Times New Roman" w:cs="Times New Roman"/>
          <w:color w:val="000000"/>
          <w:sz w:val="28"/>
          <w:szCs w:val="28"/>
          <w:shd w:val="clear" w:color="auto" w:fill="FFFFFF"/>
        </w:rPr>
        <w:t>,</w:t>
      </w:r>
      <w:r w:rsidRPr="002F3D0A">
        <w:rPr>
          <w:rStyle w:val="normaltextrun"/>
          <w:rFonts w:ascii="Times New Roman" w:hAnsi="Times New Roman" w:cs="Times New Roman"/>
          <w:color w:val="000000"/>
          <w:sz w:val="28"/>
          <w:szCs w:val="28"/>
          <w:shd w:val="clear" w:color="auto" w:fill="FFFFFF"/>
        </w:rPr>
        <w:t xml:space="preserve"> reconoce que el mismo problema jurídico ya fue examinado a la luz del </w:t>
      </w:r>
      <w:r w:rsidRPr="002F3D0A">
        <w:rPr>
          <w:rStyle w:val="normaltextrun"/>
          <w:rFonts w:ascii="Times New Roman" w:hAnsi="Times New Roman" w:cs="Times New Roman"/>
          <w:color w:val="000000"/>
          <w:sz w:val="28"/>
          <w:szCs w:val="28"/>
          <w:shd w:val="clear" w:color="auto" w:fill="FFFFFF"/>
        </w:rPr>
        <w:t>m</w:t>
      </w:r>
      <w:r w:rsidRPr="002F3D0A">
        <w:rPr>
          <w:rStyle w:val="normaltextrun"/>
          <w:rFonts w:ascii="Times New Roman" w:hAnsi="Times New Roman" w:cs="Times New Roman"/>
          <w:color w:val="000000"/>
          <w:sz w:val="28"/>
          <w:szCs w:val="28"/>
          <w:shd w:val="clear" w:color="auto" w:fill="FFFFFF"/>
        </w:rPr>
        <w:t>ismo parámetro const</w:t>
      </w:r>
      <w:r w:rsidRPr="002F3D0A">
        <w:rPr>
          <w:rStyle w:val="normaltextrun"/>
          <w:rFonts w:ascii="Times New Roman" w:hAnsi="Times New Roman" w:cs="Times New Roman"/>
          <w:color w:val="000000"/>
          <w:sz w:val="28"/>
          <w:szCs w:val="28"/>
          <w:shd w:val="clear" w:color="auto" w:fill="FFFFFF"/>
        </w:rPr>
        <w:t xml:space="preserve">itucional que se propone, </w:t>
      </w:r>
      <w:r w:rsidRPr="002F3D0A">
        <w:rPr>
          <w:rStyle w:val="normaltextrun"/>
          <w:rFonts w:ascii="Times New Roman" w:hAnsi="Times New Roman" w:cs="Times New Roman"/>
          <w:color w:val="000000"/>
          <w:sz w:val="28"/>
          <w:szCs w:val="28"/>
          <w:shd w:val="clear" w:color="auto" w:fill="FFFFFF"/>
        </w:rPr>
        <w:t>solicita</w:t>
      </w:r>
      <w:r w:rsidRPr="002F3D0A">
        <w:rPr>
          <w:rStyle w:val="normaltextrun"/>
          <w:rFonts w:ascii="Times New Roman" w:hAnsi="Times New Roman" w:cs="Times New Roman"/>
          <w:color w:val="000000"/>
          <w:sz w:val="28"/>
          <w:szCs w:val="28"/>
          <w:shd w:val="clear" w:color="auto" w:fill="FFFFFF"/>
        </w:rPr>
        <w:t xml:space="preserve"> un nuevo examen del mismo problema jurídico y plantea que se llegue </w:t>
      </w:r>
      <w:r w:rsidRPr="002F3D0A">
        <w:rPr>
          <w:rStyle w:val="normaltextrun"/>
          <w:rFonts w:ascii="Times New Roman" w:hAnsi="Times New Roman" w:cs="Times New Roman"/>
          <w:color w:val="000000"/>
          <w:sz w:val="28"/>
          <w:szCs w:val="28"/>
          <w:shd w:val="clear" w:color="auto" w:fill="FFFFFF"/>
        </w:rPr>
        <w:t xml:space="preserve">a una conclusión </w:t>
      </w:r>
      <w:r w:rsidRPr="002F3D0A">
        <w:rPr>
          <w:rStyle w:val="normaltextrun"/>
          <w:rFonts w:ascii="Times New Roman" w:hAnsi="Times New Roman" w:cs="Times New Roman"/>
          <w:color w:val="000000"/>
          <w:sz w:val="28"/>
          <w:szCs w:val="28"/>
          <w:shd w:val="clear" w:color="auto" w:fill="FFFFFF"/>
        </w:rPr>
        <w:t xml:space="preserve">opuesta a la definida en las </w:t>
      </w:r>
      <w:r w:rsidRPr="002F3D0A">
        <w:rPr>
          <w:rStyle w:val="normaltextrun"/>
          <w:rFonts w:ascii="Times New Roman" w:hAnsi="Times New Roman" w:cs="Times New Roman"/>
          <w:color w:val="000000"/>
          <w:sz w:val="28"/>
          <w:szCs w:val="28"/>
          <w:shd w:val="clear" w:color="auto" w:fill="FFFFFF"/>
        </w:rPr>
        <w:t>sentencias en</w:t>
      </w:r>
      <w:r w:rsidRPr="002F3D0A">
        <w:rPr>
          <w:rStyle w:val="normaltextrun"/>
          <w:rFonts w:ascii="Times New Roman" w:hAnsi="Times New Roman" w:cs="Times New Roman"/>
          <w:color w:val="000000"/>
          <w:sz w:val="28"/>
          <w:szCs w:val="28"/>
          <w:shd w:val="clear" w:color="auto" w:fill="FFFFFF"/>
        </w:rPr>
        <w:t xml:space="preserve"> mención bajo un criterio alternativo </w:t>
      </w:r>
      <w:r w:rsidRPr="002F3D0A">
        <w:rPr>
          <w:rStyle w:val="normaltextrun"/>
          <w:rFonts w:ascii="Times New Roman" w:hAnsi="Times New Roman" w:cs="Times New Roman"/>
          <w:color w:val="000000"/>
          <w:sz w:val="28"/>
          <w:szCs w:val="28"/>
          <w:shd w:val="clear" w:color="auto" w:fill="FFFFFF"/>
        </w:rPr>
        <w:t>sobre e</w:t>
      </w:r>
      <w:r w:rsidRPr="002F3D0A">
        <w:rPr>
          <w:rStyle w:val="normaltextrun"/>
          <w:rFonts w:ascii="Times New Roman" w:hAnsi="Times New Roman" w:cs="Times New Roman"/>
          <w:color w:val="000000"/>
          <w:sz w:val="28"/>
          <w:szCs w:val="28"/>
          <w:shd w:val="clear" w:color="auto" w:fill="FFFFFF"/>
        </w:rPr>
        <w:t>l alcance del artículo 317 superior</w:t>
      </w:r>
      <w:r w:rsidRPr="002F3D0A">
        <w:rPr>
          <w:rStyle w:val="normaltextrun"/>
          <w:rFonts w:ascii="Times New Roman" w:hAnsi="Times New Roman" w:cs="Times New Roman"/>
          <w:color w:val="000000"/>
          <w:sz w:val="28"/>
          <w:szCs w:val="28"/>
          <w:shd w:val="clear" w:color="auto" w:fill="FFFFFF"/>
        </w:rPr>
        <w:t xml:space="preserve">. Por lo </w:t>
      </w:r>
      <w:r w:rsidRPr="002F3D0A">
        <w:rPr>
          <w:rStyle w:val="normaltextrun"/>
          <w:rFonts w:ascii="Times New Roman" w:hAnsi="Times New Roman" w:cs="Times New Roman"/>
          <w:color w:val="000000"/>
          <w:sz w:val="28"/>
          <w:szCs w:val="28"/>
          <w:shd w:val="clear" w:color="auto" w:fill="FFFFFF"/>
        </w:rPr>
        <w:t>tanto, la</w:t>
      </w:r>
      <w:r w:rsidRPr="002F3D0A">
        <w:rPr>
          <w:rFonts w:ascii="Times New Roman" w:hAnsi="Times New Roman" w:cs="Times New Roman"/>
          <w:bCs/>
          <w:sz w:val="28"/>
          <w:szCs w:val="28"/>
        </w:rPr>
        <w:t xml:space="preserve"> Sala examinará si los argumentos propuestos por los demandantes cumplen la </w:t>
      </w:r>
      <w:r w:rsidRPr="002F3D0A">
        <w:rPr>
          <w:rFonts w:ascii="Times New Roman" w:hAnsi="Times New Roman" w:cs="Times New Roman"/>
          <w:bCs/>
          <w:sz w:val="28"/>
          <w:szCs w:val="28"/>
        </w:rPr>
        <w:t>c</w:t>
      </w:r>
      <w:r w:rsidRPr="002F3D0A">
        <w:rPr>
          <w:rFonts w:ascii="Times New Roman" w:hAnsi="Times New Roman" w:cs="Times New Roman"/>
          <w:bCs/>
          <w:sz w:val="28"/>
          <w:szCs w:val="28"/>
        </w:rPr>
        <w:t>arga argumentativa exigida para solicitar un cambio de la jurisprudencia constitucional</w:t>
      </w:r>
      <w:r w:rsidRPr="002F3D0A">
        <w:rPr>
          <w:rFonts w:ascii="Times New Roman" w:hAnsi="Times New Roman" w:cs="Times New Roman"/>
          <w:bCs/>
          <w:sz w:val="28"/>
          <w:szCs w:val="28"/>
        </w:rPr>
        <w:t>.</w:t>
      </w:r>
    </w:p>
    <w:p w:rsidR="00C657FD" w:rsidRPr="002F3D0A" w:rsidRDefault="002F3D0A" w:rsidP="00C657FD">
      <w:pPr>
        <w:pStyle w:val="Prrafodelista"/>
        <w:ind w:left="0"/>
        <w:rPr>
          <w:rFonts w:ascii="Times New Roman" w:hAnsi="Times New Roman" w:cs="Times New Roman"/>
          <w:bCs/>
          <w:sz w:val="28"/>
          <w:szCs w:val="28"/>
        </w:rPr>
      </w:pPr>
    </w:p>
    <w:p w:rsidR="00D6458B" w:rsidRPr="002F3D0A" w:rsidRDefault="002F3D0A" w:rsidP="00B65296">
      <w:pPr>
        <w:pStyle w:val="Prrafodelista"/>
        <w:numPr>
          <w:ilvl w:val="0"/>
          <w:numId w:val="1"/>
        </w:numPr>
        <w:ind w:left="0" w:firstLine="0"/>
        <w:rPr>
          <w:rFonts w:ascii="Times New Roman" w:hAnsi="Times New Roman" w:cs="Times New Roman"/>
          <w:bCs/>
          <w:color w:val="000000" w:themeColor="text1"/>
          <w:sz w:val="28"/>
          <w:szCs w:val="28"/>
        </w:rPr>
      </w:pPr>
      <w:r w:rsidRPr="002F3D0A">
        <w:rPr>
          <w:rFonts w:ascii="Times New Roman" w:hAnsi="Times New Roman" w:cs="Times New Roman"/>
          <w:bCs/>
          <w:color w:val="000000" w:themeColor="text1"/>
          <w:sz w:val="28"/>
          <w:szCs w:val="28"/>
        </w:rPr>
        <w:t>En primer lugar, en la demanda los actores reconocieron que existe un criterio j</w:t>
      </w:r>
      <w:r w:rsidRPr="002F3D0A">
        <w:rPr>
          <w:rFonts w:ascii="Times New Roman" w:hAnsi="Times New Roman" w:cs="Times New Roman"/>
          <w:bCs/>
          <w:color w:val="000000" w:themeColor="text1"/>
          <w:sz w:val="28"/>
          <w:szCs w:val="28"/>
        </w:rPr>
        <w:t>urisprudencial vigente sobre el artículo 317 de la Carta Política. En concreto, señalaron que: “</w:t>
      </w:r>
      <w:r w:rsidRPr="002F3D0A">
        <w:rPr>
          <w:rFonts w:ascii="Times New Roman" w:hAnsi="Times New Roman" w:cs="Times New Roman"/>
          <w:bCs/>
          <w:color w:val="000000" w:themeColor="text1"/>
          <w:sz w:val="28"/>
          <w:szCs w:val="28"/>
        </w:rPr>
        <w:t>[</w:t>
      </w:r>
      <w:r w:rsidRPr="002F3D0A">
        <w:rPr>
          <w:rFonts w:ascii="Times New Roman" w:hAnsi="Times New Roman" w:cs="Times New Roman"/>
          <w:color w:val="000000" w:themeColor="text1"/>
          <w:sz w:val="28"/>
          <w:szCs w:val="28"/>
        </w:rPr>
        <w:t>H</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 xml:space="preserve">asta el momento, la Corte Constitucional tras analizar demandas contra el impuesto al patrimonio por violar el artículo 317 de la CP, ha concluido que el </w:t>
      </w:r>
      <w:r w:rsidRPr="002F3D0A">
        <w:rPr>
          <w:rFonts w:ascii="Times New Roman" w:hAnsi="Times New Roman" w:cs="Times New Roman"/>
          <w:color w:val="000000" w:themeColor="text1"/>
          <w:sz w:val="28"/>
          <w:szCs w:val="28"/>
        </w:rPr>
        <w:t>impuesto es exequible. Esto, pues la Corte Constitucional considera que no existe impedimento constitucional para que se graven los inmuebles de los contribuyentes con el impuesto al patrimonio.</w:t>
      </w:r>
      <w:r w:rsidRPr="002F3D0A">
        <w:rPr>
          <w:rFonts w:ascii="Times New Roman" w:hAnsi="Times New Roman" w:cs="Times New Roman"/>
          <w:color w:val="000000" w:themeColor="text1"/>
          <w:sz w:val="28"/>
          <w:szCs w:val="28"/>
        </w:rPr>
        <w:t>”</w:t>
      </w:r>
      <w:r w:rsidRPr="002F3D0A">
        <w:rPr>
          <w:rStyle w:val="Refdenotaalpie"/>
          <w:rFonts w:ascii="Times New Roman" w:hAnsi="Times New Roman" w:cs="Times New Roman"/>
          <w:color w:val="000000" w:themeColor="text1"/>
          <w:sz w:val="28"/>
          <w:szCs w:val="28"/>
        </w:rPr>
        <w:footnoteReference w:id="68"/>
      </w:r>
      <w:r w:rsidRPr="002F3D0A">
        <w:rPr>
          <w:rFonts w:ascii="Times New Roman" w:hAnsi="Times New Roman" w:cs="Times New Roman"/>
          <w:color w:val="000000" w:themeColor="text1"/>
          <w:sz w:val="28"/>
          <w:szCs w:val="28"/>
        </w:rPr>
        <w:t xml:space="preserve"> Luego,</w:t>
      </w:r>
      <w:r w:rsidRPr="002F3D0A">
        <w:rPr>
          <w:rFonts w:ascii="Times New Roman" w:hAnsi="Times New Roman" w:cs="Times New Roman"/>
          <w:color w:val="000000" w:themeColor="text1"/>
          <w:sz w:val="28"/>
          <w:szCs w:val="28"/>
        </w:rPr>
        <w:t xml:space="preserve"> los actores </w:t>
      </w:r>
      <w:r w:rsidRPr="002F3D0A">
        <w:rPr>
          <w:rFonts w:ascii="Times New Roman" w:hAnsi="Times New Roman" w:cs="Times New Roman"/>
          <w:color w:val="000000" w:themeColor="text1"/>
          <w:sz w:val="28"/>
          <w:szCs w:val="28"/>
        </w:rPr>
        <w:t>plante</w:t>
      </w:r>
      <w:r w:rsidRPr="002F3D0A">
        <w:rPr>
          <w:rFonts w:ascii="Times New Roman" w:hAnsi="Times New Roman" w:cs="Times New Roman"/>
          <w:color w:val="000000" w:themeColor="text1"/>
          <w:sz w:val="28"/>
          <w:szCs w:val="28"/>
        </w:rPr>
        <w:t>aron</w:t>
      </w:r>
      <w:r w:rsidRPr="002F3D0A">
        <w:rPr>
          <w:rFonts w:ascii="Times New Roman" w:hAnsi="Times New Roman" w:cs="Times New Roman"/>
          <w:color w:val="000000" w:themeColor="text1"/>
          <w:sz w:val="28"/>
          <w:szCs w:val="28"/>
        </w:rPr>
        <w:t xml:space="preserve"> </w:t>
      </w:r>
      <w:r w:rsidRPr="002F3D0A">
        <w:rPr>
          <w:rFonts w:ascii="Times New Roman" w:hAnsi="Times New Roman" w:cs="Times New Roman"/>
          <w:color w:val="000000" w:themeColor="text1"/>
          <w:sz w:val="28"/>
          <w:szCs w:val="28"/>
        </w:rPr>
        <w:t>que algunas características d</w:t>
      </w:r>
      <w:r w:rsidRPr="002F3D0A">
        <w:rPr>
          <w:rFonts w:ascii="Times New Roman" w:hAnsi="Times New Roman" w:cs="Times New Roman"/>
          <w:color w:val="000000" w:themeColor="text1"/>
          <w:sz w:val="28"/>
          <w:szCs w:val="28"/>
        </w:rPr>
        <w:t>el impuesto al patrimonio examinado en esta oportunidad</w:t>
      </w:r>
      <w:r w:rsidRPr="002F3D0A">
        <w:rPr>
          <w:rFonts w:ascii="Times New Roman" w:hAnsi="Times New Roman" w:cs="Times New Roman"/>
          <w:sz w:val="28"/>
          <w:szCs w:val="28"/>
        </w:rPr>
        <w:t xml:space="preserve"> hacen: “</w:t>
      </w:r>
      <w:r w:rsidRPr="002F3D0A">
        <w:rPr>
          <w:rFonts w:ascii="Times New Roman" w:hAnsi="Times New Roman" w:cs="Times New Roman"/>
          <w:color w:val="000000" w:themeColor="text1"/>
          <w:sz w:val="28"/>
          <w:szCs w:val="28"/>
        </w:rPr>
        <w:t>necesario llevar a cabo un nuevo análisis sobre la posibilidad que se tiene a través del impuesto al patrimonio de gravar los bienes inmuebles de los contribuyentes.”</w:t>
      </w:r>
      <w:r w:rsidRPr="002F3D0A">
        <w:rPr>
          <w:rStyle w:val="Refdenotaalpie"/>
          <w:rFonts w:ascii="Times New Roman" w:hAnsi="Times New Roman" w:cs="Times New Roman"/>
          <w:color w:val="000000" w:themeColor="text1"/>
          <w:sz w:val="28"/>
          <w:szCs w:val="28"/>
        </w:rPr>
        <w:footnoteReference w:id="69"/>
      </w:r>
      <w:r w:rsidRPr="002F3D0A">
        <w:rPr>
          <w:rFonts w:ascii="Times New Roman" w:hAnsi="Times New Roman" w:cs="Times New Roman"/>
          <w:color w:val="000000" w:themeColor="text1"/>
          <w:sz w:val="28"/>
          <w:szCs w:val="28"/>
        </w:rPr>
        <w:t xml:space="preserve"> En consecuencia, se tien</w:t>
      </w:r>
      <w:r w:rsidRPr="002F3D0A">
        <w:rPr>
          <w:rFonts w:ascii="Times New Roman" w:hAnsi="Times New Roman" w:cs="Times New Roman"/>
          <w:color w:val="000000" w:themeColor="text1"/>
          <w:sz w:val="28"/>
          <w:szCs w:val="28"/>
        </w:rPr>
        <w:t>e por a</w:t>
      </w:r>
      <w:r w:rsidRPr="002F3D0A">
        <w:rPr>
          <w:rFonts w:ascii="Times New Roman" w:hAnsi="Times New Roman" w:cs="Times New Roman"/>
          <w:color w:val="000000" w:themeColor="text1"/>
          <w:sz w:val="28"/>
          <w:szCs w:val="28"/>
        </w:rPr>
        <w:t>creditado el primer requisito, esto es, el reconocimiento del criterio jurisprudencial vigente y la solicitud de revisión de ese criterio.</w:t>
      </w:r>
    </w:p>
    <w:p w:rsidR="006D04A1" w:rsidRPr="002F3D0A" w:rsidRDefault="002F3D0A" w:rsidP="006D04A1">
      <w:pPr>
        <w:pStyle w:val="Prrafodelista"/>
        <w:rPr>
          <w:rFonts w:ascii="Times New Roman" w:hAnsi="Times New Roman" w:cs="Times New Roman"/>
          <w:bCs/>
          <w:color w:val="000000" w:themeColor="text1"/>
          <w:sz w:val="28"/>
          <w:szCs w:val="28"/>
        </w:rPr>
      </w:pPr>
    </w:p>
    <w:p w:rsidR="00D6458B" w:rsidRPr="002F3D0A" w:rsidRDefault="002F3D0A" w:rsidP="004321B1">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color w:val="000000" w:themeColor="text1"/>
          <w:sz w:val="28"/>
          <w:szCs w:val="28"/>
        </w:rPr>
        <w:t xml:space="preserve">En segundo lugar, </w:t>
      </w:r>
      <w:r w:rsidRPr="002F3D0A">
        <w:rPr>
          <w:rFonts w:ascii="Times New Roman" w:hAnsi="Times New Roman" w:cs="Times New Roman"/>
          <w:bCs/>
          <w:color w:val="000000" w:themeColor="text1"/>
          <w:sz w:val="28"/>
          <w:szCs w:val="28"/>
        </w:rPr>
        <w:t xml:space="preserve">los demandantes </w:t>
      </w:r>
      <w:r w:rsidRPr="002F3D0A">
        <w:rPr>
          <w:rFonts w:ascii="Times New Roman" w:hAnsi="Times New Roman" w:cs="Times New Roman"/>
          <w:bCs/>
          <w:color w:val="000000" w:themeColor="text1"/>
          <w:sz w:val="28"/>
          <w:szCs w:val="28"/>
        </w:rPr>
        <w:t xml:space="preserve">presentaron los </w:t>
      </w:r>
      <w:r w:rsidRPr="002F3D0A">
        <w:rPr>
          <w:rFonts w:ascii="Times New Roman" w:hAnsi="Times New Roman" w:cs="Times New Roman"/>
          <w:bCs/>
          <w:color w:val="000000" w:themeColor="text1"/>
          <w:sz w:val="28"/>
          <w:szCs w:val="28"/>
        </w:rPr>
        <w:t xml:space="preserve">siguientes </w:t>
      </w:r>
      <w:r w:rsidRPr="002F3D0A">
        <w:rPr>
          <w:rFonts w:ascii="Times New Roman" w:hAnsi="Times New Roman" w:cs="Times New Roman"/>
          <w:bCs/>
          <w:color w:val="000000" w:themeColor="text1"/>
          <w:sz w:val="28"/>
          <w:szCs w:val="28"/>
        </w:rPr>
        <w:t xml:space="preserve">argumentos: (i) </w:t>
      </w:r>
      <w:r w:rsidRPr="002F3D0A">
        <w:rPr>
          <w:rFonts w:ascii="Times New Roman" w:hAnsi="Times New Roman" w:cs="Times New Roman"/>
          <w:sz w:val="28"/>
          <w:szCs w:val="28"/>
        </w:rPr>
        <w:t>un</w:t>
      </w:r>
      <w:r w:rsidRPr="002F3D0A">
        <w:rPr>
          <w:rFonts w:ascii="Times New Roman" w:hAnsi="Times New Roman" w:cs="Times New Roman"/>
          <w:sz w:val="28"/>
          <w:szCs w:val="28"/>
        </w:rPr>
        <w:t xml:space="preserve">a de las razones expuestas </w:t>
      </w:r>
      <w:r w:rsidRPr="002F3D0A">
        <w:rPr>
          <w:rFonts w:ascii="Times New Roman" w:hAnsi="Times New Roman" w:cs="Times New Roman"/>
          <w:sz w:val="28"/>
          <w:szCs w:val="28"/>
        </w:rPr>
        <w:t xml:space="preserve">en </w:t>
      </w:r>
      <w:r w:rsidRPr="002F3D0A">
        <w:rPr>
          <w:rFonts w:ascii="Times New Roman" w:hAnsi="Times New Roman" w:cs="Times New Roman"/>
          <w:sz w:val="28"/>
          <w:szCs w:val="28"/>
        </w:rPr>
        <w:t>la sentencia C-99</w:t>
      </w:r>
      <w:r w:rsidRPr="002F3D0A">
        <w:rPr>
          <w:rFonts w:ascii="Times New Roman" w:hAnsi="Times New Roman" w:cs="Times New Roman"/>
          <w:sz w:val="28"/>
          <w:szCs w:val="28"/>
        </w:rPr>
        <w:t>0</w:t>
      </w:r>
      <w:r w:rsidRPr="002F3D0A">
        <w:rPr>
          <w:rFonts w:ascii="Times New Roman" w:hAnsi="Times New Roman" w:cs="Times New Roman"/>
          <w:sz w:val="28"/>
          <w:szCs w:val="28"/>
        </w:rPr>
        <w:t xml:space="preserve"> de 2004</w:t>
      </w:r>
      <w:r w:rsidRPr="002F3D0A">
        <w:rPr>
          <w:rFonts w:ascii="Times New Roman" w:hAnsi="Times New Roman" w:cs="Times New Roman"/>
          <w:sz w:val="28"/>
          <w:szCs w:val="28"/>
        </w:rPr>
        <w:t xml:space="preserve"> para descartar la inconstitucionalidad de la inclusión de la propiedad inmueble en la base gravable del impuesto al patrimonio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consi</w:t>
      </w:r>
      <w:r w:rsidRPr="002F3D0A">
        <w:rPr>
          <w:rFonts w:ascii="Times New Roman" w:hAnsi="Times New Roman" w:cs="Times New Roman"/>
          <w:sz w:val="28"/>
          <w:szCs w:val="28"/>
        </w:rPr>
        <w:t>stió en</w:t>
      </w:r>
      <w:r w:rsidRPr="002F3D0A">
        <w:rPr>
          <w:rFonts w:ascii="Times New Roman" w:hAnsi="Times New Roman" w:cs="Times New Roman"/>
          <w:sz w:val="28"/>
          <w:szCs w:val="28"/>
        </w:rPr>
        <w:t xml:space="preserve"> la </w:t>
      </w:r>
      <w:r w:rsidRPr="002F3D0A">
        <w:rPr>
          <w:rFonts w:ascii="Times New Roman" w:hAnsi="Times New Roman" w:cs="Times New Roman"/>
          <w:sz w:val="28"/>
          <w:szCs w:val="28"/>
        </w:rPr>
        <w:t>exclu</w:t>
      </w:r>
      <w:r w:rsidRPr="002F3D0A">
        <w:rPr>
          <w:rFonts w:ascii="Times New Roman" w:hAnsi="Times New Roman" w:cs="Times New Roman"/>
          <w:sz w:val="28"/>
          <w:szCs w:val="28"/>
        </w:rPr>
        <w:t xml:space="preserve">sión de </w:t>
      </w:r>
      <w:r w:rsidRPr="002F3D0A">
        <w:rPr>
          <w:rFonts w:ascii="Times New Roman" w:hAnsi="Times New Roman" w:cs="Times New Roman"/>
          <w:sz w:val="28"/>
          <w:szCs w:val="28"/>
        </w:rPr>
        <w:t>los primeros $200.000.000 del valor de la casa o apartamento de habitació</w:t>
      </w:r>
      <w:r w:rsidRPr="002F3D0A">
        <w:rPr>
          <w:rFonts w:ascii="Times New Roman" w:hAnsi="Times New Roman" w:cs="Times New Roman"/>
          <w:sz w:val="28"/>
          <w:szCs w:val="28"/>
        </w:rPr>
        <w:t xml:space="preserve">n. Por su parte, en el diseño actual del impuesto al patrimonio algunos contribuyentes como las sociedades extranjeras sin residencia fiscal no pueden acceder a la exclusión descrita. De manera que, para estos contribuyentes el impuesto al patrimonio </w:t>
      </w:r>
      <w:r w:rsidRPr="002F3D0A">
        <w:rPr>
          <w:rFonts w:ascii="Times New Roman" w:hAnsi="Times New Roman" w:cs="Times New Roman"/>
          <w:sz w:val="28"/>
          <w:szCs w:val="28"/>
        </w:rPr>
        <w:t xml:space="preserve">sí </w:t>
      </w:r>
      <w:r w:rsidRPr="002F3D0A">
        <w:rPr>
          <w:rFonts w:ascii="Times New Roman" w:hAnsi="Times New Roman" w:cs="Times New Roman"/>
          <w:sz w:val="28"/>
          <w:szCs w:val="28"/>
        </w:rPr>
        <w:t>gr</w:t>
      </w:r>
      <w:r w:rsidRPr="002F3D0A">
        <w:rPr>
          <w:rFonts w:ascii="Times New Roman" w:hAnsi="Times New Roman" w:cs="Times New Roman"/>
          <w:sz w:val="28"/>
          <w:szCs w:val="28"/>
        </w:rPr>
        <w:t>ava</w:t>
      </w:r>
      <w:r w:rsidRPr="002F3D0A">
        <w:rPr>
          <w:rFonts w:ascii="Times New Roman" w:hAnsi="Times New Roman" w:cs="Times New Roman"/>
          <w:sz w:val="28"/>
          <w:szCs w:val="28"/>
        </w:rPr>
        <w:t xml:space="preserve"> directamente la propiedad inmueble</w:t>
      </w:r>
      <w:r w:rsidRPr="002F3D0A">
        <w:rPr>
          <w:rFonts w:ascii="Times New Roman" w:hAnsi="Times New Roman" w:cs="Times New Roman"/>
          <w:sz w:val="28"/>
          <w:szCs w:val="28"/>
        </w:rPr>
        <w:t xml:space="preserve">; (ii) el impuesto al patrimonio </w:t>
      </w:r>
      <w:r w:rsidRPr="002F3D0A">
        <w:rPr>
          <w:rFonts w:ascii="Times New Roman" w:hAnsi="Times New Roman" w:cs="Times New Roman"/>
          <w:sz w:val="28"/>
          <w:szCs w:val="28"/>
        </w:rPr>
        <w:t>para los contribuyentes que no pueden deducir un porcentaje de la propiedad inmueble</w:t>
      </w:r>
      <w:r w:rsidRPr="002F3D0A">
        <w:rPr>
          <w:rFonts w:ascii="Times New Roman" w:hAnsi="Times New Roman" w:cs="Times New Roman"/>
          <w:sz w:val="28"/>
          <w:szCs w:val="28"/>
        </w:rPr>
        <w:t xml:space="preserve"> genera un doble gravamen sobre </w:t>
      </w:r>
      <w:r w:rsidRPr="002F3D0A">
        <w:rPr>
          <w:rFonts w:ascii="Times New Roman" w:hAnsi="Times New Roman" w:cs="Times New Roman"/>
          <w:sz w:val="28"/>
          <w:szCs w:val="28"/>
        </w:rPr>
        <w:t>ese tipo de propiedad</w:t>
      </w:r>
      <w:r w:rsidRPr="002F3D0A">
        <w:rPr>
          <w:rFonts w:ascii="Times New Roman" w:hAnsi="Times New Roman" w:cs="Times New Roman"/>
          <w:sz w:val="28"/>
          <w:szCs w:val="28"/>
        </w:rPr>
        <w:t xml:space="preserve">, el que se deriva del impuesto predial y </w:t>
      </w:r>
      <w:r w:rsidRPr="002F3D0A">
        <w:rPr>
          <w:rFonts w:ascii="Times New Roman" w:hAnsi="Times New Roman" w:cs="Times New Roman"/>
          <w:sz w:val="28"/>
          <w:szCs w:val="28"/>
        </w:rPr>
        <w:t>d</w:t>
      </w:r>
      <w:r w:rsidRPr="002F3D0A">
        <w:rPr>
          <w:rFonts w:ascii="Times New Roman" w:hAnsi="Times New Roman" w:cs="Times New Roman"/>
          <w:sz w:val="28"/>
          <w:szCs w:val="28"/>
        </w:rPr>
        <w:t xml:space="preserve">el </w:t>
      </w:r>
      <w:r w:rsidRPr="002F3D0A">
        <w:rPr>
          <w:rFonts w:ascii="Times New Roman" w:hAnsi="Times New Roman" w:cs="Times New Roman"/>
          <w:sz w:val="28"/>
          <w:szCs w:val="28"/>
        </w:rPr>
        <w:t>impuesto al patrimonio; y (iii)</w:t>
      </w:r>
      <w:r w:rsidRPr="002F3D0A">
        <w:rPr>
          <w:rFonts w:ascii="Times New Roman" w:hAnsi="Times New Roman" w:cs="Times New Roman"/>
          <w:sz w:val="28"/>
        </w:rPr>
        <w:t xml:space="preserve"> </w:t>
      </w:r>
      <w:r w:rsidRPr="002F3D0A">
        <w:rPr>
          <w:rFonts w:ascii="Times New Roman" w:hAnsi="Times New Roman" w:cs="Times New Roman"/>
          <w:sz w:val="28"/>
          <w:szCs w:val="28"/>
        </w:rPr>
        <w:t>el impuesto al patrimonio demandado es permanente, característica que</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“puede generar que el impuesto al patrimonio incida de forma desproporcionada en la autonomía fiscal de las entidades territoriales.”</w:t>
      </w:r>
      <w:r w:rsidRPr="002F3D0A">
        <w:rPr>
          <w:rStyle w:val="Refdenotaalpie"/>
          <w:rFonts w:ascii="Times New Roman" w:hAnsi="Times New Roman" w:cs="Times New Roman"/>
          <w:sz w:val="28"/>
          <w:szCs w:val="28"/>
        </w:rPr>
        <w:footnoteReference w:id="70"/>
      </w:r>
    </w:p>
    <w:p w:rsidR="00BA3EA8" w:rsidRPr="002F3D0A" w:rsidRDefault="002F3D0A" w:rsidP="00BA3EA8">
      <w:pPr>
        <w:pStyle w:val="Prrafodelista"/>
        <w:ind w:left="0"/>
        <w:rPr>
          <w:rFonts w:ascii="Times New Roman" w:hAnsi="Times New Roman" w:cs="Times New Roman"/>
          <w:bCs/>
          <w:sz w:val="28"/>
          <w:szCs w:val="28"/>
        </w:rPr>
      </w:pPr>
    </w:p>
    <w:p w:rsidR="00A61734" w:rsidRPr="002F3D0A" w:rsidRDefault="002F3D0A" w:rsidP="002B6674">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La argumentación presentada por los demandantes </w:t>
      </w:r>
      <w:r w:rsidRPr="002F3D0A">
        <w:rPr>
          <w:rFonts w:ascii="Times New Roman" w:hAnsi="Times New Roman" w:cs="Times New Roman"/>
          <w:bCs/>
          <w:sz w:val="28"/>
          <w:szCs w:val="28"/>
        </w:rPr>
        <w:t>no</w:t>
      </w:r>
      <w:r w:rsidRPr="002F3D0A">
        <w:rPr>
          <w:rFonts w:ascii="Times New Roman" w:hAnsi="Times New Roman" w:cs="Times New Roman"/>
          <w:bCs/>
          <w:sz w:val="28"/>
          <w:szCs w:val="28"/>
        </w:rPr>
        <w:t xml:space="preserve"> expone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razones suficientes</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para sustentar la pretensión </w:t>
      </w:r>
      <w:r w:rsidRPr="002F3D0A">
        <w:rPr>
          <w:rFonts w:ascii="Times New Roman" w:hAnsi="Times New Roman" w:cs="Times New Roman"/>
          <w:bCs/>
          <w:sz w:val="28"/>
          <w:szCs w:val="28"/>
        </w:rPr>
        <w:t xml:space="preserve">de modificar </w:t>
      </w:r>
      <w:r w:rsidRPr="002F3D0A">
        <w:rPr>
          <w:rFonts w:ascii="Times New Roman" w:hAnsi="Times New Roman" w:cs="Times New Roman"/>
          <w:bCs/>
          <w:sz w:val="28"/>
          <w:szCs w:val="28"/>
        </w:rPr>
        <w:t xml:space="preserve">el precedente constitucional </w:t>
      </w:r>
      <w:r w:rsidRPr="002F3D0A">
        <w:rPr>
          <w:rFonts w:ascii="Times New Roman" w:hAnsi="Times New Roman" w:cs="Times New Roman"/>
          <w:bCs/>
          <w:sz w:val="28"/>
          <w:szCs w:val="28"/>
        </w:rPr>
        <w:t xml:space="preserve">sobre </w:t>
      </w:r>
      <w:r w:rsidRPr="002F3D0A">
        <w:rPr>
          <w:rFonts w:ascii="Times New Roman" w:hAnsi="Times New Roman" w:cs="Times New Roman"/>
          <w:bCs/>
          <w:sz w:val="28"/>
          <w:szCs w:val="28"/>
        </w:rPr>
        <w:t>la competencia de los municipios para gravar la propiedad inmueble</w:t>
      </w:r>
      <w:r w:rsidRPr="002F3D0A">
        <w:rPr>
          <w:rFonts w:ascii="Times New Roman" w:hAnsi="Times New Roman" w:cs="Times New Roman"/>
          <w:bCs/>
          <w:sz w:val="28"/>
          <w:szCs w:val="28"/>
        </w:rPr>
        <w:t>, debido a que no exp</w:t>
      </w:r>
      <w:r w:rsidRPr="002F3D0A">
        <w:rPr>
          <w:rFonts w:ascii="Times New Roman" w:hAnsi="Times New Roman" w:cs="Times New Roman"/>
          <w:bCs/>
          <w:sz w:val="28"/>
          <w:szCs w:val="28"/>
        </w:rPr>
        <w:t>lica</w:t>
      </w:r>
      <w:r w:rsidRPr="002F3D0A">
        <w:rPr>
          <w:rFonts w:ascii="Times New Roman" w:hAnsi="Times New Roman" w:cs="Times New Roman"/>
          <w:bCs/>
          <w:sz w:val="28"/>
          <w:szCs w:val="28"/>
        </w:rPr>
        <w:t xml:space="preserve"> por qué el criterio jurisprudencial alternativo que</w:t>
      </w:r>
      <w:r w:rsidRPr="002F3D0A">
        <w:rPr>
          <w:rFonts w:ascii="Times New Roman" w:hAnsi="Times New Roman" w:cs="Times New Roman"/>
          <w:bCs/>
          <w:sz w:val="28"/>
          <w:szCs w:val="28"/>
        </w:rPr>
        <w:t xml:space="preserve"> propone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materializa de mejor forma los principios constitucionales. </w:t>
      </w:r>
      <w:r w:rsidRPr="002F3D0A">
        <w:rPr>
          <w:rFonts w:ascii="Times New Roman" w:hAnsi="Times New Roman" w:cs="Times New Roman"/>
          <w:bCs/>
          <w:sz w:val="28"/>
          <w:szCs w:val="28"/>
        </w:rPr>
        <w:t>En efecto,</w:t>
      </w:r>
      <w:r w:rsidRPr="002F3D0A">
        <w:rPr>
          <w:rFonts w:ascii="Times New Roman" w:hAnsi="Times New Roman" w:cs="Times New Roman"/>
          <w:bCs/>
          <w:sz w:val="28"/>
          <w:szCs w:val="28"/>
        </w:rPr>
        <w:t xml:space="preserve"> los actores se limitaron a identificar diferencias del diseño </w:t>
      </w:r>
      <w:r w:rsidRPr="002F3D0A">
        <w:rPr>
          <w:rFonts w:ascii="Times New Roman" w:hAnsi="Times New Roman" w:cs="Times New Roman"/>
          <w:bCs/>
          <w:sz w:val="28"/>
          <w:szCs w:val="28"/>
        </w:rPr>
        <w:t>del impuesto</w:t>
      </w:r>
      <w:r w:rsidRPr="002F3D0A">
        <w:rPr>
          <w:rFonts w:ascii="Times New Roman" w:hAnsi="Times New Roman" w:cs="Times New Roman"/>
          <w:bCs/>
          <w:sz w:val="28"/>
          <w:szCs w:val="28"/>
        </w:rPr>
        <w:t xml:space="preserve"> al patrimonio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demandado en</w:t>
      </w:r>
      <w:r w:rsidRPr="002F3D0A">
        <w:rPr>
          <w:rFonts w:ascii="Times New Roman" w:hAnsi="Times New Roman" w:cs="Times New Roman"/>
          <w:bCs/>
          <w:sz w:val="28"/>
          <w:szCs w:val="28"/>
        </w:rPr>
        <w:t xml:space="preserve"> esta oportunidad frent</w:t>
      </w:r>
      <w:r w:rsidRPr="002F3D0A">
        <w:rPr>
          <w:rFonts w:ascii="Times New Roman" w:hAnsi="Times New Roman" w:cs="Times New Roman"/>
          <w:bCs/>
          <w:sz w:val="28"/>
          <w:szCs w:val="28"/>
        </w:rPr>
        <w:t xml:space="preserve">e al examinado en </w:t>
      </w:r>
      <w:r w:rsidRPr="002F3D0A">
        <w:rPr>
          <w:rFonts w:ascii="Times New Roman" w:hAnsi="Times New Roman" w:cs="Times New Roman"/>
          <w:bCs/>
          <w:sz w:val="28"/>
          <w:szCs w:val="28"/>
        </w:rPr>
        <w:t>la sentencia C-99</w:t>
      </w:r>
      <w:r w:rsidRPr="002F3D0A">
        <w:rPr>
          <w:rFonts w:ascii="Times New Roman" w:hAnsi="Times New Roman" w:cs="Times New Roman"/>
          <w:bCs/>
          <w:sz w:val="28"/>
          <w:szCs w:val="28"/>
        </w:rPr>
        <w:t>0</w:t>
      </w:r>
      <w:r w:rsidRPr="002F3D0A">
        <w:rPr>
          <w:rFonts w:ascii="Times New Roman" w:hAnsi="Times New Roman" w:cs="Times New Roman"/>
          <w:bCs/>
          <w:sz w:val="28"/>
          <w:szCs w:val="28"/>
        </w:rPr>
        <w:t xml:space="preserve"> de 2004, particularmente el carácter permanente del tributo</w:t>
      </w:r>
      <w:r w:rsidRPr="002F3D0A">
        <w:rPr>
          <w:rFonts w:ascii="Times New Roman" w:hAnsi="Times New Roman" w:cs="Times New Roman"/>
          <w:bCs/>
          <w:sz w:val="28"/>
          <w:szCs w:val="28"/>
        </w:rPr>
        <w:t xml:space="preserve"> actual</w:t>
      </w:r>
      <w:r w:rsidRPr="002F3D0A">
        <w:rPr>
          <w:rFonts w:ascii="Times New Roman" w:hAnsi="Times New Roman" w:cs="Times New Roman"/>
          <w:bCs/>
          <w:sz w:val="28"/>
          <w:szCs w:val="28"/>
        </w:rPr>
        <w:t xml:space="preserve"> y la imposibilidad para algunos contribuyentes de deducir un porcentaje del monto de la propiedad inmueble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Sin embargo, estas razones:</w:t>
      </w:r>
    </w:p>
    <w:p w:rsidR="00A61734" w:rsidRPr="002F3D0A" w:rsidRDefault="002F3D0A" w:rsidP="00A61734">
      <w:pPr>
        <w:pStyle w:val="Prrafodelista"/>
        <w:rPr>
          <w:rFonts w:ascii="Times New Roman" w:hAnsi="Times New Roman" w:cs="Times New Roman"/>
          <w:bCs/>
          <w:sz w:val="28"/>
          <w:szCs w:val="28"/>
        </w:rPr>
      </w:pPr>
    </w:p>
    <w:p w:rsidR="00A61734" w:rsidRPr="002F3D0A" w:rsidRDefault="002F3D0A" w:rsidP="00A61734">
      <w:pPr>
        <w:pStyle w:val="Prrafodelista"/>
        <w:numPr>
          <w:ilvl w:val="0"/>
          <w:numId w:val="6"/>
        </w:numPr>
        <w:rPr>
          <w:rFonts w:ascii="Times New Roman" w:hAnsi="Times New Roman" w:cs="Times New Roman"/>
          <w:bCs/>
          <w:sz w:val="28"/>
          <w:szCs w:val="28"/>
        </w:rPr>
      </w:pPr>
      <w:r w:rsidRPr="002F3D0A">
        <w:rPr>
          <w:rFonts w:ascii="Times New Roman" w:hAnsi="Times New Roman" w:cs="Times New Roman"/>
          <w:bCs/>
          <w:sz w:val="28"/>
          <w:szCs w:val="28"/>
        </w:rPr>
        <w:t xml:space="preserve">no presentan elementos dirigidos a </w:t>
      </w:r>
      <w:r w:rsidRPr="002F3D0A">
        <w:rPr>
          <w:rFonts w:ascii="Times New Roman" w:hAnsi="Times New Roman" w:cs="Times New Roman"/>
          <w:bCs/>
          <w:sz w:val="28"/>
          <w:szCs w:val="28"/>
        </w:rPr>
        <w:t>evidenciar</w:t>
      </w:r>
      <w:r w:rsidRPr="002F3D0A">
        <w:rPr>
          <w:rFonts w:ascii="Times New Roman" w:hAnsi="Times New Roman" w:cs="Times New Roman"/>
          <w:bCs/>
          <w:sz w:val="28"/>
          <w:szCs w:val="28"/>
        </w:rPr>
        <w:t xml:space="preserve"> que </w:t>
      </w:r>
      <w:r w:rsidRPr="002F3D0A">
        <w:rPr>
          <w:rFonts w:ascii="Times New Roman" w:hAnsi="Times New Roman" w:cs="Times New Roman"/>
          <w:bCs/>
          <w:sz w:val="28"/>
          <w:szCs w:val="28"/>
        </w:rPr>
        <w:t xml:space="preserve">el criterio alternativo que proponen materialice, de mejor manera, principios constitucionales; </w:t>
      </w:r>
    </w:p>
    <w:p w:rsidR="00A61734" w:rsidRPr="002F3D0A" w:rsidRDefault="002F3D0A" w:rsidP="00A61734">
      <w:pPr>
        <w:pStyle w:val="Prrafodelista"/>
        <w:numPr>
          <w:ilvl w:val="0"/>
          <w:numId w:val="6"/>
        </w:numPr>
        <w:rPr>
          <w:rFonts w:ascii="Times New Roman" w:hAnsi="Times New Roman" w:cs="Times New Roman"/>
          <w:bCs/>
          <w:sz w:val="28"/>
          <w:szCs w:val="28"/>
        </w:rPr>
      </w:pPr>
      <w:r w:rsidRPr="002F3D0A">
        <w:rPr>
          <w:rFonts w:ascii="Times New Roman" w:hAnsi="Times New Roman" w:cs="Times New Roman"/>
          <w:bCs/>
          <w:sz w:val="28"/>
          <w:szCs w:val="28"/>
        </w:rPr>
        <w:t xml:space="preserve">omite que el argumento relacionado con la deducibilidad de un porcentaje de la casa de habitación no </w:t>
      </w:r>
      <w:r w:rsidRPr="002F3D0A">
        <w:rPr>
          <w:rFonts w:ascii="Times New Roman" w:hAnsi="Times New Roman" w:cs="Times New Roman"/>
          <w:bCs/>
          <w:sz w:val="28"/>
          <w:szCs w:val="28"/>
        </w:rPr>
        <w:t xml:space="preserve">es </w:t>
      </w:r>
      <w:r w:rsidRPr="002F3D0A">
        <w:rPr>
          <w:rFonts w:ascii="Times New Roman" w:hAnsi="Times New Roman" w:cs="Times New Roman"/>
          <w:bCs/>
          <w:sz w:val="28"/>
          <w:szCs w:val="28"/>
        </w:rPr>
        <w:t>la ún</w:t>
      </w:r>
      <w:r w:rsidRPr="002F3D0A">
        <w:rPr>
          <w:rFonts w:ascii="Times New Roman" w:hAnsi="Times New Roman" w:cs="Times New Roman"/>
          <w:bCs/>
          <w:sz w:val="28"/>
          <w:szCs w:val="28"/>
        </w:rPr>
        <w:t>ica razón</w:t>
      </w:r>
      <w:r w:rsidRPr="002F3D0A">
        <w:rPr>
          <w:rFonts w:ascii="Times New Roman" w:hAnsi="Times New Roman" w:cs="Times New Roman"/>
          <w:bCs/>
          <w:sz w:val="28"/>
          <w:szCs w:val="28"/>
        </w:rPr>
        <w:t xml:space="preserve"> que sustenta el criterio jurisprudencial vigente sobre el artículo 317 superior tal y como lo refleja la tabla </w:t>
      </w:r>
      <w:r w:rsidRPr="002F3D0A">
        <w:rPr>
          <w:rFonts w:ascii="Times New Roman" w:hAnsi="Times New Roman" w:cs="Times New Roman"/>
          <w:bCs/>
          <w:sz w:val="28"/>
          <w:szCs w:val="28"/>
        </w:rPr>
        <w:t>6;</w:t>
      </w:r>
    </w:p>
    <w:p w:rsidR="00C73F8C" w:rsidRPr="002F3D0A" w:rsidRDefault="002F3D0A" w:rsidP="00A61734">
      <w:pPr>
        <w:pStyle w:val="Prrafodelista"/>
        <w:numPr>
          <w:ilvl w:val="0"/>
          <w:numId w:val="6"/>
        </w:numPr>
        <w:rPr>
          <w:rFonts w:ascii="Times New Roman" w:hAnsi="Times New Roman" w:cs="Times New Roman"/>
          <w:bCs/>
          <w:color w:val="000000" w:themeColor="text1"/>
          <w:sz w:val="28"/>
          <w:szCs w:val="28"/>
        </w:rPr>
      </w:pPr>
      <w:r w:rsidRPr="002F3D0A">
        <w:rPr>
          <w:rFonts w:ascii="Times New Roman" w:hAnsi="Times New Roman" w:cs="Times New Roman"/>
          <w:bCs/>
          <w:sz w:val="28"/>
          <w:szCs w:val="28"/>
        </w:rPr>
        <w:t xml:space="preserve">desconoce que </w:t>
      </w:r>
      <w:r w:rsidRPr="002F3D0A">
        <w:rPr>
          <w:rFonts w:ascii="Times New Roman" w:hAnsi="Times New Roman" w:cs="Times New Roman"/>
          <w:bCs/>
          <w:sz w:val="28"/>
          <w:szCs w:val="28"/>
        </w:rPr>
        <w:t>el precedente constitucional</w:t>
      </w:r>
      <w:r w:rsidRPr="002F3D0A">
        <w:rPr>
          <w:rFonts w:ascii="Times New Roman" w:hAnsi="Times New Roman" w:cs="Times New Roman"/>
          <w:bCs/>
          <w:sz w:val="28"/>
          <w:szCs w:val="28"/>
        </w:rPr>
        <w:t xml:space="preserve"> sobre el alcance del </w:t>
      </w:r>
      <w:r w:rsidRPr="002F3D0A">
        <w:rPr>
          <w:rFonts w:ascii="Times New Roman" w:hAnsi="Times New Roman" w:cs="Times New Roman"/>
          <w:bCs/>
          <w:color w:val="000000" w:themeColor="text1"/>
          <w:sz w:val="28"/>
          <w:szCs w:val="28"/>
        </w:rPr>
        <w:t xml:space="preserve">artículo 317 de la Carta Política </w:t>
      </w:r>
      <w:r w:rsidRPr="002F3D0A">
        <w:rPr>
          <w:rFonts w:ascii="Times New Roman" w:hAnsi="Times New Roman" w:cs="Times New Roman"/>
          <w:bCs/>
          <w:color w:val="000000" w:themeColor="text1"/>
          <w:sz w:val="28"/>
          <w:szCs w:val="28"/>
        </w:rPr>
        <w:t>y la competencia constitucional de</w:t>
      </w:r>
      <w:r w:rsidRPr="002F3D0A">
        <w:rPr>
          <w:rFonts w:ascii="Times New Roman" w:hAnsi="Times New Roman" w:cs="Times New Roman"/>
          <w:bCs/>
          <w:color w:val="000000" w:themeColor="text1"/>
          <w:sz w:val="28"/>
          <w:szCs w:val="28"/>
        </w:rPr>
        <w:t xml:space="preserve"> los municipios para gravar la propiedad inmueble </w:t>
      </w:r>
      <w:r w:rsidRPr="002F3D0A">
        <w:rPr>
          <w:rFonts w:ascii="Times New Roman" w:hAnsi="Times New Roman" w:cs="Times New Roman"/>
          <w:bCs/>
          <w:color w:val="000000" w:themeColor="text1"/>
          <w:sz w:val="28"/>
          <w:szCs w:val="28"/>
        </w:rPr>
        <w:t>se definió desde la sentencia C-876 de 2002, en la que se examinó un impuesto al patrimonio que</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de forma expresa</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prohibía </w:t>
      </w:r>
      <w:r w:rsidRPr="002F3D0A">
        <w:rPr>
          <w:rFonts w:ascii="Times New Roman" w:hAnsi="Times New Roman" w:cs="Times New Roman"/>
          <w:color w:val="000000" w:themeColor="text1"/>
          <w:sz w:val="28"/>
          <w:szCs w:val="28"/>
          <w:shd w:val="clear" w:color="auto" w:fill="FFFFFF"/>
        </w:rPr>
        <w:t>excluir o descontar algún valor por la posesión de bienes inmuebles</w:t>
      </w:r>
      <w:r w:rsidRPr="002F3D0A">
        <w:rPr>
          <w:rFonts w:ascii="Times New Roman" w:hAnsi="Times New Roman" w:cs="Times New Roman"/>
          <w:color w:val="000000" w:themeColor="text1"/>
          <w:sz w:val="28"/>
          <w:szCs w:val="28"/>
          <w:shd w:val="clear" w:color="auto" w:fill="FFFFFF"/>
        </w:rPr>
        <w:t xml:space="preserve">. En consecuencia, </w:t>
      </w:r>
      <w:r w:rsidRPr="002F3D0A">
        <w:rPr>
          <w:rFonts w:ascii="Times New Roman" w:hAnsi="Times New Roman" w:cs="Times New Roman"/>
          <w:color w:val="000000" w:themeColor="text1"/>
          <w:sz w:val="28"/>
          <w:szCs w:val="28"/>
          <w:shd w:val="clear" w:color="auto" w:fill="FFFFFF"/>
        </w:rPr>
        <w:t xml:space="preserve">la alegada diferencia que se propone en este caso </w:t>
      </w:r>
      <w:r w:rsidRPr="002F3D0A">
        <w:rPr>
          <w:rFonts w:ascii="Times New Roman" w:hAnsi="Times New Roman" w:cs="Times New Roman"/>
          <w:color w:val="000000" w:themeColor="text1"/>
          <w:sz w:val="28"/>
          <w:szCs w:val="28"/>
          <w:shd w:val="clear" w:color="auto" w:fill="FFFFFF"/>
        </w:rPr>
        <w:t>al identificar su</w:t>
      </w:r>
      <w:r w:rsidRPr="002F3D0A">
        <w:rPr>
          <w:rFonts w:ascii="Times New Roman" w:hAnsi="Times New Roman" w:cs="Times New Roman"/>
          <w:color w:val="000000" w:themeColor="text1"/>
          <w:sz w:val="28"/>
          <w:szCs w:val="28"/>
          <w:shd w:val="clear" w:color="auto" w:fill="FFFFFF"/>
        </w:rPr>
        <w:t>jetos del impuesto al patrimonio que</w:t>
      </w:r>
      <w:r w:rsidRPr="002F3D0A">
        <w:rPr>
          <w:rFonts w:ascii="Times New Roman" w:hAnsi="Times New Roman" w:cs="Times New Roman"/>
          <w:color w:val="000000" w:themeColor="text1"/>
          <w:sz w:val="28"/>
          <w:szCs w:val="28"/>
          <w:shd w:val="clear" w:color="auto" w:fill="FFFFFF"/>
        </w:rPr>
        <w:t>, como las sociedades</w:t>
      </w:r>
      <w:r w:rsidRPr="002F3D0A">
        <w:rPr>
          <w:rFonts w:ascii="Times New Roman" w:hAnsi="Times New Roman" w:cs="Times New Roman"/>
          <w:color w:val="000000" w:themeColor="text1"/>
          <w:sz w:val="28"/>
          <w:szCs w:val="28"/>
          <w:shd w:val="clear" w:color="auto" w:fill="FFFFFF"/>
        </w:rPr>
        <w:t xml:space="preserve"> extranjeras</w:t>
      </w:r>
      <w:r w:rsidRPr="002F3D0A">
        <w:rPr>
          <w:rFonts w:ascii="Times New Roman" w:hAnsi="Times New Roman" w:cs="Times New Roman"/>
          <w:color w:val="000000" w:themeColor="text1"/>
          <w:sz w:val="28"/>
          <w:szCs w:val="28"/>
          <w:shd w:val="clear" w:color="auto" w:fill="FFFFFF"/>
        </w:rPr>
        <w:t xml:space="preserve">, </w:t>
      </w:r>
      <w:r w:rsidRPr="002F3D0A">
        <w:rPr>
          <w:rFonts w:ascii="Times New Roman" w:hAnsi="Times New Roman" w:cs="Times New Roman"/>
          <w:color w:val="000000" w:themeColor="text1"/>
          <w:sz w:val="28"/>
          <w:szCs w:val="28"/>
          <w:shd w:val="clear" w:color="auto" w:fill="FFFFFF"/>
        </w:rPr>
        <w:t>no pueden excluir porcentajes de su propiedad inmueble de la base gravable no da cuenta de un eleme</w:t>
      </w:r>
      <w:r w:rsidRPr="002F3D0A">
        <w:rPr>
          <w:rFonts w:ascii="Times New Roman" w:hAnsi="Times New Roman" w:cs="Times New Roman"/>
          <w:color w:val="000000" w:themeColor="text1"/>
          <w:sz w:val="28"/>
          <w:szCs w:val="28"/>
          <w:shd w:val="clear" w:color="auto" w:fill="FFFFFF"/>
        </w:rPr>
        <w:t xml:space="preserve">nto que no se </w:t>
      </w:r>
      <w:r w:rsidRPr="002F3D0A">
        <w:rPr>
          <w:rFonts w:ascii="Times New Roman" w:hAnsi="Times New Roman" w:cs="Times New Roman"/>
          <w:color w:val="000000" w:themeColor="text1"/>
          <w:sz w:val="28"/>
          <w:szCs w:val="28"/>
          <w:shd w:val="clear" w:color="auto" w:fill="FFFFFF"/>
        </w:rPr>
        <w:t>hubiera presentado</w:t>
      </w:r>
      <w:r w:rsidRPr="002F3D0A">
        <w:rPr>
          <w:rFonts w:ascii="Times New Roman" w:hAnsi="Times New Roman" w:cs="Times New Roman"/>
          <w:color w:val="000000" w:themeColor="text1"/>
          <w:sz w:val="28"/>
          <w:szCs w:val="28"/>
          <w:shd w:val="clear" w:color="auto" w:fill="FFFFFF"/>
        </w:rPr>
        <w:t xml:space="preserve"> en </w:t>
      </w:r>
      <w:r w:rsidRPr="002F3D0A">
        <w:rPr>
          <w:rFonts w:ascii="Times New Roman" w:hAnsi="Times New Roman" w:cs="Times New Roman"/>
          <w:bCs/>
          <w:color w:val="000000" w:themeColor="text1"/>
          <w:sz w:val="28"/>
          <w:szCs w:val="28"/>
        </w:rPr>
        <w:t xml:space="preserve">la construcción del criterio jurisprudencial. </w:t>
      </w:r>
    </w:p>
    <w:p w:rsidR="00C73F8C" w:rsidRPr="002F3D0A" w:rsidRDefault="002F3D0A" w:rsidP="00C73F8C">
      <w:pPr>
        <w:pStyle w:val="Prrafodelista"/>
        <w:rPr>
          <w:rFonts w:ascii="Times New Roman" w:hAnsi="Times New Roman" w:cs="Times New Roman"/>
          <w:bCs/>
          <w:sz w:val="28"/>
          <w:szCs w:val="28"/>
        </w:rPr>
      </w:pPr>
    </w:p>
    <w:p w:rsidR="004321B1" w:rsidRPr="002F3D0A" w:rsidRDefault="002F3D0A" w:rsidP="00C73F8C">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Adicionalmente, </w:t>
      </w:r>
      <w:r w:rsidRPr="002F3D0A">
        <w:rPr>
          <w:rFonts w:ascii="Times New Roman" w:hAnsi="Times New Roman" w:cs="Times New Roman"/>
          <w:bCs/>
          <w:sz w:val="28"/>
          <w:szCs w:val="28"/>
        </w:rPr>
        <w:t xml:space="preserve">aunque es cierto que el impuesto cuestionado en esta oportunidad </w:t>
      </w:r>
      <w:r w:rsidRPr="002F3D0A">
        <w:rPr>
          <w:rFonts w:ascii="Times New Roman" w:hAnsi="Times New Roman" w:cs="Times New Roman"/>
          <w:bCs/>
          <w:sz w:val="28"/>
          <w:szCs w:val="28"/>
        </w:rPr>
        <w:t xml:space="preserve">es permanente </w:t>
      </w:r>
      <w:r w:rsidRPr="002F3D0A">
        <w:rPr>
          <w:rFonts w:ascii="Times New Roman" w:hAnsi="Times New Roman" w:cs="Times New Roman"/>
          <w:bCs/>
          <w:sz w:val="28"/>
          <w:szCs w:val="28"/>
        </w:rPr>
        <w:t xml:space="preserve">y los examinados en las sentencias C-876 de 2002 y C-990 de 2004 </w:t>
      </w:r>
      <w:r w:rsidRPr="002F3D0A">
        <w:rPr>
          <w:rFonts w:ascii="Times New Roman" w:hAnsi="Times New Roman" w:cs="Times New Roman"/>
          <w:bCs/>
          <w:sz w:val="28"/>
          <w:szCs w:val="28"/>
        </w:rPr>
        <w:t xml:space="preserve">tenían vigencias temporales los actores no explicaron cómo esta circunstancia genera que el </w:t>
      </w:r>
      <w:r w:rsidRPr="002F3D0A">
        <w:rPr>
          <w:rFonts w:ascii="Times New Roman" w:hAnsi="Times New Roman" w:cs="Times New Roman"/>
          <w:bCs/>
          <w:sz w:val="28"/>
          <w:szCs w:val="28"/>
        </w:rPr>
        <w:t>cambio de criterio que proponen</w:t>
      </w:r>
      <w:r w:rsidRPr="002F3D0A">
        <w:rPr>
          <w:rFonts w:ascii="Times New Roman" w:hAnsi="Times New Roman" w:cs="Times New Roman"/>
          <w:bCs/>
          <w:sz w:val="28"/>
          <w:szCs w:val="28"/>
        </w:rPr>
        <w:t xml:space="preserve"> material</w:t>
      </w:r>
      <w:r w:rsidRPr="002F3D0A">
        <w:rPr>
          <w:rFonts w:ascii="Times New Roman" w:hAnsi="Times New Roman" w:cs="Times New Roman"/>
          <w:bCs/>
          <w:sz w:val="28"/>
          <w:szCs w:val="28"/>
        </w:rPr>
        <w:t xml:space="preserve">ice, </w:t>
      </w:r>
      <w:r w:rsidRPr="002F3D0A">
        <w:rPr>
          <w:rFonts w:ascii="Times New Roman" w:hAnsi="Times New Roman" w:cs="Times New Roman"/>
          <w:bCs/>
          <w:sz w:val="28"/>
          <w:szCs w:val="28"/>
        </w:rPr>
        <w:t>de mejor manera</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principios</w:t>
      </w:r>
      <w:r w:rsidRPr="002F3D0A">
        <w:rPr>
          <w:rFonts w:ascii="Times New Roman" w:hAnsi="Times New Roman" w:cs="Times New Roman"/>
          <w:bCs/>
          <w:sz w:val="28"/>
          <w:szCs w:val="28"/>
        </w:rPr>
        <w:t xml:space="preserve"> constitucionales. </w:t>
      </w:r>
      <w:r w:rsidRPr="002F3D0A">
        <w:rPr>
          <w:rFonts w:ascii="Times New Roman" w:hAnsi="Times New Roman" w:cs="Times New Roman"/>
          <w:bCs/>
          <w:sz w:val="28"/>
          <w:szCs w:val="28"/>
        </w:rPr>
        <w:t xml:space="preserve">En efecto, </w:t>
      </w:r>
      <w:r w:rsidRPr="002F3D0A">
        <w:rPr>
          <w:rFonts w:ascii="Times New Roman" w:hAnsi="Times New Roman" w:cs="Times New Roman"/>
          <w:bCs/>
          <w:sz w:val="28"/>
          <w:szCs w:val="28"/>
        </w:rPr>
        <w:t xml:space="preserve">los demandantes </w:t>
      </w:r>
      <w:r w:rsidRPr="002F3D0A">
        <w:rPr>
          <w:rFonts w:ascii="Times New Roman" w:hAnsi="Times New Roman" w:cs="Times New Roman"/>
          <w:bCs/>
          <w:sz w:val="28"/>
          <w:szCs w:val="28"/>
        </w:rPr>
        <w:t>se limitan a señalar que ese carácter permanen</w:t>
      </w:r>
      <w:r w:rsidRPr="002F3D0A">
        <w:rPr>
          <w:rFonts w:ascii="Times New Roman" w:hAnsi="Times New Roman" w:cs="Times New Roman"/>
          <w:bCs/>
          <w:sz w:val="28"/>
          <w:szCs w:val="28"/>
        </w:rPr>
        <w:t xml:space="preserve">te podría profundizar la afectación de la autonomía fiscal de los municipios, </w:t>
      </w:r>
      <w:r w:rsidRPr="002F3D0A">
        <w:rPr>
          <w:rFonts w:ascii="Times New Roman" w:hAnsi="Times New Roman" w:cs="Times New Roman"/>
          <w:bCs/>
          <w:sz w:val="28"/>
          <w:szCs w:val="28"/>
        </w:rPr>
        <w:t>a pesar de que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el </w:t>
      </w:r>
      <w:r w:rsidRPr="002F3D0A">
        <w:rPr>
          <w:rFonts w:ascii="Times New Roman" w:hAnsi="Times New Roman" w:cs="Times New Roman"/>
          <w:bCs/>
          <w:sz w:val="28"/>
          <w:szCs w:val="28"/>
        </w:rPr>
        <w:t>precedente constitucional</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concluyó</w:t>
      </w:r>
      <w:r w:rsidRPr="002F3D0A">
        <w:rPr>
          <w:rFonts w:ascii="Times New Roman" w:hAnsi="Times New Roman" w:cs="Times New Roman"/>
          <w:bCs/>
          <w:sz w:val="28"/>
          <w:szCs w:val="28"/>
        </w:rPr>
        <w:t xml:space="preserve"> que la inclusión de la propiedad inmueble en la base gravable del impuesto al patrimonio no viola la competencia de los municipios prevista en el artículo 317 superior.</w:t>
      </w:r>
    </w:p>
    <w:p w:rsidR="00DD1BA7" w:rsidRPr="002F3D0A" w:rsidRDefault="002F3D0A" w:rsidP="00DD1BA7">
      <w:pPr>
        <w:pStyle w:val="Prrafodelista"/>
        <w:ind w:left="0"/>
        <w:rPr>
          <w:rFonts w:ascii="Times New Roman" w:hAnsi="Times New Roman" w:cs="Times New Roman"/>
          <w:bCs/>
          <w:sz w:val="28"/>
          <w:szCs w:val="28"/>
        </w:rPr>
      </w:pPr>
    </w:p>
    <w:p w:rsidR="00166D54" w:rsidRPr="002F3D0A" w:rsidRDefault="002F3D0A" w:rsidP="00166D54">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De otra parte, los actores no cuestiona</w:t>
      </w:r>
      <w:r w:rsidRPr="002F3D0A">
        <w:rPr>
          <w:rFonts w:ascii="Times New Roman" w:hAnsi="Times New Roman" w:cs="Times New Roman"/>
          <w:bCs/>
          <w:sz w:val="28"/>
          <w:szCs w:val="28"/>
        </w:rPr>
        <w:t>ro</w:t>
      </w:r>
      <w:r w:rsidRPr="002F3D0A">
        <w:rPr>
          <w:rFonts w:ascii="Times New Roman" w:hAnsi="Times New Roman" w:cs="Times New Roman"/>
          <w:bCs/>
          <w:sz w:val="28"/>
          <w:szCs w:val="28"/>
        </w:rPr>
        <w:t>n las razones principales consideradas por e</w:t>
      </w:r>
      <w:r w:rsidRPr="002F3D0A">
        <w:rPr>
          <w:rFonts w:ascii="Times New Roman" w:hAnsi="Times New Roman" w:cs="Times New Roman"/>
          <w:bCs/>
          <w:sz w:val="28"/>
          <w:szCs w:val="28"/>
        </w:rPr>
        <w:t xml:space="preserve">ste Tribunal sobre el alcance del artículo 317 superior y la base </w:t>
      </w:r>
      <w:r w:rsidRPr="002F3D0A">
        <w:rPr>
          <w:rFonts w:ascii="Times New Roman" w:hAnsi="Times New Roman" w:cs="Times New Roman"/>
          <w:bCs/>
          <w:sz w:val="28"/>
          <w:szCs w:val="28"/>
        </w:rPr>
        <w:t xml:space="preserve">gravable </w:t>
      </w:r>
      <w:r w:rsidRPr="002F3D0A">
        <w:rPr>
          <w:rFonts w:ascii="Times New Roman" w:hAnsi="Times New Roman" w:cs="Times New Roman"/>
          <w:bCs/>
          <w:sz w:val="28"/>
          <w:szCs w:val="28"/>
        </w:rPr>
        <w:t>del impuesto al patrimonio, particularmente</w:t>
      </w:r>
      <w:r w:rsidRPr="002F3D0A">
        <w:rPr>
          <w:rFonts w:ascii="Times New Roman" w:hAnsi="Times New Roman" w:cs="Times New Roman"/>
          <w:bCs/>
          <w:sz w:val="28"/>
          <w:szCs w:val="28"/>
        </w:rPr>
        <w:t xml:space="preserve"> no confrontaron</w:t>
      </w:r>
      <w:r w:rsidRPr="002F3D0A">
        <w:rPr>
          <w:rFonts w:ascii="Times New Roman" w:hAnsi="Times New Roman" w:cs="Times New Roman"/>
          <w:bCs/>
          <w:sz w:val="28"/>
          <w:szCs w:val="28"/>
        </w:rPr>
        <w:t xml:space="preserve"> la lectura de esa regla constitucional por parte</w:t>
      </w:r>
      <w:r w:rsidRPr="002F3D0A">
        <w:rPr>
          <w:rFonts w:ascii="Times New Roman" w:hAnsi="Times New Roman" w:cs="Times New Roman"/>
          <w:bCs/>
          <w:sz w:val="28"/>
          <w:szCs w:val="28"/>
        </w:rPr>
        <w:t xml:space="preserve"> de este Tribunal constitucional</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según la cual dicha norma superior</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circ</w:t>
      </w:r>
      <w:r w:rsidRPr="002F3D0A">
        <w:rPr>
          <w:rFonts w:ascii="Times New Roman" w:hAnsi="Times New Roman" w:cs="Times New Roman"/>
          <w:bCs/>
          <w:sz w:val="28"/>
          <w:szCs w:val="28"/>
        </w:rPr>
        <w:t>unscribe la competencia de los municipios a los tributos que recaen de forma directa y exclusiva sobre la propiedad inmueble</w:t>
      </w:r>
      <w:r w:rsidRPr="002F3D0A">
        <w:rPr>
          <w:rFonts w:ascii="Times New Roman" w:hAnsi="Times New Roman" w:cs="Times New Roman"/>
          <w:bCs/>
          <w:sz w:val="28"/>
          <w:szCs w:val="28"/>
        </w:rPr>
        <w:t>. En esa línea, los demandantes tampoco confrontaron</w:t>
      </w:r>
      <w:r w:rsidRPr="002F3D0A">
        <w:rPr>
          <w:rFonts w:ascii="Times New Roman" w:hAnsi="Times New Roman" w:cs="Times New Roman"/>
          <w:bCs/>
          <w:sz w:val="28"/>
          <w:szCs w:val="28"/>
        </w:rPr>
        <w:t xml:space="preserve"> las diferencias entre el impuesto predial y el impuesto al patrimonio que ha</w:t>
      </w:r>
      <w:r w:rsidRPr="002F3D0A">
        <w:rPr>
          <w:rFonts w:ascii="Times New Roman" w:hAnsi="Times New Roman" w:cs="Times New Roman"/>
          <w:bCs/>
          <w:sz w:val="28"/>
          <w:szCs w:val="28"/>
        </w:rPr>
        <w:t>n s</w:t>
      </w:r>
      <w:r w:rsidRPr="002F3D0A">
        <w:rPr>
          <w:rFonts w:ascii="Times New Roman" w:hAnsi="Times New Roman" w:cs="Times New Roman"/>
          <w:bCs/>
          <w:sz w:val="28"/>
          <w:szCs w:val="28"/>
        </w:rPr>
        <w:t>ido</w:t>
      </w:r>
      <w:r w:rsidRPr="002F3D0A">
        <w:rPr>
          <w:rFonts w:ascii="Times New Roman" w:hAnsi="Times New Roman" w:cs="Times New Roman"/>
          <w:bCs/>
          <w:sz w:val="28"/>
          <w:szCs w:val="28"/>
        </w:rPr>
        <w:t xml:space="preserve"> considerad</w:t>
      </w:r>
      <w:r w:rsidRPr="002F3D0A">
        <w:rPr>
          <w:rFonts w:ascii="Times New Roman" w:hAnsi="Times New Roman" w:cs="Times New Roman"/>
          <w:bCs/>
          <w:sz w:val="28"/>
          <w:szCs w:val="28"/>
        </w:rPr>
        <w:t>as</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por </w:t>
      </w:r>
      <w:r w:rsidRPr="002F3D0A">
        <w:rPr>
          <w:rFonts w:ascii="Times New Roman" w:hAnsi="Times New Roman" w:cs="Times New Roman"/>
          <w:bCs/>
          <w:sz w:val="28"/>
          <w:szCs w:val="28"/>
        </w:rPr>
        <w:t>la Corte Constitucional</w:t>
      </w:r>
      <w:r w:rsidRPr="002F3D0A">
        <w:rPr>
          <w:rFonts w:ascii="Times New Roman" w:hAnsi="Times New Roman" w:cs="Times New Roman"/>
          <w:bCs/>
          <w:sz w:val="28"/>
          <w:szCs w:val="28"/>
        </w:rPr>
        <w:t xml:space="preserve"> en el desarrollo de</w:t>
      </w:r>
      <w:r w:rsidRPr="002F3D0A">
        <w:rPr>
          <w:rFonts w:ascii="Times New Roman" w:hAnsi="Times New Roman" w:cs="Times New Roman"/>
          <w:bCs/>
          <w:sz w:val="28"/>
          <w:szCs w:val="28"/>
        </w:rPr>
        <w:t xml:space="preserve"> la tesis jurisprudencial.</w:t>
      </w:r>
    </w:p>
    <w:p w:rsidR="00166D54" w:rsidRPr="002F3D0A" w:rsidRDefault="002F3D0A" w:rsidP="00166D54">
      <w:pPr>
        <w:pStyle w:val="Prrafodelista"/>
        <w:rPr>
          <w:rFonts w:ascii="Times New Roman" w:hAnsi="Times New Roman" w:cs="Times New Roman"/>
          <w:bCs/>
          <w:sz w:val="28"/>
          <w:szCs w:val="28"/>
        </w:rPr>
      </w:pPr>
    </w:p>
    <w:p w:rsidR="00C73F8C" w:rsidRPr="002F3D0A" w:rsidRDefault="002F3D0A" w:rsidP="00166D54">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A</w:t>
      </w:r>
      <w:r w:rsidRPr="002F3D0A">
        <w:rPr>
          <w:rFonts w:ascii="Times New Roman" w:hAnsi="Times New Roman" w:cs="Times New Roman"/>
          <w:bCs/>
          <w:sz w:val="28"/>
          <w:szCs w:val="28"/>
        </w:rPr>
        <w:t>dicionalme</w:t>
      </w:r>
      <w:r w:rsidRPr="002F3D0A">
        <w:rPr>
          <w:rFonts w:ascii="Times New Roman" w:hAnsi="Times New Roman" w:cs="Times New Roman"/>
          <w:bCs/>
          <w:sz w:val="28"/>
          <w:szCs w:val="28"/>
        </w:rPr>
        <w:t xml:space="preserve">nte, los demandantes no explicaron cómo el precedente constitucional cuyo cambio proponen afecta la </w:t>
      </w:r>
      <w:r w:rsidRPr="002F3D0A">
        <w:rPr>
          <w:rFonts w:ascii="Times New Roman" w:hAnsi="Times New Roman" w:cs="Times New Roman"/>
          <w:bCs/>
          <w:sz w:val="28"/>
          <w:szCs w:val="28"/>
        </w:rPr>
        <w:t xml:space="preserve">autonomía y la </w:t>
      </w:r>
      <w:r w:rsidRPr="002F3D0A">
        <w:rPr>
          <w:rFonts w:ascii="Times New Roman" w:hAnsi="Times New Roman" w:cs="Times New Roman"/>
          <w:bCs/>
          <w:sz w:val="28"/>
          <w:szCs w:val="28"/>
        </w:rPr>
        <w:t xml:space="preserve">facultad </w:t>
      </w:r>
      <w:r w:rsidRPr="002F3D0A">
        <w:rPr>
          <w:rFonts w:ascii="Times New Roman" w:hAnsi="Times New Roman" w:cs="Times New Roman"/>
          <w:bCs/>
          <w:color w:val="000000" w:themeColor="text1"/>
          <w:sz w:val="28"/>
          <w:szCs w:val="28"/>
        </w:rPr>
        <w:t xml:space="preserve">constitucional de las </w:t>
      </w:r>
      <w:r w:rsidRPr="002F3D0A">
        <w:rPr>
          <w:rFonts w:ascii="Times New Roman" w:hAnsi="Times New Roman" w:cs="Times New Roman"/>
          <w:bCs/>
          <w:color w:val="000000" w:themeColor="text1"/>
          <w:sz w:val="28"/>
          <w:szCs w:val="28"/>
        </w:rPr>
        <w:t>entidades territoriales de gravar la propiedad inmueble</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En este punto, </w:t>
      </w:r>
      <w:r w:rsidRPr="002F3D0A">
        <w:rPr>
          <w:rFonts w:ascii="Times New Roman" w:hAnsi="Times New Roman" w:cs="Times New Roman"/>
          <w:bCs/>
          <w:color w:val="000000" w:themeColor="text1"/>
          <w:sz w:val="28"/>
          <w:szCs w:val="28"/>
        </w:rPr>
        <w:t xml:space="preserve">es necesario precisar que </w:t>
      </w:r>
      <w:r w:rsidRPr="002F3D0A">
        <w:rPr>
          <w:rFonts w:ascii="Times New Roman" w:hAnsi="Times New Roman" w:cs="Times New Roman"/>
          <w:bCs/>
          <w:color w:val="000000" w:themeColor="text1"/>
          <w:sz w:val="28"/>
          <w:szCs w:val="28"/>
        </w:rPr>
        <w:t xml:space="preserve">la sola </w:t>
      </w:r>
      <w:r w:rsidRPr="002F3D0A">
        <w:rPr>
          <w:rFonts w:ascii="Times New Roman" w:hAnsi="Times New Roman" w:cs="Times New Roman"/>
          <w:bCs/>
          <w:color w:val="000000" w:themeColor="text1"/>
          <w:sz w:val="28"/>
          <w:szCs w:val="28"/>
        </w:rPr>
        <w:t xml:space="preserve">mención </w:t>
      </w:r>
      <w:r w:rsidRPr="002F3D0A">
        <w:rPr>
          <w:rFonts w:ascii="Times New Roman" w:hAnsi="Times New Roman" w:cs="Times New Roman"/>
          <w:bCs/>
          <w:color w:val="000000" w:themeColor="text1"/>
          <w:sz w:val="28"/>
          <w:szCs w:val="28"/>
        </w:rPr>
        <w:t xml:space="preserve">a la autonomía de los municipios </w:t>
      </w:r>
      <w:r w:rsidRPr="002F3D0A">
        <w:rPr>
          <w:rFonts w:ascii="Times New Roman" w:hAnsi="Times New Roman" w:cs="Times New Roman"/>
          <w:bCs/>
          <w:color w:val="000000" w:themeColor="text1"/>
          <w:sz w:val="28"/>
          <w:szCs w:val="28"/>
        </w:rPr>
        <w:t xml:space="preserve">prevista </w:t>
      </w:r>
      <w:r w:rsidRPr="002F3D0A">
        <w:rPr>
          <w:rFonts w:ascii="Times New Roman" w:hAnsi="Times New Roman" w:cs="Times New Roman"/>
          <w:bCs/>
          <w:color w:val="000000" w:themeColor="text1"/>
          <w:sz w:val="28"/>
          <w:szCs w:val="28"/>
        </w:rPr>
        <w:t>en el artículo 287 superior</w:t>
      </w:r>
      <w:r w:rsidRPr="002F3D0A">
        <w:rPr>
          <w:rFonts w:ascii="Times New Roman" w:hAnsi="Times New Roman" w:cs="Times New Roman"/>
          <w:bCs/>
          <w:color w:val="000000" w:themeColor="text1"/>
          <w:sz w:val="28"/>
          <w:szCs w:val="28"/>
        </w:rPr>
        <w:t xml:space="preserve"> y una referencia general a su facultad para “</w:t>
      </w:r>
      <w:r w:rsidRPr="002F3D0A">
        <w:rPr>
          <w:rFonts w:ascii="Times New Roman" w:hAnsi="Times New Roman" w:cs="Times New Roman"/>
          <w:bCs/>
          <w:color w:val="000000" w:themeColor="text1"/>
          <w:sz w:val="28"/>
          <w:szCs w:val="28"/>
        </w:rPr>
        <w:t>[</w:t>
      </w:r>
      <w:r w:rsidRPr="002F3D0A">
        <w:rPr>
          <w:rFonts w:ascii="Times New Roman" w:hAnsi="Times New Roman" w:cs="Times New Roman"/>
          <w:color w:val="000000" w:themeColor="text1"/>
          <w:sz w:val="28"/>
          <w:szCs w:val="28"/>
        </w:rPr>
        <w:t>A</w:t>
      </w:r>
      <w:r w:rsidRPr="002F3D0A">
        <w:rPr>
          <w:rFonts w:ascii="Times New Roman" w:hAnsi="Times New Roman" w:cs="Times New Roman"/>
          <w:color w:val="000000" w:themeColor="text1"/>
          <w:sz w:val="28"/>
          <w:szCs w:val="28"/>
        </w:rPr>
        <w:t>]</w:t>
      </w:r>
      <w:r w:rsidRPr="002F3D0A">
        <w:rPr>
          <w:rFonts w:ascii="Times New Roman" w:hAnsi="Times New Roman" w:cs="Times New Roman"/>
          <w:color w:val="000000" w:themeColor="text1"/>
          <w:sz w:val="28"/>
          <w:szCs w:val="28"/>
        </w:rPr>
        <w:t>dministrar</w:t>
      </w:r>
      <w:r w:rsidRPr="002F3D0A">
        <w:rPr>
          <w:rFonts w:ascii="Times New Roman" w:hAnsi="Times New Roman" w:cs="Times New Roman"/>
          <w:color w:val="000000" w:themeColor="text1"/>
          <w:sz w:val="28"/>
          <w:szCs w:val="28"/>
        </w:rPr>
        <w:t xml:space="preserve"> los recursos y establecer los tributos necesarios para el cumplimiento de sus funciones” </w:t>
      </w:r>
      <w:r w:rsidRPr="002F3D0A">
        <w:rPr>
          <w:rFonts w:ascii="Times New Roman" w:hAnsi="Times New Roman" w:cs="Times New Roman"/>
          <w:bCs/>
          <w:color w:val="000000" w:themeColor="text1"/>
          <w:sz w:val="28"/>
          <w:szCs w:val="28"/>
        </w:rPr>
        <w:t xml:space="preserve">no es suficiente para </w:t>
      </w:r>
      <w:r w:rsidRPr="002F3D0A">
        <w:rPr>
          <w:rFonts w:ascii="Times New Roman" w:hAnsi="Times New Roman" w:cs="Times New Roman"/>
          <w:bCs/>
          <w:color w:val="000000" w:themeColor="text1"/>
          <w:sz w:val="28"/>
          <w:szCs w:val="28"/>
        </w:rPr>
        <w:t xml:space="preserve">sustentar una modificación de la postura constitucional vigente sobre el alcance de la competencia de las municipios </w:t>
      </w:r>
      <w:r w:rsidRPr="002F3D0A">
        <w:rPr>
          <w:rFonts w:ascii="Times New Roman" w:hAnsi="Times New Roman" w:cs="Times New Roman"/>
          <w:bCs/>
          <w:color w:val="000000" w:themeColor="text1"/>
          <w:sz w:val="28"/>
          <w:szCs w:val="28"/>
        </w:rPr>
        <w:t xml:space="preserve">para gravar </w:t>
      </w:r>
      <w:r w:rsidRPr="002F3D0A">
        <w:rPr>
          <w:rFonts w:ascii="Times New Roman" w:hAnsi="Times New Roman" w:cs="Times New Roman"/>
          <w:bCs/>
          <w:color w:val="000000" w:themeColor="text1"/>
          <w:sz w:val="28"/>
          <w:szCs w:val="28"/>
        </w:rPr>
        <w:t>la propiedad in</w:t>
      </w:r>
      <w:r w:rsidRPr="002F3D0A">
        <w:rPr>
          <w:rFonts w:ascii="Times New Roman" w:hAnsi="Times New Roman" w:cs="Times New Roman"/>
          <w:bCs/>
          <w:color w:val="000000" w:themeColor="text1"/>
          <w:sz w:val="28"/>
          <w:szCs w:val="28"/>
        </w:rPr>
        <w:t>mueble</w:t>
      </w:r>
      <w:r w:rsidRPr="002F3D0A">
        <w:rPr>
          <w:rFonts w:ascii="Times New Roman" w:hAnsi="Times New Roman" w:cs="Times New Roman"/>
          <w:bCs/>
          <w:color w:val="000000" w:themeColor="text1"/>
          <w:sz w:val="28"/>
          <w:szCs w:val="28"/>
        </w:rPr>
        <w:t xml:space="preserve">, pues la argumentación </w:t>
      </w:r>
      <w:r w:rsidRPr="002F3D0A">
        <w:rPr>
          <w:rFonts w:ascii="Times New Roman" w:hAnsi="Times New Roman" w:cs="Times New Roman"/>
          <w:bCs/>
          <w:color w:val="000000" w:themeColor="text1"/>
          <w:sz w:val="28"/>
          <w:szCs w:val="28"/>
        </w:rPr>
        <w:t>de los actores</w:t>
      </w:r>
      <w:r w:rsidRPr="002F3D0A">
        <w:rPr>
          <w:rFonts w:ascii="Times New Roman" w:hAnsi="Times New Roman" w:cs="Times New Roman"/>
          <w:bCs/>
          <w:color w:val="000000" w:themeColor="text1"/>
          <w:sz w:val="28"/>
          <w:szCs w:val="28"/>
        </w:rPr>
        <w:t>: (i)</w:t>
      </w:r>
      <w:r w:rsidRPr="002F3D0A">
        <w:rPr>
          <w:rFonts w:ascii="Times New Roman" w:hAnsi="Times New Roman" w:cs="Times New Roman"/>
          <w:bCs/>
          <w:color w:val="000000" w:themeColor="text1"/>
          <w:sz w:val="28"/>
          <w:szCs w:val="28"/>
        </w:rPr>
        <w:t xml:space="preserve"> </w:t>
      </w:r>
      <w:r w:rsidRPr="002F3D0A">
        <w:rPr>
          <w:rFonts w:ascii="Times New Roman" w:hAnsi="Times New Roman" w:cs="Times New Roman"/>
          <w:bCs/>
          <w:color w:val="000000" w:themeColor="text1"/>
          <w:sz w:val="28"/>
          <w:szCs w:val="28"/>
        </w:rPr>
        <w:t>se concentró en el desconocimiento de la competencia de los municipios para gravar la propiedad inmueble del artículo 317 superior</w:t>
      </w:r>
      <w:r w:rsidRPr="002F3D0A">
        <w:rPr>
          <w:rFonts w:ascii="Times New Roman" w:hAnsi="Times New Roman" w:cs="Times New Roman"/>
          <w:bCs/>
          <w:color w:val="000000" w:themeColor="text1"/>
          <w:sz w:val="28"/>
          <w:szCs w:val="28"/>
        </w:rPr>
        <w:t xml:space="preserve">; (ii) </w:t>
      </w:r>
      <w:r w:rsidRPr="002F3D0A">
        <w:rPr>
          <w:rFonts w:ascii="Times New Roman" w:hAnsi="Times New Roman" w:cs="Times New Roman"/>
          <w:bCs/>
          <w:color w:val="000000" w:themeColor="text1"/>
          <w:sz w:val="28"/>
          <w:szCs w:val="28"/>
        </w:rPr>
        <w:t>el cargo</w:t>
      </w:r>
      <w:r w:rsidRPr="002F3D0A">
        <w:rPr>
          <w:rFonts w:ascii="Times New Roman" w:hAnsi="Times New Roman" w:cs="Times New Roman"/>
          <w:bCs/>
          <w:color w:val="000000" w:themeColor="text1"/>
          <w:sz w:val="28"/>
          <w:szCs w:val="28"/>
        </w:rPr>
        <w:t xml:space="preserve"> solicit</w:t>
      </w:r>
      <w:r w:rsidRPr="002F3D0A">
        <w:rPr>
          <w:rFonts w:ascii="Times New Roman" w:hAnsi="Times New Roman" w:cs="Times New Roman"/>
          <w:bCs/>
          <w:color w:val="000000" w:themeColor="text1"/>
          <w:sz w:val="28"/>
          <w:szCs w:val="28"/>
        </w:rPr>
        <w:t>ó expresamente el</w:t>
      </w:r>
      <w:r w:rsidRPr="002F3D0A">
        <w:rPr>
          <w:rFonts w:ascii="Times New Roman" w:hAnsi="Times New Roman" w:cs="Times New Roman"/>
          <w:bCs/>
          <w:color w:val="000000" w:themeColor="text1"/>
          <w:sz w:val="28"/>
          <w:szCs w:val="28"/>
        </w:rPr>
        <w:t xml:space="preserve"> cambio de</w:t>
      </w:r>
      <w:r w:rsidRPr="002F3D0A">
        <w:rPr>
          <w:rFonts w:ascii="Times New Roman" w:hAnsi="Times New Roman" w:cs="Times New Roman"/>
          <w:bCs/>
          <w:color w:val="000000" w:themeColor="text1"/>
          <w:sz w:val="28"/>
          <w:szCs w:val="28"/>
        </w:rPr>
        <w:t xml:space="preserve">l precedente vigente </w:t>
      </w:r>
      <w:r w:rsidRPr="002F3D0A">
        <w:rPr>
          <w:rFonts w:ascii="Times New Roman" w:hAnsi="Times New Roman" w:cs="Times New Roman"/>
          <w:bCs/>
          <w:color w:val="000000" w:themeColor="text1"/>
          <w:sz w:val="28"/>
          <w:szCs w:val="28"/>
        </w:rPr>
        <w:t>sobre</w:t>
      </w:r>
      <w:r w:rsidRPr="002F3D0A">
        <w:rPr>
          <w:rFonts w:ascii="Times New Roman" w:hAnsi="Times New Roman" w:cs="Times New Roman"/>
          <w:bCs/>
          <w:color w:val="000000" w:themeColor="text1"/>
          <w:sz w:val="28"/>
          <w:szCs w:val="28"/>
        </w:rPr>
        <w:t xml:space="preserve"> esa facultad</w:t>
      </w:r>
      <w:r w:rsidRPr="002F3D0A">
        <w:rPr>
          <w:rFonts w:ascii="Times New Roman" w:hAnsi="Times New Roman" w:cs="Times New Roman"/>
          <w:bCs/>
          <w:color w:val="000000" w:themeColor="text1"/>
          <w:sz w:val="28"/>
          <w:szCs w:val="28"/>
        </w:rPr>
        <w:t>;</w:t>
      </w:r>
      <w:r w:rsidRPr="002F3D0A">
        <w:rPr>
          <w:rFonts w:ascii="Times New Roman" w:hAnsi="Times New Roman" w:cs="Times New Roman"/>
          <w:bCs/>
          <w:color w:val="000000" w:themeColor="text1"/>
          <w:sz w:val="28"/>
          <w:szCs w:val="28"/>
        </w:rPr>
        <w:t xml:space="preserve"> </w:t>
      </w:r>
      <w:r w:rsidRPr="002F3D0A">
        <w:rPr>
          <w:rFonts w:ascii="Times New Roman" w:hAnsi="Times New Roman" w:cs="Times New Roman"/>
          <w:bCs/>
          <w:color w:val="000000" w:themeColor="text1"/>
          <w:sz w:val="28"/>
          <w:szCs w:val="28"/>
        </w:rPr>
        <w:t xml:space="preserve">(iii) </w:t>
      </w:r>
      <w:r w:rsidRPr="002F3D0A">
        <w:rPr>
          <w:rFonts w:ascii="Times New Roman" w:hAnsi="Times New Roman" w:cs="Times New Roman"/>
          <w:bCs/>
          <w:color w:val="000000" w:themeColor="text1"/>
          <w:sz w:val="28"/>
          <w:szCs w:val="28"/>
        </w:rPr>
        <w:t>no plantearon un</w:t>
      </w:r>
      <w:r w:rsidRPr="002F3D0A">
        <w:rPr>
          <w:rFonts w:ascii="Times New Roman" w:hAnsi="Times New Roman" w:cs="Times New Roman"/>
          <w:bCs/>
          <w:color w:val="000000" w:themeColor="text1"/>
          <w:sz w:val="28"/>
          <w:szCs w:val="28"/>
        </w:rPr>
        <w:t xml:space="preserve"> cargo </w:t>
      </w:r>
      <w:r w:rsidRPr="002F3D0A">
        <w:rPr>
          <w:rFonts w:ascii="Times New Roman" w:hAnsi="Times New Roman" w:cs="Times New Roman"/>
          <w:bCs/>
          <w:color w:val="000000" w:themeColor="text1"/>
          <w:sz w:val="28"/>
          <w:szCs w:val="28"/>
        </w:rPr>
        <w:t>independiente</w:t>
      </w:r>
      <w:r w:rsidRPr="002F3D0A">
        <w:rPr>
          <w:rFonts w:ascii="Times New Roman" w:hAnsi="Times New Roman" w:cs="Times New Roman"/>
          <w:bCs/>
          <w:color w:val="000000" w:themeColor="text1"/>
          <w:sz w:val="28"/>
          <w:szCs w:val="28"/>
        </w:rPr>
        <w:t xml:space="preserve"> por violación</w:t>
      </w:r>
      <w:r w:rsidRPr="002F3D0A">
        <w:rPr>
          <w:rFonts w:ascii="Times New Roman" w:hAnsi="Times New Roman" w:cs="Times New Roman"/>
          <w:bCs/>
          <w:color w:val="000000" w:themeColor="text1"/>
          <w:sz w:val="28"/>
          <w:szCs w:val="28"/>
        </w:rPr>
        <w:t xml:space="preserve"> del artículo 287</w:t>
      </w:r>
      <w:r w:rsidRPr="002F3D0A">
        <w:rPr>
          <w:rFonts w:ascii="Times New Roman" w:hAnsi="Times New Roman" w:cs="Times New Roman"/>
          <w:bCs/>
          <w:color w:val="000000" w:themeColor="text1"/>
          <w:sz w:val="28"/>
          <w:szCs w:val="28"/>
        </w:rPr>
        <w:t xml:space="preserve"> de la Constitución</w:t>
      </w:r>
      <w:r w:rsidRPr="002F3D0A">
        <w:rPr>
          <w:rFonts w:ascii="Times New Roman" w:hAnsi="Times New Roman" w:cs="Times New Roman"/>
          <w:bCs/>
          <w:color w:val="000000" w:themeColor="text1"/>
          <w:sz w:val="28"/>
          <w:szCs w:val="28"/>
        </w:rPr>
        <w:t>; (iv) enunciaron, pero no desarrollaron cómo se viola esa autonomía.</w:t>
      </w:r>
    </w:p>
    <w:p w:rsidR="008D4144" w:rsidRPr="002F3D0A" w:rsidRDefault="002F3D0A" w:rsidP="008D4144">
      <w:pPr>
        <w:pStyle w:val="Prrafodelista"/>
        <w:rPr>
          <w:rFonts w:ascii="Times New Roman" w:hAnsi="Times New Roman" w:cs="Times New Roman"/>
          <w:bCs/>
          <w:color w:val="000000" w:themeColor="text1"/>
          <w:sz w:val="28"/>
          <w:szCs w:val="28"/>
        </w:rPr>
      </w:pPr>
    </w:p>
    <w:p w:rsidR="00B5042D" w:rsidRPr="002F3D0A" w:rsidRDefault="002F3D0A" w:rsidP="00C73F8C">
      <w:pPr>
        <w:pStyle w:val="Prrafodelista"/>
        <w:numPr>
          <w:ilvl w:val="0"/>
          <w:numId w:val="1"/>
        </w:numPr>
        <w:ind w:left="0" w:firstLine="0"/>
        <w:rPr>
          <w:rFonts w:ascii="Times New Roman" w:hAnsi="Times New Roman" w:cs="Times New Roman"/>
          <w:bCs/>
          <w:color w:val="000000" w:themeColor="text1"/>
          <w:sz w:val="28"/>
          <w:szCs w:val="28"/>
        </w:rPr>
      </w:pPr>
      <w:r w:rsidRPr="002F3D0A">
        <w:rPr>
          <w:rFonts w:ascii="Times New Roman" w:hAnsi="Times New Roman" w:cs="Times New Roman"/>
          <w:bCs/>
          <w:color w:val="000000" w:themeColor="text1"/>
          <w:sz w:val="28"/>
          <w:szCs w:val="28"/>
        </w:rPr>
        <w:t>Finalmente, si en gracia de discusión se admitiera que la referencia a la autonomía de los municipios y las competencias previstas en el artículo 287 de la Carta Política constituyen un cargo independiente, lo cierto es que los demandantes se limitaron a h</w:t>
      </w:r>
      <w:r w:rsidRPr="002F3D0A">
        <w:rPr>
          <w:rFonts w:ascii="Times New Roman" w:hAnsi="Times New Roman" w:cs="Times New Roman"/>
          <w:bCs/>
          <w:color w:val="000000" w:themeColor="text1"/>
          <w:sz w:val="28"/>
          <w:szCs w:val="28"/>
        </w:rPr>
        <w:t xml:space="preserve">acer una referencia general a la afectación de esa norma superior, pues su argumentación se centró </w:t>
      </w:r>
      <w:r w:rsidRPr="002F3D0A">
        <w:rPr>
          <w:rFonts w:ascii="Times New Roman" w:hAnsi="Times New Roman" w:cs="Times New Roman"/>
          <w:bCs/>
          <w:color w:val="000000" w:themeColor="text1"/>
          <w:sz w:val="28"/>
          <w:szCs w:val="28"/>
        </w:rPr>
        <w:t>el</w:t>
      </w:r>
      <w:r w:rsidRPr="002F3D0A">
        <w:rPr>
          <w:rFonts w:ascii="Times New Roman" w:hAnsi="Times New Roman" w:cs="Times New Roman"/>
          <w:bCs/>
          <w:color w:val="000000" w:themeColor="text1"/>
          <w:sz w:val="28"/>
          <w:szCs w:val="28"/>
        </w:rPr>
        <w:t xml:space="preserve"> artículo 317 superior. Así, sobre la autonomía de las entidades territoriales y el derecho que el artículo 287.3 superior les otorga para “[A]dministrar l</w:t>
      </w:r>
      <w:r w:rsidRPr="002F3D0A">
        <w:rPr>
          <w:rFonts w:ascii="Times New Roman" w:hAnsi="Times New Roman" w:cs="Times New Roman"/>
          <w:bCs/>
          <w:color w:val="000000" w:themeColor="text1"/>
          <w:sz w:val="28"/>
          <w:szCs w:val="28"/>
        </w:rPr>
        <w:t>os recursos y establecer los tributos necesarios para el cumplimiento de sus funciones” los actores únicamente indicaron que el carácter permanente del impuesto al patrimonio profundizaría la transgresión de ese derecho sin exponer la forma en la que la di</w:t>
      </w:r>
      <w:r w:rsidRPr="002F3D0A">
        <w:rPr>
          <w:rFonts w:ascii="Times New Roman" w:hAnsi="Times New Roman" w:cs="Times New Roman"/>
          <w:bCs/>
          <w:color w:val="000000" w:themeColor="text1"/>
          <w:sz w:val="28"/>
          <w:szCs w:val="28"/>
        </w:rPr>
        <w:t>sposición acusada afecta esa competencia.</w:t>
      </w:r>
      <w:r w:rsidRPr="002F3D0A">
        <w:rPr>
          <w:rFonts w:ascii="Times New Roman" w:hAnsi="Times New Roman" w:cs="Times New Roman"/>
          <w:bCs/>
          <w:color w:val="000000" w:themeColor="text1"/>
          <w:sz w:val="28"/>
          <w:szCs w:val="28"/>
        </w:rPr>
        <w:t xml:space="preserve"> </w:t>
      </w:r>
    </w:p>
    <w:p w:rsidR="00B5042D" w:rsidRPr="002F3D0A" w:rsidRDefault="002F3D0A" w:rsidP="00B5042D">
      <w:pPr>
        <w:pStyle w:val="Prrafodelista"/>
        <w:rPr>
          <w:rFonts w:ascii="Times New Roman" w:hAnsi="Times New Roman" w:cs="Times New Roman"/>
          <w:bCs/>
          <w:color w:val="000000" w:themeColor="text1"/>
          <w:sz w:val="28"/>
          <w:szCs w:val="28"/>
        </w:rPr>
      </w:pPr>
    </w:p>
    <w:p w:rsidR="00B5042D" w:rsidRPr="002F3D0A" w:rsidRDefault="002F3D0A" w:rsidP="00E050CD">
      <w:pPr>
        <w:pStyle w:val="Prrafodelista"/>
        <w:numPr>
          <w:ilvl w:val="0"/>
          <w:numId w:val="1"/>
        </w:numPr>
        <w:ind w:left="0" w:firstLine="0"/>
        <w:rPr>
          <w:rFonts w:ascii="Times New Roman" w:hAnsi="Times New Roman" w:cs="Times New Roman"/>
          <w:bCs/>
          <w:color w:val="000000" w:themeColor="text1"/>
          <w:sz w:val="28"/>
          <w:szCs w:val="28"/>
        </w:rPr>
      </w:pPr>
      <w:r w:rsidRPr="002F3D0A">
        <w:rPr>
          <w:rFonts w:ascii="Times New Roman" w:hAnsi="Times New Roman" w:cs="Times New Roman"/>
          <w:bCs/>
          <w:color w:val="000000" w:themeColor="text1"/>
          <w:sz w:val="28"/>
          <w:szCs w:val="28"/>
        </w:rPr>
        <w:t>En efecto, los ciudadanos se limitaron a mencionar dicha afectación, pero no explicaron de manera concreta cómo las disposiciones acusadas podrían restringir las competencias de los municipios y distritos, al pun</w:t>
      </w:r>
      <w:r w:rsidRPr="002F3D0A">
        <w:rPr>
          <w:rFonts w:ascii="Times New Roman" w:hAnsi="Times New Roman" w:cs="Times New Roman"/>
          <w:bCs/>
          <w:color w:val="000000" w:themeColor="text1"/>
          <w:sz w:val="28"/>
          <w:szCs w:val="28"/>
        </w:rPr>
        <w:t>to de restarle eficacia a su autonomía. En este sentido, aunque se mencionó el posible impacto en un principio constitucional, no se especificó la forma concreta en la que la imposición patrimonial podría amenazar, de manera cierta y específica, la autonom</w:t>
      </w:r>
      <w:r w:rsidRPr="002F3D0A">
        <w:rPr>
          <w:rFonts w:ascii="Times New Roman" w:hAnsi="Times New Roman" w:cs="Times New Roman"/>
          <w:bCs/>
          <w:color w:val="000000" w:themeColor="text1"/>
          <w:sz w:val="28"/>
          <w:szCs w:val="28"/>
        </w:rPr>
        <w:t xml:space="preserve">ía de los </w:t>
      </w:r>
      <w:r w:rsidRPr="002F3D0A">
        <w:rPr>
          <w:rFonts w:ascii="Times New Roman" w:hAnsi="Times New Roman" w:cs="Times New Roman"/>
          <w:bCs/>
          <w:color w:val="000000" w:themeColor="text1"/>
          <w:sz w:val="28"/>
          <w:szCs w:val="28"/>
        </w:rPr>
        <w:t>territorios. Por</w:t>
      </w:r>
      <w:r w:rsidRPr="002F3D0A">
        <w:rPr>
          <w:rFonts w:ascii="Times New Roman" w:hAnsi="Times New Roman" w:cs="Times New Roman"/>
          <w:bCs/>
          <w:color w:val="000000" w:themeColor="text1"/>
          <w:sz w:val="28"/>
          <w:szCs w:val="28"/>
        </w:rPr>
        <w:t xml:space="preserve"> lo tanto,</w:t>
      </w:r>
      <w:r w:rsidRPr="002F3D0A">
        <w:rPr>
          <w:rFonts w:ascii="Times New Roman" w:hAnsi="Times New Roman" w:cs="Times New Roman"/>
          <w:bCs/>
          <w:color w:val="000000" w:themeColor="text1"/>
          <w:sz w:val="28"/>
          <w:szCs w:val="28"/>
        </w:rPr>
        <w:t xml:space="preserve"> el cargo incumplió los requisitos de especificidad y suficiencia.</w:t>
      </w:r>
      <w:r w:rsidRPr="002F3D0A">
        <w:rPr>
          <w:rFonts w:ascii="Times New Roman" w:hAnsi="Times New Roman" w:cs="Times New Roman"/>
          <w:bCs/>
          <w:color w:val="000000" w:themeColor="text1"/>
          <w:sz w:val="28"/>
          <w:szCs w:val="28"/>
        </w:rPr>
        <w:t xml:space="preserve"> </w:t>
      </w:r>
    </w:p>
    <w:p w:rsidR="00E050CD" w:rsidRPr="002F3D0A" w:rsidRDefault="002F3D0A" w:rsidP="00E050CD">
      <w:pPr>
        <w:pStyle w:val="Prrafodelista"/>
        <w:rPr>
          <w:rFonts w:ascii="Times New Roman" w:hAnsi="Times New Roman" w:cs="Times New Roman"/>
          <w:bCs/>
          <w:color w:val="000000" w:themeColor="text1"/>
          <w:sz w:val="28"/>
          <w:szCs w:val="28"/>
        </w:rPr>
      </w:pPr>
    </w:p>
    <w:p w:rsidR="008D4144" w:rsidRPr="002F3D0A" w:rsidRDefault="002F3D0A" w:rsidP="00C73F8C">
      <w:pPr>
        <w:pStyle w:val="Prrafodelista"/>
        <w:numPr>
          <w:ilvl w:val="0"/>
          <w:numId w:val="1"/>
        </w:numPr>
        <w:ind w:left="0" w:firstLine="0"/>
        <w:rPr>
          <w:rFonts w:ascii="Times New Roman" w:hAnsi="Times New Roman" w:cs="Times New Roman"/>
          <w:bCs/>
          <w:color w:val="000000" w:themeColor="text1"/>
          <w:sz w:val="28"/>
          <w:szCs w:val="28"/>
        </w:rPr>
      </w:pPr>
      <w:r w:rsidRPr="002F3D0A">
        <w:rPr>
          <w:rFonts w:ascii="Times New Roman" w:hAnsi="Times New Roman" w:cs="Times New Roman"/>
          <w:bCs/>
          <w:color w:val="000000" w:themeColor="text1"/>
          <w:sz w:val="28"/>
          <w:szCs w:val="28"/>
        </w:rPr>
        <w:t>De manera que tampoco se cumplen las condiciones de aptitud del cargo de inconstitucionalidad.</w:t>
      </w:r>
    </w:p>
    <w:p w:rsidR="004321B1" w:rsidRPr="002F3D0A" w:rsidRDefault="002F3D0A" w:rsidP="004321B1">
      <w:pPr>
        <w:pStyle w:val="Prrafodelista"/>
        <w:rPr>
          <w:rFonts w:ascii="Times New Roman" w:hAnsi="Times New Roman" w:cs="Times New Roman"/>
          <w:bCs/>
          <w:sz w:val="28"/>
          <w:szCs w:val="28"/>
        </w:rPr>
      </w:pPr>
    </w:p>
    <w:p w:rsidR="004321B1" w:rsidRPr="002F3D0A" w:rsidRDefault="002F3D0A" w:rsidP="004321B1">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A partir de los elementos expuestos, la Sala concluye </w:t>
      </w:r>
      <w:r w:rsidRPr="002F3D0A">
        <w:rPr>
          <w:rFonts w:ascii="Times New Roman" w:hAnsi="Times New Roman" w:cs="Times New Roman"/>
          <w:bCs/>
          <w:sz w:val="28"/>
          <w:szCs w:val="28"/>
        </w:rPr>
        <w:t>que</w:t>
      </w:r>
      <w:r w:rsidRPr="002F3D0A">
        <w:rPr>
          <w:rFonts w:ascii="Times New Roman" w:hAnsi="Times New Roman" w:cs="Times New Roman"/>
          <w:bCs/>
          <w:sz w:val="28"/>
          <w:szCs w:val="28"/>
        </w:rPr>
        <w:t xml:space="preserve"> los ciudadanos no presentaron razones de naturaleza constitucional para sustentar el cambio jurisprudencial que proponen sino que se limitaron a señalar diferencias en los rasgos y el diseño legal de los impuestos al patrimonio examinados por la Corte </w:t>
      </w:r>
      <w:r w:rsidRPr="002F3D0A">
        <w:rPr>
          <w:rFonts w:ascii="Times New Roman" w:hAnsi="Times New Roman" w:cs="Times New Roman"/>
          <w:bCs/>
          <w:sz w:val="28"/>
          <w:szCs w:val="28"/>
        </w:rPr>
        <w:t xml:space="preserve">en otras oportunidades y el acusado en esta oportunidad sin </w:t>
      </w:r>
      <w:r w:rsidRPr="002F3D0A">
        <w:rPr>
          <w:rFonts w:ascii="Times New Roman" w:hAnsi="Times New Roman" w:cs="Times New Roman"/>
          <w:bCs/>
          <w:sz w:val="28"/>
          <w:szCs w:val="28"/>
        </w:rPr>
        <w:t xml:space="preserve">explicar por qué </w:t>
      </w:r>
      <w:r w:rsidRPr="002F3D0A">
        <w:rPr>
          <w:rFonts w:ascii="Times New Roman" w:hAnsi="Times New Roman" w:cs="Times New Roman"/>
          <w:bCs/>
          <w:sz w:val="28"/>
          <w:szCs w:val="28"/>
        </w:rPr>
        <w:t>esas diferencias</w:t>
      </w:r>
      <w:r w:rsidRPr="002F3D0A">
        <w:rPr>
          <w:rFonts w:ascii="Times New Roman" w:hAnsi="Times New Roman" w:cs="Times New Roman"/>
          <w:bCs/>
          <w:sz w:val="28"/>
          <w:szCs w:val="28"/>
        </w:rPr>
        <w:t xml:space="preserve">, particularmente el carácter permanente del impuesto </w:t>
      </w:r>
      <w:r w:rsidRPr="002F3D0A">
        <w:rPr>
          <w:rFonts w:ascii="Times New Roman" w:hAnsi="Times New Roman" w:cs="Times New Roman"/>
          <w:bCs/>
          <w:sz w:val="28"/>
          <w:szCs w:val="28"/>
        </w:rPr>
        <w:t>actual</w:t>
      </w:r>
      <w:r w:rsidRPr="002F3D0A">
        <w:rPr>
          <w:rFonts w:ascii="Times New Roman" w:hAnsi="Times New Roman" w:cs="Times New Roman"/>
          <w:bCs/>
          <w:sz w:val="28"/>
          <w:szCs w:val="28"/>
        </w:rPr>
        <w:t>,</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t</w:t>
      </w:r>
      <w:r w:rsidRPr="002F3D0A">
        <w:rPr>
          <w:rFonts w:ascii="Times New Roman" w:hAnsi="Times New Roman" w:cs="Times New Roman"/>
          <w:bCs/>
          <w:sz w:val="28"/>
          <w:szCs w:val="28"/>
        </w:rPr>
        <w:t>iene</w:t>
      </w:r>
      <w:r w:rsidRPr="002F3D0A">
        <w:rPr>
          <w:rFonts w:ascii="Times New Roman" w:hAnsi="Times New Roman" w:cs="Times New Roman"/>
          <w:bCs/>
          <w:sz w:val="28"/>
          <w:szCs w:val="28"/>
        </w:rPr>
        <w:t xml:space="preserve"> la entidad para suscitar un</w:t>
      </w:r>
      <w:r w:rsidRPr="002F3D0A">
        <w:rPr>
          <w:rFonts w:ascii="Times New Roman" w:hAnsi="Times New Roman" w:cs="Times New Roman"/>
          <w:bCs/>
          <w:sz w:val="28"/>
          <w:szCs w:val="28"/>
        </w:rPr>
        <w:t xml:space="preserve"> cambio del precedente constitucional</w:t>
      </w:r>
      <w:r w:rsidRPr="002F3D0A">
        <w:rPr>
          <w:rFonts w:ascii="Times New Roman" w:hAnsi="Times New Roman" w:cs="Times New Roman"/>
          <w:bCs/>
          <w:sz w:val="28"/>
          <w:szCs w:val="28"/>
        </w:rPr>
        <w:t>. En consecuencia, la Sala cons</w:t>
      </w:r>
      <w:r w:rsidRPr="002F3D0A">
        <w:rPr>
          <w:rFonts w:ascii="Times New Roman" w:hAnsi="Times New Roman" w:cs="Times New Roman"/>
          <w:bCs/>
          <w:sz w:val="28"/>
          <w:szCs w:val="28"/>
        </w:rPr>
        <w:t xml:space="preserve">idera que el cargo por violación del artículo 317 </w:t>
      </w:r>
      <w:r w:rsidRPr="002F3D0A">
        <w:rPr>
          <w:rFonts w:ascii="Times New Roman" w:hAnsi="Times New Roman" w:cs="Times New Roman"/>
          <w:bCs/>
          <w:sz w:val="28"/>
          <w:szCs w:val="28"/>
        </w:rPr>
        <w:t xml:space="preserve">de la Constitución Política </w:t>
      </w:r>
      <w:r w:rsidRPr="002F3D0A">
        <w:rPr>
          <w:rFonts w:ascii="Times New Roman" w:hAnsi="Times New Roman" w:cs="Times New Roman"/>
          <w:bCs/>
          <w:sz w:val="28"/>
          <w:szCs w:val="28"/>
        </w:rPr>
        <w:t>incumple los requisitos de pertinencia y suficiencia, pues</w:t>
      </w:r>
      <w:r w:rsidRPr="002F3D0A">
        <w:rPr>
          <w:rFonts w:ascii="Times New Roman" w:hAnsi="Times New Roman" w:cs="Times New Roman"/>
          <w:bCs/>
          <w:sz w:val="28"/>
          <w:szCs w:val="28"/>
        </w:rPr>
        <w:t>, de un lado, propone argumentos generales que no permiten descartar que las sentencias C-876 de 2002 y C-990 de 2004 co</w:t>
      </w:r>
      <w:r w:rsidRPr="002F3D0A">
        <w:rPr>
          <w:rFonts w:ascii="Times New Roman" w:hAnsi="Times New Roman" w:cs="Times New Roman"/>
          <w:bCs/>
          <w:sz w:val="28"/>
          <w:szCs w:val="28"/>
        </w:rPr>
        <w:t>nstituyan precedente para el caso y, de otro lado,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propone un cambio del precedente constitucional </w:t>
      </w:r>
      <w:r w:rsidRPr="002F3D0A">
        <w:rPr>
          <w:rFonts w:ascii="Times New Roman" w:hAnsi="Times New Roman" w:cs="Times New Roman"/>
          <w:bCs/>
          <w:sz w:val="28"/>
          <w:szCs w:val="28"/>
        </w:rPr>
        <w:t>a partir de argumentos que no son de naturaleza constitucional y que no evidencia</w:t>
      </w:r>
      <w:r w:rsidRPr="002F3D0A">
        <w:rPr>
          <w:rFonts w:ascii="Times New Roman" w:hAnsi="Times New Roman" w:cs="Times New Roman"/>
          <w:bCs/>
          <w:sz w:val="28"/>
          <w:szCs w:val="28"/>
        </w:rPr>
        <w:t>n</w:t>
      </w:r>
      <w:r w:rsidRPr="002F3D0A">
        <w:rPr>
          <w:rFonts w:ascii="Times New Roman" w:hAnsi="Times New Roman" w:cs="Times New Roman"/>
          <w:bCs/>
          <w:sz w:val="28"/>
          <w:szCs w:val="28"/>
        </w:rPr>
        <w:t xml:space="preserve"> c</w:t>
      </w:r>
      <w:r w:rsidRPr="002F3D0A">
        <w:rPr>
          <w:rFonts w:ascii="Times New Roman" w:hAnsi="Times New Roman" w:cs="Times New Roman"/>
          <w:bCs/>
          <w:sz w:val="28"/>
          <w:szCs w:val="28"/>
        </w:rPr>
        <w:t>ó</w:t>
      </w:r>
      <w:r w:rsidRPr="002F3D0A">
        <w:rPr>
          <w:rFonts w:ascii="Times New Roman" w:hAnsi="Times New Roman" w:cs="Times New Roman"/>
          <w:bCs/>
          <w:sz w:val="28"/>
          <w:szCs w:val="28"/>
        </w:rPr>
        <w:t>mo el cambio propuesto materializa en mejor medida principios constituci</w:t>
      </w:r>
      <w:r w:rsidRPr="002F3D0A">
        <w:rPr>
          <w:rFonts w:ascii="Times New Roman" w:hAnsi="Times New Roman" w:cs="Times New Roman"/>
          <w:bCs/>
          <w:sz w:val="28"/>
          <w:szCs w:val="28"/>
        </w:rPr>
        <w:t>onales.</w:t>
      </w:r>
    </w:p>
    <w:p w:rsidR="00D95074" w:rsidRPr="002F3D0A" w:rsidRDefault="002F3D0A" w:rsidP="00D95074">
      <w:pPr>
        <w:pStyle w:val="Prrafodelista"/>
        <w:rPr>
          <w:rFonts w:ascii="Times New Roman" w:hAnsi="Times New Roman" w:cs="Times New Roman"/>
          <w:bCs/>
          <w:sz w:val="28"/>
          <w:szCs w:val="28"/>
        </w:rPr>
      </w:pPr>
    </w:p>
    <w:p w:rsidR="00D95074" w:rsidRPr="002F3D0A" w:rsidRDefault="002F3D0A" w:rsidP="004321B1">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Por último</w:t>
      </w:r>
      <w:r w:rsidRPr="002F3D0A">
        <w:rPr>
          <w:rFonts w:ascii="Times New Roman" w:hAnsi="Times New Roman" w:cs="Times New Roman"/>
          <w:bCs/>
          <w:sz w:val="28"/>
          <w:szCs w:val="28"/>
        </w:rPr>
        <w:t xml:space="preserve">, hay que destacar </w:t>
      </w:r>
      <w:r w:rsidRPr="002F3D0A">
        <w:rPr>
          <w:rFonts w:ascii="Times New Roman" w:hAnsi="Times New Roman" w:cs="Times New Roman"/>
          <w:bCs/>
          <w:sz w:val="28"/>
          <w:szCs w:val="28"/>
        </w:rPr>
        <w:t>que</w:t>
      </w:r>
      <w:r w:rsidRPr="002F3D0A">
        <w:rPr>
          <w:rFonts w:ascii="Times New Roman" w:hAnsi="Times New Roman" w:cs="Times New Roman"/>
          <w:bCs/>
          <w:sz w:val="28"/>
          <w:szCs w:val="28"/>
        </w:rPr>
        <w:t xml:space="preserve"> en </w:t>
      </w:r>
      <w:r w:rsidRPr="002F3D0A">
        <w:rPr>
          <w:rFonts w:ascii="Times New Roman" w:hAnsi="Times New Roman" w:cs="Times New Roman"/>
          <w:bCs/>
          <w:sz w:val="28"/>
          <w:szCs w:val="28"/>
        </w:rPr>
        <w:t>la sentencia C-</w:t>
      </w:r>
      <w:r w:rsidRPr="002F3D0A">
        <w:rPr>
          <w:rFonts w:ascii="Times New Roman" w:hAnsi="Times New Roman" w:cs="Times New Roman"/>
          <w:bCs/>
          <w:sz w:val="28"/>
          <w:szCs w:val="28"/>
        </w:rPr>
        <w:t xml:space="preserve">393 de 2023 </w:t>
      </w:r>
      <w:r w:rsidRPr="002F3D0A">
        <w:rPr>
          <w:rFonts w:ascii="Times New Roman" w:hAnsi="Times New Roman" w:cs="Times New Roman"/>
          <w:bCs/>
          <w:sz w:val="28"/>
          <w:szCs w:val="28"/>
        </w:rPr>
        <w:t xml:space="preserve">se </w:t>
      </w:r>
      <w:r w:rsidRPr="002F3D0A">
        <w:rPr>
          <w:rFonts w:ascii="Times New Roman" w:hAnsi="Times New Roman" w:cs="Times New Roman"/>
          <w:bCs/>
          <w:sz w:val="28"/>
          <w:szCs w:val="28"/>
        </w:rPr>
        <w:t>consideró inepto un cargo de inconstitucionalidad que también propuso el cambio de criterio jurisprudencial que plantea esta demanda en relación con el artículo 317 superior</w:t>
      </w:r>
      <w:r w:rsidRPr="002F3D0A">
        <w:rPr>
          <w:rFonts w:ascii="Times New Roman" w:hAnsi="Times New Roman" w:cs="Times New Roman"/>
          <w:bCs/>
          <w:sz w:val="28"/>
          <w:szCs w:val="28"/>
        </w:rPr>
        <w:t xml:space="preserve">. En esa oportunidad, la Sala Plena consideró que el actor se limitó a proponer una tesis alternativa a la fijada por la Corte Constitucional </w:t>
      </w:r>
      <w:r w:rsidRPr="002F3D0A">
        <w:rPr>
          <w:rFonts w:ascii="Times New Roman" w:hAnsi="Times New Roman" w:cs="Times New Roman"/>
          <w:bCs/>
          <w:sz w:val="28"/>
          <w:szCs w:val="28"/>
        </w:rPr>
        <w:t xml:space="preserve">y </w:t>
      </w:r>
      <w:r w:rsidRPr="002F3D0A">
        <w:rPr>
          <w:rFonts w:ascii="Times New Roman" w:hAnsi="Times New Roman" w:cs="Times New Roman"/>
          <w:bCs/>
          <w:sz w:val="28"/>
          <w:szCs w:val="28"/>
        </w:rPr>
        <w:t>a exponer su desacuerdo con</w:t>
      </w:r>
      <w:r w:rsidRPr="002F3D0A">
        <w:rPr>
          <w:rFonts w:ascii="Times New Roman" w:hAnsi="Times New Roman" w:cs="Times New Roman"/>
          <w:bCs/>
          <w:sz w:val="28"/>
          <w:szCs w:val="28"/>
        </w:rPr>
        <w:t xml:space="preserve"> la argumentación que sustentó el precedente constitucional sin explicar por qué </w:t>
      </w:r>
      <w:r w:rsidRPr="002F3D0A">
        <w:rPr>
          <w:rFonts w:ascii="Times New Roman" w:hAnsi="Times New Roman" w:cs="Times New Roman"/>
          <w:bCs/>
          <w:sz w:val="28"/>
          <w:szCs w:val="28"/>
        </w:rPr>
        <w:t>esas</w:t>
      </w:r>
      <w:r w:rsidRPr="002F3D0A">
        <w:rPr>
          <w:rFonts w:ascii="Times New Roman" w:hAnsi="Times New Roman" w:cs="Times New Roman"/>
          <w:bCs/>
          <w:sz w:val="28"/>
          <w:szCs w:val="28"/>
        </w:rPr>
        <w:t xml:space="preserve"> razones</w:t>
      </w:r>
      <w:r w:rsidRPr="002F3D0A">
        <w:rPr>
          <w:rFonts w:ascii="Times New Roman" w:hAnsi="Times New Roman" w:cs="Times New Roman"/>
          <w:bCs/>
          <w:sz w:val="28"/>
          <w:szCs w:val="28"/>
        </w:rPr>
        <w:t xml:space="preserve"> resultaba</w:t>
      </w:r>
      <w:r w:rsidRPr="002F3D0A">
        <w:rPr>
          <w:rFonts w:ascii="Times New Roman" w:hAnsi="Times New Roman" w:cs="Times New Roman"/>
          <w:bCs/>
          <w:sz w:val="28"/>
          <w:szCs w:val="28"/>
        </w:rPr>
        <w:t>n</w:t>
      </w:r>
      <w:r w:rsidRPr="002F3D0A">
        <w:rPr>
          <w:rFonts w:ascii="Times New Roman" w:hAnsi="Times New Roman" w:cs="Times New Roman"/>
          <w:bCs/>
          <w:sz w:val="28"/>
          <w:szCs w:val="28"/>
        </w:rPr>
        <w:t xml:space="preserve"> equivocada</w:t>
      </w:r>
      <w:r w:rsidRPr="002F3D0A">
        <w:rPr>
          <w:rFonts w:ascii="Times New Roman" w:hAnsi="Times New Roman" w:cs="Times New Roman"/>
          <w:bCs/>
          <w:sz w:val="28"/>
          <w:szCs w:val="28"/>
        </w:rPr>
        <w:t>s</w:t>
      </w:r>
      <w:r w:rsidRPr="002F3D0A">
        <w:rPr>
          <w:rFonts w:ascii="Times New Roman" w:hAnsi="Times New Roman" w:cs="Times New Roman"/>
          <w:bCs/>
          <w:sz w:val="28"/>
          <w:szCs w:val="28"/>
        </w:rPr>
        <w:t>. La Corte reiteró que los simples desacuerdos</w:t>
      </w:r>
      <w:r w:rsidRPr="002F3D0A">
        <w:rPr>
          <w:rFonts w:ascii="Times New Roman" w:hAnsi="Times New Roman" w:cs="Times New Roman"/>
          <w:bCs/>
          <w:sz w:val="28"/>
          <w:szCs w:val="28"/>
        </w:rPr>
        <w:t xml:space="preserve"> con el precedente constitucional </w:t>
      </w:r>
      <w:r w:rsidRPr="002F3D0A">
        <w:rPr>
          <w:rFonts w:ascii="Times New Roman" w:hAnsi="Times New Roman" w:cs="Times New Roman"/>
          <w:bCs/>
          <w:sz w:val="28"/>
          <w:szCs w:val="28"/>
        </w:rPr>
        <w:t>no son</w:t>
      </w:r>
      <w:r w:rsidRPr="002F3D0A">
        <w:rPr>
          <w:rFonts w:ascii="Times New Roman" w:hAnsi="Times New Roman" w:cs="Times New Roman"/>
          <w:bCs/>
          <w:sz w:val="28"/>
          <w:szCs w:val="28"/>
        </w:rPr>
        <w:t xml:space="preserve"> suficiente</w:t>
      </w:r>
      <w:r w:rsidRPr="002F3D0A">
        <w:rPr>
          <w:rFonts w:ascii="Times New Roman" w:hAnsi="Times New Roman" w:cs="Times New Roman"/>
          <w:bCs/>
          <w:sz w:val="28"/>
          <w:szCs w:val="28"/>
        </w:rPr>
        <w:t>s</w:t>
      </w:r>
      <w:r w:rsidRPr="002F3D0A">
        <w:rPr>
          <w:rFonts w:ascii="Times New Roman" w:hAnsi="Times New Roman" w:cs="Times New Roman"/>
          <w:bCs/>
          <w:sz w:val="28"/>
          <w:szCs w:val="28"/>
        </w:rPr>
        <w:t xml:space="preserve"> para proponer un cambio</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en la tesis vigente</w:t>
      </w:r>
      <w:r w:rsidRPr="002F3D0A">
        <w:rPr>
          <w:rFonts w:ascii="Times New Roman" w:hAnsi="Times New Roman" w:cs="Times New Roman"/>
          <w:bCs/>
          <w:sz w:val="28"/>
          <w:szCs w:val="28"/>
        </w:rPr>
        <w:t xml:space="preserve">, pues en estas variaciones están de por medio principios constitucionales como </w:t>
      </w:r>
      <w:r w:rsidRPr="002F3D0A">
        <w:rPr>
          <w:rFonts w:ascii="Times New Roman" w:hAnsi="Times New Roman" w:cs="Times New Roman"/>
          <w:bCs/>
          <w:sz w:val="28"/>
          <w:szCs w:val="28"/>
        </w:rPr>
        <w:t xml:space="preserve">la </w:t>
      </w:r>
      <w:r w:rsidRPr="002F3D0A">
        <w:rPr>
          <w:rFonts w:ascii="Times New Roman" w:hAnsi="Times New Roman" w:cs="Times New Roman"/>
          <w:bCs/>
          <w:sz w:val="28"/>
          <w:szCs w:val="28"/>
        </w:rPr>
        <w:t>seguridad jurídica, la igualdad</w:t>
      </w:r>
      <w:r w:rsidRPr="002F3D0A">
        <w:rPr>
          <w:rFonts w:ascii="Times New Roman" w:hAnsi="Times New Roman" w:cs="Times New Roman"/>
          <w:bCs/>
          <w:sz w:val="28"/>
          <w:szCs w:val="28"/>
        </w:rPr>
        <w:t xml:space="preserve"> y el acceso efectivo a la administración de justicia. </w:t>
      </w:r>
    </w:p>
    <w:p w:rsidR="004321B1" w:rsidRPr="002F3D0A" w:rsidRDefault="002F3D0A" w:rsidP="00C73F8C">
      <w:pPr>
        <w:pStyle w:val="Prrafodelista"/>
        <w:ind w:left="0"/>
        <w:rPr>
          <w:rFonts w:ascii="Times New Roman" w:hAnsi="Times New Roman" w:cs="Times New Roman"/>
          <w:bCs/>
          <w:sz w:val="28"/>
          <w:szCs w:val="28"/>
        </w:rPr>
      </w:pPr>
    </w:p>
    <w:p w:rsidR="00DD1BA7" w:rsidRPr="002F3D0A" w:rsidRDefault="002F3D0A" w:rsidP="009C01C6">
      <w:pPr>
        <w:pStyle w:val="Prrafodelista"/>
        <w:numPr>
          <w:ilvl w:val="0"/>
          <w:numId w:val="1"/>
        </w:numPr>
        <w:ind w:left="0" w:firstLine="0"/>
        <w:rPr>
          <w:rFonts w:ascii="Times New Roman" w:hAnsi="Times New Roman" w:cs="Times New Roman"/>
          <w:bCs/>
          <w:sz w:val="28"/>
          <w:szCs w:val="28"/>
        </w:rPr>
      </w:pPr>
      <w:r w:rsidRPr="002F3D0A">
        <w:rPr>
          <w:rFonts w:ascii="Times New Roman" w:hAnsi="Times New Roman" w:cs="Times New Roman"/>
          <w:bCs/>
          <w:sz w:val="28"/>
          <w:szCs w:val="28"/>
        </w:rPr>
        <w:t xml:space="preserve">Con fundamento en lo expuesto, la </w:t>
      </w:r>
      <w:r w:rsidRPr="002F3D0A">
        <w:rPr>
          <w:rFonts w:ascii="Times New Roman" w:hAnsi="Times New Roman" w:cs="Times New Roman"/>
          <w:bCs/>
          <w:sz w:val="28"/>
          <w:szCs w:val="28"/>
        </w:rPr>
        <w:t xml:space="preserve">Corte </w:t>
      </w:r>
      <w:r w:rsidRPr="002F3D0A">
        <w:rPr>
          <w:rFonts w:ascii="Times New Roman" w:hAnsi="Times New Roman" w:cs="Times New Roman"/>
          <w:bCs/>
          <w:sz w:val="28"/>
          <w:szCs w:val="28"/>
        </w:rPr>
        <w:t xml:space="preserve">se inhibirá de emitir un pronunciamiento de fondo sobre </w:t>
      </w:r>
      <w:r w:rsidRPr="002F3D0A">
        <w:rPr>
          <w:rFonts w:ascii="Times New Roman" w:hAnsi="Times New Roman" w:cs="Times New Roman"/>
          <w:bCs/>
          <w:sz w:val="28"/>
          <w:szCs w:val="28"/>
        </w:rPr>
        <w:t>el cargo dirigido en contra del numeral 5 del artículo 35 de la Ley 2277</w:t>
      </w:r>
      <w:r w:rsidRPr="002F3D0A">
        <w:rPr>
          <w:rFonts w:ascii="Times New Roman" w:hAnsi="Times New Roman" w:cs="Times New Roman"/>
          <w:bCs/>
          <w:sz w:val="28"/>
          <w:szCs w:val="28"/>
        </w:rPr>
        <w:t xml:space="preserve"> de 2022 por</w:t>
      </w:r>
      <w:r w:rsidRPr="002F3D0A">
        <w:rPr>
          <w:rFonts w:ascii="Times New Roman" w:hAnsi="Times New Roman" w:cs="Times New Roman"/>
          <w:bCs/>
          <w:sz w:val="28"/>
          <w:szCs w:val="28"/>
        </w:rPr>
        <w:t xml:space="preserve"> violación de</w:t>
      </w:r>
      <w:r w:rsidRPr="002F3D0A">
        <w:rPr>
          <w:rFonts w:ascii="Times New Roman" w:hAnsi="Times New Roman" w:cs="Times New Roman"/>
          <w:bCs/>
          <w:sz w:val="28"/>
          <w:szCs w:val="28"/>
        </w:rPr>
        <w:t>l principio constitucio</w:t>
      </w:r>
      <w:r w:rsidRPr="002F3D0A">
        <w:rPr>
          <w:rFonts w:ascii="Times New Roman" w:hAnsi="Times New Roman" w:cs="Times New Roman"/>
          <w:bCs/>
          <w:sz w:val="28"/>
          <w:szCs w:val="28"/>
        </w:rPr>
        <w:t>n</w:t>
      </w:r>
      <w:r w:rsidRPr="002F3D0A">
        <w:rPr>
          <w:rFonts w:ascii="Times New Roman" w:hAnsi="Times New Roman" w:cs="Times New Roman"/>
          <w:bCs/>
          <w:sz w:val="28"/>
          <w:szCs w:val="28"/>
        </w:rPr>
        <w:t>al</w:t>
      </w:r>
      <w:r w:rsidRPr="002F3D0A">
        <w:rPr>
          <w:rFonts w:ascii="Times New Roman" w:hAnsi="Times New Roman" w:cs="Times New Roman"/>
          <w:bCs/>
          <w:sz w:val="28"/>
          <w:szCs w:val="28"/>
        </w:rPr>
        <w:t xml:space="preserve"> de</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 equidad horizontal</w:t>
      </w:r>
      <w:r w:rsidRPr="002F3D0A">
        <w:rPr>
          <w:rFonts w:ascii="Times New Roman" w:hAnsi="Times New Roman" w:cs="Times New Roman"/>
          <w:bCs/>
          <w:sz w:val="28"/>
          <w:szCs w:val="28"/>
        </w:rPr>
        <w:t xml:space="preserve"> </w:t>
      </w:r>
      <w:r w:rsidRPr="002F3D0A">
        <w:rPr>
          <w:rFonts w:ascii="Times New Roman" w:hAnsi="Times New Roman" w:cs="Times New Roman"/>
          <w:bCs/>
          <w:sz w:val="28"/>
          <w:szCs w:val="28"/>
        </w:rPr>
        <w:t xml:space="preserve">y </w:t>
      </w:r>
      <w:r w:rsidRPr="002F3D0A">
        <w:rPr>
          <w:rFonts w:ascii="Times New Roman" w:hAnsi="Times New Roman" w:cs="Times New Roman"/>
          <w:bCs/>
          <w:sz w:val="28"/>
          <w:szCs w:val="28"/>
        </w:rPr>
        <w:t>el cargo</w:t>
      </w:r>
      <w:r w:rsidRPr="002F3D0A">
        <w:rPr>
          <w:rFonts w:ascii="Times New Roman" w:hAnsi="Times New Roman" w:cs="Times New Roman"/>
          <w:color w:val="000000" w:themeColor="text1"/>
          <w:sz w:val="28"/>
          <w:szCs w:val="28"/>
          <w:lang w:val="es-ES"/>
        </w:rPr>
        <w:t xml:space="preserve"> </w:t>
      </w:r>
      <w:r w:rsidRPr="002F3D0A">
        <w:rPr>
          <w:rFonts w:ascii="Times New Roman" w:hAnsi="Times New Roman" w:cs="Times New Roman"/>
          <w:color w:val="000000" w:themeColor="text1"/>
          <w:sz w:val="28"/>
          <w:szCs w:val="28"/>
          <w:lang w:val="es-ES"/>
        </w:rPr>
        <w:t xml:space="preserve">dirigido contra los artículos 36 y 37 de la misma ley </w:t>
      </w:r>
      <w:r w:rsidRPr="002F3D0A">
        <w:rPr>
          <w:rFonts w:ascii="Times New Roman" w:hAnsi="Times New Roman" w:cs="Times New Roman"/>
          <w:color w:val="000000" w:themeColor="text1"/>
          <w:sz w:val="28"/>
          <w:szCs w:val="28"/>
          <w:lang w:val="es-ES"/>
        </w:rPr>
        <w:t>por violación de la competencia exclusiva de los municipios para gravar la propiedad inmueble</w:t>
      </w:r>
      <w:r w:rsidRPr="002F3D0A">
        <w:rPr>
          <w:rFonts w:ascii="Times New Roman" w:hAnsi="Times New Roman" w:cs="Times New Roman"/>
          <w:color w:val="000000" w:themeColor="text1"/>
          <w:sz w:val="28"/>
          <w:szCs w:val="28"/>
          <w:lang w:val="es-ES"/>
        </w:rPr>
        <w:t>.</w:t>
      </w:r>
    </w:p>
    <w:p w:rsidR="005D2ADB" w:rsidRPr="002F3D0A" w:rsidRDefault="002F3D0A" w:rsidP="005D2ADB">
      <w:pPr>
        <w:rPr>
          <w:rFonts w:ascii="Times New Roman" w:hAnsi="Times New Roman" w:cs="Times New Roman"/>
          <w:sz w:val="28"/>
          <w:szCs w:val="28"/>
        </w:rPr>
      </w:pPr>
    </w:p>
    <w:p w:rsidR="005D2ADB" w:rsidRPr="002F3D0A" w:rsidRDefault="002F3D0A" w:rsidP="00A65C9D">
      <w:pPr>
        <w:pStyle w:val="Ttulo1"/>
        <w:spacing w:before="0"/>
        <w:jc w:val="center"/>
        <w:rPr>
          <w:rFonts w:cs="Times New Roman"/>
          <w:bCs/>
          <w:szCs w:val="28"/>
        </w:rPr>
      </w:pPr>
      <w:r w:rsidRPr="002F3D0A">
        <w:rPr>
          <w:rFonts w:cs="Times New Roman"/>
          <w:bCs/>
          <w:szCs w:val="28"/>
        </w:rPr>
        <w:t>DECISIÓN</w:t>
      </w:r>
    </w:p>
    <w:p w:rsidR="005D2ADB" w:rsidRPr="002F3D0A" w:rsidRDefault="002F3D0A" w:rsidP="005D2ADB">
      <w:pPr>
        <w:rPr>
          <w:rFonts w:ascii="Times New Roman" w:hAnsi="Times New Roman" w:cs="Times New Roman"/>
          <w:sz w:val="28"/>
          <w:szCs w:val="28"/>
        </w:rPr>
      </w:pPr>
    </w:p>
    <w:p w:rsidR="005D2ADB" w:rsidRPr="002F3D0A" w:rsidRDefault="002F3D0A" w:rsidP="005D2ADB">
      <w:pPr>
        <w:rPr>
          <w:rFonts w:ascii="Times New Roman" w:hAnsi="Times New Roman" w:cs="Times New Roman"/>
          <w:sz w:val="28"/>
          <w:szCs w:val="28"/>
        </w:rPr>
      </w:pPr>
      <w:r w:rsidRPr="002F3D0A">
        <w:rPr>
          <w:rFonts w:ascii="Times New Roman" w:hAnsi="Times New Roman" w:cs="Times New Roman"/>
          <w:sz w:val="28"/>
          <w:szCs w:val="28"/>
        </w:rPr>
        <w:t>La Corte C</w:t>
      </w:r>
      <w:r w:rsidRPr="002F3D0A">
        <w:rPr>
          <w:rFonts w:ascii="Times New Roman" w:hAnsi="Times New Roman" w:cs="Times New Roman"/>
          <w:sz w:val="28"/>
          <w:szCs w:val="28"/>
        </w:rPr>
        <w:t>onstitucional de Colombia, administrando justicia en nombre del pueblo y por mandato de la Constitución,</w:t>
      </w:r>
    </w:p>
    <w:p w:rsidR="005D2ADB" w:rsidRPr="002F3D0A" w:rsidRDefault="002F3D0A" w:rsidP="005D2ADB">
      <w:pPr>
        <w:rPr>
          <w:rFonts w:ascii="Times New Roman" w:hAnsi="Times New Roman" w:cs="Times New Roman"/>
          <w:sz w:val="28"/>
          <w:szCs w:val="28"/>
        </w:rPr>
      </w:pPr>
      <w:r w:rsidRPr="002F3D0A">
        <w:rPr>
          <w:rFonts w:ascii="Times New Roman" w:hAnsi="Times New Roman" w:cs="Times New Roman"/>
          <w:sz w:val="28"/>
          <w:szCs w:val="28"/>
        </w:rPr>
        <w:t> </w:t>
      </w:r>
    </w:p>
    <w:p w:rsidR="005D2ADB" w:rsidRPr="002F3D0A" w:rsidRDefault="002F3D0A" w:rsidP="005D2ADB">
      <w:pPr>
        <w:jc w:val="center"/>
        <w:rPr>
          <w:rFonts w:ascii="Times New Roman" w:hAnsi="Times New Roman" w:cs="Times New Roman"/>
          <w:sz w:val="28"/>
          <w:szCs w:val="28"/>
        </w:rPr>
      </w:pPr>
      <w:r w:rsidRPr="002F3D0A">
        <w:rPr>
          <w:rFonts w:ascii="Times New Roman" w:hAnsi="Times New Roman" w:cs="Times New Roman"/>
          <w:b/>
          <w:bCs/>
          <w:sz w:val="28"/>
          <w:szCs w:val="28"/>
        </w:rPr>
        <w:t>RESUELVE</w:t>
      </w:r>
    </w:p>
    <w:p w:rsidR="005D2ADB" w:rsidRPr="002F3D0A" w:rsidRDefault="002F3D0A" w:rsidP="005D2ADB">
      <w:pPr>
        <w:rPr>
          <w:rFonts w:ascii="Times New Roman" w:hAnsi="Times New Roman" w:cs="Times New Roman"/>
          <w:sz w:val="28"/>
          <w:szCs w:val="28"/>
        </w:rPr>
      </w:pPr>
    </w:p>
    <w:p w:rsidR="005D2ADB" w:rsidRPr="002F3D0A" w:rsidRDefault="002F3D0A" w:rsidP="00972249">
      <w:pPr>
        <w:rPr>
          <w:rFonts w:ascii="Times New Roman" w:hAnsi="Times New Roman" w:cs="Times New Roman"/>
          <w:sz w:val="28"/>
          <w:szCs w:val="28"/>
        </w:rPr>
      </w:pPr>
      <w:r w:rsidRPr="002F3D0A">
        <w:rPr>
          <w:rFonts w:ascii="Times New Roman" w:hAnsi="Times New Roman" w:cs="Times New Roman"/>
          <w:b/>
          <w:bCs/>
          <w:sz w:val="28"/>
          <w:szCs w:val="28"/>
        </w:rPr>
        <w:t>ÚNICO.</w:t>
      </w:r>
      <w:r w:rsidRPr="002F3D0A">
        <w:rPr>
          <w:rFonts w:ascii="Times New Roman" w:hAnsi="Times New Roman" w:cs="Times New Roman"/>
          <w:sz w:val="28"/>
          <w:szCs w:val="28"/>
        </w:rPr>
        <w:t xml:space="preserve"> </w:t>
      </w:r>
      <w:r w:rsidRPr="002F3D0A">
        <w:rPr>
          <w:rFonts w:ascii="Times New Roman" w:hAnsi="Times New Roman" w:cs="Times New Roman"/>
          <w:b/>
          <w:bCs/>
          <w:sz w:val="28"/>
          <w:szCs w:val="28"/>
        </w:rPr>
        <w:t>INHIBIRSE</w:t>
      </w:r>
      <w:r w:rsidRPr="002F3D0A">
        <w:rPr>
          <w:rFonts w:ascii="Times New Roman" w:hAnsi="Times New Roman" w:cs="Times New Roman"/>
          <w:sz w:val="28"/>
          <w:szCs w:val="28"/>
        </w:rPr>
        <w:t xml:space="preserve"> de emitir pronunciamiento de fondo sobre los cargos formulados por los ciudadanos Carolina Rozo Gutiérrez, Leonardo Cote Botero y Nicolás Sanabria Caicedo contra el numeral 5 del artículo 35, y contra los artículos 36 y 37 parciales de la Ley 2277 de 2022</w:t>
      </w:r>
      <w:r w:rsidRPr="002F3D0A">
        <w:rPr>
          <w:rFonts w:ascii="Times New Roman" w:hAnsi="Times New Roman" w:cs="Times New Roman"/>
          <w:sz w:val="28"/>
          <w:szCs w:val="28"/>
        </w:rPr>
        <w:t>, por ineptitud sustantiva de la demanda.</w:t>
      </w:r>
    </w:p>
    <w:p w:rsidR="005D2ADB" w:rsidRPr="002F3D0A" w:rsidRDefault="002F3D0A" w:rsidP="005D2ADB">
      <w:pPr>
        <w:rPr>
          <w:rFonts w:ascii="Times New Roman" w:hAnsi="Times New Roman" w:cs="Times New Roman"/>
          <w:sz w:val="28"/>
          <w:szCs w:val="28"/>
        </w:rPr>
      </w:pPr>
    </w:p>
    <w:p w:rsidR="005D2ADB" w:rsidRPr="002F3D0A" w:rsidRDefault="002F3D0A" w:rsidP="005D2ADB">
      <w:pPr>
        <w:rPr>
          <w:rFonts w:ascii="Times New Roman" w:hAnsi="Times New Roman" w:cs="Times New Roman"/>
          <w:sz w:val="28"/>
          <w:szCs w:val="28"/>
        </w:rPr>
      </w:pPr>
      <w:r w:rsidRPr="002F3D0A">
        <w:rPr>
          <w:rFonts w:ascii="Times New Roman" w:hAnsi="Times New Roman" w:cs="Times New Roman"/>
          <w:sz w:val="28"/>
          <w:szCs w:val="28"/>
        </w:rPr>
        <w:t>Notifíquese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y cúmplase,</w:t>
      </w:r>
      <w:r w:rsidRPr="002F3D0A">
        <w:rPr>
          <w:rFonts w:ascii="Times New Roman" w:hAnsi="Times New Roman" w:cs="Times New Roman"/>
          <w:sz w:val="28"/>
          <w:szCs w:val="28"/>
        </w:rPr>
        <w:t xml:space="preserve"> </w:t>
      </w:r>
    </w:p>
    <w:p w:rsidR="00636AD0" w:rsidRPr="002F3D0A" w:rsidRDefault="002F3D0A" w:rsidP="00E72843">
      <w:pPr>
        <w:jc w:val="center"/>
        <w:rPr>
          <w:rFonts w:ascii="Times New Roman" w:hAnsi="Times New Roman" w:cs="Times New Roman"/>
          <w:i/>
          <w:sz w:val="28"/>
          <w:szCs w:val="28"/>
        </w:rPr>
      </w:pPr>
    </w:p>
    <w:p w:rsidR="00DC2D36" w:rsidRPr="002F3D0A" w:rsidRDefault="002F3D0A" w:rsidP="00E72843">
      <w:pPr>
        <w:jc w:val="center"/>
        <w:rPr>
          <w:rFonts w:ascii="Times New Roman" w:hAnsi="Times New Roman" w:cs="Times New Roman"/>
          <w:i/>
          <w:sz w:val="28"/>
          <w:szCs w:val="28"/>
        </w:rPr>
      </w:pPr>
    </w:p>
    <w:p w:rsidR="00DC2D36" w:rsidRPr="002F3D0A" w:rsidRDefault="002F3D0A" w:rsidP="00E72843">
      <w:pPr>
        <w:jc w:val="center"/>
        <w:rPr>
          <w:rFonts w:ascii="Times New Roman" w:hAnsi="Times New Roman" w:cs="Times New Roman"/>
          <w:i/>
          <w:sz w:val="28"/>
          <w:szCs w:val="28"/>
        </w:rPr>
      </w:pPr>
    </w:p>
    <w:p w:rsidR="00DC2D36" w:rsidRPr="002F3D0A" w:rsidRDefault="002F3D0A" w:rsidP="00E72843">
      <w:pPr>
        <w:jc w:val="center"/>
        <w:rPr>
          <w:rFonts w:ascii="Times New Roman" w:hAnsi="Times New Roman" w:cs="Times New Roman"/>
          <w:i/>
          <w:sz w:val="28"/>
          <w:szCs w:val="28"/>
        </w:rPr>
      </w:pPr>
    </w:p>
    <w:p w:rsidR="007562CC" w:rsidRPr="002F3D0A" w:rsidRDefault="002F3D0A" w:rsidP="00A65C9D">
      <w:pPr>
        <w:pStyle w:val="Prrafodelista"/>
        <w:ind w:left="0"/>
        <w:rPr>
          <w:rFonts w:ascii="Times New Roman" w:hAnsi="Times New Roman" w:cs="Times New Roman"/>
          <w:bCs/>
          <w:sz w:val="28"/>
          <w:szCs w:val="28"/>
        </w:rPr>
      </w:pPr>
    </w:p>
    <w:p w:rsidR="00741B62" w:rsidRPr="002F3D0A" w:rsidRDefault="002F3D0A" w:rsidP="00A65C9D">
      <w:pPr>
        <w:pStyle w:val="Prrafodelista"/>
        <w:ind w:left="0"/>
        <w:rPr>
          <w:rFonts w:ascii="Times New Roman" w:hAnsi="Times New Roman" w:cs="Times New Roman"/>
          <w:bCs/>
          <w:sz w:val="28"/>
          <w:szCs w:val="28"/>
        </w:rPr>
      </w:pPr>
    </w:p>
    <w:p w:rsidR="00741B62" w:rsidRPr="002F3D0A" w:rsidRDefault="002F3D0A" w:rsidP="00A65C9D">
      <w:pPr>
        <w:pStyle w:val="Prrafodelista"/>
        <w:ind w:left="0"/>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JOSE FERNANDO REYES CUARTAS</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NATALIA ÁNGEL CABO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Magistrada</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Con aclaración de voto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JUAN CARLOS CORTÉS GONZÁLEZ</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Ausente con permiso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DIANA FAJARDO RIVERA</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Magistrada</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VLADIMIR FERNÁNDEZ ANDRADE</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Con impedimento aceptado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 xml:space="preserve">JORGE ENRIQUE IBÁÑEZ NAJAR </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Con aclaración de voto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ANTONIO JOSÉ LIZARAZO OCAMPO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Magistrado</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Con aclaración de voto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PAOLA ANDREA MENESES MOSQUERA</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Magistrada</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CRISTINA PARDO SCHLESINGER</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Magistrada</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Con aclaración de voto</w:t>
      </w: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ANDREA LILIANA ROMERO LOPEZ</w:t>
      </w:r>
    </w:p>
    <w:p w:rsidR="00741B62" w:rsidRPr="002F3D0A" w:rsidRDefault="002F3D0A" w:rsidP="00741B62">
      <w:pPr>
        <w:pStyle w:val="Prrafodelista"/>
        <w:ind w:left="0"/>
        <w:jc w:val="center"/>
        <w:rPr>
          <w:rFonts w:ascii="Times New Roman" w:hAnsi="Times New Roman" w:cs="Times New Roman"/>
          <w:bCs/>
          <w:sz w:val="28"/>
          <w:szCs w:val="28"/>
        </w:rPr>
      </w:pPr>
      <w:r w:rsidRPr="002F3D0A">
        <w:rPr>
          <w:rFonts w:ascii="Times New Roman" w:hAnsi="Times New Roman" w:cs="Times New Roman"/>
          <w:bCs/>
          <w:sz w:val="28"/>
          <w:szCs w:val="28"/>
        </w:rPr>
        <w:t>Secretaria General</w:t>
      </w:r>
    </w:p>
    <w:p w:rsidR="00170E91" w:rsidRPr="002F3D0A" w:rsidRDefault="002F3D0A" w:rsidP="000D0B02">
      <w:pPr>
        <w:pStyle w:val="paragraph"/>
        <w:spacing w:before="0" w:beforeAutospacing="0" w:after="0" w:afterAutospacing="0"/>
        <w:jc w:val="center"/>
        <w:textAlignment w:val="baseline"/>
        <w:rPr>
          <w:rStyle w:val="normaltextrun"/>
          <w:b/>
          <w:bCs/>
          <w:sz w:val="28"/>
          <w:szCs w:val="28"/>
          <w:lang w:val="es-ES_tradnl"/>
        </w:rPr>
      </w:pPr>
    </w:p>
    <w:p w:rsidR="00170E91" w:rsidRPr="002F3D0A" w:rsidRDefault="002F3D0A" w:rsidP="000D0B02">
      <w:pPr>
        <w:pStyle w:val="paragraph"/>
        <w:spacing w:before="0" w:beforeAutospacing="0" w:after="0" w:afterAutospacing="0"/>
        <w:jc w:val="center"/>
        <w:textAlignment w:val="baseline"/>
        <w:rPr>
          <w:rStyle w:val="normaltextrun"/>
          <w:b/>
          <w:bCs/>
          <w:sz w:val="28"/>
          <w:szCs w:val="28"/>
          <w:lang w:val="es-ES_tradnl"/>
        </w:rPr>
      </w:pPr>
    </w:p>
    <w:p w:rsidR="00ED42C9" w:rsidRPr="002F3D0A" w:rsidRDefault="002F3D0A" w:rsidP="000D0B02">
      <w:pPr>
        <w:pStyle w:val="paragraph"/>
        <w:spacing w:before="0" w:beforeAutospacing="0" w:after="0" w:afterAutospacing="0"/>
        <w:jc w:val="center"/>
        <w:textAlignment w:val="baseline"/>
        <w:rPr>
          <w:rStyle w:val="normaltextrun"/>
          <w:b/>
          <w:bCs/>
          <w:sz w:val="28"/>
          <w:szCs w:val="28"/>
          <w:lang w:val="es-ES_tradnl"/>
        </w:rPr>
      </w:pPr>
      <w:r w:rsidRPr="002F3D0A">
        <w:rPr>
          <w:rStyle w:val="normaltextrun"/>
          <w:b/>
          <w:bCs/>
          <w:sz w:val="28"/>
          <w:szCs w:val="28"/>
          <w:lang w:val="es-ES_tradnl"/>
        </w:rPr>
        <w:t>ACLARACIÓN DE VOTO DE LA</w:t>
      </w:r>
      <w:r w:rsidRPr="002F3D0A">
        <w:rPr>
          <w:rStyle w:val="normaltextrun"/>
          <w:b/>
          <w:bCs/>
          <w:sz w:val="28"/>
          <w:szCs w:val="28"/>
          <w:lang w:val="es-ES_tradnl"/>
        </w:rPr>
        <w:t xml:space="preserve"> </w:t>
      </w:r>
      <w:r w:rsidRPr="002F3D0A">
        <w:rPr>
          <w:rStyle w:val="normaltextrun"/>
          <w:b/>
          <w:bCs/>
          <w:sz w:val="28"/>
          <w:szCs w:val="28"/>
          <w:lang w:val="es-ES_tradnl"/>
        </w:rPr>
        <w:t>MAGISTRADA</w:t>
      </w:r>
    </w:p>
    <w:p w:rsidR="00ED42C9" w:rsidRPr="002F3D0A" w:rsidRDefault="002F3D0A" w:rsidP="000D0B02">
      <w:pPr>
        <w:pStyle w:val="paragraph"/>
        <w:spacing w:before="0" w:beforeAutospacing="0" w:after="0" w:afterAutospacing="0"/>
        <w:jc w:val="center"/>
        <w:textAlignment w:val="baseline"/>
        <w:rPr>
          <w:rStyle w:val="eop"/>
          <w:b/>
          <w:bCs/>
          <w:sz w:val="28"/>
          <w:szCs w:val="28"/>
          <w:lang w:val="es-ES_tradnl"/>
        </w:rPr>
      </w:pPr>
      <w:r w:rsidRPr="002F3D0A">
        <w:rPr>
          <w:rStyle w:val="normaltextrun"/>
          <w:b/>
          <w:bCs/>
          <w:sz w:val="28"/>
          <w:szCs w:val="28"/>
          <w:lang w:val="es-ES_tradnl"/>
        </w:rPr>
        <w:t xml:space="preserve"> NATALIA ÁNGEL CABO</w:t>
      </w:r>
    </w:p>
    <w:p w:rsidR="000D0B02" w:rsidRPr="002F3D0A" w:rsidRDefault="002F3D0A" w:rsidP="000D0B02">
      <w:pPr>
        <w:pStyle w:val="paragraph"/>
        <w:spacing w:before="0" w:beforeAutospacing="0" w:after="0" w:afterAutospacing="0"/>
        <w:jc w:val="center"/>
        <w:textAlignment w:val="baseline"/>
        <w:rPr>
          <w:rStyle w:val="normaltextrun"/>
          <w:b/>
          <w:bCs/>
          <w:sz w:val="28"/>
          <w:szCs w:val="28"/>
          <w:lang w:val="es-ES"/>
        </w:rPr>
      </w:pPr>
      <w:r w:rsidRPr="002F3D0A">
        <w:rPr>
          <w:rStyle w:val="eop"/>
          <w:b/>
          <w:bCs/>
          <w:sz w:val="28"/>
          <w:szCs w:val="28"/>
          <w:lang w:val="es-ES_tradnl"/>
        </w:rPr>
        <w:t xml:space="preserve">A LA SENTENCIA </w:t>
      </w:r>
      <w:r w:rsidRPr="002F3D0A">
        <w:rPr>
          <w:rStyle w:val="normaltextrun"/>
          <w:b/>
          <w:bCs/>
          <w:sz w:val="28"/>
          <w:szCs w:val="28"/>
          <w:lang w:val="es-ES"/>
        </w:rPr>
        <w:t>C-3</w:t>
      </w:r>
      <w:r w:rsidRPr="002F3D0A">
        <w:rPr>
          <w:rStyle w:val="normaltextrun"/>
          <w:b/>
          <w:bCs/>
          <w:sz w:val="28"/>
          <w:szCs w:val="28"/>
          <w:lang w:val="es-ES"/>
        </w:rPr>
        <w:t>95</w:t>
      </w:r>
      <w:r w:rsidRPr="002F3D0A">
        <w:rPr>
          <w:rStyle w:val="normaltextrun"/>
          <w:b/>
          <w:bCs/>
          <w:sz w:val="28"/>
          <w:szCs w:val="28"/>
          <w:lang w:val="es-ES"/>
        </w:rPr>
        <w:t>/</w:t>
      </w:r>
      <w:r w:rsidRPr="002F3D0A">
        <w:rPr>
          <w:rStyle w:val="normaltextrun"/>
          <w:b/>
          <w:bCs/>
          <w:sz w:val="28"/>
          <w:szCs w:val="28"/>
          <w:lang w:val="es-ES"/>
        </w:rPr>
        <w:t>24</w:t>
      </w:r>
    </w:p>
    <w:p w:rsidR="000D0B02" w:rsidRPr="002F3D0A" w:rsidRDefault="002F3D0A" w:rsidP="000D0B02">
      <w:pPr>
        <w:pStyle w:val="paragraph"/>
        <w:spacing w:before="0" w:beforeAutospacing="0" w:after="0" w:afterAutospacing="0"/>
        <w:ind w:left="3540" w:firstLine="708"/>
        <w:textAlignment w:val="baseline"/>
        <w:rPr>
          <w:rStyle w:val="normaltextrun"/>
          <w:b/>
          <w:bCs/>
          <w:sz w:val="28"/>
          <w:szCs w:val="28"/>
          <w:lang w:val="es-ES_tradnl"/>
        </w:rPr>
      </w:pPr>
    </w:p>
    <w:p w:rsidR="00ED42C9" w:rsidRPr="002F3D0A" w:rsidRDefault="002F3D0A" w:rsidP="000D0B02">
      <w:pPr>
        <w:pStyle w:val="paragraph"/>
        <w:spacing w:before="0" w:beforeAutospacing="0" w:after="0" w:afterAutospacing="0"/>
        <w:ind w:left="3540" w:firstLine="708"/>
        <w:textAlignment w:val="baseline"/>
        <w:rPr>
          <w:rStyle w:val="normaltextrun"/>
          <w:b/>
          <w:bCs/>
          <w:sz w:val="28"/>
          <w:szCs w:val="28"/>
          <w:lang w:val="es-ES_tradnl"/>
        </w:rPr>
      </w:pPr>
    </w:p>
    <w:p w:rsidR="000D0B02" w:rsidRPr="002F3D0A" w:rsidRDefault="002F3D0A" w:rsidP="00ED42C9">
      <w:pPr>
        <w:suppressAutoHyphens/>
        <w:spacing w:after="0" w:line="240" w:lineRule="auto"/>
        <w:ind w:left="3969"/>
        <w:jc w:val="both"/>
        <w:rPr>
          <w:rFonts w:ascii="Times New Roman" w:hAnsi="Times New Roman" w:cs="Times New Roman"/>
          <w:sz w:val="28"/>
          <w:szCs w:val="28"/>
        </w:rPr>
      </w:pPr>
      <w:r w:rsidRPr="002F3D0A">
        <w:rPr>
          <w:rFonts w:ascii="Times New Roman" w:hAnsi="Times New Roman" w:cs="Times New Roman"/>
          <w:sz w:val="28"/>
          <w:szCs w:val="28"/>
        </w:rPr>
        <w:t>Referencia: expediente D-</w:t>
      </w:r>
      <w:r w:rsidRPr="002F3D0A">
        <w:rPr>
          <w:rFonts w:ascii="Times New Roman" w:hAnsi="Times New Roman" w:cs="Times New Roman"/>
          <w:sz w:val="28"/>
          <w:szCs w:val="28"/>
        </w:rPr>
        <w:t>15564</w:t>
      </w:r>
    </w:p>
    <w:p w:rsidR="000D0B02" w:rsidRPr="002F3D0A" w:rsidRDefault="002F3D0A" w:rsidP="00ED42C9">
      <w:pPr>
        <w:suppressAutoHyphens/>
        <w:spacing w:after="0" w:line="240" w:lineRule="auto"/>
        <w:ind w:left="3969"/>
        <w:jc w:val="both"/>
        <w:rPr>
          <w:rFonts w:ascii="Times New Roman" w:hAnsi="Times New Roman" w:cs="Times New Roman"/>
          <w:sz w:val="28"/>
          <w:szCs w:val="28"/>
        </w:rPr>
      </w:pPr>
      <w:r w:rsidRPr="002F3D0A">
        <w:rPr>
          <w:rFonts w:ascii="Times New Roman" w:hAnsi="Times New Roman" w:cs="Times New Roman"/>
          <w:sz w:val="28"/>
          <w:szCs w:val="28"/>
        </w:rPr>
        <w:br/>
      </w:r>
      <w:r w:rsidRPr="002F3D0A">
        <w:rPr>
          <w:rFonts w:ascii="Times New Roman" w:hAnsi="Times New Roman" w:cs="Times New Roman"/>
          <w:sz w:val="28"/>
          <w:szCs w:val="28"/>
        </w:rPr>
        <w:t xml:space="preserve">Demanda de inconstitucionalidad contra </w:t>
      </w:r>
      <w:r w:rsidRPr="002F3D0A">
        <w:rPr>
          <w:rFonts w:ascii="Times New Roman" w:hAnsi="Times New Roman" w:cs="Times New Roman"/>
          <w:sz w:val="28"/>
          <w:szCs w:val="28"/>
        </w:rPr>
        <w:t>los artículos 35, 36, 37, 38, 39, 40 y 41 de la Ley 2277 de 2022.</w:t>
      </w:r>
    </w:p>
    <w:p w:rsidR="000D0B02" w:rsidRPr="002F3D0A" w:rsidRDefault="002F3D0A" w:rsidP="00ED42C9">
      <w:pPr>
        <w:suppressAutoHyphens/>
        <w:spacing w:after="0" w:line="240" w:lineRule="auto"/>
        <w:ind w:left="3969"/>
        <w:jc w:val="both"/>
        <w:rPr>
          <w:rFonts w:ascii="Times New Roman" w:hAnsi="Times New Roman" w:cs="Times New Roman"/>
          <w:sz w:val="28"/>
          <w:szCs w:val="28"/>
        </w:rPr>
      </w:pPr>
    </w:p>
    <w:p w:rsidR="000D0B02" w:rsidRPr="002F3D0A" w:rsidRDefault="002F3D0A" w:rsidP="00ED42C9">
      <w:pPr>
        <w:suppressAutoHyphens/>
        <w:spacing w:after="0" w:line="240" w:lineRule="auto"/>
        <w:ind w:left="3969"/>
        <w:jc w:val="both"/>
        <w:rPr>
          <w:rFonts w:ascii="Times New Roman" w:hAnsi="Times New Roman" w:cs="Times New Roman"/>
          <w:sz w:val="28"/>
          <w:szCs w:val="28"/>
        </w:rPr>
      </w:pPr>
      <w:r w:rsidRPr="002F3D0A">
        <w:rPr>
          <w:rFonts w:ascii="Times New Roman" w:hAnsi="Times New Roman" w:cs="Times New Roman"/>
          <w:sz w:val="28"/>
          <w:szCs w:val="28"/>
        </w:rPr>
        <w:t xml:space="preserve">Magistrada ponente: </w:t>
      </w:r>
    </w:p>
    <w:p w:rsidR="000D0B02" w:rsidRPr="002F3D0A" w:rsidRDefault="002F3D0A" w:rsidP="00ED42C9">
      <w:pPr>
        <w:pStyle w:val="paragraph"/>
        <w:spacing w:before="0" w:beforeAutospacing="0" w:after="0" w:afterAutospacing="0"/>
        <w:ind w:left="3969"/>
        <w:textAlignment w:val="baseline"/>
        <w:rPr>
          <w:color w:val="2D2D2D"/>
          <w:sz w:val="28"/>
          <w:szCs w:val="28"/>
          <w:shd w:val="clear" w:color="auto" w:fill="FFFFFF"/>
        </w:rPr>
      </w:pPr>
      <w:r w:rsidRPr="002F3D0A">
        <w:rPr>
          <w:color w:val="2D2D2D"/>
          <w:sz w:val="28"/>
          <w:szCs w:val="28"/>
          <w:shd w:val="clear" w:color="auto" w:fill="FFFFFF"/>
        </w:rPr>
        <w:t xml:space="preserve">Natalia Ángel Cabo </w:t>
      </w:r>
    </w:p>
    <w:p w:rsidR="00AA7FF0" w:rsidRPr="002F3D0A" w:rsidRDefault="002F3D0A" w:rsidP="00AA7FF0">
      <w:pPr>
        <w:pStyle w:val="paragraph"/>
        <w:spacing w:before="0" w:beforeAutospacing="0" w:after="0" w:afterAutospacing="0"/>
        <w:ind w:left="4248"/>
        <w:textAlignment w:val="baseline"/>
        <w:rPr>
          <w:color w:val="2D2D2D"/>
          <w:sz w:val="28"/>
          <w:szCs w:val="28"/>
          <w:shd w:val="clear" w:color="auto" w:fill="FFFFFF"/>
        </w:rPr>
      </w:pPr>
    </w:p>
    <w:p w:rsidR="003D04D3" w:rsidRPr="002F3D0A" w:rsidRDefault="002F3D0A" w:rsidP="003D04D3">
      <w:pPr>
        <w:pStyle w:val="paragraph"/>
        <w:spacing w:after="0"/>
        <w:jc w:val="both"/>
        <w:textAlignment w:val="baseline"/>
        <w:rPr>
          <w:rStyle w:val="normaltextrun"/>
          <w:sz w:val="28"/>
          <w:szCs w:val="28"/>
          <w:lang w:val="es-ES"/>
        </w:rPr>
      </w:pPr>
      <w:r w:rsidRPr="002F3D0A">
        <w:rPr>
          <w:sz w:val="28"/>
          <w:szCs w:val="28"/>
        </w:rPr>
        <w:t>A continuación, presento las razones que me llevaron a aclarar el voto en la sentencia C-3</w:t>
      </w:r>
      <w:r w:rsidRPr="002F3D0A">
        <w:rPr>
          <w:sz w:val="28"/>
          <w:szCs w:val="28"/>
        </w:rPr>
        <w:t>95</w:t>
      </w:r>
      <w:r w:rsidRPr="002F3D0A">
        <w:rPr>
          <w:sz w:val="28"/>
          <w:szCs w:val="28"/>
        </w:rPr>
        <w:t xml:space="preserve"> de 202</w:t>
      </w:r>
      <w:r w:rsidRPr="002F3D0A">
        <w:rPr>
          <w:sz w:val="28"/>
          <w:szCs w:val="28"/>
        </w:rPr>
        <w:t>4</w:t>
      </w:r>
      <w:r w:rsidRPr="002F3D0A">
        <w:rPr>
          <w:sz w:val="28"/>
          <w:szCs w:val="28"/>
        </w:rPr>
        <w:t xml:space="preserve">. </w:t>
      </w:r>
      <w:r w:rsidRPr="002F3D0A">
        <w:rPr>
          <w:sz w:val="28"/>
          <w:szCs w:val="28"/>
        </w:rPr>
        <w:t xml:space="preserve">En </w:t>
      </w:r>
      <w:r w:rsidRPr="002F3D0A">
        <w:rPr>
          <w:sz w:val="28"/>
          <w:szCs w:val="28"/>
        </w:rPr>
        <w:t>e</w:t>
      </w:r>
      <w:r w:rsidRPr="002F3D0A">
        <w:rPr>
          <w:sz w:val="28"/>
          <w:szCs w:val="28"/>
        </w:rPr>
        <w:t>s</w:t>
      </w:r>
      <w:r w:rsidRPr="002F3D0A">
        <w:rPr>
          <w:sz w:val="28"/>
          <w:szCs w:val="28"/>
        </w:rPr>
        <w:t>te</w:t>
      </w:r>
      <w:r w:rsidRPr="002F3D0A">
        <w:rPr>
          <w:sz w:val="28"/>
          <w:szCs w:val="28"/>
        </w:rPr>
        <w:t xml:space="preserve"> fallo, </w:t>
      </w:r>
      <w:r w:rsidRPr="002F3D0A">
        <w:rPr>
          <w:rStyle w:val="normaltextrun"/>
          <w:sz w:val="28"/>
          <w:szCs w:val="28"/>
          <w:lang w:val="es-ES"/>
        </w:rPr>
        <w:t xml:space="preserve">la Corte Constitucional estudió </w:t>
      </w:r>
      <w:r w:rsidRPr="002F3D0A">
        <w:rPr>
          <w:rStyle w:val="normaltextrun"/>
          <w:sz w:val="28"/>
          <w:szCs w:val="28"/>
          <w:lang w:val="es-ES"/>
        </w:rPr>
        <w:t xml:space="preserve">dos cargos de inconstitucionalidad. El primero, </w:t>
      </w:r>
      <w:r w:rsidRPr="002F3D0A">
        <w:rPr>
          <w:rStyle w:val="normaltextrun"/>
          <w:sz w:val="28"/>
          <w:szCs w:val="28"/>
          <w:lang w:val="es-ES"/>
        </w:rPr>
        <w:t>dirigid</w:t>
      </w:r>
      <w:r w:rsidRPr="002F3D0A">
        <w:rPr>
          <w:rStyle w:val="normaltextrun"/>
          <w:sz w:val="28"/>
          <w:szCs w:val="28"/>
          <w:lang w:val="es-ES"/>
        </w:rPr>
        <w:t>o</w:t>
      </w:r>
      <w:r w:rsidRPr="002F3D0A">
        <w:rPr>
          <w:rStyle w:val="normaltextrun"/>
          <w:sz w:val="28"/>
          <w:szCs w:val="28"/>
          <w:lang w:val="es-ES"/>
        </w:rPr>
        <w:t xml:space="preserve"> </w:t>
      </w:r>
      <w:r w:rsidRPr="002F3D0A">
        <w:rPr>
          <w:rStyle w:val="normaltextrun"/>
          <w:sz w:val="28"/>
          <w:szCs w:val="28"/>
          <w:lang w:val="es-ES"/>
        </w:rPr>
        <w:t>contra el numeral 5 del artículo 35 de la Ley 2277 de 2022, planteó la violación del principio de equidad tributaria. La disposición establece como</w:t>
      </w:r>
      <w:r w:rsidRPr="002F3D0A">
        <w:rPr>
          <w:rStyle w:val="normaltextrun"/>
          <w:sz w:val="28"/>
          <w:szCs w:val="28"/>
          <w:lang w:val="es-ES"/>
        </w:rPr>
        <w:t xml:space="preserve"> </w:t>
      </w:r>
      <w:r w:rsidRPr="002F3D0A">
        <w:rPr>
          <w:rStyle w:val="normaltextrun"/>
          <w:sz w:val="28"/>
          <w:szCs w:val="28"/>
          <w:lang w:val="es-ES"/>
        </w:rPr>
        <w:t>sujetos p</w:t>
      </w:r>
      <w:r w:rsidRPr="002F3D0A">
        <w:rPr>
          <w:rStyle w:val="normaltextrun"/>
          <w:sz w:val="28"/>
          <w:szCs w:val="28"/>
          <w:lang w:val="es-ES"/>
        </w:rPr>
        <w:t>asivos del impuesto al patrimonio a las entidades o sociedades extranjeras, no declarantes del impuesto de renta, que posean bienes diferentes a acciones, cuentas por cobrar e inversiones de portafolio. Para los demandantes la disposición excluye a socieda</w:t>
      </w:r>
      <w:r w:rsidRPr="002F3D0A">
        <w:rPr>
          <w:rStyle w:val="normaltextrun"/>
          <w:sz w:val="28"/>
          <w:szCs w:val="28"/>
          <w:lang w:val="es-ES"/>
        </w:rPr>
        <w:t xml:space="preserve">des extranjeras </w:t>
      </w:r>
      <w:r w:rsidRPr="002F3D0A">
        <w:rPr>
          <w:rStyle w:val="normaltextrun"/>
          <w:sz w:val="28"/>
          <w:szCs w:val="28"/>
          <w:lang w:val="es-ES"/>
        </w:rPr>
        <w:t xml:space="preserve">a partir del tipo de bienes que poseen desconociendo la </w:t>
      </w:r>
      <w:r w:rsidRPr="002F3D0A">
        <w:rPr>
          <w:rStyle w:val="normaltextrun"/>
          <w:sz w:val="28"/>
          <w:szCs w:val="28"/>
          <w:lang w:val="es-ES"/>
        </w:rPr>
        <w:t xml:space="preserve">capacidad contributiva. </w:t>
      </w:r>
      <w:r w:rsidRPr="002F3D0A">
        <w:rPr>
          <w:rStyle w:val="normaltextrun"/>
          <w:sz w:val="28"/>
          <w:szCs w:val="28"/>
          <w:lang w:val="es-ES"/>
        </w:rPr>
        <w:t>El segundo cargo,</w:t>
      </w:r>
      <w:r w:rsidRPr="002F3D0A">
        <w:rPr>
          <w:rStyle w:val="normaltextrun"/>
          <w:sz w:val="28"/>
          <w:szCs w:val="28"/>
          <w:lang w:val="es-ES"/>
        </w:rPr>
        <w:t xml:space="preserve"> se dirigió contra los artículos 36 y 37 de la Ley 2277 de 2022</w:t>
      </w:r>
      <w:r w:rsidRPr="002F3D0A">
        <w:rPr>
          <w:rStyle w:val="normaltextrun"/>
          <w:sz w:val="28"/>
          <w:szCs w:val="28"/>
          <w:lang w:val="es-ES"/>
        </w:rPr>
        <w:t xml:space="preserve">, </w:t>
      </w:r>
      <w:r w:rsidRPr="002F3D0A">
        <w:rPr>
          <w:rStyle w:val="normaltextrun"/>
          <w:sz w:val="28"/>
          <w:szCs w:val="28"/>
          <w:lang w:val="es-ES"/>
        </w:rPr>
        <w:t>planteó que la inclusión de los inmuebles en el hecho generador y la base grav</w:t>
      </w:r>
      <w:r w:rsidRPr="002F3D0A">
        <w:rPr>
          <w:rStyle w:val="normaltextrun"/>
          <w:sz w:val="28"/>
          <w:szCs w:val="28"/>
          <w:lang w:val="es-ES"/>
        </w:rPr>
        <w:t>able del impuesto al patrimonio afecta la competencia de los municipios para gravar la propiedad inmueble como manifestación de su autonomía -artículos 287 y 317 de la Constitución-.</w:t>
      </w:r>
      <w:r w:rsidRPr="002F3D0A">
        <w:rPr>
          <w:rStyle w:val="normaltextrun"/>
          <w:sz w:val="28"/>
          <w:szCs w:val="28"/>
          <w:lang w:val="es-ES"/>
        </w:rPr>
        <w:t xml:space="preserve"> La Sala decidió inh</w:t>
      </w:r>
      <w:r w:rsidRPr="002F3D0A">
        <w:rPr>
          <w:rStyle w:val="normaltextrun"/>
          <w:sz w:val="28"/>
          <w:szCs w:val="28"/>
          <w:lang w:val="es-ES"/>
        </w:rPr>
        <w:t xml:space="preserve">ibirse para resolver los cargos por el incumplimiento </w:t>
      </w:r>
      <w:r w:rsidRPr="002F3D0A">
        <w:rPr>
          <w:rStyle w:val="normaltextrun"/>
          <w:sz w:val="28"/>
          <w:szCs w:val="28"/>
          <w:lang w:val="es-ES"/>
        </w:rPr>
        <w:t xml:space="preserve">de los requisitos de aptitud. </w:t>
      </w:r>
    </w:p>
    <w:p w:rsidR="006E1D5E" w:rsidRPr="002F3D0A" w:rsidRDefault="002F3D0A" w:rsidP="006E1D5E">
      <w:pPr>
        <w:pStyle w:val="paragraph"/>
        <w:spacing w:before="0" w:beforeAutospacing="0" w:after="0" w:afterAutospacing="0"/>
        <w:jc w:val="both"/>
        <w:textAlignment w:val="baseline"/>
        <w:rPr>
          <w:rStyle w:val="normaltextrun"/>
          <w:sz w:val="28"/>
          <w:szCs w:val="28"/>
          <w:lang w:val="es-ES"/>
        </w:rPr>
      </w:pPr>
      <w:r w:rsidRPr="002F3D0A">
        <w:rPr>
          <w:rStyle w:val="normaltextrun"/>
          <w:sz w:val="28"/>
          <w:szCs w:val="28"/>
          <w:lang w:val="es-ES"/>
        </w:rPr>
        <w:t xml:space="preserve">Aunque </w:t>
      </w:r>
      <w:r w:rsidRPr="002F3D0A">
        <w:rPr>
          <w:rStyle w:val="normaltextrun"/>
          <w:sz w:val="28"/>
          <w:szCs w:val="28"/>
          <w:lang w:val="es-ES"/>
        </w:rPr>
        <w:t>considero que en este asunto los cargos no cum</w:t>
      </w:r>
      <w:r w:rsidRPr="002F3D0A">
        <w:rPr>
          <w:rStyle w:val="normaltextrun"/>
          <w:sz w:val="28"/>
          <w:szCs w:val="28"/>
          <w:lang w:val="es-ES"/>
        </w:rPr>
        <w:t>plían los requisitos de aptitud</w:t>
      </w:r>
      <w:r w:rsidRPr="002F3D0A">
        <w:rPr>
          <w:rStyle w:val="normaltextrun"/>
          <w:sz w:val="28"/>
          <w:szCs w:val="28"/>
          <w:lang w:val="es-ES"/>
        </w:rPr>
        <w:t xml:space="preserve">, aclaré mi voto </w:t>
      </w:r>
      <w:r w:rsidRPr="002F3D0A">
        <w:rPr>
          <w:sz w:val="28"/>
          <w:szCs w:val="28"/>
        </w:rPr>
        <w:t xml:space="preserve">con el fin de proponer el inicio de una discusión amplia y continua acerca de la manera en la que la Sala Plena se está </w:t>
      </w:r>
      <w:r w:rsidRPr="002F3D0A">
        <w:rPr>
          <w:sz w:val="28"/>
          <w:szCs w:val="28"/>
        </w:rPr>
        <w:t>aproximando a la acción pública de inconstitucionalidad</w:t>
      </w:r>
      <w:r w:rsidRPr="002F3D0A">
        <w:rPr>
          <w:sz w:val="28"/>
          <w:szCs w:val="28"/>
        </w:rPr>
        <w:t xml:space="preserve">, pues está </w:t>
      </w:r>
      <w:r w:rsidRPr="002F3D0A">
        <w:rPr>
          <w:rStyle w:val="normaltextrun"/>
          <w:sz w:val="28"/>
          <w:szCs w:val="28"/>
          <w:lang w:val="es-ES"/>
        </w:rPr>
        <w:t xml:space="preserve">analizando la aptitud sustantiva de las demandas, en general, y de los cargos por la violación del derecho a la igualdad, en particular, de una forma muy estricta. </w:t>
      </w:r>
    </w:p>
    <w:p w:rsidR="006E1D5E" w:rsidRPr="002F3D0A" w:rsidRDefault="002F3D0A" w:rsidP="00AA7FF0">
      <w:pPr>
        <w:pStyle w:val="paragraph"/>
        <w:spacing w:before="0" w:beforeAutospacing="0" w:after="0" w:afterAutospacing="0"/>
        <w:jc w:val="both"/>
        <w:textAlignment w:val="baseline"/>
        <w:rPr>
          <w:rStyle w:val="normaltextrun"/>
          <w:sz w:val="28"/>
          <w:szCs w:val="28"/>
          <w:lang w:val="es-ES"/>
        </w:rPr>
      </w:pPr>
    </w:p>
    <w:p w:rsidR="00AA7FF0" w:rsidRPr="002F3D0A" w:rsidRDefault="002F3D0A" w:rsidP="00AA7FF0">
      <w:pPr>
        <w:pStyle w:val="paragraph"/>
        <w:spacing w:before="0" w:beforeAutospacing="0" w:after="0" w:afterAutospacing="0"/>
        <w:jc w:val="both"/>
        <w:textAlignment w:val="baseline"/>
        <w:rPr>
          <w:rStyle w:val="normaltextrun"/>
          <w:sz w:val="28"/>
          <w:szCs w:val="28"/>
          <w:lang w:val="es-ES"/>
        </w:rPr>
      </w:pPr>
      <w:r w:rsidRPr="002F3D0A">
        <w:rPr>
          <w:rStyle w:val="normaltextrun"/>
          <w:sz w:val="28"/>
          <w:szCs w:val="28"/>
          <w:lang w:val="es-ES"/>
        </w:rPr>
        <w:t xml:space="preserve">A mi juicio, </w:t>
      </w:r>
      <w:r w:rsidRPr="002F3D0A">
        <w:rPr>
          <w:rStyle w:val="normaltextrun"/>
          <w:sz w:val="28"/>
          <w:szCs w:val="28"/>
          <w:lang w:val="es-ES"/>
        </w:rPr>
        <w:t xml:space="preserve">la Corte </w:t>
      </w:r>
      <w:r w:rsidRPr="002F3D0A">
        <w:rPr>
          <w:rStyle w:val="normaltextrun"/>
          <w:sz w:val="28"/>
          <w:szCs w:val="28"/>
          <w:lang w:val="es-ES"/>
        </w:rPr>
        <w:t>d</w:t>
      </w:r>
      <w:r w:rsidRPr="002F3D0A">
        <w:rPr>
          <w:rStyle w:val="normaltextrun"/>
          <w:sz w:val="28"/>
          <w:szCs w:val="28"/>
          <w:lang w:val="es-ES"/>
        </w:rPr>
        <w:t>ebe</w:t>
      </w:r>
      <w:r w:rsidRPr="002F3D0A">
        <w:rPr>
          <w:rStyle w:val="normaltextrun"/>
          <w:sz w:val="28"/>
          <w:szCs w:val="28"/>
          <w:lang w:val="es-ES"/>
        </w:rPr>
        <w:t xml:space="preserve"> reflexionar sobre las consecuencias socio-políticas de la severidad con la que está evaluando el cumplimiento de las cargas argumentativas en cabeza de los accionantes. La acción pública de inconstitucionalidad no sólo fue diseñada para permitir que lo</w:t>
      </w:r>
      <w:r w:rsidRPr="002F3D0A">
        <w:rPr>
          <w:rStyle w:val="normaltextrun"/>
          <w:sz w:val="28"/>
          <w:szCs w:val="28"/>
          <w:lang w:val="es-ES"/>
        </w:rPr>
        <w:t>s ciudadanos accedan de forma directa a la justicia. También fue creada con el propósito de garantizar que los colombianos ejerzan un control político sobre los posibles excesos de poder cometidos en la actividad legislativa, por lo que constituye una herr</w:t>
      </w:r>
      <w:r w:rsidRPr="002F3D0A">
        <w:rPr>
          <w:rStyle w:val="normaltextrun"/>
          <w:sz w:val="28"/>
          <w:szCs w:val="28"/>
          <w:lang w:val="es-ES"/>
        </w:rPr>
        <w:t xml:space="preserve">amienta llamada a fortalecer la democracia y la participación ciudadana, en condiciones de igualdad. </w:t>
      </w:r>
    </w:p>
    <w:p w:rsidR="000B7BDB" w:rsidRPr="002F3D0A" w:rsidRDefault="002F3D0A" w:rsidP="000B7BDB">
      <w:pPr>
        <w:spacing w:after="0" w:line="240" w:lineRule="auto"/>
        <w:jc w:val="both"/>
        <w:rPr>
          <w:rFonts w:ascii="Times New Roman" w:hAnsi="Times New Roman" w:cs="Times New Roman"/>
          <w:sz w:val="28"/>
          <w:szCs w:val="28"/>
        </w:rPr>
      </w:pPr>
    </w:p>
    <w:p w:rsidR="00EC473E" w:rsidRPr="002F3D0A" w:rsidRDefault="002F3D0A" w:rsidP="00AA7FF0">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Con el fin de aportar a esta discusión, a</w:t>
      </w:r>
      <w:r w:rsidRPr="002F3D0A">
        <w:rPr>
          <w:rFonts w:ascii="Times New Roman" w:hAnsi="Times New Roman" w:cs="Times New Roman"/>
          <w:sz w:val="28"/>
          <w:szCs w:val="28"/>
        </w:rPr>
        <w:t xml:space="preserve"> continuación expondré </w:t>
      </w:r>
      <w:r w:rsidRPr="002F3D0A">
        <w:rPr>
          <w:rFonts w:ascii="Times New Roman" w:hAnsi="Times New Roman" w:cs="Times New Roman"/>
          <w:sz w:val="28"/>
          <w:szCs w:val="28"/>
        </w:rPr>
        <w:t>algun</w:t>
      </w:r>
      <w:r w:rsidRPr="002F3D0A">
        <w:rPr>
          <w:rFonts w:ascii="Times New Roman" w:hAnsi="Times New Roman" w:cs="Times New Roman"/>
          <w:sz w:val="28"/>
          <w:szCs w:val="28"/>
        </w:rPr>
        <w:t>o</w:t>
      </w:r>
      <w:r w:rsidRPr="002F3D0A">
        <w:rPr>
          <w:rFonts w:ascii="Times New Roman" w:hAnsi="Times New Roman" w:cs="Times New Roman"/>
          <w:sz w:val="28"/>
          <w:szCs w:val="28"/>
        </w:rPr>
        <w:t>s</w:t>
      </w:r>
      <w:r w:rsidRPr="002F3D0A">
        <w:rPr>
          <w:rFonts w:ascii="Times New Roman" w:hAnsi="Times New Roman" w:cs="Times New Roman"/>
          <w:sz w:val="28"/>
          <w:szCs w:val="28"/>
        </w:rPr>
        <w:t xml:space="preserve"> datos cualitativos y cuantitativos sobre la acción pública de inconstitucionalida</w:t>
      </w:r>
      <w:r w:rsidRPr="002F3D0A">
        <w:rPr>
          <w:rFonts w:ascii="Times New Roman" w:hAnsi="Times New Roman" w:cs="Times New Roman"/>
          <w:sz w:val="28"/>
          <w:szCs w:val="28"/>
        </w:rPr>
        <w:t>d</w:t>
      </w:r>
      <w:r w:rsidRPr="002F3D0A">
        <w:rPr>
          <w:rFonts w:ascii="Times New Roman" w:hAnsi="Times New Roman" w:cs="Times New Roman"/>
          <w:sz w:val="28"/>
          <w:szCs w:val="28"/>
        </w:rPr>
        <w:t xml:space="preserve">, a partir de los cuales haré algunas reflexiones en defensa del carácter público de esa herramienta. </w:t>
      </w:r>
    </w:p>
    <w:p w:rsidR="0095299E" w:rsidRPr="002F3D0A" w:rsidRDefault="002F3D0A" w:rsidP="001D55EB">
      <w:pPr>
        <w:spacing w:after="0" w:line="240" w:lineRule="auto"/>
        <w:jc w:val="both"/>
        <w:rPr>
          <w:rFonts w:ascii="Times New Roman" w:hAnsi="Times New Roman" w:cs="Times New Roman"/>
          <w:sz w:val="28"/>
          <w:szCs w:val="28"/>
        </w:rPr>
      </w:pPr>
    </w:p>
    <w:p w:rsidR="00D7621C" w:rsidRPr="002F3D0A" w:rsidRDefault="002F3D0A" w:rsidP="00744DC4">
      <w:pPr>
        <w:pStyle w:val="Prrafodelista"/>
        <w:numPr>
          <w:ilvl w:val="0"/>
          <w:numId w:val="7"/>
        </w:numPr>
        <w:suppressAutoHyphens/>
        <w:spacing w:after="0" w:line="240" w:lineRule="auto"/>
        <w:ind w:left="426" w:hanging="426"/>
        <w:jc w:val="both"/>
        <w:rPr>
          <w:rFonts w:ascii="Times New Roman" w:hAnsi="Times New Roman" w:cs="Times New Roman"/>
          <w:sz w:val="28"/>
          <w:szCs w:val="28"/>
        </w:rPr>
      </w:pPr>
      <w:r w:rsidRPr="002F3D0A">
        <w:rPr>
          <w:rFonts w:ascii="Times New Roman" w:hAnsi="Times New Roman" w:cs="Times New Roman"/>
          <w:b/>
          <w:bCs/>
          <w:sz w:val="28"/>
          <w:szCs w:val="28"/>
        </w:rPr>
        <w:t>Algunos datos sobre la acción pública de inconstitucionalidad</w:t>
      </w:r>
    </w:p>
    <w:p w:rsidR="006A198F" w:rsidRPr="002F3D0A" w:rsidRDefault="002F3D0A" w:rsidP="00C83CC8">
      <w:pPr>
        <w:spacing w:after="0" w:line="240" w:lineRule="auto"/>
        <w:jc w:val="both"/>
        <w:rPr>
          <w:rFonts w:ascii="Times New Roman" w:hAnsi="Times New Roman" w:cs="Times New Roman"/>
          <w:sz w:val="28"/>
          <w:szCs w:val="28"/>
        </w:rPr>
      </w:pPr>
    </w:p>
    <w:p w:rsidR="00BD780C" w:rsidRPr="002F3D0A" w:rsidRDefault="002F3D0A" w:rsidP="00BD780C">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La evidencia muestra que, </w:t>
      </w:r>
      <w:r w:rsidRPr="002F3D0A">
        <w:rPr>
          <w:rFonts w:ascii="Times New Roman" w:hAnsi="Times New Roman" w:cs="Times New Roman"/>
          <w:sz w:val="28"/>
          <w:szCs w:val="28"/>
        </w:rPr>
        <w:t>aunque l</w:t>
      </w:r>
      <w:r w:rsidRPr="002F3D0A">
        <w:rPr>
          <w:rFonts w:ascii="Times New Roman" w:hAnsi="Times New Roman" w:cs="Times New Roman"/>
          <w:sz w:val="28"/>
          <w:szCs w:val="28"/>
        </w:rPr>
        <w:t>a acción</w:t>
      </w:r>
      <w:r w:rsidRPr="002F3D0A">
        <w:rPr>
          <w:rFonts w:ascii="Times New Roman" w:hAnsi="Times New Roman" w:cs="Times New Roman"/>
          <w:sz w:val="28"/>
          <w:szCs w:val="28"/>
        </w:rPr>
        <w:t xml:space="preserve"> de inconstitucionalidad</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no ha </w:t>
      </w:r>
      <w:r w:rsidRPr="002F3D0A">
        <w:rPr>
          <w:rFonts w:ascii="Times New Roman" w:hAnsi="Times New Roman" w:cs="Times New Roman"/>
          <w:sz w:val="28"/>
          <w:szCs w:val="28"/>
        </w:rPr>
        <w:t>deja</w:t>
      </w:r>
      <w:r w:rsidRPr="002F3D0A">
        <w:rPr>
          <w:rFonts w:ascii="Times New Roman" w:hAnsi="Times New Roman" w:cs="Times New Roman"/>
          <w:sz w:val="28"/>
          <w:szCs w:val="28"/>
        </w:rPr>
        <w:t>do</w:t>
      </w:r>
      <w:r w:rsidRPr="002F3D0A">
        <w:rPr>
          <w:rFonts w:ascii="Times New Roman" w:hAnsi="Times New Roman" w:cs="Times New Roman"/>
          <w:sz w:val="28"/>
          <w:szCs w:val="28"/>
        </w:rPr>
        <w:t xml:space="preserve"> de ser pública,</w:t>
      </w:r>
      <w:r w:rsidRPr="002F3D0A">
        <w:rPr>
          <w:rFonts w:ascii="Times New Roman" w:hAnsi="Times New Roman" w:cs="Times New Roman"/>
          <w:sz w:val="28"/>
          <w:szCs w:val="28"/>
        </w:rPr>
        <w:t xml:space="preserve"> en la práctica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lo más probable es que un</w:t>
      </w:r>
      <w:r w:rsidRPr="002F3D0A">
        <w:rPr>
          <w:rFonts w:ascii="Times New Roman" w:hAnsi="Times New Roman" w:cs="Times New Roman"/>
          <w:sz w:val="28"/>
          <w:szCs w:val="28"/>
        </w:rPr>
        <w:t xml:space="preserve"> ciudadano</w:t>
      </w:r>
      <w:r w:rsidRPr="002F3D0A">
        <w:rPr>
          <w:rFonts w:ascii="Times New Roman" w:hAnsi="Times New Roman" w:cs="Times New Roman"/>
          <w:sz w:val="28"/>
          <w:szCs w:val="28"/>
        </w:rPr>
        <w:t xml:space="preserve"> no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pue</w:t>
      </w:r>
      <w:r w:rsidRPr="002F3D0A">
        <w:rPr>
          <w:rFonts w:ascii="Times New Roman" w:hAnsi="Times New Roman" w:cs="Times New Roman"/>
          <w:sz w:val="28"/>
          <w:szCs w:val="28"/>
        </w:rPr>
        <w:t>d</w:t>
      </w:r>
      <w:r w:rsidRPr="002F3D0A">
        <w:rPr>
          <w:rFonts w:ascii="Times New Roman" w:hAnsi="Times New Roman" w:cs="Times New Roman"/>
          <w:sz w:val="28"/>
          <w:szCs w:val="28"/>
        </w:rPr>
        <w:t>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presentarla con</w:t>
      </w:r>
      <w:r w:rsidRPr="002F3D0A">
        <w:rPr>
          <w:rFonts w:ascii="Times New Roman" w:hAnsi="Times New Roman" w:cs="Times New Roman"/>
          <w:sz w:val="28"/>
          <w:szCs w:val="28"/>
        </w:rPr>
        <w:t xml:space="preserve"> la</w:t>
      </w:r>
      <w:r w:rsidRPr="002F3D0A">
        <w:rPr>
          <w:rFonts w:ascii="Times New Roman" w:hAnsi="Times New Roman" w:cs="Times New Roman"/>
          <w:sz w:val="28"/>
          <w:szCs w:val="28"/>
        </w:rPr>
        <w:t xml:space="preserve"> aptitud</w:t>
      </w:r>
      <w:r w:rsidRPr="002F3D0A">
        <w:rPr>
          <w:rFonts w:ascii="Times New Roman" w:hAnsi="Times New Roman" w:cs="Times New Roman"/>
          <w:sz w:val="28"/>
          <w:szCs w:val="28"/>
        </w:rPr>
        <w:t xml:space="preserve"> suficiente</w:t>
      </w:r>
      <w:r w:rsidRPr="002F3D0A">
        <w:rPr>
          <w:rFonts w:ascii="Times New Roman" w:hAnsi="Times New Roman" w:cs="Times New Roman"/>
          <w:sz w:val="28"/>
          <w:szCs w:val="28"/>
        </w:rPr>
        <w:t xml:space="preserve"> para que </w:t>
      </w:r>
      <w:r w:rsidRPr="002F3D0A">
        <w:rPr>
          <w:rFonts w:ascii="Times New Roman" w:hAnsi="Times New Roman" w:cs="Times New Roman"/>
          <w:sz w:val="28"/>
          <w:szCs w:val="28"/>
        </w:rPr>
        <w:t>la Corte</w:t>
      </w:r>
      <w:r w:rsidRPr="002F3D0A">
        <w:rPr>
          <w:rFonts w:ascii="Times New Roman" w:hAnsi="Times New Roman" w:cs="Times New Roman"/>
          <w:sz w:val="28"/>
          <w:szCs w:val="28"/>
        </w:rPr>
        <w:t xml:space="preserve"> Constitucional</w:t>
      </w:r>
      <w:r w:rsidRPr="002F3D0A">
        <w:rPr>
          <w:rFonts w:ascii="Times New Roman" w:hAnsi="Times New Roman" w:cs="Times New Roman"/>
          <w:sz w:val="28"/>
          <w:szCs w:val="28"/>
        </w:rPr>
        <w:t xml:space="preserve"> l</w:t>
      </w:r>
      <w:r w:rsidRPr="002F3D0A">
        <w:rPr>
          <w:rFonts w:ascii="Times New Roman" w:hAnsi="Times New Roman" w:cs="Times New Roman"/>
          <w:sz w:val="28"/>
          <w:szCs w:val="28"/>
        </w:rPr>
        <w:t xml:space="preserve">a admita </w:t>
      </w:r>
      <w:r w:rsidRPr="002F3D0A">
        <w:rPr>
          <w:rFonts w:ascii="Times New Roman" w:hAnsi="Times New Roman" w:cs="Times New Roman"/>
          <w:sz w:val="28"/>
          <w:szCs w:val="28"/>
        </w:rPr>
        <w:t>y</w:t>
      </w:r>
      <w:r w:rsidRPr="002F3D0A">
        <w:rPr>
          <w:rFonts w:ascii="Times New Roman" w:hAnsi="Times New Roman" w:cs="Times New Roman"/>
          <w:sz w:val="28"/>
          <w:szCs w:val="28"/>
        </w:rPr>
        <w:t xml:space="preserve"> resuel</w:t>
      </w:r>
      <w:r w:rsidRPr="002F3D0A">
        <w:rPr>
          <w:rFonts w:ascii="Times New Roman" w:hAnsi="Times New Roman" w:cs="Times New Roman"/>
          <w:sz w:val="28"/>
          <w:szCs w:val="28"/>
        </w:rPr>
        <w:t>v</w:t>
      </w:r>
      <w:r w:rsidRPr="002F3D0A">
        <w:rPr>
          <w:rFonts w:ascii="Times New Roman" w:hAnsi="Times New Roman" w:cs="Times New Roman"/>
          <w:sz w:val="28"/>
          <w:szCs w:val="28"/>
        </w:rPr>
        <w:t>a de fondo</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Sin desconocer que</w:t>
      </w:r>
      <w:r w:rsidRPr="002F3D0A">
        <w:rPr>
          <w:rFonts w:ascii="Times New Roman" w:hAnsi="Times New Roman" w:cs="Times New Roman"/>
          <w:sz w:val="28"/>
          <w:szCs w:val="28"/>
        </w:rPr>
        <w:t xml:space="preserve"> pueden</w:t>
      </w:r>
      <w:r w:rsidRPr="002F3D0A">
        <w:rPr>
          <w:rFonts w:ascii="Times New Roman" w:hAnsi="Times New Roman" w:cs="Times New Roman"/>
          <w:sz w:val="28"/>
          <w:szCs w:val="28"/>
        </w:rPr>
        <w:t xml:space="preserve"> conflu</w:t>
      </w:r>
      <w:r w:rsidRPr="002F3D0A">
        <w:rPr>
          <w:rFonts w:ascii="Times New Roman" w:hAnsi="Times New Roman" w:cs="Times New Roman"/>
          <w:sz w:val="28"/>
          <w:szCs w:val="28"/>
        </w:rPr>
        <w:t>ir</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factores adicionales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considero que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la situación descrita </w:t>
      </w:r>
      <w:r w:rsidRPr="002F3D0A">
        <w:rPr>
          <w:rFonts w:ascii="Times New Roman" w:hAnsi="Times New Roman" w:cs="Times New Roman"/>
          <w:sz w:val="28"/>
          <w:szCs w:val="28"/>
        </w:rPr>
        <w:t>obedece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en gran parte a</w:t>
      </w:r>
      <w:r w:rsidRPr="002F3D0A">
        <w:rPr>
          <w:rFonts w:ascii="Times New Roman" w:hAnsi="Times New Roman" w:cs="Times New Roman"/>
          <w:sz w:val="28"/>
          <w:szCs w:val="28"/>
        </w:rPr>
        <w:t xml:space="preserve"> un proceso creciente de tecnificación en el entendimiento de la aptitud de las demandas de inconstitucionalidad</w:t>
      </w:r>
      <w:r w:rsidRPr="002F3D0A">
        <w:rPr>
          <w:rFonts w:ascii="Times New Roman" w:hAnsi="Times New Roman" w:cs="Times New Roman"/>
          <w:sz w:val="28"/>
          <w:szCs w:val="28"/>
        </w:rPr>
        <w:t>, el cual</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no se ha acompañado del desarrollo de</w:t>
      </w:r>
      <w:r w:rsidRPr="002F3D0A">
        <w:rPr>
          <w:rFonts w:ascii="Times New Roman" w:hAnsi="Times New Roman" w:cs="Times New Roman"/>
          <w:sz w:val="28"/>
          <w:szCs w:val="28"/>
        </w:rPr>
        <w:t xml:space="preserve"> herramientas pedagógicas idóneas para que la ciudad</w:t>
      </w:r>
      <w:r w:rsidRPr="002F3D0A">
        <w:rPr>
          <w:rFonts w:ascii="Times New Roman" w:hAnsi="Times New Roman" w:cs="Times New Roman"/>
          <w:sz w:val="28"/>
          <w:szCs w:val="28"/>
        </w:rPr>
        <w:t>anía entienda las categorías jurídicas involucradas en el análisis de aptitud de las demandas. La tecnificación a la que me refiero se constata a partir no solo de un análisis cualitativo de la jurisprudencia en la materia, sino también de los datos dispon</w:t>
      </w:r>
      <w:r w:rsidRPr="002F3D0A">
        <w:rPr>
          <w:rFonts w:ascii="Times New Roman" w:hAnsi="Times New Roman" w:cs="Times New Roman"/>
          <w:sz w:val="28"/>
          <w:szCs w:val="28"/>
        </w:rPr>
        <w:t>ibles sobre las prácticas relacionadas de esta Corporación.</w:t>
      </w:r>
    </w:p>
    <w:p w:rsidR="00DA5E7D" w:rsidRPr="002F3D0A" w:rsidRDefault="002F3D0A" w:rsidP="00C83CC8">
      <w:pPr>
        <w:spacing w:after="0" w:line="240" w:lineRule="auto"/>
        <w:jc w:val="both"/>
        <w:rPr>
          <w:rFonts w:ascii="Times New Roman" w:hAnsi="Times New Roman" w:cs="Times New Roman"/>
          <w:sz w:val="28"/>
          <w:szCs w:val="28"/>
        </w:rPr>
      </w:pPr>
    </w:p>
    <w:p w:rsidR="0041716F" w:rsidRPr="002F3D0A" w:rsidRDefault="002F3D0A" w:rsidP="00C83CC8">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En el plano cualitativo, es </w:t>
      </w:r>
      <w:r w:rsidRPr="002F3D0A">
        <w:rPr>
          <w:rFonts w:ascii="Times New Roman" w:hAnsi="Times New Roman" w:cs="Times New Roman"/>
          <w:sz w:val="28"/>
          <w:szCs w:val="28"/>
        </w:rPr>
        <w:t>ilustrativo</w:t>
      </w:r>
      <w:r w:rsidRPr="002F3D0A">
        <w:rPr>
          <w:rFonts w:ascii="Times New Roman" w:hAnsi="Times New Roman" w:cs="Times New Roman"/>
          <w:sz w:val="28"/>
          <w:szCs w:val="28"/>
        </w:rPr>
        <w:t xml:space="preserve"> comprobar</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que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a veces,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ni siquiera expertos en derecho constitucional o en el campo en el cual se inscriben las normas demandadas logran provocar un fallo</w:t>
      </w:r>
      <w:r w:rsidRPr="002F3D0A">
        <w:rPr>
          <w:rFonts w:ascii="Times New Roman" w:hAnsi="Times New Roman" w:cs="Times New Roman"/>
          <w:sz w:val="28"/>
          <w:szCs w:val="28"/>
        </w:rPr>
        <w:t xml:space="preserve"> de mérito sobre sus acusaciones</w:t>
      </w:r>
      <w:r w:rsidRPr="002F3D0A">
        <w:rPr>
          <w:rFonts w:ascii="Times New Roman" w:hAnsi="Times New Roman" w:cs="Times New Roman"/>
          <w:sz w:val="28"/>
          <w:szCs w:val="28"/>
        </w:rPr>
        <w:t>, pese a presentar problemas comprensibles</w:t>
      </w:r>
      <w:r w:rsidRPr="002F3D0A">
        <w:rPr>
          <w:rFonts w:ascii="Times New Roman" w:hAnsi="Times New Roman" w:cs="Times New Roman"/>
          <w:sz w:val="28"/>
          <w:szCs w:val="28"/>
        </w:rPr>
        <w:t xml:space="preserve"> y acuciantes</w:t>
      </w:r>
      <w:r w:rsidRPr="002F3D0A">
        <w:rPr>
          <w:rFonts w:ascii="Times New Roman" w:hAnsi="Times New Roman" w:cs="Times New Roman"/>
          <w:sz w:val="28"/>
          <w:szCs w:val="28"/>
        </w:rPr>
        <w:t xml:space="preserve"> de constitucionalidad de la legislación</w:t>
      </w:r>
      <w:r w:rsidRPr="002F3D0A">
        <w:rPr>
          <w:rStyle w:val="Refdenotaalpie"/>
          <w:rFonts w:ascii="Times New Roman" w:hAnsi="Times New Roman" w:cs="Times New Roman"/>
          <w:sz w:val="28"/>
          <w:szCs w:val="28"/>
        </w:rPr>
        <w:footnoteReference w:id="71"/>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Al margen de ello,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en la actualidad </w:t>
      </w:r>
      <w:r w:rsidRPr="002F3D0A">
        <w:rPr>
          <w:rFonts w:ascii="Times New Roman" w:hAnsi="Times New Roman" w:cs="Times New Roman"/>
          <w:sz w:val="28"/>
          <w:szCs w:val="28"/>
        </w:rPr>
        <w:t xml:space="preserve">para definir si una demanda es apta </w:t>
      </w:r>
      <w:r w:rsidRPr="002F3D0A">
        <w:rPr>
          <w:rFonts w:ascii="Times New Roman" w:hAnsi="Times New Roman" w:cs="Times New Roman"/>
          <w:sz w:val="28"/>
          <w:szCs w:val="28"/>
        </w:rPr>
        <w:t>no solo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existe</w:t>
      </w:r>
      <w:r w:rsidRPr="002F3D0A">
        <w:rPr>
          <w:rFonts w:ascii="Times New Roman" w:hAnsi="Times New Roman" w:cs="Times New Roman"/>
          <w:sz w:val="28"/>
          <w:szCs w:val="28"/>
        </w:rPr>
        <w:t xml:space="preserve">n </w:t>
      </w:r>
      <w:r w:rsidRPr="002F3D0A">
        <w:rPr>
          <w:rFonts w:ascii="Times New Roman" w:hAnsi="Times New Roman" w:cs="Times New Roman"/>
          <w:sz w:val="28"/>
          <w:szCs w:val="28"/>
        </w:rPr>
        <w:t>las cinco</w:t>
      </w:r>
      <w:r w:rsidRPr="002F3D0A">
        <w:rPr>
          <w:rFonts w:ascii="Times New Roman" w:hAnsi="Times New Roman" w:cs="Times New Roman"/>
          <w:sz w:val="28"/>
          <w:szCs w:val="28"/>
        </w:rPr>
        <w:t xml:space="preserve"> categorías especializadas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(claridad, certeza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pertinencia, suficiencia</w:t>
      </w:r>
      <w:r w:rsidRPr="002F3D0A">
        <w:rPr>
          <w:rFonts w:ascii="Times New Roman" w:hAnsi="Times New Roman" w:cs="Times New Roman"/>
          <w:sz w:val="28"/>
          <w:szCs w:val="28"/>
        </w:rPr>
        <w:t xml:space="preserve"> y</w:t>
      </w:r>
      <w:r w:rsidRPr="002F3D0A">
        <w:rPr>
          <w:rFonts w:ascii="Times New Roman" w:hAnsi="Times New Roman" w:cs="Times New Roman"/>
          <w:sz w:val="28"/>
          <w:szCs w:val="28"/>
        </w:rPr>
        <w:t xml:space="preserve"> especificidad), </w:t>
      </w:r>
      <w:r w:rsidRPr="002F3D0A">
        <w:rPr>
          <w:rFonts w:ascii="Times New Roman" w:hAnsi="Times New Roman" w:cs="Times New Roman"/>
          <w:sz w:val="28"/>
          <w:szCs w:val="28"/>
        </w:rPr>
        <w:t>sino que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en ocasiones se les exige a los accionantes incorporar a sus razonamientos la jurisprudencia constitucional, y tener en cuenta una cantidad compleja de variables jurisprudenciales, par</w:t>
      </w:r>
      <w:r w:rsidRPr="002F3D0A">
        <w:rPr>
          <w:rFonts w:ascii="Times New Roman" w:hAnsi="Times New Roman" w:cs="Times New Roman"/>
          <w:sz w:val="28"/>
          <w:szCs w:val="28"/>
        </w:rPr>
        <w:t xml:space="preserve">a lo cual aquellos deben naturalmente interpretar decisiones judiciales, lo que implica una técnica jurídica especial. </w:t>
      </w:r>
    </w:p>
    <w:p w:rsidR="0041716F" w:rsidRPr="002F3D0A" w:rsidRDefault="002F3D0A" w:rsidP="00C83CC8">
      <w:pPr>
        <w:spacing w:after="0" w:line="240" w:lineRule="auto"/>
        <w:jc w:val="both"/>
        <w:rPr>
          <w:rFonts w:ascii="Times New Roman" w:hAnsi="Times New Roman" w:cs="Times New Roman"/>
          <w:sz w:val="28"/>
          <w:szCs w:val="28"/>
        </w:rPr>
      </w:pPr>
    </w:p>
    <w:p w:rsidR="004E05C8" w:rsidRPr="002F3D0A" w:rsidRDefault="002F3D0A" w:rsidP="00BD780C">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De manera similar, </w:t>
      </w:r>
      <w:r w:rsidRPr="002F3D0A">
        <w:rPr>
          <w:rFonts w:ascii="Times New Roman" w:hAnsi="Times New Roman" w:cs="Times New Roman"/>
          <w:sz w:val="28"/>
          <w:szCs w:val="28"/>
        </w:rPr>
        <w:t>con frecuencia</w:t>
      </w:r>
      <w:r w:rsidRPr="002F3D0A">
        <w:rPr>
          <w:rFonts w:ascii="Times New Roman" w:hAnsi="Times New Roman" w:cs="Times New Roman"/>
          <w:sz w:val="28"/>
          <w:szCs w:val="28"/>
        </w:rPr>
        <w:t xml:space="preserve"> también</w:t>
      </w:r>
      <w:r w:rsidRPr="002F3D0A">
        <w:rPr>
          <w:rFonts w:ascii="Times New Roman" w:hAnsi="Times New Roman" w:cs="Times New Roman"/>
          <w:sz w:val="28"/>
          <w:szCs w:val="28"/>
        </w:rPr>
        <w:t xml:space="preserve"> se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exige </w:t>
      </w:r>
      <w:r w:rsidRPr="002F3D0A">
        <w:rPr>
          <w:rFonts w:ascii="Times New Roman" w:hAnsi="Times New Roman" w:cs="Times New Roman"/>
          <w:sz w:val="28"/>
          <w:szCs w:val="28"/>
        </w:rPr>
        <w:t xml:space="preserve">el conocimiento de una serie de juicios, test y metodologías judiciales </w:t>
      </w:r>
      <w:r w:rsidRPr="002F3D0A">
        <w:rPr>
          <w:rFonts w:ascii="Times New Roman" w:hAnsi="Times New Roman" w:cs="Times New Roman"/>
          <w:sz w:val="28"/>
          <w:szCs w:val="28"/>
        </w:rPr>
        <w:t xml:space="preserve">cuya </w:t>
      </w:r>
      <w:r w:rsidRPr="002F3D0A">
        <w:rPr>
          <w:rFonts w:ascii="Times New Roman" w:hAnsi="Times New Roman" w:cs="Times New Roman"/>
          <w:sz w:val="28"/>
          <w:szCs w:val="28"/>
        </w:rPr>
        <w:t xml:space="preserve">comprensión y </w:t>
      </w:r>
      <w:r w:rsidRPr="002F3D0A">
        <w:rPr>
          <w:rFonts w:ascii="Times New Roman" w:hAnsi="Times New Roman" w:cs="Times New Roman"/>
          <w:sz w:val="28"/>
          <w:szCs w:val="28"/>
        </w:rPr>
        <w:t xml:space="preserve">aplicación </w:t>
      </w:r>
      <w:r w:rsidRPr="002F3D0A">
        <w:rPr>
          <w:rFonts w:ascii="Times New Roman" w:hAnsi="Times New Roman" w:cs="Times New Roman"/>
          <w:sz w:val="28"/>
          <w:szCs w:val="28"/>
        </w:rPr>
        <w:t>son</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difíciles</w:t>
      </w:r>
      <w:r w:rsidRPr="002F3D0A">
        <w:rPr>
          <w:rFonts w:ascii="Times New Roman" w:hAnsi="Times New Roman" w:cs="Times New Roman"/>
          <w:sz w:val="28"/>
          <w:szCs w:val="28"/>
        </w:rPr>
        <w:t xml:space="preserve"> y contenciosas</w:t>
      </w:r>
      <w:r w:rsidRPr="002F3D0A">
        <w:rPr>
          <w:rFonts w:ascii="Times New Roman" w:hAnsi="Times New Roman" w:cs="Times New Roman"/>
          <w:sz w:val="28"/>
          <w:szCs w:val="28"/>
        </w:rPr>
        <w:t xml:space="preserve">, incluso </w:t>
      </w:r>
      <w:r w:rsidRPr="002F3D0A">
        <w:rPr>
          <w:rFonts w:ascii="Times New Roman" w:hAnsi="Times New Roman" w:cs="Times New Roman"/>
          <w:sz w:val="28"/>
          <w:szCs w:val="28"/>
        </w:rPr>
        <w:t>dentro de</w:t>
      </w:r>
      <w:r w:rsidRPr="002F3D0A">
        <w:rPr>
          <w:rFonts w:ascii="Times New Roman" w:hAnsi="Times New Roman" w:cs="Times New Roman"/>
          <w:sz w:val="28"/>
          <w:szCs w:val="28"/>
        </w:rPr>
        <w:t xml:space="preserve"> la Corte</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como</w:t>
      </w:r>
      <w:r w:rsidRPr="002F3D0A">
        <w:rPr>
          <w:rFonts w:ascii="Times New Roman" w:hAnsi="Times New Roman" w:cs="Times New Roman"/>
          <w:sz w:val="28"/>
          <w:szCs w:val="28"/>
        </w:rPr>
        <w:t xml:space="preserve"> ocurre con</w:t>
      </w:r>
      <w:r w:rsidRPr="002F3D0A">
        <w:rPr>
          <w:rFonts w:ascii="Times New Roman" w:hAnsi="Times New Roman" w:cs="Times New Roman"/>
          <w:sz w:val="28"/>
          <w:szCs w:val="28"/>
        </w:rPr>
        <w:t xml:space="preserve"> los juicios de razonabilidad</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de</w:t>
      </w:r>
      <w:r w:rsidRPr="002F3D0A">
        <w:rPr>
          <w:rFonts w:ascii="Times New Roman" w:hAnsi="Times New Roman" w:cs="Times New Roman"/>
          <w:sz w:val="28"/>
          <w:szCs w:val="28"/>
        </w:rPr>
        <w:t xml:space="preserve"> omisión legislativa relativa</w:t>
      </w:r>
      <w:r w:rsidRPr="002F3D0A">
        <w:rPr>
          <w:rFonts w:ascii="Times New Roman" w:hAnsi="Times New Roman" w:cs="Times New Roman"/>
          <w:sz w:val="28"/>
          <w:szCs w:val="28"/>
        </w:rPr>
        <w:t xml:space="preserve"> o de igualdad.</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Así, por ejemplo,</w:t>
      </w:r>
      <w:r w:rsidRPr="002F3D0A">
        <w:rPr>
          <w:rFonts w:ascii="Times New Roman" w:hAnsi="Times New Roman" w:cs="Times New Roman"/>
          <w:sz w:val="28"/>
          <w:szCs w:val="28"/>
        </w:rPr>
        <w:t xml:space="preserve"> conforme a la jurisprudencia constitucional</w:t>
      </w:r>
      <w:r w:rsidRPr="002F3D0A">
        <w:rPr>
          <w:rFonts w:ascii="Times New Roman" w:hAnsi="Times New Roman" w:cs="Times New Roman"/>
          <w:sz w:val="28"/>
          <w:szCs w:val="28"/>
        </w:rPr>
        <w:t xml:space="preserve"> vigente</w:t>
      </w:r>
      <w:r w:rsidRPr="002F3D0A">
        <w:rPr>
          <w:rStyle w:val="Refdenotaalpie"/>
          <w:rFonts w:ascii="Times New Roman" w:hAnsi="Times New Roman" w:cs="Times New Roman"/>
          <w:bCs/>
          <w:sz w:val="28"/>
          <w:szCs w:val="28"/>
          <w:lang w:eastAsia="es-ES"/>
        </w:rPr>
        <w:footnoteReference w:id="72"/>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para </w:t>
      </w:r>
      <w:r w:rsidRPr="002F3D0A">
        <w:rPr>
          <w:rFonts w:ascii="Times New Roman" w:hAnsi="Times New Roman" w:cs="Times New Roman"/>
          <w:sz w:val="28"/>
          <w:szCs w:val="28"/>
        </w:rPr>
        <w:t xml:space="preserve">plantear un cargo apto por la vulneración del artículo 13 de la Constitución, en la actualidad el accionante no sólo debe cumplir las cargas argumentativas mínimas que se exigen a cualquier demandante, sino que </w:t>
      </w:r>
      <w:r w:rsidRPr="002F3D0A">
        <w:rPr>
          <w:rFonts w:ascii="Times New Roman" w:hAnsi="Times New Roman" w:cs="Times New Roman"/>
          <w:sz w:val="28"/>
          <w:szCs w:val="28"/>
        </w:rPr>
        <w:t>también</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debe</w:t>
      </w:r>
      <w:r w:rsidRPr="002F3D0A">
        <w:rPr>
          <w:rFonts w:ascii="Times New Roman" w:hAnsi="Times New Roman" w:cs="Times New Roman"/>
          <w:sz w:val="28"/>
          <w:szCs w:val="28"/>
        </w:rPr>
        <w:t>: (i) identificar los sujetos o e</w:t>
      </w:r>
      <w:r w:rsidRPr="002F3D0A">
        <w:rPr>
          <w:rFonts w:ascii="Times New Roman" w:hAnsi="Times New Roman" w:cs="Times New Roman"/>
          <w:sz w:val="28"/>
          <w:szCs w:val="28"/>
        </w:rPr>
        <w:t>lementos de comparación, (ii) explicar porque dichas personas o elementos son comparables y (iii) demostrar a partir de razones constitucionales</w:t>
      </w:r>
      <w:r w:rsidRPr="002F3D0A">
        <w:rPr>
          <w:rFonts w:ascii="Times New Roman" w:hAnsi="Times New Roman" w:cs="Times New Roman"/>
          <w:bCs/>
          <w:sz w:val="28"/>
          <w:szCs w:val="28"/>
          <w:lang w:val="es-US" w:eastAsia="es-ES"/>
        </w:rPr>
        <w:t xml:space="preserve"> por qué el presunto trato discriminatorio, que puede materializarse en un tratamiento igual a los diferentes o </w:t>
      </w:r>
      <w:r w:rsidRPr="002F3D0A">
        <w:rPr>
          <w:rFonts w:ascii="Times New Roman" w:hAnsi="Times New Roman" w:cs="Times New Roman"/>
          <w:bCs/>
          <w:sz w:val="28"/>
          <w:szCs w:val="28"/>
          <w:lang w:val="es-US" w:eastAsia="es-ES"/>
        </w:rPr>
        <w:t xml:space="preserve">en un tratamiento diferente a los iguales, </w:t>
      </w:r>
      <w:r w:rsidRPr="002F3D0A">
        <w:rPr>
          <w:rFonts w:ascii="Times New Roman" w:hAnsi="Times New Roman" w:cs="Times New Roman"/>
          <w:bCs/>
          <w:sz w:val="28"/>
          <w:szCs w:val="28"/>
          <w:lang w:val="es-US" w:eastAsia="es-ES"/>
        </w:rPr>
        <w:t>carece de fundamento constitucional</w:t>
      </w:r>
      <w:r w:rsidRPr="002F3D0A">
        <w:rPr>
          <w:rFonts w:ascii="Times New Roman" w:hAnsi="Times New Roman" w:cs="Times New Roman"/>
          <w:bCs/>
          <w:sz w:val="28"/>
          <w:szCs w:val="28"/>
          <w:lang w:val="es-US" w:eastAsia="es-ES"/>
        </w:rPr>
        <w:t xml:space="preserve">. </w:t>
      </w:r>
    </w:p>
    <w:p w:rsidR="00127458" w:rsidRPr="002F3D0A" w:rsidRDefault="002F3D0A" w:rsidP="00C272A5">
      <w:pPr>
        <w:spacing w:after="0" w:line="240" w:lineRule="auto"/>
        <w:jc w:val="both"/>
        <w:rPr>
          <w:rFonts w:ascii="Times New Roman" w:hAnsi="Times New Roman" w:cs="Times New Roman"/>
          <w:sz w:val="28"/>
          <w:szCs w:val="28"/>
        </w:rPr>
      </w:pPr>
    </w:p>
    <w:p w:rsidR="009D7144" w:rsidRPr="002F3D0A" w:rsidRDefault="002F3D0A" w:rsidP="00127458">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Asimismo, d</w:t>
      </w:r>
      <w:r w:rsidRPr="002F3D0A">
        <w:rPr>
          <w:rFonts w:ascii="Times New Roman" w:hAnsi="Times New Roman" w:cs="Times New Roman"/>
          <w:sz w:val="28"/>
          <w:szCs w:val="28"/>
        </w:rPr>
        <w:t xml:space="preserve">esde la perspectiva cualitativa, </w:t>
      </w:r>
      <w:r w:rsidRPr="002F3D0A">
        <w:rPr>
          <w:rFonts w:ascii="Times New Roman" w:hAnsi="Times New Roman" w:cs="Times New Roman"/>
          <w:sz w:val="28"/>
          <w:szCs w:val="28"/>
        </w:rPr>
        <w:t>es</w:t>
      </w:r>
      <w:r w:rsidRPr="002F3D0A">
        <w:rPr>
          <w:rFonts w:ascii="Times New Roman" w:hAnsi="Times New Roman" w:cs="Times New Roman"/>
          <w:sz w:val="28"/>
          <w:szCs w:val="28"/>
        </w:rPr>
        <w:t xml:space="preserve"> diciente</w:t>
      </w:r>
      <w:r w:rsidRPr="002F3D0A">
        <w:rPr>
          <w:rFonts w:ascii="Times New Roman" w:hAnsi="Times New Roman" w:cs="Times New Roman"/>
          <w:sz w:val="28"/>
          <w:szCs w:val="28"/>
        </w:rPr>
        <w:t xml:space="preserve"> que </w:t>
      </w:r>
      <w:r w:rsidRPr="002F3D0A">
        <w:rPr>
          <w:rFonts w:ascii="Times New Roman" w:hAnsi="Times New Roman" w:cs="Times New Roman"/>
          <w:sz w:val="28"/>
          <w:szCs w:val="28"/>
        </w:rPr>
        <w:t>la Sala Plena dedi</w:t>
      </w:r>
      <w:r w:rsidRPr="002F3D0A">
        <w:rPr>
          <w:rFonts w:ascii="Times New Roman" w:hAnsi="Times New Roman" w:cs="Times New Roman"/>
          <w:sz w:val="28"/>
          <w:szCs w:val="28"/>
        </w:rPr>
        <w:t>que</w:t>
      </w:r>
      <w:r w:rsidRPr="002F3D0A">
        <w:rPr>
          <w:rFonts w:ascii="Times New Roman" w:hAnsi="Times New Roman" w:cs="Times New Roman"/>
          <w:sz w:val="28"/>
          <w:szCs w:val="28"/>
        </w:rPr>
        <w:t xml:space="preserve"> parte importante de su tiempo</w:t>
      </w:r>
      <w:r w:rsidRPr="002F3D0A">
        <w:rPr>
          <w:rFonts w:ascii="Times New Roman" w:hAnsi="Times New Roman" w:cs="Times New Roman"/>
          <w:sz w:val="28"/>
          <w:szCs w:val="28"/>
        </w:rPr>
        <w:t xml:space="preserve"> a discutir si </w:t>
      </w:r>
      <w:r w:rsidRPr="002F3D0A">
        <w:rPr>
          <w:rFonts w:ascii="Times New Roman" w:hAnsi="Times New Roman" w:cs="Times New Roman"/>
          <w:sz w:val="28"/>
          <w:szCs w:val="28"/>
        </w:rPr>
        <w:t xml:space="preserve">las acciones públicas de inconstitucionalidad </w:t>
      </w:r>
      <w:r w:rsidRPr="002F3D0A">
        <w:rPr>
          <w:rFonts w:ascii="Times New Roman" w:hAnsi="Times New Roman" w:cs="Times New Roman"/>
          <w:sz w:val="28"/>
          <w:szCs w:val="28"/>
        </w:rPr>
        <w:t>ya</w:t>
      </w:r>
      <w:r w:rsidRPr="002F3D0A">
        <w:rPr>
          <w:rFonts w:ascii="Times New Roman" w:hAnsi="Times New Roman" w:cs="Times New Roman"/>
          <w:sz w:val="28"/>
          <w:szCs w:val="28"/>
        </w:rPr>
        <w:t xml:space="preserve"> admitidas</w:t>
      </w:r>
      <w:r w:rsidRPr="002F3D0A">
        <w:rPr>
          <w:rFonts w:ascii="Times New Roman" w:hAnsi="Times New Roman" w:cs="Times New Roman"/>
          <w:sz w:val="28"/>
          <w:szCs w:val="28"/>
        </w:rPr>
        <w:t xml:space="preserve"> cumplen o no los requisitos de aptitud sustantiva</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L</w:t>
      </w:r>
      <w:r w:rsidRPr="002F3D0A">
        <w:rPr>
          <w:rFonts w:ascii="Times New Roman" w:hAnsi="Times New Roman" w:cs="Times New Roman"/>
          <w:sz w:val="28"/>
          <w:szCs w:val="28"/>
        </w:rPr>
        <w:t>os</w:t>
      </w:r>
      <w:r w:rsidRPr="002F3D0A">
        <w:rPr>
          <w:rFonts w:ascii="Times New Roman" w:hAnsi="Times New Roman" w:cs="Times New Roman"/>
          <w:sz w:val="28"/>
          <w:szCs w:val="28"/>
        </w:rPr>
        <w:t xml:space="preserve"> debates</w:t>
      </w:r>
      <w:r w:rsidRPr="002F3D0A">
        <w:rPr>
          <w:rFonts w:ascii="Times New Roman" w:hAnsi="Times New Roman" w:cs="Times New Roman"/>
          <w:sz w:val="28"/>
          <w:szCs w:val="28"/>
        </w:rPr>
        <w:t xml:space="preserve"> sobre si la Corte debe o no inhibirse p</w:t>
      </w:r>
      <w:r w:rsidRPr="002F3D0A">
        <w:rPr>
          <w:rFonts w:ascii="Times New Roman" w:hAnsi="Times New Roman" w:cs="Times New Roman"/>
          <w:sz w:val="28"/>
          <w:szCs w:val="28"/>
        </w:rPr>
        <w:t xml:space="preserve">or esa causa </w:t>
      </w:r>
      <w:r w:rsidRPr="002F3D0A">
        <w:rPr>
          <w:rFonts w:ascii="Times New Roman" w:hAnsi="Times New Roman" w:cs="Times New Roman"/>
          <w:sz w:val="28"/>
          <w:szCs w:val="28"/>
        </w:rPr>
        <w:t xml:space="preserve">son </w:t>
      </w:r>
      <w:r w:rsidRPr="002F3D0A">
        <w:rPr>
          <w:rFonts w:ascii="Times New Roman" w:hAnsi="Times New Roman" w:cs="Times New Roman"/>
          <w:sz w:val="28"/>
          <w:szCs w:val="28"/>
        </w:rPr>
        <w:t>frecuentes</w:t>
      </w:r>
      <w:r w:rsidRPr="002F3D0A">
        <w:rPr>
          <w:rFonts w:ascii="Times New Roman" w:hAnsi="Times New Roman" w:cs="Times New Roman"/>
          <w:sz w:val="28"/>
          <w:szCs w:val="28"/>
        </w:rPr>
        <w:t>, largos</w:t>
      </w:r>
      <w:r w:rsidRPr="002F3D0A">
        <w:rPr>
          <w:rFonts w:ascii="Times New Roman" w:hAnsi="Times New Roman" w:cs="Times New Roman"/>
          <w:sz w:val="28"/>
          <w:szCs w:val="28"/>
        </w:rPr>
        <w:t xml:space="preserve"> y</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muchos de ellos son</w:t>
      </w:r>
      <w:r w:rsidRPr="002F3D0A">
        <w:rPr>
          <w:rFonts w:ascii="Times New Roman" w:hAnsi="Times New Roman" w:cs="Times New Roman"/>
          <w:sz w:val="28"/>
          <w:szCs w:val="28"/>
        </w:rPr>
        <w:t xml:space="preserve"> contenciosos porque las magistradas y los magistrados solemos tener posiciones encont</w:t>
      </w:r>
      <w:r w:rsidRPr="002F3D0A">
        <w:rPr>
          <w:rFonts w:ascii="Times New Roman" w:hAnsi="Times New Roman" w:cs="Times New Roman"/>
          <w:sz w:val="28"/>
          <w:szCs w:val="28"/>
        </w:rPr>
        <w:t xml:space="preserve">radas sobre cómo se traduce el cumplimiento o incumplimiento de </w:t>
      </w:r>
      <w:r w:rsidRPr="002F3D0A">
        <w:rPr>
          <w:rFonts w:ascii="Times New Roman" w:hAnsi="Times New Roman" w:cs="Times New Roman"/>
          <w:sz w:val="28"/>
          <w:szCs w:val="28"/>
        </w:rPr>
        <w:t xml:space="preserve">los </w:t>
      </w:r>
      <w:r w:rsidRPr="002F3D0A">
        <w:rPr>
          <w:rFonts w:ascii="Times New Roman" w:hAnsi="Times New Roman" w:cs="Times New Roman"/>
          <w:sz w:val="28"/>
          <w:szCs w:val="28"/>
        </w:rPr>
        <w:t>requisitos</w:t>
      </w:r>
      <w:r w:rsidRPr="002F3D0A">
        <w:rPr>
          <w:rFonts w:ascii="Times New Roman" w:hAnsi="Times New Roman" w:cs="Times New Roman"/>
          <w:sz w:val="28"/>
          <w:szCs w:val="28"/>
        </w:rPr>
        <w:t xml:space="preserve"> de aptitud</w:t>
      </w:r>
      <w:r w:rsidRPr="002F3D0A">
        <w:rPr>
          <w:rFonts w:ascii="Times New Roman" w:hAnsi="Times New Roman" w:cs="Times New Roman"/>
          <w:sz w:val="28"/>
          <w:szCs w:val="28"/>
        </w:rPr>
        <w:t xml:space="preserve"> en el caso concreto</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La situación descrita</w:t>
      </w:r>
      <w:r w:rsidRPr="002F3D0A">
        <w:rPr>
          <w:rFonts w:ascii="Times New Roman" w:hAnsi="Times New Roman" w:cs="Times New Roman"/>
          <w:sz w:val="28"/>
          <w:szCs w:val="28"/>
        </w:rPr>
        <w:t xml:space="preserve"> se agrava cuando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se analizan demandas en las que el ciudadano debe cumplir </w:t>
      </w:r>
      <w:r w:rsidRPr="002F3D0A">
        <w:rPr>
          <w:rFonts w:ascii="Times New Roman" w:hAnsi="Times New Roman" w:cs="Times New Roman"/>
          <w:sz w:val="28"/>
          <w:szCs w:val="28"/>
        </w:rPr>
        <w:t>cargas argumentativas adicionales como sucede, p</w:t>
      </w:r>
      <w:r w:rsidRPr="002F3D0A">
        <w:rPr>
          <w:rFonts w:ascii="Times New Roman" w:hAnsi="Times New Roman" w:cs="Times New Roman"/>
          <w:sz w:val="28"/>
          <w:szCs w:val="28"/>
        </w:rPr>
        <w:t xml:space="preserve">or ejemplo, </w:t>
      </w:r>
      <w:r w:rsidRPr="002F3D0A">
        <w:rPr>
          <w:rFonts w:ascii="Times New Roman" w:hAnsi="Times New Roman" w:cs="Times New Roman"/>
          <w:sz w:val="28"/>
          <w:szCs w:val="28"/>
        </w:rPr>
        <w:t>con los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cargo</w:t>
      </w:r>
      <w:r w:rsidRPr="002F3D0A">
        <w:rPr>
          <w:rFonts w:ascii="Times New Roman" w:hAnsi="Times New Roman" w:cs="Times New Roman"/>
          <w:sz w:val="28"/>
          <w:szCs w:val="28"/>
        </w:rPr>
        <w:t>s</w:t>
      </w:r>
      <w:r w:rsidRPr="002F3D0A">
        <w:rPr>
          <w:rFonts w:ascii="Times New Roman" w:hAnsi="Times New Roman" w:cs="Times New Roman"/>
          <w:sz w:val="28"/>
          <w:szCs w:val="28"/>
        </w:rPr>
        <w:t xml:space="preserve"> por la vulneración del derecho a igualdad. </w:t>
      </w:r>
      <w:r w:rsidRPr="002F3D0A">
        <w:rPr>
          <w:rFonts w:ascii="Times New Roman" w:hAnsi="Times New Roman" w:cs="Times New Roman"/>
          <w:sz w:val="28"/>
          <w:szCs w:val="28"/>
        </w:rPr>
        <w:t xml:space="preserve"> </w:t>
      </w:r>
    </w:p>
    <w:p w:rsidR="00127458" w:rsidRPr="002F3D0A" w:rsidRDefault="002F3D0A" w:rsidP="00127458">
      <w:pPr>
        <w:spacing w:after="0" w:line="240" w:lineRule="auto"/>
        <w:jc w:val="both"/>
        <w:rPr>
          <w:rFonts w:ascii="Times New Roman" w:hAnsi="Times New Roman" w:cs="Times New Roman"/>
          <w:sz w:val="28"/>
          <w:szCs w:val="28"/>
        </w:rPr>
      </w:pPr>
    </w:p>
    <w:p w:rsidR="003350E7" w:rsidRPr="002F3D0A" w:rsidRDefault="002F3D0A" w:rsidP="00C272A5">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En el plano cuantitativo, m</w:t>
      </w:r>
      <w:r w:rsidRPr="002F3D0A">
        <w:rPr>
          <w:rFonts w:ascii="Times New Roman" w:hAnsi="Times New Roman" w:cs="Times New Roman"/>
          <w:sz w:val="28"/>
          <w:szCs w:val="28"/>
        </w:rPr>
        <w:t>ientras estuvo en vigor la Constitución de 1886, la Corte Suprema de Justicia expidió un total de sentencias que se ha calculado entre 2.496 y 2.682</w:t>
      </w:r>
      <w:r w:rsidRPr="002F3D0A">
        <w:rPr>
          <w:rStyle w:val="Refdenotaalpie"/>
          <w:rFonts w:ascii="Times New Roman" w:hAnsi="Times New Roman" w:cs="Times New Roman"/>
          <w:sz w:val="28"/>
          <w:szCs w:val="28"/>
        </w:rPr>
        <w:footnoteReference w:id="73"/>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Desde 1992, </w:t>
      </w:r>
      <w:r w:rsidRPr="002F3D0A">
        <w:rPr>
          <w:rFonts w:ascii="Times New Roman" w:hAnsi="Times New Roman" w:cs="Times New Roman"/>
          <w:sz w:val="28"/>
          <w:szCs w:val="28"/>
        </w:rPr>
        <w:t xml:space="preserve">en sólo 30 años, </w:t>
      </w:r>
      <w:r w:rsidRPr="002F3D0A">
        <w:rPr>
          <w:rFonts w:ascii="Times New Roman" w:hAnsi="Times New Roman" w:cs="Times New Roman"/>
          <w:sz w:val="28"/>
          <w:szCs w:val="28"/>
        </w:rPr>
        <w:t>la Corte Constitucional ha dictado 7.052 sentencias de inconstitucionalidad,</w:t>
      </w:r>
      <w:r w:rsidRPr="002F3D0A">
        <w:rPr>
          <w:rFonts w:ascii="Times New Roman" w:hAnsi="Times New Roman" w:cs="Times New Roman"/>
          <w:sz w:val="28"/>
          <w:szCs w:val="28"/>
        </w:rPr>
        <w:t xml:space="preserve"> es decir, más del doble de fallos que profirió la Corte Suprema de Justicia en 105 años. </w:t>
      </w:r>
      <w:r w:rsidRPr="002F3D0A">
        <w:rPr>
          <w:rFonts w:ascii="Times New Roman" w:hAnsi="Times New Roman" w:cs="Times New Roman"/>
          <w:sz w:val="28"/>
          <w:szCs w:val="28"/>
        </w:rPr>
        <w:t>De esas 7.052 sentencias, unas 5.918 se deben a acciones púb</w:t>
      </w:r>
      <w:r w:rsidRPr="002F3D0A">
        <w:rPr>
          <w:rFonts w:ascii="Times New Roman" w:hAnsi="Times New Roman" w:cs="Times New Roman"/>
          <w:sz w:val="28"/>
          <w:szCs w:val="28"/>
        </w:rPr>
        <w:t>licas de inconstitucionalidad</w:t>
      </w:r>
      <w:r w:rsidRPr="002F3D0A">
        <w:rPr>
          <w:rStyle w:val="Refdenotaalpie"/>
          <w:rFonts w:ascii="Times New Roman" w:hAnsi="Times New Roman" w:cs="Times New Roman"/>
          <w:sz w:val="28"/>
          <w:szCs w:val="28"/>
        </w:rPr>
        <w:footnoteReference w:id="74"/>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Esto demuestra</w:t>
      </w:r>
      <w:r w:rsidRPr="002F3D0A">
        <w:rPr>
          <w:rFonts w:ascii="Times New Roman" w:hAnsi="Times New Roman" w:cs="Times New Roman"/>
          <w:sz w:val="28"/>
          <w:szCs w:val="28"/>
        </w:rPr>
        <w:t>, en apariencia,</w:t>
      </w:r>
      <w:r w:rsidRPr="002F3D0A">
        <w:rPr>
          <w:rFonts w:ascii="Times New Roman" w:hAnsi="Times New Roman" w:cs="Times New Roman"/>
          <w:sz w:val="28"/>
          <w:szCs w:val="28"/>
        </w:rPr>
        <w:t xml:space="preserve"> que con la Constitución de 1991 se ha profundizado el acceso ciudadano a la justicia constitucional, específicamente, a la función de revisión judicial abstracta de constitucionalidad a cargo d</w:t>
      </w:r>
      <w:r w:rsidRPr="002F3D0A">
        <w:rPr>
          <w:rFonts w:ascii="Times New Roman" w:hAnsi="Times New Roman" w:cs="Times New Roman"/>
          <w:sz w:val="28"/>
          <w:szCs w:val="28"/>
        </w:rPr>
        <w:t>e la Corte Constitucional.</w:t>
      </w:r>
      <w:r w:rsidRPr="002F3D0A">
        <w:rPr>
          <w:rFonts w:ascii="Times New Roman" w:hAnsi="Times New Roman" w:cs="Times New Roman"/>
          <w:sz w:val="28"/>
          <w:szCs w:val="28"/>
        </w:rPr>
        <w:t xml:space="preserve"> </w:t>
      </w:r>
    </w:p>
    <w:p w:rsidR="003350E7" w:rsidRPr="002F3D0A" w:rsidRDefault="002F3D0A" w:rsidP="00C272A5">
      <w:pPr>
        <w:spacing w:after="0" w:line="240" w:lineRule="auto"/>
        <w:jc w:val="both"/>
        <w:rPr>
          <w:rFonts w:ascii="Times New Roman" w:hAnsi="Times New Roman" w:cs="Times New Roman"/>
          <w:sz w:val="28"/>
          <w:szCs w:val="28"/>
        </w:rPr>
      </w:pPr>
    </w:p>
    <w:p w:rsidR="00C272A5" w:rsidRPr="002F3D0A" w:rsidRDefault="002F3D0A" w:rsidP="00744DC4">
      <w:pPr>
        <w:spacing w:after="0" w:line="240" w:lineRule="auto"/>
        <w:jc w:val="both"/>
        <w:rPr>
          <w:rStyle w:val="normaltextrun"/>
          <w:rFonts w:ascii="Times New Roman" w:hAnsi="Times New Roman" w:cs="Times New Roman"/>
          <w:sz w:val="28"/>
          <w:szCs w:val="28"/>
          <w:lang w:val="es-ES"/>
        </w:rPr>
      </w:pPr>
      <w:r w:rsidRPr="002F3D0A">
        <w:rPr>
          <w:rFonts w:ascii="Times New Roman" w:hAnsi="Times New Roman" w:cs="Times New Roman"/>
          <w:sz w:val="28"/>
          <w:szCs w:val="28"/>
        </w:rPr>
        <w:t xml:space="preserve">No obstante, </w:t>
      </w:r>
      <w:r w:rsidRPr="002F3D0A">
        <w:rPr>
          <w:rFonts w:ascii="Times New Roman" w:hAnsi="Times New Roman" w:cs="Times New Roman"/>
          <w:sz w:val="28"/>
          <w:szCs w:val="28"/>
        </w:rPr>
        <w:t>los datos empíricos muestran que</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Style w:val="normaltextrun"/>
          <w:rFonts w:ascii="Times New Roman" w:hAnsi="Times New Roman" w:cs="Times New Roman"/>
          <w:sz w:val="28"/>
          <w:szCs w:val="28"/>
          <w:lang w:val="es-ES"/>
        </w:rPr>
        <w:t>progresivamente, el porcentaje de acciones públicas admitidas ha ido en descenso</w:t>
      </w:r>
      <w:r w:rsidRPr="002F3D0A">
        <w:rPr>
          <w:rStyle w:val="normaltextrun"/>
          <w:rFonts w:ascii="Times New Roman" w:hAnsi="Times New Roman" w:cs="Times New Roman"/>
          <w:sz w:val="28"/>
          <w:szCs w:val="28"/>
          <w:lang w:val="es-ES"/>
        </w:rPr>
        <w:t>;</w:t>
      </w:r>
      <w:r w:rsidRPr="002F3D0A">
        <w:rPr>
          <w:rStyle w:val="normaltextrun"/>
          <w:rFonts w:ascii="Times New Roman" w:hAnsi="Times New Roman" w:cs="Times New Roman"/>
          <w:sz w:val="28"/>
          <w:szCs w:val="28"/>
          <w:lang w:val="es-ES"/>
        </w:rPr>
        <w:t xml:space="preserve"> que, frente a los demás ciudadanos, las personas que son abogadas tienen una probabilidad mucho mayor de lograr que sus demandadas superen las cargas argumentativas exigidas por la Corte y que, con independencia de su profesión, las acciones formuladas po</w:t>
      </w:r>
      <w:r w:rsidRPr="002F3D0A">
        <w:rPr>
          <w:rStyle w:val="normaltextrun"/>
          <w:rFonts w:ascii="Times New Roman" w:hAnsi="Times New Roman" w:cs="Times New Roman"/>
          <w:sz w:val="28"/>
          <w:szCs w:val="28"/>
          <w:lang w:val="es-ES"/>
        </w:rPr>
        <w:t xml:space="preserve">r mujeres son rechazas en mayor medida que aquellas presentadas por hombres. </w:t>
      </w:r>
    </w:p>
    <w:p w:rsidR="00C272A5" w:rsidRPr="002F3D0A" w:rsidRDefault="002F3D0A" w:rsidP="009E1E4D">
      <w:pPr>
        <w:spacing w:after="0" w:line="240" w:lineRule="auto"/>
        <w:jc w:val="both"/>
        <w:rPr>
          <w:rFonts w:ascii="Times New Roman" w:hAnsi="Times New Roman" w:cs="Times New Roman"/>
          <w:sz w:val="28"/>
          <w:szCs w:val="28"/>
        </w:rPr>
      </w:pPr>
    </w:p>
    <w:p w:rsidR="002943E4" w:rsidRPr="002F3D0A" w:rsidRDefault="002F3D0A" w:rsidP="0056058D">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Por un lado, </w:t>
      </w:r>
      <w:r w:rsidRPr="002F3D0A">
        <w:rPr>
          <w:rFonts w:ascii="Times New Roman" w:hAnsi="Times New Roman" w:cs="Times New Roman"/>
          <w:sz w:val="28"/>
          <w:szCs w:val="28"/>
        </w:rPr>
        <w:t>desde que se adoptó la nueva Constitución</w:t>
      </w:r>
      <w:r w:rsidRPr="002F3D0A">
        <w:rPr>
          <w:rFonts w:ascii="Times New Roman" w:hAnsi="Times New Roman" w:cs="Times New Roman"/>
          <w:sz w:val="28"/>
          <w:szCs w:val="28"/>
        </w:rPr>
        <w:t xml:space="preserve">, sólo un poco más de la tercera parte </w:t>
      </w:r>
      <w:r w:rsidRPr="002F3D0A">
        <w:rPr>
          <w:rFonts w:ascii="Times New Roman" w:hAnsi="Times New Roman" w:cs="Times New Roman"/>
          <w:sz w:val="28"/>
          <w:szCs w:val="28"/>
        </w:rPr>
        <w:t>de las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14.900</w:t>
      </w:r>
      <w:r w:rsidRPr="002F3D0A">
        <w:rPr>
          <w:rFonts w:ascii="Times New Roman" w:hAnsi="Times New Roman" w:cs="Times New Roman"/>
          <w:sz w:val="28"/>
          <w:szCs w:val="28"/>
        </w:rPr>
        <w:t xml:space="preserve"> acciones públicas de inconstitucionalidad</w:t>
      </w:r>
      <w:r w:rsidRPr="002F3D0A">
        <w:rPr>
          <w:rFonts w:ascii="Times New Roman" w:hAnsi="Times New Roman" w:cs="Times New Roman"/>
          <w:sz w:val="28"/>
          <w:szCs w:val="28"/>
        </w:rPr>
        <w:t xml:space="preserve"> que se han presentado, </w:t>
      </w:r>
      <w:r w:rsidRPr="002F3D0A">
        <w:rPr>
          <w:rFonts w:ascii="Times New Roman" w:hAnsi="Times New Roman" w:cs="Times New Roman"/>
          <w:sz w:val="28"/>
          <w:szCs w:val="28"/>
        </w:rPr>
        <w:t>ha co</w:t>
      </w:r>
      <w:r w:rsidRPr="002F3D0A">
        <w:rPr>
          <w:rFonts w:ascii="Times New Roman" w:hAnsi="Times New Roman" w:cs="Times New Roman"/>
          <w:sz w:val="28"/>
          <w:szCs w:val="28"/>
        </w:rPr>
        <w:t>nducido a una sentencia</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Las estadísticas también muestran que la Corte aplica el principio </w:t>
      </w:r>
      <w:r w:rsidRPr="002F3D0A">
        <w:rPr>
          <w:rFonts w:ascii="Times New Roman" w:hAnsi="Times New Roman" w:cs="Times New Roman"/>
          <w:i/>
          <w:iCs/>
          <w:sz w:val="28"/>
          <w:szCs w:val="28"/>
        </w:rPr>
        <w:t>pro actione</w:t>
      </w:r>
      <w:r w:rsidRPr="002F3D0A">
        <w:rPr>
          <w:rFonts w:ascii="Times New Roman" w:hAnsi="Times New Roman" w:cs="Times New Roman"/>
          <w:sz w:val="28"/>
          <w:szCs w:val="28"/>
        </w:rPr>
        <w:t xml:space="preserve"> de forma excepcional</w:t>
      </w:r>
      <w:r w:rsidRPr="002F3D0A">
        <w:rPr>
          <w:rFonts w:ascii="Times New Roman" w:hAnsi="Times New Roman" w:cs="Times New Roman"/>
          <w:sz w:val="28"/>
          <w:szCs w:val="28"/>
          <w:vertAlign w:val="superscript"/>
        </w:rPr>
        <w:footnoteReference w:id="75"/>
      </w:r>
      <w:r w:rsidRPr="002F3D0A">
        <w:rPr>
          <w:rFonts w:ascii="Times New Roman" w:hAnsi="Times New Roman" w:cs="Times New Roman"/>
          <w:sz w:val="28"/>
          <w:szCs w:val="28"/>
        </w:rPr>
        <w:t xml:space="preserve"> y que la proporción de fallos inhibitorios ha aumentado, al punto en el que</w:t>
      </w:r>
      <w:r w:rsidRPr="002F3D0A">
        <w:rPr>
          <w:rFonts w:ascii="Times New Roman" w:hAnsi="Times New Roman" w:cs="Times New Roman"/>
          <w:sz w:val="28"/>
          <w:szCs w:val="28"/>
        </w:rPr>
        <w:t xml:space="preserve"> 27,78% de las </w:t>
      </w:r>
      <w:r w:rsidRPr="002F3D0A">
        <w:rPr>
          <w:rFonts w:ascii="Times New Roman" w:hAnsi="Times New Roman" w:cs="Times New Roman"/>
          <w:sz w:val="28"/>
          <w:szCs w:val="28"/>
        </w:rPr>
        <w:t xml:space="preserve">sentencias proferidas por este Tribunal entre el 2017 y </w:t>
      </w:r>
      <w:r w:rsidRPr="002F3D0A">
        <w:rPr>
          <w:rFonts w:ascii="Times New Roman" w:hAnsi="Times New Roman" w:cs="Times New Roman"/>
          <w:sz w:val="28"/>
          <w:szCs w:val="28"/>
        </w:rPr>
        <w:t>el 2021</w:t>
      </w:r>
      <w:r w:rsidRPr="002F3D0A">
        <w:rPr>
          <w:rFonts w:ascii="Times New Roman" w:hAnsi="Times New Roman" w:cs="Times New Roman"/>
          <w:sz w:val="28"/>
          <w:szCs w:val="28"/>
        </w:rPr>
        <w:t xml:space="preserve"> contienen decisiones inhibitorias</w:t>
      </w:r>
      <w:r w:rsidRPr="002F3D0A">
        <w:rPr>
          <w:rStyle w:val="Refdenotaalpie"/>
          <w:rFonts w:ascii="Times New Roman" w:hAnsi="Times New Roman" w:cs="Times New Roman"/>
          <w:sz w:val="28"/>
          <w:szCs w:val="28"/>
        </w:rPr>
        <w:footnoteReference w:id="76"/>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p>
    <w:p w:rsidR="003350E7" w:rsidRPr="002F3D0A" w:rsidRDefault="002F3D0A" w:rsidP="00330EA6">
      <w:pPr>
        <w:spacing w:after="0" w:line="240" w:lineRule="auto"/>
        <w:jc w:val="both"/>
        <w:rPr>
          <w:rFonts w:ascii="Times New Roman" w:hAnsi="Times New Roman" w:cs="Times New Roman"/>
          <w:sz w:val="28"/>
          <w:szCs w:val="28"/>
        </w:rPr>
      </w:pPr>
    </w:p>
    <w:p w:rsidR="003350E7" w:rsidRPr="002F3D0A" w:rsidRDefault="002F3D0A" w:rsidP="00330EA6">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Por otro lado</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w:t>
      </w:r>
      <w:r w:rsidRPr="002F3D0A">
        <w:rPr>
          <w:rFonts w:ascii="Times New Roman" w:hAnsi="Times New Roman" w:cs="Times New Roman"/>
          <w:sz w:val="28"/>
          <w:szCs w:val="28"/>
        </w:rPr>
        <w:t xml:space="preserve">l más reciente estudio empírico, realizado sobre las prácticas de esta Corporación ocurridas entre 1992 y 2017, demuestra </w:t>
      </w:r>
      <w:r w:rsidRPr="002F3D0A">
        <w:rPr>
          <w:rFonts w:ascii="Times New Roman" w:hAnsi="Times New Roman" w:cs="Times New Roman"/>
          <w:sz w:val="28"/>
          <w:szCs w:val="28"/>
        </w:rPr>
        <w:t xml:space="preserve">que, cuando el </w:t>
      </w:r>
      <w:r w:rsidRPr="002F3D0A">
        <w:rPr>
          <w:rFonts w:ascii="Times New Roman" w:hAnsi="Times New Roman" w:cs="Times New Roman"/>
          <w:sz w:val="28"/>
          <w:szCs w:val="28"/>
        </w:rPr>
        <w:t>c</w:t>
      </w:r>
      <w:r w:rsidRPr="002F3D0A">
        <w:rPr>
          <w:rFonts w:ascii="Times New Roman" w:hAnsi="Times New Roman" w:cs="Times New Roman"/>
          <w:sz w:val="28"/>
          <w:szCs w:val="28"/>
        </w:rPr>
        <w:t>iudadano es abogado, es probable que en más de la mitad de las ocasiones se admita su demanda (51%). En cambio, cuando el ciudadano no es abogado, la probabilidad de admisión de la acción pública es de aproximadamente una tercera parte de las veces (33%)</w:t>
      </w:r>
      <w:r w:rsidRPr="002F3D0A">
        <w:rPr>
          <w:rStyle w:val="Refdenotaalpie"/>
          <w:rFonts w:ascii="Times New Roman" w:hAnsi="Times New Roman" w:cs="Times New Roman"/>
          <w:sz w:val="28"/>
          <w:szCs w:val="28"/>
          <w:lang w:val="es-ES"/>
        </w:rPr>
        <w:footnoteReference w:id="77"/>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w:t>
      </w:r>
    </w:p>
    <w:p w:rsidR="003350E7" w:rsidRPr="002F3D0A" w:rsidRDefault="002F3D0A" w:rsidP="00330EA6">
      <w:pPr>
        <w:spacing w:after="0" w:line="240" w:lineRule="auto"/>
        <w:jc w:val="both"/>
        <w:rPr>
          <w:rFonts w:ascii="Times New Roman" w:hAnsi="Times New Roman" w:cs="Times New Roman"/>
          <w:sz w:val="28"/>
          <w:szCs w:val="28"/>
        </w:rPr>
      </w:pPr>
    </w:p>
    <w:p w:rsidR="00330EA6" w:rsidRPr="002F3D0A" w:rsidRDefault="002F3D0A" w:rsidP="00330EA6">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Es</w:t>
      </w:r>
      <w:r w:rsidRPr="002F3D0A">
        <w:rPr>
          <w:rFonts w:ascii="Times New Roman" w:hAnsi="Times New Roman" w:cs="Times New Roman"/>
          <w:sz w:val="28"/>
          <w:szCs w:val="28"/>
        </w:rPr>
        <w:t>as estadísticas</w:t>
      </w:r>
      <w:r w:rsidRPr="002F3D0A">
        <w:rPr>
          <w:rFonts w:ascii="Times New Roman" w:hAnsi="Times New Roman" w:cs="Times New Roman"/>
          <w:sz w:val="28"/>
          <w:szCs w:val="28"/>
        </w:rPr>
        <w:t xml:space="preserve"> ya deja</w:t>
      </w:r>
      <w:r w:rsidRPr="002F3D0A">
        <w:rPr>
          <w:rFonts w:ascii="Times New Roman" w:hAnsi="Times New Roman" w:cs="Times New Roman"/>
          <w:sz w:val="28"/>
          <w:szCs w:val="28"/>
        </w:rPr>
        <w:t>n</w:t>
      </w:r>
      <w:r w:rsidRPr="002F3D0A">
        <w:rPr>
          <w:rFonts w:ascii="Times New Roman" w:hAnsi="Times New Roman" w:cs="Times New Roman"/>
          <w:sz w:val="28"/>
          <w:szCs w:val="28"/>
        </w:rPr>
        <w:t xml:space="preserve"> a la vista </w:t>
      </w:r>
      <w:r w:rsidRPr="002F3D0A">
        <w:rPr>
          <w:rFonts w:ascii="Times New Roman" w:hAnsi="Times New Roman" w:cs="Times New Roman"/>
          <w:sz w:val="28"/>
          <w:szCs w:val="28"/>
        </w:rPr>
        <w:t xml:space="preserve">desigualdades frente al ejercicio de la acción pública de inconstitucionalidad. </w:t>
      </w:r>
      <w:r w:rsidRPr="002F3D0A">
        <w:rPr>
          <w:rFonts w:ascii="Times New Roman" w:hAnsi="Times New Roman" w:cs="Times New Roman"/>
          <w:sz w:val="28"/>
          <w:szCs w:val="28"/>
        </w:rPr>
        <w:t>No obstante, lo más revelador es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el análisis de los datos específicos de rechazos e inhibiciones después de la sentencia C-1052 de 2001</w:t>
      </w:r>
      <w:r w:rsidRPr="002F3D0A">
        <w:rPr>
          <w:rFonts w:ascii="Times New Roman" w:hAnsi="Times New Roman" w:cs="Times New Roman"/>
          <w:sz w:val="28"/>
          <w:szCs w:val="28"/>
        </w:rPr>
        <w:t>. En este último fallo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la Corte Constitucional sistematizó los requisitos de aptitud de las acciones públicas. Después de 2001, cuando esta Corporación empezó disciplinadamente a analizar la aptitud de las demandas con las nociones de la sentencia C-1052 </w:t>
      </w:r>
      <w:r w:rsidRPr="002F3D0A">
        <w:rPr>
          <w:rFonts w:ascii="Times New Roman" w:hAnsi="Times New Roman" w:cs="Times New Roman"/>
          <w:sz w:val="28"/>
          <w:szCs w:val="28"/>
        </w:rPr>
        <w:t>de 2001, la probabilidad de que a un ciudadano abogado le admitan la demanda se redu</w:t>
      </w:r>
      <w:r w:rsidRPr="002F3D0A">
        <w:rPr>
          <w:rFonts w:ascii="Times New Roman" w:hAnsi="Times New Roman" w:cs="Times New Roman"/>
          <w:sz w:val="28"/>
          <w:szCs w:val="28"/>
        </w:rPr>
        <w:t>jo</w:t>
      </w:r>
      <w:r w:rsidRPr="002F3D0A">
        <w:rPr>
          <w:rFonts w:ascii="Times New Roman" w:hAnsi="Times New Roman" w:cs="Times New Roman"/>
          <w:sz w:val="28"/>
          <w:szCs w:val="28"/>
        </w:rPr>
        <w:t xml:space="preserve"> hasta llegar a menos de la mitad de las ocasiones (41%), y la de que a un ciudadano no abogado se la admitan baj</w:t>
      </w:r>
      <w:r w:rsidRPr="002F3D0A">
        <w:rPr>
          <w:rFonts w:ascii="Times New Roman" w:hAnsi="Times New Roman" w:cs="Times New Roman"/>
          <w:sz w:val="28"/>
          <w:szCs w:val="28"/>
        </w:rPr>
        <w:t>ó</w:t>
      </w:r>
      <w:r w:rsidRPr="002F3D0A">
        <w:rPr>
          <w:rFonts w:ascii="Times New Roman" w:hAnsi="Times New Roman" w:cs="Times New Roman"/>
          <w:sz w:val="28"/>
          <w:szCs w:val="28"/>
        </w:rPr>
        <w:t xml:space="preserve"> hasta llegar a menos de una cuarta parte de los casos (23%)</w:t>
      </w:r>
      <w:r w:rsidRPr="002F3D0A">
        <w:rPr>
          <w:rStyle w:val="Refdenotaalpie"/>
          <w:rFonts w:ascii="Times New Roman" w:hAnsi="Times New Roman" w:cs="Times New Roman"/>
          <w:sz w:val="28"/>
          <w:szCs w:val="28"/>
        </w:rPr>
        <w:footnoteReference w:id="78"/>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Asimismo, a partir del 2001, se invirtió la tendencia según la cual las demandas presentadas por mujeres tenían una mayor probabilidad de ser admitidas</w:t>
      </w:r>
      <w:r w:rsidRPr="002F3D0A">
        <w:rPr>
          <w:rStyle w:val="Refdenotaalpie"/>
          <w:rFonts w:ascii="Times New Roman" w:hAnsi="Times New Roman" w:cs="Times New Roman"/>
          <w:sz w:val="28"/>
          <w:szCs w:val="28"/>
        </w:rPr>
        <w:footnoteReference w:id="79"/>
      </w:r>
      <w:r w:rsidRPr="002F3D0A">
        <w:rPr>
          <w:rFonts w:ascii="Times New Roman" w:hAnsi="Times New Roman" w:cs="Times New Roman"/>
          <w:sz w:val="28"/>
          <w:szCs w:val="28"/>
        </w:rPr>
        <w:t>.</w:t>
      </w:r>
    </w:p>
    <w:p w:rsidR="00746E4D" w:rsidRPr="002F3D0A" w:rsidRDefault="002F3D0A" w:rsidP="00330EA6">
      <w:pPr>
        <w:spacing w:after="0" w:line="240" w:lineRule="auto"/>
        <w:jc w:val="both"/>
        <w:rPr>
          <w:rFonts w:ascii="Times New Roman" w:hAnsi="Times New Roman" w:cs="Times New Roman"/>
          <w:sz w:val="28"/>
          <w:szCs w:val="28"/>
        </w:rPr>
      </w:pPr>
    </w:p>
    <w:p w:rsidR="002E5FC3" w:rsidRPr="002F3D0A" w:rsidRDefault="002F3D0A" w:rsidP="0056058D">
      <w:pPr>
        <w:pStyle w:val="paragraph"/>
        <w:spacing w:before="0" w:beforeAutospacing="0" w:after="0" w:afterAutospacing="0"/>
        <w:jc w:val="both"/>
        <w:textAlignment w:val="baseline"/>
        <w:rPr>
          <w:sz w:val="28"/>
          <w:szCs w:val="28"/>
          <w:lang w:val="es-ES"/>
        </w:rPr>
      </w:pPr>
      <w:r w:rsidRPr="002F3D0A">
        <w:rPr>
          <w:sz w:val="28"/>
          <w:szCs w:val="28"/>
        </w:rPr>
        <w:t>Más allá de las causas de la situación</w:t>
      </w:r>
      <w:r w:rsidRPr="002F3D0A">
        <w:rPr>
          <w:sz w:val="28"/>
          <w:szCs w:val="28"/>
        </w:rPr>
        <w:t xml:space="preserve"> descrita, en las cuales puede</w:t>
      </w:r>
      <w:r w:rsidRPr="002F3D0A">
        <w:rPr>
          <w:sz w:val="28"/>
          <w:szCs w:val="28"/>
        </w:rPr>
        <w:t>n</w:t>
      </w:r>
      <w:r w:rsidRPr="002F3D0A">
        <w:rPr>
          <w:sz w:val="28"/>
          <w:szCs w:val="28"/>
        </w:rPr>
        <w:t xml:space="preserve"> incidir la capacidad institucional limitada que tiene la Corte Constitucional, la jurisprudencia y la actitud judicial que se adopta al aplicarla, los datos disponibles son preocupantes y merecen la atención de la Sala Plena</w:t>
      </w:r>
      <w:r w:rsidRPr="002F3D0A">
        <w:rPr>
          <w:sz w:val="28"/>
          <w:szCs w:val="28"/>
        </w:rPr>
        <w:t xml:space="preserve">. </w:t>
      </w:r>
    </w:p>
    <w:p w:rsidR="002E5FC3" w:rsidRPr="002F3D0A" w:rsidRDefault="002F3D0A" w:rsidP="00744DC4">
      <w:pPr>
        <w:spacing w:after="0" w:line="240" w:lineRule="auto"/>
        <w:rPr>
          <w:rFonts w:ascii="Times New Roman" w:hAnsi="Times New Roman" w:cs="Times New Roman"/>
          <w:sz w:val="28"/>
          <w:szCs w:val="28"/>
        </w:rPr>
      </w:pPr>
    </w:p>
    <w:p w:rsidR="00330EA6" w:rsidRPr="002F3D0A" w:rsidRDefault="002F3D0A" w:rsidP="00744DC4">
      <w:pPr>
        <w:pStyle w:val="Prrafodelista"/>
        <w:numPr>
          <w:ilvl w:val="0"/>
          <w:numId w:val="7"/>
        </w:numPr>
        <w:suppressAutoHyphens/>
        <w:spacing w:after="0" w:line="240" w:lineRule="auto"/>
        <w:ind w:left="426" w:hanging="426"/>
        <w:jc w:val="both"/>
        <w:rPr>
          <w:rFonts w:ascii="Times New Roman" w:hAnsi="Times New Roman" w:cs="Times New Roman"/>
          <w:b/>
          <w:bCs/>
          <w:sz w:val="28"/>
          <w:szCs w:val="28"/>
        </w:rPr>
      </w:pPr>
      <w:r w:rsidRPr="002F3D0A">
        <w:rPr>
          <w:rFonts w:ascii="Times New Roman" w:hAnsi="Times New Roman" w:cs="Times New Roman"/>
          <w:b/>
          <w:bCs/>
          <w:sz w:val="28"/>
          <w:szCs w:val="28"/>
        </w:rPr>
        <w:t xml:space="preserve"> </w:t>
      </w:r>
      <w:r w:rsidRPr="002F3D0A">
        <w:rPr>
          <w:rFonts w:ascii="Times New Roman" w:hAnsi="Times New Roman" w:cs="Times New Roman"/>
          <w:b/>
          <w:bCs/>
          <w:sz w:val="28"/>
          <w:szCs w:val="28"/>
        </w:rPr>
        <w:t>Una</w:t>
      </w:r>
      <w:r w:rsidRPr="002F3D0A">
        <w:rPr>
          <w:rFonts w:ascii="Times New Roman" w:hAnsi="Times New Roman" w:cs="Times New Roman"/>
          <w:b/>
          <w:bCs/>
          <w:sz w:val="28"/>
          <w:szCs w:val="28"/>
        </w:rPr>
        <w:t xml:space="preserve"> defensa del carácter público de la acción pública de inconstitucionalidad </w:t>
      </w:r>
    </w:p>
    <w:p w:rsidR="00330EA6" w:rsidRPr="002F3D0A" w:rsidRDefault="002F3D0A" w:rsidP="00C83CC8">
      <w:pPr>
        <w:spacing w:after="0" w:line="240" w:lineRule="auto"/>
        <w:jc w:val="both"/>
        <w:rPr>
          <w:rFonts w:ascii="Times New Roman" w:hAnsi="Times New Roman" w:cs="Times New Roman"/>
          <w:sz w:val="28"/>
          <w:szCs w:val="28"/>
        </w:rPr>
      </w:pPr>
    </w:p>
    <w:p w:rsidR="0056058D" w:rsidRPr="002F3D0A" w:rsidRDefault="002F3D0A" w:rsidP="00C83CC8">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Nada de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l</w:t>
      </w:r>
      <w:r w:rsidRPr="002F3D0A">
        <w:rPr>
          <w:rFonts w:ascii="Times New Roman" w:hAnsi="Times New Roman" w:cs="Times New Roman"/>
          <w:sz w:val="28"/>
          <w:szCs w:val="28"/>
        </w:rPr>
        <w:t>o</w:t>
      </w:r>
      <w:r w:rsidRPr="002F3D0A">
        <w:rPr>
          <w:rFonts w:ascii="Times New Roman" w:hAnsi="Times New Roman" w:cs="Times New Roman"/>
          <w:sz w:val="28"/>
          <w:szCs w:val="28"/>
        </w:rPr>
        <w:t xml:space="preserve"> anterior</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en mi concepto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es </w:t>
      </w:r>
      <w:r w:rsidRPr="002F3D0A">
        <w:rPr>
          <w:rFonts w:ascii="Times New Roman" w:hAnsi="Times New Roman" w:cs="Times New Roman"/>
          <w:sz w:val="28"/>
          <w:szCs w:val="28"/>
        </w:rPr>
        <w:t>algo</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menor o </w:t>
      </w:r>
      <w:r w:rsidRPr="002F3D0A">
        <w:rPr>
          <w:rFonts w:ascii="Times New Roman" w:hAnsi="Times New Roman" w:cs="Times New Roman"/>
          <w:sz w:val="28"/>
          <w:szCs w:val="28"/>
        </w:rPr>
        <w:t>inevitable</w:t>
      </w:r>
      <w:r w:rsidRPr="002F3D0A">
        <w:rPr>
          <w:rFonts w:ascii="Times New Roman" w:hAnsi="Times New Roman" w:cs="Times New Roman"/>
          <w:sz w:val="28"/>
          <w:szCs w:val="28"/>
        </w:rPr>
        <w:t xml:space="preserve">. Entiendo, desde luego, que </w:t>
      </w:r>
      <w:r w:rsidRPr="002F3D0A">
        <w:rPr>
          <w:rFonts w:ascii="Times New Roman" w:hAnsi="Times New Roman" w:cs="Times New Roman"/>
          <w:sz w:val="28"/>
          <w:szCs w:val="28"/>
        </w:rPr>
        <w:t>el Decreto 2067 de 1991 prevé que las acciones públicas de inconstitucionalidad</w:t>
      </w:r>
      <w:r w:rsidRPr="002F3D0A">
        <w:rPr>
          <w:rFonts w:ascii="Times New Roman" w:hAnsi="Times New Roman" w:cs="Times New Roman"/>
          <w:sz w:val="28"/>
          <w:szCs w:val="28"/>
        </w:rPr>
        <w:t xml:space="preserve"> están sujetas a requisitos de admisión. También estimo que no cualquier demanda permite que se abra un debate en torno de la constitucionalidad de una norma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Sin embargo, </w:t>
      </w:r>
      <w:r w:rsidRPr="002F3D0A">
        <w:rPr>
          <w:rFonts w:ascii="Times New Roman" w:hAnsi="Times New Roman" w:cs="Times New Roman"/>
          <w:sz w:val="28"/>
          <w:szCs w:val="28"/>
        </w:rPr>
        <w:t xml:space="preserve">la Constitución establece que la acción es pública y está disponible para cualquier </w:t>
      </w:r>
      <w:r w:rsidRPr="002F3D0A">
        <w:rPr>
          <w:rFonts w:ascii="Times New Roman" w:hAnsi="Times New Roman" w:cs="Times New Roman"/>
          <w:sz w:val="28"/>
          <w:szCs w:val="28"/>
        </w:rPr>
        <w:t>ciudadano, como un derecho político fundamental (CP arts</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40, 241 y 242). </w:t>
      </w:r>
      <w:r w:rsidRPr="002F3D0A">
        <w:rPr>
          <w:rFonts w:ascii="Times New Roman" w:hAnsi="Times New Roman" w:cs="Times New Roman"/>
          <w:sz w:val="28"/>
          <w:szCs w:val="28"/>
        </w:rPr>
        <w:t xml:space="preserve">Además, es precisamente por su carácter público que la acción de inconstitucionalidad </w:t>
      </w:r>
      <w:r w:rsidRPr="002F3D0A">
        <w:rPr>
          <w:rStyle w:val="normaltextrun"/>
          <w:rFonts w:ascii="Times New Roman" w:hAnsi="Times New Roman" w:cs="Times New Roman"/>
          <w:sz w:val="28"/>
          <w:szCs w:val="28"/>
          <w:lang w:val="es-ES"/>
        </w:rPr>
        <w:t>tiene muchas bondades en términos democráticos, de acceso a la justicia y de participación ciuda</w:t>
      </w:r>
      <w:r w:rsidRPr="002F3D0A">
        <w:rPr>
          <w:rStyle w:val="normaltextrun"/>
          <w:rFonts w:ascii="Times New Roman" w:hAnsi="Times New Roman" w:cs="Times New Roman"/>
          <w:sz w:val="28"/>
          <w:szCs w:val="28"/>
          <w:lang w:val="es-ES"/>
        </w:rPr>
        <w:t>dana y que constituye un baluarte del constitucionalismo a nivel mundial</w:t>
      </w:r>
      <w:r w:rsidRPr="002F3D0A">
        <w:rPr>
          <w:rStyle w:val="Refdenotaalpie"/>
          <w:rFonts w:ascii="Times New Roman" w:hAnsi="Times New Roman" w:cs="Times New Roman"/>
          <w:sz w:val="28"/>
          <w:szCs w:val="28"/>
          <w:lang w:val="es-ES"/>
        </w:rPr>
        <w:footnoteReference w:id="80"/>
      </w:r>
      <w:r w:rsidRPr="002F3D0A">
        <w:rPr>
          <w:rStyle w:val="normaltextrun"/>
          <w:rFonts w:ascii="Times New Roman" w:hAnsi="Times New Roman" w:cs="Times New Roman"/>
          <w:sz w:val="28"/>
          <w:szCs w:val="28"/>
          <w:lang w:val="es-ES"/>
        </w:rPr>
        <w:t xml:space="preserve">. </w:t>
      </w:r>
    </w:p>
    <w:p w:rsidR="006E1D5E" w:rsidRPr="002F3D0A" w:rsidRDefault="002F3D0A" w:rsidP="00C83CC8">
      <w:pPr>
        <w:spacing w:after="0" w:line="240" w:lineRule="auto"/>
        <w:jc w:val="both"/>
        <w:rPr>
          <w:rFonts w:ascii="Times New Roman" w:hAnsi="Times New Roman" w:cs="Times New Roman"/>
          <w:sz w:val="28"/>
          <w:szCs w:val="28"/>
        </w:rPr>
      </w:pPr>
    </w:p>
    <w:p w:rsidR="004C395E" w:rsidRPr="002F3D0A" w:rsidRDefault="002F3D0A" w:rsidP="00353977">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Para que sea verdaderamente</w:t>
      </w:r>
      <w:r w:rsidRPr="002F3D0A">
        <w:rPr>
          <w:rFonts w:ascii="Times New Roman" w:hAnsi="Times New Roman" w:cs="Times New Roman"/>
          <w:sz w:val="28"/>
          <w:szCs w:val="28"/>
        </w:rPr>
        <w:t xml:space="preserve"> pública</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la acción </w:t>
      </w:r>
      <w:r w:rsidRPr="002F3D0A">
        <w:rPr>
          <w:rFonts w:ascii="Times New Roman" w:hAnsi="Times New Roman" w:cs="Times New Roman"/>
          <w:sz w:val="28"/>
          <w:szCs w:val="28"/>
        </w:rPr>
        <w:t>no puede experimentar un proceso de tecnificación c</w:t>
      </w:r>
      <w:r w:rsidRPr="002F3D0A">
        <w:rPr>
          <w:rFonts w:ascii="Times New Roman" w:hAnsi="Times New Roman" w:cs="Times New Roman"/>
          <w:sz w:val="28"/>
          <w:szCs w:val="28"/>
        </w:rPr>
        <w:t>omo el que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registra</w:t>
      </w:r>
      <w:r w:rsidRPr="002F3D0A">
        <w:rPr>
          <w:rFonts w:ascii="Times New Roman" w:hAnsi="Times New Roman" w:cs="Times New Roman"/>
          <w:sz w:val="28"/>
          <w:szCs w:val="28"/>
        </w:rPr>
        <w:t xml:space="preserve"> en la actualidad. Sin</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que ello signifique que cualquier deman</w:t>
      </w:r>
      <w:r w:rsidRPr="002F3D0A">
        <w:rPr>
          <w:rFonts w:ascii="Times New Roman" w:hAnsi="Times New Roman" w:cs="Times New Roman"/>
          <w:sz w:val="28"/>
          <w:szCs w:val="28"/>
        </w:rPr>
        <w:t>da deba ser admitida y provocar un pronunciamiento de fondo, estimo que la Sala Plena debe empezar</w:t>
      </w:r>
      <w:r w:rsidRPr="002F3D0A">
        <w:rPr>
          <w:rFonts w:ascii="Times New Roman" w:hAnsi="Times New Roman" w:cs="Times New Roman"/>
          <w:sz w:val="28"/>
          <w:szCs w:val="28"/>
        </w:rPr>
        <w:t xml:space="preserve"> a pensar en la mejor forma de </w:t>
      </w:r>
      <w:r w:rsidRPr="002F3D0A">
        <w:rPr>
          <w:rFonts w:ascii="Times New Roman" w:hAnsi="Times New Roman" w:cs="Times New Roman"/>
          <w:sz w:val="28"/>
          <w:szCs w:val="28"/>
        </w:rPr>
        <w:t>morigerar el intenso rigor con el cual está analizado la aptitud de las demandas de inconstitucionalidad</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y, en las discusiones colectivas, disminuir el tiempo que le dedica a estos asuntos, lo cual le permitiría examinar con más profundidad las cuestiones constitucionales </w:t>
      </w:r>
      <w:r w:rsidRPr="002F3D0A">
        <w:rPr>
          <w:rFonts w:ascii="Times New Roman" w:hAnsi="Times New Roman" w:cs="Times New Roman"/>
          <w:sz w:val="28"/>
          <w:szCs w:val="28"/>
        </w:rPr>
        <w:t xml:space="preserve">sustanciales </w:t>
      </w:r>
      <w:r w:rsidRPr="002F3D0A">
        <w:rPr>
          <w:rFonts w:ascii="Times New Roman" w:hAnsi="Times New Roman" w:cs="Times New Roman"/>
          <w:sz w:val="28"/>
          <w:szCs w:val="28"/>
        </w:rPr>
        <w:t>que plantea cada proceso.</w:t>
      </w:r>
    </w:p>
    <w:p w:rsidR="006E1D5E" w:rsidRPr="002F3D0A" w:rsidRDefault="002F3D0A" w:rsidP="00353977">
      <w:pPr>
        <w:spacing w:after="0" w:line="240" w:lineRule="auto"/>
        <w:jc w:val="both"/>
        <w:rPr>
          <w:rFonts w:ascii="Times New Roman" w:hAnsi="Times New Roman" w:cs="Times New Roman"/>
          <w:sz w:val="28"/>
          <w:szCs w:val="28"/>
        </w:rPr>
      </w:pPr>
    </w:p>
    <w:p w:rsidR="006E1D5E" w:rsidRPr="002F3D0A" w:rsidRDefault="002F3D0A" w:rsidP="0047754F">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Por ello, estimo que la Corte </w:t>
      </w:r>
      <w:r w:rsidRPr="002F3D0A">
        <w:rPr>
          <w:rFonts w:ascii="Times New Roman" w:hAnsi="Times New Roman" w:cs="Times New Roman"/>
          <w:sz w:val="28"/>
          <w:szCs w:val="28"/>
        </w:rPr>
        <w:t xml:space="preserve">debe </w:t>
      </w:r>
      <w:r w:rsidRPr="002F3D0A">
        <w:rPr>
          <w:rFonts w:ascii="Times New Roman" w:hAnsi="Times New Roman" w:cs="Times New Roman"/>
          <w:sz w:val="28"/>
          <w:szCs w:val="28"/>
        </w:rPr>
        <w:t>contemplar la</w:t>
      </w:r>
      <w:r w:rsidRPr="002F3D0A">
        <w:rPr>
          <w:rFonts w:ascii="Times New Roman" w:hAnsi="Times New Roman" w:cs="Times New Roman"/>
          <w:sz w:val="28"/>
          <w:szCs w:val="28"/>
        </w:rPr>
        <w:t xml:space="preserve"> posibilidad de</w:t>
      </w:r>
      <w:r w:rsidRPr="002F3D0A">
        <w:rPr>
          <w:rFonts w:ascii="Times New Roman" w:hAnsi="Times New Roman" w:cs="Times New Roman"/>
          <w:sz w:val="28"/>
          <w:szCs w:val="28"/>
        </w:rPr>
        <w:t xml:space="preserve"> reorientar </w:t>
      </w:r>
      <w:r w:rsidRPr="002F3D0A">
        <w:rPr>
          <w:rFonts w:ascii="Times New Roman" w:hAnsi="Times New Roman" w:cs="Times New Roman"/>
          <w:sz w:val="28"/>
          <w:szCs w:val="28"/>
        </w:rPr>
        <w:t xml:space="preserve">los requisitos de admisión, fijados esencialmente desde la sentencia C-1052 de 2001. </w:t>
      </w:r>
      <w:r w:rsidRPr="002F3D0A">
        <w:rPr>
          <w:rFonts w:ascii="Times New Roman" w:hAnsi="Times New Roman" w:cs="Times New Roman"/>
          <w:sz w:val="28"/>
          <w:szCs w:val="28"/>
        </w:rPr>
        <w:t>E</w:t>
      </w:r>
      <w:r w:rsidRPr="002F3D0A">
        <w:rPr>
          <w:rFonts w:ascii="Times New Roman" w:hAnsi="Times New Roman" w:cs="Times New Roman"/>
          <w:sz w:val="28"/>
          <w:szCs w:val="28"/>
        </w:rPr>
        <w:t>n la actualidad</w:t>
      </w:r>
      <w:r w:rsidRPr="002F3D0A">
        <w:rPr>
          <w:rFonts w:ascii="Times New Roman" w:hAnsi="Times New Roman" w:cs="Times New Roman"/>
          <w:sz w:val="28"/>
          <w:szCs w:val="28"/>
        </w:rPr>
        <w:t>, la</w:t>
      </w:r>
      <w:r w:rsidRPr="002F3D0A">
        <w:rPr>
          <w:rFonts w:ascii="Times New Roman" w:hAnsi="Times New Roman" w:cs="Times New Roman"/>
          <w:sz w:val="28"/>
          <w:szCs w:val="28"/>
        </w:rPr>
        <w:t>s</w:t>
      </w:r>
      <w:r w:rsidRPr="002F3D0A">
        <w:rPr>
          <w:rFonts w:ascii="Times New Roman" w:hAnsi="Times New Roman" w:cs="Times New Roman"/>
          <w:sz w:val="28"/>
          <w:szCs w:val="28"/>
        </w:rPr>
        <w:t xml:space="preserve"> categorizaci</w:t>
      </w:r>
      <w:r w:rsidRPr="002F3D0A">
        <w:rPr>
          <w:rFonts w:ascii="Times New Roman" w:hAnsi="Times New Roman" w:cs="Times New Roman"/>
          <w:sz w:val="28"/>
          <w:szCs w:val="28"/>
        </w:rPr>
        <w:t>ones</w:t>
      </w:r>
      <w:r w:rsidRPr="002F3D0A">
        <w:rPr>
          <w:rFonts w:ascii="Times New Roman" w:hAnsi="Times New Roman" w:cs="Times New Roman"/>
          <w:sz w:val="28"/>
          <w:szCs w:val="28"/>
        </w:rPr>
        <w:t xml:space="preserve"> que usa la </w:t>
      </w:r>
      <w:r w:rsidRPr="002F3D0A">
        <w:rPr>
          <w:rFonts w:ascii="Times New Roman" w:hAnsi="Times New Roman" w:cs="Times New Roman"/>
          <w:sz w:val="28"/>
          <w:szCs w:val="28"/>
        </w:rPr>
        <w:t xml:space="preserve">jurisprudencia </w:t>
      </w:r>
      <w:r w:rsidRPr="002F3D0A">
        <w:rPr>
          <w:rFonts w:ascii="Times New Roman" w:hAnsi="Times New Roman" w:cs="Times New Roman"/>
          <w:sz w:val="28"/>
          <w:szCs w:val="28"/>
        </w:rPr>
        <w:t>se ha</w:t>
      </w:r>
      <w:r w:rsidRPr="002F3D0A">
        <w:rPr>
          <w:rFonts w:ascii="Times New Roman" w:hAnsi="Times New Roman" w:cs="Times New Roman"/>
          <w:sz w:val="28"/>
          <w:szCs w:val="28"/>
        </w:rPr>
        <w:t>n</w:t>
      </w:r>
      <w:r w:rsidRPr="002F3D0A">
        <w:rPr>
          <w:rFonts w:ascii="Times New Roman" w:hAnsi="Times New Roman" w:cs="Times New Roman"/>
          <w:sz w:val="28"/>
          <w:szCs w:val="28"/>
        </w:rPr>
        <w:t xml:space="preserve"> complejizado a</w:t>
      </w:r>
      <w:r w:rsidRPr="002F3D0A">
        <w:rPr>
          <w:rFonts w:ascii="Times New Roman" w:hAnsi="Times New Roman" w:cs="Times New Roman"/>
          <w:sz w:val="28"/>
          <w:szCs w:val="28"/>
        </w:rPr>
        <w:t xml:space="preserve"> tal </w:t>
      </w:r>
      <w:r w:rsidRPr="002F3D0A">
        <w:rPr>
          <w:rFonts w:ascii="Times New Roman" w:hAnsi="Times New Roman" w:cs="Times New Roman"/>
          <w:sz w:val="28"/>
          <w:szCs w:val="28"/>
        </w:rPr>
        <w:t xml:space="preserve">punto que </w:t>
      </w:r>
      <w:r w:rsidRPr="002F3D0A">
        <w:rPr>
          <w:rFonts w:ascii="Times New Roman" w:hAnsi="Times New Roman" w:cs="Times New Roman"/>
          <w:sz w:val="28"/>
          <w:szCs w:val="28"/>
        </w:rPr>
        <w:t>son</w:t>
      </w:r>
      <w:r w:rsidRPr="002F3D0A">
        <w:rPr>
          <w:rFonts w:ascii="Times New Roman" w:hAnsi="Times New Roman" w:cs="Times New Roman"/>
          <w:sz w:val="28"/>
          <w:szCs w:val="28"/>
        </w:rPr>
        <w:t xml:space="preserve"> de difícil comprensión incluso para una</w:t>
      </w:r>
      <w:r w:rsidRPr="002F3D0A">
        <w:rPr>
          <w:rFonts w:ascii="Times New Roman" w:hAnsi="Times New Roman" w:cs="Times New Roman"/>
          <w:sz w:val="28"/>
          <w:szCs w:val="28"/>
        </w:rPr>
        <w:t xml:space="preserve"> persona especializada en derecho constitucional</w:t>
      </w:r>
      <w:r w:rsidRPr="002F3D0A">
        <w:rPr>
          <w:rFonts w:ascii="Times New Roman" w:hAnsi="Times New Roman" w:cs="Times New Roman"/>
          <w:sz w:val="28"/>
          <w:szCs w:val="28"/>
        </w:rPr>
        <w:t xml:space="preserve">. </w:t>
      </w:r>
    </w:p>
    <w:p w:rsidR="006E1D5E" w:rsidRPr="002F3D0A" w:rsidRDefault="002F3D0A" w:rsidP="0047754F">
      <w:pPr>
        <w:spacing w:after="0" w:line="240" w:lineRule="auto"/>
        <w:jc w:val="both"/>
        <w:rPr>
          <w:rFonts w:ascii="Times New Roman" w:hAnsi="Times New Roman" w:cs="Times New Roman"/>
          <w:sz w:val="28"/>
          <w:szCs w:val="28"/>
        </w:rPr>
      </w:pPr>
    </w:p>
    <w:p w:rsidR="00A357DD" w:rsidRPr="002F3D0A" w:rsidRDefault="002F3D0A" w:rsidP="0047754F">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Además, </w:t>
      </w:r>
      <w:r w:rsidRPr="002F3D0A">
        <w:rPr>
          <w:rFonts w:ascii="Times New Roman" w:hAnsi="Times New Roman" w:cs="Times New Roman"/>
          <w:sz w:val="28"/>
          <w:szCs w:val="28"/>
        </w:rPr>
        <w:t>c</w:t>
      </w:r>
      <w:r w:rsidRPr="002F3D0A">
        <w:rPr>
          <w:rFonts w:ascii="Times New Roman" w:hAnsi="Times New Roman" w:cs="Times New Roman"/>
          <w:sz w:val="28"/>
          <w:szCs w:val="28"/>
        </w:rPr>
        <w:t>on independencia de si decide o no</w:t>
      </w:r>
      <w:r w:rsidRPr="002F3D0A">
        <w:rPr>
          <w:rFonts w:ascii="Times New Roman" w:hAnsi="Times New Roman" w:cs="Times New Roman"/>
          <w:sz w:val="28"/>
          <w:szCs w:val="28"/>
        </w:rPr>
        <w:t xml:space="preserve"> modificar su jurisprudencia o el rigor que usa para analizar la aptitud sustantiva de las demandas, </w:t>
      </w:r>
      <w:r w:rsidRPr="002F3D0A">
        <w:rPr>
          <w:rFonts w:ascii="Times New Roman" w:hAnsi="Times New Roman" w:cs="Times New Roman"/>
          <w:sz w:val="28"/>
          <w:szCs w:val="28"/>
        </w:rPr>
        <w:t xml:space="preserve">estimo que </w:t>
      </w:r>
      <w:r w:rsidRPr="002F3D0A">
        <w:rPr>
          <w:rFonts w:ascii="Times New Roman" w:hAnsi="Times New Roman" w:cs="Times New Roman"/>
          <w:sz w:val="28"/>
          <w:szCs w:val="28"/>
        </w:rPr>
        <w:t>la Corte debería empezar a desarrollar herramient</w:t>
      </w:r>
      <w:r w:rsidRPr="002F3D0A">
        <w:rPr>
          <w:rFonts w:ascii="Times New Roman" w:hAnsi="Times New Roman" w:cs="Times New Roman"/>
          <w:sz w:val="28"/>
          <w:szCs w:val="28"/>
        </w:rPr>
        <w:t xml:space="preserve">as </w:t>
      </w:r>
      <w:r w:rsidRPr="002F3D0A">
        <w:rPr>
          <w:rFonts w:ascii="Times New Roman" w:hAnsi="Times New Roman" w:cs="Times New Roman"/>
          <w:sz w:val="28"/>
          <w:szCs w:val="28"/>
        </w:rPr>
        <w:t xml:space="preserve">pedagógicas </w:t>
      </w:r>
      <w:r w:rsidRPr="002F3D0A">
        <w:rPr>
          <w:rFonts w:ascii="Times New Roman" w:hAnsi="Times New Roman" w:cs="Times New Roman"/>
          <w:sz w:val="28"/>
          <w:szCs w:val="28"/>
        </w:rPr>
        <w:t>que le permitan a la ciudadanía saber y entender</w:t>
      </w:r>
      <w:r w:rsidRPr="002F3D0A">
        <w:rPr>
          <w:rFonts w:ascii="Times New Roman" w:hAnsi="Times New Roman" w:cs="Times New Roman"/>
          <w:sz w:val="28"/>
          <w:szCs w:val="28"/>
        </w:rPr>
        <w:t xml:space="preserve"> previamente </w:t>
      </w:r>
      <w:r w:rsidRPr="002F3D0A">
        <w:rPr>
          <w:rFonts w:ascii="Times New Roman" w:hAnsi="Times New Roman" w:cs="Times New Roman"/>
          <w:sz w:val="28"/>
          <w:szCs w:val="28"/>
        </w:rPr>
        <w:t>cuáles son las cargas argumentativas</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que</w:t>
      </w:r>
      <w:r w:rsidRPr="002F3D0A">
        <w:rPr>
          <w:rFonts w:ascii="Times New Roman" w:hAnsi="Times New Roman" w:cs="Times New Roman"/>
          <w:sz w:val="28"/>
          <w:szCs w:val="28"/>
        </w:rPr>
        <w:t xml:space="preserve"> </w:t>
      </w:r>
      <w:r w:rsidRPr="002F3D0A">
        <w:rPr>
          <w:rFonts w:ascii="Times New Roman" w:hAnsi="Times New Roman" w:cs="Times New Roman"/>
          <w:sz w:val="28"/>
          <w:szCs w:val="28"/>
        </w:rPr>
        <w:t xml:space="preserve">se </w:t>
      </w:r>
      <w:r w:rsidRPr="002F3D0A">
        <w:rPr>
          <w:rFonts w:ascii="Times New Roman" w:hAnsi="Times New Roman" w:cs="Times New Roman"/>
          <w:sz w:val="28"/>
          <w:szCs w:val="28"/>
        </w:rPr>
        <w:t>debe</w:t>
      </w:r>
      <w:r w:rsidRPr="002F3D0A">
        <w:rPr>
          <w:rFonts w:ascii="Times New Roman" w:hAnsi="Times New Roman" w:cs="Times New Roman"/>
          <w:sz w:val="28"/>
          <w:szCs w:val="28"/>
        </w:rPr>
        <w:t>n</w:t>
      </w:r>
      <w:r w:rsidRPr="002F3D0A">
        <w:rPr>
          <w:rFonts w:ascii="Times New Roman" w:hAnsi="Times New Roman" w:cs="Times New Roman"/>
          <w:sz w:val="28"/>
          <w:szCs w:val="28"/>
        </w:rPr>
        <w:t xml:space="preserve"> cumplir </w:t>
      </w:r>
      <w:r w:rsidRPr="002F3D0A">
        <w:rPr>
          <w:rFonts w:ascii="Times New Roman" w:hAnsi="Times New Roman" w:cs="Times New Roman"/>
          <w:sz w:val="28"/>
          <w:szCs w:val="28"/>
        </w:rPr>
        <w:t>para</w:t>
      </w:r>
      <w:r w:rsidRPr="002F3D0A">
        <w:rPr>
          <w:rFonts w:ascii="Times New Roman" w:hAnsi="Times New Roman" w:cs="Times New Roman"/>
          <w:sz w:val="28"/>
          <w:szCs w:val="28"/>
        </w:rPr>
        <w:t xml:space="preserve"> formular una acción pública de inconstitucionalidad</w:t>
      </w:r>
      <w:r w:rsidRPr="002F3D0A">
        <w:rPr>
          <w:rFonts w:ascii="Times New Roman" w:hAnsi="Times New Roman" w:cs="Times New Roman"/>
          <w:sz w:val="28"/>
          <w:szCs w:val="28"/>
        </w:rPr>
        <w:t xml:space="preserve"> que pueda ser admitida y fallada de fondo. </w:t>
      </w:r>
    </w:p>
    <w:p w:rsidR="00A357DD" w:rsidRPr="002F3D0A" w:rsidRDefault="002F3D0A" w:rsidP="0047754F">
      <w:pPr>
        <w:spacing w:after="0" w:line="240" w:lineRule="auto"/>
        <w:jc w:val="both"/>
        <w:rPr>
          <w:rFonts w:ascii="Times New Roman" w:hAnsi="Times New Roman" w:cs="Times New Roman"/>
          <w:sz w:val="28"/>
          <w:szCs w:val="28"/>
        </w:rPr>
      </w:pPr>
    </w:p>
    <w:p w:rsidR="0047754F" w:rsidRPr="002F3D0A" w:rsidRDefault="002F3D0A" w:rsidP="0047754F">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Finalmente</w:t>
      </w:r>
      <w:r w:rsidRPr="002F3D0A">
        <w:rPr>
          <w:rFonts w:ascii="Times New Roman" w:hAnsi="Times New Roman" w:cs="Times New Roman"/>
          <w:sz w:val="28"/>
          <w:szCs w:val="28"/>
        </w:rPr>
        <w:t>,</w:t>
      </w:r>
      <w:r w:rsidRPr="002F3D0A">
        <w:rPr>
          <w:rFonts w:ascii="Times New Roman" w:hAnsi="Times New Roman" w:cs="Times New Roman"/>
          <w:sz w:val="28"/>
          <w:szCs w:val="28"/>
        </w:rPr>
        <w:t xml:space="preserve"> considero que la actitud de la Corte Constitucional hacia las demandas es un elemento fundamental en el cambio. Esta Corporación debe ver, a través de una serie de exigencias de aptitud, si existe un problema de inconstitucionalidad de normas legales, sob</w:t>
      </w:r>
      <w:r w:rsidRPr="002F3D0A">
        <w:rPr>
          <w:rFonts w:ascii="Times New Roman" w:hAnsi="Times New Roman" w:cs="Times New Roman"/>
          <w:sz w:val="28"/>
          <w:szCs w:val="28"/>
        </w:rPr>
        <w:t xml:space="preserve">re el que se pueda debatir razonablemente. Es esto, en esencia, lo que torna apta una demanda. </w:t>
      </w:r>
    </w:p>
    <w:p w:rsidR="00EA22E3" w:rsidRPr="002F3D0A" w:rsidRDefault="002F3D0A" w:rsidP="00744DC4">
      <w:pPr>
        <w:spacing w:after="0" w:line="240" w:lineRule="auto"/>
        <w:rPr>
          <w:rFonts w:ascii="Times New Roman" w:hAnsi="Times New Roman" w:cs="Times New Roman"/>
          <w:sz w:val="28"/>
          <w:szCs w:val="28"/>
        </w:rPr>
      </w:pPr>
    </w:p>
    <w:p w:rsidR="00482902" w:rsidRPr="002F3D0A" w:rsidRDefault="002F3D0A" w:rsidP="006D361D">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Todos los elementos expuestos previamente me llevaron a aclarar el voto</w:t>
      </w:r>
      <w:r w:rsidRPr="002F3D0A">
        <w:rPr>
          <w:rFonts w:ascii="Times New Roman" w:hAnsi="Times New Roman" w:cs="Times New Roman"/>
          <w:sz w:val="28"/>
          <w:szCs w:val="28"/>
        </w:rPr>
        <w:t xml:space="preserve"> en la sentencia C-331 de 2022, en la cual la Corte declaró la ineptitud de la mayoría d</w:t>
      </w:r>
      <w:r w:rsidRPr="002F3D0A">
        <w:rPr>
          <w:rFonts w:ascii="Times New Roman" w:hAnsi="Times New Roman" w:cs="Times New Roman"/>
          <w:sz w:val="28"/>
          <w:szCs w:val="28"/>
        </w:rPr>
        <w:t xml:space="preserve">e los cargos </w:t>
      </w:r>
      <w:r w:rsidRPr="002F3D0A">
        <w:rPr>
          <w:rFonts w:ascii="Times New Roman" w:hAnsi="Times New Roman" w:cs="Times New Roman"/>
          <w:sz w:val="28"/>
          <w:szCs w:val="28"/>
        </w:rPr>
        <w:t>formulados por el accionante. Lo anterior a pesar de que muchos de estos cuestionamientos pasaron el primer filtro de admisión ante el entonces magistrado sustanciador y a que, en mi calidad de magistrada ponente, presenté un proyecto de fallo</w:t>
      </w:r>
      <w:r w:rsidRPr="002F3D0A">
        <w:rPr>
          <w:rFonts w:ascii="Times New Roman" w:hAnsi="Times New Roman" w:cs="Times New Roman"/>
          <w:sz w:val="28"/>
          <w:szCs w:val="28"/>
        </w:rPr>
        <w:t xml:space="preserve"> en el que propus</w:t>
      </w:r>
      <w:r w:rsidRPr="002F3D0A">
        <w:rPr>
          <w:rFonts w:ascii="Times New Roman" w:hAnsi="Times New Roman" w:cs="Times New Roman"/>
          <w:sz w:val="28"/>
          <w:szCs w:val="28"/>
        </w:rPr>
        <w:t>e</w:t>
      </w:r>
      <w:r w:rsidRPr="002F3D0A">
        <w:rPr>
          <w:rFonts w:ascii="Times New Roman" w:hAnsi="Times New Roman" w:cs="Times New Roman"/>
          <w:sz w:val="28"/>
          <w:szCs w:val="28"/>
        </w:rPr>
        <w:t xml:space="preserve"> un análisis de aptitud menos estricto del que finalmente quedó plasmado en la decisión. </w:t>
      </w:r>
    </w:p>
    <w:p w:rsidR="00482902" w:rsidRPr="002F3D0A" w:rsidRDefault="002F3D0A" w:rsidP="006D361D">
      <w:pPr>
        <w:spacing w:after="0" w:line="240" w:lineRule="auto"/>
        <w:jc w:val="both"/>
        <w:rPr>
          <w:rFonts w:ascii="Times New Roman" w:hAnsi="Times New Roman" w:cs="Times New Roman"/>
          <w:sz w:val="28"/>
          <w:szCs w:val="28"/>
        </w:rPr>
      </w:pPr>
    </w:p>
    <w:p w:rsidR="00482902" w:rsidRPr="002F3D0A" w:rsidRDefault="002F3D0A" w:rsidP="006D361D">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En esos términos aclaro mi voto en el presente asunto</w:t>
      </w:r>
      <w:r w:rsidRPr="002F3D0A">
        <w:rPr>
          <w:rFonts w:ascii="Times New Roman" w:hAnsi="Times New Roman" w:cs="Times New Roman"/>
          <w:sz w:val="28"/>
          <w:szCs w:val="28"/>
        </w:rPr>
        <w:t>.</w:t>
      </w:r>
    </w:p>
    <w:p w:rsidR="00482902" w:rsidRPr="002F3D0A" w:rsidRDefault="002F3D0A" w:rsidP="006D361D">
      <w:pPr>
        <w:spacing w:after="0" w:line="240" w:lineRule="auto"/>
        <w:jc w:val="both"/>
        <w:rPr>
          <w:rFonts w:ascii="Times New Roman" w:hAnsi="Times New Roman" w:cs="Times New Roman"/>
          <w:sz w:val="28"/>
          <w:szCs w:val="28"/>
        </w:rPr>
      </w:pPr>
    </w:p>
    <w:p w:rsidR="00C35777" w:rsidRPr="002F3D0A" w:rsidRDefault="002F3D0A" w:rsidP="006D361D">
      <w:pPr>
        <w:spacing w:after="0" w:line="240" w:lineRule="auto"/>
        <w:jc w:val="both"/>
        <w:rPr>
          <w:rFonts w:ascii="Times New Roman" w:hAnsi="Times New Roman" w:cs="Times New Roman"/>
          <w:sz w:val="28"/>
          <w:szCs w:val="28"/>
        </w:rPr>
      </w:pPr>
      <w:r w:rsidRPr="002F3D0A">
        <w:rPr>
          <w:rFonts w:ascii="Times New Roman" w:hAnsi="Times New Roman" w:cs="Times New Roman"/>
          <w:sz w:val="28"/>
          <w:szCs w:val="28"/>
        </w:rPr>
        <w:t xml:space="preserve">Fecha </w:t>
      </w:r>
      <w:r w:rsidRPr="002F3D0A">
        <w:rPr>
          <w:rFonts w:ascii="Times New Roman" w:hAnsi="Times New Roman" w:cs="Times New Roman"/>
          <w:i/>
          <w:iCs/>
          <w:sz w:val="28"/>
          <w:szCs w:val="28"/>
        </w:rPr>
        <w:t>up supra,</w:t>
      </w:r>
      <w:r w:rsidRPr="002F3D0A">
        <w:rPr>
          <w:rFonts w:ascii="Times New Roman" w:hAnsi="Times New Roman" w:cs="Times New Roman"/>
          <w:sz w:val="28"/>
          <w:szCs w:val="28"/>
        </w:rPr>
        <w:t xml:space="preserve"> </w:t>
      </w:r>
    </w:p>
    <w:p w:rsidR="00482902" w:rsidRPr="002F3D0A" w:rsidRDefault="002F3D0A" w:rsidP="006D361D">
      <w:pPr>
        <w:spacing w:after="0" w:line="240" w:lineRule="auto"/>
        <w:jc w:val="both"/>
        <w:rPr>
          <w:rFonts w:ascii="Times New Roman" w:hAnsi="Times New Roman" w:cs="Times New Roman"/>
          <w:sz w:val="28"/>
          <w:szCs w:val="28"/>
        </w:rPr>
      </w:pPr>
    </w:p>
    <w:p w:rsidR="00482902" w:rsidRPr="002F3D0A" w:rsidRDefault="002F3D0A" w:rsidP="006D361D">
      <w:pPr>
        <w:spacing w:after="0" w:line="240" w:lineRule="auto"/>
        <w:jc w:val="both"/>
        <w:rPr>
          <w:rFonts w:ascii="Times New Roman" w:hAnsi="Times New Roman" w:cs="Times New Roman"/>
          <w:sz w:val="28"/>
          <w:szCs w:val="28"/>
        </w:rPr>
      </w:pPr>
    </w:p>
    <w:p w:rsidR="00482902" w:rsidRPr="002F3D0A" w:rsidRDefault="002F3D0A" w:rsidP="00C81337">
      <w:pPr>
        <w:spacing w:after="0" w:line="240" w:lineRule="auto"/>
        <w:jc w:val="center"/>
        <w:rPr>
          <w:rFonts w:ascii="Times New Roman" w:hAnsi="Times New Roman" w:cs="Times New Roman"/>
          <w:sz w:val="28"/>
          <w:szCs w:val="28"/>
        </w:rPr>
      </w:pPr>
    </w:p>
    <w:p w:rsidR="0067552A" w:rsidRPr="002F3D0A" w:rsidRDefault="002F3D0A" w:rsidP="00C81337">
      <w:pPr>
        <w:spacing w:after="0" w:line="240" w:lineRule="auto"/>
        <w:jc w:val="center"/>
        <w:rPr>
          <w:rFonts w:ascii="Times New Roman" w:hAnsi="Times New Roman" w:cs="Times New Roman"/>
          <w:sz w:val="28"/>
          <w:szCs w:val="28"/>
        </w:rPr>
      </w:pPr>
    </w:p>
    <w:p w:rsidR="0067552A" w:rsidRPr="002F3D0A" w:rsidRDefault="002F3D0A" w:rsidP="00C81337">
      <w:pPr>
        <w:spacing w:after="0" w:line="240" w:lineRule="auto"/>
        <w:jc w:val="center"/>
        <w:rPr>
          <w:rFonts w:ascii="Times New Roman" w:hAnsi="Times New Roman" w:cs="Times New Roman"/>
          <w:sz w:val="28"/>
          <w:szCs w:val="28"/>
        </w:rPr>
      </w:pPr>
    </w:p>
    <w:p w:rsidR="0067552A" w:rsidRPr="002F3D0A" w:rsidRDefault="002F3D0A" w:rsidP="0067552A">
      <w:pPr>
        <w:spacing w:after="0" w:line="240" w:lineRule="auto"/>
        <w:jc w:val="center"/>
        <w:rPr>
          <w:rFonts w:ascii="Times New Roman" w:hAnsi="Times New Roman" w:cs="Times New Roman"/>
          <w:b/>
          <w:bCs/>
          <w:sz w:val="28"/>
          <w:szCs w:val="28"/>
        </w:rPr>
      </w:pPr>
      <w:r w:rsidRPr="002F3D0A">
        <w:rPr>
          <w:rFonts w:ascii="Times New Roman" w:hAnsi="Times New Roman" w:cs="Times New Roman"/>
          <w:b/>
          <w:bCs/>
          <w:sz w:val="28"/>
          <w:szCs w:val="28"/>
        </w:rPr>
        <w:t>NATALIA ÁNGEL CABO</w:t>
      </w:r>
    </w:p>
    <w:p w:rsidR="0067552A" w:rsidRPr="002F3D0A" w:rsidRDefault="002F3D0A" w:rsidP="0067552A">
      <w:pPr>
        <w:spacing w:after="0" w:line="240" w:lineRule="auto"/>
        <w:jc w:val="center"/>
        <w:rPr>
          <w:rFonts w:ascii="Times New Roman" w:hAnsi="Times New Roman" w:cs="Times New Roman"/>
          <w:b/>
          <w:bCs/>
          <w:sz w:val="28"/>
          <w:szCs w:val="28"/>
        </w:rPr>
      </w:pPr>
      <w:r w:rsidRPr="002F3D0A">
        <w:rPr>
          <w:rFonts w:ascii="Times New Roman" w:hAnsi="Times New Roman" w:cs="Times New Roman"/>
          <w:b/>
          <w:bCs/>
          <w:sz w:val="28"/>
          <w:szCs w:val="28"/>
        </w:rPr>
        <w:t>Magistrada</w:t>
      </w:r>
    </w:p>
    <w:sectPr w:rsidR="0067552A" w:rsidRPr="002F3D0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F3D0A">
      <w:pPr>
        <w:spacing w:after="0" w:line="240" w:lineRule="auto"/>
      </w:pPr>
      <w:r>
        <w:separator/>
      </w:r>
    </w:p>
  </w:endnote>
  <w:endnote w:type="continuationSeparator" w:id="0">
    <w:p w:rsidR="00000000" w:rsidRDefault="002F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F3D0A">
      <w:pPr>
        <w:spacing w:after="0" w:line="240" w:lineRule="auto"/>
      </w:pPr>
      <w:r>
        <w:separator/>
      </w:r>
    </w:p>
  </w:footnote>
  <w:footnote w:type="continuationSeparator" w:id="0">
    <w:p w:rsidR="00000000" w:rsidRDefault="002F3D0A">
      <w:pPr>
        <w:spacing w:after="0" w:line="240" w:lineRule="auto"/>
      </w:pPr>
      <w:r>
        <w:continuationSeparator/>
      </w:r>
    </w:p>
  </w:footnote>
  <w:footnote w:id="1">
    <w:p w:rsidR="008274AE" w:rsidRPr="00251210" w:rsidRDefault="002F3D0A">
      <w:pPr>
        <w:pStyle w:val="Textonotapie"/>
        <w:rPr>
          <w:rFonts w:ascii="Times New Roman" w:hAnsi="Times New Roman" w:cs="Times New Roman"/>
          <w:lang w:val="es-ES"/>
        </w:rPr>
      </w:pPr>
      <w:r w:rsidRPr="00251210">
        <w:rPr>
          <w:rStyle w:val="Refdenotaalpie"/>
          <w:rFonts w:ascii="Times New Roman" w:hAnsi="Times New Roman" w:cs="Times New Roman"/>
        </w:rPr>
        <w:footnoteRef/>
      </w:r>
      <w:r w:rsidRPr="00251210">
        <w:rPr>
          <w:rFonts w:ascii="Times New Roman" w:hAnsi="Times New Roman" w:cs="Times New Roman"/>
        </w:rPr>
        <w:t xml:space="preserve"> “Por medio de la cual se adopta una reforma tributaria para la igualdad y la justicia social y se dictan otras disposiciones.”</w:t>
      </w:r>
    </w:p>
  </w:footnote>
  <w:footnote w:id="2">
    <w:p w:rsidR="008274AE" w:rsidRPr="00251210" w:rsidRDefault="002F3D0A">
      <w:pPr>
        <w:pStyle w:val="Textonotapie"/>
        <w:rPr>
          <w:lang w:val="es-ES"/>
        </w:rPr>
      </w:pPr>
      <w:r w:rsidRPr="00251210">
        <w:rPr>
          <w:rStyle w:val="Refdenotaalpie"/>
          <w:rFonts w:ascii="Times New Roman" w:hAnsi="Times New Roman" w:cs="Times New Roman"/>
        </w:rPr>
        <w:footnoteRef/>
      </w:r>
      <w:r w:rsidRPr="00251210">
        <w:rPr>
          <w:rFonts w:ascii="Times New Roman" w:hAnsi="Times New Roman" w:cs="Times New Roman"/>
        </w:rPr>
        <w:t xml:space="preserve"> </w:t>
      </w:r>
      <w:r w:rsidRPr="00251210">
        <w:rPr>
          <w:rFonts w:ascii="Times New Roman" w:hAnsi="Times New Roman" w:cs="Times New Roman"/>
          <w:color w:val="000000" w:themeColor="text1"/>
          <w:lang w:val="es-ES"/>
        </w:rPr>
        <w:t xml:space="preserve">Dirigido contra </w:t>
      </w:r>
      <w:r w:rsidRPr="00251210">
        <w:rPr>
          <w:rFonts w:ascii="Times New Roman" w:eastAsia="Times New Roman" w:hAnsi="Times New Roman" w:cs="Times New Roman"/>
          <w:bCs/>
          <w:iCs/>
          <w:color w:val="000000" w:themeColor="text1"/>
          <w:lang w:val="es-ES_tradnl" w:eastAsia="es-ES"/>
        </w:rPr>
        <w:t>los artículos 35, 36, 37, 38, 39, 40 y 41 de la Ley 2277 de 2022.</w:t>
      </w:r>
    </w:p>
  </w:footnote>
  <w:footnote w:id="3">
    <w:p w:rsidR="008274AE" w:rsidRPr="00D13CC1" w:rsidRDefault="002F3D0A">
      <w:pPr>
        <w:pStyle w:val="Textonotapie"/>
        <w:rPr>
          <w:rFonts w:ascii="Times New Roman" w:hAnsi="Times New Roman" w:cs="Times New Roman"/>
          <w:highlight w:val="yellow"/>
          <w:lang w:val="es-ES"/>
        </w:rPr>
      </w:pPr>
      <w:r w:rsidRPr="002E1750">
        <w:rPr>
          <w:rStyle w:val="Refdenotaalpie"/>
          <w:rFonts w:ascii="Times New Roman" w:hAnsi="Times New Roman" w:cs="Times New Roman"/>
        </w:rPr>
        <w:footnoteRef/>
      </w:r>
      <w:r w:rsidRPr="002E1750">
        <w:rPr>
          <w:rFonts w:ascii="Times New Roman" w:hAnsi="Times New Roman" w:cs="Times New Roman"/>
        </w:rPr>
        <w:t xml:space="preserve"> </w:t>
      </w:r>
      <w:r w:rsidRPr="002E1750">
        <w:rPr>
          <w:rFonts w:ascii="Times New Roman" w:hAnsi="Times New Roman" w:cs="Times New Roman"/>
          <w:lang w:val="es-ES"/>
        </w:rPr>
        <w:t xml:space="preserve">Asimismo, se admitió el impedimento </w:t>
      </w:r>
      <w:r w:rsidRPr="002E1750">
        <w:rPr>
          <w:rFonts w:ascii="Times New Roman" w:hAnsi="Times New Roman" w:cs="Times New Roman"/>
          <w:lang w:val="es-ES"/>
        </w:rPr>
        <w:t>presentado por el magistrado Vladimir Fernández Andrade por haber intervenido, en su calidad de secretario jurídico de la Presidencia en la expedición de la Ley 2277 de 2022 y haber conceptuado sobre la constitucionalidad de la norma.</w:t>
      </w:r>
    </w:p>
  </w:footnote>
  <w:footnote w:id="4">
    <w:p w:rsidR="008274AE" w:rsidRPr="00C470F0" w:rsidRDefault="002F3D0A">
      <w:pPr>
        <w:pStyle w:val="Textonotapie"/>
        <w:rPr>
          <w:rFonts w:ascii="Times New Roman" w:hAnsi="Times New Roman" w:cs="Times New Roman"/>
          <w:lang w:val="es-ES"/>
        </w:rPr>
      </w:pPr>
      <w:r w:rsidRPr="00C470F0">
        <w:rPr>
          <w:rStyle w:val="Refdenotaalpie"/>
          <w:rFonts w:ascii="Times New Roman" w:hAnsi="Times New Roman" w:cs="Times New Roman"/>
        </w:rPr>
        <w:footnoteRef/>
      </w:r>
      <w:r w:rsidRPr="00C470F0">
        <w:rPr>
          <w:rFonts w:ascii="Times New Roman" w:hAnsi="Times New Roman" w:cs="Times New Roman"/>
        </w:rPr>
        <w:t xml:space="preserve"> Diario Oficial No. </w:t>
      </w:r>
      <w:r w:rsidRPr="00C470F0">
        <w:rPr>
          <w:rFonts w:ascii="Times New Roman" w:hAnsi="Times New Roman" w:cs="Times New Roman"/>
        </w:rPr>
        <w:t>52.247 de 13 de diciembre de 2022.</w:t>
      </w:r>
    </w:p>
  </w:footnote>
  <w:footnote w:id="5">
    <w:p w:rsidR="008274AE" w:rsidRPr="005C620D" w:rsidRDefault="002F3D0A">
      <w:pPr>
        <w:pStyle w:val="Textonotapie"/>
        <w:rPr>
          <w:rFonts w:ascii="Times New Roman" w:hAnsi="Times New Roman" w:cs="Times New Roman"/>
          <w:lang w:val="es-ES"/>
        </w:rPr>
      </w:pPr>
      <w:r w:rsidRPr="00E121C2">
        <w:rPr>
          <w:rStyle w:val="Refdenotaalpie"/>
          <w:rFonts w:ascii="Times New Roman" w:hAnsi="Times New Roman" w:cs="Times New Roman"/>
        </w:rPr>
        <w:footnoteRef/>
      </w:r>
      <w:r w:rsidRPr="00E121C2">
        <w:rPr>
          <w:rFonts w:ascii="Times New Roman" w:hAnsi="Times New Roman" w:cs="Times New Roman"/>
        </w:rPr>
        <w:t xml:space="preserve"> Exposición de motivos de la Ley 1739 de 2014. Gaceta 575 del 3 de octubre de 2014.</w:t>
      </w:r>
    </w:p>
  </w:footnote>
  <w:footnote w:id="6">
    <w:p w:rsidR="008274AE" w:rsidRPr="001A594A" w:rsidRDefault="002F3D0A">
      <w:pPr>
        <w:pStyle w:val="Textonotapie"/>
        <w:rPr>
          <w:rFonts w:ascii="Times New Roman" w:hAnsi="Times New Roman" w:cs="Times New Roman"/>
          <w:lang w:val="es-ES"/>
        </w:rPr>
      </w:pPr>
      <w:r w:rsidRPr="001A594A">
        <w:rPr>
          <w:rStyle w:val="Refdenotaalpie"/>
          <w:rFonts w:ascii="Times New Roman" w:hAnsi="Times New Roman" w:cs="Times New Roman"/>
        </w:rPr>
        <w:footnoteRef/>
      </w:r>
      <w:r w:rsidRPr="001A594A">
        <w:rPr>
          <w:rFonts w:ascii="Times New Roman" w:hAnsi="Times New Roman" w:cs="Times New Roman"/>
        </w:rPr>
        <w:t xml:space="preserve"> Particularmente de valores inscritos en el Registro Nacional de Valores y Emisores (RNVE), listados en Sistemas de Cotización de Valor</w:t>
      </w:r>
      <w:r w:rsidRPr="001A594A">
        <w:rPr>
          <w:rFonts w:ascii="Times New Roman" w:hAnsi="Times New Roman" w:cs="Times New Roman"/>
        </w:rPr>
        <w:t>es del Extranjero, participaciones en fondos de inversión colectiva o en programas de certificados de depósitos negociables representativos de valores.</w:t>
      </w:r>
    </w:p>
  </w:footnote>
  <w:footnote w:id="7">
    <w:p w:rsidR="008274AE" w:rsidRPr="000A385C" w:rsidRDefault="002F3D0A" w:rsidP="001C0FC9">
      <w:pPr>
        <w:pStyle w:val="Textonotapie"/>
        <w:rPr>
          <w:rFonts w:ascii="Times New Roman" w:hAnsi="Times New Roman" w:cs="Times New Roman"/>
          <w:lang w:val="es-ES"/>
        </w:rPr>
      </w:pPr>
      <w:r w:rsidRPr="000A385C">
        <w:rPr>
          <w:rStyle w:val="Refdenotaalpie"/>
          <w:rFonts w:ascii="Times New Roman" w:hAnsi="Times New Roman" w:cs="Times New Roman"/>
        </w:rPr>
        <w:footnoteRef/>
      </w:r>
      <w:r w:rsidRPr="000A385C">
        <w:rPr>
          <w:rFonts w:ascii="Times New Roman" w:hAnsi="Times New Roman" w:cs="Times New Roman"/>
        </w:rPr>
        <w:t>Si no se hubiera previsto el tratamiento tributario acusado: (i) se habrían aumentado los costos de fin</w:t>
      </w:r>
      <w:r w:rsidRPr="000A385C">
        <w:rPr>
          <w:rFonts w:ascii="Times New Roman" w:hAnsi="Times New Roman" w:cs="Times New Roman"/>
        </w:rPr>
        <w:t xml:space="preserve">anciamiento tanto del sector público como del sector privado; (ii) se disminuiría el interés por la deuda pública en pesos en un contexto en el que se proyecta la emisión de un monto histórico de TES; y (iii) se afectaría la estabilidad macroeconómica del </w:t>
      </w:r>
      <w:r w:rsidRPr="000A385C">
        <w:rPr>
          <w:rFonts w:ascii="Times New Roman" w:hAnsi="Times New Roman" w:cs="Times New Roman"/>
        </w:rPr>
        <w:t>país.</w:t>
      </w:r>
    </w:p>
  </w:footnote>
  <w:footnote w:id="8">
    <w:p w:rsidR="008274AE" w:rsidRPr="00B014E6" w:rsidRDefault="002F3D0A">
      <w:pPr>
        <w:pStyle w:val="Textonotapie"/>
        <w:rPr>
          <w:lang w:val="es-ES"/>
        </w:rPr>
      </w:pPr>
      <w:r>
        <w:rPr>
          <w:rStyle w:val="Refdenotaalpie"/>
        </w:rPr>
        <w:footnoteRef/>
      </w:r>
      <w:r>
        <w:t xml:space="preserve"> </w:t>
      </w:r>
      <w:r w:rsidRPr="00B014E6">
        <w:rPr>
          <w:rFonts w:ascii="Times New Roman" w:hAnsi="Times New Roman" w:cs="Times New Roman"/>
        </w:rPr>
        <w:t xml:space="preserve">Esta entrada de capital corresponde principalmente a la adquisición de bonos emitidos por el Gobierno nacional y por particulares, y a la compra de acciones de empresas colombianas por portafolios externos. A través de este tipo de inversión se </w:t>
      </w:r>
      <w:r w:rsidRPr="00B014E6">
        <w:rPr>
          <w:rFonts w:ascii="Times New Roman" w:hAnsi="Times New Roman" w:cs="Times New Roman"/>
        </w:rPr>
        <w:t>amplían fuentes de financiación, reducen tasas de interés, se posibilita la colocación de deuda a mayores plazos y se brinda liquidez tanto al gobierno como al sector público para la financiación del desarrollo en el país</w:t>
      </w:r>
      <w:r w:rsidRPr="00B014E6">
        <w:t>.</w:t>
      </w:r>
    </w:p>
  </w:footnote>
  <w:footnote w:id="9">
    <w:p w:rsidR="008274AE" w:rsidRPr="0052340D" w:rsidRDefault="002F3D0A">
      <w:pPr>
        <w:pStyle w:val="Textonotapie"/>
        <w:rPr>
          <w:rFonts w:ascii="Times New Roman" w:hAnsi="Times New Roman" w:cs="Times New Roman"/>
          <w:lang w:val="es-ES"/>
        </w:rPr>
      </w:pPr>
      <w:r w:rsidRPr="0052340D">
        <w:rPr>
          <w:rStyle w:val="Refdenotaalpie"/>
          <w:rFonts w:ascii="Times New Roman" w:hAnsi="Times New Roman" w:cs="Times New Roman"/>
        </w:rPr>
        <w:footnoteRef/>
      </w:r>
      <w:r w:rsidRPr="0052340D">
        <w:rPr>
          <w:rFonts w:ascii="Times New Roman" w:hAnsi="Times New Roman" w:cs="Times New Roman"/>
        </w:rPr>
        <w:t xml:space="preserve"> </w:t>
      </w:r>
      <w:r w:rsidRPr="0052340D">
        <w:rPr>
          <w:rFonts w:ascii="Times New Roman" w:eastAsia="Calibri" w:hAnsi="Times New Roman" w:cs="Times New Roman"/>
          <w:color w:val="000000" w:themeColor="text1"/>
          <w:lang w:val="es-ES"/>
        </w:rPr>
        <w:t>Esto, debido a que: (i) el impu</w:t>
      </w:r>
      <w:r w:rsidRPr="0052340D">
        <w:rPr>
          <w:rFonts w:ascii="Times New Roman" w:eastAsia="Calibri" w:hAnsi="Times New Roman" w:cs="Times New Roman"/>
          <w:color w:val="000000" w:themeColor="text1"/>
          <w:lang w:val="es-ES"/>
        </w:rPr>
        <w:t>esto predial es de naturaleza real y grava la propiedad inmueble mientras que el impuesto al patrimonio es de naturaleza personal y grava el conjunto de bienes y derechos susceptibles de valoración económica en cabeza de un sujeto; (ii) el impuesto al patr</w:t>
      </w:r>
      <w:r w:rsidRPr="0052340D">
        <w:rPr>
          <w:rFonts w:ascii="Times New Roman" w:eastAsia="Calibri" w:hAnsi="Times New Roman" w:cs="Times New Roman"/>
          <w:color w:val="000000" w:themeColor="text1"/>
          <w:lang w:val="es-ES"/>
        </w:rPr>
        <w:t>imonio no es un gravamen sobre la propiedad inmueble, pues este tipo de propiedad es solo uno de los elementos que pueden componer el patrimonio; (iii) la regla del artículo 317 superior no recae sobre tributos de naturaleza personal y prohíbe la introducc</w:t>
      </w:r>
      <w:r w:rsidRPr="0052340D">
        <w:rPr>
          <w:rFonts w:ascii="Times New Roman" w:eastAsia="Calibri" w:hAnsi="Times New Roman" w:cs="Times New Roman"/>
          <w:color w:val="000000" w:themeColor="text1"/>
          <w:lang w:val="es-ES"/>
        </w:rPr>
        <w:t>ión de tributos que recaigan de manera directa y específica sobre la propiedad inmueble, razón por la que no todo gravamen que pueda relacionarse con la propiedad inmueble se encuentra cobijada por la reserva constitucional en favor de los municipios; y (i</w:t>
      </w:r>
      <w:r w:rsidRPr="0052340D">
        <w:rPr>
          <w:rFonts w:ascii="Times New Roman" w:eastAsia="Calibri" w:hAnsi="Times New Roman" w:cs="Times New Roman"/>
          <w:color w:val="000000" w:themeColor="text1"/>
          <w:lang w:val="es-ES"/>
        </w:rPr>
        <w:t>v) el impuesto al patrimonio no afecta directa y específicamente a un bien inmueble en particular.</w:t>
      </w:r>
    </w:p>
  </w:footnote>
  <w:footnote w:id="10">
    <w:p w:rsidR="008274AE" w:rsidRPr="00D61638" w:rsidRDefault="002F3D0A">
      <w:pPr>
        <w:pStyle w:val="Textonotapie"/>
        <w:rPr>
          <w:rFonts w:ascii="Times New Roman" w:hAnsi="Times New Roman" w:cs="Times New Roman"/>
          <w:lang w:val="es-ES"/>
        </w:rPr>
      </w:pPr>
      <w:r w:rsidRPr="00D61638">
        <w:rPr>
          <w:rStyle w:val="Refdenotaalpie"/>
          <w:rFonts w:ascii="Times New Roman" w:hAnsi="Times New Roman" w:cs="Times New Roman"/>
        </w:rPr>
        <w:footnoteRef/>
      </w:r>
      <w:r w:rsidRPr="00D61638">
        <w:rPr>
          <w:rFonts w:ascii="Times New Roman" w:hAnsi="Times New Roman" w:cs="Times New Roman"/>
        </w:rPr>
        <w:t xml:space="preserve"> </w:t>
      </w:r>
      <w:r w:rsidRPr="00D61638">
        <w:rPr>
          <w:rFonts w:ascii="Times New Roman" w:hAnsi="Times New Roman" w:cs="Times New Roman"/>
          <w:lang w:val="es-ES"/>
        </w:rPr>
        <w:t>Para el efecto cita consideraciones de doctrina nacional. En particular</w:t>
      </w:r>
      <w:r>
        <w:rPr>
          <w:rFonts w:ascii="Times New Roman" w:hAnsi="Times New Roman" w:cs="Times New Roman"/>
          <w:lang w:val="es-ES"/>
        </w:rPr>
        <w:t xml:space="preserve">: (i) </w:t>
      </w:r>
      <w:r w:rsidRPr="00D61638">
        <w:rPr>
          <w:rFonts w:ascii="Times New Roman" w:hAnsi="Times New Roman" w:cs="Times New Roman"/>
          <w:lang w:val="es-ES"/>
        </w:rPr>
        <w:t>Plazas Vega, Mauricio Alfredo</w:t>
      </w:r>
      <w:r>
        <w:rPr>
          <w:rFonts w:ascii="Times New Roman" w:hAnsi="Times New Roman" w:cs="Times New Roman"/>
          <w:lang w:val="es-ES"/>
        </w:rPr>
        <w:t xml:space="preserve">. El Sistema Tributario en el Siglo XXI. Bogotá, </w:t>
      </w:r>
      <w:r>
        <w:rPr>
          <w:rFonts w:ascii="Times New Roman" w:hAnsi="Times New Roman" w:cs="Times New Roman"/>
          <w:lang w:val="es-ES"/>
        </w:rPr>
        <w:t>Temis 2018; (ii) Quiñones Cruz, Diego. Reflexiones breves acerca de los medios y los fines en materia de la constitucionalidad de la reforma tributaria. Libro Reforma Tributaria 2022. Bogotá. ICDT. 2023.</w:t>
      </w:r>
    </w:p>
  </w:footnote>
  <w:footnote w:id="11">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Constitución Política, art. 243. </w:t>
      </w:r>
    </w:p>
  </w:footnote>
  <w:footnote w:id="12">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Style w:val="Refdenotaalpie"/>
          <w:rFonts w:ascii="Times New Roman" w:hAnsi="Times New Roman" w:cs="Times New Roman"/>
          <w:color w:val="000000" w:themeColor="text1"/>
        </w:rPr>
        <w:t xml:space="preserve"> </w:t>
      </w:r>
      <w:r w:rsidRPr="006B64AF">
        <w:rPr>
          <w:rFonts w:ascii="Times New Roman" w:hAnsi="Times New Roman" w:cs="Times New Roman"/>
          <w:color w:val="000000" w:themeColor="text1"/>
        </w:rPr>
        <w:t xml:space="preserve">Sentencia </w:t>
      </w:r>
      <w:r w:rsidRPr="006B64AF">
        <w:rPr>
          <w:rFonts w:ascii="Times New Roman" w:hAnsi="Times New Roman" w:cs="Times New Roman"/>
          <w:color w:val="000000" w:themeColor="text1"/>
        </w:rPr>
        <w:t>C-101 de 2022</w:t>
      </w:r>
      <w:r w:rsidRPr="006B64AF">
        <w:rPr>
          <w:rFonts w:ascii="Times New Roman" w:hAnsi="Times New Roman" w:cs="Times New Roman"/>
          <w:color w:val="000000" w:themeColor="text1"/>
          <w:highlight w:val="darkGray"/>
        </w:rPr>
        <w:t>.</w:t>
      </w:r>
      <w:r w:rsidRPr="006B64AF">
        <w:rPr>
          <w:rFonts w:ascii="Times New Roman" w:hAnsi="Times New Roman" w:cs="Times New Roman"/>
          <w:color w:val="000000" w:themeColor="text1"/>
        </w:rPr>
        <w:t xml:space="preserve"> </w:t>
      </w:r>
    </w:p>
  </w:footnote>
  <w:footnote w:id="13">
    <w:p w:rsidR="008274AE" w:rsidRPr="00501553"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En esa ocasión, esta Corporación estimó que, respecto a los cargos que admitió, había ausencia de cosa juzgada, a </w:t>
      </w:r>
      <w:r w:rsidRPr="006B64AF">
        <w:rPr>
          <w:rFonts w:ascii="Times New Roman" w:hAnsi="Times New Roman" w:cs="Times New Roman"/>
          <w:color w:val="000000" w:themeColor="text1"/>
          <w:shd w:val="clear" w:color="auto" w:fill="FFFFFF"/>
        </w:rPr>
        <w:t>pesar</w:t>
      </w:r>
      <w:r w:rsidRPr="006B64AF">
        <w:rPr>
          <w:rFonts w:ascii="Times New Roman" w:hAnsi="Times New Roman" w:cs="Times New Roman"/>
          <w:color w:val="000000" w:themeColor="text1"/>
        </w:rPr>
        <w:t xml:space="preserve"> de que en las sentencias C-891 de 2012 y C-045 de 2018, la Sala Plena estudió la conformidad de varios apartes del art</w:t>
      </w:r>
      <w:r w:rsidRPr="006B64AF">
        <w:rPr>
          <w:rFonts w:ascii="Times New Roman" w:hAnsi="Times New Roman" w:cs="Times New Roman"/>
          <w:color w:val="000000" w:themeColor="text1"/>
        </w:rPr>
        <w:t>ículo 8 de la Ley 1421 de 2010 por medio de la cual se prorrogó la Ley 418 de 1997, relacionada con los instrumentos para la búsqueda de la convivencia y la eficacia de la justicia. En efecto, las censuras que fueron objeto de admisión, relacionadas con la</w:t>
      </w:r>
      <w:r w:rsidRPr="006B64AF">
        <w:rPr>
          <w:rFonts w:ascii="Times New Roman" w:hAnsi="Times New Roman" w:cs="Times New Roman"/>
          <w:color w:val="000000" w:themeColor="text1"/>
        </w:rPr>
        <w:t xml:space="preserve"> supuesta violación de los límites a la libertad de </w:t>
      </w:r>
      <w:r w:rsidRPr="00501553">
        <w:rPr>
          <w:rFonts w:ascii="Times New Roman" w:hAnsi="Times New Roman" w:cs="Times New Roman"/>
          <w:color w:val="000000" w:themeColor="text1"/>
          <w:shd w:val="clear" w:color="auto" w:fill="FFFFFF"/>
        </w:rPr>
        <w:t>configuración</w:t>
      </w:r>
      <w:r w:rsidRPr="00501553">
        <w:rPr>
          <w:rFonts w:ascii="Times New Roman" w:hAnsi="Times New Roman" w:cs="Times New Roman"/>
          <w:color w:val="000000" w:themeColor="text1"/>
        </w:rPr>
        <w:t xml:space="preserve"> legislativa en materia tributaria, no habían sido objeto de un pronunciamiento de la Corte, pues (i) no guardaron identidad de objeto con la sentencia C-891 de 2012 y (ii) a pesar de que pod</w:t>
      </w:r>
      <w:r w:rsidRPr="00501553">
        <w:rPr>
          <w:rFonts w:ascii="Times New Roman" w:hAnsi="Times New Roman" w:cs="Times New Roman"/>
          <w:color w:val="000000" w:themeColor="text1"/>
        </w:rPr>
        <w:t xml:space="preserve">ían asimilarse a un argumento planteado por el demandante en la sentencia C-045 de 2018, en esa decisión la Corte se inhibió para proferir un fallo de fondo. </w:t>
      </w:r>
    </w:p>
  </w:footnote>
  <w:footnote w:id="14">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Por ejemplo, ver sentencias C-227 de 2023, C-233 de 2021, C-089 de 2020, C-519 de 2019, C-352 d</w:t>
      </w:r>
      <w:r w:rsidRPr="00501553">
        <w:rPr>
          <w:rFonts w:ascii="Times New Roman" w:hAnsi="Times New Roman" w:cs="Times New Roman"/>
          <w:color w:val="000000" w:themeColor="text1"/>
        </w:rPr>
        <w:t>e 2017.</w:t>
      </w:r>
    </w:p>
  </w:footnote>
  <w:footnote w:id="15">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Por medio de esa sentencia, la Sala Plena declaró estarse a lo resuelto en la sentencia C-521 de 2019 y, en consecuencia, declarar exequible una expresión contenida en el inciso 1º del artículo 46 de la Ley 2010 de 2019, relacionada con </w:t>
      </w:r>
      <w:r w:rsidRPr="00501553">
        <w:rPr>
          <w:rFonts w:ascii="Times New Roman" w:hAnsi="Times New Roman" w:cs="Times New Roman"/>
          <w:color w:val="000000" w:themeColor="text1"/>
          <w:shd w:val="clear" w:color="auto" w:fill="FFFFFF"/>
        </w:rPr>
        <w:t>medidas</w:t>
      </w:r>
      <w:r w:rsidRPr="00501553">
        <w:rPr>
          <w:rFonts w:ascii="Times New Roman" w:hAnsi="Times New Roman" w:cs="Times New Roman"/>
          <w:color w:val="000000" w:themeColor="text1"/>
        </w:rPr>
        <w:t xml:space="preserve"> económicas. Así, esta Corporación concluyó que el demandante no cumplió las exigencias necesarias para reabrir el debate constitucional planteado en la C-521 de 2019, de manera que operó el fenómeno de la cosa juzgada material en sentido amplio. </w:t>
      </w:r>
    </w:p>
  </w:footnote>
  <w:footnote w:id="16">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Senten</w:t>
      </w:r>
      <w:r w:rsidRPr="00501553">
        <w:rPr>
          <w:rFonts w:ascii="Times New Roman" w:hAnsi="Times New Roman" w:cs="Times New Roman"/>
          <w:color w:val="000000" w:themeColor="text1"/>
        </w:rPr>
        <w:t xml:space="preserve">cia </w:t>
      </w:r>
      <w:r w:rsidRPr="00501553">
        <w:rPr>
          <w:rFonts w:ascii="Times New Roman" w:hAnsi="Times New Roman" w:cs="Times New Roman"/>
          <w:color w:val="000000" w:themeColor="text1"/>
          <w:shd w:val="clear" w:color="auto" w:fill="FFFFFF"/>
        </w:rPr>
        <w:t xml:space="preserve">C-153 de 2002, reiterada en la </w:t>
      </w:r>
      <w:r w:rsidRPr="00501553">
        <w:rPr>
          <w:rFonts w:ascii="Times New Roman" w:hAnsi="Times New Roman" w:cs="Times New Roman"/>
          <w:color w:val="000000" w:themeColor="text1"/>
        </w:rPr>
        <w:t>C-039 de 2021, entre muchas otras. En esa ocasión, la Corte se estuvo a lo resuelto en la C-474 de 1994 y declaró la exequibilidad del artículo 35 de la Ley 1 de 1991, luego de concluir que operó la cosa juzgada constituc</w:t>
      </w:r>
      <w:r w:rsidRPr="00501553">
        <w:rPr>
          <w:rFonts w:ascii="Times New Roman" w:hAnsi="Times New Roman" w:cs="Times New Roman"/>
          <w:color w:val="000000" w:themeColor="text1"/>
        </w:rPr>
        <w:t xml:space="preserve">ional absoluta. </w:t>
      </w:r>
    </w:p>
  </w:footnote>
  <w:footnote w:id="17">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Style w:val="Refdenotaalpie"/>
          <w:rFonts w:ascii="Times New Roman" w:hAnsi="Times New Roman" w:cs="Times New Roman"/>
          <w:color w:val="000000" w:themeColor="text1"/>
        </w:rPr>
        <w:t xml:space="preserve"> </w:t>
      </w:r>
      <w:r w:rsidRPr="00501553">
        <w:rPr>
          <w:rFonts w:ascii="Times New Roman" w:hAnsi="Times New Roman" w:cs="Times New Roman"/>
          <w:color w:val="000000" w:themeColor="text1"/>
        </w:rPr>
        <w:t xml:space="preserve">Ibidem. </w:t>
      </w:r>
    </w:p>
  </w:footnote>
  <w:footnote w:id="18">
    <w:p w:rsidR="008274AE" w:rsidRPr="00501553" w:rsidRDefault="002F3D0A" w:rsidP="004F520E">
      <w:pPr>
        <w:pStyle w:val="Textonotapie"/>
        <w:rPr>
          <w:rFonts w:ascii="Times New Roman" w:hAnsi="Times New Roman" w:cs="Times New Roman"/>
          <w:lang w:val="es-ES_tradnl"/>
        </w:rPr>
      </w:pPr>
      <w:r w:rsidRPr="00501553">
        <w:rPr>
          <w:rStyle w:val="Refdenotaalpie"/>
          <w:rFonts w:ascii="Times New Roman" w:hAnsi="Times New Roman" w:cs="Times New Roman"/>
        </w:rPr>
        <w:footnoteRef/>
      </w:r>
      <w:r w:rsidRPr="00501553">
        <w:rPr>
          <w:rFonts w:ascii="Times New Roman" w:hAnsi="Times New Roman" w:cs="Times New Roman"/>
        </w:rPr>
        <w:t xml:space="preserve"> </w:t>
      </w:r>
      <w:r w:rsidRPr="00501553">
        <w:rPr>
          <w:rFonts w:ascii="Times New Roman" w:hAnsi="Times New Roman" w:cs="Times New Roman"/>
          <w:lang w:val="es-ES_tradnl"/>
        </w:rPr>
        <w:t xml:space="preserve">Sentencia C-518 de 2023, entre muchas otras. </w:t>
      </w:r>
    </w:p>
  </w:footnote>
  <w:footnote w:id="19">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Sentencias C-237A de 2022 y C-039 de 2021.</w:t>
      </w:r>
    </w:p>
  </w:footnote>
  <w:footnote w:id="20">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Style w:val="Refdenotaalpie"/>
          <w:rFonts w:ascii="Times New Roman" w:hAnsi="Times New Roman" w:cs="Times New Roman"/>
          <w:color w:val="000000" w:themeColor="text1"/>
        </w:rPr>
        <w:t xml:space="preserve"> </w:t>
      </w:r>
      <w:r w:rsidRPr="00501553">
        <w:rPr>
          <w:rFonts w:ascii="Times New Roman" w:hAnsi="Times New Roman" w:cs="Times New Roman"/>
          <w:color w:val="000000" w:themeColor="text1"/>
        </w:rPr>
        <w:t xml:space="preserve">Sentencia </w:t>
      </w:r>
      <w:r w:rsidRPr="00501553">
        <w:rPr>
          <w:rFonts w:ascii="Times New Roman" w:hAnsi="Times New Roman" w:cs="Times New Roman"/>
          <w:color w:val="000000" w:themeColor="text1"/>
          <w:shd w:val="clear" w:color="auto" w:fill="FFFFFF"/>
        </w:rPr>
        <w:t>C-774 de 2001 (reiterada en la C-039 de 2021, entre muchas otras). En esa oportunidad, la Corte Constitucional se estuvo a lo resuelto en las sentencias C-150 de 1993, C-106 de 1994, C-327 de 1997, C-716 de 1998 y C-392 de 2000, en relación con varios artí</w:t>
      </w:r>
      <w:r w:rsidRPr="00501553">
        <w:rPr>
          <w:rFonts w:ascii="Times New Roman" w:hAnsi="Times New Roman" w:cs="Times New Roman"/>
          <w:color w:val="000000" w:themeColor="text1"/>
          <w:shd w:val="clear" w:color="auto" w:fill="FFFFFF"/>
        </w:rPr>
        <w:t xml:space="preserve">culos del Código de Procedimiento Penal. </w:t>
      </w:r>
    </w:p>
  </w:footnote>
  <w:footnote w:id="21">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Style w:val="Refdenotaalpie"/>
          <w:rFonts w:ascii="Times New Roman" w:hAnsi="Times New Roman" w:cs="Times New Roman"/>
          <w:color w:val="000000" w:themeColor="text1"/>
        </w:rPr>
        <w:t xml:space="preserve"> </w:t>
      </w:r>
      <w:r w:rsidRPr="00501553">
        <w:rPr>
          <w:rFonts w:ascii="Times New Roman" w:hAnsi="Times New Roman" w:cs="Times New Roman"/>
          <w:color w:val="000000" w:themeColor="text1"/>
        </w:rPr>
        <w:t xml:space="preserve">Sentencia C-039 de 2021, antes mencionada.  </w:t>
      </w:r>
    </w:p>
  </w:footnote>
  <w:footnote w:id="22">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En la sentencia C-489 de 2009, la Sala plena recordó que los efectos de la cosa juzgada de las decisiones de inexequibilidad y exequibilidad no son iguales. En las s</w:t>
      </w:r>
      <w:r w:rsidRPr="00501553">
        <w:rPr>
          <w:rFonts w:ascii="Times New Roman" w:hAnsi="Times New Roman" w:cs="Times New Roman"/>
          <w:color w:val="000000" w:themeColor="text1"/>
        </w:rPr>
        <w:t>entencias C-259 de 2008 y C-211 de 2003, la Corte al recordar la sentencia C-310 de 2002, precisó que el efecto de la cosa juzgada material depende de si la norma es declarada inexequible o exequible. Las sentencias C-200 de 2019 y C-007 de 2016 reiteraron</w:t>
      </w:r>
      <w:r w:rsidRPr="00501553">
        <w:rPr>
          <w:rFonts w:ascii="Times New Roman" w:hAnsi="Times New Roman" w:cs="Times New Roman"/>
          <w:color w:val="000000" w:themeColor="text1"/>
        </w:rPr>
        <w:t xml:space="preserve"> la regla de que estos efectos diferenciados recaen sobre la cosa juzgada material. </w:t>
      </w:r>
    </w:p>
  </w:footnote>
  <w:footnote w:id="23">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Sentencia C-489 de 2009.</w:t>
      </w:r>
    </w:p>
  </w:footnote>
  <w:footnote w:id="24">
    <w:p w:rsidR="008274AE" w:rsidRPr="00501553"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Sentencias C-083 de 2022, C-200 de 2019 y C-007 de 2016.</w:t>
      </w:r>
    </w:p>
  </w:footnote>
  <w:footnote w:id="25">
    <w:p w:rsidR="008274AE" w:rsidRPr="006B64AF" w:rsidRDefault="002F3D0A" w:rsidP="004F520E">
      <w:pPr>
        <w:pStyle w:val="Textonotapie"/>
        <w:ind w:right="49"/>
        <w:rPr>
          <w:rFonts w:ascii="Times New Roman" w:hAnsi="Times New Roman" w:cs="Times New Roman"/>
          <w:color w:val="000000" w:themeColor="text1"/>
        </w:rPr>
      </w:pPr>
      <w:r w:rsidRPr="00501553">
        <w:rPr>
          <w:rStyle w:val="Refdenotaalpie"/>
          <w:rFonts w:ascii="Times New Roman" w:hAnsi="Times New Roman" w:cs="Times New Roman"/>
          <w:color w:val="000000" w:themeColor="text1"/>
        </w:rPr>
        <w:footnoteRef/>
      </w:r>
      <w:r w:rsidRPr="00501553">
        <w:rPr>
          <w:rFonts w:ascii="Times New Roman" w:hAnsi="Times New Roman" w:cs="Times New Roman"/>
          <w:color w:val="000000" w:themeColor="text1"/>
        </w:rPr>
        <w:t xml:space="preserve"> Ibid. Al respecto, en las sentencias C-200 de 2019 y C-007 de 2016, la Corte señaló</w:t>
      </w:r>
      <w:r w:rsidRPr="00501553">
        <w:rPr>
          <w:rFonts w:ascii="Times New Roman" w:hAnsi="Times New Roman" w:cs="Times New Roman"/>
          <w:color w:val="000000" w:themeColor="text1"/>
        </w:rPr>
        <w:t xml:space="preserve"> que los supuestos que debilitan la cosa juzgada constitucional material también se aplican frente a la cosa juzgada formal, en virtud de la cláusula de Estado de Derecho y los principios de supremacía constitucional y democrático (artículos 1, 6, 4 y 3 de</w:t>
      </w:r>
      <w:r w:rsidRPr="00501553">
        <w:rPr>
          <w:rFonts w:ascii="Times New Roman" w:hAnsi="Times New Roman" w:cs="Times New Roman"/>
          <w:color w:val="000000" w:themeColor="text1"/>
        </w:rPr>
        <w:t xml:space="preserve"> la Constitución).</w:t>
      </w:r>
      <w:r>
        <w:rPr>
          <w:rFonts w:ascii="Times New Roman" w:hAnsi="Times New Roman" w:cs="Times New Roman"/>
          <w:color w:val="000000" w:themeColor="text1"/>
        </w:rPr>
        <w:t xml:space="preserve"> </w:t>
      </w:r>
    </w:p>
  </w:footnote>
  <w:footnote w:id="26">
    <w:p w:rsidR="008274AE" w:rsidRPr="003432E6" w:rsidRDefault="002F3D0A" w:rsidP="004F520E">
      <w:pPr>
        <w:pStyle w:val="Textonotapie"/>
        <w:rPr>
          <w:rFonts w:ascii="Times New Roman" w:hAnsi="Times New Roman" w:cs="Times New Roman"/>
          <w:lang w:val="es-ES_tradnl"/>
        </w:rPr>
      </w:pPr>
      <w:r w:rsidRPr="003432E6">
        <w:rPr>
          <w:rStyle w:val="Refdenotaalpie"/>
          <w:rFonts w:ascii="Times New Roman" w:hAnsi="Times New Roman" w:cs="Times New Roman"/>
        </w:rPr>
        <w:footnoteRef/>
      </w:r>
      <w:r w:rsidRPr="003432E6">
        <w:rPr>
          <w:rFonts w:ascii="Times New Roman" w:hAnsi="Times New Roman" w:cs="Times New Roman"/>
          <w:lang w:val="es-ES_tradnl"/>
        </w:rPr>
        <w:t xml:space="preserve"> En efecto, según la sentencia C-073 de 2014, reiterada en la sentencia C-039 de 2021, “la cosa juzgada material no puede ser decretada por un solo magistrado al momento de adelantar el control de admisibilidad de la demanda, ya que su conocimiento corresp</w:t>
      </w:r>
      <w:r w:rsidRPr="003432E6">
        <w:rPr>
          <w:rFonts w:ascii="Times New Roman" w:hAnsi="Times New Roman" w:cs="Times New Roman"/>
          <w:lang w:val="es-ES_tradnl"/>
        </w:rPr>
        <w:t xml:space="preserve">onde a la Sala plena por medio de sentencia”. </w:t>
      </w:r>
    </w:p>
  </w:footnote>
  <w:footnote w:id="27">
    <w:p w:rsidR="008274AE" w:rsidRDefault="002F3D0A" w:rsidP="004F520E">
      <w:pPr>
        <w:pStyle w:val="Textonotapie"/>
        <w:rPr>
          <w:rFonts w:ascii="Times New Roman" w:hAnsi="Times New Roman" w:cs="Times New Roman"/>
          <w:lang w:val="es-ES_tradnl"/>
        </w:rPr>
      </w:pPr>
      <w:r w:rsidRPr="006B64AF">
        <w:rPr>
          <w:rStyle w:val="Refdenotaalpie"/>
          <w:rFonts w:ascii="Times New Roman" w:hAnsi="Times New Roman" w:cs="Times New Roman"/>
        </w:rPr>
        <w:footnoteRef/>
      </w:r>
      <w:r w:rsidRPr="006B64AF">
        <w:rPr>
          <w:rFonts w:ascii="Times New Roman" w:hAnsi="Times New Roman" w:cs="Times New Roman"/>
        </w:rPr>
        <w:t xml:space="preserve"> </w:t>
      </w:r>
      <w:r>
        <w:rPr>
          <w:rFonts w:ascii="Times New Roman" w:hAnsi="Times New Roman" w:cs="Times New Roman"/>
          <w:lang w:val="es-ES_tradnl"/>
        </w:rPr>
        <w:t xml:space="preserve">Por el contrario, </w:t>
      </w:r>
      <w:r w:rsidRPr="006B64AF">
        <w:rPr>
          <w:rFonts w:ascii="Times New Roman" w:hAnsi="Times New Roman" w:cs="Times New Roman"/>
          <w:lang w:val="es-ES_tradnl"/>
        </w:rPr>
        <w:t>si se configura una cosa juzgada material respecto de una sentencia previa de exequibilidad y se presenta alguna de las circunstancias que debilitan los efectos de la cosa juzgada, “las con</w:t>
      </w:r>
      <w:r w:rsidRPr="006B64AF">
        <w:rPr>
          <w:rFonts w:ascii="Times New Roman" w:hAnsi="Times New Roman" w:cs="Times New Roman"/>
          <w:lang w:val="es-ES_tradnl"/>
        </w:rPr>
        <w:t>sideraciones de [dicho fallo] se erigen en un precedente relevante que la Corte puede seguir, disponiendo y declarando exequible la norma, o del que puede apartarse con el deber de exponer razones suficientes que puedan justificar una decisión de inexequib</w:t>
      </w:r>
      <w:r w:rsidRPr="006B64AF">
        <w:rPr>
          <w:rFonts w:ascii="Times New Roman" w:hAnsi="Times New Roman" w:cs="Times New Roman"/>
          <w:lang w:val="es-ES_tradnl"/>
        </w:rPr>
        <w:t>ilidad”</w:t>
      </w:r>
      <w:r>
        <w:rPr>
          <w:rFonts w:ascii="Times New Roman" w:hAnsi="Times New Roman" w:cs="Times New Roman"/>
          <w:lang w:val="es-ES_tradnl"/>
        </w:rPr>
        <w:t xml:space="preserve"> (s</w:t>
      </w:r>
      <w:r w:rsidRPr="006B64AF">
        <w:rPr>
          <w:rFonts w:ascii="Times New Roman" w:hAnsi="Times New Roman" w:cs="Times New Roman"/>
          <w:lang w:val="es-ES_tradnl"/>
        </w:rPr>
        <w:t>entencia C-007 de 2016</w:t>
      </w:r>
      <w:r>
        <w:rPr>
          <w:rFonts w:ascii="Times New Roman" w:hAnsi="Times New Roman" w:cs="Times New Roman"/>
          <w:lang w:val="es-ES_tradnl"/>
        </w:rPr>
        <w:t xml:space="preserve">). </w:t>
      </w:r>
    </w:p>
    <w:p w:rsidR="008274AE" w:rsidRPr="006B64AF" w:rsidRDefault="002F3D0A" w:rsidP="004F520E">
      <w:pPr>
        <w:pStyle w:val="Textonotapie"/>
        <w:rPr>
          <w:rFonts w:ascii="Times New Roman" w:hAnsi="Times New Roman" w:cs="Times New Roman"/>
          <w:lang w:val="es-ES_tradnl"/>
        </w:rPr>
      </w:pPr>
      <w:r>
        <w:rPr>
          <w:rFonts w:ascii="Times New Roman" w:hAnsi="Times New Roman" w:cs="Times New Roman"/>
          <w:lang w:val="es-ES_tradnl"/>
        </w:rPr>
        <w:t xml:space="preserve">Además, según la jurisprudencia constitucional, la “cosa juzgada material no puede ser decretada por un solo magistrado al momento de adelantar el control de admisibilidad de la demanda” (sentencia C-073 de 2014). </w:t>
      </w:r>
    </w:p>
  </w:footnote>
  <w:footnote w:id="28">
    <w:p w:rsidR="008274AE" w:rsidRPr="006B64AF" w:rsidRDefault="002F3D0A" w:rsidP="004F520E">
      <w:pPr>
        <w:pStyle w:val="Textonotapie"/>
        <w:rPr>
          <w:rFonts w:ascii="Times New Roman" w:hAnsi="Times New Roman" w:cs="Times New Roman"/>
          <w:lang w:val="es-ES_tradnl"/>
        </w:rPr>
      </w:pPr>
      <w:r w:rsidRPr="006B64AF">
        <w:rPr>
          <w:rStyle w:val="Refdenotaalpie"/>
          <w:rFonts w:ascii="Times New Roman" w:hAnsi="Times New Roman" w:cs="Times New Roman"/>
        </w:rPr>
        <w:footnoteRef/>
      </w:r>
      <w:r w:rsidRPr="006B64AF">
        <w:rPr>
          <w:rFonts w:ascii="Times New Roman" w:hAnsi="Times New Roman" w:cs="Times New Roman"/>
        </w:rPr>
        <w:t xml:space="preserve"> </w:t>
      </w:r>
      <w:r w:rsidRPr="006B64AF">
        <w:rPr>
          <w:rFonts w:ascii="Times New Roman" w:hAnsi="Times New Roman" w:cs="Times New Roman"/>
          <w:lang w:val="es-ES_tradnl"/>
        </w:rPr>
        <w:t xml:space="preserve">Al </w:t>
      </w:r>
      <w:r w:rsidRPr="006B64AF">
        <w:rPr>
          <w:rFonts w:ascii="Times New Roman" w:hAnsi="Times New Roman" w:cs="Times New Roman"/>
          <w:lang w:val="es-ES_tradnl"/>
        </w:rPr>
        <w:t xml:space="preserve">respecto, se pueden analizar las sentencias C-073 de 2014 y C-039 de 2021, entre otras. </w:t>
      </w:r>
    </w:p>
  </w:footnote>
  <w:footnote w:id="29">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Sentencia C-489 de 2009.</w:t>
      </w:r>
    </w:p>
  </w:footnote>
  <w:footnote w:id="30">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Sentencia C-290 de 2009.</w:t>
      </w:r>
    </w:p>
  </w:footnote>
  <w:footnote w:id="31">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Sentencia C-311 de 2002.</w:t>
      </w:r>
    </w:p>
  </w:footnote>
  <w:footnote w:id="32">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Sentencia C-489 de 2009.</w:t>
      </w:r>
    </w:p>
  </w:footnote>
  <w:footnote w:id="33">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Serrano José Luis, Validez y Vigencia, la aportación gara</w:t>
      </w:r>
      <w:r w:rsidRPr="006B64AF">
        <w:rPr>
          <w:rFonts w:ascii="Times New Roman" w:hAnsi="Times New Roman" w:cs="Times New Roman"/>
          <w:color w:val="000000" w:themeColor="text1"/>
        </w:rPr>
        <w:t>ntista a la teoría de la norma jurídica, Editorial Trotta, Madrid, 1999, pp. 23 y 74. En igual sentido, sentencias C-383 de 2019, C-499 de 2023, entre otras.</w:t>
      </w:r>
    </w:p>
  </w:footnote>
  <w:footnote w:id="34">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Sentencia C-383 de 2022.</w:t>
      </w:r>
    </w:p>
  </w:footnote>
  <w:footnote w:id="35">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Ver la sentencia C-147 de 2022 en la cual se indicó lo siguiente sobr</w:t>
      </w:r>
      <w:r w:rsidRPr="006B64AF">
        <w:rPr>
          <w:rFonts w:ascii="Times New Roman" w:hAnsi="Times New Roman" w:cs="Times New Roman"/>
          <w:color w:val="000000" w:themeColor="text1"/>
        </w:rPr>
        <w:t>e el alcance de esta categoría: “[u]na disposición o enunciado jurídico corresponde al texto en que una norma es formulada, tales como artículos, numerales o incisos, aunque estas formulaciones pueden encontrarse también en fragmentos más pequeños de un te</w:t>
      </w:r>
      <w:r w:rsidRPr="006B64AF">
        <w:rPr>
          <w:rFonts w:ascii="Times New Roman" w:hAnsi="Times New Roman" w:cs="Times New Roman"/>
          <w:color w:val="000000" w:themeColor="text1"/>
        </w:rPr>
        <w:t>xto normativo, como oraciones o palabras individuales, siempre que incidan en el sentido que se puede atribuir razonablemente a cada disposición”.</w:t>
      </w:r>
    </w:p>
  </w:footnote>
  <w:footnote w:id="36">
    <w:p w:rsidR="008274AE" w:rsidRPr="006B64AF" w:rsidRDefault="002F3D0A" w:rsidP="004F520E">
      <w:pPr>
        <w:pStyle w:val="Textonotapie"/>
        <w:ind w:right="49"/>
        <w:rPr>
          <w:rFonts w:ascii="Times New Roman" w:hAnsi="Times New Roman" w:cs="Times New Roman"/>
          <w:color w:val="000000" w:themeColor="text1"/>
        </w:rPr>
      </w:pPr>
      <w:r w:rsidRPr="006B64AF">
        <w:rPr>
          <w:rStyle w:val="Refdenotaalpie"/>
          <w:rFonts w:ascii="Times New Roman" w:hAnsi="Times New Roman" w:cs="Times New Roman"/>
          <w:color w:val="000000" w:themeColor="text1"/>
        </w:rPr>
        <w:footnoteRef/>
      </w:r>
      <w:r w:rsidRPr="006B64AF">
        <w:rPr>
          <w:rFonts w:ascii="Times New Roman" w:hAnsi="Times New Roman" w:cs="Times New Roman"/>
          <w:color w:val="000000" w:themeColor="text1"/>
        </w:rPr>
        <w:t xml:space="preserve"> Ver la sentencia C-147 de 2022 en la cual se indicó que en la providencia </w:t>
      </w:r>
      <w:r w:rsidRPr="006B64AF">
        <w:rPr>
          <w:rFonts w:ascii="Times New Roman" w:hAnsi="Times New Roman" w:cs="Times New Roman"/>
          <w:color w:val="000000" w:themeColor="text1"/>
          <w:lang w:val="es-ES_tradnl"/>
        </w:rPr>
        <w:t xml:space="preserve">C-312 de 2017, la Corte propuso </w:t>
      </w:r>
      <w:r w:rsidRPr="006B64AF">
        <w:rPr>
          <w:rFonts w:ascii="Times New Roman" w:hAnsi="Times New Roman" w:cs="Times New Roman"/>
          <w:color w:val="000000" w:themeColor="text1"/>
          <w:lang w:val="es-ES_tradnl"/>
        </w:rPr>
        <w:t>la siguiente definición de las </w:t>
      </w:r>
      <w:r w:rsidRPr="006B64AF">
        <w:rPr>
          <w:rFonts w:ascii="Times New Roman" w:hAnsi="Times New Roman" w:cs="Times New Roman"/>
          <w:i/>
          <w:iCs/>
          <w:color w:val="000000" w:themeColor="text1"/>
          <w:lang w:val="es-ES_tradnl"/>
        </w:rPr>
        <w:t>normas jurídicas</w:t>
      </w:r>
      <w:r w:rsidRPr="006B64AF">
        <w:rPr>
          <w:rFonts w:ascii="Times New Roman" w:hAnsi="Times New Roman" w:cs="Times New Roman"/>
          <w:color w:val="000000" w:themeColor="text1"/>
          <w:lang w:val="es-ES_tradnl"/>
        </w:rPr>
        <w:t>: “Las normas, siguiendo con esta construcción, no son los textos legales sino su significado. Ese significado, a su vez, solo puede hallarse por vía interpretativa y, en consecuencia, a un solo texto legal pu</w:t>
      </w:r>
      <w:r w:rsidRPr="006B64AF">
        <w:rPr>
          <w:rFonts w:ascii="Times New Roman" w:hAnsi="Times New Roman" w:cs="Times New Roman"/>
          <w:color w:val="000000" w:themeColor="text1"/>
          <w:lang w:val="es-ES_tradnl"/>
        </w:rPr>
        <w:t>eden atribuírsele (potencialmente) diversos contenidos normativos, según la forma en que cada intérprete les atribuye significado”.</w:t>
      </w:r>
    </w:p>
  </w:footnote>
  <w:footnote w:id="37">
    <w:p w:rsidR="008274AE" w:rsidRPr="00776EAF" w:rsidRDefault="002F3D0A" w:rsidP="009A4C50">
      <w:pPr>
        <w:pStyle w:val="Textonotapie"/>
        <w:rPr>
          <w:rFonts w:ascii="Times New Roman" w:hAnsi="Times New Roman" w:cs="Times New Roman"/>
        </w:rPr>
      </w:pPr>
      <w:r w:rsidRPr="00776EAF">
        <w:rPr>
          <w:rStyle w:val="Refdenotaalpie"/>
          <w:rFonts w:ascii="Times New Roman" w:hAnsi="Times New Roman" w:cs="Times New Roman"/>
        </w:rPr>
        <w:footnoteRef/>
      </w:r>
      <w:r w:rsidRPr="00776EAF">
        <w:rPr>
          <w:rFonts w:ascii="Times New Roman" w:hAnsi="Times New Roman" w:cs="Times New Roman"/>
        </w:rPr>
        <w:t xml:space="preserve"> https://www.corteconstitucional.gov.co/secretaria/ConsultaC/normas.php.</w:t>
      </w:r>
    </w:p>
  </w:footnote>
  <w:footnote w:id="38">
    <w:p w:rsidR="008274AE" w:rsidRPr="006E1EE7" w:rsidRDefault="002F3D0A" w:rsidP="00014619">
      <w:pPr>
        <w:rPr>
          <w:rFonts w:ascii="Times New Roman" w:hAnsi="Times New Roman" w:cs="Times New Roman"/>
        </w:rPr>
      </w:pPr>
      <w:r w:rsidRPr="00776EAF">
        <w:rPr>
          <w:rStyle w:val="Refdenotaalpie"/>
          <w:rFonts w:ascii="Times New Roman" w:hAnsi="Times New Roman" w:cs="Times New Roman"/>
          <w:sz w:val="20"/>
          <w:szCs w:val="20"/>
        </w:rPr>
        <w:footnoteRef/>
      </w:r>
      <w:r w:rsidRPr="00776EAF">
        <w:rPr>
          <w:rStyle w:val="Refdenotaalpie"/>
          <w:rFonts w:ascii="Times New Roman" w:hAnsi="Times New Roman" w:cs="Times New Roman"/>
          <w:sz w:val="20"/>
          <w:szCs w:val="20"/>
        </w:rPr>
        <w:t xml:space="preserve"> </w:t>
      </w:r>
      <w:r w:rsidRPr="00776EAF">
        <w:rPr>
          <w:rFonts w:ascii="Times New Roman" w:hAnsi="Times New Roman" w:cs="Times New Roman"/>
          <w:sz w:val="20"/>
          <w:szCs w:val="20"/>
        </w:rPr>
        <w:t>Ibid.</w:t>
      </w:r>
      <w:r w:rsidRPr="006E1EE7">
        <w:rPr>
          <w:rFonts w:ascii="Times New Roman" w:hAnsi="Times New Roman" w:cs="Times New Roman"/>
          <w:sz w:val="20"/>
          <w:szCs w:val="20"/>
        </w:rPr>
        <w:t xml:space="preserve"> </w:t>
      </w:r>
    </w:p>
  </w:footnote>
  <w:footnote w:id="39">
    <w:p w:rsidR="008274AE" w:rsidRPr="006B0E25" w:rsidRDefault="002F3D0A" w:rsidP="00014619">
      <w:pPr>
        <w:pStyle w:val="Textonotapie"/>
        <w:rPr>
          <w:rFonts w:ascii="Times New Roman" w:hAnsi="Times New Roman" w:cs="Times New Roman"/>
          <w:lang w:val="es-ES"/>
        </w:rPr>
      </w:pPr>
      <w:r w:rsidRPr="006B0E25">
        <w:rPr>
          <w:rStyle w:val="Refdenotaalpie"/>
          <w:rFonts w:ascii="Times New Roman" w:hAnsi="Times New Roman" w:cs="Times New Roman"/>
        </w:rPr>
        <w:footnoteRef/>
      </w:r>
      <w:r w:rsidRPr="006B0E25">
        <w:rPr>
          <w:rFonts w:ascii="Times New Roman" w:hAnsi="Times New Roman" w:cs="Times New Roman"/>
        </w:rPr>
        <w:t xml:space="preserve"> S</w:t>
      </w:r>
      <w:r w:rsidRPr="006B0E25">
        <w:rPr>
          <w:rFonts w:ascii="Times New Roman" w:hAnsi="Times New Roman" w:cs="Times New Roman"/>
          <w:lang w:val="es-ES"/>
        </w:rPr>
        <w:t>entencias</w:t>
      </w:r>
      <w:r w:rsidRPr="006B0E25">
        <w:rPr>
          <w:rFonts w:ascii="Times New Roman" w:hAnsi="Times New Roman" w:cs="Times New Roman"/>
          <w:lang w:val="es-ES"/>
        </w:rPr>
        <w:t xml:space="preserve"> C-257 de 2022, C-328 de 2021.</w:t>
      </w:r>
    </w:p>
  </w:footnote>
  <w:footnote w:id="40">
    <w:p w:rsidR="008274AE" w:rsidRPr="006B0E25" w:rsidRDefault="002F3D0A">
      <w:pPr>
        <w:pStyle w:val="Textonotapie"/>
        <w:rPr>
          <w:lang w:val="es-ES"/>
        </w:rPr>
      </w:pPr>
      <w:r w:rsidRPr="006B0E25">
        <w:rPr>
          <w:rStyle w:val="Refdenotaalpie"/>
          <w:rFonts w:ascii="Times New Roman" w:hAnsi="Times New Roman" w:cs="Times New Roman"/>
        </w:rPr>
        <w:footnoteRef/>
      </w:r>
      <w:r w:rsidRPr="006B0E25">
        <w:rPr>
          <w:rFonts w:ascii="Times New Roman" w:hAnsi="Times New Roman" w:cs="Times New Roman"/>
        </w:rPr>
        <w:t xml:space="preserve"> Salvo que se compruebe alguna de las condiciones de debilitamiento de la cosa juzgada.</w:t>
      </w:r>
    </w:p>
  </w:footnote>
  <w:footnote w:id="41">
    <w:p w:rsidR="008274AE" w:rsidRPr="006476BD" w:rsidRDefault="002F3D0A">
      <w:pPr>
        <w:pStyle w:val="Textonotapie"/>
        <w:rPr>
          <w:rFonts w:ascii="Times New Roman" w:hAnsi="Times New Roman" w:cs="Times New Roman"/>
          <w:lang w:val="es-ES"/>
        </w:rPr>
      </w:pPr>
      <w:r w:rsidRPr="006476BD">
        <w:rPr>
          <w:rStyle w:val="Refdenotaalpie"/>
          <w:rFonts w:ascii="Times New Roman" w:hAnsi="Times New Roman" w:cs="Times New Roman"/>
        </w:rPr>
        <w:footnoteRef/>
      </w:r>
      <w:r w:rsidRPr="006476BD">
        <w:rPr>
          <w:rFonts w:ascii="Times New Roman" w:hAnsi="Times New Roman" w:cs="Times New Roman"/>
        </w:rPr>
        <w:t>“</w:t>
      </w:r>
      <w:r>
        <w:rPr>
          <w:rFonts w:ascii="Times New Roman" w:hAnsi="Times New Roman" w:cs="Times New Roman"/>
        </w:rPr>
        <w:t>P</w:t>
      </w:r>
      <w:r w:rsidRPr="006476BD">
        <w:rPr>
          <w:rFonts w:ascii="Times New Roman" w:hAnsi="Times New Roman" w:cs="Times New Roman"/>
        </w:rPr>
        <w:t xml:space="preserve">or medio del cual se crea un impuesto especial destinado a atender los gastos del Presupuesto General de la Nación necesarios para </w:t>
      </w:r>
      <w:r w:rsidRPr="006476BD">
        <w:rPr>
          <w:rFonts w:ascii="Times New Roman" w:hAnsi="Times New Roman" w:cs="Times New Roman"/>
        </w:rPr>
        <w:t>preservar la seguridad democrática”</w:t>
      </w:r>
    </w:p>
  </w:footnote>
  <w:footnote w:id="42">
    <w:p w:rsidR="008274AE" w:rsidRPr="006476BD" w:rsidRDefault="002F3D0A" w:rsidP="006476BD">
      <w:pPr>
        <w:pStyle w:val="Prrafodelista"/>
        <w:ind w:left="0"/>
        <w:rPr>
          <w:rFonts w:ascii="Times New Roman" w:hAnsi="Times New Roman" w:cs="Times New Roman"/>
          <w:lang w:val="es-ES"/>
        </w:rPr>
      </w:pPr>
      <w:r w:rsidRPr="006476BD">
        <w:rPr>
          <w:rStyle w:val="Refdenotaalpie"/>
          <w:rFonts w:ascii="Times New Roman" w:hAnsi="Times New Roman" w:cs="Times New Roman"/>
          <w:sz w:val="20"/>
          <w:szCs w:val="20"/>
        </w:rPr>
        <w:footnoteRef/>
      </w:r>
      <w:r w:rsidRPr="006476BD">
        <w:rPr>
          <w:rFonts w:ascii="Times New Roman" w:hAnsi="Times New Roman" w:cs="Times New Roman"/>
          <w:sz w:val="20"/>
          <w:szCs w:val="20"/>
        </w:rPr>
        <w:t>“Por la cual se establecen normas tributarias, aduaneras, fiscales y de control para estimular el crecimiento económico y el saneamiento de las finanzas públicas”</w:t>
      </w:r>
    </w:p>
  </w:footnote>
  <w:footnote w:id="43">
    <w:p w:rsidR="008274AE" w:rsidRPr="006476BD" w:rsidRDefault="002F3D0A">
      <w:pPr>
        <w:pStyle w:val="Textonotapie"/>
        <w:rPr>
          <w:lang w:val="es-ES"/>
        </w:rPr>
      </w:pPr>
      <w:r w:rsidRPr="006476BD">
        <w:rPr>
          <w:rStyle w:val="Refdenotaalpie"/>
          <w:rFonts w:ascii="Times New Roman" w:hAnsi="Times New Roman" w:cs="Times New Roman"/>
        </w:rPr>
        <w:footnoteRef/>
      </w:r>
      <w:r w:rsidRPr="006476BD">
        <w:rPr>
          <w:rFonts w:ascii="Times New Roman" w:hAnsi="Times New Roman" w:cs="Times New Roman"/>
        </w:rPr>
        <w:t xml:space="preserve"> “Por medio de la cual se adopta una reforma tributaria</w:t>
      </w:r>
      <w:r w:rsidRPr="006476BD">
        <w:rPr>
          <w:rFonts w:ascii="Times New Roman" w:hAnsi="Times New Roman" w:cs="Times New Roman"/>
        </w:rPr>
        <w:t xml:space="preserve"> para la igualdad y la justicia social y se dictan otras disposiciones.”</w:t>
      </w:r>
    </w:p>
  </w:footnote>
  <w:footnote w:id="44">
    <w:p w:rsidR="008274AE" w:rsidRPr="00804028" w:rsidRDefault="002F3D0A">
      <w:pPr>
        <w:pStyle w:val="Textonotapie"/>
        <w:rPr>
          <w:rFonts w:ascii="Times New Roman" w:hAnsi="Times New Roman" w:cs="Times New Roman"/>
          <w:lang w:val="es-ES"/>
        </w:rPr>
      </w:pPr>
      <w:r w:rsidRPr="00804028">
        <w:rPr>
          <w:rStyle w:val="Refdenotaalpie"/>
          <w:rFonts w:ascii="Times New Roman" w:hAnsi="Times New Roman" w:cs="Times New Roman"/>
        </w:rPr>
        <w:footnoteRef/>
      </w:r>
      <w:r w:rsidRPr="00804028">
        <w:rPr>
          <w:rFonts w:ascii="Times New Roman" w:hAnsi="Times New Roman" w:cs="Times New Roman"/>
        </w:rPr>
        <w:t xml:space="preserve"> Sentencias C-990 de 2004 </w:t>
      </w:r>
      <w:r>
        <w:rPr>
          <w:rFonts w:ascii="Times New Roman" w:hAnsi="Times New Roman" w:cs="Times New Roman"/>
        </w:rPr>
        <w:t>y</w:t>
      </w:r>
      <w:r w:rsidRPr="00804028">
        <w:rPr>
          <w:rFonts w:ascii="Times New Roman" w:hAnsi="Times New Roman" w:cs="Times New Roman"/>
        </w:rPr>
        <w:t xml:space="preserve"> </w:t>
      </w:r>
      <w:r>
        <w:rPr>
          <w:rFonts w:ascii="Times New Roman" w:hAnsi="Times New Roman" w:cs="Times New Roman"/>
        </w:rPr>
        <w:t>C</w:t>
      </w:r>
      <w:r w:rsidRPr="00804028">
        <w:rPr>
          <w:rFonts w:ascii="Times New Roman" w:hAnsi="Times New Roman" w:cs="Times New Roman"/>
        </w:rPr>
        <w:t>-257 de 2022.</w:t>
      </w:r>
    </w:p>
  </w:footnote>
  <w:footnote w:id="45">
    <w:p w:rsidR="008274AE" w:rsidRPr="003C6E7C" w:rsidRDefault="002F3D0A" w:rsidP="00014619">
      <w:pPr>
        <w:pStyle w:val="Textonotapie"/>
        <w:rPr>
          <w:rFonts w:ascii="Times New Roman" w:hAnsi="Times New Roman" w:cs="Times New Roman"/>
          <w:lang w:val="es-ES"/>
        </w:rPr>
      </w:pPr>
      <w:r w:rsidRPr="003C6E7C">
        <w:rPr>
          <w:rStyle w:val="Refdenotaalpie"/>
          <w:rFonts w:ascii="Times New Roman" w:hAnsi="Times New Roman" w:cs="Times New Roman"/>
        </w:rPr>
        <w:footnoteRef/>
      </w:r>
      <w:r w:rsidRPr="003C6E7C">
        <w:rPr>
          <w:rFonts w:ascii="Times New Roman" w:hAnsi="Times New Roman" w:cs="Times New Roman"/>
        </w:rPr>
        <w:t xml:space="preserve"> </w:t>
      </w:r>
      <w:r w:rsidRPr="003C6E7C">
        <w:rPr>
          <w:rFonts w:ascii="Times New Roman" w:hAnsi="Times New Roman" w:cs="Times New Roman"/>
          <w:lang w:val="es-ES"/>
        </w:rPr>
        <w:t>Así lo plantean los demandantes y también intervinientes que defienden la exequibilidad de la norma.</w:t>
      </w:r>
    </w:p>
  </w:footnote>
  <w:footnote w:id="46">
    <w:p w:rsidR="008274AE" w:rsidRPr="005C2E09" w:rsidRDefault="002F3D0A" w:rsidP="00AA620E">
      <w:pPr>
        <w:pStyle w:val="Textonotapie"/>
        <w:rPr>
          <w:rFonts w:ascii="Times New Roman" w:hAnsi="Times New Roman" w:cs="Times New Roman"/>
        </w:rPr>
      </w:pPr>
      <w:r w:rsidRPr="005C2E09">
        <w:rPr>
          <w:rStyle w:val="Refdenotaalpie"/>
          <w:rFonts w:ascii="Times New Roman" w:hAnsi="Times New Roman" w:cs="Times New Roman"/>
        </w:rPr>
        <w:footnoteRef/>
      </w:r>
      <w:r w:rsidRPr="005C2E09">
        <w:rPr>
          <w:rFonts w:ascii="Times New Roman" w:hAnsi="Times New Roman" w:cs="Times New Roman"/>
        </w:rPr>
        <w:t xml:space="preserve"> Sentencia C-1052 de 2001.</w:t>
      </w:r>
    </w:p>
  </w:footnote>
  <w:footnote w:id="47">
    <w:p w:rsidR="008274AE" w:rsidRPr="005C2E09" w:rsidRDefault="002F3D0A" w:rsidP="00AA620E">
      <w:pPr>
        <w:pStyle w:val="Textonotapie"/>
        <w:rPr>
          <w:rFonts w:ascii="Times New Roman" w:hAnsi="Times New Roman" w:cs="Times New Roman"/>
        </w:rPr>
      </w:pPr>
      <w:r w:rsidRPr="005C2E09">
        <w:rPr>
          <w:rStyle w:val="Refdenotaalpie"/>
          <w:rFonts w:ascii="Times New Roman" w:hAnsi="Times New Roman" w:cs="Times New Roman"/>
        </w:rPr>
        <w:footnoteRef/>
      </w:r>
      <w:r w:rsidRPr="005C2E09">
        <w:rPr>
          <w:rFonts w:ascii="Times New Roman" w:hAnsi="Times New Roman" w:cs="Times New Roman"/>
        </w:rPr>
        <w:t xml:space="preserve"> El artículo 6 del Decreto Ley 2067 de 1991 establece que, si la demanda no cumple alguno de los requisitos señalados en el artículo 2 </w:t>
      </w:r>
      <w:r w:rsidRPr="005C2E09">
        <w:rPr>
          <w:rFonts w:ascii="Times New Roman" w:hAnsi="Times New Roman" w:cs="Times New Roman"/>
          <w:i/>
          <w:iCs/>
        </w:rPr>
        <w:t>ibidem</w:t>
      </w:r>
      <w:r w:rsidRPr="005C2E09">
        <w:rPr>
          <w:rFonts w:ascii="Times New Roman" w:hAnsi="Times New Roman" w:cs="Times New Roman"/>
        </w:rPr>
        <w:t>, el magistrado sustanciador no podrá admitirla sino que le otorgará al accionante tres días para que la corrija, s</w:t>
      </w:r>
      <w:r w:rsidRPr="005C2E09">
        <w:rPr>
          <w:rFonts w:ascii="Times New Roman" w:hAnsi="Times New Roman" w:cs="Times New Roman"/>
        </w:rPr>
        <w:t>o pena de rechazo.</w:t>
      </w:r>
    </w:p>
  </w:footnote>
  <w:footnote w:id="48">
    <w:p w:rsidR="008274AE" w:rsidRPr="005C2E09" w:rsidRDefault="002F3D0A" w:rsidP="00AA620E">
      <w:pPr>
        <w:pStyle w:val="Textonotapie"/>
        <w:rPr>
          <w:rFonts w:ascii="Times New Roman" w:hAnsi="Times New Roman" w:cs="Times New Roman"/>
        </w:rPr>
      </w:pPr>
      <w:r w:rsidRPr="005C2E09">
        <w:rPr>
          <w:rStyle w:val="Refdenotaalpie"/>
          <w:rFonts w:ascii="Times New Roman" w:hAnsi="Times New Roman" w:cs="Times New Roman"/>
        </w:rPr>
        <w:footnoteRef/>
      </w:r>
      <w:r w:rsidRPr="005C2E09">
        <w:rPr>
          <w:rFonts w:ascii="Times New Roman" w:hAnsi="Times New Roman" w:cs="Times New Roman"/>
        </w:rPr>
        <w:t xml:space="preserve"> Sentencias C-623 de 2008, C-894 de 2009, C-281 de 2013, C-240 de 2014, C-542 de 2017, C-220 de 2019, C-035 de 2020, C-050 de 2021, C-076 de 2021, C-189 de 2021, C-056 de 2022, C-260 de 2022, C-366 de 2022, C-262 de 2023, entre otras.</w:t>
      </w:r>
    </w:p>
  </w:footnote>
  <w:footnote w:id="49">
    <w:p w:rsidR="008274AE" w:rsidRPr="00DC2D36" w:rsidRDefault="002F3D0A" w:rsidP="00AA620E">
      <w:pPr>
        <w:pStyle w:val="Textonotapie"/>
        <w:rPr>
          <w:rFonts w:ascii="Times New Roman" w:hAnsi="Times New Roman" w:cs="Times New Roman"/>
        </w:rPr>
      </w:pPr>
      <w:r w:rsidRPr="00DC2D36">
        <w:rPr>
          <w:rStyle w:val="Refdenotaalpie"/>
          <w:rFonts w:ascii="Times New Roman" w:hAnsi="Times New Roman" w:cs="Times New Roman"/>
        </w:rPr>
        <w:footnoteRef/>
      </w:r>
      <w:r w:rsidRPr="00DC2D36">
        <w:rPr>
          <w:rFonts w:ascii="Times New Roman" w:hAnsi="Times New Roman" w:cs="Times New Roman"/>
        </w:rPr>
        <w:t xml:space="preserve"> Por ejemplo, sentencias C-1031 de 2002, C-1042 de 2003, C-1177 de 2004, C-798 de 2005, C-507 de 2006, C-401 de 2007, C-673 de 2008, C-713 de 2009, C-840 de 2010, C-807 de 2011, C-909 de 2012, C-330 de 2013, C-418 de 2014, C-721 de 2015, C-330 de 2016, C-1</w:t>
      </w:r>
      <w:r w:rsidRPr="00DC2D36">
        <w:rPr>
          <w:rFonts w:ascii="Times New Roman" w:hAnsi="Times New Roman" w:cs="Times New Roman"/>
        </w:rPr>
        <w:t>89 de 2017, C-134 de 2018, C-165 de 2019, C-094 de 2020, C-050 de 2021, C-018 de 2022, C-322 de 2023, C-097 de 2024, entre otras.</w:t>
      </w:r>
    </w:p>
  </w:footnote>
  <w:footnote w:id="50">
    <w:p w:rsidR="008274AE" w:rsidRPr="00DC2D36" w:rsidRDefault="002F3D0A" w:rsidP="00AA620E">
      <w:pPr>
        <w:pStyle w:val="Textonotapie"/>
      </w:pPr>
      <w:r w:rsidRPr="00DC2D36">
        <w:rPr>
          <w:rStyle w:val="Refdenotaalpie"/>
          <w:rFonts w:ascii="Times New Roman" w:hAnsi="Times New Roman" w:cs="Times New Roman"/>
        </w:rPr>
        <w:footnoteRef/>
      </w:r>
      <w:r w:rsidRPr="00DC2D36">
        <w:rPr>
          <w:rFonts w:ascii="Times New Roman" w:hAnsi="Times New Roman" w:cs="Times New Roman"/>
        </w:rPr>
        <w:t xml:space="preserve"> Reiterada en sentencia C-262 de 2023.</w:t>
      </w:r>
    </w:p>
  </w:footnote>
  <w:footnote w:id="51">
    <w:p w:rsidR="008274AE" w:rsidRPr="00DC2D36" w:rsidRDefault="002F3D0A">
      <w:pPr>
        <w:pStyle w:val="Textonotapie"/>
        <w:rPr>
          <w:rFonts w:ascii="Times New Roman" w:hAnsi="Times New Roman" w:cs="Times New Roman"/>
          <w:lang w:val="es-ES"/>
        </w:rPr>
      </w:pPr>
      <w:r w:rsidRPr="00DC2D36">
        <w:rPr>
          <w:rStyle w:val="Refdenotaalpie"/>
          <w:rFonts w:ascii="Times New Roman" w:hAnsi="Times New Roman" w:cs="Times New Roman"/>
        </w:rPr>
        <w:footnoteRef/>
      </w:r>
      <w:r w:rsidRPr="00DC2D36">
        <w:rPr>
          <w:rFonts w:ascii="Times New Roman" w:hAnsi="Times New Roman" w:cs="Times New Roman"/>
        </w:rPr>
        <w:t xml:space="preserve"> Para valorar si una medida tributaria transgrede el principio de equidad horizontal,</w:t>
      </w:r>
      <w:r w:rsidRPr="00DC2D36">
        <w:rPr>
          <w:rFonts w:ascii="Times New Roman" w:hAnsi="Times New Roman" w:cs="Times New Roman"/>
        </w:rPr>
        <w:t xml:space="preserve"> la jurisprudencia ha acudido a la metodología del test integrado de igualdad. Sentencias C-205 de 2024, C-109 de 2020, C-521 de 2019, C-129 de 2018, C-057 de 2021 y C-540 de 2023, entre otras.</w:t>
      </w:r>
    </w:p>
  </w:footnote>
  <w:footnote w:id="52">
    <w:p w:rsidR="008274AE" w:rsidRPr="00DC2D36" w:rsidRDefault="002F3D0A">
      <w:pPr>
        <w:pStyle w:val="Textonotapie"/>
        <w:rPr>
          <w:rFonts w:ascii="Times New Roman" w:hAnsi="Times New Roman" w:cs="Times New Roman"/>
          <w:lang w:val="es-ES"/>
        </w:rPr>
      </w:pPr>
      <w:r w:rsidRPr="00DC2D36">
        <w:rPr>
          <w:rStyle w:val="Refdenotaalpie"/>
          <w:rFonts w:ascii="Times New Roman" w:hAnsi="Times New Roman" w:cs="Times New Roman"/>
        </w:rPr>
        <w:footnoteRef/>
      </w:r>
      <w:r w:rsidRPr="00DC2D36">
        <w:rPr>
          <w:rFonts w:ascii="Times New Roman" w:hAnsi="Times New Roman" w:cs="Times New Roman"/>
        </w:rPr>
        <w:t xml:space="preserve"> Así, por ejemplo, la distinción acusada en esta oportunidad se introdujo en el diseño del impuesto al patrimonio creado en la Ley 1943 de 2018.</w:t>
      </w:r>
      <w:r w:rsidRPr="00DC2D36">
        <w:t xml:space="preserve"> </w:t>
      </w:r>
      <w:r w:rsidRPr="00DC2D36">
        <w:rPr>
          <w:rFonts w:ascii="Times New Roman" w:hAnsi="Times New Roman" w:cs="Times New Roman"/>
        </w:rPr>
        <w:t>El proyecto inicial que fue el origen de la Ley 1943 de 2018 el entonces Ministro de Hacienda establecía la dis</w:t>
      </w:r>
      <w:r w:rsidRPr="00DC2D36">
        <w:rPr>
          <w:rFonts w:ascii="Times New Roman" w:hAnsi="Times New Roman" w:cs="Times New Roman"/>
        </w:rPr>
        <w:t>tinción para excluir como sujetos pasivos a las sociedades extranjeras que posean bienes ubicados en Colombia en acciones, cuentas por cobrar y/o inversiones de portafolio durante el trámite algunos congresistas presentaron proposiciones para que se incluy</w:t>
      </w:r>
      <w:r w:rsidRPr="00DC2D36">
        <w:rPr>
          <w:rFonts w:ascii="Times New Roman" w:hAnsi="Times New Roman" w:cs="Times New Roman"/>
        </w:rPr>
        <w:t>eran a todas las sociedades extranjeras como sujetos pasivos del impuesto al patrimonio. Frente a esta propuesta, en el seno del Congreso: “Algunos Honorables Congresistas proponen que se excluyan como sujetos pasivos del impuesto al patrimonio los sujetos</w:t>
      </w:r>
      <w:r w:rsidRPr="00DC2D36">
        <w:rPr>
          <w:rFonts w:ascii="Times New Roman" w:hAnsi="Times New Roman" w:cs="Times New Roman"/>
        </w:rPr>
        <w:t xml:space="preserve"> de que trata el artículo 18-1 del Estatuto Tributario, concretamente, los fondos de inversión extranjera, en aras de proteger la inversión extranjera de portafolio en Colombia, y con ello, los efectos cambiarios que puede ocasionar su retiro del país por </w:t>
      </w:r>
      <w:r w:rsidRPr="00DC2D36">
        <w:rPr>
          <w:rFonts w:ascii="Times New Roman" w:hAnsi="Times New Roman" w:cs="Times New Roman"/>
        </w:rPr>
        <w:t>cuenta del comentado impuesto.” Gaceta 1048 de 2018. Página 9.</w:t>
      </w:r>
    </w:p>
  </w:footnote>
  <w:footnote w:id="53">
    <w:p w:rsidR="008274AE" w:rsidRPr="00DC2D36" w:rsidRDefault="002F3D0A">
      <w:pPr>
        <w:pStyle w:val="Textonotapie"/>
        <w:rPr>
          <w:rFonts w:ascii="Times New Roman" w:hAnsi="Times New Roman" w:cs="Times New Roman"/>
          <w:lang w:val="es-ES"/>
        </w:rPr>
      </w:pPr>
      <w:r w:rsidRPr="00DC2D36">
        <w:rPr>
          <w:rStyle w:val="Refdenotaalpie"/>
          <w:rFonts w:ascii="Times New Roman" w:hAnsi="Times New Roman" w:cs="Times New Roman"/>
        </w:rPr>
        <w:footnoteRef/>
      </w:r>
      <w:r w:rsidRPr="00DC2D36">
        <w:rPr>
          <w:rFonts w:ascii="Times New Roman" w:hAnsi="Times New Roman" w:cs="Times New Roman"/>
        </w:rPr>
        <w:t xml:space="preserve"> </w:t>
      </w:r>
      <w:r w:rsidRPr="00DC2D36">
        <w:rPr>
          <w:rFonts w:ascii="Times New Roman" w:hAnsi="Times New Roman" w:cs="Times New Roman"/>
          <w:lang w:val="es-ES"/>
        </w:rPr>
        <w:t>Demanda expediente D-15564, folio 22.</w:t>
      </w:r>
    </w:p>
  </w:footnote>
  <w:footnote w:id="54">
    <w:p w:rsidR="008274AE" w:rsidRPr="00E90CB4" w:rsidRDefault="002F3D0A" w:rsidP="00E90CB4">
      <w:pPr>
        <w:pStyle w:val="Textonotapie"/>
        <w:rPr>
          <w:rFonts w:ascii="Times New Roman" w:hAnsi="Times New Roman" w:cs="Times New Roman"/>
        </w:rPr>
      </w:pPr>
      <w:r w:rsidRPr="00DC2D36">
        <w:rPr>
          <w:rStyle w:val="Refdenotaalpie"/>
          <w:rFonts w:ascii="Times New Roman" w:hAnsi="Times New Roman" w:cs="Times New Roman"/>
        </w:rPr>
        <w:footnoteRef/>
      </w:r>
      <w:r w:rsidRPr="00DC2D36">
        <w:rPr>
          <w:rFonts w:ascii="Times New Roman" w:hAnsi="Times New Roman" w:cs="Times New Roman"/>
        </w:rPr>
        <w:t xml:space="preserve"> Sentencia C-1191 de 2001..</w:t>
      </w:r>
    </w:p>
  </w:footnote>
  <w:footnote w:id="55">
    <w:p w:rsidR="008274AE" w:rsidRPr="00E90CB4" w:rsidRDefault="002F3D0A" w:rsidP="005628D8">
      <w:pPr>
        <w:pStyle w:val="Textonotapie"/>
        <w:rPr>
          <w:rFonts w:ascii="Times New Roman" w:hAnsi="Times New Roman" w:cs="Times New Roman"/>
          <w:lang w:val="es-ES"/>
        </w:rPr>
      </w:pPr>
      <w:r w:rsidRPr="00E90CB4">
        <w:rPr>
          <w:rStyle w:val="Refdenotaalpie"/>
          <w:rFonts w:ascii="Times New Roman" w:hAnsi="Times New Roman" w:cs="Times New Roman"/>
        </w:rPr>
        <w:footnoteRef/>
      </w:r>
      <w:r w:rsidRPr="00E90CB4">
        <w:rPr>
          <w:rFonts w:ascii="Times New Roman" w:hAnsi="Times New Roman" w:cs="Times New Roman"/>
        </w:rPr>
        <w:t xml:space="preserve"> Oficio 220-050572 de abril 6 de 2018. Superintendencia de Sociedades.</w:t>
      </w:r>
    </w:p>
  </w:footnote>
  <w:footnote w:id="56">
    <w:p w:rsidR="008274AE" w:rsidRPr="00E90CB4" w:rsidRDefault="002F3D0A" w:rsidP="005628D8">
      <w:pPr>
        <w:pStyle w:val="Textonotapie"/>
        <w:rPr>
          <w:rFonts w:ascii="Times New Roman" w:hAnsi="Times New Roman" w:cs="Times New Roman"/>
          <w:lang w:val="es-ES"/>
        </w:rPr>
      </w:pPr>
      <w:r w:rsidRPr="00E90CB4">
        <w:rPr>
          <w:rStyle w:val="Refdenotaalpie"/>
          <w:rFonts w:ascii="Times New Roman" w:hAnsi="Times New Roman" w:cs="Times New Roman"/>
        </w:rPr>
        <w:footnoteRef/>
      </w:r>
      <w:r w:rsidRPr="00E90CB4">
        <w:rPr>
          <w:rFonts w:ascii="Times New Roman" w:hAnsi="Times New Roman" w:cs="Times New Roman"/>
        </w:rPr>
        <w:t xml:space="preserve"> Artículos 377, 378 y 379 del Código de Comercio.</w:t>
      </w:r>
    </w:p>
  </w:footnote>
  <w:footnote w:id="57">
    <w:p w:rsidR="008274AE" w:rsidRPr="00E90CB4" w:rsidRDefault="002F3D0A" w:rsidP="005628D8">
      <w:pPr>
        <w:pStyle w:val="Textonotapie"/>
        <w:rPr>
          <w:rFonts w:ascii="Times New Roman" w:hAnsi="Times New Roman" w:cs="Times New Roman"/>
          <w:lang w:val="es-ES"/>
        </w:rPr>
      </w:pPr>
      <w:r w:rsidRPr="00E90CB4">
        <w:rPr>
          <w:rStyle w:val="Refdenotaalpie"/>
          <w:rFonts w:ascii="Times New Roman" w:hAnsi="Times New Roman" w:cs="Times New Roman"/>
        </w:rPr>
        <w:footnoteRef/>
      </w:r>
      <w:r w:rsidRPr="00E90CB4">
        <w:rPr>
          <w:rFonts w:ascii="Times New Roman" w:hAnsi="Times New Roman" w:cs="Times New Roman"/>
        </w:rPr>
        <w:t xml:space="preserve"> De acuerdo con el artículo 63 del Decreto 2649 de 1993 “Por el cual se reglamenta la contabilidad en general y se expiden los principios o normas de contabilidad generalmente aceptados en Colombia.”</w:t>
      </w:r>
    </w:p>
  </w:footnote>
  <w:footnote w:id="58">
    <w:p w:rsidR="008274AE" w:rsidRPr="00E90CB4" w:rsidRDefault="002F3D0A" w:rsidP="005628D8">
      <w:pPr>
        <w:pStyle w:val="Textonotapie"/>
        <w:rPr>
          <w:rFonts w:ascii="Times New Roman" w:hAnsi="Times New Roman" w:cs="Times New Roman"/>
          <w:lang w:val="es-ES"/>
        </w:rPr>
      </w:pPr>
      <w:r w:rsidRPr="00E90CB4">
        <w:rPr>
          <w:rStyle w:val="Refdenotaalpie"/>
          <w:rFonts w:ascii="Times New Roman" w:hAnsi="Times New Roman" w:cs="Times New Roman"/>
        </w:rPr>
        <w:footnoteRef/>
      </w:r>
      <w:r w:rsidRPr="00E90CB4">
        <w:rPr>
          <w:rFonts w:ascii="Times New Roman" w:hAnsi="Times New Roman" w:cs="Times New Roman"/>
        </w:rPr>
        <w:t xml:space="preserve"> De acuerdo con la Sección Cuarta del Consejo de Estado</w:t>
      </w:r>
      <w:r w:rsidRPr="00E90CB4">
        <w:rPr>
          <w:rFonts w:ascii="Times New Roman" w:hAnsi="Times New Roman" w:cs="Times New Roman"/>
        </w:rPr>
        <w:t xml:space="preserve">, sentencias del 9 de noviembre de 2023 Radicación 27173, 27 de marzo de 2014, Radicación 17714. Por su parte, el artículo 666 del Código Civil “Derechos personales o créditos son los que sólo pueden reclamarse de ciertas personas que, por un hecho suyo o </w:t>
      </w:r>
      <w:r w:rsidRPr="00E90CB4">
        <w:rPr>
          <w:rFonts w:ascii="Times New Roman" w:hAnsi="Times New Roman" w:cs="Times New Roman"/>
        </w:rPr>
        <w:t>la sola disposición de la ley, han contraído las obligaciones correlativas; como el que tiene el prestamista contra su deudor por el dinero prestado, o el hijo contra el padre por alimentos. De estos derechos nacen las acciones personales.</w:t>
      </w:r>
    </w:p>
  </w:footnote>
  <w:footnote w:id="59">
    <w:p w:rsidR="008274AE" w:rsidRPr="00E6340C" w:rsidRDefault="002F3D0A" w:rsidP="005628D8">
      <w:pPr>
        <w:pStyle w:val="Textonotapie"/>
        <w:rPr>
          <w:lang w:val="es-ES"/>
        </w:rPr>
      </w:pPr>
      <w:r w:rsidRPr="00E90CB4">
        <w:rPr>
          <w:rStyle w:val="Refdenotaalpie"/>
          <w:rFonts w:ascii="Times New Roman" w:hAnsi="Times New Roman" w:cs="Times New Roman"/>
        </w:rPr>
        <w:footnoteRef/>
      </w:r>
      <w:r w:rsidRPr="00E90CB4">
        <w:rPr>
          <w:rFonts w:ascii="Times New Roman" w:hAnsi="Times New Roman" w:cs="Times New Roman"/>
        </w:rPr>
        <w:t xml:space="preserve"> De acuerdo con</w:t>
      </w:r>
      <w:r w:rsidRPr="00E90CB4">
        <w:rPr>
          <w:rFonts w:ascii="Times New Roman" w:hAnsi="Times New Roman" w:cs="Times New Roman"/>
        </w:rPr>
        <w:t xml:space="preserve"> el literal a) del artículo 7 de la Ley 964 de 2005 el Registro Nacional de Valores y Emisores tiene por objeto inscribir las clases y tipos de valores, así como los emisores de los mismos y las emisiones que estos efectúen, y certificar lo relacionado con</w:t>
      </w:r>
      <w:r w:rsidRPr="00E90CB4">
        <w:rPr>
          <w:rFonts w:ascii="Times New Roman" w:hAnsi="Times New Roman" w:cs="Times New Roman"/>
        </w:rPr>
        <w:t xml:space="preserve"> la inscripción de dichos emisores y clases y tipos de valores. Por su parte, el artículo de la misma ley define como valor “todo derecho de naturaleza negociable que haga parte de una emisión, cuando tenga por objeto o efecto la captación de recursos del </w:t>
      </w:r>
      <w:r w:rsidRPr="00E90CB4">
        <w:rPr>
          <w:rFonts w:ascii="Times New Roman" w:hAnsi="Times New Roman" w:cs="Times New Roman"/>
        </w:rPr>
        <w:t>público, incluyendo los siguientes: a) Las acciones; b) Los bonos;  c) Los papeles comerciales; d) Los certificados de depósito de mercancías; e) Cualquier título o derecho resultante de un proceso de titularización; f) Cualquier título representativo de c</w:t>
      </w:r>
      <w:r w:rsidRPr="00E90CB4">
        <w:rPr>
          <w:rFonts w:ascii="Times New Roman" w:hAnsi="Times New Roman" w:cs="Times New Roman"/>
        </w:rPr>
        <w:t>apital de riesgo; g) Los certificados de depósito a término; h)</w:t>
      </w:r>
      <w:r w:rsidRPr="00317E34">
        <w:rPr>
          <w:rFonts w:ascii="Times New Roman" w:hAnsi="Times New Roman" w:cs="Times New Roman"/>
        </w:rPr>
        <w:t xml:space="preserve"> Las aceptaciones bancarias; i) Las cédulas hipotecarias; j) Cualquier título de deuda pública.</w:t>
      </w:r>
    </w:p>
  </w:footnote>
  <w:footnote w:id="60">
    <w:p w:rsidR="008274AE" w:rsidRPr="00382BB4" w:rsidRDefault="002F3D0A" w:rsidP="005628D8">
      <w:pPr>
        <w:pStyle w:val="Textonotapie"/>
        <w:rPr>
          <w:rFonts w:ascii="Times New Roman" w:hAnsi="Times New Roman" w:cs="Times New Roman"/>
          <w:lang w:val="es-ES"/>
        </w:rPr>
      </w:pPr>
      <w:r w:rsidRPr="00382BB4">
        <w:rPr>
          <w:rStyle w:val="Refdenotaalpie"/>
          <w:rFonts w:ascii="Times New Roman" w:hAnsi="Times New Roman" w:cs="Times New Roman"/>
        </w:rPr>
        <w:footnoteRef/>
      </w:r>
      <w:r w:rsidRPr="00382BB4">
        <w:rPr>
          <w:rFonts w:ascii="Times New Roman" w:hAnsi="Times New Roman" w:cs="Times New Roman"/>
        </w:rPr>
        <w:t xml:space="preserve"> Listado de valores extranjeros en los sistemas de cotización de valores del extranjero por medi</w:t>
      </w:r>
      <w:r w:rsidRPr="00382BB4">
        <w:rPr>
          <w:rFonts w:ascii="Times New Roman" w:hAnsi="Times New Roman" w:cs="Times New Roman"/>
        </w:rPr>
        <w:t>o de las sociedades comisionistas de bolsa.</w:t>
      </w:r>
    </w:p>
  </w:footnote>
  <w:footnote w:id="61">
    <w:p w:rsidR="008274AE" w:rsidRPr="00382BB4" w:rsidRDefault="002F3D0A" w:rsidP="005628D8">
      <w:pPr>
        <w:pStyle w:val="Textonotapie"/>
        <w:rPr>
          <w:rFonts w:ascii="Times New Roman" w:hAnsi="Times New Roman" w:cs="Times New Roman"/>
          <w:lang w:val="es-ES"/>
        </w:rPr>
      </w:pPr>
      <w:r w:rsidRPr="00382BB4">
        <w:rPr>
          <w:rStyle w:val="Refdenotaalpie"/>
          <w:rFonts w:ascii="Times New Roman" w:hAnsi="Times New Roman" w:cs="Times New Roman"/>
        </w:rPr>
        <w:footnoteRef/>
      </w:r>
      <w:r w:rsidRPr="00382BB4">
        <w:rPr>
          <w:rFonts w:ascii="Times New Roman" w:hAnsi="Times New Roman" w:cs="Times New Roman"/>
        </w:rPr>
        <w:t xml:space="preserve"> Listado de valores extranjeros en los sistemas de cotización de valores del extranjero. De acuerdo con artículo el 2.15.6.1.2 se entiende por valores extranjeros, todos aquellos que hayan sido emitidos fuera del país por emisores nacionales o extranjeros </w:t>
      </w:r>
      <w:r w:rsidRPr="00382BB4">
        <w:rPr>
          <w:rFonts w:ascii="Times New Roman" w:hAnsi="Times New Roman" w:cs="Times New Roman"/>
        </w:rPr>
        <w:t>bajo la regulación de un país extranjero, siempre y cuando gocen del reconocimiento a que se refiere el artículo 2.15.6.1.5 del presente Decreto y se enmarquen dentro del concepto de valor de conformidad con el artículo 2 de la Ley 964 de 2005.</w:t>
      </w:r>
    </w:p>
  </w:footnote>
  <w:footnote w:id="62">
    <w:p w:rsidR="008274AE" w:rsidRPr="00382BB4" w:rsidRDefault="002F3D0A" w:rsidP="005628D8">
      <w:pPr>
        <w:pStyle w:val="Textonotapie"/>
        <w:rPr>
          <w:rFonts w:ascii="Times New Roman" w:hAnsi="Times New Roman" w:cs="Times New Roman"/>
          <w:lang w:val="es-ES"/>
        </w:rPr>
      </w:pPr>
      <w:r w:rsidRPr="00382BB4">
        <w:rPr>
          <w:rStyle w:val="Refdenotaalpie"/>
          <w:rFonts w:ascii="Times New Roman" w:hAnsi="Times New Roman" w:cs="Times New Roman"/>
        </w:rPr>
        <w:footnoteRef/>
      </w:r>
      <w:r w:rsidRPr="00382BB4">
        <w:rPr>
          <w:rFonts w:ascii="Times New Roman" w:hAnsi="Times New Roman" w:cs="Times New Roman"/>
        </w:rPr>
        <w:t xml:space="preserve"> Normas ap</w:t>
      </w:r>
      <w:r w:rsidRPr="00382BB4">
        <w:rPr>
          <w:rFonts w:ascii="Times New Roman" w:hAnsi="Times New Roman" w:cs="Times New Roman"/>
        </w:rPr>
        <w:t>licables a los sistemas de negociación de valores y de registro de operaciones sobre valores</w:t>
      </w:r>
    </w:p>
  </w:footnote>
  <w:footnote w:id="63">
    <w:p w:rsidR="008274AE" w:rsidRPr="00382BB4" w:rsidRDefault="002F3D0A" w:rsidP="005628D8">
      <w:pPr>
        <w:pStyle w:val="Textonotapie"/>
        <w:rPr>
          <w:rFonts w:ascii="Times New Roman" w:hAnsi="Times New Roman" w:cs="Times New Roman"/>
          <w:lang w:val="es-ES"/>
        </w:rPr>
      </w:pPr>
      <w:r w:rsidRPr="00382BB4">
        <w:rPr>
          <w:rStyle w:val="Refdenotaalpie"/>
          <w:rFonts w:ascii="Times New Roman" w:hAnsi="Times New Roman" w:cs="Times New Roman"/>
        </w:rPr>
        <w:footnoteRef/>
      </w:r>
      <w:r w:rsidRPr="00382BB4">
        <w:rPr>
          <w:rFonts w:ascii="Times New Roman" w:hAnsi="Times New Roman" w:cs="Times New Roman"/>
        </w:rPr>
        <w:t xml:space="preserve"> Excepto los mencionados en los ordinales ii) y vii) del literal a) del presente artículo.</w:t>
      </w:r>
    </w:p>
  </w:footnote>
  <w:footnote w:id="64">
    <w:p w:rsidR="008274AE" w:rsidRPr="00C34DDA" w:rsidRDefault="002F3D0A" w:rsidP="005628D8">
      <w:pPr>
        <w:pStyle w:val="Textonotapie"/>
        <w:rPr>
          <w:rFonts w:ascii="Times New Roman" w:hAnsi="Times New Roman" w:cs="Times New Roman"/>
          <w:lang w:val="es-ES"/>
        </w:rPr>
      </w:pPr>
      <w:r w:rsidRPr="00382BB4">
        <w:rPr>
          <w:rStyle w:val="Refdenotaalpie"/>
          <w:rFonts w:ascii="Times New Roman" w:hAnsi="Times New Roman" w:cs="Times New Roman"/>
        </w:rPr>
        <w:footnoteRef/>
      </w:r>
      <w:r w:rsidRPr="00382BB4">
        <w:rPr>
          <w:rFonts w:ascii="Times New Roman" w:hAnsi="Times New Roman" w:cs="Times New Roman"/>
        </w:rPr>
        <w:t>Literal a, (ii) las participaciones mencionadas en el ordinal anterior</w:t>
      </w:r>
      <w:r w:rsidRPr="00382BB4">
        <w:rPr>
          <w:rFonts w:ascii="Times New Roman" w:hAnsi="Times New Roman" w:cs="Times New Roman"/>
        </w:rPr>
        <w:t>, realizadas en una sociedad residente en Colombia y que se encuentren inscritas en el Registro Nacional de Valores y Emisores (</w:t>
      </w:r>
      <w:r w:rsidRPr="00C34DDA">
        <w:rPr>
          <w:rFonts w:ascii="Times New Roman" w:hAnsi="Times New Roman" w:cs="Times New Roman"/>
        </w:rPr>
        <w:t>RNVE), cuando el inversionista declare que han sido adquiridas con ánimo de permanencia; vii) Las participaciones en fondos de c</w:t>
      </w:r>
      <w:r w:rsidRPr="00C34DDA">
        <w:rPr>
          <w:rFonts w:ascii="Times New Roman" w:hAnsi="Times New Roman" w:cs="Times New Roman"/>
        </w:rPr>
        <w:t xml:space="preserve">apital privado de que trata el Libro Tercero de la Parte Tercera del Decreto 2555 de 2010, o las normas que lo modifiquen o sustituyan, se encuentren inscritas o no en el Registro Nacional de Valores y Emisores (RNVE); </w:t>
      </w:r>
    </w:p>
  </w:footnote>
  <w:footnote w:id="65">
    <w:p w:rsidR="008274AE" w:rsidRPr="00C34DDA" w:rsidRDefault="002F3D0A" w:rsidP="005628D8">
      <w:pPr>
        <w:pStyle w:val="Textonotapie"/>
        <w:rPr>
          <w:rFonts w:ascii="Times New Roman" w:hAnsi="Times New Roman" w:cs="Times New Roman"/>
          <w:lang w:val="es-ES"/>
        </w:rPr>
      </w:pPr>
      <w:r w:rsidRPr="00C34DDA">
        <w:rPr>
          <w:rStyle w:val="Refdenotaalpie"/>
          <w:rFonts w:ascii="Times New Roman" w:hAnsi="Times New Roman" w:cs="Times New Roman"/>
        </w:rPr>
        <w:footnoteRef/>
      </w:r>
      <w:r w:rsidRPr="00C34DDA">
        <w:rPr>
          <w:rFonts w:ascii="Times New Roman" w:hAnsi="Times New Roman" w:cs="Times New Roman"/>
        </w:rPr>
        <w:t xml:space="preserve"> </w:t>
      </w:r>
      <w:r w:rsidRPr="00C34DDA">
        <w:rPr>
          <w:rFonts w:ascii="Times New Roman" w:hAnsi="Times New Roman" w:cs="Times New Roman"/>
          <w:lang w:val="es-ES"/>
        </w:rPr>
        <w:t>Según el artículo 3.1.1.2.1. del D</w:t>
      </w:r>
      <w:r w:rsidRPr="00C34DDA">
        <w:rPr>
          <w:rFonts w:ascii="Times New Roman" w:hAnsi="Times New Roman" w:cs="Times New Roman"/>
          <w:lang w:val="es-ES"/>
        </w:rPr>
        <w:t>ecreto 1242 de 2013 son fondos de inversión colectiva “todo mecanismo o vehículo de captación o administración de sumas de dinero u otros activos, integrado con el aporte de un número plural de personas determinables una vez el fondo entre en operación, re</w:t>
      </w:r>
      <w:r w:rsidRPr="00C34DDA">
        <w:rPr>
          <w:rFonts w:ascii="Times New Roman" w:hAnsi="Times New Roman" w:cs="Times New Roman"/>
          <w:lang w:val="es-ES"/>
        </w:rPr>
        <w:t>cursos que serán gestionados de manera colectiva para obtener resultados económicos también colectivos.” Los fondos de inversión colectiva pueden ser abiertos o cerrados.</w:t>
      </w:r>
    </w:p>
  </w:footnote>
  <w:footnote w:id="66">
    <w:p w:rsidR="008274AE" w:rsidRPr="00686B55" w:rsidRDefault="002F3D0A">
      <w:pPr>
        <w:pStyle w:val="Textonotapie"/>
        <w:rPr>
          <w:rFonts w:ascii="Times New Roman" w:hAnsi="Times New Roman" w:cs="Times New Roman"/>
          <w:lang w:val="es-ES"/>
        </w:rPr>
      </w:pPr>
      <w:r w:rsidRPr="00686B55">
        <w:rPr>
          <w:rStyle w:val="Refdenotaalpie"/>
          <w:rFonts w:ascii="Times New Roman" w:hAnsi="Times New Roman" w:cs="Times New Roman"/>
        </w:rPr>
        <w:footnoteRef/>
      </w:r>
      <w:r w:rsidRPr="00686B55">
        <w:rPr>
          <w:rFonts w:ascii="Times New Roman" w:hAnsi="Times New Roman" w:cs="Times New Roman"/>
        </w:rPr>
        <w:t xml:space="preserve"> </w:t>
      </w:r>
      <w:r w:rsidRPr="00686B55">
        <w:rPr>
          <w:rFonts w:ascii="Times New Roman" w:hAnsi="Times New Roman" w:cs="Times New Roman"/>
          <w:lang w:val="es-ES"/>
        </w:rPr>
        <w:t>Sentencias C-634 de 2011, C-257 de 2022 y C-393 de 2023.</w:t>
      </w:r>
    </w:p>
  </w:footnote>
  <w:footnote w:id="67">
    <w:p w:rsidR="008274AE" w:rsidRPr="00B5042D" w:rsidRDefault="002F3D0A">
      <w:pPr>
        <w:pStyle w:val="Textonotapie"/>
        <w:rPr>
          <w:lang w:val="es-ES"/>
        </w:rPr>
      </w:pPr>
      <w:r>
        <w:rPr>
          <w:rStyle w:val="Refdenotaalpie"/>
        </w:rPr>
        <w:footnoteRef/>
      </w:r>
      <w:r>
        <w:t xml:space="preserve"> </w:t>
      </w:r>
      <w:r w:rsidRPr="00AB4816">
        <w:rPr>
          <w:rFonts w:ascii="Times New Roman" w:hAnsi="Times New Roman" w:cs="Times New Roman"/>
          <w:lang w:val="es-ES"/>
        </w:rPr>
        <w:t xml:space="preserve">Demanda expediente </w:t>
      </w:r>
      <w:r w:rsidRPr="00AB4816">
        <w:rPr>
          <w:rFonts w:ascii="Times New Roman" w:hAnsi="Times New Roman" w:cs="Times New Roman"/>
          <w:lang w:val="es-ES"/>
        </w:rPr>
        <w:t>D-15564, folio 4</w:t>
      </w:r>
      <w:r>
        <w:rPr>
          <w:rFonts w:ascii="Times New Roman" w:hAnsi="Times New Roman" w:cs="Times New Roman"/>
          <w:lang w:val="es-ES"/>
        </w:rPr>
        <w:t>3</w:t>
      </w:r>
      <w:r w:rsidRPr="00AB4816">
        <w:rPr>
          <w:rFonts w:ascii="Times New Roman" w:hAnsi="Times New Roman" w:cs="Times New Roman"/>
          <w:lang w:val="es-ES"/>
        </w:rPr>
        <w:t>.</w:t>
      </w:r>
    </w:p>
  </w:footnote>
  <w:footnote w:id="68">
    <w:p w:rsidR="008274AE" w:rsidRPr="006816D9" w:rsidRDefault="002F3D0A">
      <w:pPr>
        <w:pStyle w:val="Textonotapie"/>
        <w:rPr>
          <w:rFonts w:ascii="Times New Roman" w:hAnsi="Times New Roman" w:cs="Times New Roman"/>
          <w:lang w:val="es-ES"/>
        </w:rPr>
      </w:pPr>
      <w:r w:rsidRPr="006816D9">
        <w:rPr>
          <w:rStyle w:val="Refdenotaalpie"/>
          <w:rFonts w:ascii="Times New Roman" w:hAnsi="Times New Roman" w:cs="Times New Roman"/>
        </w:rPr>
        <w:footnoteRef/>
      </w:r>
      <w:r w:rsidRPr="006816D9">
        <w:rPr>
          <w:rFonts w:ascii="Times New Roman" w:hAnsi="Times New Roman" w:cs="Times New Roman"/>
        </w:rPr>
        <w:t xml:space="preserve"> </w:t>
      </w:r>
      <w:r w:rsidRPr="006816D9">
        <w:rPr>
          <w:rFonts w:ascii="Times New Roman" w:hAnsi="Times New Roman" w:cs="Times New Roman"/>
          <w:lang w:val="es-ES"/>
        </w:rPr>
        <w:t>Demanda expediente D-15564, folio 45.</w:t>
      </w:r>
    </w:p>
  </w:footnote>
  <w:footnote w:id="69">
    <w:p w:rsidR="008274AE" w:rsidRPr="00AB4816" w:rsidRDefault="002F3D0A">
      <w:pPr>
        <w:pStyle w:val="Textonotapie"/>
        <w:rPr>
          <w:rFonts w:ascii="Times New Roman" w:hAnsi="Times New Roman" w:cs="Times New Roman"/>
          <w:lang w:val="es-ES"/>
        </w:rPr>
      </w:pPr>
      <w:r w:rsidRPr="00AB4816">
        <w:rPr>
          <w:rStyle w:val="Refdenotaalpie"/>
          <w:rFonts w:ascii="Times New Roman" w:hAnsi="Times New Roman" w:cs="Times New Roman"/>
        </w:rPr>
        <w:footnoteRef/>
      </w:r>
      <w:r w:rsidRPr="00AB4816">
        <w:rPr>
          <w:rFonts w:ascii="Times New Roman" w:hAnsi="Times New Roman" w:cs="Times New Roman"/>
        </w:rPr>
        <w:t xml:space="preserve"> </w:t>
      </w:r>
      <w:r w:rsidRPr="00AB4816">
        <w:rPr>
          <w:rFonts w:ascii="Times New Roman" w:hAnsi="Times New Roman" w:cs="Times New Roman"/>
          <w:lang w:val="es-ES"/>
        </w:rPr>
        <w:t xml:space="preserve">Demanda expediente D-15564, folio 45. </w:t>
      </w:r>
    </w:p>
  </w:footnote>
  <w:footnote w:id="70">
    <w:p w:rsidR="008274AE" w:rsidRPr="00165ED6" w:rsidRDefault="002F3D0A">
      <w:pPr>
        <w:pStyle w:val="Textonotapie"/>
        <w:rPr>
          <w:lang w:val="es-ES"/>
        </w:rPr>
      </w:pPr>
      <w:r w:rsidRPr="00AB4816">
        <w:rPr>
          <w:rStyle w:val="Refdenotaalpie"/>
          <w:rFonts w:ascii="Times New Roman" w:hAnsi="Times New Roman" w:cs="Times New Roman"/>
        </w:rPr>
        <w:footnoteRef/>
      </w:r>
      <w:r w:rsidRPr="00AB4816">
        <w:rPr>
          <w:rFonts w:ascii="Times New Roman" w:hAnsi="Times New Roman" w:cs="Times New Roman"/>
          <w:lang w:val="es-ES"/>
        </w:rPr>
        <w:t>Demanda expediente D-15564, folio 45</w:t>
      </w:r>
      <w:r w:rsidRPr="006816D9">
        <w:rPr>
          <w:rFonts w:ascii="Times New Roman" w:hAnsi="Times New Roman" w:cs="Times New Roman"/>
          <w:lang w:val="es-ES"/>
        </w:rPr>
        <w:t>.</w:t>
      </w:r>
    </w:p>
  </w:footnote>
  <w:footnote w:id="71">
    <w:p w:rsidR="00121008" w:rsidRPr="007801D7" w:rsidRDefault="002F3D0A" w:rsidP="00121008">
      <w:pPr>
        <w:pStyle w:val="Textonotapie"/>
        <w:rPr>
          <w:rFonts w:ascii="Times New Roman" w:hAnsi="Times New Roman" w:cs="Times New Roman"/>
          <w:lang w:val="es-MX"/>
        </w:rPr>
      </w:pPr>
      <w:r w:rsidRPr="007801D7">
        <w:rPr>
          <w:rStyle w:val="Refdenotaalpie"/>
          <w:rFonts w:ascii="Times New Roman" w:hAnsi="Times New Roman" w:cs="Times New Roman"/>
        </w:rPr>
        <w:footnoteRef/>
      </w:r>
      <w:r w:rsidRPr="007801D7">
        <w:rPr>
          <w:rFonts w:ascii="Times New Roman" w:hAnsi="Times New Roman" w:cs="Times New Roman"/>
        </w:rPr>
        <w:t xml:space="preserve"> </w:t>
      </w:r>
      <w:r w:rsidRPr="007801D7">
        <w:rPr>
          <w:rFonts w:ascii="Times New Roman" w:hAnsi="Times New Roman" w:cs="Times New Roman"/>
          <w:lang w:val="es-MX"/>
        </w:rPr>
        <w:t xml:space="preserve">Puede verse, por ejemplo, el auto 365 de 2020. </w:t>
      </w:r>
    </w:p>
  </w:footnote>
  <w:footnote w:id="72">
    <w:p w:rsidR="004E05C8" w:rsidRPr="007801D7" w:rsidRDefault="002F3D0A" w:rsidP="004E05C8">
      <w:pPr>
        <w:pStyle w:val="Textonotapie"/>
        <w:ind w:right="49"/>
        <w:rPr>
          <w:lang w:val="es-ES"/>
        </w:rPr>
      </w:pPr>
      <w:r w:rsidRPr="007801D7">
        <w:rPr>
          <w:rStyle w:val="Refdenotaalpie"/>
          <w:rFonts w:ascii="Times New Roman" w:hAnsi="Times New Roman" w:cs="Times New Roman"/>
        </w:rPr>
        <w:footnoteRef/>
      </w:r>
      <w:r w:rsidRPr="007801D7">
        <w:rPr>
          <w:rFonts w:ascii="Times New Roman" w:hAnsi="Times New Roman" w:cs="Times New Roman"/>
        </w:rPr>
        <w:t xml:space="preserve"> </w:t>
      </w:r>
      <w:r w:rsidRPr="007801D7">
        <w:rPr>
          <w:rFonts w:ascii="Times New Roman" w:hAnsi="Times New Roman" w:cs="Times New Roman"/>
          <w:lang w:val="es-ES"/>
        </w:rPr>
        <w:t xml:space="preserve">Al respecto, se pueden analizar, entre muchas otras, las </w:t>
      </w:r>
      <w:r w:rsidRPr="007801D7">
        <w:rPr>
          <w:rFonts w:ascii="Times New Roman" w:hAnsi="Times New Roman" w:cs="Times New Roman"/>
          <w:lang w:val="es-ES"/>
        </w:rPr>
        <w:t>sentencias C-635 de 2012</w:t>
      </w:r>
      <w:r w:rsidRPr="007801D7">
        <w:rPr>
          <w:rFonts w:ascii="Times New Roman" w:hAnsi="Times New Roman" w:cs="Times New Roman"/>
          <w:lang w:val="es-ES"/>
        </w:rPr>
        <w:t xml:space="preserve"> y </w:t>
      </w:r>
      <w:r w:rsidRPr="007801D7">
        <w:rPr>
          <w:rFonts w:ascii="Times New Roman" w:hAnsi="Times New Roman" w:cs="Times New Roman"/>
          <w:lang w:val="es-ES"/>
        </w:rPr>
        <w:t>C-394 de 2017.</w:t>
      </w:r>
    </w:p>
  </w:footnote>
  <w:footnote w:id="73">
    <w:p w:rsidR="00330EA6" w:rsidRPr="007801D7" w:rsidRDefault="002F3D0A" w:rsidP="00330EA6">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Sobre estas cifras, pueden consultarse los siguientes textos: la cifra bruta de 2.682 fallos la proporciona la obra de AAVV. </w:t>
      </w:r>
      <w:r w:rsidRPr="007801D7">
        <w:rPr>
          <w:rFonts w:ascii="Times New Roman" w:hAnsi="Times New Roman" w:cs="Times New Roman"/>
          <w:i/>
          <w:iCs/>
        </w:rPr>
        <w:t xml:space="preserve">Itinerario de la jurisprudencia colombiana de control constitucional como mecanismo de </w:t>
      </w:r>
      <w:r w:rsidRPr="007801D7">
        <w:rPr>
          <w:rFonts w:ascii="Times New Roman" w:hAnsi="Times New Roman" w:cs="Times New Roman"/>
          <w:i/>
          <w:iCs/>
        </w:rPr>
        <w:t>protección de Derechos Humanos</w:t>
      </w:r>
      <w:r w:rsidRPr="007801D7">
        <w:rPr>
          <w:rFonts w:ascii="Times New Roman" w:hAnsi="Times New Roman" w:cs="Times New Roman"/>
        </w:rPr>
        <w:t xml:space="preserve">. Facultad de Jurisprudencia. Bogotá. Universidad del Rosario. 2009, p. 21; el número de 2.496, que no incluye los fallos de simple cosa juzgada, la ofrece Cepeda Espinosa, Manuel José. </w:t>
      </w:r>
      <w:r w:rsidRPr="007801D7">
        <w:rPr>
          <w:rFonts w:ascii="Times New Roman" w:hAnsi="Times New Roman" w:cs="Times New Roman"/>
          <w:i/>
          <w:iCs/>
        </w:rPr>
        <w:t>Polémicas constitucionales</w:t>
      </w:r>
      <w:r w:rsidRPr="007801D7">
        <w:rPr>
          <w:rFonts w:ascii="Times New Roman" w:hAnsi="Times New Roman" w:cs="Times New Roman"/>
        </w:rPr>
        <w:t>. Bogotá. Legi</w:t>
      </w:r>
      <w:r w:rsidRPr="007801D7">
        <w:rPr>
          <w:rFonts w:ascii="Times New Roman" w:hAnsi="Times New Roman" w:cs="Times New Roman"/>
        </w:rPr>
        <w:t xml:space="preserve">s. 2007, p. 44. Para otras cifras por periodos y la referencia a fuentes cuantitativas adicionales, ver Cajas Sarria, Mario. </w:t>
      </w:r>
      <w:r w:rsidRPr="007801D7">
        <w:rPr>
          <w:rFonts w:ascii="Times New Roman" w:hAnsi="Times New Roman" w:cs="Times New Roman"/>
          <w:i/>
          <w:iCs/>
        </w:rPr>
        <w:t xml:space="preserve">La historia de la Corte Suprema de Justicia, 1886-1991. </w:t>
      </w:r>
      <w:r w:rsidRPr="007801D7">
        <w:rPr>
          <w:rFonts w:ascii="Times New Roman" w:hAnsi="Times New Roman" w:cs="Times New Roman"/>
        </w:rPr>
        <w:t>Tomo I. Bogotá. Universidad de Los Andes, Facultad de Derecho, Ediciones Un</w:t>
      </w:r>
      <w:r w:rsidRPr="007801D7">
        <w:rPr>
          <w:rFonts w:ascii="Times New Roman" w:hAnsi="Times New Roman" w:cs="Times New Roman"/>
        </w:rPr>
        <w:t xml:space="preserve">iandes. Cali. Universidad Icesi. 2014, p. 47.  </w:t>
      </w:r>
    </w:p>
  </w:footnote>
  <w:footnote w:id="74">
    <w:p w:rsidR="00330EA6" w:rsidRPr="007801D7" w:rsidRDefault="002F3D0A" w:rsidP="00330EA6">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Elaboración propia, a partir de las estadísticas oficiales consultadas en la página web de la Corte Constitucional. </w:t>
      </w:r>
    </w:p>
  </w:footnote>
  <w:footnote w:id="75">
    <w:p w:rsidR="003350E7" w:rsidRPr="007801D7" w:rsidRDefault="002F3D0A" w:rsidP="003350E7">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Según Hartmann, Herrera y Angarita, sólo en 94 de 11.693 demandas analizadas aplicó el </w:t>
      </w:r>
      <w:r w:rsidRPr="007801D7">
        <w:rPr>
          <w:rFonts w:ascii="Times New Roman" w:hAnsi="Times New Roman" w:cs="Times New Roman"/>
        </w:rPr>
        <w:t xml:space="preserve">principio </w:t>
      </w:r>
      <w:r w:rsidRPr="007801D7">
        <w:rPr>
          <w:rFonts w:ascii="Times New Roman" w:hAnsi="Times New Roman" w:cs="Times New Roman"/>
          <w:i/>
          <w:iCs/>
        </w:rPr>
        <w:t>pro actione</w:t>
      </w:r>
      <w:r w:rsidRPr="007801D7">
        <w:rPr>
          <w:rFonts w:ascii="Times New Roman" w:hAnsi="Times New Roman" w:cs="Times New Roman"/>
        </w:rPr>
        <w:t>.</w:t>
      </w:r>
      <w:r w:rsidRPr="007801D7">
        <w:rPr>
          <w:rFonts w:ascii="Times New Roman" w:hAnsi="Times New Roman" w:cs="Times New Roman"/>
        </w:rPr>
        <w:t xml:space="preserve"> ver Hartmann-Cortés, Kevin; Juan Felipe Herrera &amp; Gabriel Hernando Angarita. “La ‘privatización’ de la acción pública de inconstitucionalidad”. En </w:t>
      </w:r>
      <w:r w:rsidRPr="007801D7">
        <w:rPr>
          <w:rFonts w:ascii="Times New Roman" w:hAnsi="Times New Roman" w:cs="Times New Roman"/>
          <w:i/>
          <w:iCs/>
        </w:rPr>
        <w:t xml:space="preserve">Revista Derecho del Estado </w:t>
      </w:r>
      <w:r w:rsidRPr="007801D7">
        <w:rPr>
          <w:rFonts w:ascii="Times New Roman" w:hAnsi="Times New Roman" w:cs="Times New Roman"/>
        </w:rPr>
        <w:t>N.º 50, septiembre-diciembre 2021, pp. 203-259.</w:t>
      </w:r>
    </w:p>
  </w:footnote>
  <w:footnote w:id="76">
    <w:p w:rsidR="003350E7" w:rsidRPr="007801D7" w:rsidRDefault="002F3D0A" w:rsidP="00744DC4">
      <w:pPr>
        <w:pStyle w:val="Textonotapie"/>
        <w:jc w:val="both"/>
        <w:rPr>
          <w:rFonts w:ascii="Times New Roman" w:hAnsi="Times New Roman" w:cs="Times New Roman"/>
          <w:lang w:val="es-ES_tradnl"/>
        </w:rPr>
      </w:pPr>
      <w:r w:rsidRPr="007801D7">
        <w:rPr>
          <w:rStyle w:val="Refdenotaalpie"/>
          <w:rFonts w:ascii="Times New Roman" w:hAnsi="Times New Roman" w:cs="Times New Roman"/>
        </w:rPr>
        <w:footnoteRef/>
      </w:r>
      <w:r w:rsidRPr="007801D7">
        <w:rPr>
          <w:rFonts w:ascii="Times New Roman" w:hAnsi="Times New Roman" w:cs="Times New Roman"/>
          <w:lang w:val="es-ES_tradnl"/>
        </w:rPr>
        <w:t xml:space="preserve"> Estadísticas elaboradas con datos </w:t>
      </w:r>
      <w:r w:rsidRPr="007801D7">
        <w:rPr>
          <w:rFonts w:ascii="Times New Roman" w:hAnsi="Times New Roman" w:cs="Times New Roman"/>
          <w:lang w:val="es-ES_tradnl"/>
        </w:rPr>
        <w:t>recolectados por</w:t>
      </w:r>
      <w:r w:rsidRPr="007801D7">
        <w:rPr>
          <w:rFonts w:ascii="Times New Roman" w:hAnsi="Times New Roman" w:cs="Times New Roman"/>
          <w:lang w:val="es-ES_tradnl"/>
        </w:rPr>
        <w:t xml:space="preserve"> la Corte Constitucional. Al respecto, también se puede</w:t>
      </w:r>
      <w:r w:rsidRPr="007801D7">
        <w:rPr>
          <w:rFonts w:ascii="Times New Roman" w:hAnsi="Times New Roman" w:cs="Times New Roman"/>
        </w:rPr>
        <w:t xml:space="preserve"> consultar </w:t>
      </w:r>
      <w:r w:rsidRPr="007801D7">
        <w:rPr>
          <w:rFonts w:ascii="Times New Roman" w:hAnsi="Times New Roman" w:cs="Times New Roman"/>
        </w:rPr>
        <w:t>la siguiente investigación empírica: Gómez Pinto, Luis Ricardo (2011). El control constitucional en Colombia: sobre el inhibicionismo de la</w:t>
      </w:r>
      <w:r w:rsidRPr="007801D7">
        <w:rPr>
          <w:rFonts w:ascii="Times New Roman" w:hAnsi="Times New Roman" w:cs="Times New Roman"/>
        </w:rPr>
        <w:t xml:space="preserve"> Corte Constitucional en los 100 años de la acción pública. </w:t>
      </w:r>
      <w:r w:rsidRPr="007801D7">
        <w:rPr>
          <w:rFonts w:ascii="Times New Roman" w:hAnsi="Times New Roman" w:cs="Times New Roman"/>
          <w:i/>
          <w:iCs/>
        </w:rPr>
        <w:t>Vniversitas</w:t>
      </w:r>
      <w:r w:rsidRPr="007801D7">
        <w:rPr>
          <w:rFonts w:ascii="Times New Roman" w:hAnsi="Times New Roman" w:cs="Times New Roman"/>
        </w:rPr>
        <w:t xml:space="preserve">, (122) 169-211; Bernal Borrero, María Alejandra (2006). </w:t>
      </w:r>
    </w:p>
  </w:footnote>
  <w:footnote w:id="77">
    <w:p w:rsidR="003350E7" w:rsidRPr="007801D7" w:rsidRDefault="002F3D0A" w:rsidP="003350E7">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w:t>
      </w:r>
      <w:r w:rsidRPr="007801D7">
        <w:rPr>
          <w:rFonts w:ascii="Times New Roman" w:hAnsi="Times New Roman" w:cs="Times New Roman"/>
        </w:rPr>
        <w:t>Ver Hartmann, Herrera y Angarita, antes citados.</w:t>
      </w:r>
    </w:p>
  </w:footnote>
  <w:footnote w:id="78">
    <w:p w:rsidR="00330EA6" w:rsidRPr="007801D7" w:rsidRDefault="002F3D0A" w:rsidP="00330EA6">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w:t>
      </w:r>
      <w:r w:rsidRPr="007801D7">
        <w:rPr>
          <w:rFonts w:ascii="Times New Roman" w:hAnsi="Times New Roman" w:cs="Times New Roman"/>
        </w:rPr>
        <w:t xml:space="preserve">Ibid. </w:t>
      </w:r>
    </w:p>
  </w:footnote>
  <w:footnote w:id="79">
    <w:p w:rsidR="002E5FC3" w:rsidRPr="007801D7" w:rsidRDefault="002F3D0A" w:rsidP="002E5FC3">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Ibid. </w:t>
      </w:r>
    </w:p>
  </w:footnote>
  <w:footnote w:id="80">
    <w:p w:rsidR="0056058D" w:rsidRPr="007801D7" w:rsidRDefault="002F3D0A" w:rsidP="0056058D">
      <w:pPr>
        <w:pStyle w:val="Textonotapie"/>
        <w:jc w:val="both"/>
        <w:rPr>
          <w:rFonts w:ascii="Times New Roman" w:hAnsi="Times New Roman" w:cs="Times New Roman"/>
        </w:rPr>
      </w:pPr>
      <w:r w:rsidRPr="007801D7">
        <w:rPr>
          <w:rStyle w:val="Refdenotaalpie"/>
        </w:rPr>
        <w:footnoteRef/>
      </w:r>
      <w:r w:rsidRPr="007801D7">
        <w:rPr>
          <w:rFonts w:ascii="Times New Roman" w:hAnsi="Times New Roman" w:cs="Times New Roman"/>
        </w:rPr>
        <w:t>Así, la acción pública de inconstitucionalidad se remonta</w:t>
      </w:r>
      <w:r w:rsidRPr="007801D7">
        <w:rPr>
          <w:rFonts w:ascii="Times New Roman" w:hAnsi="Times New Roman" w:cs="Times New Roman"/>
        </w:rPr>
        <w:t xml:space="preserve"> a la Constitución de Cundinamarca de 1811 y representa el aporte más original e importante que el derecho latinoamericano le ha hecho al mundo jurídico, en un continente en el que la regla general ha sido importar instituciones desde Europa y Estados Unid</w:t>
      </w:r>
      <w:r w:rsidRPr="007801D7">
        <w:rPr>
          <w:rFonts w:ascii="Times New Roman" w:hAnsi="Times New Roman" w:cs="Times New Roman"/>
        </w:rPr>
        <w:t>os.</w:t>
      </w:r>
    </w:p>
    <w:p w:rsidR="0056058D" w:rsidRPr="007801D7" w:rsidRDefault="002F3D0A" w:rsidP="0056058D">
      <w:pPr>
        <w:pStyle w:val="Textonotapie"/>
        <w:jc w:val="both"/>
        <w:rPr>
          <w:rFonts w:ascii="Times New Roman" w:hAnsi="Times New Roman" w:cs="Times New Roman"/>
        </w:rPr>
      </w:pPr>
      <w:r w:rsidRPr="007801D7">
        <w:rPr>
          <w:rFonts w:ascii="Times New Roman" w:hAnsi="Times New Roman" w:cs="Times New Roman"/>
        </w:rPr>
        <w:t xml:space="preserve">Sobre la historia de la Constitución de Cundinamarca de 1811, se puede consultar: Restrepo Piedrahita, Carlos (1993). Primeras constituciones de Colombia y Venezuela: 1811-1830. Universidad Externado de Colombia. </w:t>
      </w:r>
    </w:p>
    <w:p w:rsidR="0056058D" w:rsidRPr="00744DC4" w:rsidRDefault="002F3D0A" w:rsidP="0056058D">
      <w:pPr>
        <w:pStyle w:val="Textonotapie"/>
        <w:jc w:val="both"/>
        <w:rPr>
          <w:rFonts w:ascii="Times New Roman" w:hAnsi="Times New Roman" w:cs="Times New Roman"/>
        </w:rPr>
      </w:pPr>
      <w:r w:rsidRPr="007801D7">
        <w:rPr>
          <w:rStyle w:val="Refdenotaalpie"/>
          <w:rFonts w:ascii="Times New Roman" w:hAnsi="Times New Roman" w:cs="Times New Roman"/>
        </w:rPr>
        <w:footnoteRef/>
      </w:r>
      <w:r w:rsidRPr="007801D7">
        <w:rPr>
          <w:rFonts w:ascii="Times New Roman" w:hAnsi="Times New Roman" w:cs="Times New Roman"/>
        </w:rPr>
        <w:t xml:space="preserve"> Sobre los trasplantes jurídicos en América Latina, se puede consultar: Daniel Bonilla (Ed.) (2009). Teoría del derecho y trasplantes jurídicos. Siglo del Hombre Editores, Universidad de Los Andes y Pontificia Universidad Javeriana; Dezalay, Yves y Garth, </w:t>
      </w:r>
      <w:r w:rsidRPr="007801D7">
        <w:rPr>
          <w:rFonts w:ascii="Times New Roman" w:hAnsi="Times New Roman" w:cs="Times New Roman"/>
        </w:rPr>
        <w:t xml:space="preserve">Bryant G. (2003), Patrones de inversión jurídica extranjera y de transformación del Estado en América Latina, en </w:t>
      </w:r>
      <w:r w:rsidRPr="007801D7">
        <w:rPr>
          <w:rFonts w:ascii="Times New Roman" w:hAnsi="Times New Roman" w:cs="Times New Roman"/>
          <w:i/>
          <w:iCs/>
        </w:rPr>
        <w:t>Culturas jurídicas latinas de Europa y América en tiempos de globalización </w:t>
      </w:r>
      <w:r w:rsidRPr="007801D7">
        <w:rPr>
          <w:rFonts w:ascii="Times New Roman" w:hAnsi="Times New Roman" w:cs="Times New Roman"/>
        </w:rPr>
        <w:t xml:space="preserve">(coord. por Héctor Fix-Zamudio, Lawrence M. Friedman, Rogelio Pérez </w:t>
      </w:r>
      <w:r w:rsidRPr="007801D7">
        <w:rPr>
          <w:rFonts w:ascii="Times New Roman" w:hAnsi="Times New Roman" w:cs="Times New Roman"/>
        </w:rPr>
        <w:t>Perdomo), pp. 723-748.</w:t>
      </w:r>
      <w:r w:rsidRPr="00C530EC">
        <w:rPr>
          <w:rFonts w:ascii="Times New Roman" w:hAnsi="Times New Roman" w:cs="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37791"/>
    <w:multiLevelType w:val="hybridMultilevel"/>
    <w:tmpl w:val="E5241E98"/>
    <w:lvl w:ilvl="0" w:tplc="E9587DC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B314A1"/>
    <w:multiLevelType w:val="hybridMultilevel"/>
    <w:tmpl w:val="79541F94"/>
    <w:lvl w:ilvl="0" w:tplc="9EE2B90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AC15C5"/>
    <w:multiLevelType w:val="hybridMultilevel"/>
    <w:tmpl w:val="DAD01264"/>
    <w:lvl w:ilvl="0" w:tplc="0B76113A">
      <w:start w:val="1"/>
      <w:numFmt w:val="upperRoman"/>
      <w:lvlText w:val="%1."/>
      <w:lvlJc w:val="left"/>
      <w:pPr>
        <w:ind w:left="1080" w:hanging="72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4E794E7C"/>
    <w:multiLevelType w:val="hybridMultilevel"/>
    <w:tmpl w:val="B7BAF3EE"/>
    <w:lvl w:ilvl="0" w:tplc="F38860E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6A50C10"/>
    <w:multiLevelType w:val="hybridMultilevel"/>
    <w:tmpl w:val="A41A0E12"/>
    <w:lvl w:ilvl="0" w:tplc="7380985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1587E07"/>
    <w:multiLevelType w:val="hybridMultilevel"/>
    <w:tmpl w:val="8102A73E"/>
    <w:lvl w:ilvl="0" w:tplc="5A526B72">
      <w:start w:val="1"/>
      <w:numFmt w:val="decimal"/>
      <w:suff w:val="space"/>
      <w:lvlText w:val="%1."/>
      <w:lvlJc w:val="left"/>
      <w:pPr>
        <w:ind w:left="360" w:hanging="360"/>
      </w:pPr>
      <w:rPr>
        <w:rFonts w:ascii="Times New Roman" w:hAnsi="Times New Roman" w:cs="Times New Roman" w:hint="default"/>
        <w:b w:val="0"/>
        <w:sz w:val="28"/>
        <w:szCs w:val="28"/>
        <w:vertAlign w:val="baseli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B320738"/>
    <w:multiLevelType w:val="hybridMultilevel"/>
    <w:tmpl w:val="7A92C5FE"/>
    <w:lvl w:ilvl="0" w:tplc="F38860E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0750"/>
    <w:rsid w:val="001B0750"/>
    <w:rsid w:val="002F3D0A"/>
    <w:rsid w:val="00EC08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F79EE9C-04CD-4517-B4B5-D9927B11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5D2ADB"/>
    <w:pPr>
      <w:keepNext/>
      <w:keepLines/>
      <w:spacing w:before="240"/>
      <w:outlineLvl w:val="0"/>
    </w:pPr>
    <w:rPr>
      <w:rFonts w:ascii="Times New Roman" w:eastAsiaTheme="majorEastAsia" w:hAnsi="Times New Roman" w:cstheme="majorBidi"/>
      <w:b/>
      <w:color w:val="000000" w:themeColor="text1"/>
      <w:sz w:val="28"/>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52E35"/>
    <w:pPr>
      <w:tabs>
        <w:tab w:val="center" w:pos="4419"/>
        <w:tab w:val="right" w:pos="8838"/>
      </w:tabs>
    </w:pPr>
  </w:style>
  <w:style w:type="character" w:customStyle="1" w:styleId="EncabezadoCar">
    <w:name w:val="Encabezado Car"/>
    <w:basedOn w:val="Fuentedeprrafopredeter"/>
    <w:link w:val="Encabezado"/>
    <w:uiPriority w:val="99"/>
    <w:rsid w:val="00852E35"/>
    <w:rPr>
      <w:kern w:val="0"/>
    </w:rPr>
  </w:style>
  <w:style w:type="paragraph" w:styleId="Prrafodelista">
    <w:name w:val="List Paragraph"/>
    <w:aliases w:val="Colorful List - Accent 11,Ha,List Paragraph1,lp1,Lista vistosa - Énfasis 11,List Paragraph2,List1,titulo 3,Bullets,Párrafo de lista2,Cuadrícula clara - Énfasis 31,Dot pt,F5 List Paragraph,No Spacing1,Ordenes numeradas,Párrafo de lista1"/>
    <w:basedOn w:val="Normal"/>
    <w:link w:val="PrrafodelistaCar"/>
    <w:uiPriority w:val="34"/>
    <w:qFormat/>
    <w:rsid w:val="00852E35"/>
    <w:pPr>
      <w:ind w:left="720"/>
      <w:contextualSpacing/>
    </w:p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Footnote Te,FC,Ref"/>
    <w:basedOn w:val="Normal"/>
    <w:link w:val="TextonotapieCar"/>
    <w:uiPriority w:val="99"/>
    <w:unhideWhenUsed/>
    <w:qFormat/>
    <w:rsid w:val="00852E35"/>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FC Car"/>
    <w:basedOn w:val="Fuentedeprrafopredeter"/>
    <w:link w:val="Textonotapie"/>
    <w:uiPriority w:val="99"/>
    <w:qFormat/>
    <w:rsid w:val="00852E35"/>
    <w:rPr>
      <w:kern w:val="0"/>
      <w:sz w:val="20"/>
      <w:szCs w:val="20"/>
    </w:rPr>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852E3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852E35"/>
    <w:rPr>
      <w:kern w:val="2"/>
      <w:vertAlign w:val="superscript"/>
    </w:rPr>
  </w:style>
  <w:style w:type="paragraph" w:styleId="Sinespaciado">
    <w:name w:val="No Spacing"/>
    <w:link w:val="SinespaciadoCar"/>
    <w:uiPriority w:val="1"/>
    <w:qFormat/>
    <w:rsid w:val="00852E35"/>
    <w:pPr>
      <w:pBdr>
        <w:top w:val="nil"/>
        <w:left w:val="nil"/>
        <w:bottom w:val="nil"/>
        <w:right w:val="nil"/>
        <w:between w:val="nil"/>
        <w:bar w:val="nil"/>
      </w:pBdr>
      <w:spacing w:after="0" w:line="240" w:lineRule="auto"/>
      <w:jc w:val="both"/>
    </w:pPr>
    <w:rPr>
      <w:rFonts w:ascii="Calibri" w:eastAsia="Calibri" w:hAnsi="Calibri" w:cs="Times New Roman"/>
      <w:color w:val="000000"/>
      <w:u w:color="000000"/>
      <w:lang w:val="es-ES_tradnl"/>
    </w:rPr>
  </w:style>
  <w:style w:type="character" w:customStyle="1" w:styleId="SinespaciadoCar">
    <w:name w:val="Sin espaciado Car"/>
    <w:link w:val="Sinespaciado"/>
    <w:uiPriority w:val="1"/>
    <w:rsid w:val="00852E35"/>
    <w:rPr>
      <w:rFonts w:ascii="Calibri" w:eastAsia="Calibri" w:hAnsi="Calibri" w:cs="Times New Roman"/>
      <w:color w:val="000000"/>
      <w:kern w:val="0"/>
      <w:u w:color="000000"/>
      <w:lang w:val="es-ES_tradnl" w:eastAsia="es-CO"/>
    </w:rPr>
  </w:style>
  <w:style w:type="paragraph" w:styleId="NormalWeb">
    <w:name w:val="Normal (Web)"/>
    <w:basedOn w:val="Normal"/>
    <w:uiPriority w:val="99"/>
    <w:unhideWhenUsed/>
    <w:rsid w:val="00852E35"/>
    <w:pPr>
      <w:spacing w:before="100" w:beforeAutospacing="1" w:after="100" w:afterAutospacing="1"/>
    </w:pPr>
    <w:rPr>
      <w:rFonts w:ascii="Times New Roman" w:eastAsia="Times New Roman" w:hAnsi="Times New Roman" w:cs="Times New Roman"/>
      <w:sz w:val="24"/>
      <w:szCs w:val="24"/>
      <w:lang w:bidi="bo-CN"/>
    </w:rPr>
  </w:style>
  <w:style w:type="character" w:customStyle="1" w:styleId="PrrafodelistaCar">
    <w:name w:val="Párrafo de lista Car"/>
    <w:aliases w:val="Colorful List - Accent 11 Car,Ha Car,List Paragraph1 Car,lp1 Car,Lista vistosa - Énfasis 11 Car,List Paragraph2 Car,List1 Car,titulo 3 Car,Bullets Car,Párrafo de lista2 Car,Cuadrícula clara - Énfasis 31 Car,Dot pt Car"/>
    <w:link w:val="Prrafodelista"/>
    <w:uiPriority w:val="34"/>
    <w:qFormat/>
    <w:locked/>
    <w:rsid w:val="00852E35"/>
    <w:rPr>
      <w:kern w:val="0"/>
    </w:rPr>
  </w:style>
  <w:style w:type="character" w:customStyle="1" w:styleId="baj">
    <w:name w:val="b_aj"/>
    <w:basedOn w:val="Fuentedeprrafopredeter"/>
    <w:rsid w:val="00852E35"/>
  </w:style>
  <w:style w:type="paragraph" w:customStyle="1" w:styleId="centrado">
    <w:name w:val="centrado"/>
    <w:basedOn w:val="Normal"/>
    <w:rsid w:val="00852E35"/>
    <w:pPr>
      <w:spacing w:before="100" w:beforeAutospacing="1" w:after="100" w:afterAutospacing="1"/>
    </w:pPr>
    <w:rPr>
      <w:rFonts w:ascii="Times New Roman" w:eastAsia="Times New Roman" w:hAnsi="Times New Roman" w:cs="Times New Roman"/>
      <w:sz w:val="24"/>
      <w:szCs w:val="24"/>
    </w:rPr>
  </w:style>
  <w:style w:type="table" w:styleId="Tablaconcuadrcula">
    <w:name w:val="Table Grid"/>
    <w:basedOn w:val="Tablanormal"/>
    <w:uiPriority w:val="39"/>
    <w:rsid w:val="005B0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A15B93"/>
    <w:pPr>
      <w:tabs>
        <w:tab w:val="center" w:pos="4419"/>
        <w:tab w:val="right" w:pos="8838"/>
      </w:tabs>
    </w:pPr>
  </w:style>
  <w:style w:type="character" w:customStyle="1" w:styleId="PiedepginaCar">
    <w:name w:val="Pie de página Car"/>
    <w:basedOn w:val="Fuentedeprrafopredeter"/>
    <w:link w:val="Piedepgina"/>
    <w:uiPriority w:val="99"/>
    <w:rsid w:val="00A15B93"/>
    <w:rPr>
      <w:kern w:val="0"/>
    </w:rPr>
  </w:style>
  <w:style w:type="character" w:styleId="Hipervnculo">
    <w:name w:val="Hyperlink"/>
    <w:basedOn w:val="Fuentedeprrafopredeter"/>
    <w:uiPriority w:val="99"/>
    <w:unhideWhenUsed/>
    <w:rsid w:val="00765CEF"/>
    <w:rPr>
      <w:color w:val="0563C1" w:themeColor="hyperlink"/>
      <w:u w:val="single"/>
    </w:rPr>
  </w:style>
  <w:style w:type="character" w:customStyle="1" w:styleId="Mencinsinresolver1">
    <w:name w:val="Mención sin resolver1"/>
    <w:basedOn w:val="Fuentedeprrafopredeter"/>
    <w:uiPriority w:val="99"/>
    <w:semiHidden/>
    <w:unhideWhenUsed/>
    <w:rsid w:val="00765CEF"/>
    <w:rPr>
      <w:color w:val="605E5C"/>
      <w:shd w:val="clear" w:color="auto" w:fill="E1DFDD"/>
    </w:rPr>
  </w:style>
  <w:style w:type="character" w:styleId="Refdecomentario">
    <w:name w:val="annotation reference"/>
    <w:basedOn w:val="Fuentedeprrafopredeter"/>
    <w:uiPriority w:val="99"/>
    <w:semiHidden/>
    <w:unhideWhenUsed/>
    <w:rsid w:val="007E58BB"/>
    <w:rPr>
      <w:sz w:val="16"/>
      <w:szCs w:val="16"/>
    </w:rPr>
  </w:style>
  <w:style w:type="paragraph" w:styleId="Textocomentario">
    <w:name w:val="annotation text"/>
    <w:basedOn w:val="Normal"/>
    <w:link w:val="TextocomentarioCar"/>
    <w:uiPriority w:val="99"/>
    <w:unhideWhenUsed/>
    <w:rsid w:val="007E58BB"/>
    <w:rPr>
      <w:sz w:val="20"/>
      <w:szCs w:val="20"/>
    </w:rPr>
  </w:style>
  <w:style w:type="character" w:customStyle="1" w:styleId="TextocomentarioCar">
    <w:name w:val="Texto comentario Car"/>
    <w:basedOn w:val="Fuentedeprrafopredeter"/>
    <w:link w:val="Textocomentario"/>
    <w:uiPriority w:val="99"/>
    <w:rsid w:val="007E58BB"/>
    <w:rPr>
      <w:kern w:val="0"/>
      <w:sz w:val="20"/>
      <w:szCs w:val="20"/>
    </w:rPr>
  </w:style>
  <w:style w:type="paragraph" w:styleId="Asuntodelcomentario">
    <w:name w:val="annotation subject"/>
    <w:basedOn w:val="Textocomentario"/>
    <w:next w:val="Textocomentario"/>
    <w:link w:val="AsuntodelcomentarioCar"/>
    <w:uiPriority w:val="99"/>
    <w:semiHidden/>
    <w:unhideWhenUsed/>
    <w:rsid w:val="007E58BB"/>
    <w:rPr>
      <w:b/>
      <w:bCs/>
    </w:rPr>
  </w:style>
  <w:style w:type="character" w:customStyle="1" w:styleId="AsuntodelcomentarioCar">
    <w:name w:val="Asunto del comentario Car"/>
    <w:basedOn w:val="TextocomentarioCar"/>
    <w:link w:val="Asuntodelcomentario"/>
    <w:uiPriority w:val="99"/>
    <w:semiHidden/>
    <w:rsid w:val="007E58BB"/>
    <w:rPr>
      <w:b/>
      <w:bCs/>
      <w:kern w:val="0"/>
      <w:sz w:val="20"/>
      <w:szCs w:val="20"/>
    </w:rPr>
  </w:style>
  <w:style w:type="paragraph" w:styleId="Revisin">
    <w:name w:val="Revision"/>
    <w:hidden/>
    <w:uiPriority w:val="99"/>
    <w:semiHidden/>
    <w:rsid w:val="00823AFC"/>
    <w:pPr>
      <w:spacing w:after="0" w:line="240" w:lineRule="auto"/>
    </w:pPr>
  </w:style>
  <w:style w:type="paragraph" w:styleId="Textodeglobo">
    <w:name w:val="Balloon Text"/>
    <w:basedOn w:val="Normal"/>
    <w:link w:val="TextodegloboCar"/>
    <w:uiPriority w:val="99"/>
    <w:semiHidden/>
    <w:unhideWhenUsed/>
    <w:rsid w:val="0051112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112E"/>
    <w:rPr>
      <w:rFonts w:ascii="Segoe UI" w:hAnsi="Segoe UI" w:cs="Segoe UI"/>
      <w:kern w:val="0"/>
      <w:sz w:val="18"/>
      <w:szCs w:val="18"/>
    </w:rPr>
  </w:style>
  <w:style w:type="paragraph" w:customStyle="1" w:styleId="Sombreadovistoso-nfasis31">
    <w:name w:val="Sombreado vistoso - Énfasis 31"/>
    <w:basedOn w:val="Normal"/>
    <w:uiPriority w:val="34"/>
    <w:qFormat/>
    <w:rsid w:val="00AA620E"/>
    <w:pPr>
      <w:widowControl w:val="0"/>
      <w:ind w:left="720"/>
      <w:contextualSpacing/>
    </w:pPr>
    <w:rPr>
      <w:rFonts w:ascii="Times New Roman" w:eastAsia="Times New Roman" w:hAnsi="Times New Roman" w:cs="Times New Roman"/>
      <w:color w:val="000000"/>
      <w:sz w:val="28"/>
      <w:szCs w:val="28"/>
      <w:lang w:val="es-ES" w:eastAsia="es-ES"/>
    </w:rPr>
  </w:style>
  <w:style w:type="character" w:styleId="Textoennegrita">
    <w:name w:val="Strong"/>
    <w:basedOn w:val="Fuentedeprrafopredeter"/>
    <w:uiPriority w:val="22"/>
    <w:qFormat/>
    <w:rsid w:val="00A06C60"/>
    <w:rPr>
      <w:b/>
      <w:bCs/>
    </w:rPr>
  </w:style>
  <w:style w:type="paragraph" w:styleId="Descripcin">
    <w:name w:val="caption"/>
    <w:basedOn w:val="Normal"/>
    <w:next w:val="Normal"/>
    <w:uiPriority w:val="99"/>
    <w:qFormat/>
    <w:rsid w:val="009A4C50"/>
    <w:pPr>
      <w:overflowPunct w:val="0"/>
      <w:autoSpaceDE w:val="0"/>
      <w:autoSpaceDN w:val="0"/>
      <w:adjustRightInd w:val="0"/>
      <w:ind w:right="51"/>
      <w:jc w:val="center"/>
      <w:textAlignment w:val="baseline"/>
    </w:pPr>
    <w:rPr>
      <w:rFonts w:ascii="Times New Roman" w:eastAsia="Times New Roman" w:hAnsi="Times New Roman" w:cs="Times New Roman"/>
      <w:b/>
      <w:caps/>
      <w:sz w:val="28"/>
      <w:szCs w:val="20"/>
      <w:lang w:val="es-ES" w:eastAsia="es-ES"/>
    </w:rPr>
  </w:style>
  <w:style w:type="character" w:styleId="nfasis">
    <w:name w:val="Emphasis"/>
    <w:basedOn w:val="Fuentedeprrafopredeter"/>
    <w:uiPriority w:val="20"/>
    <w:qFormat/>
    <w:rsid w:val="005A61D7"/>
    <w:rPr>
      <w:i/>
      <w:iCs/>
    </w:rPr>
  </w:style>
  <w:style w:type="character" w:customStyle="1" w:styleId="apple-converted-space">
    <w:name w:val="apple-converted-space"/>
    <w:basedOn w:val="Fuentedeprrafopredeter"/>
    <w:rsid w:val="00BF4E8D"/>
  </w:style>
  <w:style w:type="character" w:customStyle="1" w:styleId="a0">
    <w:name w:val="a0"/>
    <w:basedOn w:val="Fuentedeprrafopredeter"/>
    <w:rsid w:val="00BF4E8D"/>
  </w:style>
  <w:style w:type="character" w:customStyle="1" w:styleId="Ttulo1Car">
    <w:name w:val="Título 1 Car"/>
    <w:basedOn w:val="Fuentedeprrafopredeter"/>
    <w:link w:val="Ttulo1"/>
    <w:uiPriority w:val="9"/>
    <w:rsid w:val="005D2ADB"/>
    <w:rPr>
      <w:rFonts w:ascii="Times New Roman" w:eastAsiaTheme="majorEastAsia" w:hAnsi="Times New Roman" w:cstheme="majorBidi"/>
      <w:b/>
      <w:color w:val="000000" w:themeColor="text1"/>
      <w:kern w:val="0"/>
      <w:sz w:val="28"/>
      <w:szCs w:val="32"/>
    </w:rPr>
  </w:style>
  <w:style w:type="character" w:customStyle="1" w:styleId="normaltextrun">
    <w:name w:val="normaltextrun"/>
    <w:basedOn w:val="Fuentedeprrafopredeter"/>
    <w:rsid w:val="00F40FFD"/>
  </w:style>
  <w:style w:type="character" w:customStyle="1" w:styleId="eop">
    <w:name w:val="eop"/>
    <w:basedOn w:val="Fuentedeprrafopredeter"/>
    <w:rsid w:val="00F40FFD"/>
  </w:style>
  <w:style w:type="paragraph" w:customStyle="1" w:styleId="paragraph">
    <w:name w:val="paragraph"/>
    <w:basedOn w:val="Normal"/>
    <w:rsid w:val="00144CF4"/>
    <w:pPr>
      <w:spacing w:before="100" w:beforeAutospacing="1" w:after="100" w:afterAutospacing="1"/>
    </w:pPr>
    <w:rPr>
      <w:rFonts w:ascii="Times New Roman" w:eastAsia="Times New Roman" w:hAnsi="Times New Roman" w:cs="Times New Roman"/>
      <w:sz w:val="24"/>
      <w:szCs w:val="24"/>
      <w:lang w:val="es-US" w:eastAsia="es-MX"/>
    </w:rPr>
  </w:style>
  <w:style w:type="paragraph" w:customStyle="1" w:styleId="Piedepagina">
    <w:name w:val="Pie de pagina"/>
    <w:basedOn w:val="Normal"/>
    <w:uiPriority w:val="99"/>
    <w:rsid w:val="00B07870"/>
    <w:pPr>
      <w:spacing w:line="240" w:lineRule="exact"/>
    </w:pPr>
    <w:rPr>
      <w:vertAlign w:val="superscript"/>
    </w:rPr>
  </w:style>
  <w:style w:type="character" w:styleId="Hipervnculovisitado">
    <w:name w:val="FollowedHyperlink"/>
    <w:basedOn w:val="Fuentedeprrafopredeter"/>
    <w:uiPriority w:val="99"/>
    <w:semiHidden/>
    <w:unhideWhenUsed/>
    <w:rsid w:val="000E37A9"/>
    <w:rPr>
      <w:color w:val="954F72" w:themeColor="followedHyperlink"/>
      <w:u w:val="single"/>
    </w:rPr>
  </w:style>
  <w:style w:type="paragraph" w:styleId="Lista">
    <w:name w:val="List"/>
    <w:basedOn w:val="Normal"/>
    <w:uiPriority w:val="99"/>
    <w:unhideWhenUsed/>
    <w:rsid w:val="004E05C8"/>
    <w:pPr>
      <w:spacing w:after="200" w:line="276" w:lineRule="auto"/>
      <w:ind w:left="283" w:hanging="283"/>
      <w:contextualSpacing/>
    </w:pPr>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estatuto_tributario.html" TargetMode="External"/><Relationship Id="rId13" Type="http://schemas.openxmlformats.org/officeDocument/2006/relationships/hyperlink" Target="http://www.secretariasenado.gov.co/senado/basedoc/estatuto_tributario.html" TargetMode="Externa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hyperlink" Target="http://www.secretariasenado.gov.co/senado/basedoc/estatuto_tributario_pr012.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estatuto_tributario_pr012.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ecretariasenado.gov.co/senado/basedoc/estatuto_tributario.html" TargetMode="External"/><Relationship Id="rId4" Type="http://schemas.openxmlformats.org/officeDocument/2006/relationships/webSettings" Target="webSettings.xml"/><Relationship Id="rId9" Type="http://schemas.openxmlformats.org/officeDocument/2006/relationships/hyperlink" Target="http://www.secretariasenado.gov.co/senado/basedoc/estatuto_tributario.html" TargetMode="External"/><Relationship Id="rId14" Type="http://schemas.openxmlformats.org/officeDocument/2006/relationships/hyperlink" Target="http://www.secretariasenado.gov.co/senado/basedoc/estatuto_tributari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18348</Words>
  <Characters>100916</Characters>
  <Application>Microsoft Office Word</Application>
  <DocSecurity>0</DocSecurity>
  <Lines>840</Lines>
  <Paragraphs>238</Paragraphs>
  <ScaleCrop>false</ScaleCrop>
  <Company/>
  <LinksUpToDate>false</LinksUpToDate>
  <CharactersWithSpaces>119026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2025-07-31T14:58:00Z</dcterms:created>
  <dcterms:modified xsi:type="dcterms:W3CDTF">2025-07-31T14:58:00Z</dcterms:modified>
</cp:coreProperties>
</file>