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A58" w:rsidRPr="00AC66B3" w:rsidRDefault="001D6D01">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AC66B3">
        <w:rPr>
          <w:rFonts w:ascii="Times New Roman" w:hAnsi="Times New Roman" w:cs="Times New Roman"/>
          <w:sz w:val="28"/>
          <w:szCs w:val="24"/>
        </w:rPr>
        <w:t xml:space="preserve"> </w:t>
      </w:r>
    </w:p>
    <w:p w:rsidR="00C74A58" w:rsidRPr="00AC66B3" w:rsidRDefault="00C74A58">
      <w:pPr>
        <w:widowControl w:val="0"/>
        <w:autoSpaceDE w:val="0"/>
        <w:autoSpaceDN w:val="0"/>
        <w:adjustRightInd w:val="0"/>
        <w:spacing w:after="0" w:line="240" w:lineRule="auto"/>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center"/>
        <w:rPr>
          <w:rFonts w:ascii="Times New Roman" w:hAnsi="Times New Roman" w:cs="Times New Roman"/>
          <w:b/>
          <w:bCs/>
          <w:sz w:val="28"/>
          <w:szCs w:val="28"/>
        </w:rPr>
      </w:pPr>
      <w:r w:rsidRPr="00AC66B3">
        <w:rPr>
          <w:rFonts w:ascii="Times New Roman" w:hAnsi="Times New Roman" w:cs="Times New Roman"/>
          <w:b/>
          <w:bCs/>
          <w:sz w:val="28"/>
          <w:szCs w:val="28"/>
        </w:rPr>
        <w:t xml:space="preserve">TEMAS-SUBTEMAS </w:t>
      </w:r>
    </w:p>
    <w:p w:rsidR="00C74A58" w:rsidRPr="00AC66B3" w:rsidRDefault="00C74A58">
      <w:pPr>
        <w:widowControl w:val="0"/>
        <w:autoSpaceDE w:val="0"/>
        <w:autoSpaceDN w:val="0"/>
        <w:adjustRightInd w:val="0"/>
        <w:spacing w:after="0" w:line="240" w:lineRule="auto"/>
        <w:jc w:val="center"/>
        <w:rPr>
          <w:rFonts w:ascii="Times New Roman" w:hAnsi="Times New Roman" w:cs="Times New Roman"/>
          <w:b/>
          <w:bCs/>
          <w:sz w:val="28"/>
          <w:szCs w:val="28"/>
        </w:rPr>
      </w:pPr>
    </w:p>
    <w:p w:rsidR="00C74A58" w:rsidRPr="00AC66B3" w:rsidRDefault="001D6D01">
      <w:pPr>
        <w:widowControl w:val="0"/>
        <w:autoSpaceDE w:val="0"/>
        <w:autoSpaceDN w:val="0"/>
        <w:adjustRightInd w:val="0"/>
        <w:spacing w:after="0" w:line="240" w:lineRule="auto"/>
        <w:jc w:val="center"/>
        <w:rPr>
          <w:rFonts w:ascii="Times New Roman" w:hAnsi="Times New Roman" w:cs="Times New Roman"/>
          <w:sz w:val="28"/>
          <w:szCs w:val="28"/>
        </w:rPr>
      </w:pPr>
      <w:r w:rsidRPr="00AC66B3">
        <w:rPr>
          <w:rFonts w:ascii="Times New Roman" w:hAnsi="Times New Roman" w:cs="Times New Roman"/>
          <w:b/>
          <w:bCs/>
          <w:sz w:val="28"/>
          <w:szCs w:val="28"/>
        </w:rPr>
        <w:t xml:space="preserve">Sentencia C-398/24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FACULTADES EXTRAORDINARIAS AL PRESIDENTE DE LA REPUBLICA</w:t>
      </w:r>
      <w:r w:rsidRPr="00AC66B3">
        <w:rPr>
          <w:rFonts w:ascii="Times New Roman" w:hAnsi="Times New Roman" w:cs="Times New Roman"/>
          <w:sz w:val="28"/>
          <w:szCs w:val="28"/>
        </w:rPr>
        <w:t>-Extralimitación en la definición del régimen de contratación del Instituto Nacional de Vías Regionales</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i/>
          <w:iCs/>
          <w:sz w:val="28"/>
          <w:szCs w:val="28"/>
        </w:rPr>
        <w:t>La Sala Plena concluye que no existe una relación directa e inmediata de índole material entre las normas demandadas y la norma habilitante. Los considerandos del Decreto Ley 1961 de 2023 no ofrecen mayores elementos de análisis para comprender el contexto normativo en el que se insertan las disposiciones acusadas. Tampoco es claro el vínculo entre estas y la finalidad que el Legislador buscaba alcanzar con la delegación. Tal finalidad se circunscribía a la creación de una entidad que se encargara con exclusividad del fomento de la construcción, el mejoramiento y la conservación de las vías terciarias. Lo anterior, con el objeto de sustraer esa materia del objeto del Invías. En contraste, las normas acusadas crean un régimen de contratación excepcional para la nueva entidad.</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PRESIDENTE DE LA REPUBLICA</w:t>
      </w:r>
      <w:r w:rsidRPr="00AC66B3">
        <w:rPr>
          <w:rFonts w:ascii="Times New Roman" w:hAnsi="Times New Roman" w:cs="Times New Roman"/>
          <w:sz w:val="28"/>
          <w:szCs w:val="28"/>
        </w:rPr>
        <w:t xml:space="preserve">-Vicio de competencia por exceso en el ejercicio de facultades extraordinarias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EXCESO DE FACULTADES EXTRAORDINARIAS</w:t>
      </w:r>
      <w:r w:rsidRPr="00AC66B3">
        <w:rPr>
          <w:rFonts w:ascii="Times New Roman" w:hAnsi="Times New Roman" w:cs="Times New Roman"/>
          <w:sz w:val="28"/>
          <w:szCs w:val="28"/>
        </w:rPr>
        <w:t xml:space="preserve">-Vicio de competencia no sujeto a término de caducidad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CONTROL DE CONSTITUCIONALIDAD DE FACULTADES EXTRAORDINARIAS</w:t>
      </w:r>
      <w:r w:rsidRPr="00AC66B3">
        <w:rPr>
          <w:rFonts w:ascii="Times New Roman" w:hAnsi="Times New Roman" w:cs="Times New Roman"/>
          <w:sz w:val="28"/>
          <w:szCs w:val="28"/>
        </w:rPr>
        <w:t>-Alcance</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i/>
          <w:iCs/>
          <w:sz w:val="28"/>
          <w:szCs w:val="28"/>
        </w:rPr>
        <w:t>(...) el control de constitucionalidad de los decretos leyes debe ser más estricto y riguroso que aquel que se adelanta sobre las leyes expedidas por el Congreso de la República. Lo anterior, pues altera el reparto ordinario de competencias normativas entre el Congreso y el Ejecutivo. La Corte ha explicado que en los casos en los que se cuestiona la constitucionalidad de un decreto ley no siempre es necesario examinar la constitucionalidad de la norma habilitante. En realidad, esta es una potestad excepcional que puede ser ejercida por la Sala Plena mediante la integración de la unidad normativa, solo cuando aquella advierta que el asunto reúne los requisitos jurisprudenciales exigidos para el efecto.</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FACULTADES EXTRAORDINARIAS AL PRESIDENTE DE LA REPUBLICA</w:t>
      </w:r>
      <w:r w:rsidRPr="00AC66B3">
        <w:rPr>
          <w:rFonts w:ascii="Times New Roman" w:hAnsi="Times New Roman" w:cs="Times New Roman"/>
          <w:sz w:val="28"/>
          <w:szCs w:val="28"/>
        </w:rPr>
        <w:t xml:space="preserve">-Contenido y alcance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FACULTADES EXTRAORDINARIAS</w:t>
      </w:r>
      <w:r w:rsidRPr="00AC66B3">
        <w:rPr>
          <w:rFonts w:ascii="Times New Roman" w:hAnsi="Times New Roman" w:cs="Times New Roman"/>
          <w:sz w:val="28"/>
          <w:szCs w:val="28"/>
        </w:rPr>
        <w:t>-Ley habilitante</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i/>
          <w:iCs/>
          <w:sz w:val="28"/>
          <w:szCs w:val="28"/>
        </w:rPr>
        <w:t>La Corte ha afirmado que la norma habilitante debe ser precisa. Esto significa que debe ser inequívoca sobre cuáles son los asuntos que podrán ser legislados mediante decretos leyes y cuál es el campo de acción legislativa del presidente de la República. El cumplimiento de este requisito no tiene relación alguna con la extensión, grado de amplitud o generalidad de las facultades conferidas, sino con la claridad de estas. La citada exigencia tampoco equivale a la taxatividad o a la descripción detallada y minuciosa de las materias delegadas. Ello vaciaría la delegación, en la medida en que la norma habilitante sería por sí sola suficiente para regular la materia y, por tanto, el presidente de la República únicamente podría reiterar lo ya establecido por el Legislador.</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FACULTADES EXTRAORDINARIAS</w:t>
      </w:r>
      <w:r w:rsidRPr="00AC66B3">
        <w:rPr>
          <w:rFonts w:ascii="Times New Roman" w:hAnsi="Times New Roman" w:cs="Times New Roman"/>
          <w:sz w:val="28"/>
          <w:szCs w:val="28"/>
        </w:rPr>
        <w:t xml:space="preserve">-Carácter excepcional y restrictivo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FACULTADES EXTRAORDINARIAS</w:t>
      </w:r>
      <w:r w:rsidRPr="00AC66B3">
        <w:rPr>
          <w:rFonts w:ascii="Times New Roman" w:hAnsi="Times New Roman" w:cs="Times New Roman"/>
          <w:sz w:val="28"/>
          <w:szCs w:val="28"/>
        </w:rPr>
        <w:t xml:space="preserve">-Límite temporal y material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LIMITES DE LAS FACULTADES EXTRAORDINARIAS</w:t>
      </w:r>
      <w:r w:rsidRPr="00AC66B3">
        <w:rPr>
          <w:rFonts w:ascii="Times New Roman" w:hAnsi="Times New Roman" w:cs="Times New Roman"/>
          <w:sz w:val="28"/>
          <w:szCs w:val="28"/>
        </w:rPr>
        <w:t xml:space="preserve">-Jurisprudencia constitucional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EXIGENCIA DE PRECISION Y CLARIDAD EN FACULTADES EXTRAORDINARIAS</w:t>
      </w:r>
      <w:r w:rsidRPr="00AC66B3">
        <w:rPr>
          <w:rFonts w:ascii="Times New Roman" w:hAnsi="Times New Roman" w:cs="Times New Roman"/>
          <w:sz w:val="28"/>
          <w:szCs w:val="28"/>
        </w:rPr>
        <w:t>-Reglas jurisprudenciales</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i/>
          <w:iCs/>
          <w:sz w:val="28"/>
          <w:szCs w:val="28"/>
        </w:rPr>
        <w:t xml:space="preserve">El mandato de precisión supone que el Congreso de la República debe: 1) indicar la materia que delimita el ámbito sustantivo de acción del Ejecutivo; 2) señalar la finalidad a la cual debe apuntar el presidente de la República al ejercer las facultades; y 3) enunciar los criterios que han de orientar las decisiones del Ejecutivo respecto de las opciones de diseño de política pública dentro del ámbito material general de la habilitación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LEY DE FACULTADES EXTRAORDINARIAS</w:t>
      </w:r>
      <w:r w:rsidRPr="00AC66B3">
        <w:rPr>
          <w:rFonts w:ascii="Times New Roman" w:hAnsi="Times New Roman" w:cs="Times New Roman"/>
          <w:sz w:val="28"/>
          <w:szCs w:val="28"/>
        </w:rPr>
        <w:t xml:space="preserve">-Interpretación restrictiva de las facultades conferidas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CONTROL DE CONSTITUCIONALIDAD DE DECRETO LEY</w:t>
      </w:r>
      <w:r w:rsidRPr="00AC66B3">
        <w:rPr>
          <w:rFonts w:ascii="Times New Roman" w:hAnsi="Times New Roman" w:cs="Times New Roman"/>
          <w:sz w:val="28"/>
          <w:szCs w:val="28"/>
        </w:rPr>
        <w:t>-Alcance respecto de ley habilitante</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i/>
          <w:iCs/>
          <w:sz w:val="28"/>
          <w:szCs w:val="28"/>
        </w:rPr>
        <w:t>(...) la constatación de la validez constitucional del decreto ley o de sus normas supone examinar la coherencia o congruencia de las normas del decreto con los motivos concretos y precisos que manifestó el Gobierno nacional para solicitar las facultades extraordinarias y que fueron tenidos en cuenta por el Legislador para otorgarlas. Y, además, analizar el alcance de los términos empleados por la ley habilitante para conferir las facultades extraordinarias -el verbo rector de la facultad-, los cuales acotan o demarcan el marco de acción legislativa del presidente de la República.</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LEY HABILITANTE EN FACULTADES EXTRAORDINARIAS</w:t>
      </w:r>
      <w:r w:rsidRPr="00AC66B3">
        <w:rPr>
          <w:rFonts w:ascii="Times New Roman" w:hAnsi="Times New Roman" w:cs="Times New Roman"/>
          <w:sz w:val="28"/>
          <w:szCs w:val="28"/>
        </w:rPr>
        <w:t xml:space="preserve">-Requisitos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LEY HABILITANTE EN FACULTADES EXTRAORDINARIAS</w:t>
      </w:r>
      <w:r w:rsidRPr="00AC66B3">
        <w:rPr>
          <w:rFonts w:ascii="Times New Roman" w:hAnsi="Times New Roman" w:cs="Times New Roman"/>
          <w:sz w:val="28"/>
          <w:szCs w:val="28"/>
        </w:rPr>
        <w:t xml:space="preserve">-Alcance del criterio de interpretación restrictiva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LEY HABILITANTE EN FACULTADES EXTRAORDINARIAS</w:t>
      </w:r>
      <w:r w:rsidRPr="00AC66B3">
        <w:rPr>
          <w:rFonts w:ascii="Times New Roman" w:hAnsi="Times New Roman" w:cs="Times New Roman"/>
          <w:sz w:val="28"/>
          <w:szCs w:val="28"/>
        </w:rPr>
        <w:t xml:space="preserve">-Alcance de las expresiones empleadas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1D6D01">
      <w:pPr>
        <w:widowControl w:val="0"/>
        <w:autoSpaceDE w:val="0"/>
        <w:autoSpaceDN w:val="0"/>
        <w:adjustRightInd w:val="0"/>
        <w:spacing w:after="0" w:line="240" w:lineRule="auto"/>
        <w:jc w:val="both"/>
        <w:rPr>
          <w:rFonts w:ascii="Times New Roman" w:hAnsi="Times New Roman" w:cs="Times New Roman"/>
          <w:sz w:val="28"/>
          <w:szCs w:val="28"/>
        </w:rPr>
      </w:pPr>
      <w:r w:rsidRPr="00AC66B3">
        <w:rPr>
          <w:rFonts w:ascii="Times New Roman" w:hAnsi="Times New Roman" w:cs="Times New Roman"/>
          <w:b/>
          <w:bCs/>
          <w:sz w:val="28"/>
          <w:szCs w:val="28"/>
        </w:rPr>
        <w:t>EXCESO DE FACULTADES EXTRAORDINARIAS</w:t>
      </w:r>
      <w:r w:rsidRPr="00AC66B3">
        <w:rPr>
          <w:rFonts w:ascii="Times New Roman" w:hAnsi="Times New Roman" w:cs="Times New Roman"/>
          <w:sz w:val="28"/>
          <w:szCs w:val="28"/>
        </w:rPr>
        <w:t xml:space="preserve">-Norma que no guarda relación con los objetivos de la ley habilitante </w:t>
      </w:r>
    </w:p>
    <w:p w:rsidR="00C74A58" w:rsidRPr="00AC66B3" w:rsidRDefault="00C74A58">
      <w:pPr>
        <w:widowControl w:val="0"/>
        <w:autoSpaceDE w:val="0"/>
        <w:autoSpaceDN w:val="0"/>
        <w:adjustRightInd w:val="0"/>
        <w:spacing w:after="0" w:line="240" w:lineRule="auto"/>
        <w:jc w:val="both"/>
        <w:rPr>
          <w:rFonts w:ascii="Times New Roman" w:hAnsi="Times New Roman" w:cs="Times New Roman"/>
          <w:sz w:val="28"/>
          <w:szCs w:val="28"/>
        </w:rPr>
      </w:pPr>
    </w:p>
    <w:p w:rsidR="00C74A58" w:rsidRPr="00AC66B3" w:rsidRDefault="00AC66B3">
      <w:pPr>
        <w:widowControl w:val="0"/>
        <w:autoSpaceDE w:val="0"/>
        <w:autoSpaceDN w:val="0"/>
        <w:adjustRightInd w:val="0"/>
        <w:spacing w:after="0" w:line="240" w:lineRule="auto"/>
        <w:jc w:val="both"/>
        <w:rPr>
          <w:rFonts w:ascii="Times New Roman" w:hAnsi="Times New Roman" w:cs="Times New Roman"/>
          <w:sz w:val="28"/>
        </w:rPr>
      </w:pPr>
      <w:r w:rsidRPr="00AC66B3">
        <w:rPr>
          <w:rFonts w:ascii="Times New Roman" w:hAnsi="Times New Roman" w:cs="Times New Roman"/>
          <w:sz w:val="28"/>
          <w:szCs w:val="28"/>
        </w:rPr>
        <w:pict>
          <v:rect id="_x0000_i1025" style="width:0;height:1.5pt" o:hralign="center" o:hrstd="t" o:hr="t" fillcolor="#a0a0a0" stroked="f"/>
        </w:pict>
      </w:r>
    </w:p>
    <w:p w:rsidR="000A045E" w:rsidRPr="00AC66B3" w:rsidRDefault="00AC66B3" w:rsidP="00FF2962">
      <w:pPr>
        <w:pStyle w:val="Encabezado"/>
        <w:jc w:val="center"/>
        <w:rPr>
          <w:rFonts w:ascii="Times New Roman" w:hAnsi="Times New Roman" w:cs="Times New Roman"/>
          <w:b/>
          <w:bCs/>
          <w:sz w:val="28"/>
          <w:szCs w:val="28"/>
          <w:lang w:eastAsia="en-US"/>
        </w:rPr>
      </w:pPr>
      <w:r w:rsidRPr="00AC66B3">
        <w:rPr>
          <w:rFonts w:ascii="Times New Roman" w:hAnsi="Times New Roman" w:cs="Times New Roman"/>
          <w:b/>
          <w:bCs/>
          <w:sz w:val="28"/>
          <w:szCs w:val="28"/>
        </w:rPr>
        <w:t>REPÚBLICA DE COLOMBIA</w:t>
      </w:r>
    </w:p>
    <w:p w:rsidR="000A045E" w:rsidRPr="00AC66B3" w:rsidRDefault="00AC66B3" w:rsidP="00FF2962">
      <w:pPr>
        <w:pStyle w:val="Encabezado"/>
        <w:jc w:val="center"/>
        <w:rPr>
          <w:rFonts w:ascii="Times New Roman" w:hAnsi="Times New Roman" w:cs="Times New Roman"/>
          <w:b/>
          <w:bCs/>
          <w:sz w:val="28"/>
          <w:szCs w:val="28"/>
        </w:rPr>
      </w:pPr>
      <w:r w:rsidRPr="00AC66B3">
        <w:rPr>
          <w:rFonts w:ascii="Times New Roman" w:hAnsi="Times New Roman" w:cs="Times New Roman"/>
          <w:b/>
          <w:bCs/>
          <w:noProof/>
          <w:sz w:val="28"/>
          <w:szCs w:val="28"/>
        </w:rPr>
        <w:drawing>
          <wp:inline distT="0" distB="0" distL="0" distR="0" wp14:anchorId="2D0DF288" wp14:editId="7C97E966">
            <wp:extent cx="658495" cy="65849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rsidR="000A045E" w:rsidRPr="00AC66B3" w:rsidRDefault="00AC66B3" w:rsidP="00FF2962">
      <w:pPr>
        <w:pStyle w:val="Encabezado"/>
        <w:jc w:val="center"/>
        <w:rPr>
          <w:rFonts w:ascii="Times New Roman" w:hAnsi="Times New Roman" w:cs="Times New Roman"/>
          <w:b/>
          <w:bCs/>
          <w:sz w:val="28"/>
          <w:szCs w:val="28"/>
        </w:rPr>
      </w:pPr>
      <w:r w:rsidRPr="00AC66B3">
        <w:rPr>
          <w:rFonts w:ascii="Times New Roman" w:hAnsi="Times New Roman" w:cs="Times New Roman"/>
          <w:b/>
          <w:bCs/>
          <w:sz w:val="28"/>
          <w:szCs w:val="28"/>
        </w:rPr>
        <w:t>CORTE CONSTITUCIONAL</w:t>
      </w:r>
    </w:p>
    <w:p w:rsidR="000A045E" w:rsidRPr="00AC66B3" w:rsidRDefault="00AC66B3" w:rsidP="00FF2962">
      <w:pPr>
        <w:pStyle w:val="Textoindependiente2"/>
        <w:tabs>
          <w:tab w:val="left" w:pos="284"/>
        </w:tabs>
        <w:spacing w:after="0" w:line="240" w:lineRule="auto"/>
        <w:jc w:val="center"/>
        <w:rPr>
          <w:rFonts w:ascii="Times New Roman" w:hAnsi="Times New Roman" w:cs="Times New Roman"/>
          <w:b/>
          <w:bCs/>
          <w:sz w:val="28"/>
          <w:szCs w:val="28"/>
        </w:rPr>
      </w:pPr>
      <w:r w:rsidRPr="00AC66B3">
        <w:rPr>
          <w:rFonts w:ascii="Times New Roman" w:hAnsi="Times New Roman" w:cs="Times New Roman"/>
          <w:b/>
          <w:bCs/>
          <w:sz w:val="28"/>
          <w:szCs w:val="28"/>
        </w:rPr>
        <w:t>Sala Plena</w:t>
      </w:r>
    </w:p>
    <w:p w:rsidR="000A045E" w:rsidRPr="00AC66B3" w:rsidRDefault="00AC66B3" w:rsidP="000A045E">
      <w:pPr>
        <w:pStyle w:val="Textoindependiente2"/>
        <w:tabs>
          <w:tab w:val="left" w:pos="284"/>
        </w:tabs>
        <w:spacing w:after="0" w:line="240" w:lineRule="auto"/>
        <w:jc w:val="center"/>
        <w:rPr>
          <w:rFonts w:ascii="Times New Roman" w:hAnsi="Times New Roman" w:cs="Times New Roman"/>
          <w:sz w:val="28"/>
          <w:szCs w:val="28"/>
        </w:rPr>
      </w:pPr>
    </w:p>
    <w:p w:rsidR="000A045E" w:rsidRPr="00AC66B3" w:rsidRDefault="00AC66B3" w:rsidP="000A045E">
      <w:pPr>
        <w:tabs>
          <w:tab w:val="left" w:pos="284"/>
        </w:tabs>
        <w:jc w:val="center"/>
        <w:rPr>
          <w:rFonts w:ascii="Times New Roman" w:hAnsi="Times New Roman" w:cs="Times New Roman"/>
          <w:b/>
          <w:sz w:val="28"/>
          <w:szCs w:val="28"/>
        </w:rPr>
      </w:pPr>
      <w:r w:rsidRPr="00AC66B3">
        <w:rPr>
          <w:rFonts w:ascii="Times New Roman" w:hAnsi="Times New Roman" w:cs="Times New Roman"/>
          <w:b/>
          <w:sz w:val="28"/>
          <w:szCs w:val="28"/>
        </w:rPr>
        <w:t>SENTENCIA C-398 DE 2024</w:t>
      </w:r>
    </w:p>
    <w:p w:rsidR="000A045E" w:rsidRPr="00AC66B3" w:rsidRDefault="00AC66B3" w:rsidP="000A045E">
      <w:pPr>
        <w:tabs>
          <w:tab w:val="left" w:pos="284"/>
        </w:tabs>
        <w:ind w:left="3686" w:right="49"/>
        <w:jc w:val="both"/>
        <w:rPr>
          <w:rFonts w:ascii="Times New Roman" w:hAnsi="Times New Roman" w:cs="Times New Roman"/>
          <w:sz w:val="28"/>
          <w:szCs w:val="28"/>
        </w:rPr>
      </w:pPr>
    </w:p>
    <w:p w:rsidR="000A045E" w:rsidRPr="00AC66B3" w:rsidRDefault="00AC66B3" w:rsidP="000A045E">
      <w:pPr>
        <w:tabs>
          <w:tab w:val="left" w:pos="284"/>
        </w:tabs>
        <w:ind w:left="3969"/>
        <w:jc w:val="both"/>
        <w:rPr>
          <w:rFonts w:ascii="Times New Roman" w:hAnsi="Times New Roman" w:cs="Times New Roman"/>
          <w:sz w:val="28"/>
          <w:szCs w:val="28"/>
        </w:rPr>
      </w:pPr>
      <w:r w:rsidRPr="00AC66B3">
        <w:rPr>
          <w:rFonts w:ascii="Times New Roman" w:hAnsi="Times New Roman" w:cs="Times New Roman"/>
          <w:sz w:val="28"/>
          <w:szCs w:val="28"/>
        </w:rPr>
        <w:t xml:space="preserve">Ref.: </w:t>
      </w:r>
      <w:r w:rsidRPr="00AC66B3">
        <w:rPr>
          <w:rFonts w:ascii="Times New Roman" w:hAnsi="Times New Roman" w:cs="Times New Roman"/>
          <w:b/>
          <w:bCs/>
          <w:sz w:val="28"/>
          <w:szCs w:val="28"/>
        </w:rPr>
        <w:t>expediente D-15.652AC</w:t>
      </w:r>
    </w:p>
    <w:p w:rsidR="000A045E" w:rsidRPr="00AC66B3" w:rsidRDefault="00AC66B3" w:rsidP="000A045E">
      <w:pPr>
        <w:tabs>
          <w:tab w:val="left" w:pos="284"/>
          <w:tab w:val="left" w:pos="3960"/>
        </w:tabs>
        <w:ind w:left="3969"/>
        <w:jc w:val="both"/>
        <w:rPr>
          <w:rFonts w:ascii="Times New Roman" w:hAnsi="Times New Roman" w:cs="Times New Roman"/>
          <w:sz w:val="28"/>
          <w:szCs w:val="28"/>
        </w:rPr>
      </w:pPr>
    </w:p>
    <w:p w:rsidR="000A045E" w:rsidRPr="00AC66B3" w:rsidRDefault="00AC66B3" w:rsidP="000A045E">
      <w:pPr>
        <w:tabs>
          <w:tab w:val="left" w:pos="284"/>
        </w:tabs>
        <w:ind w:left="3969"/>
        <w:jc w:val="both"/>
        <w:rPr>
          <w:rFonts w:ascii="Times New Roman" w:hAnsi="Times New Roman" w:cs="Times New Roman"/>
          <w:sz w:val="28"/>
          <w:szCs w:val="28"/>
        </w:rPr>
      </w:pPr>
      <w:r w:rsidRPr="00AC66B3">
        <w:rPr>
          <w:rFonts w:ascii="Times New Roman" w:hAnsi="Times New Roman" w:cs="Times New Roman"/>
          <w:sz w:val="28"/>
          <w:szCs w:val="28"/>
        </w:rPr>
        <w:t xml:space="preserve">Demanda de inconstitucionalidad </w:t>
      </w:r>
      <w:r w:rsidRPr="00AC66B3">
        <w:rPr>
          <w:rFonts w:ascii="Times New Roman" w:hAnsi="Times New Roman" w:cs="Times New Roman"/>
          <w:sz w:val="28"/>
          <w:szCs w:val="28"/>
        </w:rPr>
        <w:t>contra los artículos 1 (parcial), 9.5 (parcial) y 35 (parágrafo 1) del Decreto Ley 1961 de 2023, «[p]or el cual se crea el Instituto Nacional de Vías Regionales, se determina su estructura, funciones y se dictan otras disposiciones».</w:t>
      </w:r>
    </w:p>
    <w:p w:rsidR="000A045E" w:rsidRPr="00AC66B3" w:rsidRDefault="00AC66B3" w:rsidP="000A045E">
      <w:pPr>
        <w:tabs>
          <w:tab w:val="left" w:pos="284"/>
        </w:tabs>
        <w:ind w:left="3969"/>
        <w:jc w:val="both"/>
        <w:rPr>
          <w:rFonts w:ascii="Times New Roman" w:hAnsi="Times New Roman" w:cs="Times New Roman"/>
          <w:sz w:val="28"/>
          <w:szCs w:val="28"/>
        </w:rPr>
      </w:pPr>
    </w:p>
    <w:p w:rsidR="000A045E" w:rsidRPr="00AC66B3" w:rsidRDefault="00AC66B3" w:rsidP="000A045E">
      <w:pPr>
        <w:tabs>
          <w:tab w:val="left" w:pos="284"/>
          <w:tab w:val="left" w:pos="3960"/>
        </w:tabs>
        <w:ind w:left="3969"/>
        <w:jc w:val="both"/>
        <w:rPr>
          <w:rFonts w:ascii="Times New Roman" w:hAnsi="Times New Roman" w:cs="Times New Roman"/>
          <w:sz w:val="28"/>
          <w:szCs w:val="28"/>
          <w:u w:color="000000"/>
          <w:bdr w:val="nil"/>
        </w:rPr>
      </w:pPr>
      <w:r w:rsidRPr="00AC66B3">
        <w:rPr>
          <w:rFonts w:ascii="Times New Roman" w:hAnsi="Times New Roman" w:cs="Times New Roman"/>
          <w:sz w:val="28"/>
          <w:szCs w:val="28"/>
        </w:rPr>
        <w:t xml:space="preserve">Demandantes: </w:t>
      </w:r>
      <w:r w:rsidRPr="00AC66B3">
        <w:rPr>
          <w:rFonts w:ascii="Times New Roman" w:hAnsi="Times New Roman" w:cs="Times New Roman"/>
          <w:sz w:val="28"/>
          <w:szCs w:val="28"/>
          <w:u w:color="000000"/>
          <w:bdr w:val="nil"/>
        </w:rPr>
        <w:t>Hernán D</w:t>
      </w:r>
      <w:r w:rsidRPr="00AC66B3">
        <w:rPr>
          <w:rFonts w:ascii="Times New Roman" w:hAnsi="Times New Roman" w:cs="Times New Roman"/>
          <w:sz w:val="28"/>
          <w:szCs w:val="28"/>
          <w:u w:color="000000"/>
          <w:bdr w:val="nil"/>
        </w:rPr>
        <w:t>arío Cadavid Márquez, Daniel Eduardo Londoño de Vivero y Aura Ximena Osorio Torres, y Andrés Caro Borrero</w:t>
      </w:r>
    </w:p>
    <w:p w:rsidR="000A045E" w:rsidRPr="00AC66B3" w:rsidRDefault="00AC66B3" w:rsidP="000A045E">
      <w:pPr>
        <w:tabs>
          <w:tab w:val="left" w:pos="284"/>
          <w:tab w:val="left" w:pos="3960"/>
        </w:tabs>
        <w:ind w:left="3969"/>
        <w:jc w:val="both"/>
        <w:rPr>
          <w:rFonts w:ascii="Times New Roman" w:hAnsi="Times New Roman" w:cs="Times New Roman"/>
          <w:sz w:val="28"/>
          <w:szCs w:val="28"/>
        </w:rPr>
      </w:pPr>
    </w:p>
    <w:p w:rsidR="000A045E" w:rsidRPr="00AC66B3" w:rsidRDefault="00AC66B3" w:rsidP="000A045E">
      <w:pPr>
        <w:tabs>
          <w:tab w:val="left" w:pos="284"/>
        </w:tabs>
        <w:ind w:left="3969"/>
        <w:jc w:val="both"/>
        <w:rPr>
          <w:rFonts w:ascii="Times New Roman" w:hAnsi="Times New Roman" w:cs="Times New Roman"/>
          <w:sz w:val="28"/>
          <w:szCs w:val="28"/>
        </w:rPr>
      </w:pPr>
      <w:r w:rsidRPr="00AC66B3">
        <w:rPr>
          <w:rFonts w:ascii="Times New Roman" w:hAnsi="Times New Roman" w:cs="Times New Roman"/>
          <w:sz w:val="28"/>
          <w:szCs w:val="28"/>
        </w:rPr>
        <w:t xml:space="preserve">Magistrada ponente: </w:t>
      </w:r>
    </w:p>
    <w:p w:rsidR="000A045E" w:rsidRPr="00AC66B3" w:rsidRDefault="00AC66B3" w:rsidP="000A045E">
      <w:pPr>
        <w:tabs>
          <w:tab w:val="left" w:pos="284"/>
        </w:tabs>
        <w:ind w:left="3969"/>
        <w:jc w:val="both"/>
        <w:rPr>
          <w:rFonts w:ascii="Times New Roman" w:hAnsi="Times New Roman" w:cs="Times New Roman"/>
          <w:sz w:val="28"/>
          <w:szCs w:val="28"/>
        </w:rPr>
      </w:pPr>
      <w:bookmarkStart w:id="1" w:name="_Hlk161910211"/>
      <w:r w:rsidRPr="00AC66B3">
        <w:rPr>
          <w:rFonts w:ascii="Times New Roman" w:hAnsi="Times New Roman" w:cs="Times New Roman"/>
          <w:b/>
          <w:bCs/>
          <w:sz w:val="28"/>
          <w:szCs w:val="28"/>
        </w:rPr>
        <w:t>CRISTINA PARDO SCHLESINGER</w:t>
      </w:r>
    </w:p>
    <w:bookmarkEnd w:id="1"/>
    <w:p w:rsidR="000A045E" w:rsidRPr="00AC66B3" w:rsidRDefault="00AC66B3" w:rsidP="000A045E">
      <w:pPr>
        <w:tabs>
          <w:tab w:val="left" w:pos="284"/>
        </w:tabs>
        <w:ind w:right="49"/>
        <w:jc w:val="both"/>
        <w:rPr>
          <w:rFonts w:ascii="Times New Roman" w:hAnsi="Times New Roman" w:cs="Times New Roman"/>
          <w:sz w:val="28"/>
          <w:szCs w:val="28"/>
        </w:rPr>
      </w:pPr>
    </w:p>
    <w:p w:rsidR="000A045E" w:rsidRPr="00AC66B3" w:rsidRDefault="00AC66B3" w:rsidP="000A045E">
      <w:pPr>
        <w:tabs>
          <w:tab w:val="left" w:pos="284"/>
        </w:tabs>
        <w:jc w:val="both"/>
        <w:rPr>
          <w:rFonts w:ascii="Times New Roman" w:hAnsi="Times New Roman" w:cs="Times New Roman"/>
          <w:sz w:val="28"/>
          <w:szCs w:val="28"/>
        </w:rPr>
      </w:pPr>
      <w:r w:rsidRPr="00AC66B3">
        <w:rPr>
          <w:rFonts w:ascii="Times New Roman" w:hAnsi="Times New Roman" w:cs="Times New Roman"/>
          <w:sz w:val="28"/>
          <w:szCs w:val="28"/>
        </w:rPr>
        <w:t>Bogotá, D. C., diecinueve (19) de septiembre de dos mil veinticuatro (2024).</w:t>
      </w:r>
    </w:p>
    <w:p w:rsidR="000A045E" w:rsidRPr="00AC66B3" w:rsidRDefault="00AC66B3" w:rsidP="000A045E">
      <w:pPr>
        <w:tabs>
          <w:tab w:val="left" w:pos="284"/>
        </w:tabs>
        <w:jc w:val="both"/>
        <w:rPr>
          <w:rFonts w:ascii="Times New Roman" w:hAnsi="Times New Roman" w:cs="Times New Roman"/>
          <w:sz w:val="28"/>
          <w:szCs w:val="28"/>
        </w:rPr>
      </w:pPr>
    </w:p>
    <w:p w:rsidR="000A045E" w:rsidRPr="00AC66B3" w:rsidRDefault="00AC66B3" w:rsidP="000A045E">
      <w:pPr>
        <w:tabs>
          <w:tab w:val="left" w:pos="284"/>
        </w:tabs>
        <w:jc w:val="both"/>
        <w:rPr>
          <w:rFonts w:ascii="Times New Roman" w:hAnsi="Times New Roman" w:cs="Times New Roman"/>
          <w:sz w:val="28"/>
          <w:szCs w:val="28"/>
          <w:shd w:val="clear" w:color="auto" w:fill="FFFFFF"/>
        </w:rPr>
      </w:pPr>
      <w:r w:rsidRPr="00AC66B3">
        <w:rPr>
          <w:rFonts w:ascii="Times New Roman" w:hAnsi="Times New Roman" w:cs="Times New Roman"/>
          <w:sz w:val="28"/>
          <w:szCs w:val="28"/>
          <w:shd w:val="clear" w:color="auto" w:fill="FFFFFF"/>
        </w:rPr>
        <w:t xml:space="preserve">La Sala Plena de la </w:t>
      </w:r>
      <w:r w:rsidRPr="00AC66B3">
        <w:rPr>
          <w:rFonts w:ascii="Times New Roman" w:hAnsi="Times New Roman" w:cs="Times New Roman"/>
          <w:sz w:val="28"/>
          <w:szCs w:val="28"/>
          <w:shd w:val="clear" w:color="auto" w:fill="FFFFFF"/>
        </w:rPr>
        <w:t>Corte Constitucional, en ejercicio de sus atribuciones constitucionales y en virtud de los requisitos y trámites establecidos en el Decreto Ley 2591 de 1991, ha dictado la siguiente:</w:t>
      </w:r>
    </w:p>
    <w:p w:rsidR="000A045E" w:rsidRPr="00AC66B3" w:rsidRDefault="00AC66B3" w:rsidP="000A045E">
      <w:pPr>
        <w:tabs>
          <w:tab w:val="left" w:pos="284"/>
        </w:tabs>
        <w:jc w:val="both"/>
        <w:rPr>
          <w:rFonts w:ascii="Times New Roman" w:hAnsi="Times New Roman" w:cs="Times New Roman"/>
          <w:sz w:val="28"/>
          <w:szCs w:val="28"/>
        </w:rPr>
      </w:pPr>
    </w:p>
    <w:p w:rsidR="000A045E" w:rsidRPr="00AC66B3" w:rsidRDefault="00AC66B3" w:rsidP="000A045E">
      <w:pPr>
        <w:tabs>
          <w:tab w:val="left" w:pos="284"/>
        </w:tabs>
        <w:jc w:val="center"/>
        <w:rPr>
          <w:rFonts w:ascii="Times New Roman" w:hAnsi="Times New Roman" w:cs="Times New Roman"/>
          <w:b/>
          <w:sz w:val="28"/>
          <w:szCs w:val="28"/>
        </w:rPr>
      </w:pPr>
      <w:r w:rsidRPr="00AC66B3">
        <w:rPr>
          <w:rFonts w:ascii="Times New Roman" w:hAnsi="Times New Roman" w:cs="Times New Roman"/>
          <w:b/>
          <w:sz w:val="28"/>
          <w:szCs w:val="28"/>
        </w:rPr>
        <w:t>SENTENCIA</w:t>
      </w:r>
    </w:p>
    <w:p w:rsidR="000A045E" w:rsidRPr="00AC66B3" w:rsidRDefault="00AC66B3" w:rsidP="000A045E">
      <w:pPr>
        <w:tabs>
          <w:tab w:val="left" w:pos="284"/>
        </w:tabs>
        <w:rPr>
          <w:rFonts w:ascii="Times New Roman" w:hAnsi="Times New Roman" w:cs="Times New Roman"/>
          <w:b/>
          <w:sz w:val="28"/>
          <w:szCs w:val="28"/>
        </w:rPr>
      </w:pPr>
    </w:p>
    <w:p w:rsidR="000A045E" w:rsidRPr="00AC66B3" w:rsidRDefault="00AC66B3" w:rsidP="000A045E">
      <w:pPr>
        <w:tabs>
          <w:tab w:val="left" w:pos="284"/>
        </w:tabs>
        <w:jc w:val="both"/>
        <w:rPr>
          <w:rFonts w:ascii="Times New Roman" w:hAnsi="Times New Roman" w:cs="Times New Roman"/>
          <w:b/>
          <w:sz w:val="28"/>
          <w:szCs w:val="28"/>
        </w:rPr>
      </w:pPr>
      <w:r w:rsidRPr="00AC66B3">
        <w:rPr>
          <w:rFonts w:ascii="Times New Roman" w:hAnsi="Times New Roman" w:cs="Times New Roman"/>
          <w:b/>
          <w:sz w:val="28"/>
          <w:szCs w:val="28"/>
        </w:rPr>
        <w:t>Síntesis de la decisión</w:t>
      </w:r>
    </w:p>
    <w:p w:rsidR="000A045E" w:rsidRPr="00AC66B3" w:rsidRDefault="00AC66B3" w:rsidP="000A045E">
      <w:pPr>
        <w:tabs>
          <w:tab w:val="left" w:pos="284"/>
        </w:tabs>
        <w:jc w:val="both"/>
        <w:rPr>
          <w:rFonts w:ascii="Times New Roman" w:hAnsi="Times New Roman" w:cs="Times New Roman"/>
          <w:b/>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r w:rsidRPr="00AC66B3">
        <w:rPr>
          <w:rFonts w:ascii="Times New Roman" w:hAnsi="Times New Roman" w:cs="Times New Roman"/>
          <w:sz w:val="28"/>
          <w:szCs w:val="28"/>
          <w:shd w:val="clear" w:color="auto" w:fill="FFFFFF"/>
        </w:rPr>
        <w:t>En razón de tres demandas de inconst</w:t>
      </w:r>
      <w:r w:rsidRPr="00AC66B3">
        <w:rPr>
          <w:rFonts w:ascii="Times New Roman" w:hAnsi="Times New Roman" w:cs="Times New Roman"/>
          <w:sz w:val="28"/>
          <w:szCs w:val="28"/>
          <w:shd w:val="clear" w:color="auto" w:fill="FFFFFF"/>
        </w:rPr>
        <w:t xml:space="preserve">itucionalidad presentadas contra </w:t>
      </w:r>
      <w:r w:rsidRPr="00AC66B3">
        <w:rPr>
          <w:rFonts w:ascii="Times New Roman" w:hAnsi="Times New Roman" w:cs="Times New Roman"/>
          <w:sz w:val="28"/>
          <w:szCs w:val="28"/>
        </w:rPr>
        <w:t>los artículos 1 (parcial), 9.5 (parcial) y 35 (parágrafo 1) del Decreto Ley 1961 de 2023, «[p]or el cual se crea el Instituto Nacional de Vías Regionales, se determina su estructura, funciones y se dictan otras disposicione</w:t>
      </w:r>
      <w:r w:rsidRPr="00AC66B3">
        <w:rPr>
          <w:rFonts w:ascii="Times New Roman" w:hAnsi="Times New Roman" w:cs="Times New Roman"/>
          <w:sz w:val="28"/>
          <w:szCs w:val="28"/>
        </w:rPr>
        <w:t xml:space="preserve">s», la Sala Plena resolvió el siguiente problema jurídico: ¿Los artículos acusados, los cuales establecen que el Invir podrá suscribir contratos con determinadas personas y organizaciones sociales bajo la modalidad de contratación directa, sin importar su </w:t>
      </w:r>
      <w:r w:rsidRPr="00AC66B3">
        <w:rPr>
          <w:rFonts w:ascii="Times New Roman" w:hAnsi="Times New Roman" w:cs="Times New Roman"/>
          <w:sz w:val="28"/>
          <w:szCs w:val="28"/>
        </w:rPr>
        <w:t>cuantía, vulneran el artículo 150, numeral 10, de la Constitución porque constituyen una extralimitación en el ejercicio de la competencia atribuida al presidente de la República por el artículo 368 de la Ley 2294 de 2023?</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rPr>
      </w:pPr>
      <w:r w:rsidRPr="00AC66B3">
        <w:rPr>
          <w:rFonts w:ascii="Times New Roman" w:hAnsi="Times New Roman" w:cs="Times New Roman"/>
          <w:sz w:val="28"/>
          <w:szCs w:val="28"/>
        </w:rPr>
        <w:t>Para dar solución al anterior pr</w:t>
      </w:r>
      <w:r w:rsidRPr="00AC66B3">
        <w:rPr>
          <w:rFonts w:ascii="Times New Roman" w:hAnsi="Times New Roman" w:cs="Times New Roman"/>
          <w:sz w:val="28"/>
          <w:szCs w:val="28"/>
        </w:rPr>
        <w:t xml:space="preserve">oblema jurídico, la Corte reiteró dos líneas jurisprudenciales: (i) los </w:t>
      </w:r>
      <w:r w:rsidRPr="00AC66B3">
        <w:rPr>
          <w:rFonts w:ascii="Times New Roman" w:hAnsi="Times New Roman" w:cs="Times New Roman"/>
          <w:bCs/>
          <w:sz w:val="28"/>
          <w:szCs w:val="28"/>
        </w:rPr>
        <w:t xml:space="preserve">límites al ejercicio de las facultades extraordinarias conferidas al presidente de la República por el Legislador y (ii) los límites de la potestad legislativa para definir el régimen </w:t>
      </w:r>
      <w:r w:rsidRPr="00AC66B3">
        <w:rPr>
          <w:rFonts w:ascii="Times New Roman" w:hAnsi="Times New Roman" w:cs="Times New Roman"/>
          <w:bCs/>
          <w:sz w:val="28"/>
          <w:szCs w:val="28"/>
        </w:rPr>
        <w:t>jurídico y el régimen contractual de una entidad pública.</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r w:rsidRPr="00AC66B3">
        <w:rPr>
          <w:rFonts w:ascii="Times New Roman" w:hAnsi="Times New Roman" w:cs="Times New Roman"/>
          <w:bCs/>
          <w:sz w:val="28"/>
          <w:szCs w:val="28"/>
        </w:rPr>
        <w:t xml:space="preserve">En aplicación de las reglas de decisión identificadas en la jurisprudencia constitucional, la Sala Plena concluyó que las normas acusadas desconocen el </w:t>
      </w:r>
      <w:r w:rsidRPr="00AC66B3">
        <w:rPr>
          <w:rFonts w:ascii="Times New Roman" w:hAnsi="Times New Roman" w:cs="Times New Roman"/>
          <w:sz w:val="28"/>
          <w:szCs w:val="28"/>
        </w:rPr>
        <w:t xml:space="preserve">artículo 150, numeral 10, de la Constitución, </w:t>
      </w:r>
      <w:r w:rsidRPr="00AC66B3">
        <w:rPr>
          <w:rFonts w:ascii="Times New Roman" w:hAnsi="Times New Roman" w:cs="Times New Roman"/>
          <w:sz w:val="28"/>
          <w:szCs w:val="28"/>
        </w:rPr>
        <w:t xml:space="preserve">por las siguientes razones: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r w:rsidRPr="00AC66B3">
        <w:rPr>
          <w:rFonts w:ascii="Times New Roman" w:hAnsi="Times New Roman" w:cs="Times New Roman"/>
          <w:sz w:val="28"/>
          <w:szCs w:val="28"/>
        </w:rPr>
        <w:t>Primera, en concordancia con el trámite legislativo de la norma habilitante, en virtud de las facultades extraordinarias concedidas, el presidente de la República debía definir el régimen jurídico aplicable a la nueva entidad.</w:t>
      </w:r>
      <w:r w:rsidRPr="00AC66B3">
        <w:rPr>
          <w:rFonts w:ascii="Times New Roman" w:hAnsi="Times New Roman" w:cs="Times New Roman"/>
          <w:sz w:val="28"/>
          <w:szCs w:val="28"/>
        </w:rPr>
        <w:t xml:space="preserve"> Sin embargo, en la solicitud de facultades extraordinarias, el presidente no hizo mención a la posibilidad de que, en el contexto de dicha definición, pudiera determinar que esa entidad fuera titular un régimen de contratación excepcional.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r w:rsidRPr="00AC66B3">
        <w:rPr>
          <w:rFonts w:ascii="Times New Roman" w:hAnsi="Times New Roman" w:cs="Times New Roman"/>
          <w:sz w:val="28"/>
          <w:szCs w:val="28"/>
        </w:rPr>
        <w:t xml:space="preserve">Segunda, </w:t>
      </w:r>
      <w:r w:rsidRPr="00AC66B3">
        <w:rPr>
          <w:rFonts w:ascii="Times New Roman" w:hAnsi="Times New Roman" w:cs="Times New Roman"/>
          <w:bCs/>
          <w:sz w:val="28"/>
          <w:szCs w:val="28"/>
          <w:bdr w:val="none" w:sz="0" w:space="0" w:color="auto" w:frame="1"/>
        </w:rPr>
        <w:t>no e</w:t>
      </w:r>
      <w:r w:rsidRPr="00AC66B3">
        <w:rPr>
          <w:rFonts w:ascii="Times New Roman" w:hAnsi="Times New Roman" w:cs="Times New Roman"/>
          <w:bCs/>
          <w:sz w:val="28"/>
          <w:szCs w:val="28"/>
          <w:bdr w:val="none" w:sz="0" w:space="0" w:color="auto" w:frame="1"/>
        </w:rPr>
        <w:t xml:space="preserve">xiste </w:t>
      </w:r>
      <w:r w:rsidRPr="00AC66B3">
        <w:rPr>
          <w:rFonts w:ascii="Times New Roman" w:hAnsi="Times New Roman" w:cs="Times New Roman"/>
          <w:sz w:val="28"/>
          <w:szCs w:val="28"/>
        </w:rPr>
        <w:t xml:space="preserve">una relación directa e inmediata de índole material entre las normas demandadas y la norma habilitante. Los considerandos del Decreto Ley 1961 de 2023 </w:t>
      </w:r>
      <w:r w:rsidRPr="00AC66B3">
        <w:rPr>
          <w:rFonts w:ascii="Times New Roman" w:hAnsi="Times New Roman" w:cs="Times New Roman"/>
          <w:bCs/>
          <w:sz w:val="28"/>
          <w:szCs w:val="28"/>
          <w:bdr w:val="none" w:sz="0" w:space="0" w:color="auto" w:frame="1"/>
        </w:rPr>
        <w:t xml:space="preserve">no ofrecen mayores elementos de análisis para comprender </w:t>
      </w:r>
      <w:r w:rsidRPr="00AC66B3">
        <w:rPr>
          <w:rFonts w:ascii="Times New Roman" w:hAnsi="Times New Roman" w:cs="Times New Roman"/>
          <w:bCs/>
          <w:sz w:val="28"/>
          <w:szCs w:val="28"/>
          <w:lang w:eastAsia="es-ES"/>
        </w:rPr>
        <w:t>el contexto normativo en el que se inserta</w:t>
      </w:r>
      <w:r w:rsidRPr="00AC66B3">
        <w:rPr>
          <w:rFonts w:ascii="Times New Roman" w:hAnsi="Times New Roman" w:cs="Times New Roman"/>
          <w:bCs/>
          <w:sz w:val="28"/>
          <w:szCs w:val="28"/>
          <w:lang w:eastAsia="es-ES"/>
        </w:rPr>
        <w:t xml:space="preserve">n las disposiciones acusadas ni </w:t>
      </w:r>
      <w:r w:rsidRPr="00AC66B3">
        <w:rPr>
          <w:rFonts w:ascii="Times New Roman" w:hAnsi="Times New Roman" w:cs="Times New Roman"/>
          <w:sz w:val="28"/>
          <w:szCs w:val="28"/>
        </w:rPr>
        <w:t xml:space="preserve">los objetivos que persigue el presidente de la República con la expedición de estas.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r w:rsidRPr="00AC66B3">
        <w:rPr>
          <w:rFonts w:ascii="Times New Roman" w:hAnsi="Times New Roman" w:cs="Times New Roman"/>
          <w:sz w:val="28"/>
          <w:szCs w:val="28"/>
        </w:rPr>
        <w:t>Además, tampoco e</w:t>
      </w:r>
      <w:r w:rsidRPr="00AC66B3">
        <w:rPr>
          <w:rFonts w:ascii="Times New Roman" w:hAnsi="Times New Roman" w:cs="Times New Roman"/>
          <w:bCs/>
          <w:sz w:val="28"/>
          <w:szCs w:val="28"/>
          <w:bdr w:val="none" w:sz="0" w:space="0" w:color="auto" w:frame="1"/>
        </w:rPr>
        <w:t xml:space="preserve">s claro el vínculo entre las disposiciones impugnadas y </w:t>
      </w:r>
      <w:r w:rsidRPr="00AC66B3">
        <w:rPr>
          <w:rFonts w:ascii="Times New Roman" w:hAnsi="Times New Roman" w:cs="Times New Roman"/>
          <w:bCs/>
          <w:sz w:val="28"/>
          <w:szCs w:val="28"/>
          <w:lang w:eastAsia="es-ES"/>
        </w:rPr>
        <w:t>el</w:t>
      </w:r>
      <w:r w:rsidRPr="00AC66B3">
        <w:rPr>
          <w:rFonts w:ascii="Times New Roman" w:hAnsi="Times New Roman" w:cs="Times New Roman"/>
          <w:sz w:val="28"/>
          <w:szCs w:val="28"/>
        </w:rPr>
        <w:t xml:space="preserve"> objetivo de crear una entidad que se encargara con exclusivid</w:t>
      </w:r>
      <w:r w:rsidRPr="00AC66B3">
        <w:rPr>
          <w:rFonts w:ascii="Times New Roman" w:hAnsi="Times New Roman" w:cs="Times New Roman"/>
          <w:sz w:val="28"/>
          <w:szCs w:val="28"/>
        </w:rPr>
        <w:t>ad del fomento de la construcción, el mejoramiento y la conservación de las vías terciarias. Lo anterior, con el fin de sustraer esa materia del objeto del Instituto Nacional de Vías (Invías). De hecho, en la ley que contiene la norma habilitante, el Legis</w:t>
      </w:r>
      <w:r w:rsidRPr="00AC66B3">
        <w:rPr>
          <w:rFonts w:ascii="Times New Roman" w:hAnsi="Times New Roman" w:cs="Times New Roman"/>
          <w:sz w:val="28"/>
          <w:szCs w:val="28"/>
        </w:rPr>
        <w:t>lador reguló tres tipos de vínculos contractuales con las comunidades y las organizaciones sociales y, para ello, impuso límites más estrictos que los desarrollados por el presidente de la República en el Decreto ley 1961 de 2023. Incluso, en el caso de la</w:t>
      </w:r>
      <w:r w:rsidRPr="00AC66B3">
        <w:rPr>
          <w:rFonts w:ascii="Times New Roman" w:hAnsi="Times New Roman" w:cs="Times New Roman"/>
          <w:sz w:val="28"/>
          <w:szCs w:val="28"/>
        </w:rPr>
        <w:t>s Asociaciones Público Populares, la contratación directa fue condicionada a la mínima cuantía.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r w:rsidRPr="00AC66B3">
        <w:rPr>
          <w:rFonts w:ascii="Times New Roman" w:hAnsi="Times New Roman" w:cs="Times New Roman"/>
          <w:sz w:val="28"/>
          <w:szCs w:val="28"/>
        </w:rPr>
        <w:t xml:space="preserve">Tercera, </w:t>
      </w:r>
      <w:r w:rsidRPr="00AC66B3">
        <w:rPr>
          <w:rFonts w:ascii="Times New Roman" w:hAnsi="Times New Roman" w:cs="Times New Roman"/>
          <w:sz w:val="28"/>
          <w:szCs w:val="28"/>
          <w:lang w:val="es-ES"/>
        </w:rPr>
        <w:t xml:space="preserve">las normas demandadas desconocen que </w:t>
      </w:r>
      <w:r w:rsidRPr="00AC66B3">
        <w:rPr>
          <w:rFonts w:ascii="Times New Roman" w:hAnsi="Times New Roman" w:cs="Times New Roman"/>
          <w:bCs/>
          <w:sz w:val="28"/>
          <w:szCs w:val="28"/>
          <w:lang w:eastAsia="es-ES"/>
        </w:rPr>
        <w:t>la interpretación de la norma habilitante debe ser literal y restrictiva o, en otras palabras, de ningún modo a</w:t>
      </w:r>
      <w:r w:rsidRPr="00AC66B3">
        <w:rPr>
          <w:rFonts w:ascii="Times New Roman" w:hAnsi="Times New Roman" w:cs="Times New Roman"/>
          <w:bCs/>
          <w:sz w:val="28"/>
          <w:szCs w:val="28"/>
          <w:lang w:eastAsia="es-ES"/>
        </w:rPr>
        <w:t>mplia, extensiva o por analogía. S</w:t>
      </w:r>
      <w:r w:rsidRPr="00AC66B3">
        <w:rPr>
          <w:rFonts w:ascii="Times New Roman" w:hAnsi="Times New Roman" w:cs="Times New Roman"/>
          <w:sz w:val="28"/>
          <w:szCs w:val="28"/>
          <w:lang w:eastAsia="es-ES"/>
        </w:rPr>
        <w:t xml:space="preserve">i bien </w:t>
      </w:r>
      <w:r w:rsidRPr="00AC66B3">
        <w:rPr>
          <w:rFonts w:ascii="Times New Roman" w:hAnsi="Times New Roman" w:cs="Times New Roman"/>
          <w:sz w:val="28"/>
          <w:szCs w:val="28"/>
          <w:lang w:eastAsia="es-ES_tradnl"/>
        </w:rPr>
        <w:t>el p</w:t>
      </w:r>
      <w:r w:rsidRPr="00AC66B3">
        <w:rPr>
          <w:rFonts w:ascii="Times New Roman" w:hAnsi="Times New Roman" w:cs="Times New Roman"/>
          <w:sz w:val="28"/>
          <w:szCs w:val="28"/>
          <w:shd w:val="clear" w:color="auto" w:fill="FFFFFF"/>
        </w:rPr>
        <w:t>residente de la República tenía un margen razonable de apreciación respecto del contenido de los términos empleados en la norma habilitante para la definición del régimen jurídico del Invir</w:t>
      </w:r>
      <w:r w:rsidRPr="00AC66B3">
        <w:rPr>
          <w:rFonts w:ascii="Times New Roman" w:hAnsi="Times New Roman" w:cs="Times New Roman"/>
          <w:sz w:val="28"/>
          <w:szCs w:val="28"/>
          <w:shd w:val="clear" w:color="auto" w:fill="FFFFFF"/>
        </w:rPr>
        <w:t xml:space="preserve"> y, en concreto, de su régimen contractual, su valoración debía coincidir con la teleología de la delegación legislativa.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bdr w:val="none" w:sz="0" w:space="0" w:color="auto" w:frame="1"/>
        </w:rPr>
      </w:pPr>
      <w:r w:rsidRPr="00AC66B3">
        <w:rPr>
          <w:rFonts w:ascii="Times New Roman" w:hAnsi="Times New Roman" w:cs="Times New Roman"/>
          <w:bCs/>
          <w:sz w:val="28"/>
          <w:szCs w:val="28"/>
          <w:bdr w:val="none" w:sz="0" w:space="0" w:color="auto" w:frame="1"/>
        </w:rPr>
        <w:t xml:space="preserve">En consecuencia, </w:t>
      </w:r>
      <w:r w:rsidRPr="00AC66B3">
        <w:rPr>
          <w:rFonts w:ascii="Times New Roman" w:hAnsi="Times New Roman" w:cs="Times New Roman"/>
          <w:bCs/>
          <w:sz w:val="28"/>
          <w:szCs w:val="28"/>
          <w:lang w:eastAsia="es-ES"/>
        </w:rPr>
        <w:t xml:space="preserve">la Sala Plena declaró la inexequibilidad </w:t>
      </w:r>
      <w:r w:rsidRPr="00AC66B3">
        <w:rPr>
          <w:rFonts w:ascii="Times New Roman" w:hAnsi="Times New Roman" w:cs="Times New Roman"/>
          <w:sz w:val="28"/>
          <w:szCs w:val="28"/>
        </w:rPr>
        <w:t>de las expresiones «salvo las excepciones que se establecen en el artículo</w:t>
      </w:r>
      <w:r w:rsidRPr="00AC66B3">
        <w:rPr>
          <w:rFonts w:ascii="Times New Roman" w:hAnsi="Times New Roman" w:cs="Times New Roman"/>
          <w:sz w:val="28"/>
          <w:szCs w:val="28"/>
        </w:rPr>
        <w:t xml:space="preserve"> 35 del presente decreto», contenida en el artículo 1 del Decreto Ley 1961 de 2023; e «y las excepciones contempladas en el presente decreto», prevista en el artículo 9.5 </w:t>
      </w:r>
      <w:r w:rsidRPr="00AC66B3">
        <w:rPr>
          <w:rFonts w:ascii="Times New Roman" w:hAnsi="Times New Roman" w:cs="Times New Roman"/>
          <w:i/>
          <w:iCs/>
          <w:sz w:val="28"/>
          <w:szCs w:val="28"/>
        </w:rPr>
        <w:t>ejusdem</w:t>
      </w:r>
      <w:r w:rsidRPr="00AC66B3">
        <w:rPr>
          <w:rFonts w:ascii="Times New Roman" w:hAnsi="Times New Roman" w:cs="Times New Roman"/>
          <w:sz w:val="28"/>
          <w:szCs w:val="28"/>
        </w:rPr>
        <w:t>. Así mismo, declaró la inexequibilidad del parágrafo 1 del artículo 35 del ci</w:t>
      </w:r>
      <w:r w:rsidRPr="00AC66B3">
        <w:rPr>
          <w:rFonts w:ascii="Times New Roman" w:hAnsi="Times New Roman" w:cs="Times New Roman"/>
          <w:sz w:val="28"/>
          <w:szCs w:val="28"/>
        </w:rPr>
        <w:t>tado decreto ley.</w:t>
      </w:r>
    </w:p>
    <w:p w:rsidR="000A045E" w:rsidRPr="00AC66B3" w:rsidRDefault="00AC66B3" w:rsidP="000A045E">
      <w:pPr>
        <w:tabs>
          <w:tab w:val="left" w:pos="284"/>
        </w:tabs>
        <w:jc w:val="both"/>
        <w:rPr>
          <w:rFonts w:ascii="Times New Roman" w:hAnsi="Times New Roman" w:cs="Times New Roman"/>
          <w:b/>
          <w:sz w:val="28"/>
          <w:szCs w:val="28"/>
        </w:rPr>
      </w:pPr>
    </w:p>
    <w:p w:rsidR="000A045E" w:rsidRPr="00AC66B3" w:rsidRDefault="00AC66B3" w:rsidP="000A045E">
      <w:pPr>
        <w:tabs>
          <w:tab w:val="left" w:pos="284"/>
        </w:tabs>
        <w:jc w:val="both"/>
        <w:rPr>
          <w:rFonts w:ascii="Times New Roman" w:hAnsi="Times New Roman" w:cs="Times New Roman"/>
          <w:sz w:val="28"/>
          <w:szCs w:val="28"/>
        </w:rPr>
      </w:pPr>
      <w:r w:rsidRPr="00AC66B3">
        <w:rPr>
          <w:rFonts w:ascii="Times New Roman" w:hAnsi="Times New Roman" w:cs="Times New Roman"/>
          <w:b/>
          <w:bCs/>
          <w:sz w:val="28"/>
          <w:szCs w:val="28"/>
        </w:rPr>
        <w:t>I. ANTECEDENTES</w:t>
      </w:r>
    </w:p>
    <w:p w:rsidR="000A045E" w:rsidRPr="00AC66B3" w:rsidRDefault="00AC66B3" w:rsidP="000A045E">
      <w:pPr>
        <w:tabs>
          <w:tab w:val="left" w:pos="284"/>
        </w:tabs>
        <w:jc w:val="both"/>
        <w:rPr>
          <w:rFonts w:ascii="Times New Roman" w:hAnsi="Times New Roman" w:cs="Times New Roman"/>
          <w:sz w:val="28"/>
          <w:szCs w:val="28"/>
          <w:lang w:eastAsia="zh-CN"/>
        </w:rPr>
      </w:pPr>
    </w:p>
    <w:p w:rsidR="000A045E" w:rsidRPr="00AC66B3" w:rsidRDefault="00AC66B3" w:rsidP="000A045E">
      <w:pPr>
        <w:pStyle w:val="Prrafodelista"/>
        <w:numPr>
          <w:ilvl w:val="0"/>
          <w:numId w:val="2"/>
        </w:numPr>
        <w:tabs>
          <w:tab w:val="left" w:pos="567"/>
        </w:tabs>
        <w:ind w:left="0" w:firstLine="0"/>
        <w:jc w:val="both"/>
        <w:rPr>
          <w:rFonts w:ascii="Times New Roman" w:hAnsi="Times New Roman" w:cs="Times New Roman"/>
          <w:sz w:val="28"/>
          <w:szCs w:val="28"/>
          <w:bdr w:val="nil"/>
        </w:rPr>
      </w:pPr>
      <w:bookmarkStart w:id="2" w:name="_Hlk162948070"/>
      <w:r w:rsidRPr="00AC66B3">
        <w:rPr>
          <w:rFonts w:ascii="Times New Roman" w:hAnsi="Times New Roman" w:cs="Times New Roman"/>
          <w:sz w:val="28"/>
          <w:szCs w:val="28"/>
          <w:bdr w:val="nil"/>
        </w:rPr>
        <w:t xml:space="preserve">El 4 de diciembre de 2023, el ciudadano Hernán Darío Cadavid Márquez </w:t>
      </w:r>
      <w:r w:rsidRPr="00AC66B3">
        <w:rPr>
          <w:rFonts w:ascii="Times New Roman" w:hAnsi="Times New Roman" w:cs="Times New Roman" w:hint="cs"/>
          <w:sz w:val="28"/>
          <w:szCs w:val="28"/>
          <w:bdr w:val="nil"/>
        </w:rPr>
        <w:t>present</w:t>
      </w:r>
      <w:r w:rsidRPr="00AC66B3">
        <w:rPr>
          <w:rFonts w:ascii="Times New Roman" w:hAnsi="Times New Roman" w:cs="Times New Roman"/>
          <w:sz w:val="28"/>
          <w:szCs w:val="28"/>
          <w:bdr w:val="nil"/>
        </w:rPr>
        <w:t xml:space="preserve">ó </w:t>
      </w:r>
      <w:r w:rsidRPr="00AC66B3">
        <w:rPr>
          <w:rFonts w:ascii="Times New Roman" w:hAnsi="Times New Roman" w:cs="Times New Roman" w:hint="cs"/>
          <w:sz w:val="28"/>
          <w:szCs w:val="28"/>
          <w:bdr w:val="nil"/>
        </w:rPr>
        <w:t xml:space="preserve">acción pública de inconstitucionalidad contra </w:t>
      </w:r>
      <w:r w:rsidRPr="00AC66B3">
        <w:rPr>
          <w:rFonts w:ascii="Times New Roman" w:hAnsi="Times New Roman" w:cs="Times New Roman"/>
          <w:sz w:val="28"/>
          <w:szCs w:val="28"/>
          <w:bdr w:val="nil"/>
        </w:rPr>
        <w:t xml:space="preserve">el </w:t>
      </w:r>
      <w:r w:rsidRPr="00AC66B3">
        <w:rPr>
          <w:rFonts w:ascii="Times New Roman" w:hAnsi="Times New Roman" w:cs="Times New Roman"/>
          <w:sz w:val="28"/>
          <w:szCs w:val="28"/>
        </w:rPr>
        <w:t>artículo 35 del Decreto Ley 1961 de 2023, «[p]or</w:t>
      </w:r>
      <w:r w:rsidRPr="00AC66B3">
        <w:rPr>
          <w:rFonts w:ascii="Times New Roman" w:hAnsi="Times New Roman" w:cs="Times New Roman"/>
          <w:sz w:val="28"/>
          <w:szCs w:val="28"/>
        </w:rPr>
        <w:t xml:space="preserve"> el cual se crea el Instituto Nacional de Vías Regionales, se determina su estructura, funciones y se dictan otras disposiciones». Lo anterior, por el desconocimiento del numeral 10 y del inciso final del artículo 150 de la Constitución. Esta demanda fue r</w:t>
      </w:r>
      <w:r w:rsidRPr="00AC66B3">
        <w:rPr>
          <w:rFonts w:ascii="Times New Roman" w:hAnsi="Times New Roman" w:cs="Times New Roman"/>
          <w:sz w:val="28"/>
          <w:szCs w:val="28"/>
        </w:rPr>
        <w:t>adicada con el número D-15.652.</w:t>
      </w:r>
    </w:p>
    <w:p w:rsidR="000A045E" w:rsidRPr="00AC66B3" w:rsidRDefault="00AC66B3" w:rsidP="000A045E">
      <w:pPr>
        <w:pStyle w:val="Prrafodelista"/>
        <w:tabs>
          <w:tab w:val="left" w:pos="567"/>
        </w:tabs>
        <w:ind w:left="0"/>
        <w:jc w:val="both"/>
        <w:rPr>
          <w:rFonts w:ascii="Times New Roman" w:hAnsi="Times New Roman" w:cs="Times New Roman"/>
          <w:sz w:val="28"/>
          <w:szCs w:val="28"/>
          <w:bdr w:val="nil"/>
        </w:rPr>
      </w:pPr>
    </w:p>
    <w:p w:rsidR="000A045E" w:rsidRPr="00AC66B3" w:rsidRDefault="00AC66B3" w:rsidP="000A045E">
      <w:pPr>
        <w:pStyle w:val="Prrafodelista"/>
        <w:numPr>
          <w:ilvl w:val="0"/>
          <w:numId w:val="2"/>
        </w:numPr>
        <w:tabs>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El día 13 del mismo mes y año, los ciudadanos Daniel Eduardo Londoño de Vivero y Aura Ximena Osorio Torres presentaron demanda de inconstitucionalidad contra el parágrafo 1 del artículo 35 del Decreto Ley 1961 de 2023, con </w:t>
      </w:r>
      <w:r w:rsidRPr="00AC66B3">
        <w:rPr>
          <w:rFonts w:ascii="Times New Roman" w:hAnsi="Times New Roman" w:cs="Times New Roman"/>
          <w:sz w:val="28"/>
          <w:szCs w:val="28"/>
        </w:rPr>
        <w:t xml:space="preserve">fundamento en los mismos cargos formulados en el expediente D-15.652. Esta demanda fue radicada con el número </w:t>
      </w:r>
      <w:bookmarkStart w:id="3" w:name="_Hlk162948109"/>
      <w:r w:rsidRPr="00AC66B3">
        <w:rPr>
          <w:rFonts w:ascii="Times New Roman" w:hAnsi="Times New Roman" w:cs="Times New Roman"/>
          <w:sz w:val="28"/>
          <w:szCs w:val="28"/>
        </w:rPr>
        <w:t>D-15.669</w:t>
      </w:r>
      <w:bookmarkEnd w:id="3"/>
      <w:r w:rsidRPr="00AC66B3">
        <w:rPr>
          <w:rFonts w:ascii="Times New Roman" w:hAnsi="Times New Roman" w:cs="Times New Roman"/>
          <w:sz w:val="28"/>
          <w:szCs w:val="28"/>
        </w:rPr>
        <w:t>.</w:t>
      </w:r>
    </w:p>
    <w:p w:rsidR="000A045E" w:rsidRPr="00AC66B3" w:rsidRDefault="00AC66B3" w:rsidP="000A045E">
      <w:pPr>
        <w:tabs>
          <w:tab w:val="left" w:pos="567"/>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18 de diciembre de 2023, el ciudadano Andrés Caro Borrero demandó la constitucionalidad de los artículos 1 (parcial), 9.5 (parcial),</w:t>
      </w:r>
      <w:r w:rsidRPr="00AC66B3">
        <w:rPr>
          <w:rFonts w:ascii="Times New Roman" w:hAnsi="Times New Roman" w:cs="Times New Roman"/>
          <w:sz w:val="28"/>
          <w:szCs w:val="28"/>
        </w:rPr>
        <w:t xml:space="preserve"> 24.6 (parcial), 24.7 y 35 (parágrafos 1 y 2) del Decreto Ley 1961 de 2023, por la vulneración de los artículos 25, 26, 136 (numeral 4), 150 (numeral 10 y último inciso), 189 (numeral 11), 209, 333 y 355 de la carta política. Esta demanda fue radicada con </w:t>
      </w:r>
      <w:r w:rsidRPr="00AC66B3">
        <w:rPr>
          <w:rFonts w:ascii="Times New Roman" w:hAnsi="Times New Roman" w:cs="Times New Roman"/>
          <w:sz w:val="28"/>
          <w:szCs w:val="28"/>
        </w:rPr>
        <w:t>el número D-15.678.</w:t>
      </w:r>
    </w:p>
    <w:p w:rsidR="000A045E" w:rsidRPr="00AC66B3" w:rsidRDefault="00AC66B3" w:rsidP="000A045E">
      <w:pPr>
        <w:pStyle w:val="Prrafodelista"/>
        <w:tabs>
          <w:tab w:val="left" w:pos="142"/>
          <w:tab w:val="left" w:pos="567"/>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24 de enero de 2024, el ciudadano Efraín Gómez Cardona</w:t>
      </w:r>
      <w:r w:rsidRPr="00AC66B3">
        <w:rPr>
          <w:rFonts w:ascii="Times New Roman" w:hAnsi="Times New Roman" w:cs="Times New Roman" w:hint="cs"/>
          <w:sz w:val="28"/>
          <w:szCs w:val="28"/>
          <w:bdr w:val="nil"/>
        </w:rPr>
        <w:t xml:space="preserve"> present</w:t>
      </w:r>
      <w:r w:rsidRPr="00AC66B3">
        <w:rPr>
          <w:rFonts w:ascii="Times New Roman" w:hAnsi="Times New Roman" w:cs="Times New Roman"/>
          <w:sz w:val="28"/>
          <w:szCs w:val="28"/>
          <w:bdr w:val="nil"/>
        </w:rPr>
        <w:t xml:space="preserve">ó </w:t>
      </w:r>
      <w:r w:rsidRPr="00AC66B3">
        <w:rPr>
          <w:rFonts w:ascii="Times New Roman" w:hAnsi="Times New Roman" w:cs="Times New Roman" w:hint="cs"/>
          <w:sz w:val="28"/>
          <w:szCs w:val="28"/>
          <w:bdr w:val="nil"/>
        </w:rPr>
        <w:t>acción pública de inconstitucionalidad contra</w:t>
      </w:r>
      <w:r w:rsidRPr="00AC66B3">
        <w:rPr>
          <w:rFonts w:ascii="Times New Roman" w:hAnsi="Times New Roman" w:cs="Times New Roman"/>
          <w:sz w:val="28"/>
          <w:szCs w:val="28"/>
          <w:bdr w:val="nil"/>
        </w:rPr>
        <w:t xml:space="preserve"> el parágrafo 1 del artículo 35 del </w:t>
      </w:r>
      <w:r w:rsidRPr="00AC66B3">
        <w:rPr>
          <w:rFonts w:ascii="Times New Roman" w:hAnsi="Times New Roman" w:cs="Times New Roman"/>
          <w:sz w:val="28"/>
          <w:szCs w:val="28"/>
        </w:rPr>
        <w:t>Decreto Ley 1961 de 2023, por la transgresión de los artículos 1 y 209 de la Constituci</w:t>
      </w:r>
      <w:r w:rsidRPr="00AC66B3">
        <w:rPr>
          <w:rFonts w:ascii="Times New Roman" w:hAnsi="Times New Roman" w:cs="Times New Roman"/>
          <w:sz w:val="28"/>
          <w:szCs w:val="28"/>
        </w:rPr>
        <w:t>ón. Esta demanda fue radicada con el número D-15.712.</w:t>
      </w:r>
    </w:p>
    <w:p w:rsidR="000A045E" w:rsidRPr="00AC66B3" w:rsidRDefault="00AC66B3" w:rsidP="000A045E">
      <w:pPr>
        <w:pStyle w:val="Prrafodelista"/>
        <w:tabs>
          <w:tab w:val="left" w:pos="142"/>
          <w:tab w:val="left" w:pos="567"/>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Finalmente, en la última fecha indicada, el mismo ciudadano demandó la totalidad del Decreto Ley 1961 de 2023, por el desconocimiento de los artículos 1 y 287 superiores. Esta demanda fue radicada con </w:t>
      </w:r>
      <w:r w:rsidRPr="00AC66B3">
        <w:rPr>
          <w:rFonts w:ascii="Times New Roman" w:hAnsi="Times New Roman" w:cs="Times New Roman"/>
          <w:sz w:val="28"/>
          <w:szCs w:val="28"/>
        </w:rPr>
        <w:t>el número D-15.713.</w:t>
      </w:r>
    </w:p>
    <w:p w:rsidR="000A045E" w:rsidRPr="00AC66B3" w:rsidRDefault="00AC66B3" w:rsidP="000A045E">
      <w:pPr>
        <w:pStyle w:val="Prrafodelista"/>
        <w:tabs>
          <w:tab w:val="left" w:pos="142"/>
          <w:tab w:val="left" w:pos="567"/>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sesión del 1 de febrero de 2024, la Sala Plena dispuso acumular los cinco expedientes para que fueran tramitados de forma conjunta. El día 5 siguiente, la Secretaría General, previo sorteo realizado por la Sala Plena, remitió los ex</w:t>
      </w:r>
      <w:r w:rsidRPr="00AC66B3">
        <w:rPr>
          <w:rFonts w:ascii="Times New Roman" w:hAnsi="Times New Roman" w:cs="Times New Roman"/>
          <w:sz w:val="28"/>
          <w:szCs w:val="28"/>
        </w:rPr>
        <w:t>pedientes al despacho de la magistrada Cristina Pardo Schlesinger para impartir el trámite correspondiente.</w:t>
      </w:r>
    </w:p>
    <w:p w:rsidR="000A045E" w:rsidRPr="00AC66B3" w:rsidRDefault="00AC66B3" w:rsidP="000A045E">
      <w:pPr>
        <w:pStyle w:val="Prrafodelista"/>
        <w:tabs>
          <w:tab w:val="left" w:pos="142"/>
          <w:tab w:val="left" w:pos="567"/>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Mediante Auto del 19 de febrero de 2024, la magistrada sustanciadora admitió </w:t>
      </w:r>
      <w:r w:rsidRPr="00AC66B3">
        <w:rPr>
          <w:rFonts w:ascii="Times New Roman" w:hAnsi="Times New Roman" w:cs="Times New Roman"/>
          <w:bCs/>
          <w:sz w:val="28"/>
          <w:szCs w:val="28"/>
        </w:rPr>
        <w:t xml:space="preserve">la demanda de inconstitucionalidad </w:t>
      </w:r>
      <w:r w:rsidRPr="00AC66B3">
        <w:rPr>
          <w:rFonts w:ascii="Times New Roman" w:hAnsi="Times New Roman" w:cs="Times New Roman"/>
          <w:sz w:val="28"/>
          <w:szCs w:val="28"/>
        </w:rPr>
        <w:t>D-15.669</w:t>
      </w:r>
      <w:r w:rsidRPr="00AC66B3">
        <w:rPr>
          <w:rFonts w:ascii="Times New Roman" w:hAnsi="Times New Roman" w:cs="Times New Roman"/>
          <w:bCs/>
          <w:sz w:val="28"/>
          <w:szCs w:val="28"/>
        </w:rPr>
        <w:t xml:space="preserve">, </w:t>
      </w:r>
      <w:r w:rsidRPr="00AC66B3">
        <w:rPr>
          <w:rFonts w:ascii="Times New Roman" w:hAnsi="Times New Roman" w:cs="Times New Roman"/>
          <w:sz w:val="28"/>
          <w:szCs w:val="28"/>
        </w:rPr>
        <w:t xml:space="preserve">únicamente </w:t>
      </w:r>
      <w:r w:rsidRPr="00AC66B3">
        <w:rPr>
          <w:rFonts w:ascii="Times New Roman" w:hAnsi="Times New Roman" w:cs="Times New Roman"/>
          <w:bCs/>
          <w:sz w:val="28"/>
          <w:szCs w:val="28"/>
        </w:rPr>
        <w:t xml:space="preserve">por </w:t>
      </w:r>
      <w:r w:rsidRPr="00AC66B3">
        <w:rPr>
          <w:rFonts w:ascii="Times New Roman" w:hAnsi="Times New Roman" w:cs="Times New Roman"/>
          <w:sz w:val="28"/>
          <w:szCs w:val="28"/>
        </w:rPr>
        <w:t>el presunt</w:t>
      </w:r>
      <w:r w:rsidRPr="00AC66B3">
        <w:rPr>
          <w:rFonts w:ascii="Times New Roman" w:hAnsi="Times New Roman" w:cs="Times New Roman"/>
          <w:sz w:val="28"/>
          <w:szCs w:val="28"/>
        </w:rPr>
        <w:t>o desconocimiento del numeral 10 del artículo 150 de la Constitución. Las demandas restantes fueron inadmitidas porque, en unos casos, los demandantes no acreditaron la condición de ciudadanos</w:t>
      </w:r>
      <w:r w:rsidRPr="00AC66B3">
        <w:rPr>
          <w:rStyle w:val="Refdenotaalpie"/>
          <w:rFonts w:ascii="Times New Roman" w:hAnsi="Times New Roman" w:cs="Times New Roman"/>
          <w:sz w:val="28"/>
          <w:szCs w:val="28"/>
        </w:rPr>
        <w:footnoteReference w:id="1"/>
      </w:r>
      <w:r w:rsidRPr="00AC66B3">
        <w:rPr>
          <w:rFonts w:ascii="Times New Roman" w:hAnsi="Times New Roman" w:cs="Times New Roman"/>
          <w:sz w:val="28"/>
          <w:szCs w:val="28"/>
        </w:rPr>
        <w:t xml:space="preserve"> y, en otros, los cargos no reunían los requisitos jurisprudenc</w:t>
      </w:r>
      <w:r w:rsidRPr="00AC66B3">
        <w:rPr>
          <w:rFonts w:ascii="Times New Roman" w:hAnsi="Times New Roman" w:cs="Times New Roman"/>
          <w:sz w:val="28"/>
          <w:szCs w:val="28"/>
        </w:rPr>
        <w:t>iales para el efecto</w:t>
      </w:r>
      <w:r w:rsidRPr="00AC66B3">
        <w:rPr>
          <w:rStyle w:val="Refdenotaalpie"/>
          <w:rFonts w:ascii="Times New Roman" w:hAnsi="Times New Roman" w:cs="Times New Roman"/>
          <w:sz w:val="28"/>
          <w:szCs w:val="28"/>
        </w:rPr>
        <w:footnoteReference w:id="2"/>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567"/>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consecuencia, ordenó comunicar la iniciación del proceso al presidente de la República, al Congreso de la República, a los ministerios de Hacienda y Crédito Público y Transporte y al Departamento Nacional de Planeación. Igualmen</w:t>
      </w:r>
      <w:r w:rsidRPr="00AC66B3">
        <w:rPr>
          <w:rFonts w:ascii="Times New Roman" w:hAnsi="Times New Roman" w:cs="Times New Roman"/>
          <w:sz w:val="28"/>
          <w:szCs w:val="28"/>
        </w:rPr>
        <w:t>te, ordenó la fijación en lista del proceso e invitó a intervenir en él a diferentes instituciones públicas y privadas</w:t>
      </w:r>
      <w:r w:rsidRPr="00AC66B3">
        <w:rPr>
          <w:rStyle w:val="Refdenotaalpie"/>
          <w:rFonts w:ascii="Times New Roman" w:hAnsi="Times New Roman" w:cs="Times New Roman"/>
          <w:sz w:val="28"/>
          <w:szCs w:val="28"/>
        </w:rPr>
        <w:footnoteReference w:id="3"/>
      </w:r>
      <w:r w:rsidRPr="00AC66B3">
        <w:rPr>
          <w:rFonts w:ascii="Times New Roman" w:hAnsi="Times New Roman" w:cs="Times New Roman"/>
          <w:sz w:val="28"/>
          <w:szCs w:val="28"/>
        </w:rPr>
        <w:t>. Por último, dispuso correr traslado a la procuradora general de la nación para que rindiera concepto sobre el asunto.</w:t>
      </w:r>
    </w:p>
    <w:p w:rsidR="000A045E" w:rsidRPr="00AC66B3" w:rsidRDefault="00AC66B3" w:rsidP="000A045E">
      <w:pPr>
        <w:pStyle w:val="Prrafodelista"/>
        <w:numPr>
          <w:ilvl w:val="0"/>
          <w:numId w:val="2"/>
        </w:numPr>
        <w:tabs>
          <w:tab w:val="left" w:pos="142"/>
          <w:tab w:val="left" w:pos="567"/>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razón de</w:t>
      </w:r>
      <w:r w:rsidRPr="00AC66B3">
        <w:rPr>
          <w:rFonts w:ascii="Times New Roman" w:hAnsi="Times New Roman" w:cs="Times New Roman"/>
          <w:sz w:val="28"/>
          <w:szCs w:val="28"/>
        </w:rPr>
        <w:t xml:space="preserve"> los escritos de corrección presentados y de los cargos frente a los cuales se manifestó desistimiento</w:t>
      </w:r>
      <w:r w:rsidRPr="00AC66B3">
        <w:rPr>
          <w:rStyle w:val="Refdenotaalpie"/>
          <w:rFonts w:ascii="Times New Roman" w:hAnsi="Times New Roman" w:cs="Times New Roman"/>
          <w:sz w:val="28"/>
          <w:szCs w:val="28"/>
        </w:rPr>
        <w:footnoteReference w:id="4"/>
      </w:r>
      <w:r w:rsidRPr="00AC66B3">
        <w:rPr>
          <w:rFonts w:ascii="Times New Roman" w:hAnsi="Times New Roman" w:cs="Times New Roman"/>
          <w:sz w:val="28"/>
          <w:szCs w:val="28"/>
        </w:rPr>
        <w:t xml:space="preserve">, el 11 de marzo de 2024, la magistrada sustanciadora admitió las demandas D-15.652, solamente </w:t>
      </w:r>
      <w:r w:rsidRPr="00AC66B3">
        <w:rPr>
          <w:rFonts w:ascii="Times New Roman" w:hAnsi="Times New Roman" w:cs="Times New Roman"/>
          <w:bCs/>
          <w:sz w:val="28"/>
          <w:szCs w:val="28"/>
        </w:rPr>
        <w:t xml:space="preserve">por </w:t>
      </w:r>
      <w:r w:rsidRPr="00AC66B3">
        <w:rPr>
          <w:rFonts w:ascii="Times New Roman" w:hAnsi="Times New Roman" w:cs="Times New Roman"/>
          <w:sz w:val="28"/>
          <w:szCs w:val="28"/>
        </w:rPr>
        <w:t xml:space="preserve">la supuesta violación del numeral 10 del artículo 150 </w:t>
      </w:r>
      <w:r w:rsidRPr="00AC66B3">
        <w:rPr>
          <w:rFonts w:ascii="Times New Roman" w:hAnsi="Times New Roman" w:cs="Times New Roman"/>
          <w:sz w:val="28"/>
          <w:szCs w:val="28"/>
        </w:rPr>
        <w:t xml:space="preserve">de la Constitución; y D-15.678, respecto de </w:t>
      </w:r>
      <w:r w:rsidRPr="00AC66B3">
        <w:rPr>
          <w:rFonts w:ascii="Times New Roman" w:hAnsi="Times New Roman" w:cs="Times New Roman"/>
          <w:bCs/>
          <w:sz w:val="28"/>
          <w:szCs w:val="28"/>
        </w:rPr>
        <w:t>los artículos 1 (parcial), 9.5 (parcial) y 35 (parágrafo 1) del Decreto Ley 1961 de 2023, por la transgresión del mismo artículo superior. Las demás demandadas acumuladas fueron rechazadas porque lo accionantes n</w:t>
      </w:r>
      <w:r w:rsidRPr="00AC66B3">
        <w:rPr>
          <w:rFonts w:ascii="Times New Roman" w:hAnsi="Times New Roman" w:cs="Times New Roman"/>
          <w:bCs/>
          <w:sz w:val="28"/>
          <w:szCs w:val="28"/>
        </w:rPr>
        <w:t xml:space="preserve">o subsanaron los errores identificados en el Auto del 19 de febrero de 2024. En la misma oportunidad, </w:t>
      </w:r>
      <w:r w:rsidRPr="00AC66B3">
        <w:rPr>
          <w:rFonts w:ascii="Times New Roman" w:hAnsi="Times New Roman" w:cs="Times New Roman"/>
          <w:sz w:val="28"/>
          <w:szCs w:val="28"/>
        </w:rPr>
        <w:t xml:space="preserve">la magistrada sustanciadora </w:t>
      </w:r>
      <w:r w:rsidRPr="00AC66B3">
        <w:rPr>
          <w:rFonts w:ascii="Times New Roman" w:hAnsi="Times New Roman" w:cs="Times New Roman"/>
          <w:bCs/>
          <w:sz w:val="28"/>
          <w:szCs w:val="28"/>
        </w:rPr>
        <w:t>ordenó la práctica de pruebas.</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Los accionantes no interpusieron recurso de súplica contra esta decisión.</w:t>
      </w:r>
    </w:p>
    <w:bookmarkEnd w:id="2"/>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8 de abril de 20</w:t>
      </w:r>
      <w:r w:rsidRPr="00AC66B3">
        <w:rPr>
          <w:rFonts w:ascii="Times New Roman" w:hAnsi="Times New Roman" w:cs="Times New Roman"/>
          <w:sz w:val="28"/>
          <w:szCs w:val="28"/>
        </w:rPr>
        <w:t>24, una vez allegadas y valoradas todas las evidencias, la magistrada sustanciadora ordenó continuar con el proceso.</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Mediante Auto 703 del 10 de abril de 2024, la Sala Plena </w:t>
      </w:r>
      <w:r w:rsidRPr="00AC66B3">
        <w:rPr>
          <w:rFonts w:ascii="Times New Roman" w:hAnsi="Times New Roman" w:cs="Times New Roman"/>
          <w:bCs/>
          <w:sz w:val="28"/>
          <w:szCs w:val="28"/>
        </w:rPr>
        <w:t>rechazó</w:t>
      </w:r>
      <w:r w:rsidRPr="00AC66B3">
        <w:rPr>
          <w:rFonts w:ascii="Times New Roman" w:hAnsi="Times New Roman" w:cs="Times New Roman"/>
          <w:b/>
          <w:sz w:val="28"/>
          <w:szCs w:val="28"/>
        </w:rPr>
        <w:t xml:space="preserve"> </w:t>
      </w:r>
      <w:r w:rsidRPr="00AC66B3">
        <w:rPr>
          <w:rFonts w:ascii="Times New Roman" w:hAnsi="Times New Roman" w:cs="Times New Roman"/>
          <w:bCs/>
          <w:sz w:val="28"/>
          <w:szCs w:val="28"/>
        </w:rPr>
        <w:t>la solicitud de trámite preferente presentada por los ciudadanos</w:t>
      </w:r>
      <w:r w:rsidRPr="00AC66B3">
        <w:rPr>
          <w:rFonts w:ascii="Times New Roman" w:hAnsi="Times New Roman" w:cs="Times New Roman"/>
          <w:b/>
          <w:sz w:val="28"/>
          <w:szCs w:val="28"/>
        </w:rPr>
        <w:t xml:space="preserve"> </w:t>
      </w:r>
      <w:r w:rsidRPr="00AC66B3">
        <w:rPr>
          <w:rFonts w:ascii="Times New Roman" w:hAnsi="Times New Roman" w:cs="Times New Roman"/>
          <w:bCs/>
          <w:sz w:val="28"/>
          <w:szCs w:val="28"/>
          <w:bdr w:val="nil"/>
        </w:rPr>
        <w:t>Daniel E</w:t>
      </w:r>
      <w:r w:rsidRPr="00AC66B3">
        <w:rPr>
          <w:rFonts w:ascii="Times New Roman" w:hAnsi="Times New Roman" w:cs="Times New Roman"/>
          <w:bCs/>
          <w:sz w:val="28"/>
          <w:szCs w:val="28"/>
          <w:bdr w:val="nil"/>
        </w:rPr>
        <w:t xml:space="preserve">duardo Londoño de Vivero y Aura Ximena Osorio Torres en el expediente </w:t>
      </w:r>
      <w:r w:rsidRPr="00AC66B3">
        <w:rPr>
          <w:rFonts w:ascii="Times New Roman" w:hAnsi="Times New Roman" w:cs="Times New Roman"/>
          <w:bCs/>
          <w:sz w:val="28"/>
          <w:szCs w:val="28"/>
        </w:rPr>
        <w:t>D-15.669.</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Cumplidos los trámites constitucionales y legales pertinentes, la Sala Plena de la Corte Constitucional procede a adelantar el control de constitucionalidad de los artículos 1</w:t>
      </w:r>
      <w:r w:rsidRPr="00AC66B3">
        <w:rPr>
          <w:rFonts w:ascii="Times New Roman" w:hAnsi="Times New Roman" w:cs="Times New Roman"/>
          <w:sz w:val="28"/>
          <w:szCs w:val="28"/>
        </w:rPr>
        <w:t xml:space="preserve"> (parcial), 9.5 (parcial) y 35 (parágrafo 1) del Decreto Ley 1961 de 2023, por la presunta vulneración del numeral 10 del artículo 150 de la Constitución.</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tabs>
          <w:tab w:val="left" w:pos="284"/>
          <w:tab w:val="left" w:pos="5529"/>
        </w:tabs>
        <w:autoSpaceDE w:val="0"/>
        <w:autoSpaceDN w:val="0"/>
        <w:contextualSpacing/>
        <w:jc w:val="both"/>
        <w:rPr>
          <w:rFonts w:ascii="Times New Roman" w:hAnsi="Times New Roman" w:cs="Times New Roman"/>
          <w:b/>
          <w:bCs/>
          <w:sz w:val="28"/>
          <w:szCs w:val="28"/>
        </w:rPr>
      </w:pPr>
      <w:r w:rsidRPr="00AC66B3">
        <w:rPr>
          <w:rFonts w:ascii="Times New Roman" w:hAnsi="Times New Roman" w:cs="Times New Roman"/>
          <w:b/>
          <w:bCs/>
          <w:sz w:val="28"/>
          <w:szCs w:val="28"/>
        </w:rPr>
        <w:t>II. NORMAS DEMANDADAS</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Tal y como fue publicado en el Diario Oficial n.°</w:t>
      </w:r>
      <w:r w:rsidRPr="00AC66B3">
        <w:rPr>
          <w:rFonts w:ascii="Times New Roman" w:hAnsi="Times New Roman" w:cs="Times New Roman"/>
          <w:sz w:val="28"/>
          <w:szCs w:val="28"/>
        </w:rPr>
        <w:t xml:space="preserve"> 52.580 del 15 de noviembre de 2023, e</w:t>
      </w:r>
      <w:r w:rsidRPr="00AC66B3">
        <w:rPr>
          <w:rFonts w:ascii="Times New Roman" w:hAnsi="Times New Roman" w:cs="Times New Roman"/>
          <w:sz w:val="28"/>
          <w:szCs w:val="28"/>
          <w:lang w:val="uz-Cyrl-UZ"/>
        </w:rPr>
        <w:t>l texto de la norma demandada</w:t>
      </w:r>
      <w:r w:rsidRPr="00AC66B3">
        <w:rPr>
          <w:rFonts w:ascii="Times New Roman" w:hAnsi="Times New Roman" w:cs="Times New Roman"/>
          <w:sz w:val="28"/>
          <w:szCs w:val="28"/>
        </w:rPr>
        <w:t xml:space="preserve"> es el siguiente (se subrayan los apartes acusados)</w:t>
      </w:r>
      <w:r w:rsidRPr="00AC66B3">
        <w:rPr>
          <w:rFonts w:ascii="Times New Roman" w:hAnsi="Times New Roman" w:cs="Times New Roman"/>
          <w:sz w:val="28"/>
          <w:vertAlign w:val="superscript"/>
          <w:lang w:val="uz-Cyrl-UZ"/>
        </w:rPr>
        <w:footnoteReference w:id="5"/>
      </w:r>
      <w:r w:rsidRPr="00AC66B3">
        <w:rPr>
          <w:rFonts w:ascii="Times New Roman" w:hAnsi="Times New Roman" w:cs="Times New Roman"/>
          <w:sz w:val="28"/>
          <w:szCs w:val="28"/>
        </w:rPr>
        <w:t>:</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r w:rsidRPr="00AC66B3">
        <w:rPr>
          <w:rFonts w:ascii="Times New Roman" w:hAnsi="Times New Roman" w:cs="Times New Roman"/>
          <w:sz w:val="28"/>
          <w:szCs w:val="26"/>
        </w:rPr>
        <w:t>DECRETO LEY 1961 DE 2023</w:t>
      </w: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r w:rsidRPr="00AC66B3">
        <w:rPr>
          <w:rFonts w:ascii="Times New Roman" w:hAnsi="Times New Roman" w:cs="Times New Roman"/>
          <w:sz w:val="28"/>
          <w:szCs w:val="26"/>
        </w:rPr>
        <w:t>MINISTERIO DE TRANSPORTE</w:t>
      </w: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r w:rsidRPr="00AC66B3">
        <w:rPr>
          <w:rFonts w:ascii="Times New Roman" w:hAnsi="Times New Roman" w:cs="Times New Roman"/>
          <w:sz w:val="28"/>
          <w:szCs w:val="26"/>
        </w:rPr>
        <w:t xml:space="preserve">Por el cual se crea el Instituto Nacional de Vías Regionales, se determina su </w:t>
      </w:r>
      <w:r w:rsidRPr="00AC66B3">
        <w:rPr>
          <w:rFonts w:ascii="Times New Roman" w:hAnsi="Times New Roman" w:cs="Times New Roman"/>
          <w:sz w:val="28"/>
          <w:szCs w:val="26"/>
        </w:rPr>
        <w:t>estructura, funciones y se dictan otras disposiciones.</w:t>
      </w: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r w:rsidRPr="00AC66B3">
        <w:rPr>
          <w:rFonts w:ascii="Times New Roman" w:hAnsi="Times New Roman" w:cs="Times New Roman"/>
          <w:sz w:val="28"/>
          <w:szCs w:val="26"/>
        </w:rPr>
        <w:t>EL PRESIDENTE DE LA REPÚBLICA DE COLOMBIA,</w:t>
      </w: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r w:rsidRPr="00AC66B3">
        <w:rPr>
          <w:rFonts w:ascii="Times New Roman" w:hAnsi="Times New Roman" w:cs="Times New Roman"/>
          <w:sz w:val="28"/>
          <w:szCs w:val="26"/>
        </w:rPr>
        <w:t>en uso de las facultades extraordinarias conferidas en el artículo 368 de la Ley 2294 de 2023, y</w:t>
      </w: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r w:rsidRPr="00AC66B3">
        <w:rPr>
          <w:rFonts w:ascii="Times New Roman" w:hAnsi="Times New Roman" w:cs="Times New Roman"/>
          <w:sz w:val="28"/>
          <w:szCs w:val="26"/>
        </w:rPr>
        <w:t>CONSIDERANDO</w:t>
      </w:r>
    </w:p>
    <w:p w:rsidR="000A045E" w:rsidRPr="00AC66B3" w:rsidRDefault="00AC66B3" w:rsidP="000A045E">
      <w:pPr>
        <w:pStyle w:val="Prrafodelista"/>
        <w:tabs>
          <w:tab w:val="left" w:pos="142"/>
          <w:tab w:val="left" w:pos="284"/>
        </w:tabs>
        <w:jc w:val="center"/>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Artículo 1. Creación. Créase el Instituto</w:t>
      </w:r>
      <w:r w:rsidRPr="00AC66B3">
        <w:rPr>
          <w:rFonts w:ascii="Times New Roman" w:hAnsi="Times New Roman" w:cs="Times New Roman"/>
          <w:sz w:val="28"/>
          <w:szCs w:val="26"/>
        </w:rPr>
        <w:t xml:space="preserve"> Nacional de Vías Regionales (Invir), como un Establecimiento Público del sector descentralizado de la Rama Ejecutiva del Orden Nacional, con personería jurídica, patrimonio propio y autonomía administrativa, técnica y financiera, adscrita al Ministerio de</w:t>
      </w:r>
      <w:r w:rsidRPr="00AC66B3">
        <w:rPr>
          <w:rFonts w:ascii="Times New Roman" w:hAnsi="Times New Roman" w:cs="Times New Roman"/>
          <w:sz w:val="28"/>
          <w:szCs w:val="26"/>
        </w:rPr>
        <w:t xml:space="preserve"> Transporte, el cual tendrá un régimen contractual sometido al Estatuto General de Contratación </w:t>
      </w:r>
      <w:r w:rsidRPr="00AC66B3">
        <w:rPr>
          <w:rFonts w:ascii="Times New Roman" w:hAnsi="Times New Roman" w:cs="Times New Roman"/>
          <w:sz w:val="28"/>
          <w:szCs w:val="26"/>
          <w:u w:val="single"/>
        </w:rPr>
        <w:t>salvo las excepciones que se establecen en el artículo 35 del presente decreto</w:t>
      </w:r>
      <w:r w:rsidRPr="00AC66B3">
        <w:rPr>
          <w:rFonts w:ascii="Times New Roman" w:hAnsi="Times New Roman" w:cs="Times New Roman"/>
          <w:sz w:val="28"/>
          <w:szCs w:val="26"/>
        </w:rPr>
        <w:t>.</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Artículo 9. Funciones del Consejo Directivo. Además de las que establece e</w:t>
      </w:r>
      <w:r w:rsidRPr="00AC66B3">
        <w:rPr>
          <w:rFonts w:ascii="Times New Roman" w:hAnsi="Times New Roman" w:cs="Times New Roman"/>
          <w:sz w:val="28"/>
          <w:szCs w:val="26"/>
        </w:rPr>
        <w:t>l artículo 76 de la Ley 489 de 1998, serán funciones del Consejo Directivo del Instituto Nacional de Vías Regionales (Invir), las siguientes:</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9.5. Aprobar, adoptar y modificar el manual de contratación de la Entidad, en el marco del Estatuto General d</w:t>
      </w:r>
      <w:r w:rsidRPr="00AC66B3">
        <w:rPr>
          <w:rFonts w:ascii="Times New Roman" w:hAnsi="Times New Roman" w:cs="Times New Roman"/>
          <w:sz w:val="28"/>
          <w:szCs w:val="26"/>
        </w:rPr>
        <w:t xml:space="preserve">e Contratación de la Administración Pública </w:t>
      </w:r>
      <w:r w:rsidRPr="00AC66B3">
        <w:rPr>
          <w:rFonts w:ascii="Times New Roman" w:hAnsi="Times New Roman" w:cs="Times New Roman"/>
          <w:sz w:val="28"/>
          <w:szCs w:val="26"/>
          <w:u w:val="single"/>
        </w:rPr>
        <w:t>y las excepciones contempladas en el presente decreto</w:t>
      </w:r>
      <w:r w:rsidRPr="00AC66B3">
        <w:rPr>
          <w:rFonts w:ascii="Times New Roman" w:hAnsi="Times New Roman" w:cs="Times New Roman"/>
          <w:sz w:val="28"/>
          <w:szCs w:val="26"/>
        </w:rPr>
        <w:t>, respetando los principios orientadores de la función pública, así como las normas que las modifiquen o adicionen.</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r w:rsidRPr="00AC66B3">
        <w:rPr>
          <w:rFonts w:ascii="Times New Roman" w:hAnsi="Times New Roman" w:cs="Times New Roman"/>
          <w:sz w:val="28"/>
          <w:szCs w:val="26"/>
        </w:rPr>
        <w:t>[…]</w:t>
      </w:r>
    </w:p>
    <w:p w:rsidR="000A045E" w:rsidRPr="00AC66B3" w:rsidRDefault="00AC66B3" w:rsidP="000A045E">
      <w:pPr>
        <w:pStyle w:val="Prrafodelista"/>
        <w:tabs>
          <w:tab w:val="left" w:pos="142"/>
          <w:tab w:val="left" w:pos="284"/>
        </w:tabs>
        <w:jc w:val="both"/>
        <w:rPr>
          <w:rFonts w:ascii="Times New Roman" w:hAnsi="Times New Roman" w:cs="Times New Roman"/>
          <w:sz w:val="28"/>
          <w:szCs w:val="26"/>
        </w:rPr>
      </w:pPr>
    </w:p>
    <w:p w:rsidR="000A045E" w:rsidRPr="00AC66B3" w:rsidRDefault="00AC66B3" w:rsidP="000A045E">
      <w:pPr>
        <w:pStyle w:val="centrado"/>
        <w:spacing w:before="0" w:beforeAutospacing="0" w:after="0" w:afterAutospacing="0"/>
        <w:ind w:left="720"/>
        <w:jc w:val="both"/>
        <w:rPr>
          <w:rFonts w:ascii="Times New Roman" w:hAnsi="Times New Roman" w:cs="Times New Roman"/>
          <w:noProof/>
          <w:sz w:val="28"/>
          <w:szCs w:val="26"/>
        </w:rPr>
      </w:pPr>
      <w:bookmarkStart w:id="4" w:name="35"/>
      <w:bookmarkStart w:id="5" w:name="_Hlk158357653"/>
      <w:r w:rsidRPr="00AC66B3">
        <w:rPr>
          <w:rFonts w:ascii="Times New Roman" w:hAnsi="Times New Roman" w:cs="Times New Roman"/>
          <w:noProof/>
          <w:sz w:val="28"/>
          <w:szCs w:val="26"/>
        </w:rPr>
        <w:t>Artículo 35. Régimen de los contratos</w:t>
      </w:r>
      <w:bookmarkEnd w:id="4"/>
      <w:r w:rsidRPr="00AC66B3">
        <w:rPr>
          <w:rFonts w:ascii="Times New Roman" w:hAnsi="Times New Roman" w:cs="Times New Roman"/>
          <w:noProof/>
          <w:sz w:val="28"/>
          <w:szCs w:val="26"/>
        </w:rPr>
        <w:t>. El régimen contractual aplicable a los contratos misionales del Instituto se desarrollará bajo lo definido en el Estatuto General de Contratación de la Administración Pública o la norma que lo sustituya, modifique o adicione, y de conformidad con el manu</w:t>
      </w:r>
      <w:r w:rsidRPr="00AC66B3">
        <w:rPr>
          <w:rFonts w:ascii="Times New Roman" w:hAnsi="Times New Roman" w:cs="Times New Roman"/>
          <w:noProof/>
          <w:sz w:val="28"/>
          <w:szCs w:val="26"/>
        </w:rPr>
        <w:t>al de contratación que el Consejo Directivo adopte para tal fin.</w:t>
      </w:r>
    </w:p>
    <w:p w:rsidR="000A045E" w:rsidRPr="00AC66B3" w:rsidRDefault="00AC66B3" w:rsidP="000A045E">
      <w:pPr>
        <w:pStyle w:val="centrado"/>
        <w:spacing w:before="0" w:beforeAutospacing="0" w:after="0" w:afterAutospacing="0"/>
        <w:ind w:left="720"/>
        <w:jc w:val="both"/>
        <w:rPr>
          <w:rFonts w:ascii="Times New Roman" w:hAnsi="Times New Roman" w:cs="Times New Roman"/>
          <w:noProof/>
          <w:sz w:val="28"/>
          <w:szCs w:val="26"/>
        </w:rPr>
      </w:pPr>
    </w:p>
    <w:bookmarkEnd w:id="5"/>
    <w:p w:rsidR="000A045E" w:rsidRPr="00AC66B3" w:rsidRDefault="00AC66B3" w:rsidP="000A045E">
      <w:pPr>
        <w:pStyle w:val="centrado"/>
        <w:spacing w:before="0" w:beforeAutospacing="0" w:after="0" w:afterAutospacing="0"/>
        <w:ind w:left="720"/>
        <w:jc w:val="both"/>
        <w:rPr>
          <w:rFonts w:ascii="Times New Roman" w:hAnsi="Times New Roman" w:cs="Times New Roman"/>
          <w:noProof/>
          <w:sz w:val="28"/>
          <w:szCs w:val="26"/>
          <w:u w:val="single"/>
        </w:rPr>
      </w:pPr>
      <w:r w:rsidRPr="00AC66B3">
        <w:rPr>
          <w:rFonts w:ascii="Times New Roman" w:hAnsi="Times New Roman" w:cs="Times New Roman"/>
          <w:noProof/>
          <w:sz w:val="28"/>
          <w:szCs w:val="26"/>
          <w:u w:val="single"/>
        </w:rPr>
        <w:t>Parágrafo 1. Para la contratación con comunidades rurales, cabildos, organizaciones populares, unidades de economía popular, organismos de acción comunal, social o comunitaria u otras formas</w:t>
      </w:r>
      <w:r w:rsidRPr="00AC66B3">
        <w:rPr>
          <w:rFonts w:ascii="Times New Roman" w:hAnsi="Times New Roman" w:cs="Times New Roman"/>
          <w:noProof/>
          <w:sz w:val="28"/>
          <w:szCs w:val="26"/>
          <w:u w:val="single"/>
        </w:rPr>
        <w:t xml:space="preserve"> de organización social, grupos y/o comunidades étnicas, comunidades en todas sus diversidades, mujeres y víctimas, para el desarrollo de proyectos, e infraestructura vial, las cuales se someterán a </w:t>
      </w:r>
      <w:bookmarkStart w:id="6" w:name="_Hlk164945396"/>
      <w:r w:rsidRPr="00AC66B3">
        <w:rPr>
          <w:rFonts w:ascii="Times New Roman" w:hAnsi="Times New Roman" w:cs="Times New Roman"/>
          <w:noProof/>
          <w:sz w:val="28"/>
          <w:szCs w:val="26"/>
          <w:u w:val="single"/>
        </w:rPr>
        <w:t xml:space="preserve">la contratación directa, sin importar su cuantía, en los </w:t>
      </w:r>
      <w:r w:rsidRPr="00AC66B3">
        <w:rPr>
          <w:rFonts w:ascii="Times New Roman" w:hAnsi="Times New Roman" w:cs="Times New Roman"/>
          <w:noProof/>
          <w:sz w:val="28"/>
          <w:szCs w:val="26"/>
          <w:u w:val="single"/>
        </w:rPr>
        <w:t>términos y condiciones que determine el Manual de Contratación del Instituto.</w:t>
      </w:r>
    </w:p>
    <w:bookmarkEnd w:id="6"/>
    <w:p w:rsidR="000A045E" w:rsidRPr="00AC66B3" w:rsidRDefault="00AC66B3" w:rsidP="000A045E">
      <w:pPr>
        <w:pStyle w:val="centrado"/>
        <w:spacing w:before="0" w:beforeAutospacing="0" w:after="0" w:afterAutospacing="0"/>
        <w:ind w:left="720"/>
        <w:jc w:val="both"/>
        <w:rPr>
          <w:rFonts w:ascii="Times New Roman" w:hAnsi="Times New Roman" w:cs="Times New Roman"/>
          <w:noProof/>
          <w:sz w:val="28"/>
          <w:szCs w:val="26"/>
          <w:u w:val="single"/>
        </w:rPr>
      </w:pPr>
    </w:p>
    <w:p w:rsidR="000A045E" w:rsidRPr="00AC66B3" w:rsidRDefault="00AC66B3" w:rsidP="000A045E">
      <w:pPr>
        <w:pStyle w:val="centrado"/>
        <w:spacing w:before="0" w:beforeAutospacing="0" w:after="0" w:afterAutospacing="0"/>
        <w:ind w:left="720"/>
        <w:jc w:val="both"/>
        <w:rPr>
          <w:rFonts w:ascii="Times New Roman" w:hAnsi="Times New Roman" w:cs="Times New Roman"/>
          <w:noProof/>
          <w:sz w:val="28"/>
          <w:szCs w:val="26"/>
        </w:rPr>
      </w:pPr>
      <w:r w:rsidRPr="00AC66B3">
        <w:rPr>
          <w:rFonts w:ascii="Times New Roman" w:hAnsi="Times New Roman" w:cs="Times New Roman"/>
          <w:noProof/>
          <w:sz w:val="28"/>
          <w:szCs w:val="26"/>
        </w:rPr>
        <w:t xml:space="preserve">Parágrafo 2. En el Manual de Contratación se definirán todas las condiciones para la contratación del Instituto que permitan prestar o asegurar el cumplimiento del objeto y las </w:t>
      </w:r>
      <w:r w:rsidRPr="00AC66B3">
        <w:rPr>
          <w:rFonts w:ascii="Times New Roman" w:hAnsi="Times New Roman" w:cs="Times New Roman"/>
          <w:noProof/>
          <w:sz w:val="28"/>
          <w:szCs w:val="26"/>
        </w:rPr>
        <w:t>funciones de este, garantizando el cumplimiento de los principios constitucionales y legales citados en el presente artículo.</w:t>
      </w:r>
    </w:p>
    <w:p w:rsidR="000A045E" w:rsidRPr="00AC66B3" w:rsidRDefault="00AC66B3" w:rsidP="000A045E">
      <w:pPr>
        <w:pStyle w:val="centrado"/>
        <w:spacing w:before="0" w:beforeAutospacing="0" w:after="0" w:afterAutospacing="0"/>
        <w:jc w:val="both"/>
        <w:rPr>
          <w:rFonts w:ascii="Times New Roman" w:hAnsi="Times New Roman" w:cs="Times New Roman"/>
          <w:noProof/>
          <w:sz w:val="28"/>
          <w:szCs w:val="26"/>
        </w:rPr>
      </w:pP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r w:rsidRPr="00AC66B3">
        <w:rPr>
          <w:rFonts w:ascii="Times New Roman" w:hAnsi="Times New Roman" w:cs="Times New Roman"/>
          <w:b/>
          <w:bCs/>
          <w:sz w:val="28"/>
          <w:szCs w:val="28"/>
        </w:rPr>
        <w:t>III. DEMANDAS</w:t>
      </w: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1. Expediente D-15.652 </w:t>
      </w: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Cargo: el parágrafo 1 del artículo 35 del Decreto Ley 1961 de 2023 vulnera el numeral 10 </w:t>
      </w:r>
      <w:r w:rsidRPr="00AC66B3">
        <w:rPr>
          <w:rFonts w:ascii="Times New Roman" w:hAnsi="Times New Roman" w:cs="Times New Roman"/>
          <w:b/>
          <w:bCs/>
          <w:sz w:val="28"/>
          <w:szCs w:val="28"/>
        </w:rPr>
        <w:t xml:space="preserve">del artículo 150 de la Constitución </w:t>
      </w:r>
    </w:p>
    <w:p w:rsidR="000A045E" w:rsidRPr="00AC66B3" w:rsidRDefault="00AC66B3" w:rsidP="000A045E">
      <w:pPr>
        <w:jc w:val="both"/>
        <w:rPr>
          <w:rFonts w:ascii="Times New Roman" w:hAnsi="Times New Roman" w:cs="Times New Roman"/>
          <w:b/>
          <w:bCs/>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El numeral 10 del artículo 150 de la Constitución </w:t>
      </w:r>
      <w:bookmarkStart w:id="7" w:name="_Hlk168037670"/>
      <w:r w:rsidRPr="00AC66B3">
        <w:rPr>
          <w:rFonts w:ascii="Times New Roman" w:hAnsi="Times New Roman" w:cs="Times New Roman"/>
          <w:sz w:val="28"/>
          <w:szCs w:val="28"/>
        </w:rPr>
        <w:t xml:space="preserve">dispone que el Congreso de la República puede revestir al presidente de la República de precisas facultades extraordinarias para expedir normas con fuerza de ley. </w:t>
      </w:r>
      <w:bookmarkEnd w:id="7"/>
      <w:r w:rsidRPr="00AC66B3">
        <w:rPr>
          <w:rFonts w:ascii="Times New Roman" w:hAnsi="Times New Roman" w:cs="Times New Roman"/>
          <w:sz w:val="28"/>
          <w:szCs w:val="28"/>
        </w:rPr>
        <w:t>El De</w:t>
      </w:r>
      <w:r w:rsidRPr="00AC66B3">
        <w:rPr>
          <w:rFonts w:ascii="Times New Roman" w:hAnsi="Times New Roman" w:cs="Times New Roman"/>
          <w:sz w:val="28"/>
          <w:szCs w:val="28"/>
        </w:rPr>
        <w:t xml:space="preserve">creto Ley 1961 de 2023 fue expedido por el presidente de la República en ejercicio de las facultades extraordinarias a él conferidas en el artículo 368 de la Ley 2294 de 2023, por la cual se expidió el Plan Nacional de Desarrollo 2022 – 2026.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citado a</w:t>
      </w:r>
      <w:r w:rsidRPr="00AC66B3">
        <w:rPr>
          <w:rFonts w:ascii="Times New Roman" w:hAnsi="Times New Roman" w:cs="Times New Roman"/>
          <w:sz w:val="28"/>
          <w:szCs w:val="28"/>
        </w:rPr>
        <w:t>rtículo legal concedió facultades al presidente de la República para expedir una norma con fuerza de ley que cumpliera dos finalidades. Primera, «crear una entidad pública adscrita al Ministerio de Transporte, cuyo objetivo principal sea el fomento de la c</w:t>
      </w:r>
      <w:r w:rsidRPr="00AC66B3">
        <w:rPr>
          <w:rFonts w:ascii="Times New Roman" w:hAnsi="Times New Roman" w:cs="Times New Roman"/>
          <w:sz w:val="28"/>
          <w:szCs w:val="28"/>
        </w:rPr>
        <w:t>onstrucción, mejoramiento y conservación de caminos vecinales o de carácter regional, en el territorio nacional»</w:t>
      </w:r>
      <w:r w:rsidRPr="00AC66B3">
        <w:rPr>
          <w:rStyle w:val="Refdenotaalpie"/>
          <w:rFonts w:ascii="Times New Roman" w:hAnsi="Times New Roman" w:cs="Times New Roman"/>
          <w:sz w:val="28"/>
          <w:szCs w:val="28"/>
        </w:rPr>
        <w:footnoteReference w:id="6"/>
      </w:r>
      <w:r w:rsidRPr="00AC66B3">
        <w:rPr>
          <w:rFonts w:ascii="Times New Roman" w:hAnsi="Times New Roman" w:cs="Times New Roman"/>
          <w:sz w:val="28"/>
          <w:szCs w:val="28"/>
        </w:rPr>
        <w:t xml:space="preserve">. Y, segunda, «definir la naturaleza jurídica, el régimen jurídico aplicable, y la forma en que se recibirán los recursos que conformarán esta </w:t>
      </w:r>
      <w:r w:rsidRPr="00AC66B3">
        <w:rPr>
          <w:rFonts w:ascii="Times New Roman" w:hAnsi="Times New Roman" w:cs="Times New Roman"/>
          <w:sz w:val="28"/>
          <w:szCs w:val="28"/>
        </w:rPr>
        <w:t>entidad, incluyendo aquellos derivados de la asunción de las funciones ejecutadas por otras entidades»</w:t>
      </w:r>
      <w:r w:rsidRPr="00AC66B3">
        <w:rPr>
          <w:rStyle w:val="Refdenotaalpie"/>
          <w:rFonts w:ascii="Times New Roman" w:hAnsi="Times New Roman" w:cs="Times New Roman"/>
          <w:sz w:val="28"/>
          <w:szCs w:val="28"/>
        </w:rPr>
        <w:footnoteReference w:id="7"/>
      </w:r>
      <w:r w:rsidRPr="00AC66B3">
        <w:rPr>
          <w:rFonts w:ascii="Times New Roman" w:hAnsi="Times New Roman" w:cs="Times New Roman"/>
          <w:sz w:val="28"/>
          <w:szCs w:val="28"/>
        </w:rPr>
        <w:t>.</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En este sentido, el artículo 35 del Decreto Ley 1961 de 2023 constituye una extralimitación de las funciones otorgadas al presidente de la República. </w:t>
      </w:r>
      <w:r w:rsidRPr="00AC66B3">
        <w:rPr>
          <w:rFonts w:ascii="Times New Roman" w:hAnsi="Times New Roman" w:cs="Times New Roman"/>
          <w:sz w:val="28"/>
          <w:szCs w:val="28"/>
        </w:rPr>
        <w:t>Ese artículo establece que la nueva entidad, esto es, el Instituto Nacional de Vías Regionales (Invir) podrá celebrar contratos con organizaciones sociales, bajo la modalidad de contratación directa, sin importar su cuantía. No obstante, el artículo 368 de</w:t>
      </w:r>
      <w:r w:rsidRPr="00AC66B3">
        <w:rPr>
          <w:rFonts w:ascii="Times New Roman" w:hAnsi="Times New Roman" w:cs="Times New Roman"/>
          <w:sz w:val="28"/>
          <w:szCs w:val="28"/>
        </w:rPr>
        <w:t xml:space="preserve"> la Ley 2294 de 2023 «en ninguna parte confiere facultades al presidente de la República para modificar el régimen de contratación, ni siquiera para flexibilizarlo o exceptuarlo»</w:t>
      </w:r>
      <w:r w:rsidRPr="00AC66B3">
        <w:rPr>
          <w:rStyle w:val="Refdenotaalpie"/>
          <w:rFonts w:ascii="Times New Roman" w:hAnsi="Times New Roman" w:cs="Times New Roman"/>
          <w:sz w:val="28"/>
          <w:szCs w:val="28"/>
        </w:rPr>
        <w:footnoteReference w:id="8"/>
      </w:r>
      <w:r w:rsidRPr="00AC66B3">
        <w:rPr>
          <w:rFonts w:ascii="Times New Roman" w:hAnsi="Times New Roman" w:cs="Times New Roman"/>
          <w:sz w:val="28"/>
          <w:szCs w:val="28"/>
        </w:rPr>
        <w:t>, o crear un régimen de contratación especial para el Invir.</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tabs>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2. Expediente D</w:t>
      </w:r>
      <w:r w:rsidRPr="00AC66B3">
        <w:rPr>
          <w:rFonts w:ascii="Times New Roman" w:hAnsi="Times New Roman" w:cs="Times New Roman"/>
          <w:b/>
          <w:bCs/>
          <w:sz w:val="28"/>
          <w:szCs w:val="28"/>
        </w:rPr>
        <w:t>-15.669</w:t>
      </w:r>
    </w:p>
    <w:p w:rsidR="000A045E" w:rsidRPr="00AC66B3" w:rsidRDefault="00AC66B3" w:rsidP="000A045E">
      <w:pPr>
        <w:tabs>
          <w:tab w:val="left" w:pos="284"/>
        </w:tabs>
        <w:jc w:val="both"/>
        <w:rPr>
          <w:rFonts w:ascii="Times New Roman" w:hAnsi="Times New Roman" w:cs="Times New Roman"/>
          <w:b/>
          <w:bCs/>
          <w:sz w:val="28"/>
          <w:szCs w:val="28"/>
        </w:rPr>
      </w:pPr>
    </w:p>
    <w:p w:rsidR="000A045E" w:rsidRPr="00AC66B3" w:rsidRDefault="00AC66B3" w:rsidP="000A045E">
      <w:pPr>
        <w:tabs>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Cargo: el parágrafo 1 del artículo 35 del Decreto Ley 1961 de 2023 vulnera el numeral 10 del artículo 150 de la Constitución</w:t>
      </w:r>
    </w:p>
    <w:p w:rsidR="000A045E" w:rsidRPr="00AC66B3" w:rsidRDefault="00AC66B3" w:rsidP="000A045E">
      <w:pPr>
        <w:tabs>
          <w:tab w:val="left" w:pos="284"/>
        </w:tabs>
        <w:jc w:val="both"/>
        <w:rPr>
          <w:rFonts w:ascii="Times New Roman" w:hAnsi="Times New Roman" w:cs="Times New Roman"/>
          <w:b/>
          <w:bCs/>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parágrafo 1 del artículo 35 del Decreto Ley 1961 de 2023 establece que determinadas personas y organizaciones podrán suscribir contratos con el Invir bajo la modalidad de contratación directa, sin límite de cuantía. En consecuencia, mediante dicho parág</w:t>
      </w:r>
      <w:r w:rsidRPr="00AC66B3">
        <w:rPr>
          <w:rFonts w:ascii="Times New Roman" w:hAnsi="Times New Roman" w:cs="Times New Roman"/>
          <w:sz w:val="28"/>
          <w:szCs w:val="28"/>
        </w:rPr>
        <w:t xml:space="preserve">rafo, el presidente de la República desbordó la competencia a él atribuida en el artículo 368 de la Ley 2294 de 2023.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 anterior es así porque la norma habilitante «no contemplaba la posibilidad de que el presidente de la República adicionara una causal</w:t>
      </w:r>
      <w:r w:rsidRPr="00AC66B3">
        <w:rPr>
          <w:rFonts w:ascii="Times New Roman" w:hAnsi="Times New Roman" w:cs="Times New Roman"/>
          <w:sz w:val="28"/>
          <w:szCs w:val="28"/>
        </w:rPr>
        <w:t xml:space="preserve"> de contratación directa»</w:t>
      </w:r>
      <w:r w:rsidRPr="00AC66B3">
        <w:rPr>
          <w:rStyle w:val="Refdenotaalpie"/>
          <w:rFonts w:ascii="Times New Roman" w:hAnsi="Times New Roman" w:cs="Times New Roman"/>
          <w:sz w:val="28"/>
          <w:szCs w:val="28"/>
        </w:rPr>
        <w:footnoteReference w:id="9"/>
      </w:r>
      <w:r w:rsidRPr="00AC66B3">
        <w:rPr>
          <w:rFonts w:ascii="Times New Roman" w:hAnsi="Times New Roman" w:cs="Times New Roman"/>
          <w:sz w:val="28"/>
          <w:szCs w:val="28"/>
        </w:rPr>
        <w:t>. De conformidad con lo estatuido en el artículo 368 de la Ley 2294 de 2023, el presidente podía expedir una norma con fuerza de ley para regular, entre otros aspectos, el régimen jurídico aplicable al Invir. Tal régimen únicament</w:t>
      </w:r>
      <w:r w:rsidRPr="00AC66B3">
        <w:rPr>
          <w:rFonts w:ascii="Times New Roman" w:hAnsi="Times New Roman" w:cs="Times New Roman"/>
          <w:sz w:val="28"/>
          <w:szCs w:val="28"/>
        </w:rPr>
        <w:t>e «tiene que ver con las normas aplicables a los actos y contratos»</w:t>
      </w:r>
      <w:r w:rsidRPr="00AC66B3">
        <w:rPr>
          <w:rStyle w:val="Refdenotaalpie"/>
          <w:rFonts w:ascii="Times New Roman" w:hAnsi="Times New Roman" w:cs="Times New Roman"/>
          <w:sz w:val="28"/>
          <w:szCs w:val="28"/>
        </w:rPr>
        <w:footnoteReference w:id="10"/>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artículo 1 del Decreto Ley 1961 de 2023 señala que el Invir es un establecimiento público. Al respecto, el artículo 81 de la Ley 489 de 1998 preceptúa que los contratos que suscriba</w:t>
      </w:r>
      <w:r w:rsidRPr="00AC66B3">
        <w:rPr>
          <w:rFonts w:ascii="Times New Roman" w:hAnsi="Times New Roman" w:cs="Times New Roman"/>
          <w:sz w:val="28"/>
          <w:szCs w:val="28"/>
        </w:rPr>
        <w:t xml:space="preserve">n los establecimientos públicos se rigen por el Estatuto General de Contratación de la Administración Pública (en adelante, EGCAP). Por ende, los contratos que realice el Invir deben someterse a dicho estatuto.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Lo anterior significa que la facultad para </w:t>
      </w:r>
      <w:r w:rsidRPr="00AC66B3">
        <w:rPr>
          <w:rFonts w:ascii="Times New Roman" w:hAnsi="Times New Roman" w:cs="Times New Roman"/>
          <w:sz w:val="28"/>
          <w:szCs w:val="28"/>
        </w:rPr>
        <w:t>definir el régimen jurídico aplicable al Invir «no [era] una patente de corso para crear una causal adicional de contratación directa»</w:t>
      </w:r>
      <w:r w:rsidRPr="00AC66B3">
        <w:rPr>
          <w:rStyle w:val="Refdenotaalpie"/>
          <w:rFonts w:ascii="Times New Roman" w:hAnsi="Times New Roman" w:cs="Times New Roman"/>
          <w:sz w:val="28"/>
          <w:szCs w:val="28"/>
        </w:rPr>
        <w:footnoteReference w:id="11"/>
      </w:r>
      <w:r w:rsidRPr="00AC66B3">
        <w:rPr>
          <w:rFonts w:ascii="Times New Roman" w:hAnsi="Times New Roman" w:cs="Times New Roman"/>
          <w:sz w:val="28"/>
          <w:szCs w:val="28"/>
        </w:rPr>
        <w:t>. Esta nueva causal no guarda conexidad con esa facultad y no se encuentra expresamente referida en la norma habilitante.</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De este modo, el presidente de la República reguló materias para las cuales no se le concedieron facultades extraordinarias. Por esta misma razón, y al encontrar demostrada la extralimitación en el ejercicio de la competencia atribuida por el Legislador </w:t>
      </w:r>
      <w:r w:rsidRPr="00AC66B3">
        <w:rPr>
          <w:rFonts w:ascii="Times New Roman" w:hAnsi="Times New Roman" w:cs="Times New Roman"/>
          <w:sz w:val="28"/>
          <w:szCs w:val="28"/>
        </w:rPr>
        <w:t>y la falta de conexidad de la materia regulada con el objeto de la norma habilitante, la Corte ha declarado la inexequibilidad de normas expedidas por el presidente de la República en virtud de facultades extraordinarias</w:t>
      </w:r>
      <w:r w:rsidRPr="00AC66B3">
        <w:rPr>
          <w:rStyle w:val="Refdenotaalpie"/>
          <w:rFonts w:ascii="Times New Roman" w:hAnsi="Times New Roman" w:cs="Times New Roman"/>
          <w:sz w:val="28"/>
          <w:szCs w:val="28"/>
        </w:rPr>
        <w:footnoteReference w:id="12"/>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tabs>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3. Expediente D-15.678</w:t>
      </w:r>
    </w:p>
    <w:p w:rsidR="000A045E" w:rsidRPr="00AC66B3" w:rsidRDefault="00AC66B3" w:rsidP="000A045E">
      <w:pPr>
        <w:tabs>
          <w:tab w:val="left" w:pos="284"/>
        </w:tabs>
        <w:jc w:val="both"/>
        <w:rPr>
          <w:rFonts w:ascii="Times New Roman" w:hAnsi="Times New Roman" w:cs="Times New Roman"/>
          <w:b/>
          <w:bCs/>
          <w:sz w:val="28"/>
          <w:szCs w:val="28"/>
        </w:rPr>
      </w:pPr>
    </w:p>
    <w:p w:rsidR="000A045E" w:rsidRPr="00AC66B3" w:rsidRDefault="00AC66B3" w:rsidP="000A045E">
      <w:pPr>
        <w:tabs>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Cargo: </w:t>
      </w:r>
      <w:r w:rsidRPr="00AC66B3">
        <w:rPr>
          <w:rFonts w:ascii="Times New Roman" w:hAnsi="Times New Roman" w:cs="Times New Roman"/>
          <w:b/>
          <w:bCs/>
          <w:sz w:val="28"/>
          <w:szCs w:val="28"/>
        </w:rPr>
        <w:t>el parágrafo 1 del artículo 35 del Decreto Ley 1961 de 2023 vulnera el numeral 10 del artículo 150 de la Constitución</w:t>
      </w:r>
    </w:p>
    <w:p w:rsidR="000A045E" w:rsidRPr="00AC66B3" w:rsidRDefault="00AC66B3" w:rsidP="000A045E">
      <w:pPr>
        <w:tabs>
          <w:tab w:val="left" w:pos="284"/>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Decreto ley 1961 de 2023 fue expedido por el presidente de la República en ejercicio de las facultades extraordinarias a él conferidas</w:t>
      </w:r>
      <w:r w:rsidRPr="00AC66B3">
        <w:rPr>
          <w:rFonts w:ascii="Times New Roman" w:hAnsi="Times New Roman" w:cs="Times New Roman"/>
          <w:sz w:val="28"/>
          <w:szCs w:val="28"/>
        </w:rPr>
        <w:t xml:space="preserve"> en el artículo 368 de la Ley 2294 de 2023. El artículo habilitante no le otorga al presidente la potestad para modificar el régimen de contratación estatal. Sin embargo, los artículos 1, 9.5 y 35 (parágrafo 1) del Decreto Ley 1961 de 2023 modifican dicho </w:t>
      </w:r>
      <w:r w:rsidRPr="00AC66B3">
        <w:rPr>
          <w:rFonts w:ascii="Times New Roman" w:hAnsi="Times New Roman" w:cs="Times New Roman"/>
          <w:sz w:val="28"/>
          <w:szCs w:val="28"/>
        </w:rPr>
        <w:t xml:space="preserve">régimen, pues crean una nueva causal de contratación directa sin límite de cuantía.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 anterior, a pesar de que la jurisprudencia constitucional ha indicado que las facultades extraordinarias concedidas al presidente de la República, en virtud de lo disp</w:t>
      </w:r>
      <w:r w:rsidRPr="00AC66B3">
        <w:rPr>
          <w:rFonts w:ascii="Times New Roman" w:hAnsi="Times New Roman" w:cs="Times New Roman"/>
          <w:sz w:val="28"/>
          <w:szCs w:val="28"/>
        </w:rPr>
        <w:t>uesto en el artículo 150, numeral 10, de la Constitución, son de interpretación y aplicación restrictiva</w:t>
      </w:r>
      <w:r w:rsidRPr="00AC66B3">
        <w:rPr>
          <w:rStyle w:val="Refdenotaalpie"/>
          <w:rFonts w:ascii="Times New Roman" w:hAnsi="Times New Roman" w:cs="Times New Roman"/>
          <w:sz w:val="28"/>
          <w:szCs w:val="28"/>
        </w:rPr>
        <w:footnoteReference w:id="13"/>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284"/>
        </w:tabs>
        <w:ind w:left="0"/>
        <w:jc w:val="both"/>
        <w:rPr>
          <w:rFonts w:ascii="Times New Roman" w:hAnsi="Times New Roman" w:cs="Times New Roman"/>
          <w:sz w:val="28"/>
          <w:szCs w:val="28"/>
        </w:rPr>
      </w:pPr>
    </w:p>
    <w:p w:rsidR="000A045E" w:rsidRPr="00AC66B3" w:rsidRDefault="00AC66B3" w:rsidP="000A045E">
      <w:pPr>
        <w:tabs>
          <w:tab w:val="left" w:pos="284"/>
          <w:tab w:val="left" w:pos="720"/>
          <w:tab w:val="left" w:pos="851"/>
        </w:tabs>
        <w:jc w:val="both"/>
        <w:rPr>
          <w:rFonts w:ascii="Times New Roman" w:hAnsi="Times New Roman" w:cs="Times New Roman"/>
          <w:b/>
          <w:bCs/>
          <w:sz w:val="28"/>
          <w:szCs w:val="28"/>
          <w:bdr w:val="none" w:sz="0" w:space="0" w:color="auto" w:frame="1"/>
        </w:rPr>
      </w:pPr>
      <w:r w:rsidRPr="00AC66B3">
        <w:rPr>
          <w:rFonts w:ascii="Times New Roman" w:hAnsi="Times New Roman" w:cs="Times New Roman"/>
          <w:b/>
          <w:sz w:val="28"/>
          <w:szCs w:val="28"/>
        </w:rPr>
        <w:t>IV. INTERVENCIONES</w:t>
      </w:r>
      <w:r w:rsidRPr="00AC66B3">
        <w:rPr>
          <w:rFonts w:ascii="Times New Roman" w:hAnsi="Times New Roman" w:cs="Times New Roman"/>
          <w:b/>
          <w:bCs/>
          <w:sz w:val="28"/>
          <w:szCs w:val="28"/>
          <w:bdr w:val="none" w:sz="0" w:space="0" w:color="auto" w:frame="1"/>
        </w:rPr>
        <w:t xml:space="preserve"> </w:t>
      </w:r>
    </w:p>
    <w:p w:rsidR="000A045E" w:rsidRPr="00AC66B3" w:rsidRDefault="00AC66B3" w:rsidP="000A045E">
      <w:pPr>
        <w:tabs>
          <w:tab w:val="left" w:pos="284"/>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Durante el término de fijación en lista</w:t>
      </w:r>
      <w:r w:rsidRPr="00AC66B3">
        <w:rPr>
          <w:rStyle w:val="Refdenotaalpie"/>
          <w:rFonts w:ascii="Times New Roman" w:hAnsi="Times New Roman" w:cs="Times New Roman"/>
          <w:sz w:val="28"/>
          <w:szCs w:val="28"/>
        </w:rPr>
        <w:footnoteReference w:id="14"/>
      </w:r>
      <w:r w:rsidRPr="00AC66B3">
        <w:rPr>
          <w:rFonts w:ascii="Times New Roman" w:hAnsi="Times New Roman" w:cs="Times New Roman"/>
          <w:sz w:val="28"/>
          <w:szCs w:val="28"/>
        </w:rPr>
        <w:t xml:space="preserve">, se recibieron seis intervenciones. </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tabs>
          <w:tab w:val="left" w:pos="142"/>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1. Ministerio de Transporte</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El Ministerio de Transporte solicita a la Corte que se inhiba para emitir un pronunciamiento de fondo y, en subsidio, que declare la exequibilidad de las normas demandadas.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Las demandas no son aptas. Contrariamente a lo sostenido por los demandantes, las</w:t>
      </w:r>
      <w:r w:rsidRPr="00AC66B3">
        <w:rPr>
          <w:rFonts w:ascii="Times New Roman" w:hAnsi="Times New Roman" w:cs="Times New Roman"/>
          <w:sz w:val="28"/>
          <w:szCs w:val="28"/>
        </w:rPr>
        <w:t xml:space="preserve"> normas cuestionadas no excluyen la celebración de contratos estatales con personas diferentes a las indicadas en el parágrafo 1 del artículo 35 del Decreto Ley 1961 de 2023. «En la medida de la necesidad y la complejidad de las obras requeridas, se contra</w:t>
      </w:r>
      <w:r w:rsidRPr="00AC66B3">
        <w:rPr>
          <w:rFonts w:ascii="Times New Roman" w:hAnsi="Times New Roman" w:cs="Times New Roman"/>
          <w:sz w:val="28"/>
          <w:szCs w:val="28"/>
        </w:rPr>
        <w:t>tará con quienes acrediten tener la experiencia e idoneidad para el efecto, de conformidad con las normas de contratación vigentes»</w:t>
      </w:r>
      <w:r w:rsidRPr="00AC66B3">
        <w:rPr>
          <w:rStyle w:val="Refdenotaalpie"/>
          <w:rFonts w:ascii="Times New Roman" w:hAnsi="Times New Roman" w:cs="Times New Roman"/>
          <w:sz w:val="28"/>
          <w:szCs w:val="28"/>
        </w:rPr>
        <w:footnoteReference w:id="15"/>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Además, las normas demandadas tampoco crean una excepción al EGCAP. La contratación directa es una modalidad de selecció</w:t>
      </w:r>
      <w:r w:rsidRPr="00AC66B3">
        <w:rPr>
          <w:rFonts w:ascii="Times New Roman" w:hAnsi="Times New Roman" w:cs="Times New Roman"/>
          <w:sz w:val="28"/>
          <w:szCs w:val="28"/>
        </w:rPr>
        <w:t>n prevista en ese estatuto. En este sentido, aquellas «[s]olo reconocen la existencia de organizaciones populares con las que el Estado contrata directamente como reconocimiento a sus condiciones subjetivas y la necesidad de materializar la igualdad real y</w:t>
      </w:r>
      <w:r w:rsidRPr="00AC66B3">
        <w:rPr>
          <w:rFonts w:ascii="Times New Roman" w:hAnsi="Times New Roman" w:cs="Times New Roman"/>
          <w:sz w:val="28"/>
          <w:szCs w:val="28"/>
        </w:rPr>
        <w:t xml:space="preserve"> los demás principios y valores constitucionalmente protegidos»</w:t>
      </w:r>
      <w:r w:rsidRPr="00AC66B3">
        <w:rPr>
          <w:rStyle w:val="Refdenotaalpie"/>
          <w:rFonts w:ascii="Times New Roman" w:hAnsi="Times New Roman" w:cs="Times New Roman"/>
          <w:sz w:val="28"/>
          <w:szCs w:val="28"/>
        </w:rPr>
        <w:footnoteReference w:id="16"/>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todo caso, las normas demandadas son exequibles. Para empezar, el artículo 368 de la Ley del PND satisface el requisito de precisión. Aquel determina que el presidente de la República es</w:t>
      </w:r>
      <w:r w:rsidRPr="00AC66B3">
        <w:rPr>
          <w:rFonts w:ascii="Times New Roman" w:hAnsi="Times New Roman" w:cs="Times New Roman"/>
          <w:sz w:val="28"/>
          <w:szCs w:val="28"/>
        </w:rPr>
        <w:t>tablecerá la naturaleza jurídica y el régimen jurídico del Invir. Las facultades otorgadas son precisas porque la definición del régimen jurídico del Invir incluía la definición de las características del régimen de contratación aplicable a la nueva entida</w:t>
      </w:r>
      <w:r w:rsidRPr="00AC66B3">
        <w:rPr>
          <w:rFonts w:ascii="Times New Roman" w:hAnsi="Times New Roman" w:cs="Times New Roman"/>
          <w:sz w:val="28"/>
          <w:szCs w:val="28"/>
        </w:rPr>
        <w:t>d</w:t>
      </w:r>
      <w:r w:rsidRPr="00AC66B3">
        <w:rPr>
          <w:rStyle w:val="Refdenotaalpie"/>
          <w:rFonts w:ascii="Times New Roman" w:hAnsi="Times New Roman" w:cs="Times New Roman"/>
          <w:sz w:val="28"/>
          <w:szCs w:val="28"/>
        </w:rPr>
        <w:footnoteReference w:id="17"/>
      </w:r>
      <w:r w:rsidRPr="00AC66B3">
        <w:rPr>
          <w:rFonts w:ascii="Times New Roman" w:hAnsi="Times New Roman" w:cs="Times New Roman"/>
          <w:sz w:val="28"/>
          <w:szCs w:val="28"/>
        </w:rPr>
        <w:t>. De hecho, esta es una facultad inherente a la función legislativa de creación de entidades públicas</w:t>
      </w:r>
      <w:r w:rsidRPr="00AC66B3">
        <w:rPr>
          <w:rStyle w:val="Refdenotaalpie"/>
          <w:rFonts w:ascii="Times New Roman" w:hAnsi="Times New Roman" w:cs="Times New Roman"/>
          <w:sz w:val="28"/>
          <w:szCs w:val="28"/>
        </w:rPr>
        <w:footnoteReference w:id="18"/>
      </w:r>
      <w:r w:rsidRPr="00AC66B3">
        <w:rPr>
          <w:rFonts w:ascii="Times New Roman" w:hAnsi="Times New Roman" w:cs="Times New Roman"/>
          <w:sz w:val="28"/>
          <w:szCs w:val="28"/>
        </w:rPr>
        <w:t>. En consecuencia, «las normas impugnadas no comportan extralimitación de funciones, sino que, por el contrario, configuran un desarrollo fiel de las fa</w:t>
      </w:r>
      <w:r w:rsidRPr="00AC66B3">
        <w:rPr>
          <w:rFonts w:ascii="Times New Roman" w:hAnsi="Times New Roman" w:cs="Times New Roman"/>
          <w:sz w:val="28"/>
          <w:szCs w:val="28"/>
        </w:rPr>
        <w:t>cultades conferidas»</w:t>
      </w:r>
      <w:r w:rsidRPr="00AC66B3">
        <w:rPr>
          <w:rStyle w:val="Refdenotaalpie"/>
          <w:rFonts w:ascii="Times New Roman" w:hAnsi="Times New Roman" w:cs="Times New Roman"/>
          <w:sz w:val="28"/>
          <w:szCs w:val="28"/>
        </w:rPr>
        <w:footnoteReference w:id="19"/>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este orden, «el presidente de la República sí estaba expresamente investido de la facultad de definir el régimen legal de los actos y contratos de la entidad que creaba»</w:t>
      </w:r>
      <w:r w:rsidRPr="00AC66B3">
        <w:rPr>
          <w:rStyle w:val="Refdenotaalpie"/>
          <w:rFonts w:ascii="Times New Roman" w:hAnsi="Times New Roman" w:cs="Times New Roman"/>
          <w:sz w:val="28"/>
          <w:szCs w:val="28"/>
        </w:rPr>
        <w:footnoteReference w:id="20"/>
      </w:r>
      <w:r w:rsidRPr="00AC66B3">
        <w:rPr>
          <w:rFonts w:ascii="Times New Roman" w:hAnsi="Times New Roman" w:cs="Times New Roman"/>
          <w:sz w:val="28"/>
          <w:szCs w:val="28"/>
        </w:rPr>
        <w:t xml:space="preserve">. Con este propósito, esa autoridad estaba habilitada para </w:t>
      </w:r>
      <w:r w:rsidRPr="00AC66B3">
        <w:rPr>
          <w:rFonts w:ascii="Times New Roman" w:hAnsi="Times New Roman" w:cs="Times New Roman"/>
          <w:sz w:val="28"/>
          <w:szCs w:val="28"/>
        </w:rPr>
        <w:t>establecer «los elementos subjetivos (naturaleza de los contratistas), los objetivos (materia y cuantía de los contratos) y los formales (modalidades de selección) de los negocios jurídicos que puede celebrar la nueva entidad»</w:t>
      </w:r>
      <w:r w:rsidRPr="00AC66B3">
        <w:rPr>
          <w:rStyle w:val="Refdenotaalpie"/>
          <w:rFonts w:ascii="Times New Roman" w:hAnsi="Times New Roman" w:cs="Times New Roman"/>
          <w:sz w:val="28"/>
          <w:szCs w:val="28"/>
        </w:rPr>
        <w:footnoteReference w:id="21"/>
      </w:r>
      <w:r w:rsidRPr="00AC66B3">
        <w:rPr>
          <w:rFonts w:ascii="Times New Roman" w:hAnsi="Times New Roman" w:cs="Times New Roman"/>
          <w:sz w:val="28"/>
          <w:szCs w:val="28"/>
        </w:rPr>
        <w:t>. Tal habilitación comprendía</w:t>
      </w:r>
      <w:r w:rsidRPr="00AC66B3">
        <w:rPr>
          <w:rFonts w:ascii="Times New Roman" w:hAnsi="Times New Roman" w:cs="Times New Roman"/>
          <w:sz w:val="28"/>
          <w:szCs w:val="28"/>
        </w:rPr>
        <w:t xml:space="preserve"> la posibilidad de «modificar normas de contratación pública» e «introducir al ordenamiento jurídico disposiciones especiales que tuvieran aplicación preferente frente a las normas de contratación pública»</w:t>
      </w:r>
      <w:r w:rsidRPr="00AC66B3">
        <w:rPr>
          <w:rStyle w:val="Refdenotaalpie"/>
          <w:rFonts w:ascii="Times New Roman" w:hAnsi="Times New Roman" w:cs="Times New Roman"/>
          <w:sz w:val="28"/>
          <w:szCs w:val="28"/>
        </w:rPr>
        <w:footnoteReference w:id="22"/>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De otro lado, el reproche que plantean los acc</w:t>
      </w:r>
      <w:r w:rsidRPr="00AC66B3">
        <w:rPr>
          <w:rFonts w:ascii="Times New Roman" w:hAnsi="Times New Roman" w:cs="Times New Roman"/>
          <w:sz w:val="28"/>
          <w:szCs w:val="28"/>
        </w:rPr>
        <w:t>ionantes, relativo a que la contratación directa que adelante el Invir se someterá a los términos y condiciones que determine el Manual de Contratación de ese instituto, tampoco está llamado a prosperar. La interpretación correcta de esta remisión es aquel</w:t>
      </w:r>
      <w:r w:rsidRPr="00AC66B3">
        <w:rPr>
          <w:rFonts w:ascii="Times New Roman" w:hAnsi="Times New Roman" w:cs="Times New Roman"/>
          <w:sz w:val="28"/>
          <w:szCs w:val="28"/>
        </w:rPr>
        <w:t>la en virtud de la cual el Manual de Contratación se someterá al EGCAP. En ejercicio de la potestad administrativa de autodeterminación, las entidades públicas pueden expedir manuales de contratación para precisar los procedimientos internos en materia con</w:t>
      </w:r>
      <w:r w:rsidRPr="00AC66B3">
        <w:rPr>
          <w:rFonts w:ascii="Times New Roman" w:hAnsi="Times New Roman" w:cs="Times New Roman"/>
          <w:sz w:val="28"/>
          <w:szCs w:val="28"/>
        </w:rPr>
        <w:t>tractual, pero con sujeción al EGCAP</w:t>
      </w:r>
      <w:r w:rsidRPr="00AC66B3">
        <w:rPr>
          <w:rStyle w:val="Refdenotaalpie"/>
          <w:rFonts w:ascii="Times New Roman" w:hAnsi="Times New Roman" w:cs="Times New Roman"/>
          <w:sz w:val="28"/>
          <w:szCs w:val="28"/>
        </w:rPr>
        <w:t xml:space="preserve"> </w:t>
      </w:r>
      <w:r w:rsidRPr="00AC66B3">
        <w:rPr>
          <w:rStyle w:val="Refdenotaalpie"/>
          <w:rFonts w:ascii="Times New Roman" w:hAnsi="Times New Roman" w:cs="Times New Roman"/>
          <w:sz w:val="28"/>
          <w:szCs w:val="28"/>
        </w:rPr>
        <w:footnoteReference w:id="23"/>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De ahí que se deba concluir que los artículos demandados no modifican de ninguna manera el EGCAP, sino que crean un régimen de contratación especial para el Invir. En este punto, no se debe olvidar que el </w:t>
      </w:r>
      <w:r w:rsidRPr="00AC66B3">
        <w:rPr>
          <w:rFonts w:ascii="Times New Roman" w:hAnsi="Times New Roman" w:cs="Times New Roman"/>
          <w:sz w:val="28"/>
          <w:szCs w:val="28"/>
        </w:rPr>
        <w:t>cumplimiento de los principios de la función pública, el control fiscal y los principios rectores de la contratación estatal, por parte de las entidades que cuentan con un régimen de contratación especial, es obligatorio</w:t>
      </w:r>
      <w:r w:rsidRPr="00AC66B3">
        <w:rPr>
          <w:rStyle w:val="Refdenotaalpie"/>
          <w:rFonts w:ascii="Times New Roman" w:hAnsi="Times New Roman" w:cs="Times New Roman"/>
          <w:sz w:val="28"/>
          <w:szCs w:val="28"/>
        </w:rPr>
        <w:footnoteReference w:id="24"/>
      </w:r>
      <w:r w:rsidRPr="00AC66B3">
        <w:rPr>
          <w:rFonts w:ascii="Times New Roman" w:hAnsi="Times New Roman" w:cs="Times New Roman"/>
          <w:sz w:val="28"/>
          <w:szCs w:val="28"/>
        </w:rPr>
        <w:t>. Los manuales de contratación debe</w:t>
      </w:r>
      <w:r w:rsidRPr="00AC66B3">
        <w:rPr>
          <w:rFonts w:ascii="Times New Roman" w:hAnsi="Times New Roman" w:cs="Times New Roman"/>
          <w:sz w:val="28"/>
          <w:szCs w:val="28"/>
        </w:rPr>
        <w:t xml:space="preserve">n determinar unas reglas mínimas que garanticen esos principios.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EGCAP también permite la contratación directa con sujetos calificados. La Ley del PND modificó el artículo 2 de la Ley 1150 de 2007 para incorporar una causal de contratación directa con</w:t>
      </w:r>
      <w:r w:rsidRPr="00AC66B3">
        <w:rPr>
          <w:rFonts w:ascii="Times New Roman" w:hAnsi="Times New Roman" w:cs="Times New Roman"/>
          <w:sz w:val="28"/>
          <w:szCs w:val="28"/>
        </w:rPr>
        <w:t xml:space="preserve"> cabildos indígenas, asociaciones de cabildos indígenas o autoridades tradicionales indígenas, consejos indígenas y organizaciones indígenas con capacidad para contratar. Esto, para «la ejecución de obras públicas que impliquen actividades de mantenimiento</w:t>
      </w:r>
      <w:r w:rsidRPr="00AC66B3">
        <w:rPr>
          <w:rFonts w:ascii="Times New Roman" w:hAnsi="Times New Roman" w:cs="Times New Roman"/>
          <w:sz w:val="28"/>
          <w:szCs w:val="28"/>
        </w:rPr>
        <w:t xml:space="preserve"> y/o mejoramiento de infraestructura social y de transporte, así como suministrar bienes y/o servicios para los que se acredite idoneidad, la cual deberá ser valorada teniendo en cuenta un enfoque diferencial»</w:t>
      </w:r>
      <w:r w:rsidRPr="00AC66B3">
        <w:rPr>
          <w:rStyle w:val="Refdenotaalpie"/>
          <w:rFonts w:ascii="Times New Roman" w:hAnsi="Times New Roman" w:cs="Times New Roman"/>
          <w:sz w:val="28"/>
          <w:szCs w:val="28"/>
        </w:rPr>
        <w:footnoteReference w:id="25"/>
      </w:r>
      <w:r w:rsidRPr="00AC66B3">
        <w:rPr>
          <w:rFonts w:ascii="Times New Roman" w:hAnsi="Times New Roman" w:cs="Times New Roman"/>
          <w:sz w:val="28"/>
          <w:szCs w:val="28"/>
        </w:rPr>
        <w:t>.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En esta línea, resulta conveniente tener </w:t>
      </w:r>
      <w:r w:rsidRPr="00AC66B3">
        <w:rPr>
          <w:rFonts w:ascii="Times New Roman" w:hAnsi="Times New Roman" w:cs="Times New Roman"/>
          <w:sz w:val="28"/>
          <w:szCs w:val="28"/>
        </w:rPr>
        <w:t>en cuenta que «la construcción de vías terciarias, caminos vecinales o de carácter regional, ha sido una política de largo aliento en el país y una necesidad histórica de las comunidades de esos territorios»</w:t>
      </w:r>
      <w:r w:rsidRPr="00AC66B3">
        <w:rPr>
          <w:rStyle w:val="Refdenotaalpie"/>
          <w:rFonts w:ascii="Times New Roman" w:hAnsi="Times New Roman" w:cs="Times New Roman"/>
          <w:sz w:val="28"/>
          <w:szCs w:val="28"/>
        </w:rPr>
        <w:footnoteReference w:id="26"/>
      </w:r>
      <w:r w:rsidRPr="00AC66B3">
        <w:rPr>
          <w:rFonts w:ascii="Times New Roman" w:hAnsi="Times New Roman" w:cs="Times New Roman"/>
          <w:sz w:val="28"/>
          <w:szCs w:val="28"/>
        </w:rPr>
        <w:t>. Así, es necesario reconocer que «una buena par</w:t>
      </w:r>
      <w:r w:rsidRPr="00AC66B3">
        <w:rPr>
          <w:rFonts w:ascii="Times New Roman" w:hAnsi="Times New Roman" w:cs="Times New Roman"/>
          <w:sz w:val="28"/>
          <w:szCs w:val="28"/>
        </w:rPr>
        <w:t>te de las vías terciarias han sido construidas, financiadas y mantenidas por las comunidades, que conocen sus necesidades y su territorio, sus condiciones geográficas, climatológicas, usos y costumbres»</w:t>
      </w:r>
      <w:r w:rsidRPr="00AC66B3">
        <w:rPr>
          <w:rStyle w:val="Refdenotaalpie"/>
          <w:rFonts w:ascii="Times New Roman" w:hAnsi="Times New Roman" w:cs="Times New Roman"/>
          <w:sz w:val="28"/>
          <w:szCs w:val="28"/>
        </w:rPr>
        <w:footnoteReference w:id="27"/>
      </w:r>
      <w:r w:rsidRPr="00AC66B3">
        <w:rPr>
          <w:rFonts w:ascii="Times New Roman" w:hAnsi="Times New Roman" w:cs="Times New Roman"/>
          <w:sz w:val="28"/>
          <w:szCs w:val="28"/>
        </w:rPr>
        <w:t>. Por ello, «el aprovechamiento de estos conocimiento</w:t>
      </w:r>
      <w:r w:rsidRPr="00AC66B3">
        <w:rPr>
          <w:rFonts w:ascii="Times New Roman" w:hAnsi="Times New Roman" w:cs="Times New Roman"/>
          <w:sz w:val="28"/>
          <w:szCs w:val="28"/>
        </w:rPr>
        <w:t>s es una estrategia válida para llevar eficientemente los bienes y servicios del Estado social de derecho a los territorios históricamente excluidos»</w:t>
      </w:r>
      <w:r w:rsidRPr="00AC66B3">
        <w:rPr>
          <w:rStyle w:val="Refdenotaalpie"/>
          <w:rFonts w:ascii="Times New Roman" w:hAnsi="Times New Roman" w:cs="Times New Roman"/>
          <w:sz w:val="28"/>
          <w:szCs w:val="28"/>
        </w:rPr>
        <w:footnoteReference w:id="28"/>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este contexto, «a través del Manual de Contratación [del Invir], se limitará la contratación direct</w:t>
      </w:r>
      <w:r w:rsidRPr="00AC66B3">
        <w:rPr>
          <w:rFonts w:ascii="Times New Roman" w:hAnsi="Times New Roman" w:cs="Times New Roman"/>
          <w:sz w:val="28"/>
          <w:szCs w:val="28"/>
        </w:rPr>
        <w:t>a al desarrollo de proyectos de baja complejidad»</w:t>
      </w:r>
      <w:r w:rsidRPr="00AC66B3">
        <w:rPr>
          <w:rStyle w:val="Refdenotaalpie"/>
          <w:rFonts w:ascii="Times New Roman" w:hAnsi="Times New Roman" w:cs="Times New Roman"/>
          <w:sz w:val="28"/>
          <w:szCs w:val="28"/>
        </w:rPr>
        <w:footnoteReference w:id="29"/>
      </w:r>
      <w:r w:rsidRPr="00AC66B3">
        <w:rPr>
          <w:rFonts w:ascii="Times New Roman" w:hAnsi="Times New Roman" w:cs="Times New Roman"/>
          <w:sz w:val="28"/>
          <w:szCs w:val="28"/>
        </w:rPr>
        <w:t xml:space="preserve"> pero «de alto impacto social en el territorio»</w:t>
      </w:r>
      <w:r w:rsidRPr="00AC66B3">
        <w:rPr>
          <w:rStyle w:val="Refdenotaalpie"/>
          <w:rFonts w:ascii="Times New Roman" w:hAnsi="Times New Roman" w:cs="Times New Roman"/>
          <w:sz w:val="28"/>
          <w:szCs w:val="28"/>
        </w:rPr>
        <w:footnoteReference w:id="30"/>
      </w:r>
      <w:r w:rsidRPr="00AC66B3">
        <w:rPr>
          <w:rFonts w:ascii="Times New Roman" w:hAnsi="Times New Roman" w:cs="Times New Roman"/>
          <w:sz w:val="28"/>
          <w:szCs w:val="28"/>
        </w:rPr>
        <w:t>. De hecho, es preciso resaltar que, «[h]asta la fecha, en diferentes proyectos adelantados en convenios entre el Invías y diferentes comunidades en el territ</w:t>
      </w:r>
      <w:r w:rsidRPr="00AC66B3">
        <w:rPr>
          <w:rFonts w:ascii="Times New Roman" w:hAnsi="Times New Roman" w:cs="Times New Roman"/>
          <w:sz w:val="28"/>
          <w:szCs w:val="28"/>
        </w:rPr>
        <w:t>orio, se han ejecutado y construido obras de baja complejidad como las denominadas “placas huellas”, aplicando como sustento técnico la “cartilla de obras menores de drenaje y estructuras viales del Invías”</w:t>
      </w:r>
      <w:r w:rsidRPr="00AC66B3">
        <w:rPr>
          <w:rStyle w:val="Refdenotaalpie"/>
          <w:rFonts w:ascii="Times New Roman" w:hAnsi="Times New Roman" w:cs="Times New Roman"/>
          <w:sz w:val="28"/>
          <w:szCs w:val="28"/>
        </w:rPr>
        <w:footnoteReference w:id="31"/>
      </w:r>
      <w:r w:rsidRPr="00AC66B3">
        <w:rPr>
          <w:rFonts w:ascii="Times New Roman" w:hAnsi="Times New Roman" w:cs="Times New Roman"/>
          <w:sz w:val="28"/>
          <w:szCs w:val="28"/>
        </w:rPr>
        <w:t>, documento base que permite que las comunidades,</w:t>
      </w:r>
      <w:r w:rsidRPr="00AC66B3">
        <w:rPr>
          <w:rFonts w:ascii="Times New Roman" w:hAnsi="Times New Roman" w:cs="Times New Roman"/>
          <w:sz w:val="28"/>
          <w:szCs w:val="28"/>
        </w:rPr>
        <w:t xml:space="preserve"> de acuerdo con su capacidad técnica, administrativa y humana, y con el oportuno apoyo estatal, realicen las intervenciones de baja complejidad que se adecuan a las necesidades de sus territorios»</w:t>
      </w:r>
      <w:r w:rsidRPr="00AC66B3">
        <w:rPr>
          <w:rStyle w:val="Refdenotaalpie"/>
          <w:rFonts w:ascii="Times New Roman" w:hAnsi="Times New Roman" w:cs="Times New Roman"/>
          <w:sz w:val="28"/>
          <w:szCs w:val="28"/>
        </w:rPr>
        <w:footnoteReference w:id="32"/>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Estos contratos observarán todos los principios constitu</w:t>
      </w:r>
      <w:r w:rsidRPr="00AC66B3">
        <w:rPr>
          <w:rFonts w:ascii="Times New Roman" w:hAnsi="Times New Roman" w:cs="Times New Roman"/>
          <w:sz w:val="28"/>
          <w:szCs w:val="28"/>
        </w:rPr>
        <w:t xml:space="preserve">cionales y legales que defina dicho manual y garantizarán unas condiciones técnicas mínimas en materia jurídica, financiera, de personal y de capacidad organizacional.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Para terminar, es del caso mencionar que las normas demandadas contienen una acción af</w:t>
      </w:r>
      <w:r w:rsidRPr="00AC66B3">
        <w:rPr>
          <w:rFonts w:ascii="Times New Roman" w:hAnsi="Times New Roman" w:cs="Times New Roman"/>
          <w:sz w:val="28"/>
          <w:szCs w:val="28"/>
        </w:rPr>
        <w:t>irmativa a favor de las organizaciones y personas con las cuales el Invir podrá suscribir contratos estatales bajo la modalidad de contratación directa. Esto es de la mayor relevancia porque dichas organizaciones y personas son sujetos de especial protecci</w:t>
      </w:r>
      <w:r w:rsidRPr="00AC66B3">
        <w:rPr>
          <w:rFonts w:ascii="Times New Roman" w:hAnsi="Times New Roman" w:cs="Times New Roman"/>
          <w:sz w:val="28"/>
          <w:szCs w:val="28"/>
        </w:rPr>
        <w:t>ón constitucional</w:t>
      </w:r>
      <w:r w:rsidRPr="00AC66B3">
        <w:rPr>
          <w:rStyle w:val="Refdenotaalpie"/>
          <w:rFonts w:ascii="Times New Roman" w:hAnsi="Times New Roman" w:cs="Times New Roman"/>
          <w:sz w:val="28"/>
          <w:szCs w:val="28"/>
        </w:rPr>
        <w:footnoteReference w:id="33"/>
      </w:r>
      <w:r w:rsidRPr="00AC66B3">
        <w:rPr>
          <w:rFonts w:ascii="Times New Roman" w:hAnsi="Times New Roman" w:cs="Times New Roman"/>
          <w:sz w:val="28"/>
          <w:szCs w:val="28"/>
        </w:rPr>
        <w:t>. Respecto de estos sujetos, en la Sentencia C-932 de 2007, la Corte indicó que «el Legislador debe aplicar esos privilegios también a la contratación estatal, pues debe entenderse que el contrato público es un instrumento para luchar con</w:t>
      </w:r>
      <w:r w:rsidRPr="00AC66B3">
        <w:rPr>
          <w:rFonts w:ascii="Times New Roman" w:hAnsi="Times New Roman" w:cs="Times New Roman"/>
          <w:sz w:val="28"/>
          <w:szCs w:val="28"/>
        </w:rPr>
        <w:t>tra la desigualdad». De igual modo, en la Sentencia T-724 de 2003, se refirió a «[l]a adopción de acciones afirmativas en procesos licitatorios para garantizar la participación de grupos marginados o discriminados». Así mismo, en el Auto 275 de 2011 y en l</w:t>
      </w:r>
      <w:r w:rsidRPr="00AC66B3">
        <w:rPr>
          <w:rFonts w:ascii="Times New Roman" w:hAnsi="Times New Roman" w:cs="Times New Roman"/>
          <w:sz w:val="28"/>
          <w:szCs w:val="28"/>
        </w:rPr>
        <w:t>a Sentencia T-291 de 2009, se pronunció sobre la participación de las personas recicladoras en procesos contractuales.</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tabs>
          <w:tab w:val="left" w:pos="142"/>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2. Agencia Nacional de Contratación Pública Colombia Compra Eficiente</w:t>
      </w:r>
      <w:r w:rsidRPr="00AC66B3">
        <w:rPr>
          <w:rStyle w:val="Refdenotaalpie"/>
          <w:rFonts w:ascii="Times New Roman" w:hAnsi="Times New Roman" w:cs="Times New Roman"/>
          <w:b/>
          <w:bCs/>
          <w:sz w:val="28"/>
          <w:szCs w:val="28"/>
        </w:rPr>
        <w:footnoteReference w:id="34"/>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 Agencia Nacional de Contratación Pública Colombia Compra Efic</w:t>
      </w:r>
      <w:r w:rsidRPr="00AC66B3">
        <w:rPr>
          <w:rFonts w:ascii="Times New Roman" w:hAnsi="Times New Roman" w:cs="Times New Roman"/>
          <w:sz w:val="28"/>
          <w:szCs w:val="28"/>
        </w:rPr>
        <w:t xml:space="preserve">iente solicita a la Corte que declare la exequibilidad de las normas demandadas.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 norma habilitante otorgó facultades extraordinarias al presidente de la República para fijar el régimen jurídico del Invir. Tal habilitación incluía la posibilidad de cre</w:t>
      </w:r>
      <w:r w:rsidRPr="00AC66B3">
        <w:rPr>
          <w:rFonts w:ascii="Times New Roman" w:hAnsi="Times New Roman" w:cs="Times New Roman"/>
          <w:sz w:val="28"/>
          <w:szCs w:val="28"/>
        </w:rPr>
        <w:t>ar la causal de contratación directa objeto de reproche, o fijar un régimen de contratación excepcional que se rigiera por lo dispuesto en el artículo 13 de la Ley 1150 de 2007. Esto es así porque el régimen contractual de la nueva entidad forma parte de s</w:t>
      </w:r>
      <w:r w:rsidRPr="00AC66B3">
        <w:rPr>
          <w:rFonts w:ascii="Times New Roman" w:hAnsi="Times New Roman" w:cs="Times New Roman"/>
          <w:sz w:val="28"/>
          <w:szCs w:val="28"/>
        </w:rPr>
        <w:t xml:space="preserve">u régimen jurídico. «Como entre ambos [régimen jurídico y régimen contractual] existe una relación de género – especie, si [el presidente de la República] puede regular lo más general, es decir, el régimen jurídico, con mayor razón puede establecer lo más </w:t>
      </w:r>
      <w:r w:rsidRPr="00AC66B3">
        <w:rPr>
          <w:rFonts w:ascii="Times New Roman" w:hAnsi="Times New Roman" w:cs="Times New Roman"/>
          <w:sz w:val="28"/>
          <w:szCs w:val="28"/>
        </w:rPr>
        <w:t>específico, esto es, el régimen contractual»</w:t>
      </w:r>
      <w:r w:rsidRPr="00AC66B3">
        <w:rPr>
          <w:rStyle w:val="Refdenotaalpie"/>
          <w:rFonts w:ascii="Times New Roman" w:hAnsi="Times New Roman" w:cs="Times New Roman"/>
          <w:sz w:val="28"/>
          <w:szCs w:val="28"/>
        </w:rPr>
        <w:footnoteReference w:id="35"/>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De este modo, dado que «la ley habilitante no definió expresamente un sometimiento integral [del Invir] a la Ley 80 de 1993 y sus normas complementarias, el legislador extraordinario no está impedido para est</w:t>
      </w:r>
      <w:r w:rsidRPr="00AC66B3">
        <w:rPr>
          <w:rFonts w:ascii="Times New Roman" w:hAnsi="Times New Roman" w:cs="Times New Roman"/>
          <w:sz w:val="28"/>
          <w:szCs w:val="28"/>
        </w:rPr>
        <w:t>ablecer causales [de contratación directa] distintas a las del artículo 2.4 de la Ley 1150 de 2007»</w:t>
      </w:r>
      <w:r w:rsidRPr="00AC66B3">
        <w:rPr>
          <w:rStyle w:val="Refdenotaalpie"/>
          <w:rFonts w:ascii="Times New Roman" w:hAnsi="Times New Roman" w:cs="Times New Roman"/>
          <w:sz w:val="28"/>
          <w:szCs w:val="28"/>
        </w:rPr>
        <w:footnoteReference w:id="36"/>
      </w:r>
      <w:r w:rsidRPr="00AC66B3">
        <w:rPr>
          <w:rFonts w:ascii="Times New Roman" w:hAnsi="Times New Roman" w:cs="Times New Roman"/>
          <w:sz w:val="28"/>
          <w:szCs w:val="28"/>
        </w:rPr>
        <w:t>. Lo anterior se debe a que la naturaleza jurídica de la entidad no determina necesariamente su régimen contractual aplicable. Bien podía el presidente de l</w:t>
      </w:r>
      <w:r w:rsidRPr="00AC66B3">
        <w:rPr>
          <w:rFonts w:ascii="Times New Roman" w:hAnsi="Times New Roman" w:cs="Times New Roman"/>
          <w:sz w:val="28"/>
          <w:szCs w:val="28"/>
        </w:rPr>
        <w:t>a República determinar que el Invir es un establecimiento público, y que su régimen contractual no se rige por el EGCAP. Sin embargo, esta flexibilización de las modalidades de selección del contratista debe estar acorde con los principios de proporcionali</w:t>
      </w:r>
      <w:r w:rsidRPr="00AC66B3">
        <w:rPr>
          <w:rFonts w:ascii="Times New Roman" w:hAnsi="Times New Roman" w:cs="Times New Roman"/>
          <w:sz w:val="28"/>
          <w:szCs w:val="28"/>
        </w:rPr>
        <w:t xml:space="preserve">dad y razonabilidad.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
          <w:bCs/>
          <w:sz w:val="28"/>
          <w:szCs w:val="28"/>
        </w:rPr>
      </w:pPr>
      <w:r w:rsidRPr="00AC66B3">
        <w:rPr>
          <w:rFonts w:ascii="Times New Roman" w:hAnsi="Times New Roman" w:cs="Times New Roman"/>
          <w:sz w:val="28"/>
          <w:szCs w:val="28"/>
        </w:rPr>
        <w:t>Finalmente, se debe destacar que «la regulación del parágrafo 1 del artículo 35 del Decreto ley 1961 de 2023 no es aplicable a las demás entidades sometidas al EGCAP. Dentro de esta perspectiva, no existe una modificación general del</w:t>
      </w:r>
      <w:r w:rsidRPr="00AC66B3">
        <w:rPr>
          <w:rFonts w:ascii="Times New Roman" w:hAnsi="Times New Roman" w:cs="Times New Roman"/>
          <w:sz w:val="28"/>
          <w:szCs w:val="28"/>
        </w:rPr>
        <w:t xml:space="preserve"> artículo 2.4 de la Ley 1150 de 2007 y, por tanto, el desarrollo del decreto ley se encuentra ajustado al artículo 150.10 de la Constitución»</w:t>
      </w:r>
      <w:r w:rsidRPr="00AC66B3">
        <w:rPr>
          <w:rStyle w:val="Refdenotaalpie"/>
          <w:rFonts w:ascii="Times New Roman" w:hAnsi="Times New Roman" w:cs="Times New Roman"/>
          <w:sz w:val="28"/>
          <w:szCs w:val="28"/>
        </w:rPr>
        <w:footnoteReference w:id="37"/>
      </w:r>
      <w:r w:rsidRPr="00AC66B3">
        <w:rPr>
          <w:rFonts w:ascii="Times New Roman" w:hAnsi="Times New Roman" w:cs="Times New Roman"/>
          <w:sz w:val="28"/>
          <w:szCs w:val="28"/>
        </w:rPr>
        <w:t>.</w:t>
      </w:r>
    </w:p>
    <w:p w:rsidR="000A045E" w:rsidRPr="00AC66B3" w:rsidRDefault="00AC66B3" w:rsidP="000A045E">
      <w:pPr>
        <w:tabs>
          <w:tab w:val="left" w:pos="142"/>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3. Agencia Nacional de Infraestructura (ANI)</w:t>
      </w: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 ANI solicita a la Corte que adelante «un control judicial de co</w:t>
      </w:r>
      <w:r w:rsidRPr="00AC66B3">
        <w:rPr>
          <w:rFonts w:ascii="Times New Roman" w:hAnsi="Times New Roman" w:cs="Times New Roman"/>
          <w:sz w:val="28"/>
          <w:szCs w:val="28"/>
        </w:rPr>
        <w:t>nstitucionalidad más estricto» de la demanda</w:t>
      </w:r>
      <w:r w:rsidRPr="00AC66B3">
        <w:rPr>
          <w:rStyle w:val="Refdenotaalpie"/>
          <w:rFonts w:ascii="Times New Roman" w:hAnsi="Times New Roman" w:cs="Times New Roman"/>
          <w:sz w:val="28"/>
          <w:szCs w:val="28"/>
        </w:rPr>
        <w:footnoteReference w:id="38"/>
      </w:r>
      <w:r w:rsidRPr="00AC66B3">
        <w:rPr>
          <w:rFonts w:ascii="Times New Roman" w:hAnsi="Times New Roman" w:cs="Times New Roman"/>
          <w:sz w:val="28"/>
          <w:szCs w:val="28"/>
        </w:rPr>
        <w:t>. A diferencia de lo sostenido por los demandantes, las normas demandadas sí tienen «un vínculo directo e inmediato de las facultades extraordinarias concedidas al presidente y la creación del Invir»</w:t>
      </w:r>
      <w:r w:rsidRPr="00AC66B3">
        <w:rPr>
          <w:rStyle w:val="Refdenotaalpie"/>
          <w:rFonts w:ascii="Times New Roman" w:hAnsi="Times New Roman" w:cs="Times New Roman"/>
          <w:sz w:val="28"/>
          <w:szCs w:val="28"/>
        </w:rPr>
        <w:footnoteReference w:id="39"/>
      </w:r>
      <w:r w:rsidRPr="00AC66B3">
        <w:rPr>
          <w:rFonts w:ascii="Times New Roman" w:hAnsi="Times New Roman" w:cs="Times New Roman"/>
          <w:sz w:val="28"/>
          <w:szCs w:val="28"/>
        </w:rPr>
        <w:t>. Además, g</w:t>
      </w:r>
      <w:r w:rsidRPr="00AC66B3">
        <w:rPr>
          <w:rFonts w:ascii="Times New Roman" w:hAnsi="Times New Roman" w:cs="Times New Roman"/>
          <w:sz w:val="28"/>
          <w:szCs w:val="28"/>
        </w:rPr>
        <w:t xml:space="preserve">uardan conexidad con el Plan Nacional de Desarrollo. </w:t>
      </w:r>
      <w:bookmarkStart w:id="8" w:name="_Hlk167353357"/>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 Ley del PND reguló tres tipos de contratos: las Asociaciones Público Populares</w:t>
      </w:r>
      <w:r w:rsidRPr="00AC66B3">
        <w:rPr>
          <w:rStyle w:val="Refdenotaalpie"/>
          <w:rFonts w:ascii="Times New Roman" w:hAnsi="Times New Roman" w:cs="Times New Roman"/>
          <w:sz w:val="28"/>
          <w:szCs w:val="28"/>
        </w:rPr>
        <w:footnoteReference w:id="40"/>
      </w:r>
      <w:r w:rsidRPr="00AC66B3">
        <w:rPr>
          <w:rFonts w:ascii="Times New Roman" w:hAnsi="Times New Roman" w:cs="Times New Roman"/>
          <w:sz w:val="28"/>
          <w:szCs w:val="28"/>
        </w:rPr>
        <w:t>, las Asociaciones de Iniciativa Público Popular</w:t>
      </w:r>
      <w:r w:rsidRPr="00AC66B3">
        <w:rPr>
          <w:rStyle w:val="Refdenotaalpie"/>
          <w:rFonts w:ascii="Times New Roman" w:hAnsi="Times New Roman" w:cs="Times New Roman"/>
          <w:sz w:val="28"/>
          <w:szCs w:val="28"/>
        </w:rPr>
        <w:footnoteReference w:id="41"/>
      </w:r>
      <w:r w:rsidRPr="00AC66B3">
        <w:rPr>
          <w:rFonts w:ascii="Times New Roman" w:hAnsi="Times New Roman" w:cs="Times New Roman"/>
          <w:sz w:val="28"/>
          <w:szCs w:val="28"/>
        </w:rPr>
        <w:t xml:space="preserve"> y las Asociaciones Público Privadas para el Desarrollo Social, Económ</w:t>
      </w:r>
      <w:r w:rsidRPr="00AC66B3">
        <w:rPr>
          <w:rFonts w:ascii="Times New Roman" w:hAnsi="Times New Roman" w:cs="Times New Roman"/>
          <w:sz w:val="28"/>
          <w:szCs w:val="28"/>
        </w:rPr>
        <w:t>ico, Productivo y Sostenible del País</w:t>
      </w:r>
      <w:r w:rsidRPr="00AC66B3">
        <w:rPr>
          <w:rStyle w:val="Refdenotaalpie"/>
          <w:rFonts w:ascii="Times New Roman" w:hAnsi="Times New Roman" w:cs="Times New Roman"/>
          <w:sz w:val="28"/>
          <w:szCs w:val="28"/>
        </w:rPr>
        <w:footnoteReference w:id="42"/>
      </w:r>
      <w:r w:rsidRPr="00AC66B3">
        <w:rPr>
          <w:rFonts w:ascii="Times New Roman" w:hAnsi="Times New Roman" w:cs="Times New Roman"/>
          <w:sz w:val="28"/>
          <w:szCs w:val="28"/>
        </w:rPr>
        <w:t>. El PND dispuso que las organizaciones sociales tienen capacidad jurídica para celebrar contratos estatales bajo la modalidad de selección abreviada, de acuerdo con lo estatuido en el artículo 2 de la Ley 1150 de 2007</w:t>
      </w:r>
      <w:r w:rsidRPr="00AC66B3">
        <w:rPr>
          <w:rFonts w:ascii="Times New Roman" w:hAnsi="Times New Roman" w:cs="Times New Roman"/>
          <w:sz w:val="28"/>
          <w:szCs w:val="28"/>
        </w:rPr>
        <w:t>. Lo anterior, «con la premisa de que estos instrumentos asociativos contratados deberán financiar parcial o totalmente el desarrollo de los proyectos de infraestructura mediante el aporte de recursos o aportes en especie»</w:t>
      </w:r>
      <w:r w:rsidRPr="00AC66B3">
        <w:rPr>
          <w:rStyle w:val="Refdenotaalpie"/>
          <w:rFonts w:ascii="Times New Roman" w:hAnsi="Times New Roman" w:cs="Times New Roman"/>
          <w:sz w:val="28"/>
          <w:szCs w:val="28"/>
        </w:rPr>
        <w:footnoteReference w:id="43"/>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Por consiguiente, al tenor de las normas acusadas, tales asociaciones también podrán contratar con el Invir, pero con sujeción a la modalidad de selección de contratación directa.</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A la luz del PND, la finalidad de los contratos que celebren las mencionada</w:t>
      </w:r>
      <w:r w:rsidRPr="00AC66B3">
        <w:rPr>
          <w:rFonts w:ascii="Times New Roman" w:hAnsi="Times New Roman" w:cs="Times New Roman"/>
          <w:sz w:val="28"/>
          <w:szCs w:val="28"/>
        </w:rPr>
        <w:t>s asociaciones consiste en «la provisión de infraestructura social, vivienda rural, de vías terciarias y saneamiento básico entre otros»</w:t>
      </w:r>
      <w:r w:rsidRPr="00AC66B3">
        <w:rPr>
          <w:rStyle w:val="Refdenotaalpie"/>
          <w:rFonts w:ascii="Times New Roman" w:hAnsi="Times New Roman" w:cs="Times New Roman"/>
          <w:sz w:val="28"/>
          <w:szCs w:val="28"/>
        </w:rPr>
        <w:footnoteReference w:id="44"/>
      </w:r>
      <w:r w:rsidRPr="00AC66B3">
        <w:rPr>
          <w:rFonts w:ascii="Times New Roman" w:hAnsi="Times New Roman" w:cs="Times New Roman"/>
          <w:sz w:val="28"/>
          <w:szCs w:val="28"/>
        </w:rPr>
        <w:t>. Esto se traduce en el «desarroll[o] [de] proyectos de infraestructura, incluyendo su diseño, construcción, renovación</w:t>
      </w:r>
      <w:r w:rsidRPr="00AC66B3">
        <w:rPr>
          <w:rFonts w:ascii="Times New Roman" w:hAnsi="Times New Roman" w:cs="Times New Roman"/>
          <w:sz w:val="28"/>
          <w:szCs w:val="28"/>
        </w:rPr>
        <w:t>, reparación, mantenimiento, equipamiento, gestión y operación para el cumplimiento del contrato en el territorio de la respectiva comunidad»</w:t>
      </w:r>
      <w:r w:rsidRPr="00AC66B3">
        <w:rPr>
          <w:rStyle w:val="Refdenotaalpie"/>
          <w:rFonts w:ascii="Times New Roman" w:hAnsi="Times New Roman" w:cs="Times New Roman"/>
          <w:sz w:val="28"/>
          <w:szCs w:val="28"/>
        </w:rPr>
        <w:footnoteReference w:id="45"/>
      </w:r>
      <w:r w:rsidRPr="00AC66B3">
        <w:rPr>
          <w:rFonts w:ascii="Times New Roman" w:hAnsi="Times New Roman" w:cs="Times New Roman"/>
          <w:sz w:val="28"/>
          <w:szCs w:val="28"/>
        </w:rPr>
        <w:t>. Este nuevo modelo de contratación es importante para el Gobierno nacional porque impulsa y empodera a las organi</w:t>
      </w:r>
      <w:r w:rsidRPr="00AC66B3">
        <w:rPr>
          <w:rFonts w:ascii="Times New Roman" w:hAnsi="Times New Roman" w:cs="Times New Roman"/>
          <w:sz w:val="28"/>
          <w:szCs w:val="28"/>
        </w:rPr>
        <w:t>zaciones sociales y las involucra en la solución de sus problemas. Igualmente, genera nuevas obras e ingresos y fortalece la relación de aquellas con el Estado.</w:t>
      </w:r>
    </w:p>
    <w:bookmarkEnd w:id="8"/>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relación con el caso concreto, se observa que los demandantes no expusieron (i) las razones</w:t>
      </w:r>
      <w:r w:rsidRPr="00AC66B3">
        <w:rPr>
          <w:rFonts w:ascii="Times New Roman" w:hAnsi="Times New Roman" w:cs="Times New Roman"/>
          <w:sz w:val="28"/>
          <w:szCs w:val="28"/>
        </w:rPr>
        <w:t xml:space="preserve"> por las cuales las normas acusadas desconocen el artículo 150, numeral 10, de la Constitución; (ii)</w:t>
      </w:r>
      <w:r w:rsidRPr="00AC66B3">
        <w:rPr>
          <w:rFonts w:ascii="Times New Roman" w:hAnsi="Times New Roman" w:cs="Times New Roman"/>
          <w:sz w:val="28"/>
        </w:rPr>
        <w:t xml:space="preserve"> </w:t>
      </w:r>
      <w:r w:rsidRPr="00AC66B3">
        <w:rPr>
          <w:rFonts w:ascii="Times New Roman" w:hAnsi="Times New Roman" w:cs="Times New Roman"/>
          <w:sz w:val="28"/>
          <w:szCs w:val="28"/>
        </w:rPr>
        <w:t>«la historia de la Ley del Plan Nacional de Desarrollo y las leyes de creación de entidades, de las relaciones entre las diversas partes de la ley y de sus</w:t>
      </w:r>
      <w:r w:rsidRPr="00AC66B3">
        <w:rPr>
          <w:rFonts w:ascii="Times New Roman" w:hAnsi="Times New Roman" w:cs="Times New Roman"/>
          <w:sz w:val="28"/>
          <w:szCs w:val="28"/>
        </w:rPr>
        <w:t xml:space="preserve"> vínculos con otras leyes»</w:t>
      </w:r>
      <w:r w:rsidRPr="00AC66B3">
        <w:rPr>
          <w:rStyle w:val="Refdenotaalpie"/>
          <w:rFonts w:ascii="Times New Roman" w:hAnsi="Times New Roman" w:cs="Times New Roman"/>
          <w:sz w:val="28"/>
          <w:szCs w:val="28"/>
        </w:rPr>
        <w:footnoteReference w:id="46"/>
      </w:r>
      <w:r w:rsidRPr="00AC66B3">
        <w:rPr>
          <w:rFonts w:ascii="Times New Roman" w:hAnsi="Times New Roman" w:cs="Times New Roman"/>
          <w:sz w:val="28"/>
          <w:szCs w:val="28"/>
        </w:rPr>
        <w:t>; y (iii) las diferencias entre la ley del PND y «los temas que allí se plasmaron y que presuntamente vulneran las facultades extraordinarias del presidente»</w:t>
      </w:r>
      <w:r w:rsidRPr="00AC66B3">
        <w:rPr>
          <w:rStyle w:val="Refdenotaalpie"/>
          <w:rFonts w:ascii="Times New Roman" w:hAnsi="Times New Roman" w:cs="Times New Roman"/>
          <w:sz w:val="28"/>
          <w:szCs w:val="28"/>
        </w:rPr>
        <w:footnoteReference w:id="47"/>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r w:rsidRPr="00AC66B3">
        <w:rPr>
          <w:rFonts w:ascii="Times New Roman" w:hAnsi="Times New Roman" w:cs="Times New Roman"/>
          <w:b/>
          <w:bCs/>
          <w:sz w:val="28"/>
          <w:szCs w:val="28"/>
        </w:rPr>
        <w:t>4. Departamento de Derecho Administrativo de la Universidad Externad</w:t>
      </w:r>
      <w:r w:rsidRPr="00AC66B3">
        <w:rPr>
          <w:rFonts w:ascii="Times New Roman" w:hAnsi="Times New Roman" w:cs="Times New Roman"/>
          <w:b/>
          <w:bCs/>
          <w:sz w:val="28"/>
          <w:szCs w:val="28"/>
        </w:rPr>
        <w:t xml:space="preserve">o de Colombia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Departamento de Derecho Administrativo de la Universidad Externado de Colombia solicita a la Corte que declare la inexequibilidad de las normas demandadas.</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EGCAP contiene las reglas que deben aplicar las entidades estatales para la a</w:t>
      </w:r>
      <w:r w:rsidRPr="00AC66B3">
        <w:rPr>
          <w:rFonts w:ascii="Times New Roman" w:hAnsi="Times New Roman" w:cs="Times New Roman"/>
          <w:sz w:val="28"/>
          <w:szCs w:val="28"/>
        </w:rPr>
        <w:t>dquisición de bienes, obras y servicios. No obstante, dicho estatuto no es aplicable a todos los contratos estatales. Las excepciones se encuentran en normas especiales. En estos casos, «los contratos estatales se rigen por las normas del derecho privado y</w:t>
      </w:r>
      <w:r w:rsidRPr="00AC66B3">
        <w:rPr>
          <w:rFonts w:ascii="Times New Roman" w:hAnsi="Times New Roman" w:cs="Times New Roman"/>
          <w:sz w:val="28"/>
          <w:szCs w:val="28"/>
        </w:rPr>
        <w:t>/o las especiales de su actividad»</w:t>
      </w:r>
      <w:r w:rsidRPr="00AC66B3">
        <w:rPr>
          <w:rStyle w:val="Refdenotaalpie"/>
          <w:rFonts w:ascii="Times New Roman" w:hAnsi="Times New Roman" w:cs="Times New Roman"/>
          <w:sz w:val="28"/>
          <w:szCs w:val="28"/>
        </w:rPr>
        <w:footnoteReference w:id="48"/>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Al expedir las normas demandas, el Gobierno nacional excedió el uso de las facultades extraordinarias a él conferidas porque estas únicamente se refieren a la definición del régimen jurídico del Invir</w:t>
      </w:r>
      <w:r w:rsidRPr="00AC66B3">
        <w:rPr>
          <w:rFonts w:ascii="Times New Roman" w:hAnsi="Times New Roman" w:cs="Times New Roman"/>
          <w:sz w:val="28"/>
          <w:szCs w:val="28"/>
        </w:rPr>
        <w:t>. En este sentido, aquellas no preveían la posibilidad de modificar las normas del EGCAP ni de crear un régimen de contratación especial para el Invir. Dado que el acto de creación determinó que el Invir es un establecimiento público, la entidad debe somet</w:t>
      </w:r>
      <w:r w:rsidRPr="00AC66B3">
        <w:rPr>
          <w:rFonts w:ascii="Times New Roman" w:hAnsi="Times New Roman" w:cs="Times New Roman"/>
          <w:sz w:val="28"/>
          <w:szCs w:val="28"/>
        </w:rPr>
        <w:t xml:space="preserve">erse a las reglas del EGCAP. En particular, a las causales en las que procede la contratación directa, de acuerdo con lo dispuesto en el artículo 2 de la Ley 1150 de 2007.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parágrafo demandado delega en el Manual de Contratación del Invir la definición</w:t>
      </w:r>
      <w:r w:rsidRPr="00AC66B3">
        <w:rPr>
          <w:rFonts w:ascii="Times New Roman" w:hAnsi="Times New Roman" w:cs="Times New Roman"/>
          <w:sz w:val="28"/>
          <w:szCs w:val="28"/>
        </w:rPr>
        <w:t xml:space="preserve"> de los términos y condiciones para la contratación directa. Esa delegación contradice la Constitución porque el decreto reglamentario es el único medio previsto en la carta para desarrollar la ley. El presidente de la República no puede delegar la potesta</w:t>
      </w:r>
      <w:r w:rsidRPr="00AC66B3">
        <w:rPr>
          <w:rFonts w:ascii="Times New Roman" w:hAnsi="Times New Roman" w:cs="Times New Roman"/>
          <w:sz w:val="28"/>
          <w:szCs w:val="28"/>
        </w:rPr>
        <w:t xml:space="preserve">d reglamentaria en una autoridad administrativa. En este sentido, el Manual de Contratación del Invir no puede contener normas diferentes a las previstas en el EGCAP y el Decreto 1082 de 2015. </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tabs>
          <w:tab w:val="left" w:pos="142"/>
          <w:tab w:val="left" w:pos="284"/>
        </w:tabs>
        <w:jc w:val="both"/>
        <w:rPr>
          <w:rFonts w:ascii="Times New Roman" w:hAnsi="Times New Roman" w:cs="Times New Roman"/>
          <w:b/>
          <w:bCs/>
          <w:sz w:val="28"/>
        </w:rPr>
      </w:pPr>
      <w:r w:rsidRPr="00AC66B3">
        <w:rPr>
          <w:rFonts w:ascii="Times New Roman" w:hAnsi="Times New Roman" w:cs="Times New Roman"/>
          <w:b/>
          <w:bCs/>
          <w:sz w:val="28"/>
          <w:szCs w:val="28"/>
        </w:rPr>
        <w:t>5. Ciudadanos Ingrid Paola Silva Navarro y otros</w:t>
      </w:r>
      <w:r w:rsidRPr="00AC66B3">
        <w:rPr>
          <w:rFonts w:ascii="Times New Roman" w:hAnsi="Times New Roman" w:cs="Times New Roman"/>
          <w:b/>
          <w:bCs/>
          <w:sz w:val="28"/>
        </w:rPr>
        <w:t xml:space="preserve"> </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Los ciudad</w:t>
      </w:r>
      <w:r w:rsidRPr="00AC66B3">
        <w:rPr>
          <w:rFonts w:ascii="Times New Roman" w:hAnsi="Times New Roman" w:cs="Times New Roman"/>
          <w:sz w:val="28"/>
          <w:szCs w:val="28"/>
        </w:rPr>
        <w:t>anos Ingrid Paola Silva Navarro, Julián Andrés Barreto Pineda, Sandra Milena León Peñaloza, Juan Carlos Borda Torres y Rafael Muñoz Macías, estudiantes de derecho de la Corporación Universitaria de Ciencia y Desarrollo (Uniciencia), sede Tunja, solicitan a</w:t>
      </w:r>
      <w:r w:rsidRPr="00AC66B3">
        <w:rPr>
          <w:rFonts w:ascii="Times New Roman" w:hAnsi="Times New Roman" w:cs="Times New Roman"/>
          <w:sz w:val="28"/>
          <w:szCs w:val="28"/>
        </w:rPr>
        <w:t xml:space="preserve"> la Corte que declare la inexequibilidad de las normas demandadas.</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Respecto del cargo admitido a trámite, los intervinientes afirman que «las vías terciarias sí se necesitan, pero no deben ser ejecutadas por medio de contrataciones que terminarán sin ning</w:t>
      </w:r>
      <w:r w:rsidRPr="00AC66B3">
        <w:rPr>
          <w:rFonts w:ascii="Times New Roman" w:hAnsi="Times New Roman" w:cs="Times New Roman"/>
          <w:sz w:val="28"/>
          <w:szCs w:val="28"/>
        </w:rPr>
        <w:t>una duda asignadas a dedo bajo el umbral del clientelismo, la corrupción y la burocracia»</w:t>
      </w:r>
      <w:r w:rsidRPr="00AC66B3">
        <w:rPr>
          <w:rStyle w:val="Refdenotaalpie"/>
          <w:rFonts w:ascii="Times New Roman" w:hAnsi="Times New Roman" w:cs="Times New Roman"/>
          <w:sz w:val="28"/>
          <w:szCs w:val="28"/>
        </w:rPr>
        <w:footnoteReference w:id="49"/>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Además, el otorgamiento de la función de regular la contratación directa en el Manual de Contratación del Invir es inconstitucional. «Esto se debe a que no es pro</w:t>
      </w:r>
      <w:r w:rsidRPr="00AC66B3">
        <w:rPr>
          <w:rFonts w:ascii="Times New Roman" w:hAnsi="Times New Roman" w:cs="Times New Roman"/>
          <w:sz w:val="28"/>
          <w:szCs w:val="28"/>
        </w:rPr>
        <w:t>cedente que el Legislador, a través de las normas demandadas, traslade al Invir la reglamentación que le corresponde por mandato constitucional al presidente de la República»</w:t>
      </w:r>
      <w:r w:rsidRPr="00AC66B3">
        <w:rPr>
          <w:rStyle w:val="Refdenotaalpie"/>
          <w:rFonts w:ascii="Times New Roman" w:hAnsi="Times New Roman" w:cs="Times New Roman"/>
          <w:sz w:val="28"/>
          <w:szCs w:val="28"/>
        </w:rPr>
        <w:footnoteReference w:id="50"/>
      </w:r>
      <w:r w:rsidRPr="00AC66B3">
        <w:rPr>
          <w:rFonts w:ascii="Times New Roman" w:hAnsi="Times New Roman" w:cs="Times New Roman"/>
          <w:bCs/>
          <w:sz w:val="28"/>
          <w:szCs w:val="28"/>
          <w:bdr w:val="none" w:sz="0" w:space="0" w:color="auto" w:frame="1"/>
        </w:rPr>
        <w:t>.</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tabs>
          <w:tab w:val="left" w:pos="142"/>
          <w:tab w:val="left" w:pos="284"/>
        </w:tabs>
        <w:jc w:val="both"/>
        <w:rPr>
          <w:rFonts w:ascii="Times New Roman" w:hAnsi="Times New Roman" w:cs="Times New Roman"/>
          <w:b/>
          <w:bCs/>
          <w:sz w:val="28"/>
          <w:szCs w:val="28"/>
        </w:rPr>
      </w:pPr>
      <w:r w:rsidRPr="00AC66B3">
        <w:rPr>
          <w:rFonts w:ascii="Times New Roman" w:hAnsi="Times New Roman" w:cs="Times New Roman"/>
          <w:b/>
          <w:bCs/>
          <w:sz w:val="28"/>
          <w:szCs w:val="28"/>
        </w:rPr>
        <w:t>6. Ciudadanos Jenny Paola Amézquita Rodríguez y otros</w:t>
      </w:r>
      <w:r w:rsidRPr="00AC66B3">
        <w:rPr>
          <w:rStyle w:val="Refdenotaalpie"/>
          <w:rFonts w:ascii="Times New Roman" w:hAnsi="Times New Roman" w:cs="Times New Roman"/>
          <w:b/>
          <w:bCs/>
          <w:sz w:val="28"/>
          <w:szCs w:val="28"/>
        </w:rPr>
        <w:footnoteReference w:id="51"/>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Los ciudadanos Jenny Paola Amézquita Rodríguez, Dany Samuel Morera Novoa, Eduard Fabián Prieto Hernández, Hernán Darío Vargas Usgame y Giovanni Vega Chaparro, estudiantes de derecho de la Corporación Universitaria de Ciencia y Desarrollo (Uniciencia), sede</w:t>
      </w:r>
      <w:r w:rsidRPr="00AC66B3">
        <w:rPr>
          <w:rFonts w:ascii="Times New Roman" w:hAnsi="Times New Roman" w:cs="Times New Roman"/>
          <w:sz w:val="28"/>
          <w:szCs w:val="28"/>
        </w:rPr>
        <w:t xml:space="preserve"> Tunja, solicitan a la Corte que declare la inexequibilidad de las normas demandadas.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Sostienen que la norma habilitante no otorgó facultades extraordinarias al presidente de la República para legislar en materia de contratación estatal y que las normas </w:t>
      </w:r>
      <w:r w:rsidRPr="00AC66B3">
        <w:rPr>
          <w:rFonts w:ascii="Times New Roman" w:hAnsi="Times New Roman" w:cs="Times New Roman"/>
          <w:sz w:val="28"/>
          <w:szCs w:val="28"/>
        </w:rPr>
        <w:t>acusadas modifican el EGCAP.</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tabs>
          <w:tab w:val="left" w:pos="142"/>
          <w:tab w:val="left" w:pos="284"/>
        </w:tabs>
        <w:jc w:val="both"/>
        <w:rPr>
          <w:rFonts w:ascii="Times New Roman" w:hAnsi="Times New Roman" w:cs="Times New Roman"/>
          <w:b/>
          <w:bCs/>
          <w:sz w:val="28"/>
          <w:szCs w:val="28"/>
          <w:bdr w:val="none" w:sz="0" w:space="0" w:color="auto" w:frame="1"/>
        </w:rPr>
      </w:pPr>
      <w:r w:rsidRPr="00AC66B3">
        <w:rPr>
          <w:rFonts w:ascii="Times New Roman" w:hAnsi="Times New Roman" w:cs="Times New Roman"/>
          <w:b/>
          <w:bCs/>
          <w:sz w:val="28"/>
          <w:szCs w:val="28"/>
          <w:bdr w:val="none" w:sz="0" w:space="0" w:color="auto" w:frame="1"/>
        </w:rPr>
        <w:t>V. CONCEPTO DE LA PROCURADORA GENERAL DE LA NACIÓN</w:t>
      </w:r>
    </w:p>
    <w:p w:rsidR="000A045E" w:rsidRPr="00AC66B3" w:rsidRDefault="00AC66B3" w:rsidP="000A045E">
      <w:pPr>
        <w:tabs>
          <w:tab w:val="left" w:pos="142"/>
          <w:tab w:val="left" w:pos="284"/>
        </w:tabs>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La procuradora general de la Nación solicita a la Corte Constitucional que declare </w:t>
      </w:r>
      <w:r w:rsidRPr="00AC66B3">
        <w:rPr>
          <w:rFonts w:ascii="Times New Roman" w:hAnsi="Times New Roman" w:cs="Times New Roman"/>
          <w:bCs/>
          <w:iCs/>
          <w:sz w:val="28"/>
          <w:szCs w:val="28"/>
          <w:bdr w:val="none" w:sz="0" w:space="0" w:color="auto" w:frame="1"/>
        </w:rPr>
        <w:t>la inexequibilidad de las normas demandadas.</w:t>
      </w:r>
      <w:r w:rsidRPr="00AC66B3">
        <w:rPr>
          <w:rFonts w:ascii="Times New Roman" w:hAnsi="Times New Roman" w:cs="Times New Roman"/>
          <w:bCs/>
          <w:i/>
          <w:sz w:val="28"/>
          <w:szCs w:val="28"/>
          <w:bdr w:val="none" w:sz="0" w:space="0" w:color="auto" w:frame="1"/>
        </w:rPr>
        <w:t xml:space="preserve"> </w:t>
      </w:r>
      <w:r w:rsidRPr="00AC66B3">
        <w:rPr>
          <w:rFonts w:ascii="Times New Roman" w:hAnsi="Times New Roman" w:cs="Times New Roman"/>
          <w:bCs/>
          <w:sz w:val="28"/>
          <w:szCs w:val="28"/>
          <w:bdr w:val="none" w:sz="0" w:space="0" w:color="auto" w:frame="1"/>
        </w:rPr>
        <w:t xml:space="preserve">Para sustentar sus pretensiones, argumentó que </w:t>
      </w:r>
      <w:r w:rsidRPr="00AC66B3">
        <w:rPr>
          <w:rFonts w:ascii="Times New Roman" w:hAnsi="Times New Roman" w:cs="Times New Roman"/>
          <w:sz w:val="28"/>
          <w:szCs w:val="28"/>
        </w:rPr>
        <w:t>«en los artículos 1, 9 y 35 del Decreto Ley 1961 de 2023, el Gobierno nacional incurrió en un ejercicio abusivo de las facultades extraordinarias concedidas por el Congreso de la República en el artículo 368 d</w:t>
      </w:r>
      <w:r w:rsidRPr="00AC66B3">
        <w:rPr>
          <w:rFonts w:ascii="Times New Roman" w:hAnsi="Times New Roman" w:cs="Times New Roman"/>
          <w:sz w:val="28"/>
          <w:szCs w:val="28"/>
        </w:rPr>
        <w:t>e la Ley 2294 de 2023»</w:t>
      </w:r>
      <w:r w:rsidRPr="00AC66B3">
        <w:rPr>
          <w:rStyle w:val="Refdenotaalpie"/>
          <w:rFonts w:ascii="Times New Roman" w:hAnsi="Times New Roman" w:cs="Times New Roman"/>
          <w:sz w:val="28"/>
          <w:szCs w:val="28"/>
        </w:rPr>
        <w:footnoteReference w:id="52"/>
      </w:r>
      <w:r w:rsidRPr="00AC66B3">
        <w:rPr>
          <w:rFonts w:ascii="Times New Roman" w:hAnsi="Times New Roman" w:cs="Times New Roman"/>
          <w:bCs/>
          <w:sz w:val="28"/>
          <w:szCs w:val="28"/>
          <w:bdr w:val="none" w:sz="0" w:space="0" w:color="auto" w:frame="1"/>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La norma habilitante autorizó al presidente de la República para que definiera el régimen jurídico aplicable a la nueva entidad. Esto significa que el Congreso de la República habilitó al presidente </w:t>
      </w:r>
      <w:r w:rsidRPr="00AC66B3">
        <w:rPr>
          <w:rFonts w:ascii="Times New Roman" w:hAnsi="Times New Roman" w:cs="Times New Roman"/>
          <w:sz w:val="28"/>
          <w:szCs w:val="28"/>
        </w:rPr>
        <w:t>«para que decidiera, entre el c</w:t>
      </w:r>
      <w:r w:rsidRPr="00AC66B3">
        <w:rPr>
          <w:rFonts w:ascii="Times New Roman" w:hAnsi="Times New Roman" w:cs="Times New Roman"/>
          <w:sz w:val="28"/>
          <w:szCs w:val="28"/>
        </w:rPr>
        <w:t>onjunto de normas existentes, las disposiciones que deben regular el desarrollo de las actividades de contratación de la nueva entidad encargada de la gestión de las vías vecinales y regionales»</w:t>
      </w:r>
      <w:r w:rsidRPr="00AC66B3">
        <w:rPr>
          <w:rStyle w:val="Refdenotaalpie"/>
          <w:rFonts w:ascii="Times New Roman" w:hAnsi="Times New Roman" w:cs="Times New Roman"/>
          <w:sz w:val="28"/>
          <w:szCs w:val="28"/>
        </w:rPr>
        <w:footnoteReference w:id="53"/>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La determinación de sujetar el régimen de contratación de</w:t>
      </w:r>
      <w:r w:rsidRPr="00AC66B3">
        <w:rPr>
          <w:rFonts w:ascii="Times New Roman" w:hAnsi="Times New Roman" w:cs="Times New Roman"/>
          <w:sz w:val="28"/>
          <w:szCs w:val="28"/>
        </w:rPr>
        <w:t>l Invir al EGCAP es un desarrollo legítimo de la norma habilitante. Sin embargo, la creación de una causal de contratación directa mediante las normas acusadas «constituye un exceso en el ejercicio de las facultades extraordinarias conferidas […] porque no</w:t>
      </w:r>
      <w:r w:rsidRPr="00AC66B3">
        <w:rPr>
          <w:rFonts w:ascii="Times New Roman" w:hAnsi="Times New Roman" w:cs="Times New Roman"/>
          <w:sz w:val="28"/>
          <w:szCs w:val="28"/>
        </w:rPr>
        <w:t xml:space="preserve"> se aviene a la facultad de definir el régimen jurídico de la nueva entidad, sino que se trata del ejercicio de la competencia del Congreso de la República […] contemplada en el inciso final del artículo 150 de la Carta Política»</w:t>
      </w:r>
      <w:r w:rsidRPr="00AC66B3">
        <w:rPr>
          <w:rStyle w:val="Refdenotaalpie"/>
          <w:rFonts w:ascii="Times New Roman" w:hAnsi="Times New Roman" w:cs="Times New Roman"/>
          <w:sz w:val="28"/>
          <w:szCs w:val="28"/>
        </w:rPr>
        <w:footnoteReference w:id="54"/>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Las facultades extraord</w:t>
      </w:r>
      <w:r w:rsidRPr="00AC66B3">
        <w:rPr>
          <w:rFonts w:ascii="Times New Roman" w:hAnsi="Times New Roman" w:cs="Times New Roman"/>
          <w:sz w:val="28"/>
          <w:szCs w:val="28"/>
        </w:rPr>
        <w:t xml:space="preserve">inarias atribuidas al presidente de la República son de interpretación restrictiva. En consecuencia, no es posible hacer una hermenéutica extensiva del artículo 368 de la Ley 2294 de 2023, «dirigida a entender que la definición del régimen jurídico de una </w:t>
      </w:r>
      <w:r w:rsidRPr="00AC66B3">
        <w:rPr>
          <w:rFonts w:ascii="Times New Roman" w:hAnsi="Times New Roman" w:cs="Times New Roman"/>
          <w:sz w:val="28"/>
          <w:szCs w:val="28"/>
        </w:rPr>
        <w:t>entidad, además de comprender la adscripción de las actividades de la institución a alguno de los modelos normativos vigentes, incluye la posibilidad de modificar las disposiciones especiales de cada uno de estos (v. gr. los preceptos generales de contrata</w:t>
      </w:r>
      <w:r w:rsidRPr="00AC66B3">
        <w:rPr>
          <w:rFonts w:ascii="Times New Roman" w:hAnsi="Times New Roman" w:cs="Times New Roman"/>
          <w:sz w:val="28"/>
          <w:szCs w:val="28"/>
        </w:rPr>
        <w:t>ción estatal)»</w:t>
      </w:r>
      <w:r w:rsidRPr="00AC66B3">
        <w:rPr>
          <w:rStyle w:val="Refdenotaalpie"/>
          <w:rFonts w:ascii="Times New Roman" w:hAnsi="Times New Roman" w:cs="Times New Roman"/>
          <w:sz w:val="28"/>
          <w:szCs w:val="28"/>
        </w:rPr>
        <w:footnoteReference w:id="55"/>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bCs/>
          <w:sz w:val="28"/>
          <w:szCs w:val="28"/>
          <w:lang w:val="es-ES" w:eastAsia="es-ES"/>
        </w:rPr>
        <w:t>Los escritos de intervención se sintetizan en el siguiente cuadro:</w:t>
      </w:r>
    </w:p>
    <w:p w:rsidR="000A045E" w:rsidRPr="00AC66B3" w:rsidRDefault="00AC66B3" w:rsidP="000A045E">
      <w:pPr>
        <w:tabs>
          <w:tab w:val="left" w:pos="142"/>
          <w:tab w:val="left" w:pos="284"/>
        </w:tabs>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4414"/>
        <w:gridCol w:w="4414"/>
      </w:tblGrid>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b/>
                <w:bCs/>
                <w:sz w:val="28"/>
              </w:rPr>
            </w:pPr>
            <w:r w:rsidRPr="00AC66B3">
              <w:rPr>
                <w:rFonts w:ascii="Times New Roman" w:hAnsi="Times New Roman" w:cs="Times New Roman"/>
                <w:b/>
                <w:bCs/>
                <w:sz w:val="28"/>
              </w:rPr>
              <w:t>Interviniente</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b/>
                <w:bCs/>
                <w:sz w:val="28"/>
              </w:rPr>
            </w:pPr>
            <w:r w:rsidRPr="00AC66B3">
              <w:rPr>
                <w:rFonts w:ascii="Times New Roman" w:hAnsi="Times New Roman" w:cs="Times New Roman"/>
                <w:b/>
                <w:bCs/>
                <w:sz w:val="28"/>
              </w:rPr>
              <w:t>Solicitud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Ministerio de Transporte</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Inhibición y, en subsidio, exequibilidad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Agencia Nacional de Contratación Pública Colombia Compra Eficiente</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Exequibilidad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Agencia Nacional de Infraestructura (ANI)</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Exequibilidad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Departamento de Derecho Administrativo de la Universidad Externado de Colombia</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Inexequibilidad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Ciudadanos Ingrid Paola Silva Navarro y otros</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Inexequibilidad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Ciudadanos Jenny Paola Am</w:t>
            </w:r>
            <w:r w:rsidRPr="00AC66B3">
              <w:rPr>
                <w:rFonts w:ascii="Times New Roman" w:hAnsi="Times New Roman" w:cs="Times New Roman"/>
                <w:sz w:val="28"/>
              </w:rPr>
              <w:t>ézquita Rodríguez y otros</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Inexequibilidad</w:t>
            </w:r>
          </w:p>
        </w:tc>
      </w:tr>
      <w:tr w:rsidR="000A045E" w:rsidRPr="00AC66B3" w:rsidTr="00725B9A">
        <w:tc>
          <w:tcPr>
            <w:tcW w:w="4414" w:type="dxa"/>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Procuradora general de la Nación</w:t>
            </w:r>
          </w:p>
        </w:tc>
        <w:tc>
          <w:tcPr>
            <w:tcW w:w="4414" w:type="dxa"/>
            <w:vAlign w:val="center"/>
          </w:tcPr>
          <w:p w:rsidR="000A045E" w:rsidRPr="00AC66B3" w:rsidRDefault="00AC66B3" w:rsidP="00725B9A">
            <w:pPr>
              <w:tabs>
                <w:tab w:val="left" w:pos="142"/>
                <w:tab w:val="left" w:pos="284"/>
              </w:tabs>
              <w:jc w:val="center"/>
              <w:rPr>
                <w:rFonts w:ascii="Times New Roman" w:hAnsi="Times New Roman" w:cs="Times New Roman"/>
                <w:sz w:val="28"/>
              </w:rPr>
            </w:pPr>
            <w:r w:rsidRPr="00AC66B3">
              <w:rPr>
                <w:rFonts w:ascii="Times New Roman" w:hAnsi="Times New Roman" w:cs="Times New Roman"/>
                <w:sz w:val="28"/>
              </w:rPr>
              <w:t>Inexequibilidad</w:t>
            </w:r>
          </w:p>
        </w:tc>
      </w:tr>
    </w:tbl>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tabs>
          <w:tab w:val="left" w:pos="142"/>
          <w:tab w:val="left" w:pos="284"/>
        </w:tabs>
        <w:jc w:val="both"/>
        <w:rPr>
          <w:rFonts w:ascii="Times New Roman" w:hAnsi="Times New Roman" w:cs="Times New Roman"/>
          <w:b/>
          <w:bCs/>
          <w:sz w:val="28"/>
          <w:szCs w:val="28"/>
          <w:lang w:val="es-ES_tradnl"/>
        </w:rPr>
      </w:pPr>
      <w:r w:rsidRPr="00AC66B3">
        <w:rPr>
          <w:rFonts w:ascii="Times New Roman" w:hAnsi="Times New Roman" w:cs="Times New Roman"/>
          <w:b/>
          <w:bCs/>
          <w:sz w:val="28"/>
          <w:szCs w:val="28"/>
          <w:lang w:val="es-ES_tradnl"/>
        </w:rPr>
        <w:t>VI. PRUEBA DECRETADA POR LA CORTE CONSTITUCIONAL</w:t>
      </w:r>
    </w:p>
    <w:p w:rsidR="000A045E" w:rsidRPr="00AC66B3" w:rsidRDefault="00AC66B3" w:rsidP="000A045E">
      <w:pPr>
        <w:pStyle w:val="Prrafodelista"/>
        <w:tabs>
          <w:tab w:val="left" w:pos="142"/>
          <w:tab w:val="left" w:pos="284"/>
        </w:tabs>
        <w:jc w:val="both"/>
        <w:rPr>
          <w:rFonts w:ascii="Times New Roman" w:hAnsi="Times New Roman" w:cs="Times New Roman"/>
          <w:sz w:val="28"/>
          <w:szCs w:val="28"/>
          <w:lang w:val="es-ES_tradnl"/>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Como se indicó en los antecedentes de la presente providencia, mediante Auto del 11 de marzo de 2024, la </w:t>
      </w:r>
      <w:r w:rsidRPr="00AC66B3">
        <w:rPr>
          <w:rFonts w:ascii="Times New Roman" w:hAnsi="Times New Roman" w:cs="Times New Roman"/>
          <w:sz w:val="28"/>
          <w:szCs w:val="28"/>
        </w:rPr>
        <w:t>magistrada sustanciadora decretó la práctica de una prueba. En concreto, solicitó a la Secretaría Jurídica de la Presidencia de la República y a la Oficina Asesora Jurídica del Ministerio de Transporte que remitieran la memoria justificativa del Decreto Le</w:t>
      </w:r>
      <w:r w:rsidRPr="00AC66B3">
        <w:rPr>
          <w:rFonts w:ascii="Times New Roman" w:hAnsi="Times New Roman" w:cs="Times New Roman"/>
          <w:sz w:val="28"/>
          <w:szCs w:val="28"/>
        </w:rPr>
        <w:t>y 1961 de 2023, así como los documentos que deben acompañar dicha memoria, de acuerdo con lo dispuesto en el artículo 2.1.2.1.6 del Decreto 1081 de 2015.</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la medida de lo pertinente, el contenido de la memoria justificativa y de los documentos anunciado</w:t>
      </w:r>
      <w:r w:rsidRPr="00AC66B3">
        <w:rPr>
          <w:rFonts w:ascii="Times New Roman" w:hAnsi="Times New Roman" w:cs="Times New Roman"/>
          <w:sz w:val="28"/>
          <w:szCs w:val="28"/>
        </w:rPr>
        <w:t>s será expuesto en acápites posteriores de la presente sentencia.</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tabs>
          <w:tab w:val="left" w:pos="284"/>
          <w:tab w:val="left" w:pos="5529"/>
        </w:tabs>
        <w:autoSpaceDE w:val="0"/>
        <w:autoSpaceDN w:val="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VII. CONSIDERACIONES DE LA CORTE </w:t>
      </w:r>
    </w:p>
    <w:p w:rsidR="000A045E" w:rsidRPr="00AC66B3" w:rsidRDefault="00AC66B3" w:rsidP="000A045E">
      <w:pPr>
        <w:tabs>
          <w:tab w:val="left" w:pos="284"/>
          <w:tab w:val="left" w:pos="5529"/>
        </w:tabs>
        <w:autoSpaceDE w:val="0"/>
        <w:autoSpaceDN w:val="0"/>
        <w:jc w:val="both"/>
        <w:rPr>
          <w:rFonts w:ascii="Times New Roman" w:hAnsi="Times New Roman" w:cs="Times New Roman"/>
          <w:b/>
          <w:bCs/>
          <w:sz w:val="28"/>
          <w:szCs w:val="28"/>
        </w:rPr>
      </w:pPr>
    </w:p>
    <w:p w:rsidR="000A045E" w:rsidRPr="00AC66B3" w:rsidRDefault="00AC66B3" w:rsidP="000A045E">
      <w:pPr>
        <w:tabs>
          <w:tab w:val="left" w:pos="284"/>
        </w:tabs>
        <w:jc w:val="both"/>
        <w:rPr>
          <w:rFonts w:ascii="Times New Roman" w:hAnsi="Times New Roman" w:cs="Times New Roman"/>
          <w:b/>
          <w:sz w:val="28"/>
          <w:szCs w:val="28"/>
        </w:rPr>
      </w:pPr>
      <w:r w:rsidRPr="00AC66B3">
        <w:rPr>
          <w:rFonts w:ascii="Times New Roman" w:hAnsi="Times New Roman" w:cs="Times New Roman"/>
          <w:b/>
          <w:sz w:val="28"/>
          <w:szCs w:val="28"/>
        </w:rPr>
        <w:t>1. Competencia</w:t>
      </w:r>
    </w:p>
    <w:p w:rsidR="000A045E" w:rsidRPr="00AC66B3" w:rsidRDefault="00AC66B3" w:rsidP="000A045E">
      <w:pPr>
        <w:tabs>
          <w:tab w:val="left" w:pos="284"/>
        </w:tabs>
        <w:jc w:val="both"/>
        <w:rPr>
          <w:rFonts w:ascii="Times New Roman" w:hAnsi="Times New Roman" w:cs="Times New Roman"/>
          <w:b/>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De conformidad con lo dispuesto en el artículo 241, numeral 5, de la Constitución Política, la Corte Constitucional es competente para </w:t>
      </w:r>
      <w:r w:rsidRPr="00AC66B3">
        <w:rPr>
          <w:rFonts w:ascii="Times New Roman" w:hAnsi="Times New Roman" w:cs="Times New Roman"/>
          <w:bCs/>
          <w:sz w:val="28"/>
          <w:szCs w:val="28"/>
          <w:bdr w:val="none" w:sz="0" w:space="0" w:color="auto" w:frame="1"/>
        </w:rPr>
        <w:t>decidir la demanda de inconstitucionalidad de la referencia porque se dirige contra normas que forman parte de un decreto con fuerza de ley dictado por el Gobierno nacional, con fundamento en el artículo 150, numeral 10, de la Constitución.</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bdr w:val="none" w:sz="0" w:space="0" w:color="auto" w:frame="1"/>
        </w:rPr>
      </w:pPr>
      <w:r w:rsidRPr="00AC66B3">
        <w:rPr>
          <w:rFonts w:ascii="Times New Roman" w:hAnsi="Times New Roman" w:cs="Times New Roman"/>
          <w:b/>
          <w:sz w:val="28"/>
          <w:szCs w:val="28"/>
          <w:bdr w:val="none" w:sz="0" w:space="0" w:color="auto" w:frame="1"/>
        </w:rPr>
        <w:t>2. Caducidad d</w:t>
      </w:r>
      <w:r w:rsidRPr="00AC66B3">
        <w:rPr>
          <w:rFonts w:ascii="Times New Roman" w:hAnsi="Times New Roman" w:cs="Times New Roman"/>
          <w:b/>
          <w:sz w:val="28"/>
          <w:szCs w:val="28"/>
          <w:bdr w:val="none" w:sz="0" w:space="0" w:color="auto" w:frame="1"/>
        </w:rPr>
        <w:t xml:space="preserve">e la acción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Las demandas de inconstitucionalidad que se dirijan contra un decreto ley expedido por el Gobierno nacional en virtud de las facultades extraordinarias a él conferidas por el Legislador no están sometidas al término de caducidad previsto en e</w:t>
      </w:r>
      <w:r w:rsidRPr="00AC66B3">
        <w:rPr>
          <w:rFonts w:ascii="Times New Roman" w:hAnsi="Times New Roman" w:cs="Times New Roman"/>
          <w:bCs/>
          <w:sz w:val="28"/>
          <w:szCs w:val="28"/>
          <w:bdr w:val="none" w:sz="0" w:space="0" w:color="auto" w:frame="1"/>
        </w:rPr>
        <w:t>l artículo 242, numeral 3, de la Constitución. De acuerdo con la jurisprudencia, el exceso en el ejercicio de dichas facultades constituye un vicio de competencia que no está sujeto a dicho término</w:t>
      </w:r>
      <w:r w:rsidRPr="00AC66B3">
        <w:rPr>
          <w:rStyle w:val="Refdenotaalpie"/>
          <w:rFonts w:ascii="Times New Roman" w:hAnsi="Times New Roman" w:cs="Times New Roman"/>
          <w:bCs/>
          <w:sz w:val="28"/>
          <w:szCs w:val="28"/>
          <w:lang w:eastAsia="es-ES"/>
        </w:rPr>
        <w:footnoteReference w:id="56"/>
      </w:r>
      <w:r w:rsidRPr="00AC66B3">
        <w:rPr>
          <w:rFonts w:ascii="Times New Roman" w:hAnsi="Times New Roman" w:cs="Times New Roman"/>
          <w:bCs/>
          <w:sz w:val="28"/>
          <w:szCs w:val="28"/>
          <w:bdr w:val="none" w:sz="0" w:space="0" w:color="auto" w:frame="1"/>
        </w:rPr>
        <w:t xml:space="preserve">. </w:t>
      </w:r>
    </w:p>
    <w:p w:rsidR="000A045E" w:rsidRPr="00AC66B3" w:rsidRDefault="00AC66B3" w:rsidP="000A045E">
      <w:pPr>
        <w:tabs>
          <w:tab w:val="left" w:pos="284"/>
        </w:tabs>
        <w:jc w:val="both"/>
        <w:rPr>
          <w:rFonts w:ascii="Times New Roman" w:hAnsi="Times New Roman" w:cs="Times New Roman"/>
          <w:b/>
          <w:sz w:val="28"/>
          <w:szCs w:val="28"/>
        </w:rPr>
      </w:pPr>
    </w:p>
    <w:p w:rsidR="000A045E" w:rsidRPr="00AC66B3" w:rsidRDefault="00AC66B3" w:rsidP="000A045E">
      <w:pPr>
        <w:tabs>
          <w:tab w:val="left" w:pos="284"/>
        </w:tabs>
        <w:jc w:val="both"/>
        <w:rPr>
          <w:rFonts w:ascii="Times New Roman" w:hAnsi="Times New Roman" w:cs="Times New Roman"/>
          <w:b/>
          <w:sz w:val="28"/>
          <w:szCs w:val="28"/>
        </w:rPr>
      </w:pPr>
      <w:r w:rsidRPr="00AC66B3">
        <w:rPr>
          <w:rFonts w:ascii="Times New Roman" w:hAnsi="Times New Roman" w:cs="Times New Roman"/>
          <w:b/>
          <w:sz w:val="28"/>
          <w:szCs w:val="28"/>
        </w:rPr>
        <w:t xml:space="preserve">3. </w:t>
      </w:r>
      <w:r w:rsidRPr="00AC66B3">
        <w:rPr>
          <w:rFonts w:ascii="Times New Roman" w:hAnsi="Times New Roman" w:cs="Times New Roman"/>
          <w:b/>
          <w:bCs/>
          <w:color w:val="000000" w:themeColor="text1"/>
          <w:sz w:val="28"/>
          <w:szCs w:val="28"/>
        </w:rPr>
        <w:t>Solicitud de inhibición</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
          <w:sz w:val="28"/>
          <w:szCs w:val="28"/>
        </w:rPr>
      </w:pPr>
      <w:r w:rsidRPr="00AC66B3">
        <w:rPr>
          <w:rFonts w:ascii="Times New Roman" w:hAnsi="Times New Roman" w:cs="Times New Roman"/>
          <w:sz w:val="28"/>
          <w:szCs w:val="28"/>
        </w:rPr>
        <w:t>El Ministerio de Transporte solicita a la Corte que se inhiba para emitir un pronunciamiento de fondo. A su juicio, las demandas no son aptas. Afirma que, contrariamente a lo sostenido por los accionantes, las normas cuestionadas no excluyen la celebración</w:t>
      </w:r>
      <w:r w:rsidRPr="00AC66B3">
        <w:rPr>
          <w:rFonts w:ascii="Times New Roman" w:hAnsi="Times New Roman" w:cs="Times New Roman"/>
          <w:sz w:val="28"/>
          <w:szCs w:val="28"/>
        </w:rPr>
        <w:t xml:space="preserve"> de contratos estatales con personas diferentes a las indicadas en el parágrafo 1 del artículo 35 del Decreto Ley 1961 de 2023. </w:t>
      </w: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
          <w:sz w:val="28"/>
          <w:szCs w:val="28"/>
        </w:rPr>
      </w:pPr>
      <w:r w:rsidRPr="00AC66B3">
        <w:rPr>
          <w:rFonts w:ascii="Times New Roman" w:hAnsi="Times New Roman" w:cs="Times New Roman"/>
          <w:sz w:val="28"/>
          <w:szCs w:val="28"/>
          <w:shd w:val="clear" w:color="auto" w:fill="FFFFFF"/>
        </w:rPr>
        <w:t>La Sala Plena advierte que la solicitud de inhibición no plantea argumentos concretos que la sustenten. En efecto, no invoca e</w:t>
      </w:r>
      <w:r w:rsidRPr="00AC66B3">
        <w:rPr>
          <w:rFonts w:ascii="Times New Roman" w:hAnsi="Times New Roman" w:cs="Times New Roman"/>
          <w:sz w:val="28"/>
          <w:szCs w:val="28"/>
          <w:shd w:val="clear" w:color="auto" w:fill="FFFFFF"/>
        </w:rPr>
        <w:t>l incumplimiento de alguno de los requisitos legales o jurisprudenciales que deben satisfacer las demandas de inconstitucionalidad. En la Sentencia C-100 de 2022</w:t>
      </w:r>
      <w:r w:rsidRPr="00AC66B3">
        <w:rPr>
          <w:rStyle w:val="Refdenotaalpie"/>
          <w:rFonts w:ascii="Times New Roman" w:hAnsi="Times New Roman" w:cs="Times New Roman"/>
          <w:sz w:val="28"/>
          <w:szCs w:val="28"/>
          <w:shd w:val="clear" w:color="auto" w:fill="FFFFFF"/>
        </w:rPr>
        <w:footnoteReference w:id="57"/>
      </w:r>
      <w:r w:rsidRPr="00AC66B3">
        <w:rPr>
          <w:rFonts w:ascii="Times New Roman" w:hAnsi="Times New Roman" w:cs="Times New Roman"/>
          <w:sz w:val="28"/>
          <w:szCs w:val="28"/>
          <w:shd w:val="clear" w:color="auto" w:fill="FFFFFF"/>
        </w:rPr>
        <w:t xml:space="preserve">, la Corte indicó que esta carencia la habilita para </w:t>
      </w:r>
      <w:r w:rsidRPr="00AC66B3">
        <w:rPr>
          <w:rFonts w:ascii="Times New Roman" w:hAnsi="Times New Roman" w:cs="Times New Roman"/>
          <w:sz w:val="28"/>
          <w:szCs w:val="28"/>
        </w:rPr>
        <w:t>«</w:t>
      </w:r>
      <w:r w:rsidRPr="00AC66B3">
        <w:rPr>
          <w:rFonts w:ascii="Times New Roman" w:hAnsi="Times New Roman" w:cs="Times New Roman"/>
          <w:sz w:val="28"/>
          <w:szCs w:val="28"/>
          <w:shd w:val="clear" w:color="auto" w:fill="FFFFFF"/>
        </w:rPr>
        <w:t>avanzar en el estudio de fondo de los ca</w:t>
      </w:r>
      <w:r w:rsidRPr="00AC66B3">
        <w:rPr>
          <w:rFonts w:ascii="Times New Roman" w:hAnsi="Times New Roman" w:cs="Times New Roman"/>
          <w:sz w:val="28"/>
          <w:szCs w:val="28"/>
          <w:shd w:val="clear" w:color="auto" w:fill="FFFFFF"/>
        </w:rPr>
        <w:t>rgos</w:t>
      </w:r>
      <w:r w:rsidRPr="00AC66B3">
        <w:rPr>
          <w:rFonts w:ascii="Times New Roman" w:hAnsi="Times New Roman" w:cs="Times New Roman"/>
          <w:sz w:val="28"/>
          <w:szCs w:val="28"/>
        </w:rPr>
        <w:t xml:space="preserve">», sin análisis adicionales, y con sujeción a lo sostenido en el auto admisorio de la demanda. </w:t>
      </w: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
          <w:sz w:val="28"/>
          <w:szCs w:val="28"/>
        </w:rPr>
      </w:pPr>
      <w:r w:rsidRPr="00AC66B3">
        <w:rPr>
          <w:rFonts w:ascii="Times New Roman" w:hAnsi="Times New Roman" w:cs="Times New Roman"/>
          <w:sz w:val="28"/>
          <w:szCs w:val="28"/>
          <w:shd w:val="clear" w:color="auto" w:fill="FFFFFF"/>
        </w:rPr>
        <w:t xml:space="preserve">En el auto admisorio de las demandas de la referencia, dictado el 19 de febrero de 2024, la magistrada sustanciadora fue clara en sostener que, en ninguno </w:t>
      </w:r>
      <w:r w:rsidRPr="00AC66B3">
        <w:rPr>
          <w:rFonts w:ascii="Times New Roman" w:hAnsi="Times New Roman" w:cs="Times New Roman"/>
          <w:sz w:val="28"/>
          <w:szCs w:val="28"/>
          <w:shd w:val="clear" w:color="auto" w:fill="FFFFFF"/>
        </w:rPr>
        <w:t xml:space="preserve">de sus apartes, la disposición </w:t>
      </w:r>
      <w:r w:rsidRPr="00AC66B3">
        <w:rPr>
          <w:rFonts w:ascii="Times New Roman" w:hAnsi="Times New Roman" w:cs="Times New Roman"/>
          <w:sz w:val="28"/>
          <w:szCs w:val="28"/>
        </w:rPr>
        <w:t>«</w:t>
      </w:r>
      <w:r w:rsidRPr="00AC66B3">
        <w:rPr>
          <w:rFonts w:ascii="Times New Roman" w:hAnsi="Times New Roman" w:cs="Times New Roman"/>
          <w:sz w:val="28"/>
          <w:szCs w:val="28"/>
          <w:shd w:val="clear" w:color="auto" w:fill="FFFFFF"/>
        </w:rPr>
        <w:t>establece que la entidad solo podrá contratar con determinadas personas y organizaciones sociales. En realidad, la norma únicamente precisa una regla especial para la contratación con esas personas y comunidades: estos contr</w:t>
      </w:r>
      <w:r w:rsidRPr="00AC66B3">
        <w:rPr>
          <w:rFonts w:ascii="Times New Roman" w:hAnsi="Times New Roman" w:cs="Times New Roman"/>
          <w:sz w:val="28"/>
          <w:szCs w:val="28"/>
          <w:shd w:val="clear" w:color="auto" w:fill="FFFFFF"/>
        </w:rPr>
        <w:t>atos se harán bajo la modalidad de contratación directa, sin límite de cuantía. Lo anterior significa que, en principio, la contratación con los demás profesionales y organizaciones seguirá las reglas generales previstas en el Estatuto General de Contratac</w:t>
      </w:r>
      <w:r w:rsidRPr="00AC66B3">
        <w:rPr>
          <w:rFonts w:ascii="Times New Roman" w:hAnsi="Times New Roman" w:cs="Times New Roman"/>
          <w:sz w:val="28"/>
          <w:szCs w:val="28"/>
          <w:shd w:val="clear" w:color="auto" w:fill="FFFFFF"/>
        </w:rPr>
        <w:t>ión</w:t>
      </w:r>
      <w:r w:rsidRPr="00AC66B3">
        <w:rPr>
          <w:rFonts w:ascii="Times New Roman" w:hAnsi="Times New Roman" w:cs="Times New Roman"/>
          <w:sz w:val="28"/>
          <w:szCs w:val="28"/>
        </w:rPr>
        <w:t>»</w:t>
      </w:r>
      <w:r w:rsidRPr="00AC66B3">
        <w:rPr>
          <w:rFonts w:ascii="Times New Roman" w:hAnsi="Times New Roman" w:cs="Times New Roman"/>
          <w:sz w:val="28"/>
          <w:szCs w:val="28"/>
          <w:shd w:val="clear" w:color="auto" w:fill="FFFFFF"/>
        </w:rPr>
        <w:t>.</w:t>
      </w: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
          <w:sz w:val="28"/>
          <w:szCs w:val="28"/>
        </w:rPr>
      </w:pPr>
      <w:r w:rsidRPr="00AC66B3">
        <w:rPr>
          <w:rFonts w:ascii="Times New Roman" w:hAnsi="Times New Roman" w:cs="Times New Roman"/>
          <w:sz w:val="28"/>
          <w:szCs w:val="28"/>
          <w:shd w:val="clear" w:color="auto" w:fill="FFFFFF"/>
        </w:rPr>
        <w:t xml:space="preserve"> En los anteriores términos, en el auto de 19 de febrero de 2024, la magistrada sustanciadora admitió la demanda D-15.669 y, posteriormente, esto es, el 11 de marzo de 2024, las demandas D-15.652 y D-15.678. </w:t>
      </w: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
          <w:sz w:val="28"/>
          <w:szCs w:val="28"/>
        </w:rPr>
      </w:pPr>
      <w:r w:rsidRPr="00AC66B3">
        <w:rPr>
          <w:rFonts w:ascii="Times New Roman" w:hAnsi="Times New Roman" w:cs="Times New Roman"/>
          <w:sz w:val="28"/>
          <w:szCs w:val="28"/>
          <w:shd w:val="clear" w:color="auto" w:fill="FFFFFF"/>
        </w:rPr>
        <w:t>Por tanto, en aplicación del precedente</w:t>
      </w:r>
      <w:r w:rsidRPr="00AC66B3">
        <w:rPr>
          <w:rFonts w:ascii="Times New Roman" w:hAnsi="Times New Roman" w:cs="Times New Roman"/>
          <w:sz w:val="28"/>
          <w:szCs w:val="28"/>
          <w:shd w:val="clear" w:color="auto" w:fill="FFFFFF"/>
        </w:rPr>
        <w:t xml:space="preserve"> fijado en la Sentencia C-100 de 2022, y dada la carencia argumentativa anotada, la Sala Plena procederá a realizar el estudio de fondo de las normas demandadas, de acuerdo con lo expuesto en los autos del 19 de febrero y 11 de marzo de 2024.</w:t>
      </w:r>
    </w:p>
    <w:p w:rsidR="000A045E" w:rsidRPr="00AC66B3" w:rsidRDefault="00AC66B3" w:rsidP="000A045E">
      <w:pPr>
        <w:tabs>
          <w:tab w:val="left" w:pos="284"/>
        </w:tabs>
        <w:jc w:val="both"/>
        <w:rPr>
          <w:rFonts w:ascii="Times New Roman" w:hAnsi="Times New Roman" w:cs="Times New Roman"/>
          <w:b/>
          <w:sz w:val="28"/>
          <w:szCs w:val="28"/>
        </w:rPr>
      </w:pPr>
    </w:p>
    <w:p w:rsidR="000A045E" w:rsidRPr="00AC66B3" w:rsidRDefault="00AC66B3" w:rsidP="000A045E">
      <w:pPr>
        <w:tabs>
          <w:tab w:val="left" w:pos="284"/>
        </w:tabs>
        <w:jc w:val="both"/>
        <w:rPr>
          <w:rFonts w:ascii="Times New Roman" w:hAnsi="Times New Roman" w:cs="Times New Roman"/>
          <w:b/>
          <w:sz w:val="28"/>
          <w:szCs w:val="28"/>
        </w:rPr>
      </w:pPr>
      <w:r w:rsidRPr="00AC66B3">
        <w:rPr>
          <w:rFonts w:ascii="Times New Roman" w:hAnsi="Times New Roman" w:cs="Times New Roman"/>
          <w:b/>
          <w:sz w:val="28"/>
          <w:szCs w:val="28"/>
        </w:rPr>
        <w:t>4. Presentac</w:t>
      </w:r>
      <w:r w:rsidRPr="00AC66B3">
        <w:rPr>
          <w:rFonts w:ascii="Times New Roman" w:hAnsi="Times New Roman" w:cs="Times New Roman"/>
          <w:b/>
          <w:sz w:val="28"/>
          <w:szCs w:val="28"/>
        </w:rPr>
        <w:t>ión del caso, problema jurídico y esquema de solución</w:t>
      </w:r>
    </w:p>
    <w:p w:rsidR="000A045E" w:rsidRPr="00AC66B3" w:rsidRDefault="00AC66B3" w:rsidP="000A045E">
      <w:pPr>
        <w:tabs>
          <w:tab w:val="left" w:pos="142"/>
          <w:tab w:val="left" w:pos="284"/>
        </w:tabs>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El artículo 368 de la Ley 2294 de 2023, por la cual se expidió el Plan Nacional de Desarrollo 2022 – 2026,</w:t>
      </w:r>
      <w:r w:rsidRPr="00AC66B3">
        <w:rPr>
          <w:rFonts w:ascii="Times New Roman" w:hAnsi="Times New Roman" w:cs="Times New Roman"/>
          <w:sz w:val="28"/>
          <w:szCs w:val="18"/>
        </w:rPr>
        <w:t xml:space="preserve"> </w:t>
      </w:r>
      <w:r w:rsidRPr="00AC66B3">
        <w:rPr>
          <w:rFonts w:ascii="Times New Roman" w:hAnsi="Times New Roman" w:cs="Times New Roman"/>
          <w:bCs/>
          <w:sz w:val="28"/>
          <w:szCs w:val="28"/>
          <w:bdr w:val="none" w:sz="0" w:space="0" w:color="auto" w:frame="1"/>
        </w:rPr>
        <w:t>revistió al presidente de la República de facultades extraordinarias para que expidiera normas</w:t>
      </w:r>
      <w:r w:rsidRPr="00AC66B3">
        <w:rPr>
          <w:rFonts w:ascii="Times New Roman" w:hAnsi="Times New Roman" w:cs="Times New Roman"/>
          <w:bCs/>
          <w:sz w:val="28"/>
          <w:szCs w:val="28"/>
          <w:bdr w:val="none" w:sz="0" w:space="0" w:color="auto" w:frame="1"/>
        </w:rPr>
        <w:t xml:space="preserve"> con fuerza de ley. Mediante ellas, el Gobierno nacional debía crear una entidad pública adscrita al Ministerio de Transporte. Según el citado artículo, el objetivo principal de la nueva entidad debía ser </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el fomento de la construcción, mejoramiento y cons</w:t>
      </w:r>
      <w:r w:rsidRPr="00AC66B3">
        <w:rPr>
          <w:rFonts w:ascii="Times New Roman" w:hAnsi="Times New Roman" w:cs="Times New Roman"/>
          <w:bCs/>
          <w:sz w:val="28"/>
          <w:szCs w:val="28"/>
          <w:bdr w:val="none" w:sz="0" w:space="0" w:color="auto" w:frame="1"/>
        </w:rPr>
        <w:t>ervación de caminos vecinales o de carácter regional, en el territorio nacional, en cooperación con los departamentos, municipios, o con otras entidades oficiales, semioficiales y privadas</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Además, el inciso segundo de la norma prevé que </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 xml:space="preserve">[l]a entidad </w:t>
      </w:r>
      <w:r w:rsidRPr="00AC66B3">
        <w:rPr>
          <w:rFonts w:ascii="Times New Roman" w:hAnsi="Times New Roman" w:cs="Times New Roman"/>
          <w:bCs/>
          <w:sz w:val="28"/>
          <w:szCs w:val="28"/>
          <w:bdr w:val="none" w:sz="0" w:space="0" w:color="auto" w:frame="1"/>
        </w:rPr>
        <w:t>que se cree en virtud de las facultades extraordinarias aquí concedidas asumirá las funciones que cualquier otra entidad del orden nacional se encuentre ejecutando en esta misma materia</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 xml:space="preserve">. Por último, el artículo 368 de la Ley 2294 de 2023 establece que el </w:t>
      </w:r>
      <w:r w:rsidRPr="00AC66B3">
        <w:rPr>
          <w:rFonts w:ascii="Times New Roman" w:hAnsi="Times New Roman" w:cs="Times New Roman"/>
          <w:bCs/>
          <w:sz w:val="28"/>
          <w:szCs w:val="28"/>
          <w:bdr w:val="none" w:sz="0" w:space="0" w:color="auto" w:frame="1"/>
        </w:rPr>
        <w:t xml:space="preserve">presidente de la República </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definirá la naturaleza jurídica, el régimen jurídico aplicable, y la forma en que se recibirán los recursos que conformarán esta entidad, incluyendo aquellos derivados de la asunción de las funciones ejecutadas por otras entidad</w:t>
      </w:r>
      <w:r w:rsidRPr="00AC66B3">
        <w:rPr>
          <w:rFonts w:ascii="Times New Roman" w:hAnsi="Times New Roman" w:cs="Times New Roman"/>
          <w:bCs/>
          <w:sz w:val="28"/>
          <w:szCs w:val="28"/>
          <w:bdr w:val="none" w:sz="0" w:space="0" w:color="auto" w:frame="1"/>
        </w:rPr>
        <w:t>es</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En virtud de lo prescrito en el artículo 368 de la Ley 2294 de 2023, el Gobierno nacional expidió el Decreto Ley 1961 de 2023, «[p]or el cual se crea el Instituto Nacional de Vías Regionales, se determina su estructura, funciones y se dictan otras di</w:t>
      </w:r>
      <w:r w:rsidRPr="00AC66B3">
        <w:rPr>
          <w:rFonts w:ascii="Times New Roman" w:hAnsi="Times New Roman" w:cs="Times New Roman"/>
          <w:bCs/>
          <w:sz w:val="28"/>
          <w:szCs w:val="28"/>
          <w:bdr w:val="none" w:sz="0" w:space="0" w:color="auto" w:frame="1"/>
        </w:rPr>
        <w:t xml:space="preserve">sposiciones». El parágrafo acusado de esa normativa dispone que </w:t>
      </w:r>
      <w:r w:rsidRPr="00AC66B3">
        <w:rPr>
          <w:rFonts w:ascii="Times New Roman" w:hAnsi="Times New Roman" w:cs="Times New Roman"/>
          <w:sz w:val="28"/>
          <w:szCs w:val="28"/>
        </w:rPr>
        <w:t>el Invir podrá suscribir contratos con determinadas personas y organizaciones sociales bajo la modalidad de contratación directa, sin importar su cuantía. En atención a lo establecido en las e</w:t>
      </w:r>
      <w:r w:rsidRPr="00AC66B3">
        <w:rPr>
          <w:rFonts w:ascii="Times New Roman" w:hAnsi="Times New Roman" w:cs="Times New Roman"/>
          <w:sz w:val="28"/>
          <w:szCs w:val="28"/>
        </w:rPr>
        <w:t xml:space="preserve">xpresiones demandas, contenidas en los artículos 1 y 9.5 del </w:t>
      </w:r>
      <w:r w:rsidRPr="00AC66B3">
        <w:rPr>
          <w:rFonts w:ascii="Times New Roman" w:hAnsi="Times New Roman" w:cs="Times New Roman"/>
          <w:bCs/>
          <w:sz w:val="28"/>
          <w:szCs w:val="28"/>
          <w:bdr w:val="none" w:sz="0" w:space="0" w:color="auto" w:frame="1"/>
        </w:rPr>
        <w:t xml:space="preserve">Decreto Ley 1961 de 2023, </w:t>
      </w:r>
      <w:r w:rsidRPr="00AC66B3">
        <w:rPr>
          <w:rFonts w:ascii="Times New Roman" w:hAnsi="Times New Roman" w:cs="Times New Roman"/>
          <w:sz w:val="28"/>
          <w:szCs w:val="28"/>
        </w:rPr>
        <w:t>dicho parágrafo contiene una excepción a la siguiente regla general: los contratos que celebre el Invir deben sujetarse al EGCAP.</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Con fundamento en argumentos similares</w:t>
      </w:r>
      <w:r w:rsidRPr="00AC66B3">
        <w:rPr>
          <w:rFonts w:ascii="Times New Roman" w:hAnsi="Times New Roman" w:cs="Times New Roman"/>
          <w:sz w:val="28"/>
          <w:szCs w:val="28"/>
        </w:rPr>
        <w:t>, los accionantes de las tres demandas admitidas afirman que las normas objeto de control desconocen el artículo 150, numeral 10, de la Constitución. Lo anterior, en la medida en que constituyen una extralimitación en el ejercicio de las facultades conferi</w:t>
      </w:r>
      <w:r w:rsidRPr="00AC66B3">
        <w:rPr>
          <w:rFonts w:ascii="Times New Roman" w:hAnsi="Times New Roman" w:cs="Times New Roman"/>
          <w:sz w:val="28"/>
          <w:szCs w:val="28"/>
        </w:rPr>
        <w:t xml:space="preserve">das al presidente de la República en el artículo 368 de la Ley 2294 de 2023. A su juicio, esto es así porque la norma habilitante, es decir, el </w:t>
      </w:r>
      <w:r w:rsidRPr="00AC66B3">
        <w:rPr>
          <w:rFonts w:ascii="Times New Roman" w:hAnsi="Times New Roman" w:cs="Times New Roman"/>
          <w:bCs/>
          <w:sz w:val="28"/>
          <w:szCs w:val="28"/>
          <w:bdr w:val="none" w:sz="0" w:space="0" w:color="auto" w:frame="1"/>
        </w:rPr>
        <w:t>artículo 368 de la Ley 2294 de 2023, no revistió al presidente de la República de facultades para establecer exc</w:t>
      </w:r>
      <w:r w:rsidRPr="00AC66B3">
        <w:rPr>
          <w:rFonts w:ascii="Times New Roman" w:hAnsi="Times New Roman" w:cs="Times New Roman"/>
          <w:bCs/>
          <w:sz w:val="28"/>
          <w:szCs w:val="28"/>
          <w:bdr w:val="none" w:sz="0" w:space="0" w:color="auto" w:frame="1"/>
        </w:rPr>
        <w:t xml:space="preserve">epciones al </w:t>
      </w:r>
      <w:r w:rsidRPr="00AC66B3">
        <w:rPr>
          <w:rFonts w:ascii="Times New Roman" w:hAnsi="Times New Roman" w:cs="Times New Roman"/>
          <w:sz w:val="28"/>
          <w:szCs w:val="28"/>
        </w:rPr>
        <w:t>EGCAP.</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Para sustentar esta conclusión, en su conjunto, los accionantes sostienen, primero, que, al tenor de la norma habilitante, el presidente de la República tenía facultades para «definir» —no para </w:t>
      </w:r>
      <w:r w:rsidRPr="00AC66B3">
        <w:rPr>
          <w:rFonts w:ascii="Times New Roman" w:hAnsi="Times New Roman" w:cs="Times New Roman"/>
          <w:bCs/>
          <w:i/>
          <w:iCs/>
          <w:sz w:val="28"/>
          <w:szCs w:val="28"/>
          <w:bdr w:val="none" w:sz="0" w:space="0" w:color="auto" w:frame="1"/>
        </w:rPr>
        <w:t>exceptuar</w:t>
      </w:r>
      <w:r w:rsidRPr="00AC66B3">
        <w:rPr>
          <w:rFonts w:ascii="Times New Roman" w:hAnsi="Times New Roman" w:cs="Times New Roman"/>
          <w:bCs/>
          <w:sz w:val="28"/>
          <w:szCs w:val="28"/>
          <w:bdr w:val="none" w:sz="0" w:space="0" w:color="auto" w:frame="1"/>
        </w:rPr>
        <w:t>— el «régimen jurídico aplicable»</w:t>
      </w:r>
      <w:r w:rsidRPr="00AC66B3">
        <w:rPr>
          <w:rFonts w:ascii="Times New Roman" w:hAnsi="Times New Roman" w:cs="Times New Roman"/>
          <w:bCs/>
          <w:sz w:val="28"/>
          <w:szCs w:val="28"/>
          <w:bdr w:val="none" w:sz="0" w:space="0" w:color="auto" w:frame="1"/>
        </w:rPr>
        <w:t xml:space="preserve"> al Invir. Ese régimen se refiere, dicen los actores, al conjunto de normas aplicables a los actos y contratos de la entidad. Al tenor del artículo </w:t>
      </w:r>
      <w:r w:rsidRPr="00AC66B3">
        <w:rPr>
          <w:rFonts w:ascii="Times New Roman" w:hAnsi="Times New Roman" w:cs="Times New Roman"/>
          <w:sz w:val="28"/>
          <w:szCs w:val="28"/>
        </w:rPr>
        <w:t xml:space="preserve">81 de la Ley 489 de 1998, y dado que el Invir es un establecimiento público, los contratos que suscriba ese </w:t>
      </w:r>
      <w:r w:rsidRPr="00AC66B3">
        <w:rPr>
          <w:rFonts w:ascii="Times New Roman" w:hAnsi="Times New Roman" w:cs="Times New Roman"/>
          <w:sz w:val="28"/>
          <w:szCs w:val="28"/>
        </w:rPr>
        <w:t xml:space="preserve">instituto se deben regir por el EGCAP.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Y, segundo, las normas acusadas no guardan conexidad con el objeto de la norma habilitante y su alcance material, así como tampoco con las facultades atribuidas al presidente de la República. Esto por cuanto ninguna</w:t>
      </w:r>
      <w:r w:rsidRPr="00AC66B3">
        <w:rPr>
          <w:rFonts w:ascii="Times New Roman" w:hAnsi="Times New Roman" w:cs="Times New Roman"/>
          <w:sz w:val="28"/>
          <w:szCs w:val="28"/>
        </w:rPr>
        <w:t xml:space="preserve"> de ellas prevé la posibilidad de introducir una nueva causal de contratación directa en el mencionado estatuto.</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En concordancia con el cargo admitido, la Corte Constitucional debe resolver el siguiente problema jurídico: </w:t>
      </w:r>
      <w:bookmarkStart w:id="9" w:name="_Hlk168037760"/>
      <w:r w:rsidRPr="00AC66B3">
        <w:rPr>
          <w:rFonts w:ascii="Times New Roman" w:hAnsi="Times New Roman" w:cs="Times New Roman"/>
          <w:sz w:val="28"/>
          <w:szCs w:val="28"/>
        </w:rPr>
        <w:t>¿Los artículos 1 (parcial), 9.5 (</w:t>
      </w:r>
      <w:r w:rsidRPr="00AC66B3">
        <w:rPr>
          <w:rFonts w:ascii="Times New Roman" w:hAnsi="Times New Roman" w:cs="Times New Roman"/>
          <w:sz w:val="28"/>
          <w:szCs w:val="28"/>
        </w:rPr>
        <w:t>parcial) y 35 (parágrafo 1) del Decreto Ley 1961 de 2023, los cuales establecen que el Invir podrá suscribir contratos con determinadas personas y organizaciones sociales bajo la modalidad de contratación directa, sin importar su cuantía, vulneran el artíc</w:t>
      </w:r>
      <w:r w:rsidRPr="00AC66B3">
        <w:rPr>
          <w:rFonts w:ascii="Times New Roman" w:hAnsi="Times New Roman" w:cs="Times New Roman"/>
          <w:sz w:val="28"/>
          <w:szCs w:val="28"/>
        </w:rPr>
        <w:t>ulo 150, numeral 10, del texto superior porque constituyen una extralimitación en el ejercicio de la competencia atribuida al presidente de la República por el artículo 368 de la Ley 2294 de 2023?</w:t>
      </w:r>
    </w:p>
    <w:bookmarkEnd w:id="9"/>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Para resolver el problema jurídico, esta corporación se re</w:t>
      </w:r>
      <w:r w:rsidRPr="00AC66B3">
        <w:rPr>
          <w:rFonts w:ascii="Times New Roman" w:hAnsi="Times New Roman" w:cs="Times New Roman"/>
          <w:sz w:val="28"/>
          <w:szCs w:val="28"/>
        </w:rPr>
        <w:t>ferirá a la jurisprudencia que se ha pronunciado sobre el alcance y la interpretación de las facultades extraordinarias otorgadas por el Legislador al presidente de la República para expedir normas con fuerza de ley. Para terminar, se dará solución al carg</w:t>
      </w:r>
      <w:r w:rsidRPr="00AC66B3">
        <w:rPr>
          <w:rFonts w:ascii="Times New Roman" w:hAnsi="Times New Roman" w:cs="Times New Roman"/>
          <w:sz w:val="28"/>
          <w:szCs w:val="28"/>
        </w:rPr>
        <w:t>o de inconstitucionalidad propuesto.</w:t>
      </w:r>
    </w:p>
    <w:p w:rsidR="000A045E" w:rsidRPr="00AC66B3" w:rsidRDefault="00AC66B3" w:rsidP="000A045E">
      <w:pPr>
        <w:tabs>
          <w:tab w:val="left" w:pos="142"/>
          <w:tab w:val="left" w:pos="284"/>
        </w:tabs>
        <w:jc w:val="both"/>
        <w:rPr>
          <w:rFonts w:ascii="Times New Roman" w:hAnsi="Times New Roman" w:cs="Times New Roman"/>
          <w:bCs/>
          <w:sz w:val="28"/>
          <w:szCs w:val="28"/>
          <w:bdr w:val="none" w:sz="0" w:space="0" w:color="auto" w:frame="1"/>
        </w:rPr>
      </w:pPr>
    </w:p>
    <w:p w:rsidR="000A045E" w:rsidRPr="00AC66B3" w:rsidRDefault="00AC66B3" w:rsidP="000A045E">
      <w:pPr>
        <w:ind w:right="51"/>
        <w:jc w:val="both"/>
        <w:rPr>
          <w:rFonts w:ascii="Times New Roman" w:hAnsi="Times New Roman" w:cs="Times New Roman"/>
          <w:b/>
          <w:bCs/>
          <w:sz w:val="28"/>
          <w:szCs w:val="28"/>
        </w:rPr>
      </w:pPr>
      <w:bookmarkStart w:id="10" w:name="_Hlk167105153"/>
      <w:bookmarkStart w:id="11" w:name="_Hlk167103770"/>
      <w:r w:rsidRPr="00AC66B3">
        <w:rPr>
          <w:rFonts w:ascii="Times New Roman" w:hAnsi="Times New Roman" w:cs="Times New Roman"/>
          <w:b/>
          <w:bCs/>
          <w:sz w:val="28"/>
          <w:szCs w:val="28"/>
        </w:rPr>
        <w:t xml:space="preserve">5. </w:t>
      </w:r>
      <w:bookmarkStart w:id="12" w:name="_Hlk168037832"/>
      <w:r w:rsidRPr="00AC66B3">
        <w:rPr>
          <w:rFonts w:ascii="Times New Roman" w:hAnsi="Times New Roman" w:cs="Times New Roman"/>
          <w:b/>
          <w:sz w:val="28"/>
          <w:szCs w:val="28"/>
        </w:rPr>
        <w:t>Límites constitucionales y jurisprudenciales al ejercicio de las facultades extraordinarias conferidas al presidente de la República por el Legislador</w:t>
      </w:r>
      <w:bookmarkEnd w:id="12"/>
      <w:r w:rsidRPr="00AC66B3">
        <w:rPr>
          <w:rFonts w:ascii="Times New Roman" w:hAnsi="Times New Roman" w:cs="Times New Roman"/>
          <w:b/>
          <w:sz w:val="28"/>
          <w:szCs w:val="28"/>
        </w:rPr>
        <w:t>.</w:t>
      </w:r>
      <w:r w:rsidRPr="00AC66B3">
        <w:rPr>
          <w:rFonts w:ascii="Times New Roman" w:hAnsi="Times New Roman" w:cs="Times New Roman"/>
          <w:b/>
          <w:bCs/>
          <w:sz w:val="28"/>
          <w:szCs w:val="28"/>
        </w:rPr>
        <w:t xml:space="preserve"> Reiteración de jurisprudencia</w:t>
      </w:r>
    </w:p>
    <w:p w:rsidR="000A045E" w:rsidRPr="00AC66B3" w:rsidRDefault="00AC66B3" w:rsidP="000A045E">
      <w:pPr>
        <w:tabs>
          <w:tab w:val="left" w:pos="142"/>
          <w:tab w:val="left" w:pos="284"/>
        </w:tabs>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El artículo 150 de la Constituci</w:t>
      </w:r>
      <w:r w:rsidRPr="00AC66B3">
        <w:rPr>
          <w:rFonts w:ascii="Times New Roman" w:hAnsi="Times New Roman" w:cs="Times New Roman"/>
          <w:sz w:val="28"/>
          <w:szCs w:val="28"/>
        </w:rPr>
        <w:t>ón dispone que, en virtud de la cláusula general de competencia en materia legislativa, le corresponde al Congreso de la República hacer las leyes. No obstante, al tenor del numeral 10 de ese mismo artículo, en ejercicio de la mencionada competencia, el Co</w:t>
      </w:r>
      <w:r w:rsidRPr="00AC66B3">
        <w:rPr>
          <w:rFonts w:ascii="Times New Roman" w:hAnsi="Times New Roman" w:cs="Times New Roman"/>
          <w:sz w:val="28"/>
          <w:szCs w:val="28"/>
        </w:rPr>
        <w:t>ngreso puede, de manera excepcional, revestir al presidente de la República de precisas facultades extraordinarias para expedir normas con fuerza de ley «cuando la necesidad lo exija o la conveniencia pública lo aconseje</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58"/>
      </w:r>
      <w:r w:rsidRPr="00AC66B3">
        <w:rPr>
          <w:rFonts w:ascii="Times New Roman" w:hAnsi="Times New Roman" w:cs="Times New Roman"/>
          <w:sz w:val="28"/>
          <w:szCs w:val="28"/>
        </w:rPr>
        <w:t>. Estas normas se denominan decret</w:t>
      </w:r>
      <w:r w:rsidRPr="00AC66B3">
        <w:rPr>
          <w:rFonts w:ascii="Times New Roman" w:hAnsi="Times New Roman" w:cs="Times New Roman"/>
          <w:sz w:val="28"/>
          <w:szCs w:val="28"/>
        </w:rPr>
        <w:t xml:space="preserve">os leyes.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El citado numeral determina los siguientes límites temporales, procedimentales y materiales a los que está sometido el otorgamiento de dichas facultades: (i) el presidente de la República solo puede hacer uso de la facultad legislativa por el t</w:t>
      </w:r>
      <w:r w:rsidRPr="00AC66B3">
        <w:rPr>
          <w:rFonts w:ascii="Times New Roman" w:hAnsi="Times New Roman" w:cs="Times New Roman"/>
          <w:sz w:val="28"/>
          <w:szCs w:val="28"/>
        </w:rPr>
        <w:t>érmino de seis meses</w:t>
      </w:r>
      <w:r w:rsidRPr="00AC66B3">
        <w:rPr>
          <w:rStyle w:val="Refdenotaalpie"/>
          <w:rFonts w:ascii="Times New Roman" w:hAnsi="Times New Roman" w:cs="Times New Roman"/>
          <w:sz w:val="28"/>
          <w:szCs w:val="28"/>
        </w:rPr>
        <w:footnoteReference w:id="59"/>
      </w:r>
      <w:r w:rsidRPr="00AC66B3">
        <w:rPr>
          <w:rFonts w:ascii="Times New Roman" w:hAnsi="Times New Roman" w:cs="Times New Roman"/>
          <w:sz w:val="28"/>
          <w:szCs w:val="28"/>
        </w:rPr>
        <w:t>; (ii) las facultades deben ser solicitadas expresamente por el Gobierno nacional</w:t>
      </w:r>
      <w:r w:rsidRPr="00AC66B3">
        <w:rPr>
          <w:rStyle w:val="Refdenotaalpie"/>
          <w:rFonts w:ascii="Times New Roman" w:hAnsi="Times New Roman" w:cs="Times New Roman"/>
          <w:sz w:val="28"/>
          <w:szCs w:val="28"/>
        </w:rPr>
        <w:footnoteReference w:id="60"/>
      </w:r>
      <w:r w:rsidRPr="00AC66B3">
        <w:rPr>
          <w:rFonts w:ascii="Times New Roman" w:hAnsi="Times New Roman" w:cs="Times New Roman"/>
          <w:sz w:val="28"/>
          <w:szCs w:val="28"/>
        </w:rPr>
        <w:t xml:space="preserve">; (iii) su aprobación requiere de la mayoría absoluta de los miembros de una y otra cámara; (iv) el Congreso podrá, en todo tiempo y por iniciativa </w:t>
      </w:r>
      <w:r w:rsidRPr="00AC66B3">
        <w:rPr>
          <w:rFonts w:ascii="Times New Roman" w:hAnsi="Times New Roman" w:cs="Times New Roman"/>
          <w:sz w:val="28"/>
          <w:szCs w:val="28"/>
        </w:rPr>
        <w:t>propia, modificar los decretos leyes dictados por el Gobierno y (v) esas facultades no se podrán conferir para expedir códigos, leyes estatutarias, orgánicas, leyes marco</w:t>
      </w:r>
      <w:r w:rsidRPr="00AC66B3">
        <w:rPr>
          <w:rStyle w:val="Refdenotaalpie"/>
          <w:rFonts w:ascii="Times New Roman" w:hAnsi="Times New Roman" w:cs="Times New Roman"/>
          <w:sz w:val="28"/>
          <w:szCs w:val="28"/>
        </w:rPr>
        <w:footnoteReference w:id="61"/>
      </w:r>
      <w:r w:rsidRPr="00AC66B3">
        <w:rPr>
          <w:rFonts w:ascii="Times New Roman" w:hAnsi="Times New Roman" w:cs="Times New Roman"/>
          <w:sz w:val="28"/>
          <w:szCs w:val="28"/>
        </w:rPr>
        <w:t xml:space="preserve"> o decretar impuestos.</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La Corte ha afirmado que los límites constitucionales antes señalados son </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 xml:space="preserve">una </w:t>
      </w:r>
      <w:r w:rsidRPr="00AC66B3">
        <w:rPr>
          <w:rFonts w:ascii="Times New Roman" w:hAnsi="Times New Roman" w:cs="Times New Roman"/>
          <w:bCs/>
          <w:iCs/>
          <w:sz w:val="28"/>
          <w:szCs w:val="28"/>
          <w:bdr w:val="none" w:sz="0" w:space="0" w:color="auto" w:frame="1"/>
        </w:rPr>
        <w:t>respuesta legítima y adecuada al desbordamiento de las facultades extraordinarias que se produjo en forma tan notable y fecunda bajo el régimen de la anterior normatividad const</w:t>
      </w:r>
      <w:r w:rsidRPr="00AC66B3">
        <w:rPr>
          <w:rFonts w:ascii="Times New Roman" w:hAnsi="Times New Roman" w:cs="Times New Roman"/>
          <w:bCs/>
          <w:iCs/>
          <w:sz w:val="28"/>
          <w:szCs w:val="28"/>
          <w:bdr w:val="none" w:sz="0" w:space="0" w:color="auto" w:frame="1"/>
        </w:rPr>
        <w:t>itucional</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62"/>
      </w:r>
      <w:r w:rsidRPr="00AC66B3">
        <w:rPr>
          <w:rFonts w:ascii="Times New Roman" w:hAnsi="Times New Roman" w:cs="Times New Roman"/>
          <w:bCs/>
          <w:sz w:val="28"/>
          <w:szCs w:val="28"/>
          <w:lang w:eastAsia="es-ES"/>
        </w:rPr>
        <w:t xml:space="preserve">. Por eso, aunque </w:t>
      </w:r>
      <w:r w:rsidRPr="00AC66B3">
        <w:rPr>
          <w:rFonts w:ascii="Times New Roman" w:hAnsi="Times New Roman" w:cs="Times New Roman"/>
          <w:bCs/>
          <w:sz w:val="28"/>
          <w:szCs w:val="28"/>
        </w:rPr>
        <w:t>la posibilidad de otorgar facultades extraordinarias al presidente es el resultado de la colaboración armónica entre las ramas del poder</w:t>
      </w:r>
      <w:r w:rsidRPr="00AC66B3">
        <w:rPr>
          <w:rStyle w:val="Refdenotaalpie"/>
          <w:rFonts w:ascii="Times New Roman" w:hAnsi="Times New Roman" w:cs="Times New Roman"/>
          <w:bCs/>
          <w:sz w:val="28"/>
          <w:szCs w:val="28"/>
        </w:rPr>
        <w:footnoteReference w:id="63"/>
      </w:r>
      <w:r w:rsidRPr="00AC66B3">
        <w:rPr>
          <w:rFonts w:ascii="Times New Roman" w:hAnsi="Times New Roman" w:cs="Times New Roman"/>
          <w:bCs/>
          <w:sz w:val="28"/>
          <w:szCs w:val="28"/>
        </w:rPr>
        <w:t>, dichos límites son necesarios porque</w:t>
      </w:r>
      <w:r w:rsidRPr="00AC66B3">
        <w:rPr>
          <w:rFonts w:ascii="Times New Roman" w:hAnsi="Times New Roman" w:cs="Times New Roman"/>
          <w:bCs/>
          <w:sz w:val="28"/>
          <w:szCs w:val="28"/>
          <w:lang w:eastAsia="es-ES"/>
        </w:rPr>
        <w:t xml:space="preserve"> buscan el fortalecimiento de los principios democrá</w:t>
      </w:r>
      <w:r w:rsidRPr="00AC66B3">
        <w:rPr>
          <w:rFonts w:ascii="Times New Roman" w:hAnsi="Times New Roman" w:cs="Times New Roman"/>
          <w:bCs/>
          <w:sz w:val="28"/>
          <w:szCs w:val="28"/>
          <w:lang w:eastAsia="es-ES"/>
        </w:rPr>
        <w:t>tico y de separación de poderes, así como la expansión del principio de reserva de ley</w:t>
      </w:r>
      <w:r w:rsidRPr="00AC66B3">
        <w:rPr>
          <w:rStyle w:val="Refdenotaalpie"/>
          <w:rFonts w:ascii="Times New Roman" w:hAnsi="Times New Roman" w:cs="Times New Roman"/>
          <w:bCs/>
          <w:sz w:val="28"/>
          <w:szCs w:val="28"/>
          <w:lang w:eastAsia="es-ES"/>
        </w:rPr>
        <w:footnoteReference w:id="64"/>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lang w:eastAsia="es-ES"/>
        </w:rPr>
        <w:t>El análisis que ha efectuado la Sala Plena en estos casos consta de los siguientes dos juicios</w:t>
      </w:r>
      <w:r w:rsidRPr="00AC66B3">
        <w:rPr>
          <w:rStyle w:val="Refdenotaalpie"/>
          <w:rFonts w:ascii="Times New Roman" w:hAnsi="Times New Roman" w:cs="Times New Roman"/>
          <w:bCs/>
          <w:sz w:val="28"/>
          <w:szCs w:val="28"/>
          <w:lang w:eastAsia="es-ES"/>
        </w:rPr>
        <w:footnoteReference w:id="65"/>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lang w:val="es-ES" w:eastAsia="es-ES"/>
        </w:rPr>
      </w:pPr>
      <w:r w:rsidRPr="00AC66B3">
        <w:rPr>
          <w:rFonts w:ascii="Times New Roman" w:hAnsi="Times New Roman" w:cs="Times New Roman"/>
          <w:b/>
          <w:sz w:val="28"/>
          <w:szCs w:val="28"/>
          <w:bdr w:val="none" w:sz="0" w:space="0" w:color="auto" w:frame="1"/>
        </w:rPr>
        <w:t xml:space="preserve">5.1. </w:t>
      </w:r>
      <w:r w:rsidRPr="00AC66B3">
        <w:rPr>
          <w:rFonts w:ascii="Times New Roman" w:hAnsi="Times New Roman" w:cs="Times New Roman"/>
          <w:b/>
          <w:sz w:val="28"/>
          <w:szCs w:val="28"/>
          <w:lang w:val="es-ES" w:eastAsia="es-ES"/>
        </w:rPr>
        <w:t xml:space="preserve">Primer juicio: la constitucionalidad de la ley de facultades </w:t>
      </w:r>
      <w:r w:rsidRPr="00AC66B3">
        <w:rPr>
          <w:rFonts w:ascii="Times New Roman" w:hAnsi="Times New Roman" w:cs="Times New Roman"/>
          <w:b/>
          <w:sz w:val="28"/>
          <w:szCs w:val="28"/>
          <w:lang w:val="es-ES" w:eastAsia="es-ES"/>
        </w:rPr>
        <w:t>extraordinarias</w:t>
      </w:r>
      <w:r w:rsidRPr="00AC66B3">
        <w:rPr>
          <w:rStyle w:val="Refdenotaalpie"/>
          <w:rFonts w:ascii="Times New Roman" w:hAnsi="Times New Roman" w:cs="Times New Roman"/>
          <w:b/>
          <w:sz w:val="28"/>
          <w:szCs w:val="28"/>
          <w:lang w:val="es-ES" w:eastAsia="es-ES"/>
        </w:rPr>
        <w:footnoteReference w:id="66"/>
      </w: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val="es-ES" w:eastAsia="es-ES"/>
        </w:rPr>
        <w:t xml:space="preserve">Este juicio supone verificar el cumplimiento de las condiciones y límites constitucionales para la delegación legislativa. La declaratoria de inexequibilidad de la norma habilitante conduce inexorablemente a la declaratoria de </w:t>
      </w:r>
      <w:r w:rsidRPr="00AC66B3">
        <w:rPr>
          <w:rFonts w:ascii="Times New Roman" w:hAnsi="Times New Roman" w:cs="Times New Roman"/>
          <w:bCs/>
          <w:sz w:val="28"/>
          <w:szCs w:val="28"/>
          <w:lang w:val="es-ES" w:eastAsia="es-ES"/>
        </w:rPr>
        <w:t>inexequibilidad del decreto ley</w:t>
      </w:r>
      <w:r w:rsidRPr="00AC66B3">
        <w:rPr>
          <w:rStyle w:val="Refdenotaalpie"/>
          <w:rFonts w:ascii="Times New Roman" w:hAnsi="Times New Roman" w:cs="Times New Roman"/>
          <w:bCs/>
          <w:sz w:val="28"/>
          <w:szCs w:val="28"/>
          <w:lang w:val="es-ES" w:eastAsia="es-ES"/>
        </w:rPr>
        <w:footnoteReference w:id="67"/>
      </w:r>
      <w:r w:rsidRPr="00AC66B3">
        <w:rPr>
          <w:rFonts w:ascii="Times New Roman" w:hAnsi="Times New Roman" w:cs="Times New Roman"/>
          <w:bCs/>
          <w:sz w:val="28"/>
          <w:szCs w:val="28"/>
          <w:lang w:val="es-ES" w:eastAsia="es-ES"/>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Cs/>
          <w:sz w:val="28"/>
          <w:szCs w:val="28"/>
          <w:bdr w:val="none" w:sz="0" w:space="0" w:color="auto" w:frame="1"/>
        </w:rPr>
      </w:pPr>
      <w:r w:rsidRPr="00AC66B3">
        <w:rPr>
          <w:rFonts w:ascii="Times New Roman" w:hAnsi="Times New Roman" w:cs="Times New Roman"/>
          <w:sz w:val="28"/>
          <w:szCs w:val="28"/>
        </w:rPr>
        <w:t xml:space="preserve">La Corte ha afirmado que la norma </w:t>
      </w:r>
      <w:r w:rsidRPr="00AC66B3">
        <w:rPr>
          <w:rFonts w:ascii="Times New Roman" w:hAnsi="Times New Roman" w:cs="Times New Roman"/>
          <w:bCs/>
          <w:sz w:val="28"/>
          <w:szCs w:val="28"/>
          <w:lang w:val="es-ES" w:eastAsia="es-ES"/>
        </w:rPr>
        <w:t xml:space="preserve">habilitante debe ser </w:t>
      </w:r>
      <w:r w:rsidRPr="00AC66B3">
        <w:rPr>
          <w:rFonts w:ascii="Times New Roman" w:hAnsi="Times New Roman" w:cs="Times New Roman"/>
          <w:bCs/>
          <w:i/>
          <w:iCs/>
          <w:sz w:val="28"/>
          <w:szCs w:val="28"/>
          <w:lang w:val="es-ES" w:eastAsia="es-ES"/>
        </w:rPr>
        <w:t>precisa</w:t>
      </w:r>
      <w:r w:rsidRPr="00AC66B3">
        <w:rPr>
          <w:rStyle w:val="Refdenotaalpie"/>
          <w:rFonts w:ascii="Times New Roman" w:hAnsi="Times New Roman" w:cs="Times New Roman"/>
          <w:bCs/>
          <w:sz w:val="28"/>
          <w:szCs w:val="28"/>
          <w:lang w:val="es-ES" w:eastAsia="es-ES"/>
        </w:rPr>
        <w:footnoteReference w:id="68"/>
      </w:r>
      <w:r w:rsidRPr="00AC66B3">
        <w:rPr>
          <w:rFonts w:ascii="Times New Roman" w:hAnsi="Times New Roman" w:cs="Times New Roman"/>
          <w:bCs/>
          <w:sz w:val="28"/>
          <w:szCs w:val="28"/>
          <w:lang w:val="es-ES" w:eastAsia="es-ES"/>
        </w:rPr>
        <w:t>. Esto significa que debe ser inequívoca sobre cuáles son los asuntos que podrán ser legislados mediante decretos leyes y cuál es el campo de acción legislati</w:t>
      </w:r>
      <w:r w:rsidRPr="00AC66B3">
        <w:rPr>
          <w:rFonts w:ascii="Times New Roman" w:hAnsi="Times New Roman" w:cs="Times New Roman"/>
          <w:bCs/>
          <w:sz w:val="28"/>
          <w:szCs w:val="28"/>
          <w:lang w:val="es-ES" w:eastAsia="es-ES"/>
        </w:rPr>
        <w:t>va del presidente de la República</w:t>
      </w:r>
      <w:r w:rsidRPr="00AC66B3">
        <w:rPr>
          <w:rStyle w:val="Refdenotaalpie"/>
          <w:rFonts w:ascii="Times New Roman" w:hAnsi="Times New Roman" w:cs="Times New Roman"/>
          <w:bCs/>
          <w:sz w:val="28"/>
          <w:szCs w:val="28"/>
          <w:lang w:val="es-ES" w:eastAsia="es-ES"/>
        </w:rPr>
        <w:footnoteReference w:id="69"/>
      </w:r>
      <w:r w:rsidRPr="00AC66B3">
        <w:rPr>
          <w:rFonts w:ascii="Times New Roman" w:hAnsi="Times New Roman" w:cs="Times New Roman"/>
          <w:bCs/>
          <w:sz w:val="28"/>
          <w:szCs w:val="28"/>
          <w:lang w:val="es-ES" w:eastAsia="es-ES"/>
        </w:rPr>
        <w:t xml:space="preserve">. El cumplimiento de este requisito no tiene relación alguna con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la extensión, grado de amplitud o generalidad de las facultades conferidas</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70"/>
      </w:r>
      <w:r w:rsidRPr="00AC66B3">
        <w:rPr>
          <w:rFonts w:ascii="Times New Roman" w:hAnsi="Times New Roman" w:cs="Times New Roman"/>
          <w:bCs/>
          <w:sz w:val="28"/>
          <w:szCs w:val="28"/>
          <w:lang w:eastAsia="es-ES"/>
        </w:rPr>
        <w:t>, sino con la claridad de estas.</w:t>
      </w:r>
      <w:r w:rsidRPr="00AC66B3">
        <w:rPr>
          <w:rFonts w:ascii="Times New Roman" w:hAnsi="Times New Roman" w:cs="Times New Roman"/>
          <w:bCs/>
          <w:sz w:val="28"/>
          <w:szCs w:val="28"/>
          <w:lang w:val="es-ES" w:eastAsia="es-ES"/>
        </w:rPr>
        <w:t xml:space="preserve"> La citada exigencia tampoco equivale a la taxatividad o a la descripción detallada y minuciosa de las materias delegadas. Ello vaciaría la delegación, en la medida en que la norma habilitante sería por sí sola suficiente para regular la materia y, por tan</w:t>
      </w:r>
      <w:r w:rsidRPr="00AC66B3">
        <w:rPr>
          <w:rFonts w:ascii="Times New Roman" w:hAnsi="Times New Roman" w:cs="Times New Roman"/>
          <w:bCs/>
          <w:sz w:val="28"/>
          <w:szCs w:val="28"/>
          <w:lang w:val="es-ES" w:eastAsia="es-ES"/>
        </w:rPr>
        <w:t>to, el presidente de la República únicamente podría reiterar lo ya establecido por el Legislador</w:t>
      </w:r>
      <w:r w:rsidRPr="00AC66B3">
        <w:rPr>
          <w:rStyle w:val="Refdenotaalpie"/>
          <w:rFonts w:ascii="Times New Roman" w:hAnsi="Times New Roman" w:cs="Times New Roman"/>
          <w:bCs/>
          <w:sz w:val="28"/>
          <w:szCs w:val="28"/>
          <w:lang w:val="es-ES" w:eastAsia="es-ES"/>
        </w:rPr>
        <w:footnoteReference w:id="71"/>
      </w:r>
      <w:r w:rsidRPr="00AC66B3">
        <w:rPr>
          <w:rFonts w:ascii="Times New Roman" w:hAnsi="Times New Roman" w:cs="Times New Roman"/>
          <w:bCs/>
          <w:sz w:val="28"/>
          <w:szCs w:val="28"/>
          <w:lang w:val="es-ES" w:eastAsia="es-ES"/>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Cs/>
          <w:sz w:val="28"/>
          <w:szCs w:val="28"/>
          <w:bdr w:val="none" w:sz="0" w:space="0" w:color="auto" w:frame="1"/>
        </w:rPr>
      </w:pPr>
      <w:r w:rsidRPr="00AC66B3">
        <w:rPr>
          <w:rFonts w:ascii="Times New Roman" w:hAnsi="Times New Roman" w:cs="Times New Roman"/>
          <w:bCs/>
          <w:sz w:val="28"/>
          <w:szCs w:val="28"/>
          <w:lang w:val="es-ES" w:eastAsia="es-ES"/>
        </w:rPr>
        <w:t xml:space="preserve">En otras palabras,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 xml:space="preserve">las facultades no pueden ser vagas e indeterminadas puesto que ello representaría una habilitación en blanco al Ejecutivo equivalente a </w:t>
      </w:r>
      <w:r w:rsidRPr="00AC66B3">
        <w:rPr>
          <w:rFonts w:ascii="Times New Roman" w:hAnsi="Times New Roman" w:cs="Times New Roman"/>
          <w:bCs/>
          <w:sz w:val="28"/>
          <w:szCs w:val="28"/>
          <w:lang w:val="es-ES" w:eastAsia="es-ES"/>
        </w:rPr>
        <w:t>una renuncia inaceptable del Congreso a ejercer la función legislativa que el constituyente le ha confiado</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val="es-ES" w:eastAsia="es-ES"/>
        </w:rPr>
        <w:footnoteReference w:id="72"/>
      </w:r>
      <w:r w:rsidRPr="00AC66B3">
        <w:rPr>
          <w:rFonts w:ascii="Times New Roman" w:hAnsi="Times New Roman" w:cs="Times New Roman"/>
          <w:bCs/>
          <w:sz w:val="28"/>
          <w:szCs w:val="28"/>
          <w:lang w:val="es-ES" w:eastAsia="es-ES"/>
        </w:rPr>
        <w:t xml:space="preserve">. De este modo, la exigencia de precisión es de la mayor relevancia porque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[u]na ley habilitante demasiado amplia o imprecisa vulnera el carácter e</w:t>
      </w:r>
      <w:r w:rsidRPr="00AC66B3">
        <w:rPr>
          <w:rFonts w:ascii="Times New Roman" w:hAnsi="Times New Roman" w:cs="Times New Roman"/>
          <w:bCs/>
          <w:sz w:val="28"/>
          <w:szCs w:val="28"/>
          <w:lang w:val="es-ES" w:eastAsia="es-ES"/>
        </w:rPr>
        <w:t>xcepcional de la facultad legislativa presidencial, al tratarse de una cesión de la función legislativa, más que de una delegación</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73"/>
      </w:r>
      <w:r w:rsidRPr="00AC66B3">
        <w:rPr>
          <w:rFonts w:ascii="Times New Roman" w:hAnsi="Times New Roman" w:cs="Times New Roman"/>
          <w:bCs/>
          <w:sz w:val="28"/>
          <w:szCs w:val="28"/>
          <w:lang w:eastAsia="es-ES"/>
        </w:rPr>
        <w:t xml:space="preserve">. Además, la precisión de las facultades concedidas permite evitar </w:t>
      </w:r>
      <w:r w:rsidRPr="00AC66B3">
        <w:rPr>
          <w:rFonts w:ascii="Times New Roman" w:hAnsi="Times New Roman" w:cs="Times New Roman"/>
          <w:sz w:val="28"/>
          <w:szCs w:val="28"/>
        </w:rPr>
        <w:t>«</w:t>
      </w:r>
      <w:r w:rsidRPr="00AC66B3">
        <w:rPr>
          <w:rFonts w:ascii="Times New Roman" w:hAnsi="Times New Roman" w:cs="Times New Roman"/>
          <w:bCs/>
          <w:iCs/>
          <w:sz w:val="28"/>
          <w:szCs w:val="28"/>
          <w:lang w:eastAsia="es-ES"/>
        </w:rPr>
        <w:t>posibles abusos o excesos en su ejercicio y, por ende, c</w:t>
      </w:r>
      <w:r w:rsidRPr="00AC66B3">
        <w:rPr>
          <w:rFonts w:ascii="Times New Roman" w:hAnsi="Times New Roman" w:cs="Times New Roman"/>
          <w:bCs/>
          <w:iCs/>
          <w:sz w:val="28"/>
          <w:szCs w:val="28"/>
          <w:lang w:eastAsia="es-ES"/>
        </w:rPr>
        <w:t>rear inseguridad jurídica</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74"/>
      </w:r>
      <w:r w:rsidRPr="00AC66B3">
        <w:rPr>
          <w:rFonts w:ascii="Times New Roman" w:hAnsi="Times New Roman" w:cs="Times New Roman"/>
          <w:bCs/>
          <w:sz w:val="28"/>
          <w:szCs w:val="28"/>
          <w:lang w:eastAsia="es-ES"/>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Cs/>
          <w:sz w:val="28"/>
          <w:szCs w:val="28"/>
          <w:bdr w:val="none" w:sz="0" w:space="0" w:color="auto" w:frame="1"/>
        </w:rPr>
      </w:pPr>
      <w:r w:rsidRPr="00AC66B3">
        <w:rPr>
          <w:rFonts w:ascii="Times New Roman" w:hAnsi="Times New Roman" w:cs="Times New Roman"/>
          <w:bCs/>
          <w:sz w:val="28"/>
          <w:szCs w:val="28"/>
          <w:lang w:eastAsia="es-ES"/>
        </w:rPr>
        <w:t xml:space="preserve">El mandato de precisión supone que el Congreso de la República debe: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1) indicar la materia que delimita el ámbito sustantivo de acción del Ejecutivo; 2) señalar la finalidad a la cual debe apuntar el presidente de la Repúblic</w:t>
      </w:r>
      <w:r w:rsidRPr="00AC66B3">
        <w:rPr>
          <w:rFonts w:ascii="Times New Roman" w:hAnsi="Times New Roman" w:cs="Times New Roman"/>
          <w:bCs/>
          <w:sz w:val="28"/>
          <w:szCs w:val="28"/>
          <w:lang w:val="es-ES" w:eastAsia="es-ES"/>
        </w:rPr>
        <w:t>a al ejercer las facultades; y 3) enunciar los criterios que han de orientar las decisiones del Ejecutivo respecto de las opciones de diseño de política pública dentro del ámbito material general de la habilitación</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75"/>
      </w:r>
      <w:r w:rsidRPr="00AC66B3">
        <w:rPr>
          <w:rFonts w:ascii="Times New Roman" w:hAnsi="Times New Roman" w:cs="Times New Roman"/>
          <w:bCs/>
          <w:sz w:val="28"/>
          <w:szCs w:val="28"/>
          <w:lang w:val="es-ES" w:eastAsia="es-ES"/>
        </w:rPr>
        <w:t>.</w:t>
      </w:r>
    </w:p>
    <w:p w:rsidR="000A045E" w:rsidRPr="00AC66B3" w:rsidRDefault="00AC66B3" w:rsidP="000A045E">
      <w:pPr>
        <w:tabs>
          <w:tab w:val="left" w:pos="142"/>
          <w:tab w:val="left" w:pos="284"/>
        </w:tabs>
        <w:jc w:val="both"/>
        <w:rPr>
          <w:rFonts w:ascii="Times New Roman" w:hAnsi="Times New Roman" w:cs="Times New Roman"/>
          <w:b/>
          <w:sz w:val="28"/>
          <w:szCs w:val="28"/>
          <w:bdr w:val="none" w:sz="0" w:space="0" w:color="auto" w:frame="1"/>
        </w:rPr>
      </w:pPr>
    </w:p>
    <w:p w:rsidR="000A045E" w:rsidRPr="00AC66B3" w:rsidRDefault="00AC66B3" w:rsidP="000A045E">
      <w:pPr>
        <w:tabs>
          <w:tab w:val="left" w:pos="142"/>
          <w:tab w:val="left" w:pos="284"/>
        </w:tabs>
        <w:jc w:val="both"/>
        <w:rPr>
          <w:rFonts w:ascii="Times New Roman" w:hAnsi="Times New Roman" w:cs="Times New Roman"/>
          <w:b/>
          <w:sz w:val="28"/>
          <w:szCs w:val="28"/>
          <w:bdr w:val="none" w:sz="0" w:space="0" w:color="auto" w:frame="1"/>
        </w:rPr>
      </w:pPr>
    </w:p>
    <w:p w:rsidR="000A045E" w:rsidRPr="00AC66B3" w:rsidRDefault="00AC66B3" w:rsidP="000A045E">
      <w:pPr>
        <w:tabs>
          <w:tab w:val="left" w:pos="142"/>
          <w:tab w:val="left" w:pos="284"/>
        </w:tabs>
        <w:jc w:val="both"/>
        <w:rPr>
          <w:rFonts w:ascii="Times New Roman" w:hAnsi="Times New Roman" w:cs="Times New Roman"/>
          <w:b/>
          <w:sz w:val="28"/>
          <w:szCs w:val="28"/>
          <w:bdr w:val="none" w:sz="0" w:space="0" w:color="auto" w:frame="1"/>
        </w:rPr>
      </w:pPr>
    </w:p>
    <w:p w:rsidR="000A045E" w:rsidRPr="00AC66B3" w:rsidRDefault="00AC66B3" w:rsidP="000A045E">
      <w:pPr>
        <w:tabs>
          <w:tab w:val="left" w:pos="142"/>
          <w:tab w:val="left" w:pos="284"/>
        </w:tabs>
        <w:jc w:val="both"/>
        <w:rPr>
          <w:rFonts w:ascii="Times New Roman" w:hAnsi="Times New Roman" w:cs="Times New Roman"/>
          <w:bCs/>
          <w:sz w:val="28"/>
          <w:szCs w:val="28"/>
          <w:bdr w:val="none" w:sz="0" w:space="0" w:color="auto" w:frame="1"/>
        </w:rPr>
      </w:pPr>
      <w:r w:rsidRPr="00AC66B3">
        <w:rPr>
          <w:rFonts w:ascii="Times New Roman" w:hAnsi="Times New Roman" w:cs="Times New Roman"/>
          <w:b/>
          <w:sz w:val="28"/>
          <w:szCs w:val="28"/>
          <w:bdr w:val="none" w:sz="0" w:space="0" w:color="auto" w:frame="1"/>
        </w:rPr>
        <w:t>5.2. Segundo juicio: el respeto a l</w:t>
      </w:r>
      <w:r w:rsidRPr="00AC66B3">
        <w:rPr>
          <w:rFonts w:ascii="Times New Roman" w:hAnsi="Times New Roman" w:cs="Times New Roman"/>
          <w:b/>
          <w:sz w:val="28"/>
          <w:szCs w:val="28"/>
          <w:bdr w:val="none" w:sz="0" w:space="0" w:color="auto" w:frame="1"/>
        </w:rPr>
        <w:t>os límites fijados en la norma habilitante por parte de las normas contenidas en el decreto ley</w:t>
      </w:r>
    </w:p>
    <w:p w:rsidR="000A045E" w:rsidRPr="00AC66B3" w:rsidRDefault="00AC66B3" w:rsidP="000A045E">
      <w:pPr>
        <w:pStyle w:val="Prrafodelista"/>
        <w:tabs>
          <w:tab w:val="left" w:pos="142"/>
          <w:tab w:val="left" w:pos="284"/>
        </w:tabs>
        <w:ind w:left="0"/>
        <w:jc w:val="both"/>
        <w:rPr>
          <w:rFonts w:ascii="Times New Roman" w:hAnsi="Times New Roman" w:cs="Times New Roman"/>
          <w:bCs/>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Cs/>
          <w:sz w:val="28"/>
          <w:szCs w:val="28"/>
          <w:bdr w:val="none" w:sz="0" w:space="0" w:color="auto" w:frame="1"/>
        </w:rPr>
      </w:pPr>
      <w:r w:rsidRPr="00AC66B3">
        <w:rPr>
          <w:rFonts w:ascii="Times New Roman" w:hAnsi="Times New Roman" w:cs="Times New Roman"/>
          <w:bCs/>
          <w:sz w:val="28"/>
          <w:szCs w:val="28"/>
          <w:bdr w:val="none" w:sz="0" w:space="0" w:color="auto" w:frame="1"/>
        </w:rPr>
        <w:t xml:space="preserve">Sobre este juicio, la corporación ha señalado que </w:t>
      </w:r>
      <w:r w:rsidRPr="00AC66B3">
        <w:rPr>
          <w:rFonts w:ascii="Times New Roman" w:hAnsi="Times New Roman" w:cs="Times New Roman"/>
          <w:bCs/>
          <w:sz w:val="28"/>
          <w:szCs w:val="28"/>
          <w:lang w:eastAsia="es-ES"/>
        </w:rPr>
        <w:t xml:space="preserve">el control de constitucionalidad de los decretos leyes debe ser más estricto y riguroso que aquel que se adelanta sobre las leyes expedidas por el Congreso de la República. Lo anterior, pues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 xml:space="preserve">altera el reparto ordinario de competencias normativas entre el </w:t>
      </w:r>
      <w:r w:rsidRPr="00AC66B3">
        <w:rPr>
          <w:rFonts w:ascii="Times New Roman" w:hAnsi="Times New Roman" w:cs="Times New Roman"/>
          <w:bCs/>
          <w:sz w:val="28"/>
          <w:szCs w:val="28"/>
          <w:lang w:eastAsia="es-ES"/>
        </w:rPr>
        <w:t>Congreso y el Ejecutivo»</w:t>
      </w:r>
      <w:r w:rsidRPr="00AC66B3">
        <w:rPr>
          <w:rStyle w:val="Refdenotaalpie"/>
          <w:rFonts w:ascii="Times New Roman" w:hAnsi="Times New Roman" w:cs="Times New Roman"/>
          <w:bCs/>
          <w:sz w:val="28"/>
          <w:szCs w:val="28"/>
          <w:lang w:eastAsia="es-ES"/>
        </w:rPr>
        <w:footnoteReference w:id="76"/>
      </w:r>
      <w:r w:rsidRPr="00AC66B3">
        <w:rPr>
          <w:rFonts w:ascii="Times New Roman" w:hAnsi="Times New Roman" w:cs="Times New Roman"/>
          <w:bCs/>
          <w:sz w:val="28"/>
          <w:szCs w:val="28"/>
          <w:lang w:eastAsia="es-ES"/>
        </w:rPr>
        <w:t xml:space="preserve">. La Corte ha explicado que </w:t>
      </w:r>
      <w:r w:rsidRPr="00AC66B3">
        <w:rPr>
          <w:rFonts w:ascii="Times New Roman" w:hAnsi="Times New Roman" w:cs="Times New Roman"/>
          <w:bCs/>
          <w:sz w:val="28"/>
          <w:szCs w:val="28"/>
          <w:lang w:val="es-ES" w:eastAsia="es-ES"/>
        </w:rPr>
        <w:t>en los casos en los que se cuestiona la constitucionalidad de un decreto ley no siempre es necesario examinar la constitucionalidad de la norma habilitante</w:t>
      </w:r>
      <w:r w:rsidRPr="00AC66B3">
        <w:rPr>
          <w:rStyle w:val="Refdenotaalpie"/>
          <w:rFonts w:ascii="Times New Roman" w:hAnsi="Times New Roman" w:cs="Times New Roman"/>
          <w:bCs/>
          <w:sz w:val="28"/>
          <w:szCs w:val="28"/>
          <w:lang w:val="es-ES" w:eastAsia="es-ES"/>
        </w:rPr>
        <w:footnoteReference w:id="77"/>
      </w:r>
      <w:r w:rsidRPr="00AC66B3">
        <w:rPr>
          <w:rFonts w:ascii="Times New Roman" w:hAnsi="Times New Roman" w:cs="Times New Roman"/>
          <w:bCs/>
          <w:sz w:val="28"/>
          <w:szCs w:val="28"/>
          <w:lang w:val="es-ES" w:eastAsia="es-ES"/>
        </w:rPr>
        <w:t>. En realidad, esta es una potestad excepcional</w:t>
      </w:r>
      <w:r w:rsidRPr="00AC66B3">
        <w:rPr>
          <w:rFonts w:ascii="Times New Roman" w:hAnsi="Times New Roman" w:cs="Times New Roman"/>
          <w:bCs/>
          <w:sz w:val="28"/>
          <w:szCs w:val="28"/>
          <w:lang w:val="es-ES" w:eastAsia="es-ES"/>
        </w:rPr>
        <w:t xml:space="preserve"> que puede ser ejercida por la Sala Plena mediante la integración de la unidad normativa, solo cuando aquella advierta que el asunto reúne los requisitos jurisprudenciales exigidos para el efecto</w:t>
      </w:r>
      <w:r w:rsidRPr="00AC66B3">
        <w:rPr>
          <w:rStyle w:val="Refdenotaalpie"/>
          <w:rFonts w:ascii="Times New Roman" w:hAnsi="Times New Roman" w:cs="Times New Roman"/>
          <w:bCs/>
          <w:sz w:val="28"/>
          <w:szCs w:val="28"/>
          <w:lang w:val="es-ES" w:eastAsia="es-ES"/>
        </w:rPr>
        <w:footnoteReference w:id="78"/>
      </w:r>
      <w:r w:rsidRPr="00AC66B3">
        <w:rPr>
          <w:rFonts w:ascii="Times New Roman" w:hAnsi="Times New Roman" w:cs="Times New Roman"/>
          <w:bCs/>
          <w:sz w:val="28"/>
          <w:szCs w:val="28"/>
          <w:lang w:val="es-ES"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lang w:val="es-ES" w:eastAsia="es-ES"/>
        </w:rPr>
        <w:t xml:space="preserve">En este contexto, </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lang w:val="es-ES"/>
        </w:rPr>
        <w:t xml:space="preserve">la ley de facultades extraordinarias </w:t>
      </w:r>
      <w:r w:rsidRPr="00AC66B3">
        <w:rPr>
          <w:rFonts w:ascii="Times New Roman" w:hAnsi="Times New Roman" w:cs="Times New Roman"/>
          <w:bCs/>
          <w:sz w:val="28"/>
          <w:szCs w:val="28"/>
          <w:bdr w:val="none" w:sz="0" w:space="0" w:color="auto" w:frame="1"/>
          <w:lang w:val="es-ES"/>
        </w:rPr>
        <w:t>opera como patrón o parámetro del control de constitucionalidad</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79"/>
      </w:r>
      <w:r w:rsidRPr="00AC66B3">
        <w:rPr>
          <w:rFonts w:ascii="Times New Roman" w:hAnsi="Times New Roman" w:cs="Times New Roman"/>
          <w:bCs/>
          <w:sz w:val="28"/>
          <w:szCs w:val="28"/>
          <w:lang w:eastAsia="es-ES"/>
        </w:rPr>
        <w:t>. En consecuencia, la transgresión de los límites fijados en la norma habilitante no produce la ilegalidad del decreto ley o de sus normas, sino su inconstitucionalidad porque es el texto sup</w:t>
      </w:r>
      <w:r w:rsidRPr="00AC66B3">
        <w:rPr>
          <w:rFonts w:ascii="Times New Roman" w:hAnsi="Times New Roman" w:cs="Times New Roman"/>
          <w:bCs/>
          <w:sz w:val="28"/>
          <w:szCs w:val="28"/>
          <w:lang w:eastAsia="es-ES"/>
        </w:rPr>
        <w:t xml:space="preserve">erior el que </w:t>
      </w:r>
      <w:r w:rsidRPr="00AC66B3">
        <w:rPr>
          <w:rFonts w:ascii="Times New Roman" w:hAnsi="Times New Roman" w:cs="Times New Roman"/>
          <w:bCs/>
          <w:sz w:val="28"/>
          <w:szCs w:val="28"/>
          <w:lang w:val="es-ES" w:eastAsia="es-ES"/>
        </w:rPr>
        <w:t>dispone el ejercicio limitado de facultades legislativas</w:t>
      </w:r>
      <w:r w:rsidRPr="00AC66B3">
        <w:rPr>
          <w:rFonts w:ascii="Times New Roman" w:hAnsi="Times New Roman" w:cs="Times New Roman"/>
          <w:bCs/>
          <w:sz w:val="28"/>
          <w:szCs w:val="28"/>
          <w:lang w:eastAsia="es-ES"/>
        </w:rPr>
        <w:t xml:space="preserve"> por parte del presidente de la República.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La jurisprudencia ha advertido que la excepcionalidad de la concesión de facultades legislativas al presidente de la República para expedir de</w:t>
      </w:r>
      <w:r w:rsidRPr="00AC66B3">
        <w:rPr>
          <w:rFonts w:ascii="Times New Roman" w:hAnsi="Times New Roman" w:cs="Times New Roman"/>
          <w:sz w:val="28"/>
          <w:szCs w:val="28"/>
        </w:rPr>
        <w:t>cretos leyes se garantiza no solo mediante el respeto de los límites indicados en el fundamento jurídico 79 de esta sentencia, sino también de dos condiciones adicionales. En primer lugar, «</w:t>
      </w:r>
      <w:r w:rsidRPr="00AC66B3">
        <w:rPr>
          <w:rFonts w:ascii="Times New Roman" w:hAnsi="Times New Roman" w:cs="Times New Roman"/>
          <w:bCs/>
          <w:sz w:val="28"/>
          <w:szCs w:val="28"/>
          <w:lang w:val="es-ES" w:eastAsia="es-ES"/>
        </w:rPr>
        <w:t>el proyecto de ley donde se incluya la atribución de facultades ex</w:t>
      </w:r>
      <w:r w:rsidRPr="00AC66B3">
        <w:rPr>
          <w:rFonts w:ascii="Times New Roman" w:hAnsi="Times New Roman" w:cs="Times New Roman"/>
          <w:bCs/>
          <w:sz w:val="28"/>
          <w:szCs w:val="28"/>
          <w:lang w:val="es-ES" w:eastAsia="es-ES"/>
        </w:rPr>
        <w:t>traordinarias debe contener una expresa motivación que sustente su concesión y las leyes de facultades extraordinarias deben responder al logro de un determinado fin que justificó su solicitud</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80"/>
      </w:r>
      <w:r w:rsidRPr="00AC66B3">
        <w:rPr>
          <w:rFonts w:ascii="Times New Roman" w:hAnsi="Times New Roman" w:cs="Times New Roman"/>
          <w:bCs/>
          <w:sz w:val="28"/>
          <w:szCs w:val="28"/>
          <w:lang w:eastAsia="es-ES"/>
        </w:rPr>
        <w:t>.</w:t>
      </w:r>
      <w:r w:rsidRPr="00AC66B3">
        <w:rPr>
          <w:rFonts w:ascii="Times New Roman" w:hAnsi="Times New Roman" w:cs="Times New Roman"/>
          <w:sz w:val="28"/>
          <w:szCs w:val="28"/>
        </w:rPr>
        <w:t xml:space="preserve"> La segunda condición se refiere a la extensión e interpretac</w:t>
      </w:r>
      <w:r w:rsidRPr="00AC66B3">
        <w:rPr>
          <w:rFonts w:ascii="Times New Roman" w:hAnsi="Times New Roman" w:cs="Times New Roman"/>
          <w:sz w:val="28"/>
          <w:szCs w:val="28"/>
        </w:rPr>
        <w:t xml:space="preserve">ión de la norma habilitante y, por consiguiente, de las facultades otorgadas.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bdr w:val="none" w:sz="0" w:space="0" w:color="auto" w:frame="1"/>
        </w:rPr>
        <w:t xml:space="preserve">Entonces, la constatación de la validez constitucional del decreto ley o de sus normas </w:t>
      </w:r>
      <w:r w:rsidRPr="00AC66B3">
        <w:rPr>
          <w:rFonts w:ascii="Times New Roman" w:hAnsi="Times New Roman" w:cs="Times New Roman"/>
          <w:bCs/>
          <w:sz w:val="28"/>
          <w:szCs w:val="28"/>
          <w:lang w:val="es-ES" w:eastAsia="es-ES"/>
        </w:rPr>
        <w:t xml:space="preserve">supone examinar la coherencia o congruencia de las normas del decreto con los motivos </w:t>
      </w:r>
      <w:r w:rsidRPr="00AC66B3">
        <w:rPr>
          <w:rFonts w:ascii="Times New Roman" w:hAnsi="Times New Roman" w:cs="Times New Roman"/>
          <w:bCs/>
          <w:i/>
          <w:iCs/>
          <w:sz w:val="28"/>
          <w:szCs w:val="28"/>
          <w:lang w:eastAsia="es-ES"/>
        </w:rPr>
        <w:t xml:space="preserve">concretos y precisos </w:t>
      </w:r>
      <w:r w:rsidRPr="00AC66B3">
        <w:rPr>
          <w:rFonts w:ascii="Times New Roman" w:hAnsi="Times New Roman" w:cs="Times New Roman"/>
          <w:bCs/>
          <w:sz w:val="28"/>
          <w:szCs w:val="28"/>
          <w:lang w:val="es-ES" w:eastAsia="es-ES"/>
        </w:rPr>
        <w:t xml:space="preserve">que manifestó el Gobierno nacional para solicitar las facultades extraordinarias y que fueron tenidos en cuenta por el Legislador para otorgarlas. Y, además, analizar el alcance de los términos empleados por la ley habilitante para </w:t>
      </w:r>
      <w:r w:rsidRPr="00AC66B3">
        <w:rPr>
          <w:rFonts w:ascii="Times New Roman" w:hAnsi="Times New Roman" w:cs="Times New Roman"/>
          <w:sz w:val="28"/>
          <w:szCs w:val="28"/>
          <w:lang w:eastAsia="es-ES_tradnl"/>
        </w:rPr>
        <w:t>con</w:t>
      </w:r>
      <w:r w:rsidRPr="00AC66B3">
        <w:rPr>
          <w:rFonts w:ascii="Times New Roman" w:hAnsi="Times New Roman" w:cs="Times New Roman"/>
          <w:sz w:val="28"/>
          <w:szCs w:val="28"/>
          <w:lang w:eastAsia="es-ES_tradnl"/>
        </w:rPr>
        <w:t xml:space="preserve">ferir las facultades extraordinarias </w:t>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lang w:val="es-ES_tradnl"/>
        </w:rPr>
        <w:t>el verbo rector de la facultad</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81"/>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sz w:val="28"/>
          <w:szCs w:val="28"/>
          <w:lang w:eastAsia="es-ES_tradnl"/>
        </w:rPr>
        <w:t>, los cuales acotan o demarcan el marco de acción legislativa del presidente de la República. Procede la Corte a analizar el alcance de estas dos condiciones y a desarrollar la metodol</w:t>
      </w:r>
      <w:r w:rsidRPr="00AC66B3">
        <w:rPr>
          <w:rFonts w:ascii="Times New Roman" w:hAnsi="Times New Roman" w:cs="Times New Roman"/>
          <w:sz w:val="28"/>
          <w:szCs w:val="28"/>
          <w:lang w:eastAsia="es-ES_tradnl"/>
        </w:rPr>
        <w:t xml:space="preserve">ogía empleada por la jurisprudencia para el efecto.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lang w:val="es-ES" w:eastAsia="es-ES"/>
        </w:rPr>
      </w:pPr>
      <w:r w:rsidRPr="00AC66B3">
        <w:rPr>
          <w:rFonts w:ascii="Times New Roman" w:hAnsi="Times New Roman" w:cs="Times New Roman"/>
          <w:b/>
          <w:sz w:val="28"/>
          <w:szCs w:val="28"/>
          <w:bdr w:val="none" w:sz="0" w:space="0" w:color="auto" w:frame="1"/>
        </w:rPr>
        <w:t xml:space="preserve">5.2.1. </w:t>
      </w:r>
      <w:r w:rsidRPr="00AC66B3">
        <w:rPr>
          <w:rFonts w:ascii="Times New Roman" w:hAnsi="Times New Roman" w:cs="Times New Roman"/>
          <w:b/>
          <w:sz w:val="28"/>
          <w:szCs w:val="28"/>
          <w:lang w:val="es-ES" w:eastAsia="es-ES"/>
        </w:rPr>
        <w:t>Congruencia de las normas del decreto con los motivos que manifestó el Gobierno nacional para solicitar las facultades extraordinarias</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lang w:val="es-ES" w:eastAsia="es-ES"/>
        </w:rPr>
        <w:t xml:space="preserve">La primera exigencia, la cual, como ya se dijo, hace </w:t>
      </w:r>
      <w:r w:rsidRPr="00AC66B3">
        <w:rPr>
          <w:rFonts w:ascii="Times New Roman" w:hAnsi="Times New Roman" w:cs="Times New Roman"/>
          <w:bCs/>
          <w:sz w:val="28"/>
          <w:szCs w:val="28"/>
          <w:lang w:val="es-ES" w:eastAsia="es-ES"/>
        </w:rPr>
        <w:t>posible la satisfacción del requisito de precisión de la norma habilitante</w:t>
      </w:r>
      <w:r w:rsidRPr="00AC66B3">
        <w:rPr>
          <w:rStyle w:val="Refdenotaalpie"/>
          <w:rFonts w:ascii="Times New Roman" w:hAnsi="Times New Roman" w:cs="Times New Roman"/>
          <w:bCs/>
          <w:sz w:val="28"/>
          <w:szCs w:val="28"/>
          <w:lang w:val="es-ES" w:eastAsia="es-ES"/>
        </w:rPr>
        <w:footnoteReference w:id="82"/>
      </w:r>
      <w:r w:rsidRPr="00AC66B3">
        <w:rPr>
          <w:rFonts w:ascii="Times New Roman" w:hAnsi="Times New Roman" w:cs="Times New Roman"/>
          <w:bCs/>
          <w:sz w:val="28"/>
          <w:szCs w:val="28"/>
          <w:lang w:val="es-ES" w:eastAsia="es-ES"/>
        </w:rPr>
        <w:t xml:space="preserve">, demanda que el </w:t>
      </w:r>
      <w:r w:rsidRPr="00AC66B3">
        <w:rPr>
          <w:rFonts w:ascii="Times New Roman" w:hAnsi="Times New Roman" w:cs="Times New Roman"/>
          <w:bCs/>
          <w:sz w:val="28"/>
          <w:szCs w:val="28"/>
          <w:lang w:eastAsia="es-ES"/>
        </w:rPr>
        <w:t xml:space="preserve">juez de control de constitucionalidad verifique (i) la coherencia entre </w:t>
      </w:r>
      <w:r w:rsidRPr="00AC66B3">
        <w:rPr>
          <w:rFonts w:ascii="Times New Roman" w:hAnsi="Times New Roman" w:cs="Times New Roman"/>
          <w:bCs/>
          <w:sz w:val="28"/>
          <w:szCs w:val="28"/>
          <w:lang w:val="es-ES" w:eastAsia="es-ES"/>
        </w:rPr>
        <w:t xml:space="preserve">las normas del decreto ley y los motivos </w:t>
      </w:r>
      <w:r w:rsidRPr="00AC66B3">
        <w:rPr>
          <w:rFonts w:ascii="Times New Roman" w:hAnsi="Times New Roman" w:cs="Times New Roman"/>
          <w:bCs/>
          <w:sz w:val="28"/>
          <w:szCs w:val="28"/>
          <w:lang w:eastAsia="es-ES"/>
        </w:rPr>
        <w:t>que fundaron la solicitud de facultades extraordina</w:t>
      </w:r>
      <w:r w:rsidRPr="00AC66B3">
        <w:rPr>
          <w:rFonts w:ascii="Times New Roman" w:hAnsi="Times New Roman" w:cs="Times New Roman"/>
          <w:bCs/>
          <w:sz w:val="28"/>
          <w:szCs w:val="28"/>
          <w:lang w:eastAsia="es-ES"/>
        </w:rPr>
        <w:t>rias</w:t>
      </w:r>
      <w:r w:rsidRPr="00AC66B3">
        <w:rPr>
          <w:rStyle w:val="Refdenotaalpie"/>
          <w:rFonts w:ascii="Times New Roman" w:hAnsi="Times New Roman" w:cs="Times New Roman"/>
          <w:bCs/>
          <w:sz w:val="28"/>
          <w:szCs w:val="28"/>
          <w:lang w:eastAsia="es-ES"/>
        </w:rPr>
        <w:footnoteReference w:id="83"/>
      </w:r>
      <w:r w:rsidRPr="00AC66B3">
        <w:rPr>
          <w:rFonts w:ascii="Times New Roman" w:hAnsi="Times New Roman" w:cs="Times New Roman"/>
          <w:bCs/>
          <w:sz w:val="28"/>
          <w:szCs w:val="28"/>
          <w:lang w:eastAsia="es-ES"/>
        </w:rPr>
        <w:t xml:space="preserve">, lo cual es particularmente importante cuando </w:t>
      </w:r>
      <w:r w:rsidRPr="00AC66B3">
        <w:rPr>
          <w:rFonts w:ascii="Times New Roman" w:hAnsi="Times New Roman" w:cs="Times New Roman"/>
          <w:sz w:val="28"/>
          <w:szCs w:val="28"/>
          <w:lang w:val="es-ES_tradnl"/>
        </w:rPr>
        <w:t>la ley habilitante presenta un amplio nivel de generalidad</w:t>
      </w:r>
      <w:r w:rsidRPr="00AC66B3">
        <w:rPr>
          <w:rStyle w:val="Refdenotaalpie"/>
          <w:rFonts w:ascii="Times New Roman" w:hAnsi="Times New Roman" w:cs="Times New Roman"/>
          <w:sz w:val="28"/>
          <w:szCs w:val="28"/>
          <w:lang w:val="es-ES_tradnl"/>
        </w:rPr>
        <w:footnoteReference w:id="84"/>
      </w:r>
      <w:r w:rsidRPr="00AC66B3">
        <w:rPr>
          <w:rFonts w:ascii="Times New Roman" w:hAnsi="Times New Roman" w:cs="Times New Roman"/>
          <w:sz w:val="28"/>
          <w:szCs w:val="28"/>
          <w:lang w:val="es-ES_tradnl"/>
        </w:rPr>
        <w:t xml:space="preserve">; y (ii) </w:t>
      </w:r>
      <w:r w:rsidRPr="00AC66B3">
        <w:rPr>
          <w:rFonts w:ascii="Times New Roman" w:hAnsi="Times New Roman" w:cs="Times New Roman"/>
          <w:bCs/>
          <w:sz w:val="28"/>
          <w:szCs w:val="28"/>
          <w:lang w:eastAsia="es-ES"/>
        </w:rPr>
        <w:t>la existencia de una relación directa e inmediata de índole material entre el contenido del decreto ley y el contenido material de la ha</w:t>
      </w:r>
      <w:r w:rsidRPr="00AC66B3">
        <w:rPr>
          <w:rFonts w:ascii="Times New Roman" w:hAnsi="Times New Roman" w:cs="Times New Roman"/>
          <w:bCs/>
          <w:sz w:val="28"/>
          <w:szCs w:val="28"/>
          <w:lang w:eastAsia="es-ES"/>
        </w:rPr>
        <w:t>bilitación</w:t>
      </w:r>
      <w:r w:rsidRPr="00AC66B3">
        <w:rPr>
          <w:rStyle w:val="Refdenotaalpie"/>
          <w:rFonts w:ascii="Times New Roman" w:hAnsi="Times New Roman" w:cs="Times New Roman"/>
          <w:bCs/>
          <w:sz w:val="28"/>
          <w:szCs w:val="28"/>
          <w:lang w:eastAsia="es-ES"/>
        </w:rPr>
        <w:footnoteReference w:id="85"/>
      </w:r>
      <w:r w:rsidRPr="00AC66B3">
        <w:rPr>
          <w:rFonts w:ascii="Times New Roman" w:hAnsi="Times New Roman" w:cs="Times New Roman"/>
          <w:bCs/>
          <w:sz w:val="28"/>
          <w:szCs w:val="28"/>
          <w:lang w:eastAsia="es-ES"/>
        </w:rPr>
        <w:t>. La jurisprudencia ha denominado a este último elemento como principio de causalidad</w:t>
      </w:r>
      <w:r w:rsidRPr="00AC66B3">
        <w:rPr>
          <w:rStyle w:val="Refdenotaalpie"/>
          <w:rFonts w:ascii="Times New Roman" w:hAnsi="Times New Roman" w:cs="Times New Roman"/>
          <w:bCs/>
          <w:sz w:val="28"/>
          <w:szCs w:val="28"/>
          <w:lang w:eastAsia="es-ES"/>
        </w:rPr>
        <w:footnoteReference w:id="86"/>
      </w:r>
      <w:r w:rsidRPr="00AC66B3">
        <w:rPr>
          <w:rFonts w:ascii="Times New Roman" w:hAnsi="Times New Roman" w:cs="Times New Roman"/>
          <w:bCs/>
          <w:sz w:val="28"/>
          <w:szCs w:val="28"/>
          <w:lang w:eastAsia="es-ES"/>
        </w:rPr>
        <w:t xml:space="preserve">. Estos dos requisitos han sido explicados por la jurisprudencia como se indica a continuación.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lang w:eastAsia="es-ES"/>
        </w:rPr>
      </w:pPr>
      <w:r w:rsidRPr="00AC66B3">
        <w:rPr>
          <w:rFonts w:ascii="Times New Roman" w:hAnsi="Times New Roman" w:cs="Times New Roman"/>
          <w:b/>
          <w:sz w:val="28"/>
          <w:szCs w:val="28"/>
          <w:bdr w:val="none" w:sz="0" w:space="0" w:color="auto" w:frame="1"/>
        </w:rPr>
        <w:t xml:space="preserve">5.2.1.1. </w:t>
      </w:r>
      <w:r w:rsidRPr="00AC66B3">
        <w:rPr>
          <w:rFonts w:ascii="Times New Roman" w:hAnsi="Times New Roman" w:cs="Times New Roman"/>
          <w:b/>
          <w:sz w:val="28"/>
          <w:szCs w:val="28"/>
          <w:lang w:eastAsia="es-ES"/>
        </w:rPr>
        <w:t xml:space="preserve">Coherencia entre </w:t>
      </w:r>
      <w:r w:rsidRPr="00AC66B3">
        <w:rPr>
          <w:rFonts w:ascii="Times New Roman" w:hAnsi="Times New Roman" w:cs="Times New Roman"/>
          <w:b/>
          <w:sz w:val="28"/>
          <w:szCs w:val="28"/>
          <w:lang w:val="es-ES" w:eastAsia="es-ES"/>
        </w:rPr>
        <w:t>las normas del decreto ley y los mo</w:t>
      </w:r>
      <w:r w:rsidRPr="00AC66B3">
        <w:rPr>
          <w:rFonts w:ascii="Times New Roman" w:hAnsi="Times New Roman" w:cs="Times New Roman"/>
          <w:b/>
          <w:sz w:val="28"/>
          <w:szCs w:val="28"/>
          <w:lang w:val="es-ES" w:eastAsia="es-ES"/>
        </w:rPr>
        <w:t xml:space="preserve">tivos </w:t>
      </w:r>
      <w:r w:rsidRPr="00AC66B3">
        <w:rPr>
          <w:rFonts w:ascii="Times New Roman" w:hAnsi="Times New Roman" w:cs="Times New Roman"/>
          <w:b/>
          <w:sz w:val="28"/>
          <w:szCs w:val="28"/>
          <w:lang w:eastAsia="es-ES"/>
        </w:rPr>
        <w:t>que fundaron la solicitud de facultades extraordinarias</w:t>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eastAsia="es-ES"/>
        </w:rPr>
        <w:t xml:space="preserve">Este primer elemento significa que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un decreto ley expedido por el Gobierno podría ser demandado por exceder el preciso ámbito de la ley de facultades, no solo en razón de</w:t>
      </w:r>
      <w:r w:rsidRPr="00AC66B3">
        <w:rPr>
          <w:rFonts w:ascii="Times New Roman" w:hAnsi="Times New Roman" w:cs="Times New Roman"/>
          <w:bCs/>
          <w:sz w:val="28"/>
          <w:szCs w:val="28"/>
          <w:lang w:eastAsia="es-ES"/>
        </w:rPr>
        <w:t xml:space="preserve"> la descripción que en dicha ley se haya hecho del objeto de las facultades, sino en virtud de la evaluación de las disposiciones del decreto a la luz de los motivos que llevaron al Legislador a concederlas»</w:t>
      </w:r>
      <w:r w:rsidRPr="00AC66B3">
        <w:rPr>
          <w:rStyle w:val="Refdenotaalpie"/>
          <w:rFonts w:ascii="Times New Roman" w:hAnsi="Times New Roman" w:cs="Times New Roman"/>
          <w:bCs/>
          <w:sz w:val="28"/>
          <w:szCs w:val="28"/>
          <w:lang w:eastAsia="es-ES"/>
        </w:rPr>
        <w:footnoteReference w:id="87"/>
      </w:r>
      <w:r w:rsidRPr="00AC66B3">
        <w:rPr>
          <w:rFonts w:ascii="Times New Roman" w:hAnsi="Times New Roman" w:cs="Times New Roman"/>
          <w:bCs/>
          <w:sz w:val="28"/>
          <w:szCs w:val="28"/>
          <w:lang w:eastAsia="es-ES"/>
        </w:rPr>
        <w:t>. En este punto del examen, el juez constitucion</w:t>
      </w:r>
      <w:r w:rsidRPr="00AC66B3">
        <w:rPr>
          <w:rFonts w:ascii="Times New Roman" w:hAnsi="Times New Roman" w:cs="Times New Roman"/>
          <w:bCs/>
          <w:sz w:val="28"/>
          <w:szCs w:val="28"/>
          <w:lang w:eastAsia="es-ES"/>
        </w:rPr>
        <w:t xml:space="preserve">al deberá examinar, entonces, primero, el alcance de la </w:t>
      </w:r>
      <w:r w:rsidRPr="00AC66B3">
        <w:rPr>
          <w:rFonts w:ascii="Times New Roman" w:hAnsi="Times New Roman" w:cs="Times New Roman"/>
          <w:sz w:val="28"/>
          <w:szCs w:val="28"/>
        </w:rPr>
        <w:t xml:space="preserve">solicitud de facultades extraordinarias; y, segundo, la congruencia entre </w:t>
      </w:r>
      <w:r w:rsidRPr="00AC66B3">
        <w:rPr>
          <w:rFonts w:ascii="Times New Roman" w:hAnsi="Times New Roman" w:cs="Times New Roman"/>
          <w:sz w:val="28"/>
          <w:szCs w:val="28"/>
          <w:lang w:val="es-MX"/>
        </w:rPr>
        <w:t>los motivos que llevaron al Legislador a otorgar facultades extraordinarias al presidente de la República y las normas demanda</w:t>
      </w:r>
      <w:r w:rsidRPr="00AC66B3">
        <w:rPr>
          <w:rFonts w:ascii="Times New Roman" w:hAnsi="Times New Roman" w:cs="Times New Roman"/>
          <w:sz w:val="28"/>
          <w:szCs w:val="28"/>
          <w:lang w:val="es-MX"/>
        </w:rPr>
        <w:t xml:space="preserve">das. Para este análisis, se pueden examinar </w:t>
      </w:r>
      <w:r w:rsidRPr="00AC66B3">
        <w:rPr>
          <w:rFonts w:ascii="Times New Roman" w:hAnsi="Times New Roman" w:cs="Times New Roman"/>
          <w:sz w:val="28"/>
          <w:szCs w:val="28"/>
        </w:rPr>
        <w:t>la exposición de motivos de la ley habilitante u otros textos del trámite legislativo.</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val="es-ES" w:eastAsia="es-ES"/>
        </w:rPr>
        <w:t>En este escenario, la Corte ha afirmado que, cuando las facultades extraordinarias son otorgadas en la ley del plan nacional</w:t>
      </w:r>
      <w:r w:rsidRPr="00AC66B3">
        <w:rPr>
          <w:rFonts w:ascii="Times New Roman" w:hAnsi="Times New Roman" w:cs="Times New Roman"/>
          <w:bCs/>
          <w:sz w:val="28"/>
          <w:szCs w:val="28"/>
          <w:lang w:val="es-ES" w:eastAsia="es-ES"/>
        </w:rPr>
        <w:t xml:space="preserve"> de desarrollo, el decreto ley expedido a su amparo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 xml:space="preserve">no </w:t>
      </w:r>
      <w:r w:rsidRPr="00AC66B3">
        <w:rPr>
          <w:rFonts w:ascii="Times New Roman" w:hAnsi="Times New Roman" w:cs="Times New Roman"/>
          <w:bCs/>
          <w:sz w:val="28"/>
          <w:szCs w:val="28"/>
          <w:lang w:eastAsia="es-ES"/>
        </w:rPr>
        <w:t>pued[e] ser utilizado para cumplir o materializar cualquiera de los objetivos o metas de planeación de tal instrumento»</w:t>
      </w:r>
      <w:r w:rsidRPr="00AC66B3">
        <w:rPr>
          <w:rStyle w:val="Refdenotaalpie"/>
          <w:rFonts w:ascii="Times New Roman" w:hAnsi="Times New Roman" w:cs="Times New Roman"/>
          <w:bCs/>
          <w:sz w:val="28"/>
          <w:szCs w:val="28"/>
          <w:lang w:eastAsia="es-ES"/>
        </w:rPr>
        <w:footnoteReference w:id="88"/>
      </w:r>
      <w:r w:rsidRPr="00AC66B3">
        <w:rPr>
          <w:rFonts w:ascii="Times New Roman" w:hAnsi="Times New Roman" w:cs="Times New Roman"/>
          <w:bCs/>
          <w:sz w:val="28"/>
          <w:szCs w:val="28"/>
          <w:lang w:eastAsia="es-ES"/>
        </w:rPr>
        <w:t>. Del mismo modo en que sucede en los demás casos, aquí lo fundamental es verifi</w:t>
      </w:r>
      <w:r w:rsidRPr="00AC66B3">
        <w:rPr>
          <w:rFonts w:ascii="Times New Roman" w:hAnsi="Times New Roman" w:cs="Times New Roman"/>
          <w:bCs/>
          <w:sz w:val="28"/>
          <w:szCs w:val="28"/>
          <w:lang w:eastAsia="es-ES"/>
        </w:rPr>
        <w:t>car los motivos específicos que guiaron la solicitud de facultades extraordinarias. En aplicación de esta regla, en la Sentencia C-159 de 2021, la Sala Plena fue enfática en señalar:</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ind w:left="567"/>
        <w:jc w:val="both"/>
        <w:rPr>
          <w:rFonts w:ascii="Times New Roman" w:hAnsi="Times New Roman" w:cs="Times New Roman"/>
          <w:bCs/>
          <w:sz w:val="28"/>
          <w:szCs w:val="26"/>
          <w:lang w:val="es-ES" w:eastAsia="es-ES"/>
        </w:rPr>
      </w:pPr>
      <w:r w:rsidRPr="00AC66B3">
        <w:rPr>
          <w:rFonts w:ascii="Times New Roman" w:hAnsi="Times New Roman" w:cs="Times New Roman"/>
          <w:sz w:val="28"/>
          <w:szCs w:val="26"/>
          <w:lang w:eastAsia="es-ES_tradnl"/>
        </w:rPr>
        <w:t>Una interpretación distinta iría en contra de la necesaria interpretació</w:t>
      </w:r>
      <w:r w:rsidRPr="00AC66B3">
        <w:rPr>
          <w:rFonts w:ascii="Times New Roman" w:hAnsi="Times New Roman" w:cs="Times New Roman"/>
          <w:sz w:val="28"/>
          <w:szCs w:val="26"/>
          <w:lang w:eastAsia="es-ES_tradnl"/>
        </w:rPr>
        <w:t>n restrictiva de las facultades extraordinarias, regla hermenéutica que busca proteger los principios democrático y de separación entre ramas del poder público. Por lo tanto, a pesar de que en los considerandos del decreto ley demandado se hayan expuesto v</w:t>
      </w:r>
      <w:r w:rsidRPr="00AC66B3">
        <w:rPr>
          <w:rFonts w:ascii="Times New Roman" w:hAnsi="Times New Roman" w:cs="Times New Roman"/>
          <w:sz w:val="28"/>
          <w:szCs w:val="26"/>
          <w:lang w:eastAsia="es-ES_tradnl"/>
        </w:rPr>
        <w:t>arios argumentos que implicarían que las facultades extraordinarias podían ser utilizadas, entre otros aspectos, con el objetivo de luchar contra la corrupción y avanzar en la transformación digital del país, en realidad, como quedó evidenciado en la prese</w:t>
      </w:r>
      <w:r w:rsidRPr="00AC66B3">
        <w:rPr>
          <w:rFonts w:ascii="Times New Roman" w:hAnsi="Times New Roman" w:cs="Times New Roman"/>
          <w:sz w:val="28"/>
          <w:szCs w:val="26"/>
          <w:lang w:eastAsia="es-ES_tradnl"/>
        </w:rPr>
        <w:t>nte sentencia, las facultades extraordinarias fueron solicitadas expresamente y conferidas para</w:t>
      </w:r>
      <w:r w:rsidRPr="00AC66B3">
        <w:rPr>
          <w:rFonts w:ascii="Times New Roman" w:hAnsi="Times New Roman" w:cs="Times New Roman"/>
          <w:bCs/>
          <w:sz w:val="28"/>
          <w:szCs w:val="26"/>
          <w:lang w:val="es-ES" w:eastAsia="es-ES"/>
        </w:rPr>
        <w:t xml:space="preserve"> la modernización y eficiencia de la Administración pública, con el objetivo de promover la libre competencia en los sectores productivos.</w:t>
      </w:r>
    </w:p>
    <w:p w:rsidR="000A045E" w:rsidRPr="00AC66B3" w:rsidRDefault="00AC66B3" w:rsidP="000A045E">
      <w:pPr>
        <w:jc w:val="both"/>
        <w:rPr>
          <w:rFonts w:ascii="Times New Roman" w:hAnsi="Times New Roman" w:cs="Times New Roman"/>
          <w:sz w:val="28"/>
          <w:szCs w:val="26"/>
          <w:lang w:eastAsia="es-ES_tradnl"/>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eastAsia="es-ES"/>
        </w:rPr>
        <w:t>En este contexto espe</w:t>
      </w:r>
      <w:r w:rsidRPr="00AC66B3">
        <w:rPr>
          <w:rFonts w:ascii="Times New Roman" w:hAnsi="Times New Roman" w:cs="Times New Roman"/>
          <w:bCs/>
          <w:sz w:val="28"/>
          <w:szCs w:val="28"/>
          <w:lang w:eastAsia="es-ES"/>
        </w:rPr>
        <w:t xml:space="preserve">cífico, la Corte no está llamada a </w:t>
      </w:r>
      <w:r w:rsidRPr="00AC66B3">
        <w:rPr>
          <w:rFonts w:ascii="Times New Roman" w:hAnsi="Times New Roman" w:cs="Times New Roman"/>
          <w:sz w:val="28"/>
          <w:szCs w:val="28"/>
        </w:rPr>
        <w:t xml:space="preserve">«emprender, de oficio, […] la búsqueda extensa de los argumentos concretos que funden, de alguna manera, la solicitud al Congreso de facultades extraordinarias, mediante el cotejo de la delegación legislativa con todo el </w:t>
      </w:r>
      <w:r w:rsidRPr="00AC66B3">
        <w:rPr>
          <w:rFonts w:ascii="Times New Roman" w:hAnsi="Times New Roman" w:cs="Times New Roman"/>
          <w:sz w:val="28"/>
          <w:szCs w:val="28"/>
        </w:rPr>
        <w:t>Plan Nacional de Desarrollo</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89"/>
      </w:r>
      <w:r w:rsidRPr="00AC66B3">
        <w:rPr>
          <w:rFonts w:ascii="Times New Roman" w:hAnsi="Times New Roman" w:cs="Times New Roman"/>
          <w:bCs/>
          <w:sz w:val="28"/>
          <w:szCs w:val="28"/>
          <w:lang w:eastAsia="es-ES"/>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lang w:eastAsia="es-ES"/>
        </w:rPr>
      </w:pP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r w:rsidRPr="00AC66B3">
        <w:rPr>
          <w:rFonts w:ascii="Times New Roman" w:hAnsi="Times New Roman" w:cs="Times New Roman"/>
          <w:b/>
          <w:sz w:val="28"/>
          <w:szCs w:val="28"/>
          <w:bdr w:val="none" w:sz="0" w:space="0" w:color="auto" w:frame="1"/>
        </w:rPr>
        <w:t xml:space="preserve">5.2.1.2. </w:t>
      </w:r>
      <w:r w:rsidRPr="00AC66B3">
        <w:rPr>
          <w:rFonts w:ascii="Times New Roman" w:hAnsi="Times New Roman" w:cs="Times New Roman"/>
          <w:b/>
          <w:sz w:val="28"/>
          <w:szCs w:val="28"/>
          <w:lang w:eastAsia="es-ES"/>
        </w:rPr>
        <w:t>Relación directa material entre el decreto ley y la habilitación</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bookmarkStart w:id="13" w:name="_Hlk167270459"/>
      <w:r w:rsidRPr="00AC66B3">
        <w:rPr>
          <w:rFonts w:ascii="Times New Roman" w:hAnsi="Times New Roman" w:cs="Times New Roman"/>
          <w:bCs/>
          <w:sz w:val="28"/>
          <w:szCs w:val="28"/>
          <w:lang w:eastAsia="es-ES"/>
        </w:rPr>
        <w:t xml:space="preserve">El segundo elemento </w:t>
      </w:r>
      <w:r w:rsidRPr="00AC66B3">
        <w:rPr>
          <w:rFonts w:ascii="Times New Roman" w:hAnsi="Times New Roman" w:cs="Times New Roman"/>
          <w:sz w:val="28"/>
          <w:szCs w:val="28"/>
        </w:rPr>
        <w:t>«</w:t>
      </w:r>
      <w:r w:rsidRPr="00AC66B3">
        <w:rPr>
          <w:rFonts w:ascii="Times New Roman" w:hAnsi="Times New Roman" w:cs="Times New Roman"/>
          <w:bCs/>
          <w:sz w:val="28"/>
          <w:szCs w:val="28"/>
          <w:lang w:val="es-MX" w:eastAsia="es-ES"/>
        </w:rPr>
        <w:t>se relaciona con los criterios específicos que permiten la delimitación del ámbito de la competencia atribuida al Ejecutivo</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90"/>
      </w:r>
      <w:r w:rsidRPr="00AC66B3">
        <w:rPr>
          <w:rFonts w:ascii="Times New Roman" w:hAnsi="Times New Roman" w:cs="Times New Roman"/>
          <w:bCs/>
          <w:sz w:val="28"/>
          <w:szCs w:val="28"/>
          <w:lang w:eastAsia="es-ES"/>
        </w:rPr>
        <w:t xml:space="preserve">. </w:t>
      </w:r>
      <w:r w:rsidRPr="00AC66B3">
        <w:rPr>
          <w:rFonts w:ascii="Times New Roman" w:hAnsi="Times New Roman" w:cs="Times New Roman"/>
          <w:bCs/>
          <w:sz w:val="28"/>
          <w:szCs w:val="28"/>
          <w:lang w:eastAsia="es-ES"/>
        </w:rPr>
        <w:t>Es decir, con los límites temáticos que imprime la ley habilitante</w:t>
      </w:r>
      <w:r w:rsidRPr="00AC66B3">
        <w:rPr>
          <w:rStyle w:val="Refdenotaalpie"/>
          <w:rFonts w:ascii="Times New Roman" w:hAnsi="Times New Roman" w:cs="Times New Roman"/>
          <w:bCs/>
          <w:sz w:val="28"/>
          <w:szCs w:val="28"/>
          <w:lang w:eastAsia="es-ES"/>
        </w:rPr>
        <w:footnoteReference w:id="91"/>
      </w:r>
      <w:r w:rsidRPr="00AC66B3">
        <w:rPr>
          <w:rFonts w:ascii="Times New Roman" w:hAnsi="Times New Roman" w:cs="Times New Roman"/>
          <w:bCs/>
          <w:sz w:val="28"/>
          <w:szCs w:val="28"/>
          <w:lang w:eastAsia="es-ES"/>
        </w:rPr>
        <w:t>. La precisión en la definición de tales criterios o límites temáticos de la delegación no implica que el Congreso de la República regule integralmente la materia en la norma habilitante. E</w:t>
      </w:r>
      <w:r w:rsidRPr="00AC66B3">
        <w:rPr>
          <w:rFonts w:ascii="Times New Roman" w:hAnsi="Times New Roman" w:cs="Times New Roman"/>
          <w:bCs/>
          <w:sz w:val="28"/>
          <w:szCs w:val="28"/>
          <w:lang w:eastAsia="es-ES"/>
        </w:rPr>
        <w:t xml:space="preserve">sto ocuparía el campo de acción que la Constitución le otorga al Ejecutivo. Así,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[c]uando el Congreso predetermina completamente el contenido de los futuros decretos con fuerza de ley, no está en realidad habilitando transitoriamente al Ejecutivo para leg</w:t>
      </w:r>
      <w:r w:rsidRPr="00AC66B3">
        <w:rPr>
          <w:rFonts w:ascii="Times New Roman" w:hAnsi="Times New Roman" w:cs="Times New Roman"/>
          <w:bCs/>
          <w:sz w:val="28"/>
          <w:szCs w:val="28"/>
          <w:lang w:val="es-ES" w:eastAsia="es-ES"/>
        </w:rPr>
        <w:t>islar, sino ejerciendo directamente sus competencias como titular del poder legislativo</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92"/>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eastAsia="es-ES"/>
        </w:rPr>
        <w:t xml:space="preserve">Sin embargo, para cumplir el requisito de precisión, el Legislador sí está obligado a fijar un contenido mínimo en la norma habilitante, que establezca el </w:t>
      </w:r>
      <w:r w:rsidRPr="00AC66B3">
        <w:rPr>
          <w:rFonts w:ascii="Times New Roman" w:hAnsi="Times New Roman" w:cs="Times New Roman"/>
          <w:bCs/>
          <w:sz w:val="28"/>
          <w:szCs w:val="28"/>
          <w:lang w:val="es-ES" w:eastAsia="es-ES"/>
        </w:rPr>
        <w:t xml:space="preserve">ámbito de la delegación dentro del cual debe actuar el presidente de la República. La compresión de este contenido mínimo debe considerar, por un lado, que este </w:t>
      </w:r>
      <w:r w:rsidRPr="00AC66B3">
        <w:rPr>
          <w:rFonts w:ascii="Times New Roman" w:hAnsi="Times New Roman" w:cs="Times New Roman"/>
          <w:sz w:val="28"/>
          <w:szCs w:val="28"/>
        </w:rPr>
        <w:t>«</w:t>
      </w:r>
      <w:r w:rsidRPr="00AC66B3">
        <w:rPr>
          <w:rFonts w:ascii="Times New Roman" w:hAnsi="Times New Roman" w:cs="Times New Roman"/>
          <w:bCs/>
          <w:sz w:val="28"/>
          <w:szCs w:val="28"/>
          <w:lang w:val="es-ES" w:eastAsia="es-ES"/>
        </w:rPr>
        <w:t>es un asunto de grado respecto del cual el Congreso dispone de un margen de configuración</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93"/>
      </w:r>
      <w:r w:rsidRPr="00AC66B3">
        <w:rPr>
          <w:rFonts w:ascii="Times New Roman" w:hAnsi="Times New Roman" w:cs="Times New Roman"/>
          <w:bCs/>
          <w:sz w:val="28"/>
          <w:szCs w:val="28"/>
          <w:lang w:eastAsia="es-ES"/>
        </w:rPr>
        <w:t xml:space="preserve"> y,</w:t>
      </w:r>
      <w:r w:rsidRPr="00AC66B3">
        <w:rPr>
          <w:rFonts w:ascii="Times New Roman" w:hAnsi="Times New Roman" w:cs="Times New Roman"/>
          <w:bCs/>
          <w:sz w:val="28"/>
          <w:szCs w:val="28"/>
          <w:lang w:eastAsia="es-ES"/>
        </w:rPr>
        <w:t xml:space="preserve"> por otro lado, que el juez constitucional no puede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desconocer el contexto y la necesidad regulativa a partir de la cual tuvo lugar la habilitación»</w:t>
      </w:r>
      <w:r w:rsidRPr="00AC66B3">
        <w:rPr>
          <w:rStyle w:val="Refdenotaalpie"/>
          <w:rFonts w:ascii="Times New Roman" w:hAnsi="Times New Roman" w:cs="Times New Roman"/>
          <w:bCs/>
          <w:sz w:val="28"/>
          <w:szCs w:val="28"/>
          <w:lang w:eastAsia="es-ES"/>
        </w:rPr>
        <w:footnoteReference w:id="94"/>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eastAsia="es-ES"/>
        </w:rPr>
        <w:t>El último punto es relevante porque el sentido de las facultades extraordinarias otorgadas no puede se</w:t>
      </w:r>
      <w:r w:rsidRPr="00AC66B3">
        <w:rPr>
          <w:rFonts w:ascii="Times New Roman" w:hAnsi="Times New Roman" w:cs="Times New Roman"/>
          <w:bCs/>
          <w:sz w:val="28"/>
          <w:szCs w:val="28"/>
          <w:lang w:eastAsia="es-ES"/>
        </w:rPr>
        <w:t>r identificado únicamente a la luz de la norma habilitante. Para ello también se debe hacer uso de la parte considerativa del decreto ley. Esta ofrece el contexto normativo en el que se insertan las normas demandadas y, en principio, podría evidenciar la f</w:t>
      </w:r>
      <w:r w:rsidRPr="00AC66B3">
        <w:rPr>
          <w:rFonts w:ascii="Times New Roman" w:hAnsi="Times New Roman" w:cs="Times New Roman"/>
          <w:bCs/>
          <w:sz w:val="28"/>
          <w:szCs w:val="28"/>
          <w:lang w:eastAsia="es-ES"/>
        </w:rPr>
        <w:t>inalidad</w:t>
      </w:r>
      <w:r w:rsidRPr="00AC66B3">
        <w:rPr>
          <w:rFonts w:ascii="Times New Roman" w:hAnsi="Times New Roman" w:cs="Times New Roman"/>
          <w:sz w:val="28"/>
          <w:szCs w:val="28"/>
        </w:rPr>
        <w:t xml:space="preserve"> concreta que el Legislador buscaba alcanzar con la delegación, así como los objetivos que persigue el presidente de la República con la expedición del decreto ley</w:t>
      </w:r>
      <w:r w:rsidRPr="00AC66B3">
        <w:rPr>
          <w:rStyle w:val="Refdenotaalpie"/>
          <w:rFonts w:ascii="Times New Roman" w:hAnsi="Times New Roman" w:cs="Times New Roman"/>
          <w:bCs/>
          <w:sz w:val="28"/>
          <w:szCs w:val="28"/>
          <w:lang w:eastAsia="es-ES"/>
        </w:rPr>
        <w:footnoteReference w:id="95"/>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eastAsia="es-ES"/>
        </w:rPr>
        <w:t>De este modo, el juez constitucional deberá verificar que las disposiciones acusa</w:t>
      </w:r>
      <w:r w:rsidRPr="00AC66B3">
        <w:rPr>
          <w:rFonts w:ascii="Times New Roman" w:hAnsi="Times New Roman" w:cs="Times New Roman"/>
          <w:bCs/>
          <w:sz w:val="28"/>
          <w:szCs w:val="28"/>
          <w:lang w:eastAsia="es-ES"/>
        </w:rPr>
        <w:t>das sean coherentes con el tema general del decreto ley y que este, a su vez, sea coherente con el tema de la habilitación</w:t>
      </w:r>
      <w:r w:rsidRPr="00AC66B3">
        <w:rPr>
          <w:rStyle w:val="Refdenotaalpie"/>
          <w:rFonts w:ascii="Times New Roman" w:hAnsi="Times New Roman" w:cs="Times New Roman"/>
          <w:bCs/>
          <w:sz w:val="28"/>
          <w:szCs w:val="28"/>
          <w:lang w:eastAsia="es-ES"/>
        </w:rPr>
        <w:footnoteReference w:id="96"/>
      </w:r>
      <w:r w:rsidRPr="00AC66B3">
        <w:rPr>
          <w:rFonts w:ascii="Times New Roman" w:hAnsi="Times New Roman" w:cs="Times New Roman"/>
          <w:bCs/>
          <w:sz w:val="28"/>
          <w:szCs w:val="28"/>
          <w:lang w:eastAsia="es-ES"/>
        </w:rPr>
        <w:t xml:space="preserve">. Esto exige que el análisis parta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de una interpretación sistemática y teleológica de la habilitación legislativa, y no de un estudi</w:t>
      </w:r>
      <w:r w:rsidRPr="00AC66B3">
        <w:rPr>
          <w:rFonts w:ascii="Times New Roman" w:hAnsi="Times New Roman" w:cs="Times New Roman"/>
          <w:bCs/>
          <w:sz w:val="28"/>
          <w:szCs w:val="28"/>
          <w:lang w:eastAsia="es-ES"/>
        </w:rPr>
        <w:t>o fragmentario y descontextualizado de las atribuciones conferidas al presidente»</w:t>
      </w:r>
      <w:r w:rsidRPr="00AC66B3">
        <w:rPr>
          <w:rStyle w:val="Refdenotaalpie"/>
          <w:rFonts w:ascii="Times New Roman" w:hAnsi="Times New Roman" w:cs="Times New Roman"/>
          <w:bCs/>
          <w:sz w:val="28"/>
          <w:szCs w:val="28"/>
          <w:lang w:eastAsia="es-ES"/>
        </w:rPr>
        <w:footnoteReference w:id="97"/>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bookmarkEnd w:id="13"/>
    <w:p w:rsidR="000A045E" w:rsidRPr="00AC66B3" w:rsidRDefault="00AC66B3" w:rsidP="000A045E">
      <w:pPr>
        <w:pStyle w:val="Prrafodelista"/>
        <w:tabs>
          <w:tab w:val="left" w:pos="142"/>
          <w:tab w:val="left" w:pos="284"/>
        </w:tabs>
        <w:ind w:left="0"/>
        <w:jc w:val="both"/>
        <w:rPr>
          <w:rFonts w:ascii="Times New Roman" w:hAnsi="Times New Roman" w:cs="Times New Roman"/>
          <w:b/>
          <w:sz w:val="28"/>
          <w:szCs w:val="28"/>
          <w:bdr w:val="none" w:sz="0" w:space="0" w:color="auto" w:frame="1"/>
        </w:rPr>
      </w:pPr>
      <w:r w:rsidRPr="00AC66B3">
        <w:rPr>
          <w:rFonts w:ascii="Times New Roman" w:hAnsi="Times New Roman" w:cs="Times New Roman"/>
          <w:b/>
          <w:sz w:val="28"/>
          <w:szCs w:val="28"/>
          <w:bdr w:val="none" w:sz="0" w:space="0" w:color="auto" w:frame="1"/>
        </w:rPr>
        <w:t xml:space="preserve">5.2.2. Interpretación restrictiva de </w:t>
      </w:r>
      <w:r w:rsidRPr="00AC66B3">
        <w:rPr>
          <w:rFonts w:ascii="Times New Roman" w:hAnsi="Times New Roman" w:cs="Times New Roman"/>
          <w:b/>
          <w:sz w:val="28"/>
          <w:szCs w:val="28"/>
          <w:lang w:val="es-ES" w:eastAsia="es-ES"/>
        </w:rPr>
        <w:t>los términos empleados por la ley habilitante</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La segunda y última exigencia implica definir el alcance de las palabras usadas para conferir las facultades legislativas. En este ejercicio, </w:t>
      </w:r>
      <w:r w:rsidRPr="00AC66B3">
        <w:rPr>
          <w:rFonts w:ascii="Times New Roman" w:hAnsi="Times New Roman" w:cs="Times New Roman"/>
          <w:bCs/>
          <w:sz w:val="28"/>
          <w:szCs w:val="28"/>
          <w:lang w:eastAsia="es-ES"/>
        </w:rPr>
        <w:t>la interpretación de la norma habilitante debe ser literal y restrictiva o, en otras palabras, de ningún modo ampl</w:t>
      </w:r>
      <w:r w:rsidRPr="00AC66B3">
        <w:rPr>
          <w:rFonts w:ascii="Times New Roman" w:hAnsi="Times New Roman" w:cs="Times New Roman"/>
          <w:bCs/>
          <w:sz w:val="28"/>
          <w:szCs w:val="28"/>
          <w:lang w:eastAsia="es-ES"/>
        </w:rPr>
        <w:t xml:space="preserve">ia, extensiva o por analogía. Esto supone que </w:t>
      </w:r>
      <w:r w:rsidRPr="00AC66B3">
        <w:rPr>
          <w:rFonts w:ascii="Times New Roman" w:hAnsi="Times New Roman" w:cs="Times New Roman"/>
          <w:bCs/>
          <w:sz w:val="28"/>
          <w:szCs w:val="28"/>
          <w:lang w:val="es-ES" w:eastAsia="es-ES"/>
        </w:rPr>
        <w:t>no existen habilitaciones o competencias implícitas, pues lo contrario representa una invasión de la órbita constitucional del Congreso</w:t>
      </w:r>
      <w:r w:rsidRPr="00AC66B3">
        <w:rPr>
          <w:rStyle w:val="Refdenotaalpie"/>
          <w:rFonts w:ascii="Times New Roman" w:hAnsi="Times New Roman" w:cs="Times New Roman"/>
          <w:bCs/>
          <w:sz w:val="28"/>
          <w:szCs w:val="28"/>
          <w:lang w:eastAsia="es-ES"/>
        </w:rPr>
        <w:footnoteReference w:id="98"/>
      </w:r>
      <w:r w:rsidRPr="00AC66B3">
        <w:rPr>
          <w:rFonts w:ascii="Times New Roman" w:hAnsi="Times New Roman" w:cs="Times New Roman"/>
          <w:bCs/>
          <w:sz w:val="28"/>
          <w:szCs w:val="28"/>
          <w:lang w:val="es-ES"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sz w:val="28"/>
          <w:szCs w:val="28"/>
          <w:lang w:eastAsia="es-ES_tradnl"/>
        </w:rPr>
        <w:t xml:space="preserve">En otros términos, para examinar la validez del decreto ley de cara a </w:t>
      </w:r>
      <w:r w:rsidRPr="00AC66B3">
        <w:rPr>
          <w:rFonts w:ascii="Times New Roman" w:hAnsi="Times New Roman" w:cs="Times New Roman"/>
          <w:sz w:val="28"/>
          <w:szCs w:val="28"/>
          <w:lang w:eastAsia="es-ES_tradnl"/>
        </w:rPr>
        <w:t xml:space="preserve">la norma habilitante, el juez constitucional no podrá: </w:t>
      </w:r>
      <w:r w:rsidRPr="00AC66B3">
        <w:rPr>
          <w:rFonts w:ascii="Times New Roman" w:hAnsi="Times New Roman" w:cs="Times New Roman"/>
          <w:sz w:val="28"/>
          <w:szCs w:val="28"/>
        </w:rPr>
        <w:t>«</w:t>
      </w:r>
      <w:r w:rsidRPr="00AC66B3">
        <w:rPr>
          <w:rFonts w:ascii="Times New Roman" w:hAnsi="Times New Roman" w:cs="Times New Roman"/>
          <w:sz w:val="28"/>
          <w:szCs w:val="28"/>
          <w:lang w:eastAsia="es-ES_tradnl"/>
        </w:rPr>
        <w:t>(i) constru[ir] hermenéuticas que permitan atribuir la competencia legislativa con interpretaciones extensivas o analógicas; (ii) identifi[car] facultades implícitas derivadas de la ley habilitante; o</w:t>
      </w:r>
      <w:r w:rsidRPr="00AC66B3">
        <w:rPr>
          <w:rFonts w:ascii="Times New Roman" w:hAnsi="Times New Roman" w:cs="Times New Roman"/>
          <w:sz w:val="28"/>
          <w:szCs w:val="28"/>
          <w:lang w:eastAsia="es-ES_tradnl"/>
        </w:rPr>
        <w:t xml:space="preserve"> (iii) permit[ir] al presidente de la República regular un ámbito de competencia del Legislador ordinario a partir de un encadenamiento entre las materias objeto de concesión regulativa y las que trata el decreto ley</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99"/>
      </w:r>
      <w:r w:rsidRPr="00AC66B3">
        <w:rPr>
          <w:rFonts w:ascii="Times New Roman" w:hAnsi="Times New Roman" w:cs="Times New Roman"/>
          <w:sz w:val="28"/>
          <w:szCs w:val="28"/>
          <w:lang w:eastAsia="es-ES_tradnl"/>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sz w:val="28"/>
          <w:szCs w:val="28"/>
          <w:lang w:eastAsia="es-ES_tradnl"/>
        </w:rPr>
        <w:t>Con todo, la jurisprudencia ha reco</w:t>
      </w:r>
      <w:r w:rsidRPr="00AC66B3">
        <w:rPr>
          <w:rFonts w:ascii="Times New Roman" w:hAnsi="Times New Roman" w:cs="Times New Roman"/>
          <w:sz w:val="28"/>
          <w:szCs w:val="28"/>
          <w:lang w:eastAsia="es-ES_tradnl"/>
        </w:rPr>
        <w:t>nocido que el p</w:t>
      </w:r>
      <w:r w:rsidRPr="00AC66B3">
        <w:rPr>
          <w:rFonts w:ascii="Times New Roman" w:hAnsi="Times New Roman" w:cs="Times New Roman"/>
          <w:sz w:val="28"/>
          <w:szCs w:val="28"/>
          <w:shd w:val="clear" w:color="auto" w:fill="FFFFFF"/>
        </w:rPr>
        <w:t>residente de la República tiene un margen razonable de apreciación respecto del contenido de los términos empleados en la norma habilitante, de acuerdo con el contexto fáctico de la situación objeto de regulación y otras disposiciones del or</w:t>
      </w:r>
      <w:r w:rsidRPr="00AC66B3">
        <w:rPr>
          <w:rFonts w:ascii="Times New Roman" w:hAnsi="Times New Roman" w:cs="Times New Roman"/>
          <w:sz w:val="28"/>
          <w:szCs w:val="28"/>
          <w:shd w:val="clear" w:color="auto" w:fill="FFFFFF"/>
        </w:rPr>
        <w:t>denamiento jurídico</w:t>
      </w:r>
      <w:r w:rsidRPr="00AC66B3">
        <w:rPr>
          <w:rStyle w:val="Refdenotaalpie"/>
          <w:rFonts w:ascii="Times New Roman" w:hAnsi="Times New Roman" w:cs="Times New Roman"/>
          <w:sz w:val="28"/>
          <w:szCs w:val="28"/>
          <w:shd w:val="clear" w:color="auto" w:fill="FFFFFF"/>
        </w:rPr>
        <w:footnoteReference w:id="100"/>
      </w:r>
      <w:r w:rsidRPr="00AC66B3">
        <w:rPr>
          <w:rFonts w:ascii="Times New Roman" w:hAnsi="Times New Roman" w:cs="Times New Roman"/>
          <w:sz w:val="28"/>
          <w:szCs w:val="28"/>
          <w:shd w:val="clear" w:color="auto" w:fill="FFFFFF"/>
        </w:rPr>
        <w:t>. Sin embargo, también ha dicho que, en todos los casos, la valoración del presidente debe coincidir con la teleología de la delegación legislativa, es decir, con los fines que motivaron esa habilitación</w:t>
      </w:r>
      <w:r w:rsidRPr="00AC66B3">
        <w:rPr>
          <w:rStyle w:val="Refdenotaalpie"/>
          <w:rFonts w:ascii="Times New Roman" w:hAnsi="Times New Roman" w:cs="Times New Roman"/>
          <w:sz w:val="28"/>
          <w:szCs w:val="28"/>
          <w:shd w:val="clear" w:color="auto" w:fill="FFFFFF"/>
        </w:rPr>
        <w:footnoteReference w:id="101"/>
      </w:r>
      <w:r w:rsidRPr="00AC66B3">
        <w:rPr>
          <w:rFonts w:ascii="Times New Roman" w:hAnsi="Times New Roman" w:cs="Times New Roman"/>
          <w:sz w:val="28"/>
          <w:szCs w:val="28"/>
          <w:shd w:val="clear" w:color="auto" w:fill="FFFFFF"/>
        </w:rPr>
        <w:t xml:space="preserve">. Esto es así porque </w:t>
      </w:r>
      <w:r w:rsidRPr="00AC66B3">
        <w:rPr>
          <w:rFonts w:ascii="Times New Roman" w:hAnsi="Times New Roman" w:cs="Times New Roman"/>
          <w:sz w:val="28"/>
          <w:szCs w:val="28"/>
        </w:rPr>
        <w:t xml:space="preserve">«revisar el significado de cada palabra que hace parte de la potestad delegada, es una posibilidad de abordaje del problema, pero no la única. Cada caso concreto requiere diversas formas de aproximación, dado que elementos importantes en el análisis de lo </w:t>
      </w:r>
      <w:r w:rsidRPr="00AC66B3">
        <w:rPr>
          <w:rFonts w:ascii="Times New Roman" w:hAnsi="Times New Roman" w:cs="Times New Roman"/>
          <w:sz w:val="28"/>
          <w:szCs w:val="28"/>
        </w:rPr>
        <w:t xml:space="preserve">delegado, como lo son la afinidad temática y el cumplimiento del </w:t>
      </w:r>
      <w:r w:rsidRPr="00AC66B3">
        <w:rPr>
          <w:rFonts w:ascii="Times New Roman" w:hAnsi="Times New Roman" w:cs="Times New Roman"/>
          <w:i/>
          <w:sz w:val="28"/>
          <w:szCs w:val="28"/>
        </w:rPr>
        <w:t xml:space="preserve">telos, </w:t>
      </w:r>
      <w:r w:rsidRPr="00AC66B3">
        <w:rPr>
          <w:rFonts w:ascii="Times New Roman" w:hAnsi="Times New Roman" w:cs="Times New Roman"/>
          <w:sz w:val="28"/>
          <w:szCs w:val="28"/>
        </w:rPr>
        <w:t>trascienden el ejercicio de interpretación literal [de la norma demandada]</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102"/>
      </w:r>
      <w:r w:rsidRPr="00AC66B3">
        <w:rPr>
          <w:rFonts w:ascii="Times New Roman" w:hAnsi="Times New Roman" w:cs="Times New Roman"/>
          <w:sz w:val="28"/>
          <w:szCs w:val="28"/>
        </w:rPr>
        <w:t>.</w:t>
      </w:r>
      <w:r w:rsidRPr="00AC66B3">
        <w:rPr>
          <w:rFonts w:ascii="Times New Roman" w:hAnsi="Times New Roman" w:cs="Times New Roman"/>
          <w:sz w:val="28"/>
          <w:szCs w:val="28"/>
          <w:shd w:val="clear" w:color="auto" w:fill="FFFFFF"/>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bCs/>
          <w:sz w:val="28"/>
          <w:szCs w:val="28"/>
          <w:lang w:val="es-ES" w:eastAsia="es-ES"/>
        </w:rPr>
        <w:t>Para terminar, no sobra destacar que el respeto de los límites establecidos en la ley de facultades extr</w:t>
      </w:r>
      <w:r w:rsidRPr="00AC66B3">
        <w:rPr>
          <w:rFonts w:ascii="Times New Roman" w:hAnsi="Times New Roman" w:cs="Times New Roman"/>
          <w:bCs/>
          <w:sz w:val="28"/>
          <w:szCs w:val="28"/>
          <w:lang w:val="es-ES" w:eastAsia="es-ES"/>
        </w:rPr>
        <w:t>aordinarias no demanda que se expida un único decreto ley. Esto, a condición de que el primer ejercicio de la facultad legislativa no haya agotado todas las materias y asuntos definidos en la norma habilitante</w:t>
      </w:r>
      <w:r w:rsidRPr="00AC66B3">
        <w:rPr>
          <w:rStyle w:val="Refdenotaalpie"/>
          <w:rFonts w:ascii="Times New Roman" w:hAnsi="Times New Roman" w:cs="Times New Roman"/>
          <w:bCs/>
          <w:sz w:val="28"/>
          <w:szCs w:val="28"/>
          <w:lang w:val="es-ES" w:eastAsia="es-ES"/>
        </w:rPr>
        <w:footnoteReference w:id="103"/>
      </w:r>
      <w:r w:rsidRPr="00AC66B3">
        <w:rPr>
          <w:rFonts w:ascii="Times New Roman" w:hAnsi="Times New Roman" w:cs="Times New Roman"/>
          <w:bCs/>
          <w:sz w:val="28"/>
          <w:szCs w:val="28"/>
          <w:lang w:val="es-ES" w:eastAsia="es-ES"/>
        </w:rPr>
        <w:t xml:space="preserve">. Así mismo, resulta conveniente resaltar que </w:t>
      </w:r>
      <w:r w:rsidRPr="00AC66B3">
        <w:rPr>
          <w:rFonts w:ascii="Times New Roman" w:hAnsi="Times New Roman" w:cs="Times New Roman"/>
          <w:bCs/>
          <w:sz w:val="28"/>
          <w:szCs w:val="28"/>
          <w:lang w:val="es-ES" w:eastAsia="es-ES"/>
        </w:rPr>
        <w:t xml:space="preserve">no es posible extender la prohibición constitucional de regular determinadas materias </w:t>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sz w:val="28"/>
          <w:szCs w:val="28"/>
        </w:rPr>
        <w:t>códigos, leyes estatutarias, orgánicas, leyes marco e impuestos</w:t>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bCs/>
          <w:sz w:val="28"/>
          <w:szCs w:val="28"/>
          <w:lang w:val="es-ES" w:eastAsia="es-ES"/>
        </w:rPr>
        <w:t>, vía facultades extraordinarias, a otros asuntos no expresamente previstos en la Constitución</w:t>
      </w:r>
      <w:r w:rsidRPr="00AC66B3">
        <w:rPr>
          <w:rStyle w:val="Refdenotaalpie"/>
          <w:rFonts w:ascii="Times New Roman" w:hAnsi="Times New Roman" w:cs="Times New Roman"/>
          <w:bCs/>
          <w:sz w:val="28"/>
          <w:szCs w:val="28"/>
          <w:lang w:val="es-ES" w:eastAsia="es-ES"/>
        </w:rPr>
        <w:footnoteReference w:id="104"/>
      </w:r>
      <w:r w:rsidRPr="00AC66B3">
        <w:rPr>
          <w:rFonts w:ascii="Times New Roman" w:hAnsi="Times New Roman" w:cs="Times New Roman"/>
          <w:bCs/>
          <w:sz w:val="28"/>
          <w:szCs w:val="28"/>
          <w:lang w:val="es-ES"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i/>
          <w:i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i/>
          <w:iCs/>
          <w:sz w:val="28"/>
          <w:szCs w:val="28"/>
          <w:bdr w:val="none" w:sz="0" w:space="0" w:color="auto" w:frame="1"/>
        </w:rPr>
      </w:pPr>
      <w:r w:rsidRPr="00AC66B3">
        <w:rPr>
          <w:rFonts w:ascii="Times New Roman" w:hAnsi="Times New Roman" w:cs="Times New Roman"/>
          <w:sz w:val="28"/>
          <w:szCs w:val="28"/>
        </w:rPr>
        <w:t>En sín</w:t>
      </w:r>
      <w:r w:rsidRPr="00AC66B3">
        <w:rPr>
          <w:rFonts w:ascii="Times New Roman" w:hAnsi="Times New Roman" w:cs="Times New Roman"/>
          <w:sz w:val="28"/>
          <w:szCs w:val="28"/>
        </w:rPr>
        <w:t>tesis, la</w:t>
      </w:r>
      <w:r w:rsidRPr="00AC66B3">
        <w:rPr>
          <w:rFonts w:ascii="Times New Roman" w:hAnsi="Times New Roman" w:cs="Times New Roman"/>
          <w:bCs/>
          <w:sz w:val="28"/>
          <w:szCs w:val="28"/>
          <w:bdr w:val="none" w:sz="0" w:space="0" w:color="auto" w:frame="1"/>
          <w:lang w:val="es-ES"/>
        </w:rPr>
        <w:t xml:space="preserve"> ley de facultades extraordinarias opera como patrón o parámetro del control de constitucionalidad de los decretos leyes que dicte le presidente de la República a su amparo. </w:t>
      </w:r>
      <w:r w:rsidRPr="00AC66B3">
        <w:rPr>
          <w:rFonts w:ascii="Times New Roman" w:hAnsi="Times New Roman" w:cs="Times New Roman"/>
          <w:bCs/>
          <w:sz w:val="28"/>
          <w:szCs w:val="28"/>
          <w:bdr w:val="none" w:sz="0" w:space="0" w:color="auto" w:frame="1"/>
        </w:rPr>
        <w:t xml:space="preserve">La constatación de la validez constitucional del decreto ley o de sus normas </w:t>
      </w:r>
      <w:r w:rsidRPr="00AC66B3">
        <w:rPr>
          <w:rFonts w:ascii="Times New Roman" w:hAnsi="Times New Roman" w:cs="Times New Roman"/>
          <w:bCs/>
          <w:sz w:val="28"/>
          <w:szCs w:val="28"/>
          <w:lang w:val="es-ES" w:eastAsia="es-ES"/>
        </w:rPr>
        <w:t>implica entonces examinar (i)</w:t>
      </w:r>
      <w:r w:rsidRPr="00AC66B3">
        <w:rPr>
          <w:rFonts w:ascii="Times New Roman" w:hAnsi="Times New Roman" w:cs="Times New Roman"/>
          <w:bCs/>
          <w:sz w:val="28"/>
          <w:szCs w:val="28"/>
          <w:lang w:eastAsia="es-ES"/>
        </w:rPr>
        <w:t xml:space="preserve"> la coherencia entre </w:t>
      </w:r>
      <w:r w:rsidRPr="00AC66B3">
        <w:rPr>
          <w:rFonts w:ascii="Times New Roman" w:hAnsi="Times New Roman" w:cs="Times New Roman"/>
          <w:bCs/>
          <w:sz w:val="28"/>
          <w:szCs w:val="28"/>
          <w:lang w:val="es-ES" w:eastAsia="es-ES"/>
        </w:rPr>
        <w:t xml:space="preserve">las normas del decreto ley y los motivos </w:t>
      </w:r>
      <w:r w:rsidRPr="00AC66B3">
        <w:rPr>
          <w:rFonts w:ascii="Times New Roman" w:hAnsi="Times New Roman" w:cs="Times New Roman"/>
          <w:bCs/>
          <w:sz w:val="28"/>
          <w:szCs w:val="28"/>
          <w:lang w:eastAsia="es-ES"/>
        </w:rPr>
        <w:t xml:space="preserve">que fundaron la solicitud de facultades extraordinarias; </w:t>
      </w:r>
      <w:r w:rsidRPr="00AC66B3">
        <w:rPr>
          <w:rFonts w:ascii="Times New Roman" w:hAnsi="Times New Roman" w:cs="Times New Roman"/>
          <w:sz w:val="28"/>
          <w:szCs w:val="28"/>
          <w:lang w:val="es-ES_tradnl"/>
        </w:rPr>
        <w:t xml:space="preserve">(ii) </w:t>
      </w:r>
      <w:r w:rsidRPr="00AC66B3">
        <w:rPr>
          <w:rFonts w:ascii="Times New Roman" w:hAnsi="Times New Roman" w:cs="Times New Roman"/>
          <w:bCs/>
          <w:sz w:val="28"/>
          <w:szCs w:val="28"/>
          <w:lang w:eastAsia="es-ES"/>
        </w:rPr>
        <w:t>la existencia de una relac</w:t>
      </w:r>
      <w:r w:rsidRPr="00AC66B3">
        <w:rPr>
          <w:rFonts w:ascii="Times New Roman" w:hAnsi="Times New Roman" w:cs="Times New Roman"/>
          <w:bCs/>
          <w:sz w:val="28"/>
          <w:szCs w:val="28"/>
          <w:lang w:eastAsia="es-ES"/>
        </w:rPr>
        <w:t>ión directa e inmediata de índole material</w:t>
      </w:r>
      <w:r w:rsidRPr="00AC66B3">
        <w:rPr>
          <w:rFonts w:ascii="Times New Roman" w:hAnsi="Times New Roman" w:cs="Times New Roman"/>
          <w:bCs/>
          <w:i/>
          <w:sz w:val="28"/>
          <w:szCs w:val="28"/>
          <w:lang w:eastAsia="es-ES"/>
        </w:rPr>
        <w:t xml:space="preserve"> </w:t>
      </w:r>
      <w:r w:rsidRPr="00AC66B3">
        <w:rPr>
          <w:rFonts w:ascii="Times New Roman" w:hAnsi="Times New Roman" w:cs="Times New Roman"/>
          <w:bCs/>
          <w:sz w:val="28"/>
          <w:szCs w:val="28"/>
          <w:lang w:eastAsia="es-ES"/>
        </w:rPr>
        <w:t>entre el contenido del decreto ley y el contenido material de la habilitación</w:t>
      </w:r>
      <w:r w:rsidRPr="00AC66B3">
        <w:rPr>
          <w:rFonts w:ascii="Times New Roman" w:hAnsi="Times New Roman" w:cs="Times New Roman"/>
          <w:bCs/>
          <w:sz w:val="28"/>
          <w:szCs w:val="28"/>
          <w:lang w:val="es-ES" w:eastAsia="es-ES"/>
        </w:rPr>
        <w:t xml:space="preserve">; y (iii) el alcance de los términos empleados por la ley habilitante para </w:t>
      </w:r>
      <w:r w:rsidRPr="00AC66B3">
        <w:rPr>
          <w:rFonts w:ascii="Times New Roman" w:hAnsi="Times New Roman" w:cs="Times New Roman"/>
          <w:sz w:val="28"/>
          <w:szCs w:val="28"/>
          <w:lang w:eastAsia="es-ES_tradnl"/>
        </w:rPr>
        <w:t xml:space="preserve">conferir las facultades extraordinarias, los cuales acotan o </w:t>
      </w:r>
      <w:bookmarkEnd w:id="10"/>
      <w:r w:rsidRPr="00AC66B3">
        <w:rPr>
          <w:rFonts w:ascii="Times New Roman" w:hAnsi="Times New Roman" w:cs="Times New Roman"/>
          <w:sz w:val="28"/>
          <w:szCs w:val="28"/>
          <w:lang w:eastAsia="es-ES_tradnl"/>
        </w:rPr>
        <w:t>demarcan el marco de acción legislativa del presidente de la República.</w:t>
      </w:r>
    </w:p>
    <w:bookmarkEnd w:id="11"/>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lang w:eastAsia="es-ES_tradnl"/>
        </w:rPr>
      </w:pP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6. Solución del cargo de inconstitucionalidad </w:t>
      </w: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Antes de abordar la solución del problema jurídico, la Sala Plena considera importante precisar dos elementos.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
          <w:bCs/>
          <w:i/>
          <w:iCs/>
          <w:sz w:val="28"/>
          <w:szCs w:val="28"/>
        </w:rPr>
        <w:t>La Corte no juzgará la</w:t>
      </w:r>
      <w:r w:rsidRPr="00AC66B3">
        <w:rPr>
          <w:rFonts w:ascii="Times New Roman" w:hAnsi="Times New Roman" w:cs="Times New Roman"/>
          <w:b/>
          <w:bCs/>
          <w:i/>
          <w:iCs/>
          <w:sz w:val="28"/>
          <w:szCs w:val="28"/>
        </w:rPr>
        <w:t xml:space="preserve"> validez constitucional de la norma habilitante (primer juicio)</w:t>
      </w:r>
      <w:r w:rsidRPr="00AC66B3">
        <w:rPr>
          <w:rFonts w:ascii="Times New Roman" w:hAnsi="Times New Roman" w:cs="Times New Roman"/>
          <w:sz w:val="28"/>
          <w:szCs w:val="28"/>
        </w:rPr>
        <w:t>. La demanda se dirige únicamente contra las disposiciones producto de las facultades extraordinarias allí concedidas (segundo juicio). En la sentencia C-1316 de 2000, la Corte Constitucional c</w:t>
      </w:r>
      <w:r w:rsidRPr="00AC66B3">
        <w:rPr>
          <w:rFonts w:ascii="Times New Roman" w:hAnsi="Times New Roman" w:cs="Times New Roman"/>
          <w:sz w:val="28"/>
          <w:szCs w:val="28"/>
        </w:rPr>
        <w:t>onsideró que el estudio de constitu</w:t>
      </w:r>
      <w:r w:rsidRPr="00AC66B3">
        <w:rPr>
          <w:rFonts w:ascii="Times New Roman" w:hAnsi="Times New Roman" w:cs="Times New Roman"/>
          <w:sz w:val="28"/>
          <w:szCs w:val="28"/>
        </w:rPr>
        <w:softHyphen/>
        <w:t>cio</w:t>
      </w:r>
      <w:r w:rsidRPr="00AC66B3">
        <w:rPr>
          <w:rFonts w:ascii="Times New Roman" w:hAnsi="Times New Roman" w:cs="Times New Roman"/>
          <w:sz w:val="28"/>
          <w:szCs w:val="28"/>
        </w:rPr>
        <w:softHyphen/>
        <w:t>nalidad de los decretos leyes suponía el estudio de la ley habilitante que había facultado al presidente de la República para expedirlos. Por ello, la Sala siempre integraba la unidad normativa entre la norma habilit</w:t>
      </w:r>
      <w:r w:rsidRPr="00AC66B3">
        <w:rPr>
          <w:rFonts w:ascii="Times New Roman" w:hAnsi="Times New Roman" w:cs="Times New Roman"/>
          <w:sz w:val="28"/>
          <w:szCs w:val="28"/>
        </w:rPr>
        <w:t xml:space="preserve">ante y el decreto ley demandado.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Sin embargo, esta posición fue modificada en la sentencia C-292 de 2001. En ella la Corte indicó que «</w:t>
      </w:r>
      <w:r w:rsidRPr="00AC66B3">
        <w:rPr>
          <w:rFonts w:ascii="Times New Roman" w:hAnsi="Times New Roman" w:cs="Times New Roman"/>
          <w:sz w:val="28"/>
          <w:szCs w:val="28"/>
          <w:lang w:val="es-ES"/>
        </w:rPr>
        <w:t>[s]erá</w:t>
      </w:r>
      <w:r w:rsidRPr="00AC66B3">
        <w:rPr>
          <w:rFonts w:ascii="Times New Roman" w:hAnsi="Times New Roman" w:cs="Times New Roman"/>
          <w:sz w:val="28"/>
          <w:szCs w:val="28"/>
          <w:lang w:val="es-ES"/>
        </w:rPr>
        <w:t xml:space="preserve"> posible ampliar el objeto del juicio de constitucionalidad a la ley de facultades, en aquellos casos en los que la unidad o integración normativa sea estrictamente necesaria, esto es, cuando para ejercer el control de constitucionalidad sobre el decreto d</w:t>
      </w:r>
      <w:r w:rsidRPr="00AC66B3">
        <w:rPr>
          <w:rFonts w:ascii="Times New Roman" w:hAnsi="Times New Roman" w:cs="Times New Roman"/>
          <w:sz w:val="28"/>
          <w:szCs w:val="28"/>
          <w:lang w:val="es-ES"/>
        </w:rPr>
        <w:t>emandado tal operación resulta indispensable, puesto que la proposición jurídica acusada, si bien tiene un contenido propio, se encuentra tan íntimamente ligada con contenidos jurídicos de la ley habilitante, que resulta imposible estudiar cabalmente su co</w:t>
      </w:r>
      <w:r w:rsidRPr="00AC66B3">
        <w:rPr>
          <w:rFonts w:ascii="Times New Roman" w:hAnsi="Times New Roman" w:cs="Times New Roman"/>
          <w:sz w:val="28"/>
          <w:szCs w:val="28"/>
          <w:lang w:val="es-ES"/>
        </w:rPr>
        <w:t>nstitucionalidad sin analizar la ley de facultades</w:t>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lang w:val="es-ES"/>
        </w:rPr>
        <w:t>En el caso concreto, esta condición no se cumple. La integración de la unidad normativa con la norma habilitante no es estrictamente necesaria porque es posible estudiar las normas demandadas sin estudi</w:t>
      </w:r>
      <w:r w:rsidRPr="00AC66B3">
        <w:rPr>
          <w:rFonts w:ascii="Times New Roman" w:hAnsi="Times New Roman" w:cs="Times New Roman"/>
          <w:bCs/>
          <w:sz w:val="28"/>
          <w:szCs w:val="28"/>
          <w:bdr w:val="none" w:sz="0" w:space="0" w:color="auto" w:frame="1"/>
          <w:lang w:val="es-ES"/>
        </w:rPr>
        <w:t xml:space="preserve">ar la exequibilidad de la norma habilitante. Aquellas tienen un contenido autónomo. En estricto rigor jurídico, para entender su sentido, solo es necesario comprender la expresión </w:t>
      </w:r>
      <w:r w:rsidRPr="00AC66B3">
        <w:rPr>
          <w:rFonts w:ascii="Times New Roman" w:hAnsi="Times New Roman" w:cs="Times New Roman"/>
          <w:bCs/>
          <w:i/>
          <w:iCs/>
          <w:sz w:val="28"/>
          <w:szCs w:val="28"/>
          <w:bdr w:val="none" w:sz="0" w:space="0" w:color="auto" w:frame="1"/>
          <w:lang w:val="es-ES"/>
        </w:rPr>
        <w:t>régimen jurídico aplicable</w:t>
      </w:r>
      <w:r w:rsidRPr="00AC66B3">
        <w:rPr>
          <w:rFonts w:ascii="Times New Roman" w:hAnsi="Times New Roman" w:cs="Times New Roman"/>
          <w:bCs/>
          <w:sz w:val="28"/>
          <w:szCs w:val="28"/>
          <w:bdr w:val="none" w:sz="0" w:space="0" w:color="auto" w:frame="1"/>
          <w:lang w:val="es-ES"/>
        </w:rPr>
        <w:t xml:space="preserve">, contenida en la norma habilitante. Como se verá </w:t>
      </w:r>
      <w:r w:rsidRPr="00AC66B3">
        <w:rPr>
          <w:rFonts w:ascii="Times New Roman" w:hAnsi="Times New Roman" w:cs="Times New Roman"/>
          <w:bCs/>
          <w:sz w:val="28"/>
          <w:szCs w:val="28"/>
          <w:bdr w:val="none" w:sz="0" w:space="0" w:color="auto" w:frame="1"/>
          <w:lang w:val="es-ES"/>
        </w:rPr>
        <w:t>más adelante, en principio, esa expresión no es inconstitucional porque, como ya se indicó, la Corte ha explicado que el Legislador puede conceder facultades extraordinarias al presidente de la República para expedir decretos con fuerza de ley, mediante lo</w:t>
      </w:r>
      <w:r w:rsidRPr="00AC66B3">
        <w:rPr>
          <w:rFonts w:ascii="Times New Roman" w:hAnsi="Times New Roman" w:cs="Times New Roman"/>
          <w:bCs/>
          <w:sz w:val="28"/>
          <w:szCs w:val="28"/>
          <w:bdr w:val="none" w:sz="0" w:space="0" w:color="auto" w:frame="1"/>
          <w:lang w:val="es-ES"/>
        </w:rPr>
        <w:t>s cuales este determine el régimen jurídico de entidades administrativas</w:t>
      </w:r>
      <w:r w:rsidRPr="00AC66B3">
        <w:rPr>
          <w:rStyle w:val="Refdenotaalpie"/>
          <w:rFonts w:ascii="Times New Roman" w:hAnsi="Times New Roman" w:cs="Times New Roman"/>
          <w:bCs/>
          <w:sz w:val="28"/>
          <w:szCs w:val="28"/>
          <w:bdr w:val="none" w:sz="0" w:space="0" w:color="auto" w:frame="1"/>
          <w:lang w:val="es-ES"/>
        </w:rPr>
        <w:footnoteReference w:id="105"/>
      </w:r>
      <w:r w:rsidRPr="00AC66B3">
        <w:rPr>
          <w:rFonts w:ascii="Times New Roman" w:hAnsi="Times New Roman" w:cs="Times New Roman"/>
          <w:bCs/>
          <w:sz w:val="28"/>
          <w:szCs w:val="28"/>
          <w:bdr w:val="none" w:sz="0" w:space="0" w:color="auto" w:frame="1"/>
          <w:lang w:val="es-ES"/>
        </w:rPr>
        <w:t xml:space="preserve">. Igualmente, la jurisprudencia constitucional y la ley han definido la noción de régimen jurídico.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r w:rsidRPr="00AC66B3">
        <w:rPr>
          <w:rFonts w:ascii="Times New Roman" w:hAnsi="Times New Roman" w:cs="Times New Roman"/>
          <w:bCs/>
          <w:sz w:val="28"/>
          <w:szCs w:val="28"/>
          <w:bdr w:val="none" w:sz="0" w:space="0" w:color="auto" w:frame="1"/>
          <w:lang w:val="es-ES"/>
        </w:rPr>
        <w:t>Además, el presente caso no reúne las condiciones señaladas en la Sentencia C-489</w:t>
      </w:r>
      <w:r w:rsidRPr="00AC66B3">
        <w:rPr>
          <w:rFonts w:ascii="Times New Roman" w:hAnsi="Times New Roman" w:cs="Times New Roman"/>
          <w:bCs/>
          <w:sz w:val="28"/>
          <w:szCs w:val="28"/>
          <w:bdr w:val="none" w:sz="0" w:space="0" w:color="auto" w:frame="1"/>
          <w:lang w:val="es-ES"/>
        </w:rPr>
        <w:t xml:space="preserve"> de 2023, en aplicación de las cuales procede adelantar un control oficioso de constitucionalidad</w:t>
      </w:r>
      <w:r w:rsidRPr="00AC66B3">
        <w:rPr>
          <w:rStyle w:val="Refdenotaalpie"/>
          <w:rFonts w:ascii="Times New Roman" w:hAnsi="Times New Roman" w:cs="Times New Roman"/>
          <w:bCs/>
          <w:sz w:val="28"/>
          <w:szCs w:val="28"/>
          <w:bdr w:val="none" w:sz="0" w:space="0" w:color="auto" w:frame="1"/>
          <w:lang w:val="es-ES"/>
        </w:rPr>
        <w:footnoteReference w:id="106"/>
      </w:r>
      <w:r w:rsidRPr="00AC66B3">
        <w:rPr>
          <w:rFonts w:ascii="Times New Roman" w:hAnsi="Times New Roman" w:cs="Times New Roman"/>
          <w:bCs/>
          <w:sz w:val="28"/>
          <w:szCs w:val="28"/>
          <w:bdr w:val="none" w:sz="0" w:space="0" w:color="auto" w:frame="1"/>
          <w:lang w:val="es-ES"/>
        </w:rPr>
        <w:t>. En particular, se debe destacar que la prueba decretada, las intervenciones recibidas y el concepto del PGN no identificaron algún vicio de inconstitucional</w:t>
      </w:r>
      <w:r w:rsidRPr="00AC66B3">
        <w:rPr>
          <w:rFonts w:ascii="Times New Roman" w:hAnsi="Times New Roman" w:cs="Times New Roman"/>
          <w:bCs/>
          <w:sz w:val="28"/>
          <w:szCs w:val="28"/>
          <w:bdr w:val="none" w:sz="0" w:space="0" w:color="auto" w:frame="1"/>
          <w:lang w:val="es-ES"/>
        </w:rPr>
        <w:t>idad en la norma habilitante. El cumplimiento de este requisito para ampliar el juicio de constitucionalidad es fundamental porque garantiza el carácter participativo, pluralista y deliberativo del proceso de constitucionalidad</w:t>
      </w:r>
      <w:r w:rsidRPr="00AC66B3">
        <w:rPr>
          <w:rStyle w:val="Refdenotaalpie"/>
          <w:rFonts w:ascii="Times New Roman" w:hAnsi="Times New Roman" w:cs="Times New Roman"/>
          <w:bCs/>
          <w:sz w:val="28"/>
          <w:szCs w:val="28"/>
          <w:bdr w:val="none" w:sz="0" w:space="0" w:color="auto" w:frame="1"/>
          <w:lang w:val="es-ES"/>
        </w:rPr>
        <w:footnoteReference w:id="107"/>
      </w:r>
      <w:r w:rsidRPr="00AC66B3">
        <w:rPr>
          <w:rFonts w:ascii="Times New Roman" w:hAnsi="Times New Roman" w:cs="Times New Roman"/>
          <w:bCs/>
          <w:sz w:val="28"/>
          <w:szCs w:val="28"/>
          <w:bdr w:val="none" w:sz="0" w:space="0" w:color="auto" w:frame="1"/>
          <w:lang w:val="es-ES"/>
        </w:rPr>
        <w:t xml:space="preserve">. </w:t>
      </w:r>
    </w:p>
    <w:p w:rsidR="000A045E" w:rsidRPr="00AC66B3" w:rsidRDefault="00AC66B3" w:rsidP="000A045E">
      <w:pPr>
        <w:tabs>
          <w:tab w:val="left" w:pos="142"/>
          <w:tab w:val="left" w:pos="284"/>
        </w:tabs>
        <w:jc w:val="both"/>
        <w:rPr>
          <w:rFonts w:ascii="Times New Roman" w:hAnsi="Times New Roman" w:cs="Times New Roman"/>
          <w:bCs/>
          <w:sz w:val="28"/>
          <w:szCs w:val="28"/>
          <w:bdr w:val="none" w:sz="0" w:space="0" w:color="auto" w:frame="1"/>
          <w:lang w:val="es-ES"/>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bookmarkStart w:id="14" w:name="_Hlk180138208"/>
      <w:r w:rsidRPr="00AC66B3">
        <w:rPr>
          <w:rFonts w:ascii="Times New Roman" w:hAnsi="Times New Roman" w:cs="Times New Roman"/>
          <w:bCs/>
          <w:sz w:val="28"/>
          <w:szCs w:val="28"/>
          <w:bdr w:val="none" w:sz="0" w:space="0" w:color="auto" w:frame="1"/>
          <w:lang w:val="es-ES"/>
        </w:rPr>
        <w:t>Sin embargo, la Sala Ple</w:t>
      </w:r>
      <w:r w:rsidRPr="00AC66B3">
        <w:rPr>
          <w:rFonts w:ascii="Times New Roman" w:hAnsi="Times New Roman" w:cs="Times New Roman"/>
          <w:bCs/>
          <w:sz w:val="28"/>
          <w:szCs w:val="28"/>
          <w:bdr w:val="none" w:sz="0" w:space="0" w:color="auto" w:frame="1"/>
          <w:lang w:val="es-ES"/>
        </w:rPr>
        <w:t xml:space="preserve">na sí estima necesario advertir que, </w:t>
      </w:r>
      <w:r w:rsidRPr="00AC66B3">
        <w:rPr>
          <w:rFonts w:ascii="Times New Roman" w:hAnsi="Times New Roman" w:cs="Times New Roman"/>
          <w:b/>
          <w:sz w:val="28"/>
          <w:szCs w:val="28"/>
          <w:bdr w:val="none" w:sz="0" w:space="0" w:color="auto" w:frame="1"/>
          <w:lang w:val="es-ES"/>
        </w:rPr>
        <w:t>en principio</w:t>
      </w:r>
      <w:r w:rsidRPr="00AC66B3">
        <w:rPr>
          <w:rFonts w:ascii="Times New Roman" w:hAnsi="Times New Roman" w:cs="Times New Roman"/>
          <w:bCs/>
          <w:sz w:val="28"/>
          <w:szCs w:val="28"/>
          <w:bdr w:val="none" w:sz="0" w:space="0" w:color="auto" w:frame="1"/>
          <w:lang w:val="es-ES"/>
        </w:rPr>
        <w:t>, la incorporación en la Ley del Plan Nacional de Desarrollo de normas que otorguen facultades extraordinarias al presidente de la República para expedir decretos con fuerza de ley podría ser inconstituciona</w:t>
      </w:r>
      <w:r w:rsidRPr="00AC66B3">
        <w:rPr>
          <w:rFonts w:ascii="Times New Roman" w:hAnsi="Times New Roman" w:cs="Times New Roman"/>
          <w:bCs/>
          <w:sz w:val="28"/>
          <w:szCs w:val="28"/>
          <w:bdr w:val="none" w:sz="0" w:space="0" w:color="auto" w:frame="1"/>
          <w:lang w:val="es-ES"/>
        </w:rPr>
        <w:t>l por la violación del principio de unidad de materia. Aunque, en abstracto, esto sería así por varias razones, la Corte entiende que deberá examinar las particularidades de cada caso para efectos de determinar la configuración de la violación del principi</w:t>
      </w:r>
      <w:r w:rsidRPr="00AC66B3">
        <w:rPr>
          <w:rFonts w:ascii="Times New Roman" w:hAnsi="Times New Roman" w:cs="Times New Roman"/>
          <w:bCs/>
          <w:sz w:val="28"/>
          <w:szCs w:val="28"/>
          <w:bdr w:val="none" w:sz="0" w:space="0" w:color="auto" w:frame="1"/>
          <w:lang w:val="es-ES"/>
        </w:rPr>
        <w:t xml:space="preserve">o constitucional anotado. Las aludidas razones son las siguientes: </w:t>
      </w:r>
    </w:p>
    <w:bookmarkEnd w:id="14"/>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lang w:val="es-ES"/>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r w:rsidRPr="00AC66B3">
        <w:rPr>
          <w:rFonts w:ascii="Times New Roman" w:hAnsi="Times New Roman" w:cs="Times New Roman"/>
          <w:bCs/>
          <w:sz w:val="28"/>
          <w:szCs w:val="28"/>
          <w:bdr w:val="none" w:sz="0" w:space="0" w:color="auto" w:frame="1"/>
          <w:lang w:val="es-ES"/>
        </w:rPr>
        <w:t xml:space="preserve">Primera, </w:t>
      </w:r>
      <w:r w:rsidRPr="00AC66B3">
        <w:rPr>
          <w:rFonts w:ascii="Times New Roman" w:hAnsi="Times New Roman" w:cs="Times New Roman"/>
          <w:bCs/>
          <w:i/>
          <w:iCs/>
          <w:sz w:val="28"/>
          <w:szCs w:val="28"/>
          <w:bdr w:val="none" w:sz="0" w:space="0" w:color="auto" w:frame="1"/>
          <w:lang w:val="es-ES"/>
        </w:rPr>
        <w:t>prima facie</w:t>
      </w:r>
      <w:r w:rsidRPr="00AC66B3">
        <w:rPr>
          <w:rFonts w:ascii="Times New Roman" w:hAnsi="Times New Roman" w:cs="Times New Roman"/>
          <w:bCs/>
          <w:sz w:val="28"/>
          <w:szCs w:val="28"/>
          <w:bdr w:val="none" w:sz="0" w:space="0" w:color="auto" w:frame="1"/>
          <w:lang w:val="es-ES"/>
        </w:rPr>
        <w:t>, dicha incorporación no se encuentra prevista en los contenidos predeterminados de esa ley, de acuerdo con lo dispuesto en el texto superior</w:t>
      </w:r>
      <w:r w:rsidRPr="00AC66B3">
        <w:rPr>
          <w:rStyle w:val="Refdenotaalpie"/>
          <w:rFonts w:ascii="Times New Roman" w:hAnsi="Times New Roman" w:cs="Times New Roman"/>
          <w:bCs/>
          <w:sz w:val="28"/>
          <w:szCs w:val="28"/>
          <w:bdr w:val="none" w:sz="0" w:space="0" w:color="auto" w:frame="1"/>
          <w:lang w:val="es-ES"/>
        </w:rPr>
        <w:footnoteReference w:id="108"/>
      </w:r>
      <w:r w:rsidRPr="00AC66B3">
        <w:rPr>
          <w:rFonts w:ascii="Times New Roman" w:hAnsi="Times New Roman" w:cs="Times New Roman"/>
          <w:bCs/>
          <w:sz w:val="28"/>
          <w:szCs w:val="28"/>
          <w:bdr w:val="none" w:sz="0" w:space="0" w:color="auto" w:frame="1"/>
          <w:lang w:val="es-ES"/>
        </w:rPr>
        <w:t xml:space="preserve">. En efecto, </w:t>
      </w:r>
      <w:r w:rsidRPr="00AC66B3">
        <w:rPr>
          <w:rFonts w:ascii="Times New Roman" w:hAnsi="Times New Roman" w:cs="Times New Roman"/>
          <w:bCs/>
          <w:sz w:val="28"/>
          <w:szCs w:val="28"/>
          <w:bdr w:val="none" w:sz="0" w:space="0" w:color="auto" w:frame="1"/>
        </w:rPr>
        <w:t>el Plan Naci</w:t>
      </w:r>
      <w:r w:rsidRPr="00AC66B3">
        <w:rPr>
          <w:rFonts w:ascii="Times New Roman" w:hAnsi="Times New Roman" w:cs="Times New Roman"/>
          <w:bCs/>
          <w:sz w:val="28"/>
          <w:szCs w:val="28"/>
          <w:bdr w:val="none" w:sz="0" w:space="0" w:color="auto" w:frame="1"/>
        </w:rPr>
        <w:t>onal de Desarrollo estará: «conformado por una parte general y un plan de inversiones de las entidades públicas del orden nacional»</w:t>
      </w:r>
      <w:r w:rsidRPr="00AC66B3">
        <w:rPr>
          <w:rStyle w:val="Refdenotaalpie"/>
          <w:rFonts w:ascii="Times New Roman" w:hAnsi="Times New Roman" w:cs="Times New Roman"/>
          <w:bCs/>
          <w:sz w:val="28"/>
          <w:szCs w:val="28"/>
          <w:bdr w:val="none" w:sz="0" w:space="0" w:color="auto" w:frame="1"/>
        </w:rPr>
        <w:footnoteReference w:id="109"/>
      </w:r>
      <w:r w:rsidRPr="00AC66B3">
        <w:rPr>
          <w:rFonts w:ascii="Times New Roman" w:hAnsi="Times New Roman" w:cs="Times New Roman"/>
          <w:bCs/>
          <w:sz w:val="28"/>
          <w:szCs w:val="28"/>
          <w:bdr w:val="none" w:sz="0" w:space="0" w:color="auto" w:frame="1"/>
        </w:rPr>
        <w:t xml:space="preserve">. En la parte general «se señalarán los propósitos y objetivos nacionales de largo plazo, las metas y prioridades de la </w:t>
      </w:r>
      <w:r w:rsidRPr="00AC66B3">
        <w:rPr>
          <w:rFonts w:ascii="Times New Roman" w:hAnsi="Times New Roman" w:cs="Times New Roman"/>
          <w:bCs/>
          <w:sz w:val="28"/>
          <w:szCs w:val="28"/>
          <w:bdr w:val="none" w:sz="0" w:space="0" w:color="auto" w:frame="1"/>
        </w:rPr>
        <w:t>acción estatal a mediano plazo y las estrategias y orientaciones generales de la política económica, social y ambiental que serán adoptadas por el Gobierno»</w:t>
      </w:r>
      <w:r w:rsidRPr="00AC66B3">
        <w:rPr>
          <w:rStyle w:val="Refdenotaalpie"/>
          <w:rFonts w:ascii="Times New Roman" w:hAnsi="Times New Roman" w:cs="Times New Roman"/>
          <w:bCs/>
          <w:sz w:val="28"/>
          <w:szCs w:val="28"/>
          <w:bdr w:val="none" w:sz="0" w:space="0" w:color="auto" w:frame="1"/>
        </w:rPr>
        <w:footnoteReference w:id="110"/>
      </w:r>
      <w:r w:rsidRPr="00AC66B3">
        <w:rPr>
          <w:rFonts w:ascii="Times New Roman" w:hAnsi="Times New Roman" w:cs="Times New Roman"/>
          <w:bCs/>
          <w:sz w:val="28"/>
          <w:szCs w:val="28"/>
          <w:bdr w:val="none" w:sz="0" w:space="0" w:color="auto" w:frame="1"/>
        </w:rPr>
        <w:t>. Por su parte, el plan de inversiones públicas «contendrá los presupuestos plurianuales de los pri</w:t>
      </w:r>
      <w:r w:rsidRPr="00AC66B3">
        <w:rPr>
          <w:rFonts w:ascii="Times New Roman" w:hAnsi="Times New Roman" w:cs="Times New Roman"/>
          <w:bCs/>
          <w:sz w:val="28"/>
          <w:szCs w:val="28"/>
          <w:bdr w:val="none" w:sz="0" w:space="0" w:color="auto" w:frame="1"/>
        </w:rPr>
        <w:t>ncipales programas y proyectos de inversión pública nacional y la especificación de los recursos financieros requeridos para su ejecución, dentro de un marco que garantice la sostenibilidad fiscal»</w:t>
      </w:r>
      <w:r w:rsidRPr="00AC66B3">
        <w:rPr>
          <w:rStyle w:val="Refdenotaalpie"/>
          <w:rFonts w:ascii="Times New Roman" w:hAnsi="Times New Roman" w:cs="Times New Roman"/>
          <w:bCs/>
          <w:sz w:val="28"/>
          <w:szCs w:val="28"/>
          <w:bdr w:val="none" w:sz="0" w:space="0" w:color="auto" w:frame="1"/>
        </w:rPr>
        <w:footnoteReference w:id="111"/>
      </w:r>
      <w:r w:rsidRPr="00AC66B3">
        <w:rPr>
          <w:rFonts w:ascii="Times New Roman" w:hAnsi="Times New Roman" w:cs="Times New Roman"/>
          <w:bCs/>
          <w:sz w:val="28"/>
          <w:szCs w:val="28"/>
          <w:bdr w:val="none" w:sz="0" w:space="0" w:color="auto" w:frame="1"/>
        </w:rPr>
        <w:t>. Igualmente, la Ley del Plan Nacional de Desarrollo conte</w:t>
      </w:r>
      <w:r w:rsidRPr="00AC66B3">
        <w:rPr>
          <w:rFonts w:ascii="Times New Roman" w:hAnsi="Times New Roman" w:cs="Times New Roman"/>
          <w:bCs/>
          <w:sz w:val="28"/>
          <w:szCs w:val="28"/>
          <w:bdr w:val="none" w:sz="0" w:space="0" w:color="auto" w:frame="1"/>
        </w:rPr>
        <w:t>ndrá «[l]os mecanismos instrumentales idóneos o apropiados para su armonización y para la sujeción a ellos de los presupuestos oficiales, con la especificación de las medidas necesarias para impulsar el cumplimiento o ejecución de los mismos»</w:t>
      </w:r>
      <w:r w:rsidRPr="00AC66B3">
        <w:rPr>
          <w:rStyle w:val="Refdenotaalpie"/>
          <w:rFonts w:ascii="Times New Roman" w:hAnsi="Times New Roman" w:cs="Times New Roman"/>
          <w:bCs/>
          <w:sz w:val="28"/>
          <w:szCs w:val="28"/>
          <w:bdr w:val="none" w:sz="0" w:space="0" w:color="auto" w:frame="1"/>
        </w:rPr>
        <w:footnoteReference w:id="112"/>
      </w:r>
      <w:r w:rsidRPr="00AC66B3">
        <w:rPr>
          <w:rFonts w:ascii="Times New Roman" w:hAnsi="Times New Roman" w:cs="Times New Roman"/>
          <w:bCs/>
          <w:sz w:val="28"/>
          <w:szCs w:val="28"/>
          <w:bdr w:val="none" w:sz="0" w:space="0" w:color="auto" w:frame="1"/>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lang w:val="es-ES"/>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r w:rsidRPr="00AC66B3">
        <w:rPr>
          <w:rFonts w:ascii="Times New Roman" w:hAnsi="Times New Roman" w:cs="Times New Roman"/>
          <w:bCs/>
          <w:sz w:val="28"/>
          <w:szCs w:val="28"/>
          <w:bdr w:val="none" w:sz="0" w:space="0" w:color="auto" w:frame="1"/>
          <w:lang w:val="es-ES"/>
        </w:rPr>
        <w:t>Segunda, e</w:t>
      </w:r>
      <w:r w:rsidRPr="00AC66B3">
        <w:rPr>
          <w:rFonts w:ascii="Times New Roman" w:hAnsi="Times New Roman" w:cs="Times New Roman"/>
          <w:bCs/>
          <w:sz w:val="28"/>
          <w:szCs w:val="28"/>
          <w:bdr w:val="none" w:sz="0" w:space="0" w:color="auto" w:frame="1"/>
          <w:lang w:val="es-ES"/>
        </w:rPr>
        <w:t xml:space="preserve">n el trámite legislativo de la Ley del Plan Nacional de Desarrollo, </w:t>
      </w:r>
      <w:r w:rsidRPr="00AC66B3">
        <w:rPr>
          <w:rFonts w:ascii="Times New Roman" w:hAnsi="Times New Roman" w:cs="Times New Roman"/>
          <w:sz w:val="28"/>
          <w:szCs w:val="28"/>
        </w:rPr>
        <w:t>«</w:t>
      </w:r>
      <w:r w:rsidRPr="00AC66B3">
        <w:rPr>
          <w:rFonts w:ascii="Times New Roman" w:hAnsi="Times New Roman" w:cs="Times New Roman"/>
          <w:color w:val="000000"/>
          <w:sz w:val="28"/>
          <w:szCs w:val="28"/>
          <w:shd w:val="clear" w:color="auto" w:fill="FFFFFF"/>
        </w:rPr>
        <w:t>el principio democrático se encuentra restringido [porque] la iniciativa es gubernamental, las posibilidades de modificación del proyecto por el Congreso se encuentran limitadas [y] el té</w:t>
      </w:r>
      <w:r w:rsidRPr="00AC66B3">
        <w:rPr>
          <w:rFonts w:ascii="Times New Roman" w:hAnsi="Times New Roman" w:cs="Times New Roman"/>
          <w:color w:val="000000"/>
          <w:sz w:val="28"/>
          <w:szCs w:val="28"/>
          <w:shd w:val="clear" w:color="auto" w:fill="FFFFFF"/>
        </w:rPr>
        <w:t>rmino para la aprobación del plan es reducido</w:t>
      </w:r>
      <w:r w:rsidRPr="00AC66B3">
        <w:rPr>
          <w:rFonts w:ascii="Times New Roman" w:hAnsi="Times New Roman" w:cs="Times New Roman"/>
          <w:sz w:val="28"/>
          <w:szCs w:val="28"/>
        </w:rPr>
        <w:t>»</w:t>
      </w:r>
      <w:r w:rsidRPr="00AC66B3">
        <w:rPr>
          <w:rStyle w:val="Refdenotaalpie"/>
          <w:rFonts w:ascii="Times New Roman" w:hAnsi="Times New Roman" w:cs="Times New Roman"/>
          <w:sz w:val="28"/>
          <w:szCs w:val="28"/>
        </w:rPr>
        <w:footnoteReference w:id="113"/>
      </w:r>
      <w:r w:rsidRPr="00AC66B3">
        <w:rPr>
          <w:rFonts w:ascii="Times New Roman" w:hAnsi="Times New Roman" w:cs="Times New Roman"/>
          <w:sz w:val="28"/>
          <w:szCs w:val="28"/>
        </w:rPr>
        <w:t>. Tal restricción implica, en principio, la imposibilidad de incluir disposiciones en la</w:t>
      </w:r>
      <w:r w:rsidRPr="00AC66B3">
        <w:rPr>
          <w:rFonts w:ascii="Times New Roman" w:hAnsi="Times New Roman" w:cs="Times New Roman"/>
          <w:bCs/>
          <w:sz w:val="28"/>
          <w:szCs w:val="28"/>
          <w:bdr w:val="none" w:sz="0" w:space="0" w:color="auto" w:frame="1"/>
          <w:lang w:val="es-ES"/>
        </w:rPr>
        <w:t xml:space="preserve"> Ley del Plan Nacional de Desarrollo</w:t>
      </w:r>
      <w:r w:rsidRPr="00AC66B3">
        <w:rPr>
          <w:rFonts w:ascii="Times New Roman" w:hAnsi="Times New Roman" w:cs="Times New Roman"/>
          <w:sz w:val="28"/>
          <w:szCs w:val="28"/>
        </w:rPr>
        <w:t xml:space="preserve"> que afecten o limiten aún más el principio democrático. En las consideraciones de es</w:t>
      </w:r>
      <w:r w:rsidRPr="00AC66B3">
        <w:rPr>
          <w:rFonts w:ascii="Times New Roman" w:hAnsi="Times New Roman" w:cs="Times New Roman"/>
          <w:sz w:val="28"/>
          <w:szCs w:val="28"/>
        </w:rPr>
        <w:t xml:space="preserve">ta sentencia ya se dijo que </w:t>
      </w:r>
      <w:r w:rsidRPr="00AC66B3">
        <w:rPr>
          <w:rFonts w:ascii="Times New Roman" w:hAnsi="Times New Roman" w:cs="Times New Roman"/>
          <w:bCs/>
          <w:sz w:val="28"/>
          <w:szCs w:val="28"/>
          <w:lang w:eastAsia="es-ES"/>
        </w:rPr>
        <w:t xml:space="preserve">la atribución de facultades extraordinarias al presidente de la República para legislar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altera el reparto ordinario de competencias normativas entre el Congreso y el Ejecutivo»</w:t>
      </w:r>
      <w:r w:rsidRPr="00AC66B3">
        <w:rPr>
          <w:rStyle w:val="Refdenotaalpie"/>
          <w:rFonts w:ascii="Times New Roman" w:hAnsi="Times New Roman" w:cs="Times New Roman"/>
          <w:bCs/>
          <w:sz w:val="28"/>
          <w:szCs w:val="28"/>
          <w:lang w:eastAsia="es-ES"/>
        </w:rPr>
        <w:footnoteReference w:id="114"/>
      </w:r>
      <w:r w:rsidRPr="00AC66B3">
        <w:rPr>
          <w:rFonts w:ascii="Times New Roman" w:hAnsi="Times New Roman" w:cs="Times New Roman"/>
          <w:bCs/>
          <w:sz w:val="28"/>
          <w:szCs w:val="28"/>
          <w:lang w:eastAsia="es-ES"/>
        </w:rPr>
        <w:t xml:space="preserve"> y, por tanto, restringe el principio democrático.</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lang w:val="es-ES"/>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r w:rsidRPr="00AC66B3">
        <w:rPr>
          <w:rFonts w:ascii="Times New Roman" w:hAnsi="Times New Roman" w:cs="Times New Roman"/>
          <w:bCs/>
          <w:sz w:val="28"/>
          <w:szCs w:val="28"/>
          <w:bdr w:val="none" w:sz="0" w:space="0" w:color="auto" w:frame="1"/>
        </w:rPr>
        <w:t xml:space="preserve">Y, tercera, las normas que integran la Ley del Plan Nacional de Desarrollo están gobernadas por la regla de la transitoriedad. Esto significa que, por su naturaleza, esas normas </w:t>
      </w:r>
      <w:r w:rsidRPr="00AC66B3">
        <w:rPr>
          <w:rFonts w:ascii="Times New Roman" w:hAnsi="Times New Roman" w:cs="Times New Roman"/>
          <w:sz w:val="28"/>
          <w:szCs w:val="28"/>
        </w:rPr>
        <w:t>«</w:t>
      </w:r>
      <w:r w:rsidRPr="00AC66B3">
        <w:rPr>
          <w:rFonts w:ascii="Times New Roman" w:hAnsi="Times New Roman" w:cs="Times New Roman"/>
          <w:sz w:val="28"/>
          <w:szCs w:val="28"/>
          <w:bdr w:val="none" w:sz="0" w:space="0" w:color="auto" w:frame="1"/>
        </w:rPr>
        <w:t>deben tener vocación de temporalidad y, por consiguiente, resultan violator</w:t>
      </w:r>
      <w:r w:rsidRPr="00AC66B3">
        <w:rPr>
          <w:rFonts w:ascii="Times New Roman" w:hAnsi="Times New Roman" w:cs="Times New Roman"/>
          <w:sz w:val="28"/>
          <w:szCs w:val="28"/>
          <w:bdr w:val="none" w:sz="0" w:space="0" w:color="auto" w:frame="1"/>
        </w:rPr>
        <w:t>ias del principio de unidad de materia aquellas normas que no tengan como fin planificar y priorizar las acciones públicas y la ejecución del presupuesto público durante un cuatrienio</w:t>
      </w:r>
      <w:r w:rsidRPr="00AC66B3">
        <w:rPr>
          <w:rFonts w:ascii="Times New Roman" w:hAnsi="Times New Roman" w:cs="Times New Roman"/>
          <w:bCs/>
          <w:sz w:val="28"/>
          <w:szCs w:val="28"/>
          <w:lang w:eastAsia="es-ES"/>
        </w:rPr>
        <w:t>»</w:t>
      </w:r>
      <w:r w:rsidRPr="00AC66B3">
        <w:rPr>
          <w:rStyle w:val="Refdenotaalpie"/>
          <w:rFonts w:ascii="Times New Roman" w:hAnsi="Times New Roman" w:cs="Times New Roman"/>
          <w:bCs/>
          <w:sz w:val="28"/>
          <w:szCs w:val="28"/>
          <w:lang w:eastAsia="es-ES"/>
        </w:rPr>
        <w:footnoteReference w:id="115"/>
      </w:r>
      <w:r w:rsidRPr="00AC66B3">
        <w:rPr>
          <w:rFonts w:ascii="Times New Roman" w:hAnsi="Times New Roman" w:cs="Times New Roman"/>
          <w:bCs/>
          <w:sz w:val="28"/>
          <w:szCs w:val="28"/>
          <w:lang w:eastAsia="es-ES"/>
        </w:rPr>
        <w:t xml:space="preserve">. Es claro que el otorgamiento de </w:t>
      </w:r>
      <w:r w:rsidRPr="00AC66B3">
        <w:rPr>
          <w:rFonts w:ascii="Times New Roman" w:hAnsi="Times New Roman" w:cs="Times New Roman"/>
          <w:bCs/>
          <w:sz w:val="28"/>
          <w:szCs w:val="28"/>
          <w:bdr w:val="none" w:sz="0" w:space="0" w:color="auto" w:frame="1"/>
          <w:lang w:val="es-ES"/>
        </w:rPr>
        <w:t>facultades extraordinarias al preside</w:t>
      </w:r>
      <w:r w:rsidRPr="00AC66B3">
        <w:rPr>
          <w:rFonts w:ascii="Times New Roman" w:hAnsi="Times New Roman" w:cs="Times New Roman"/>
          <w:bCs/>
          <w:sz w:val="28"/>
          <w:szCs w:val="28"/>
          <w:bdr w:val="none" w:sz="0" w:space="0" w:color="auto" w:frame="1"/>
          <w:lang w:val="es-ES"/>
        </w:rPr>
        <w:t xml:space="preserve">nte de la República para expedir decretos con fuerza de ley que, como ocurre en el presente caso, modifican el ordenamiento jurídico de manera permanente constituye una forma de soslayar la regla de la temporalidad de las normas </w:t>
      </w:r>
      <w:r w:rsidRPr="00AC66B3">
        <w:rPr>
          <w:rFonts w:ascii="Times New Roman" w:hAnsi="Times New Roman" w:cs="Times New Roman"/>
          <w:bCs/>
          <w:sz w:val="28"/>
          <w:szCs w:val="28"/>
          <w:bdr w:val="none" w:sz="0" w:space="0" w:color="auto" w:frame="1"/>
        </w:rPr>
        <w:t xml:space="preserve">que integran la Ley del </w:t>
      </w:r>
      <w:r w:rsidRPr="00AC66B3">
        <w:rPr>
          <w:rFonts w:ascii="Times New Roman" w:hAnsi="Times New Roman" w:cs="Times New Roman"/>
          <w:bCs/>
          <w:sz w:val="28"/>
          <w:szCs w:val="28"/>
          <w:bdr w:val="none" w:sz="0" w:space="0" w:color="auto" w:frame="1"/>
        </w:rPr>
        <w:t>Plan Nacional de Desarrollo</w:t>
      </w:r>
      <w:r w:rsidRPr="00AC66B3">
        <w:rPr>
          <w:rFonts w:ascii="Times New Roman" w:hAnsi="Times New Roman" w:cs="Times New Roman"/>
          <w:bCs/>
          <w:sz w:val="28"/>
          <w:szCs w:val="28"/>
          <w:bdr w:val="none" w:sz="0" w:space="0" w:color="auto" w:frame="1"/>
          <w:lang w:val="es-ES"/>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lang w:val="es-ES"/>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r w:rsidRPr="00AC66B3">
        <w:rPr>
          <w:rFonts w:ascii="Times New Roman" w:hAnsi="Times New Roman" w:cs="Times New Roman"/>
          <w:bCs/>
          <w:sz w:val="28"/>
          <w:szCs w:val="28"/>
          <w:bdr w:val="none" w:sz="0" w:space="0" w:color="auto" w:frame="1"/>
          <w:lang w:val="es-ES"/>
        </w:rPr>
        <w:t>Como es natural, en ejercicio de las facultades extraordinarias, el Gobierno nacional no puede expedir normas que el propio Legislador no puede incluir en la Ley del Plan Nacional de Desarrollo. Es decir, tratándose de esas fa</w:t>
      </w:r>
      <w:r w:rsidRPr="00AC66B3">
        <w:rPr>
          <w:rFonts w:ascii="Times New Roman" w:hAnsi="Times New Roman" w:cs="Times New Roman"/>
          <w:bCs/>
          <w:sz w:val="28"/>
          <w:szCs w:val="28"/>
          <w:bdr w:val="none" w:sz="0" w:space="0" w:color="auto" w:frame="1"/>
          <w:lang w:val="es-ES"/>
        </w:rPr>
        <w:t>cultades, el Gobierno nacional tiene las mismas restricciones del Legislador y, en consecuencia, no puede modificar el ordenamiento jurídico de manera permanente. Todas las normas, incluidas las que habilitan y aquellas expedidas en uso de facultades extra</w:t>
      </w:r>
      <w:r w:rsidRPr="00AC66B3">
        <w:rPr>
          <w:rFonts w:ascii="Times New Roman" w:hAnsi="Times New Roman" w:cs="Times New Roman"/>
          <w:bCs/>
          <w:sz w:val="28"/>
          <w:szCs w:val="28"/>
          <w:bdr w:val="none" w:sz="0" w:space="0" w:color="auto" w:frame="1"/>
          <w:lang w:val="es-ES"/>
        </w:rPr>
        <w:t xml:space="preserve">ordinarias, deben cumplir los mismos requisitos de las normas que el Legislador puede incorporar a la </w:t>
      </w:r>
      <w:r w:rsidRPr="00AC66B3">
        <w:rPr>
          <w:rFonts w:ascii="Times New Roman" w:hAnsi="Times New Roman" w:cs="Times New Roman"/>
          <w:bCs/>
          <w:sz w:val="28"/>
          <w:szCs w:val="28"/>
          <w:bdr w:val="none" w:sz="0" w:space="0" w:color="auto" w:frame="1"/>
        </w:rPr>
        <w:t>Ley del Plan Nacional de Desarrollo</w:t>
      </w:r>
      <w:r w:rsidRPr="00AC66B3">
        <w:rPr>
          <w:rFonts w:ascii="Times New Roman" w:hAnsi="Times New Roman" w:cs="Times New Roman"/>
          <w:bCs/>
          <w:sz w:val="28"/>
          <w:szCs w:val="28"/>
          <w:bdr w:val="none" w:sz="0" w:space="0" w:color="auto" w:frame="1"/>
          <w:lang w:val="es-ES"/>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lang w:val="es-ES"/>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lang w:val="es-ES"/>
        </w:rPr>
      </w:pPr>
      <w:r w:rsidRPr="00AC66B3">
        <w:rPr>
          <w:rFonts w:ascii="Times New Roman" w:hAnsi="Times New Roman" w:cs="Times New Roman"/>
          <w:b/>
          <w:bCs/>
          <w:i/>
          <w:iCs/>
          <w:sz w:val="28"/>
          <w:szCs w:val="28"/>
        </w:rPr>
        <w:t>La competencia del Invías para administrar vías terciarias.</w:t>
      </w:r>
      <w:r w:rsidRPr="00AC66B3">
        <w:rPr>
          <w:rFonts w:ascii="Times New Roman" w:hAnsi="Times New Roman" w:cs="Times New Roman"/>
          <w:sz w:val="28"/>
          <w:szCs w:val="28"/>
        </w:rPr>
        <w:t xml:space="preserve"> </w:t>
      </w:r>
      <w:r w:rsidRPr="00AC66B3">
        <w:rPr>
          <w:rFonts w:ascii="Times New Roman" w:eastAsia="Calibri" w:hAnsi="Times New Roman" w:cs="Times New Roman"/>
          <w:bCs/>
          <w:sz w:val="28"/>
          <w:szCs w:val="28"/>
        </w:rPr>
        <w:t xml:space="preserve">De acuerdo </w:t>
      </w:r>
      <w:r w:rsidRPr="00AC66B3">
        <w:rPr>
          <w:rFonts w:ascii="Times New Roman" w:eastAsia="Calibri" w:hAnsi="Times New Roman" w:cs="Times New Roman"/>
          <w:sz w:val="28"/>
          <w:szCs w:val="28"/>
        </w:rPr>
        <w:t>con</w:t>
      </w:r>
      <w:r w:rsidRPr="00AC66B3">
        <w:rPr>
          <w:rFonts w:ascii="Times New Roman" w:eastAsia="Calibri" w:hAnsi="Times New Roman" w:cs="Times New Roman"/>
          <w:bCs/>
          <w:sz w:val="28"/>
          <w:szCs w:val="28"/>
        </w:rPr>
        <w:t xml:space="preserve"> el artículo 300, numeral 2, de la Constit</w:t>
      </w:r>
      <w:r w:rsidRPr="00AC66B3">
        <w:rPr>
          <w:rFonts w:ascii="Times New Roman" w:eastAsia="Calibri" w:hAnsi="Times New Roman" w:cs="Times New Roman"/>
          <w:bCs/>
          <w:sz w:val="28"/>
          <w:szCs w:val="28"/>
        </w:rPr>
        <w:t xml:space="preserve">ución Política, las asambleas departamentales son competentes para regular el transporte, las obras públicas y las vías de comunicación de su territorio. Por su parte, en virtud del artículo 313, numeral 2, </w:t>
      </w:r>
      <w:r w:rsidRPr="00AC66B3">
        <w:rPr>
          <w:rFonts w:ascii="Times New Roman" w:eastAsia="Calibri" w:hAnsi="Times New Roman" w:cs="Times New Roman"/>
          <w:bCs/>
          <w:i/>
          <w:iCs/>
          <w:sz w:val="28"/>
          <w:szCs w:val="28"/>
        </w:rPr>
        <w:t>ejusdem</w:t>
      </w:r>
      <w:r w:rsidRPr="00AC66B3">
        <w:rPr>
          <w:rFonts w:ascii="Times New Roman" w:eastAsia="Calibri" w:hAnsi="Times New Roman" w:cs="Times New Roman"/>
          <w:bCs/>
          <w:sz w:val="28"/>
          <w:szCs w:val="28"/>
        </w:rPr>
        <w:t>, los concejos municipales lo son para ado</w:t>
      </w:r>
      <w:r w:rsidRPr="00AC66B3">
        <w:rPr>
          <w:rFonts w:ascii="Times New Roman" w:eastAsia="Calibri" w:hAnsi="Times New Roman" w:cs="Times New Roman"/>
          <w:bCs/>
          <w:sz w:val="28"/>
          <w:szCs w:val="28"/>
        </w:rPr>
        <w:t>ptar los correspondientes planes y programas de obras públicas</w:t>
      </w:r>
      <w:r w:rsidRPr="00AC66B3">
        <w:rPr>
          <w:rStyle w:val="Refdenotaalpie"/>
          <w:rFonts w:ascii="Times New Roman" w:eastAsia="Calibri" w:hAnsi="Times New Roman" w:cs="Times New Roman"/>
          <w:bCs/>
          <w:sz w:val="28"/>
          <w:szCs w:val="28"/>
        </w:rPr>
        <w:footnoteReference w:id="116"/>
      </w:r>
      <w:r w:rsidRPr="00AC66B3">
        <w:rPr>
          <w:rFonts w:ascii="Times New Roman" w:eastAsia="Calibri" w:hAnsi="Times New Roman" w:cs="Times New Roman"/>
          <w:bCs/>
          <w:sz w:val="28"/>
          <w:szCs w:val="28"/>
        </w:rPr>
        <w:t xml:space="preserve">. A su turno, </w:t>
      </w:r>
      <w:r w:rsidRPr="00AC66B3">
        <w:rPr>
          <w:rFonts w:ascii="Times New Roman" w:hAnsi="Times New Roman" w:cs="Times New Roman"/>
          <w:sz w:val="28"/>
          <w:szCs w:val="28"/>
        </w:rPr>
        <w:t xml:space="preserve">l artículo 74, numeral 8, de la Ley Orgánica 715 de 2001 dispone que los departamentos tienen a su cargo la competencia de «[a]delantar la construcción y la conservación de todos </w:t>
      </w:r>
      <w:r w:rsidRPr="00AC66B3">
        <w:rPr>
          <w:rFonts w:ascii="Times New Roman" w:hAnsi="Times New Roman" w:cs="Times New Roman"/>
          <w:sz w:val="28"/>
          <w:szCs w:val="28"/>
        </w:rPr>
        <w:t>los componentes de la infraestructura de transporte que les corresponda». En similar sentido, el numeral 4 del artículo 76 de la citada ley prevé que los municipios, de forma directa o indirecta, «con recursos propios, del Sistema General de Participacione</w:t>
      </w:r>
      <w:r w:rsidRPr="00AC66B3">
        <w:rPr>
          <w:rFonts w:ascii="Times New Roman" w:hAnsi="Times New Roman" w:cs="Times New Roman"/>
          <w:sz w:val="28"/>
          <w:szCs w:val="28"/>
        </w:rPr>
        <w:t xml:space="preserve">s u otros recursos», deben «[c]onstruir y conservar la infraestructura municipal de transporte, las vías urbanas, suburbanas, veredales y aquellas que sean propiedad del municipio». </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b/>
          <w:bCs/>
          <w:sz w:val="28"/>
          <w:szCs w:val="28"/>
        </w:rPr>
      </w:pPr>
      <w:r w:rsidRPr="00AC66B3">
        <w:rPr>
          <w:rFonts w:ascii="Times New Roman" w:hAnsi="Times New Roman" w:cs="Times New Roman"/>
          <w:sz w:val="28"/>
          <w:szCs w:val="28"/>
        </w:rPr>
        <w:t xml:space="preserve">Sobre el particular, es necesario tener en cuenta que las denominadas </w:t>
      </w:r>
      <w:r w:rsidRPr="00AC66B3">
        <w:rPr>
          <w:rFonts w:ascii="Times New Roman" w:hAnsi="Times New Roman" w:cs="Times New Roman"/>
          <w:i/>
          <w:iCs/>
          <w:sz w:val="28"/>
          <w:szCs w:val="28"/>
        </w:rPr>
        <w:t>vías regionales</w:t>
      </w:r>
      <w:r w:rsidRPr="00AC66B3">
        <w:rPr>
          <w:rFonts w:ascii="Times New Roman" w:hAnsi="Times New Roman" w:cs="Times New Roman"/>
          <w:sz w:val="28"/>
          <w:szCs w:val="28"/>
        </w:rPr>
        <w:t xml:space="preserve"> incluyen las vías secundarias y terciarias, los caminos ancestrales y la red fluvial y el transporte aéreo de las zonas más apartadas del país</w:t>
      </w:r>
      <w:r w:rsidRPr="00AC66B3">
        <w:rPr>
          <w:rStyle w:val="Refdenotaalpie"/>
          <w:rFonts w:ascii="Times New Roman" w:hAnsi="Times New Roman" w:cs="Times New Roman"/>
          <w:sz w:val="28"/>
          <w:szCs w:val="28"/>
        </w:rPr>
        <w:footnoteReference w:id="117"/>
      </w:r>
      <w:r w:rsidRPr="00AC66B3">
        <w:rPr>
          <w:rFonts w:ascii="Times New Roman" w:hAnsi="Times New Roman" w:cs="Times New Roman"/>
          <w:sz w:val="28"/>
          <w:szCs w:val="28"/>
        </w:rPr>
        <w:t>. Las vías secundarias son aquellas que unen las cabeceras municipales entre sí o que provienen d</w:t>
      </w:r>
      <w:r w:rsidRPr="00AC66B3">
        <w:rPr>
          <w:rFonts w:ascii="Times New Roman" w:hAnsi="Times New Roman" w:cs="Times New Roman"/>
          <w:sz w:val="28"/>
          <w:szCs w:val="28"/>
        </w:rPr>
        <w:t>e una cabecera municipal y conectan con una vía primaria</w:t>
      </w:r>
      <w:r w:rsidRPr="00AC66B3">
        <w:rPr>
          <w:rStyle w:val="Refdenotaalpie"/>
          <w:rFonts w:ascii="Times New Roman" w:hAnsi="Times New Roman" w:cs="Times New Roman"/>
          <w:sz w:val="28"/>
          <w:szCs w:val="28"/>
        </w:rPr>
        <w:footnoteReference w:id="118"/>
      </w:r>
      <w:r w:rsidRPr="00AC66B3">
        <w:rPr>
          <w:rFonts w:ascii="Times New Roman" w:hAnsi="Times New Roman" w:cs="Times New Roman"/>
          <w:sz w:val="28"/>
          <w:szCs w:val="28"/>
        </w:rPr>
        <w:t>. Las vías terciarias son las vías de acceso que unen las cabeceras municipales con sus veredas o que unen veredas entre sí</w:t>
      </w:r>
      <w:r w:rsidRPr="00AC66B3">
        <w:rPr>
          <w:rStyle w:val="Refdenotaalpie"/>
          <w:rFonts w:ascii="Times New Roman" w:hAnsi="Times New Roman" w:cs="Times New Roman"/>
          <w:sz w:val="28"/>
          <w:szCs w:val="28"/>
        </w:rPr>
        <w:footnoteReference w:id="119"/>
      </w:r>
      <w:r w:rsidRPr="00AC66B3">
        <w:rPr>
          <w:rFonts w:ascii="Times New Roman" w:hAnsi="Times New Roman" w:cs="Times New Roman"/>
          <w:sz w:val="28"/>
          <w:szCs w:val="28"/>
        </w:rPr>
        <w:t xml:space="preserve">. </w:t>
      </w: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b/>
          <w:bCs/>
          <w:sz w:val="28"/>
          <w:szCs w:val="28"/>
        </w:rPr>
      </w:pPr>
      <w:r w:rsidRPr="00AC66B3">
        <w:rPr>
          <w:rFonts w:ascii="Times New Roman" w:hAnsi="Times New Roman" w:cs="Times New Roman"/>
          <w:sz w:val="28"/>
          <w:szCs w:val="28"/>
        </w:rPr>
        <w:t>De acuerdo con un informe oficial publicado por el Departamento Nacional de Planeación en noviembre de 2023, en la actualidad, las vías secundarias se encuentran en su totalidad bajo las administraciones departamentales. No ocurre lo mismo con las vías ter</w:t>
      </w:r>
      <w:r w:rsidRPr="00AC66B3">
        <w:rPr>
          <w:rFonts w:ascii="Times New Roman" w:hAnsi="Times New Roman" w:cs="Times New Roman"/>
          <w:sz w:val="28"/>
          <w:szCs w:val="28"/>
        </w:rPr>
        <w:t>ciarias. Así, «[d]e los 142.284 km de red terciaria, 100.748 km (71%) son administrados por municipios, 3.959 km (10%) están a cargo de las administraciones departamentales, y 27.577 km (19%) [están] bajo responsabilidad del Gobierno nacional, y son admini</w:t>
      </w:r>
      <w:r w:rsidRPr="00AC66B3">
        <w:rPr>
          <w:rFonts w:ascii="Times New Roman" w:hAnsi="Times New Roman" w:cs="Times New Roman"/>
          <w:sz w:val="28"/>
          <w:szCs w:val="28"/>
        </w:rPr>
        <w:t>strados por el Invías»</w:t>
      </w:r>
      <w:r w:rsidRPr="00AC66B3">
        <w:rPr>
          <w:rStyle w:val="Refdenotaalpie"/>
          <w:rFonts w:ascii="Times New Roman" w:hAnsi="Times New Roman" w:cs="Times New Roman"/>
          <w:sz w:val="28"/>
          <w:szCs w:val="28"/>
        </w:rPr>
        <w:footnoteReference w:id="120"/>
      </w:r>
      <w:r w:rsidRPr="00AC66B3">
        <w:rPr>
          <w:rFonts w:ascii="Times New Roman" w:hAnsi="Times New Roman" w:cs="Times New Roman"/>
          <w:sz w:val="28"/>
          <w:szCs w:val="28"/>
        </w:rPr>
        <w:t xml:space="preserve">. </w:t>
      </w: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p>
    <w:p w:rsidR="000A045E" w:rsidRPr="00AC66B3" w:rsidRDefault="00AC66B3" w:rsidP="000A045E">
      <w:pPr>
        <w:pStyle w:val="Prrafodelista"/>
        <w:numPr>
          <w:ilvl w:val="0"/>
          <w:numId w:val="2"/>
        </w:numPr>
        <w:shd w:val="clear" w:color="auto" w:fill="FFFFFF"/>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La intervención e inversión del Invías en las vías terciarias, a pesar de lo dispuesto en la Constitución y en la Ley Orgánica 715 de 2001</w:t>
      </w:r>
      <w:r w:rsidRPr="00AC66B3">
        <w:rPr>
          <w:rStyle w:val="Refdenotaalpie"/>
          <w:rFonts w:ascii="Times New Roman" w:hAnsi="Times New Roman" w:cs="Times New Roman"/>
          <w:sz w:val="28"/>
          <w:szCs w:val="28"/>
        </w:rPr>
        <w:footnoteReference w:id="121"/>
      </w:r>
      <w:r w:rsidRPr="00AC66B3">
        <w:rPr>
          <w:rFonts w:ascii="Times New Roman" w:hAnsi="Times New Roman" w:cs="Times New Roman"/>
          <w:sz w:val="28"/>
          <w:szCs w:val="28"/>
        </w:rPr>
        <w:t>, se fundamentan en tres razones. Primera, en 2003 la red terciaria a cargo de la Nación f</w:t>
      </w:r>
      <w:r w:rsidRPr="00AC66B3">
        <w:rPr>
          <w:rFonts w:ascii="Times New Roman" w:hAnsi="Times New Roman" w:cs="Times New Roman"/>
          <w:sz w:val="28"/>
          <w:szCs w:val="28"/>
        </w:rPr>
        <w:t>ue transferida al Invías por el extinto Fondo Nacional de Caminos Vecinales</w:t>
      </w:r>
      <w:r w:rsidRPr="00AC66B3">
        <w:rPr>
          <w:rStyle w:val="Refdenotaalpie"/>
          <w:rFonts w:ascii="Times New Roman" w:hAnsi="Times New Roman" w:cs="Times New Roman"/>
          <w:sz w:val="28"/>
          <w:szCs w:val="28"/>
        </w:rPr>
        <w:footnoteReference w:id="122"/>
      </w:r>
      <w:r w:rsidRPr="00AC66B3">
        <w:rPr>
          <w:rFonts w:ascii="Times New Roman" w:hAnsi="Times New Roman" w:cs="Times New Roman"/>
          <w:sz w:val="28"/>
          <w:szCs w:val="28"/>
        </w:rPr>
        <w:t>. Segundo, en consecuencia, mediante decretos sucesivos dictados en ejercicio de la competencia estatuida en el numeral 16 del artículo 189 de la Constitución</w:t>
      </w:r>
      <w:r w:rsidRPr="00AC66B3">
        <w:rPr>
          <w:rStyle w:val="Refdenotaalpie"/>
          <w:rFonts w:ascii="Times New Roman" w:hAnsi="Times New Roman" w:cs="Times New Roman"/>
          <w:sz w:val="28"/>
          <w:szCs w:val="28"/>
        </w:rPr>
        <w:footnoteReference w:id="123"/>
      </w:r>
      <w:r w:rsidRPr="00AC66B3">
        <w:rPr>
          <w:rFonts w:ascii="Times New Roman" w:hAnsi="Times New Roman" w:cs="Times New Roman"/>
          <w:sz w:val="28"/>
          <w:szCs w:val="28"/>
        </w:rPr>
        <w:t>, el presidente de la</w:t>
      </w:r>
      <w:r w:rsidRPr="00AC66B3">
        <w:rPr>
          <w:rFonts w:ascii="Times New Roman" w:hAnsi="Times New Roman" w:cs="Times New Roman"/>
          <w:sz w:val="28"/>
          <w:szCs w:val="28"/>
        </w:rPr>
        <w:t xml:space="preserve"> República ha dispuesto que el Invías tendrá como objeto la ejecución de las políticas, estrategias, planes, programas y proyectos de la infraestructura no concesionada de la Red Vial Nacional de carreteras primaria y terciaria. Y, tercera, el artículo 10 </w:t>
      </w:r>
      <w:r w:rsidRPr="00AC66B3">
        <w:rPr>
          <w:rFonts w:ascii="Times New Roman" w:hAnsi="Times New Roman" w:cs="Times New Roman"/>
          <w:sz w:val="28"/>
          <w:szCs w:val="28"/>
        </w:rPr>
        <w:t>de la Ley 1682 de 2013, que regula los proyectos de infraestructura de transporte, prevé la posibilidad de que, en los proyectos de infraestructura de transporte de utilidad pública e interés social a cargo de la Nación, que requieran intervenciones urbana</w:t>
      </w:r>
      <w:r w:rsidRPr="00AC66B3">
        <w:rPr>
          <w:rFonts w:ascii="Times New Roman" w:hAnsi="Times New Roman" w:cs="Times New Roman"/>
          <w:sz w:val="28"/>
          <w:szCs w:val="28"/>
        </w:rPr>
        <w:t>s o rurales en vías secundarias o terciarias, la Nación, a través del Invías o la ANI</w:t>
      </w:r>
      <w:r w:rsidRPr="00AC66B3">
        <w:rPr>
          <w:rStyle w:val="Refdenotaalpie"/>
          <w:rFonts w:ascii="Times New Roman" w:hAnsi="Times New Roman" w:cs="Times New Roman"/>
          <w:sz w:val="28"/>
          <w:szCs w:val="28"/>
        </w:rPr>
        <w:footnoteReference w:id="124"/>
      </w:r>
      <w:r w:rsidRPr="00AC66B3">
        <w:rPr>
          <w:rFonts w:ascii="Times New Roman" w:hAnsi="Times New Roman" w:cs="Times New Roman"/>
          <w:sz w:val="28"/>
          <w:szCs w:val="28"/>
        </w:rPr>
        <w:t xml:space="preserve">, suscriba un convenio de colaboración y coordinación con la autoridad territorial correspondiente.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Lo anterior significa que </w:t>
      </w:r>
      <w:r w:rsidRPr="00AC66B3">
        <w:rPr>
          <w:rFonts w:ascii="Times New Roman" w:hAnsi="Times New Roman" w:cs="Times New Roman"/>
          <w:bCs/>
          <w:sz w:val="28"/>
          <w:szCs w:val="28"/>
          <w:bdr w:val="none" w:sz="0" w:space="0" w:color="auto" w:frame="1"/>
          <w:lang w:val="es-ES"/>
        </w:rPr>
        <w:t xml:space="preserve">el Invías continúa administrando las vías </w:t>
      </w:r>
      <w:r w:rsidRPr="00AC66B3">
        <w:rPr>
          <w:rFonts w:ascii="Times New Roman" w:hAnsi="Times New Roman" w:cs="Times New Roman"/>
          <w:bCs/>
          <w:sz w:val="28"/>
          <w:szCs w:val="28"/>
          <w:bdr w:val="none" w:sz="0" w:space="0" w:color="auto" w:frame="1"/>
          <w:lang w:val="es-ES"/>
        </w:rPr>
        <w:t xml:space="preserve">terciarias porque los municipios no tienen la capacidad financiera y técnica para ello. Esto, a pesar de que la Constitución y la Ley Orgánica 715 les confiere esa competencia. En todo caso, el ejercicio de las funciones a cargo del Invías </w:t>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bCs/>
          <w:sz w:val="28"/>
          <w:szCs w:val="28"/>
          <w:bdr w:val="none" w:sz="0" w:space="0" w:color="auto" w:frame="1"/>
          <w:lang w:val="es-ES"/>
        </w:rPr>
        <w:t>ahora del Invir</w:t>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bCs/>
          <w:sz w:val="28"/>
          <w:szCs w:val="28"/>
          <w:bdr w:val="none" w:sz="0" w:space="0" w:color="auto" w:frame="1"/>
          <w:lang w:val="es-ES"/>
        </w:rPr>
        <w:t xml:space="preserve"> deben ser analizadas y ejecutadas desde esa perspectiva superior. Puntualmente, a la luz de los principios de descentralización administrativa y de autonomía de las entidades territoriales en materia de construcción y mantenimiento de vías.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Aclarados l</w:t>
      </w:r>
      <w:r w:rsidRPr="00AC66B3">
        <w:rPr>
          <w:rFonts w:ascii="Times New Roman" w:hAnsi="Times New Roman" w:cs="Times New Roman"/>
          <w:sz w:val="28"/>
          <w:szCs w:val="28"/>
        </w:rPr>
        <w:t>os dos puntos anteriores, pasa la Sala a determinar si los artículos 1 (parcial), 9.5 (parcial) y 35 (parágrafo 1) del Decreto Ley 1961 de 2023, los cuales establecen que el Invir podrá suscribir contratos con determinadas personas y organizaciones sociale</w:t>
      </w:r>
      <w:r w:rsidRPr="00AC66B3">
        <w:rPr>
          <w:rFonts w:ascii="Times New Roman" w:hAnsi="Times New Roman" w:cs="Times New Roman"/>
          <w:sz w:val="28"/>
          <w:szCs w:val="28"/>
        </w:rPr>
        <w:t>s bajo la modalidad de contratación directa, sin importar su cuantía, vulneran el artículo 150, numeral 10, del texto superior porque son una extralimitación en el ejercicio de la competencia atribuida al presidente de la República por el artículo 368 de l</w:t>
      </w:r>
      <w:r w:rsidRPr="00AC66B3">
        <w:rPr>
          <w:rFonts w:ascii="Times New Roman" w:hAnsi="Times New Roman" w:cs="Times New Roman"/>
          <w:sz w:val="28"/>
          <w:szCs w:val="28"/>
        </w:rPr>
        <w:t>a Ley 2294 de 2023.</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6.1. El respeto a los límites fijados en la norma habilitante </w:t>
      </w: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6.1.1. </w:t>
      </w:r>
      <w:r w:rsidRPr="00AC66B3">
        <w:rPr>
          <w:rFonts w:ascii="Times New Roman" w:hAnsi="Times New Roman" w:cs="Times New Roman"/>
          <w:b/>
          <w:bCs/>
          <w:sz w:val="28"/>
          <w:szCs w:val="28"/>
          <w:lang w:eastAsia="es-ES"/>
        </w:rPr>
        <w:t xml:space="preserve">La coherencia entre </w:t>
      </w:r>
      <w:r w:rsidRPr="00AC66B3">
        <w:rPr>
          <w:rFonts w:ascii="Times New Roman" w:hAnsi="Times New Roman" w:cs="Times New Roman"/>
          <w:b/>
          <w:bCs/>
          <w:sz w:val="28"/>
          <w:szCs w:val="28"/>
          <w:lang w:val="es-ES" w:eastAsia="es-ES"/>
        </w:rPr>
        <w:t xml:space="preserve">las normas acusadas y los motivos </w:t>
      </w:r>
      <w:r w:rsidRPr="00AC66B3">
        <w:rPr>
          <w:rFonts w:ascii="Times New Roman" w:hAnsi="Times New Roman" w:cs="Times New Roman"/>
          <w:b/>
          <w:bCs/>
          <w:sz w:val="28"/>
          <w:szCs w:val="28"/>
          <w:lang w:eastAsia="es-ES"/>
        </w:rPr>
        <w:t>que fundaron la solicitud de facultades extraordinarias</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De acuerdo con la metodología reiterada en el capítul</w:t>
      </w:r>
      <w:r w:rsidRPr="00AC66B3">
        <w:rPr>
          <w:rFonts w:ascii="Times New Roman" w:hAnsi="Times New Roman" w:cs="Times New Roman"/>
          <w:sz w:val="28"/>
          <w:szCs w:val="28"/>
        </w:rPr>
        <w:t xml:space="preserve">o anterior de la presente sentencia, para empezar, la Sala debe verificar la </w:t>
      </w:r>
      <w:r w:rsidRPr="00AC66B3">
        <w:rPr>
          <w:rFonts w:ascii="Times New Roman" w:hAnsi="Times New Roman" w:cs="Times New Roman"/>
          <w:bCs/>
          <w:sz w:val="28"/>
          <w:szCs w:val="28"/>
          <w:lang w:eastAsia="es-ES"/>
        </w:rPr>
        <w:t xml:space="preserve">coherencia entre </w:t>
      </w:r>
      <w:r w:rsidRPr="00AC66B3">
        <w:rPr>
          <w:rFonts w:ascii="Times New Roman" w:hAnsi="Times New Roman" w:cs="Times New Roman"/>
          <w:bCs/>
          <w:sz w:val="28"/>
          <w:szCs w:val="28"/>
          <w:lang w:val="es-ES" w:eastAsia="es-ES"/>
        </w:rPr>
        <w:t xml:space="preserve">las normas demandadas y los motivos </w:t>
      </w:r>
      <w:r w:rsidRPr="00AC66B3">
        <w:rPr>
          <w:rFonts w:ascii="Times New Roman" w:hAnsi="Times New Roman" w:cs="Times New Roman"/>
          <w:bCs/>
          <w:sz w:val="28"/>
          <w:szCs w:val="28"/>
          <w:lang w:eastAsia="es-ES"/>
        </w:rPr>
        <w:t xml:space="preserve">que fundaron la solicitud de facultades extraordinarias.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lang w:eastAsia="es-ES"/>
        </w:rPr>
        <w:t>El documento Bases del Plan Nacional de Desarrollo 2022 – 2026, que</w:t>
      </w:r>
      <w:r w:rsidRPr="00AC66B3">
        <w:rPr>
          <w:rFonts w:ascii="Times New Roman" w:hAnsi="Times New Roman" w:cs="Times New Roman"/>
          <w:bCs/>
          <w:sz w:val="28"/>
          <w:szCs w:val="28"/>
          <w:lang w:eastAsia="es-ES"/>
        </w:rPr>
        <w:t xml:space="preserve"> culminó con la sanción de la Ley 2294 de 2023</w:t>
      </w:r>
      <w:r w:rsidRPr="00AC66B3">
        <w:rPr>
          <w:rStyle w:val="Refdenotaalpie"/>
          <w:rFonts w:ascii="Times New Roman" w:hAnsi="Times New Roman" w:cs="Times New Roman"/>
          <w:bCs/>
          <w:sz w:val="28"/>
          <w:szCs w:val="28"/>
          <w:lang w:eastAsia="es-ES"/>
        </w:rPr>
        <w:footnoteReference w:id="125"/>
      </w:r>
      <w:r w:rsidRPr="00AC66B3">
        <w:rPr>
          <w:rFonts w:ascii="Times New Roman" w:hAnsi="Times New Roman" w:cs="Times New Roman"/>
          <w:bCs/>
          <w:sz w:val="28"/>
          <w:szCs w:val="28"/>
          <w:lang w:eastAsia="es-ES"/>
        </w:rPr>
        <w:t xml:space="preserve">, contiene cinco </w:t>
      </w:r>
      <w:r w:rsidRPr="00AC66B3">
        <w:rPr>
          <w:rFonts w:ascii="Times New Roman" w:hAnsi="Times New Roman" w:cs="Times New Roman"/>
          <w:bCs/>
          <w:i/>
          <w:iCs/>
          <w:sz w:val="28"/>
          <w:szCs w:val="28"/>
          <w:lang w:eastAsia="es-ES"/>
        </w:rPr>
        <w:t>transformaciones</w:t>
      </w:r>
      <w:r w:rsidRPr="00AC66B3">
        <w:rPr>
          <w:rFonts w:ascii="Times New Roman" w:hAnsi="Times New Roman" w:cs="Times New Roman"/>
          <w:bCs/>
          <w:sz w:val="28"/>
          <w:szCs w:val="28"/>
          <w:lang w:eastAsia="es-ES"/>
        </w:rPr>
        <w:t xml:space="preserve">. Una de ellas consiste en la </w:t>
      </w:r>
      <w:r w:rsidRPr="00AC66B3">
        <w:rPr>
          <w:rFonts w:ascii="Times New Roman" w:hAnsi="Times New Roman" w:cs="Times New Roman"/>
          <w:bCs/>
          <w:i/>
          <w:iCs/>
          <w:sz w:val="28"/>
          <w:szCs w:val="28"/>
          <w:lang w:eastAsia="es-ES"/>
        </w:rPr>
        <w:t>convergencia regional</w:t>
      </w:r>
      <w:r w:rsidRPr="00AC66B3">
        <w:rPr>
          <w:rFonts w:ascii="Times New Roman" w:hAnsi="Times New Roman" w:cs="Times New Roman"/>
          <w:bCs/>
          <w:sz w:val="28"/>
          <w:szCs w:val="28"/>
          <w:lang w:eastAsia="es-ES"/>
        </w:rPr>
        <w:t xml:space="preserve">. Esta implica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fortalecer y consolidar vínculos espaciales y poblacionales, a diferentes escalas […] con el fin de […] logra</w:t>
      </w:r>
      <w:r w:rsidRPr="00AC66B3">
        <w:rPr>
          <w:rFonts w:ascii="Times New Roman" w:hAnsi="Times New Roman" w:cs="Times New Roman"/>
          <w:bCs/>
          <w:sz w:val="28"/>
          <w:szCs w:val="28"/>
          <w:lang w:eastAsia="es-ES"/>
        </w:rPr>
        <w:t>r la integración socioeconómica y ambiental intrarregional (vínculos intrarregionales: intraurbanos, urbano-rurales, y subregionales)</w:t>
      </w:r>
      <w:r w:rsidRPr="00AC66B3">
        <w:rPr>
          <w:rFonts w:ascii="Times New Roman" w:hAnsi="Times New Roman" w:cs="Times New Roman"/>
          <w:sz w:val="28"/>
          <w:szCs w:val="28"/>
        </w:rPr>
        <w:t>»</w:t>
      </w:r>
      <w:r w:rsidRPr="00AC66B3">
        <w:rPr>
          <w:rStyle w:val="Refdenotaalpie"/>
          <w:rFonts w:ascii="Times New Roman" w:hAnsi="Times New Roman" w:cs="Times New Roman"/>
          <w:bCs/>
          <w:sz w:val="28"/>
          <w:szCs w:val="28"/>
          <w:lang w:eastAsia="es-ES"/>
        </w:rPr>
        <w:footnoteReference w:id="126"/>
      </w:r>
      <w:r w:rsidRPr="00AC66B3">
        <w:rPr>
          <w:rFonts w:ascii="Times New Roman" w:hAnsi="Times New Roman" w:cs="Times New Roman"/>
          <w:bCs/>
          <w:sz w:val="28"/>
          <w:szCs w:val="28"/>
          <w:lang w:eastAsia="es-ES"/>
        </w:rPr>
        <w:t xml:space="preserve">. Para lograr esos </w:t>
      </w:r>
      <w:r w:rsidRPr="00AC66B3">
        <w:rPr>
          <w:rFonts w:ascii="Times New Roman" w:hAnsi="Times New Roman" w:cs="Times New Roman"/>
          <w:bCs/>
          <w:i/>
          <w:iCs/>
          <w:sz w:val="28"/>
          <w:szCs w:val="28"/>
          <w:lang w:eastAsia="es-ES"/>
        </w:rPr>
        <w:t>vínculos</w:t>
      </w:r>
      <w:r w:rsidRPr="00AC66B3">
        <w:rPr>
          <w:rFonts w:ascii="Times New Roman" w:hAnsi="Times New Roman" w:cs="Times New Roman"/>
          <w:bCs/>
          <w:sz w:val="28"/>
          <w:szCs w:val="28"/>
          <w:lang w:eastAsia="es-ES"/>
        </w:rPr>
        <w:t xml:space="preserve">, el documento Bases plantea ocho </w:t>
      </w:r>
      <w:r w:rsidRPr="00AC66B3">
        <w:rPr>
          <w:rFonts w:ascii="Times New Roman" w:hAnsi="Times New Roman" w:cs="Times New Roman"/>
          <w:bCs/>
          <w:i/>
          <w:iCs/>
          <w:sz w:val="28"/>
          <w:szCs w:val="28"/>
          <w:lang w:eastAsia="es-ES"/>
        </w:rPr>
        <w:t>catalizadores</w:t>
      </w:r>
      <w:r w:rsidRPr="00AC66B3">
        <w:rPr>
          <w:rFonts w:ascii="Times New Roman" w:hAnsi="Times New Roman" w:cs="Times New Roman"/>
          <w:bCs/>
          <w:sz w:val="28"/>
          <w:szCs w:val="28"/>
          <w:lang w:eastAsia="es-ES"/>
        </w:rPr>
        <w:t xml:space="preserve">. Entre estos se encuentran los </w:t>
      </w:r>
      <w:r w:rsidRPr="00AC66B3">
        <w:rPr>
          <w:rFonts w:ascii="Times New Roman" w:hAnsi="Times New Roman" w:cs="Times New Roman"/>
          <w:sz w:val="28"/>
          <w:szCs w:val="28"/>
        </w:rPr>
        <w:t>«</w:t>
      </w:r>
      <w:r w:rsidRPr="00AC66B3">
        <w:rPr>
          <w:rFonts w:ascii="Times New Roman" w:hAnsi="Times New Roman" w:cs="Times New Roman"/>
          <w:sz w:val="28"/>
          <w:szCs w:val="28"/>
          <w:lang w:eastAsia="es-ES"/>
        </w:rPr>
        <w:t>[m]odelos de d</w:t>
      </w:r>
      <w:r w:rsidRPr="00AC66B3">
        <w:rPr>
          <w:rFonts w:ascii="Times New Roman" w:hAnsi="Times New Roman" w:cs="Times New Roman"/>
          <w:sz w:val="28"/>
          <w:szCs w:val="28"/>
          <w:lang w:eastAsia="es-ES"/>
        </w:rPr>
        <w:t>esarrollo supramunicipales para el fortalecimiento de vínculos urbano-rurales y la integración de territorios</w:t>
      </w:r>
      <w:r w:rsidRPr="00AC66B3">
        <w:rPr>
          <w:rFonts w:ascii="Times New Roman" w:hAnsi="Times New Roman" w:cs="Times New Roman"/>
          <w:sz w:val="28"/>
          <w:szCs w:val="28"/>
        </w:rPr>
        <w:t>»</w:t>
      </w:r>
      <w:r w:rsidRPr="00AC66B3">
        <w:rPr>
          <w:rStyle w:val="Refdenotaalpie"/>
          <w:rFonts w:ascii="Times New Roman" w:hAnsi="Times New Roman" w:cs="Times New Roman"/>
          <w:bCs/>
          <w:sz w:val="28"/>
          <w:szCs w:val="28"/>
          <w:lang w:eastAsia="es-ES"/>
        </w:rPr>
        <w:footnoteReference w:id="127"/>
      </w:r>
      <w:r w:rsidRPr="00AC66B3">
        <w:rPr>
          <w:rFonts w:ascii="Times New Roman" w:hAnsi="Times New Roman" w:cs="Times New Roman"/>
          <w:sz w:val="28"/>
          <w:szCs w:val="28"/>
        </w:rPr>
        <w:t xml:space="preserve">. Uno de los </w:t>
      </w:r>
      <w:r w:rsidRPr="00AC66B3">
        <w:rPr>
          <w:rFonts w:ascii="Times New Roman" w:hAnsi="Times New Roman" w:cs="Times New Roman"/>
          <w:i/>
          <w:iCs/>
          <w:sz w:val="28"/>
          <w:szCs w:val="28"/>
        </w:rPr>
        <w:t>componentes</w:t>
      </w:r>
      <w:r w:rsidRPr="00AC66B3">
        <w:rPr>
          <w:rFonts w:ascii="Times New Roman" w:hAnsi="Times New Roman" w:cs="Times New Roman"/>
          <w:sz w:val="28"/>
          <w:szCs w:val="28"/>
        </w:rPr>
        <w:t xml:space="preserve"> de esos modelos es la «[i]ntervención de vías terciarias, terminales fluviales y aeródromos»</w:t>
      </w:r>
      <w:r w:rsidRPr="00AC66B3">
        <w:rPr>
          <w:rStyle w:val="Refdenotaalpie"/>
          <w:rFonts w:ascii="Times New Roman" w:hAnsi="Times New Roman" w:cs="Times New Roman"/>
          <w:bCs/>
          <w:sz w:val="28"/>
          <w:szCs w:val="28"/>
          <w:lang w:eastAsia="es-ES"/>
        </w:rPr>
        <w:footnoteReference w:id="128"/>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El documento </w:t>
      </w:r>
      <w:r w:rsidRPr="00AC66B3">
        <w:rPr>
          <w:rFonts w:ascii="Times New Roman" w:hAnsi="Times New Roman" w:cs="Times New Roman"/>
          <w:bCs/>
          <w:sz w:val="28"/>
          <w:szCs w:val="28"/>
          <w:lang w:eastAsia="es-ES"/>
        </w:rPr>
        <w:t xml:space="preserve">Bases del </w:t>
      </w:r>
      <w:r w:rsidRPr="00AC66B3">
        <w:rPr>
          <w:rFonts w:ascii="Times New Roman" w:hAnsi="Times New Roman" w:cs="Times New Roman"/>
          <w:bCs/>
          <w:sz w:val="28"/>
          <w:szCs w:val="28"/>
          <w:lang w:eastAsia="es-ES"/>
        </w:rPr>
        <w:t xml:space="preserve">Plan Nacional de Desarrollo 2022 – 2026 no se refiere al otorgamiento de facultades extraordinarias al presidente de la República para regular la intervención de las vías terciarias y los caminos vecinales. Lo anterior contrasta con la mención expresa que </w:t>
      </w:r>
      <w:r w:rsidRPr="00AC66B3">
        <w:rPr>
          <w:rFonts w:ascii="Times New Roman" w:hAnsi="Times New Roman" w:cs="Times New Roman"/>
          <w:bCs/>
          <w:sz w:val="28"/>
          <w:szCs w:val="28"/>
          <w:lang w:eastAsia="es-ES"/>
        </w:rPr>
        <w:t>hace ese texto a la concesión de dichas facultades para la creación de la Agencia Nacional de Seguridad Digital y Asuntos Espaciales</w:t>
      </w:r>
      <w:r w:rsidRPr="00AC66B3">
        <w:rPr>
          <w:rStyle w:val="Refdenotaalpie"/>
          <w:rFonts w:ascii="Times New Roman" w:hAnsi="Times New Roman" w:cs="Times New Roman"/>
          <w:bCs/>
          <w:sz w:val="28"/>
          <w:szCs w:val="28"/>
          <w:lang w:eastAsia="es-ES"/>
        </w:rPr>
        <w:footnoteReference w:id="129"/>
      </w:r>
      <w:r w:rsidRPr="00AC66B3">
        <w:rPr>
          <w:rFonts w:ascii="Times New Roman" w:hAnsi="Times New Roman" w:cs="Times New Roman"/>
          <w:bCs/>
          <w:sz w:val="28"/>
          <w:szCs w:val="28"/>
          <w:lang w:eastAsia="es-ES"/>
        </w:rPr>
        <w:t xml:space="preserve"> y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la modernización,</w:t>
      </w:r>
      <w:r w:rsidRPr="00AC66B3">
        <w:rPr>
          <w:rFonts w:ascii="Times New Roman" w:eastAsiaTheme="minorHAnsi" w:hAnsi="Times New Roman" w:cs="Times New Roman"/>
          <w:sz w:val="28"/>
          <w:lang w:eastAsia="en-US"/>
        </w:rPr>
        <w:t xml:space="preserve"> </w:t>
      </w:r>
      <w:r w:rsidRPr="00AC66B3">
        <w:rPr>
          <w:rFonts w:ascii="Times New Roman" w:hAnsi="Times New Roman" w:cs="Times New Roman"/>
          <w:bCs/>
          <w:sz w:val="28"/>
          <w:szCs w:val="28"/>
          <w:lang w:eastAsia="es-ES"/>
        </w:rPr>
        <w:t>facilitación y el control de las obligaciones formales y sustanciales en materia tributaria, aduanera</w:t>
      </w:r>
      <w:r w:rsidRPr="00AC66B3">
        <w:rPr>
          <w:rFonts w:ascii="Times New Roman" w:hAnsi="Times New Roman" w:cs="Times New Roman"/>
          <w:bCs/>
          <w:sz w:val="28"/>
          <w:szCs w:val="28"/>
          <w:lang w:eastAsia="es-ES"/>
        </w:rPr>
        <w:t xml:space="preserve"> y cambiaria, necesarias para la articulación con la estructura de la DIAN</w:t>
      </w:r>
      <w:r w:rsidRPr="00AC66B3">
        <w:rPr>
          <w:rFonts w:ascii="Times New Roman" w:hAnsi="Times New Roman" w:cs="Times New Roman"/>
          <w:sz w:val="28"/>
          <w:szCs w:val="28"/>
        </w:rPr>
        <w:t>»</w:t>
      </w:r>
      <w:r w:rsidRPr="00AC66B3">
        <w:rPr>
          <w:rStyle w:val="Refdenotaalpie"/>
          <w:rFonts w:ascii="Times New Roman" w:hAnsi="Times New Roman" w:cs="Times New Roman"/>
          <w:bCs/>
          <w:sz w:val="28"/>
          <w:szCs w:val="28"/>
          <w:lang w:eastAsia="es-ES"/>
        </w:rPr>
        <w:footnoteReference w:id="130"/>
      </w:r>
      <w:r w:rsidRPr="00AC66B3">
        <w:rPr>
          <w:rFonts w:ascii="Times New Roman" w:hAnsi="Times New Roman" w:cs="Times New Roman"/>
          <w:bCs/>
          <w:sz w:val="28"/>
          <w:szCs w:val="28"/>
          <w:bdr w:val="none" w:sz="0" w:space="0" w:color="auto" w:frame="1"/>
        </w:rPr>
        <w:t>.</w:t>
      </w:r>
      <w:r w:rsidRPr="00AC66B3">
        <w:rPr>
          <w:rFonts w:ascii="Times New Roman" w:hAnsi="Times New Roman" w:cs="Times New Roman"/>
          <w:bCs/>
          <w:sz w:val="28"/>
          <w:szCs w:val="28"/>
          <w:lang w:eastAsia="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El proyecto de ley del </w:t>
      </w:r>
      <w:r w:rsidRPr="00AC66B3">
        <w:rPr>
          <w:rFonts w:ascii="Times New Roman" w:hAnsi="Times New Roman" w:cs="Times New Roman"/>
          <w:bCs/>
          <w:sz w:val="28"/>
          <w:szCs w:val="28"/>
          <w:lang w:eastAsia="es-ES"/>
        </w:rPr>
        <w:t>Plan Nacional de Desarrollo 2022 – 2026 fue radicado por el Gobierno nacional para primer debate en las comisiones de asuntos económicos de ambas cámaras</w:t>
      </w:r>
      <w:r w:rsidRPr="00AC66B3">
        <w:rPr>
          <w:rFonts w:ascii="Times New Roman" w:hAnsi="Times New Roman" w:cs="Times New Roman"/>
          <w:bCs/>
          <w:sz w:val="28"/>
          <w:szCs w:val="28"/>
          <w:lang w:eastAsia="es-ES"/>
        </w:rPr>
        <w:t xml:space="preserve"> en sesión conjunta</w:t>
      </w:r>
      <w:r w:rsidRPr="00AC66B3">
        <w:rPr>
          <w:rStyle w:val="Refdenotaalpie"/>
          <w:rFonts w:ascii="Times New Roman" w:hAnsi="Times New Roman" w:cs="Times New Roman"/>
          <w:bCs/>
          <w:sz w:val="28"/>
          <w:szCs w:val="28"/>
          <w:lang w:eastAsia="es-ES"/>
        </w:rPr>
        <w:footnoteReference w:id="131"/>
      </w:r>
      <w:r w:rsidRPr="00AC66B3">
        <w:rPr>
          <w:rFonts w:ascii="Times New Roman" w:hAnsi="Times New Roman" w:cs="Times New Roman"/>
          <w:bCs/>
          <w:sz w:val="28"/>
          <w:szCs w:val="28"/>
          <w:lang w:eastAsia="es-ES"/>
        </w:rPr>
        <w:t xml:space="preserve">. </w:t>
      </w:r>
      <w:r w:rsidRPr="00AC66B3">
        <w:rPr>
          <w:rFonts w:ascii="Times New Roman" w:hAnsi="Times New Roman" w:cs="Times New Roman"/>
          <w:bCs/>
          <w:sz w:val="28"/>
          <w:szCs w:val="28"/>
          <w:bdr w:val="none" w:sz="0" w:space="0" w:color="auto" w:frame="1"/>
        </w:rPr>
        <w:t>En la versión original del proyecto de ley no estaba la norma habilitante que otorgó facultades extraordinarias al presidente de la República para expedir el Decreto Ley 1961 de 2023</w:t>
      </w:r>
      <w:r w:rsidRPr="00AC66B3">
        <w:rPr>
          <w:rStyle w:val="Refdenotaalpie"/>
          <w:rFonts w:ascii="Times New Roman" w:hAnsi="Times New Roman" w:cs="Times New Roman"/>
          <w:bCs/>
          <w:sz w:val="28"/>
          <w:szCs w:val="28"/>
          <w:bdr w:val="none" w:sz="0" w:space="0" w:color="auto" w:frame="1"/>
        </w:rPr>
        <w:footnoteReference w:id="132"/>
      </w:r>
      <w:r w:rsidRPr="00AC66B3">
        <w:rPr>
          <w:rFonts w:ascii="Times New Roman" w:hAnsi="Times New Roman" w:cs="Times New Roman"/>
          <w:bCs/>
          <w:sz w:val="28"/>
          <w:szCs w:val="28"/>
          <w:bdr w:val="none" w:sz="0" w:space="0" w:color="auto" w:frame="1"/>
        </w:rPr>
        <w:t>. Sí estaba el artículo 298, que atribuía esas facu</w:t>
      </w:r>
      <w:r w:rsidRPr="00AC66B3">
        <w:rPr>
          <w:rFonts w:ascii="Times New Roman" w:hAnsi="Times New Roman" w:cs="Times New Roman"/>
          <w:bCs/>
          <w:sz w:val="28"/>
          <w:szCs w:val="28"/>
          <w:bdr w:val="none" w:sz="0" w:space="0" w:color="auto" w:frame="1"/>
        </w:rPr>
        <w:t xml:space="preserve">ltades al primer mandatario para, entre otros, (i) </w:t>
      </w:r>
      <w:r w:rsidRPr="00AC66B3">
        <w:rPr>
          <w:rFonts w:ascii="Times New Roman" w:hAnsi="Times New Roman" w:cs="Times New Roman"/>
          <w:sz w:val="28"/>
          <w:szCs w:val="28"/>
        </w:rPr>
        <w:t>«</w:t>
      </w:r>
      <w:r w:rsidRPr="00AC66B3">
        <w:rPr>
          <w:rFonts w:ascii="Times New Roman" w:hAnsi="Times New Roman" w:cs="Times New Roman"/>
          <w:bCs/>
          <w:sz w:val="28"/>
          <w:szCs w:val="28"/>
          <w:bdr w:val="none" w:sz="0" w:space="0" w:color="auto" w:frame="1"/>
        </w:rPr>
        <w:t>[c]rear, escindir, fusionar, suprimir, integrar, o modificar la naturaleza jurídica, de entidades de la rama ejecutiva</w:t>
      </w:r>
      <w:r w:rsidRPr="00AC66B3">
        <w:rPr>
          <w:rFonts w:ascii="Times New Roman" w:hAnsi="Times New Roman" w:cs="Times New Roman"/>
          <w:sz w:val="28"/>
          <w:szCs w:val="28"/>
        </w:rPr>
        <w:t>»; (ii) «[s]eñalar, modificar y determinar los objetivos y la estructura orgánica de l</w:t>
      </w:r>
      <w:r w:rsidRPr="00AC66B3">
        <w:rPr>
          <w:rFonts w:ascii="Times New Roman" w:hAnsi="Times New Roman" w:cs="Times New Roman"/>
          <w:sz w:val="28"/>
          <w:szCs w:val="28"/>
        </w:rPr>
        <w:t>as entidades resultantes de las creaciones, fusiones o escisiones y los de aquellas entidades a las cuales se trasladen las funciones de las suprimidas, escindidas, fusionadas o transformadas»; y (iii) «[d]eterminar la adscripción o la vinculación de las e</w:t>
      </w:r>
      <w:r w:rsidRPr="00AC66B3">
        <w:rPr>
          <w:rFonts w:ascii="Times New Roman" w:hAnsi="Times New Roman" w:cs="Times New Roman"/>
          <w:sz w:val="28"/>
          <w:szCs w:val="28"/>
        </w:rPr>
        <w:t xml:space="preserve">ntidades públicas nacionales descentralizadas que se creen, fusionen, escindan o integren».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El parágrafo 1 del citado artículo 298 disponía que las facultades concedidas serían «ejercidas con el propósito de cumplir los objetivos e indicadores del Plan N</w:t>
      </w:r>
      <w:r w:rsidRPr="00AC66B3">
        <w:rPr>
          <w:rFonts w:ascii="Times New Roman" w:hAnsi="Times New Roman" w:cs="Times New Roman"/>
          <w:sz w:val="28"/>
          <w:szCs w:val="28"/>
        </w:rPr>
        <w:t>acional de Desarrollo». En la exposición de motivos también se lee que el objetivo de la solicitud de facultades extraordinarias consistía en que el presidente de la República pudiera expedir normas «que contribuyan a la ejecución de las transformaciones»</w:t>
      </w:r>
      <w:r w:rsidRPr="00AC66B3">
        <w:rPr>
          <w:rStyle w:val="Refdenotaalpie"/>
          <w:rFonts w:ascii="Times New Roman" w:hAnsi="Times New Roman" w:cs="Times New Roman"/>
          <w:bCs/>
          <w:sz w:val="28"/>
          <w:szCs w:val="28"/>
          <w:bdr w:val="none" w:sz="0" w:space="0" w:color="auto" w:frame="1"/>
        </w:rPr>
        <w:footnoteReference w:id="133"/>
      </w:r>
      <w:r w:rsidRPr="00AC66B3">
        <w:rPr>
          <w:rFonts w:ascii="Times New Roman" w:hAnsi="Times New Roman" w:cs="Times New Roman"/>
          <w:sz w:val="28"/>
          <w:szCs w:val="28"/>
        </w:rPr>
        <w:t>. Así mismo, en el informe de subcomisión al proyecto de ley número 338 de 2023 cámara - 274 de 2023 senado, particularmente, en el capítulo denominado «Anexos de los ministerios», se lee que, a juicio del Ministerio de Transporte, el artículo 298 facultab</w:t>
      </w:r>
      <w:r w:rsidRPr="00AC66B3">
        <w:rPr>
          <w:rFonts w:ascii="Times New Roman" w:hAnsi="Times New Roman" w:cs="Times New Roman"/>
          <w:sz w:val="28"/>
          <w:szCs w:val="28"/>
        </w:rPr>
        <w:t>a al presidente de la República para «crear una entidad para el fomento de la construcción, mejoramiento y conservación de caminos vecinales»</w:t>
      </w:r>
      <w:r w:rsidRPr="00AC66B3">
        <w:rPr>
          <w:rStyle w:val="Refdenotaalpie"/>
          <w:rFonts w:ascii="Times New Roman" w:hAnsi="Times New Roman" w:cs="Times New Roman"/>
          <w:bCs/>
          <w:sz w:val="28"/>
          <w:szCs w:val="28"/>
          <w:bdr w:val="none" w:sz="0" w:space="0" w:color="auto" w:frame="1"/>
        </w:rPr>
        <w:footnoteReference w:id="134"/>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 Posteriormente, el artículo 298 fue eliminado del proyecto de ley porque «establecía unas facultades abiertas </w:t>
      </w:r>
      <w:r w:rsidRPr="00AC66B3">
        <w:rPr>
          <w:rFonts w:ascii="Times New Roman" w:hAnsi="Times New Roman" w:cs="Times New Roman"/>
          <w:sz w:val="28"/>
          <w:szCs w:val="28"/>
        </w:rPr>
        <w:t>y casi que sin límite al señor presidente»</w:t>
      </w:r>
      <w:r w:rsidRPr="00AC66B3">
        <w:rPr>
          <w:rStyle w:val="Refdenotaalpie"/>
          <w:rFonts w:ascii="Times New Roman" w:hAnsi="Times New Roman" w:cs="Times New Roman"/>
          <w:bCs/>
          <w:sz w:val="28"/>
          <w:szCs w:val="28"/>
          <w:bdr w:val="none" w:sz="0" w:space="0" w:color="auto" w:frame="1"/>
        </w:rPr>
        <w:footnoteReference w:id="135"/>
      </w:r>
      <w:r w:rsidRPr="00AC66B3">
        <w:rPr>
          <w:rFonts w:ascii="Times New Roman" w:hAnsi="Times New Roman" w:cs="Times New Roman"/>
          <w:sz w:val="28"/>
          <w:szCs w:val="28"/>
        </w:rPr>
        <w:t>. En consecuencia, los congresistas ponentes sugirieron que tales facultades fueran concretadas en cada uno de «los temas que el señor presidente las necesitara y así fueron puestas a consideración de las comision</w:t>
      </w:r>
      <w:r w:rsidRPr="00AC66B3">
        <w:rPr>
          <w:rFonts w:ascii="Times New Roman" w:hAnsi="Times New Roman" w:cs="Times New Roman"/>
          <w:sz w:val="28"/>
          <w:szCs w:val="28"/>
        </w:rPr>
        <w:t>es de coordinadores y ponentes»</w:t>
      </w:r>
      <w:r w:rsidRPr="00AC66B3">
        <w:rPr>
          <w:rStyle w:val="Refdenotaalpie"/>
          <w:rFonts w:ascii="Times New Roman" w:hAnsi="Times New Roman" w:cs="Times New Roman"/>
          <w:bCs/>
          <w:sz w:val="28"/>
          <w:szCs w:val="28"/>
          <w:bdr w:val="none" w:sz="0" w:space="0" w:color="auto" w:frame="1"/>
        </w:rPr>
        <w:footnoteReference w:id="136"/>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En el informe de ponencia para primer debate en comisiones conjuntas, los congresistas ponentes introdujeron la norma habilitante del asunto de la referencia</w:t>
      </w:r>
      <w:r w:rsidRPr="00AC66B3">
        <w:rPr>
          <w:rStyle w:val="Refdenotaalpie"/>
          <w:rFonts w:ascii="Times New Roman" w:hAnsi="Times New Roman" w:cs="Times New Roman"/>
          <w:sz w:val="28"/>
          <w:szCs w:val="28"/>
        </w:rPr>
        <w:footnoteReference w:id="137"/>
      </w:r>
      <w:r w:rsidRPr="00AC66B3">
        <w:rPr>
          <w:rFonts w:ascii="Times New Roman" w:hAnsi="Times New Roman" w:cs="Times New Roman"/>
          <w:sz w:val="28"/>
          <w:szCs w:val="28"/>
        </w:rPr>
        <w:t>. El artículo sometido a discusión de las comisiones—en ese mom</w:t>
      </w:r>
      <w:r w:rsidRPr="00AC66B3">
        <w:rPr>
          <w:rFonts w:ascii="Times New Roman" w:hAnsi="Times New Roman" w:cs="Times New Roman"/>
          <w:sz w:val="28"/>
          <w:szCs w:val="28"/>
        </w:rPr>
        <w:t>ento, el artículo 303— tenía la misma redacción del actual artículo 368. No obstante, el texto del artículo 303 tenía dos incisos adicionales. El primer inciso adicional disponía que la intervención de las vías terciarias es necesaria para «facilitar el ac</w:t>
      </w:r>
      <w:r w:rsidRPr="00AC66B3">
        <w:rPr>
          <w:rFonts w:ascii="Times New Roman" w:hAnsi="Times New Roman" w:cs="Times New Roman"/>
          <w:sz w:val="28"/>
          <w:szCs w:val="28"/>
        </w:rPr>
        <w:t>ceso de bienes y servicios a las comunidades, así como posibilitar el transporte y comercialización de la producción agrícola en los centros de consumo a través de caminos y carreteras articuladas que permitan reducir los costos de transporte»</w:t>
      </w:r>
      <w:r w:rsidRPr="00AC66B3">
        <w:rPr>
          <w:rStyle w:val="Refdenotaalpie"/>
          <w:rFonts w:ascii="Times New Roman" w:hAnsi="Times New Roman" w:cs="Times New Roman"/>
          <w:bCs/>
          <w:sz w:val="28"/>
          <w:szCs w:val="28"/>
          <w:bdr w:val="none" w:sz="0" w:space="0" w:color="auto" w:frame="1"/>
        </w:rPr>
        <w:footnoteReference w:id="138"/>
      </w:r>
      <w:r w:rsidRPr="00AC66B3">
        <w:rPr>
          <w:rFonts w:ascii="Times New Roman" w:hAnsi="Times New Roman" w:cs="Times New Roman"/>
          <w:sz w:val="28"/>
          <w:szCs w:val="28"/>
        </w:rPr>
        <w:t>. Igualmente</w:t>
      </w:r>
      <w:r w:rsidRPr="00AC66B3">
        <w:rPr>
          <w:rFonts w:ascii="Times New Roman" w:hAnsi="Times New Roman" w:cs="Times New Roman"/>
          <w:sz w:val="28"/>
          <w:szCs w:val="28"/>
        </w:rPr>
        <w:t>, el segundo inciso adicional establecía que la nueva entidad deberá centrarse «de manera exclusiva en el desarrollo de programas de promoción, apoyo y asesoría a las entidades territoriales en las actividades de formulación, preparación, evaluación y tram</w:t>
      </w:r>
      <w:r w:rsidRPr="00AC66B3">
        <w:rPr>
          <w:rFonts w:ascii="Times New Roman" w:hAnsi="Times New Roman" w:cs="Times New Roman"/>
          <w:sz w:val="28"/>
          <w:szCs w:val="28"/>
        </w:rPr>
        <w:t>itación de los programas y proyectos relacionados con la cofinanciación de la red de caminos vecinales, y de forma general en buscar los mecanismos de financiación de estas rutas»</w:t>
      </w:r>
      <w:r w:rsidRPr="00AC66B3">
        <w:rPr>
          <w:rStyle w:val="Refdenotaalpie"/>
          <w:rFonts w:ascii="Times New Roman" w:hAnsi="Times New Roman" w:cs="Times New Roman"/>
          <w:bCs/>
          <w:sz w:val="28"/>
          <w:szCs w:val="28"/>
          <w:bdr w:val="none" w:sz="0" w:space="0" w:color="auto" w:frame="1"/>
        </w:rPr>
        <w:footnoteReference w:id="139"/>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Estos propósitos son consistentes con el debate congresional en el que s</w:t>
      </w:r>
      <w:r w:rsidRPr="00AC66B3">
        <w:rPr>
          <w:rFonts w:ascii="Times New Roman" w:hAnsi="Times New Roman" w:cs="Times New Roman"/>
          <w:sz w:val="28"/>
          <w:szCs w:val="28"/>
        </w:rPr>
        <w:t>e puso de presente la importancia de la norma habilitante «para que se saque todo lo de la red terciaria de la dependencia de Invías, porque hoy es una Dirección, aquí se va a crear digamos una estructura muy robusta para Caminos Vecinales»</w:t>
      </w:r>
      <w:r w:rsidRPr="00AC66B3">
        <w:rPr>
          <w:rStyle w:val="Refdenotaalpie"/>
          <w:rFonts w:ascii="Times New Roman" w:hAnsi="Times New Roman" w:cs="Times New Roman"/>
          <w:bCs/>
          <w:sz w:val="28"/>
          <w:szCs w:val="28"/>
          <w:bdr w:val="none" w:sz="0" w:space="0" w:color="auto" w:frame="1"/>
        </w:rPr>
        <w:footnoteReference w:id="140"/>
      </w:r>
      <w:r w:rsidRPr="00AC66B3">
        <w:rPr>
          <w:rFonts w:ascii="Times New Roman" w:hAnsi="Times New Roman" w:cs="Times New Roman"/>
          <w:sz w:val="28"/>
          <w:szCs w:val="28"/>
        </w:rPr>
        <w:t>. En el curso d</w:t>
      </w:r>
      <w:r w:rsidRPr="00AC66B3">
        <w:rPr>
          <w:rFonts w:ascii="Times New Roman" w:hAnsi="Times New Roman" w:cs="Times New Roman"/>
          <w:sz w:val="28"/>
          <w:szCs w:val="28"/>
        </w:rPr>
        <w:t>e la discusión, algunos congresistas, principalmente de la oposición, también dejaron constancia de que la facultad otorgada al presidente de la República para definir el régimen jurídico de la nueva entidad no podía ser interpretada en el sentido de que e</w:t>
      </w:r>
      <w:r w:rsidRPr="00AC66B3">
        <w:rPr>
          <w:rFonts w:ascii="Times New Roman" w:hAnsi="Times New Roman" w:cs="Times New Roman"/>
          <w:sz w:val="28"/>
          <w:szCs w:val="28"/>
        </w:rPr>
        <w:t>l régimen de contratación pudiera ser de derecho privado</w:t>
      </w:r>
      <w:r w:rsidRPr="00AC66B3">
        <w:rPr>
          <w:rStyle w:val="Refdenotaalpie"/>
          <w:rFonts w:ascii="Times New Roman" w:hAnsi="Times New Roman" w:cs="Times New Roman"/>
          <w:sz w:val="28"/>
          <w:szCs w:val="28"/>
        </w:rPr>
        <w:footnoteReference w:id="141"/>
      </w:r>
      <w:r w:rsidRPr="00AC66B3">
        <w:rPr>
          <w:rFonts w:ascii="Times New Roman" w:hAnsi="Times New Roman" w:cs="Times New Roman"/>
          <w:sz w:val="28"/>
          <w:szCs w:val="28"/>
        </w:rPr>
        <w:t>. Además, precisaron que ese régimen de contratación tampoco podría ser usado para facilitar la corrupción</w:t>
      </w:r>
      <w:r w:rsidRPr="00AC66B3">
        <w:rPr>
          <w:rStyle w:val="Refdenotaalpie"/>
          <w:rFonts w:ascii="Times New Roman" w:hAnsi="Times New Roman" w:cs="Times New Roman"/>
          <w:sz w:val="28"/>
          <w:szCs w:val="28"/>
        </w:rPr>
        <w:footnoteReference w:id="142"/>
      </w:r>
      <w:r w:rsidRPr="00AC66B3">
        <w:rPr>
          <w:rFonts w:ascii="Times New Roman" w:hAnsi="Times New Roman" w:cs="Times New Roman"/>
          <w:sz w:val="28"/>
          <w:szCs w:val="28"/>
        </w:rPr>
        <w:t xml:space="preserve"> o celebrar contratos con personas que no tuvieran las calidades para la ejecución de obras </w:t>
      </w:r>
      <w:r w:rsidRPr="00AC66B3">
        <w:rPr>
          <w:rFonts w:ascii="Times New Roman" w:hAnsi="Times New Roman" w:cs="Times New Roman"/>
          <w:sz w:val="28"/>
          <w:szCs w:val="28"/>
        </w:rPr>
        <w:t>públicas</w:t>
      </w:r>
      <w:r w:rsidRPr="00AC66B3">
        <w:rPr>
          <w:rStyle w:val="Refdenotaalpie"/>
          <w:rFonts w:ascii="Times New Roman" w:hAnsi="Times New Roman" w:cs="Times New Roman"/>
          <w:sz w:val="28"/>
          <w:szCs w:val="28"/>
        </w:rPr>
        <w:footnoteReference w:id="143"/>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 w:val="left" w:pos="426"/>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Por ello, algunos manifestaron la preocupación de que, en ejercicio de las facultades extraordinarias concedidas, el presidente de la República pudiera «facilitar la contratación directa» para el desarrollo del objeto de la entidad</w:t>
      </w:r>
      <w:r w:rsidRPr="00AC66B3">
        <w:rPr>
          <w:rStyle w:val="Refdenotaalpie"/>
          <w:rFonts w:ascii="Times New Roman" w:hAnsi="Times New Roman" w:cs="Times New Roman"/>
          <w:bCs/>
          <w:sz w:val="28"/>
          <w:szCs w:val="28"/>
          <w:bdr w:val="none" w:sz="0" w:space="0" w:color="auto" w:frame="1"/>
        </w:rPr>
        <w:footnoteReference w:id="144"/>
      </w:r>
      <w:r w:rsidRPr="00AC66B3">
        <w:rPr>
          <w:rFonts w:ascii="Times New Roman" w:hAnsi="Times New Roman" w:cs="Times New Roman"/>
          <w:sz w:val="28"/>
          <w:szCs w:val="28"/>
        </w:rPr>
        <w:t xml:space="preserve">. De igual </w:t>
      </w:r>
      <w:r w:rsidRPr="00AC66B3">
        <w:rPr>
          <w:rFonts w:ascii="Times New Roman" w:hAnsi="Times New Roman" w:cs="Times New Roman"/>
          <w:sz w:val="28"/>
          <w:szCs w:val="28"/>
        </w:rPr>
        <w:t>modo, algunos congresistas recordaron que si, en el marco de las facultades extraordinarias concedidas, el presidente de la República autorizaba la contratación con juntas de acción comunal, ya existía un régimen legal para ello que no podía ser desconocid</w:t>
      </w:r>
      <w:r w:rsidRPr="00AC66B3">
        <w:rPr>
          <w:rFonts w:ascii="Times New Roman" w:hAnsi="Times New Roman" w:cs="Times New Roman"/>
          <w:sz w:val="28"/>
          <w:szCs w:val="28"/>
        </w:rPr>
        <w:t>o</w:t>
      </w:r>
      <w:r w:rsidRPr="00AC66B3">
        <w:rPr>
          <w:rStyle w:val="Refdenotaalpie"/>
          <w:rFonts w:ascii="Times New Roman" w:hAnsi="Times New Roman" w:cs="Times New Roman"/>
          <w:sz w:val="28"/>
          <w:szCs w:val="28"/>
        </w:rPr>
        <w:footnoteReference w:id="145"/>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La norma habilitante, tal cual se encuentra hoy en el artículo 368 de la Ley </w:t>
      </w:r>
      <w:r w:rsidRPr="00AC66B3">
        <w:rPr>
          <w:rFonts w:ascii="Times New Roman" w:hAnsi="Times New Roman" w:cs="Times New Roman"/>
          <w:bCs/>
          <w:sz w:val="28"/>
          <w:szCs w:val="28"/>
          <w:lang w:eastAsia="es-ES"/>
        </w:rPr>
        <w:t>2294 de 2023,</w:t>
      </w:r>
      <w:r w:rsidRPr="00AC66B3">
        <w:rPr>
          <w:rFonts w:ascii="Times New Roman" w:hAnsi="Times New Roman" w:cs="Times New Roman"/>
          <w:bCs/>
          <w:sz w:val="28"/>
          <w:szCs w:val="28"/>
          <w:bdr w:val="none" w:sz="0" w:space="0" w:color="auto" w:frame="1"/>
        </w:rPr>
        <w:t xml:space="preserve"> fue aprobada por las comisiones </w:t>
      </w:r>
      <w:r w:rsidRPr="00AC66B3">
        <w:rPr>
          <w:rFonts w:ascii="Times New Roman" w:hAnsi="Times New Roman" w:cs="Times New Roman"/>
          <w:sz w:val="28"/>
          <w:szCs w:val="28"/>
        </w:rPr>
        <w:t>conjuntas en primer debate, sin los incisos adicionales descritos, los días 20, 21, 22 y 23 de marzo de 2023</w:t>
      </w:r>
      <w:r w:rsidRPr="00AC66B3">
        <w:rPr>
          <w:rStyle w:val="Refdenotaalpie"/>
          <w:rFonts w:ascii="Times New Roman" w:hAnsi="Times New Roman" w:cs="Times New Roman"/>
          <w:sz w:val="28"/>
          <w:szCs w:val="28"/>
        </w:rPr>
        <w:footnoteReference w:id="146"/>
      </w:r>
      <w:r w:rsidRPr="00AC66B3">
        <w:rPr>
          <w:rFonts w:ascii="Times New Roman" w:hAnsi="Times New Roman" w:cs="Times New Roman"/>
          <w:sz w:val="28"/>
          <w:szCs w:val="28"/>
        </w:rPr>
        <w:t>; en segundo debat</w:t>
      </w:r>
      <w:r w:rsidRPr="00AC66B3">
        <w:rPr>
          <w:rFonts w:ascii="Times New Roman" w:hAnsi="Times New Roman" w:cs="Times New Roman"/>
          <w:sz w:val="28"/>
          <w:szCs w:val="28"/>
        </w:rPr>
        <w:t>e en el Senado de la República, los días 2 y 3 de mayo de 2023</w:t>
      </w:r>
      <w:r w:rsidRPr="00AC66B3">
        <w:rPr>
          <w:rStyle w:val="Refdenotaalpie"/>
          <w:rFonts w:ascii="Times New Roman" w:hAnsi="Times New Roman" w:cs="Times New Roman"/>
          <w:sz w:val="28"/>
          <w:szCs w:val="28"/>
        </w:rPr>
        <w:footnoteReference w:id="147"/>
      </w:r>
      <w:r w:rsidRPr="00AC66B3">
        <w:rPr>
          <w:rFonts w:ascii="Times New Roman" w:hAnsi="Times New Roman" w:cs="Times New Roman"/>
          <w:sz w:val="28"/>
          <w:szCs w:val="28"/>
        </w:rPr>
        <w:t>; en segundo debate en la Cámara de Representantes, los días 2, 3 y 4 de mayo de 2023</w:t>
      </w:r>
      <w:r w:rsidRPr="00AC66B3">
        <w:rPr>
          <w:rStyle w:val="Refdenotaalpie"/>
          <w:rFonts w:ascii="Times New Roman" w:hAnsi="Times New Roman" w:cs="Times New Roman"/>
          <w:sz w:val="28"/>
          <w:szCs w:val="28"/>
        </w:rPr>
        <w:footnoteReference w:id="148"/>
      </w:r>
      <w:r w:rsidRPr="00AC66B3">
        <w:rPr>
          <w:rFonts w:ascii="Times New Roman" w:hAnsi="Times New Roman" w:cs="Times New Roman"/>
          <w:sz w:val="28"/>
          <w:szCs w:val="28"/>
        </w:rPr>
        <w:t>; y en conciliación por la plenaria del Senado y de la Cámara de Representantes los días 3 y 4 de mayo de 2</w:t>
      </w:r>
      <w:r w:rsidRPr="00AC66B3">
        <w:rPr>
          <w:rFonts w:ascii="Times New Roman" w:hAnsi="Times New Roman" w:cs="Times New Roman"/>
          <w:sz w:val="28"/>
          <w:szCs w:val="28"/>
        </w:rPr>
        <w:t>023, respectivamente</w:t>
      </w:r>
      <w:r w:rsidRPr="00AC66B3">
        <w:rPr>
          <w:rStyle w:val="Refdenotaalpie"/>
          <w:rFonts w:ascii="Times New Roman" w:hAnsi="Times New Roman" w:cs="Times New Roman"/>
          <w:sz w:val="28"/>
          <w:szCs w:val="28"/>
        </w:rPr>
        <w:footnoteReference w:id="149"/>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De conformidad con lo expuesto, es posible concluir que las facultades extraordinarias fueron solicitadas por el presidente de la República al Congreso de la República para </w:t>
      </w:r>
      <w:r w:rsidRPr="00AC66B3">
        <w:rPr>
          <w:rFonts w:ascii="Times New Roman" w:hAnsi="Times New Roman" w:cs="Times New Roman"/>
          <w:sz w:val="28"/>
          <w:szCs w:val="28"/>
        </w:rPr>
        <w:t>crear una entidad que se encargara del fomento de la const</w:t>
      </w:r>
      <w:r w:rsidRPr="00AC66B3">
        <w:rPr>
          <w:rFonts w:ascii="Times New Roman" w:hAnsi="Times New Roman" w:cs="Times New Roman"/>
          <w:sz w:val="28"/>
          <w:szCs w:val="28"/>
        </w:rPr>
        <w:t xml:space="preserve">rucción, el mejoramiento y la conservación de las vías terciarias. A este objeto subyacen los siguientes propósitos: </w:t>
      </w:r>
      <w:r w:rsidRPr="00AC66B3">
        <w:rPr>
          <w:rFonts w:ascii="Times New Roman" w:hAnsi="Times New Roman" w:cs="Times New Roman"/>
          <w:sz w:val="28"/>
          <w:szCs w:val="28"/>
          <w:lang w:eastAsia="es-ES"/>
        </w:rPr>
        <w:t xml:space="preserve">fortalecer los vínculos entre el campo y la ciudad; </w:t>
      </w:r>
      <w:r w:rsidRPr="00AC66B3">
        <w:rPr>
          <w:rFonts w:ascii="Times New Roman" w:hAnsi="Times New Roman" w:cs="Times New Roman"/>
          <w:sz w:val="28"/>
          <w:szCs w:val="28"/>
        </w:rPr>
        <w:t>facilitar el acceso a bienes y servicios por parte de las comunidades; posibilitar el t</w:t>
      </w:r>
      <w:r w:rsidRPr="00AC66B3">
        <w:rPr>
          <w:rFonts w:ascii="Times New Roman" w:hAnsi="Times New Roman" w:cs="Times New Roman"/>
          <w:sz w:val="28"/>
          <w:szCs w:val="28"/>
        </w:rPr>
        <w:t>ransporte y comercialización de la producción agrícola en los centros de consumo; reducir los costos del transporte; y desarrollar programas de promoción, apoyo y asesoría a las entidades territoriales relacionados con la cofinanciación de vías terciarias.</w:t>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La Corte observa que, </w:t>
      </w:r>
      <w:bookmarkStart w:id="15" w:name="_Hlk168038088"/>
      <w:r w:rsidRPr="00AC66B3">
        <w:rPr>
          <w:rFonts w:ascii="Times New Roman" w:hAnsi="Times New Roman" w:cs="Times New Roman"/>
          <w:sz w:val="28"/>
          <w:szCs w:val="28"/>
        </w:rPr>
        <w:t>en concordancia con el trámite legislativo de la norma habilitante, en virtud de las facultades extraordinarias concedidas, el presidente de la República debía definir el régimen jurídico aplicable a la nueva entidad. Sin embargo, en la solicitud de facult</w:t>
      </w:r>
      <w:r w:rsidRPr="00AC66B3">
        <w:rPr>
          <w:rFonts w:ascii="Times New Roman" w:hAnsi="Times New Roman" w:cs="Times New Roman"/>
          <w:sz w:val="28"/>
          <w:szCs w:val="28"/>
        </w:rPr>
        <w:t xml:space="preserve">ades extraordinarias, el presidente no hizo mención a la posibilidad de que, en el contexto de dicha definición, pudiera otorgar un régimen de contratación excepcional a esa entidad. Es más, como ya se indicó, </w:t>
      </w:r>
      <w:r w:rsidRPr="00AC66B3">
        <w:rPr>
          <w:rFonts w:ascii="Times New Roman" w:hAnsi="Times New Roman" w:cs="Times New Roman"/>
          <w:bCs/>
          <w:sz w:val="28"/>
          <w:szCs w:val="28"/>
          <w:lang w:val="es-ES"/>
        </w:rPr>
        <w:t>el artículo 298 de la versión original del pro</w:t>
      </w:r>
      <w:r w:rsidRPr="00AC66B3">
        <w:rPr>
          <w:rFonts w:ascii="Times New Roman" w:hAnsi="Times New Roman" w:cs="Times New Roman"/>
          <w:bCs/>
          <w:sz w:val="28"/>
          <w:szCs w:val="28"/>
          <w:lang w:val="es-ES"/>
        </w:rPr>
        <w:t>yecto de ley fue sustituido por su extrema amplitud.</w:t>
      </w:r>
    </w:p>
    <w:bookmarkEnd w:id="15"/>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En este sentido, para la Sala Plena es claro que no existe congruencia entre </w:t>
      </w:r>
      <w:r w:rsidRPr="00AC66B3">
        <w:rPr>
          <w:rFonts w:ascii="Times New Roman" w:hAnsi="Times New Roman" w:cs="Times New Roman"/>
          <w:sz w:val="28"/>
          <w:szCs w:val="28"/>
          <w:lang w:val="es-MX"/>
        </w:rPr>
        <w:t>los motivos que llevaron al Legislador a otorgar facultades extraordinarias al presidente de la República y las normas demand</w:t>
      </w:r>
      <w:r w:rsidRPr="00AC66B3">
        <w:rPr>
          <w:rFonts w:ascii="Times New Roman" w:hAnsi="Times New Roman" w:cs="Times New Roman"/>
          <w:sz w:val="28"/>
          <w:szCs w:val="28"/>
          <w:lang w:val="es-MX"/>
        </w:rPr>
        <w:t>adas.</w:t>
      </w:r>
      <w:r w:rsidRPr="00AC66B3">
        <w:rPr>
          <w:rFonts w:ascii="Times New Roman" w:hAnsi="Times New Roman" w:cs="Times New Roman"/>
          <w:bCs/>
          <w:sz w:val="28"/>
          <w:szCs w:val="28"/>
          <w:lang w:val="es-ES"/>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u w:val="single"/>
        </w:rPr>
      </w:pP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r w:rsidRPr="00AC66B3">
        <w:rPr>
          <w:rFonts w:ascii="Times New Roman" w:hAnsi="Times New Roman" w:cs="Times New Roman"/>
          <w:b/>
          <w:bCs/>
          <w:sz w:val="28"/>
          <w:szCs w:val="28"/>
        </w:rPr>
        <w:t>6.1.2. La relación directa e inmediata de índole material entre las normas demandadas y la norma habilitante</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bookmarkStart w:id="16" w:name="_Hlk167434476"/>
      <w:r w:rsidRPr="00AC66B3">
        <w:rPr>
          <w:rFonts w:ascii="Times New Roman" w:hAnsi="Times New Roman" w:cs="Times New Roman"/>
          <w:sz w:val="28"/>
          <w:szCs w:val="28"/>
        </w:rPr>
        <w:t xml:space="preserve">En concordancia con la metodología reiterada en el capítulo quinto de la presente sentencia, en este punto, la Sala debe identificar, primero, </w:t>
      </w:r>
      <w:r w:rsidRPr="00AC66B3">
        <w:rPr>
          <w:rFonts w:ascii="Times New Roman" w:hAnsi="Times New Roman" w:cs="Times New Roman"/>
          <w:bCs/>
          <w:sz w:val="28"/>
          <w:szCs w:val="28"/>
          <w:lang w:eastAsia="es-ES"/>
        </w:rPr>
        <w:t xml:space="preserve">los límites temáticos que imprime la ley habilitante y la </w:t>
      </w:r>
      <w:r w:rsidRPr="00AC66B3">
        <w:rPr>
          <w:rFonts w:ascii="Times New Roman" w:hAnsi="Times New Roman" w:cs="Times New Roman"/>
          <w:sz w:val="28"/>
          <w:szCs w:val="28"/>
        </w:rPr>
        <w:t>coherencia entre estos y las normas demandadas</w:t>
      </w:r>
      <w:r w:rsidRPr="00AC66B3">
        <w:rPr>
          <w:rFonts w:ascii="Times New Roman" w:hAnsi="Times New Roman" w:cs="Times New Roman"/>
          <w:bCs/>
          <w:sz w:val="28"/>
          <w:szCs w:val="28"/>
          <w:lang w:eastAsia="es-ES"/>
        </w:rPr>
        <w:t>. Y, segu</w:t>
      </w:r>
      <w:r w:rsidRPr="00AC66B3">
        <w:rPr>
          <w:rFonts w:ascii="Times New Roman" w:hAnsi="Times New Roman" w:cs="Times New Roman"/>
          <w:bCs/>
          <w:sz w:val="28"/>
          <w:szCs w:val="28"/>
          <w:lang w:eastAsia="es-ES"/>
        </w:rPr>
        <w:t xml:space="preserve">ndo, el contexto normativo en el que se insertan las normas demandadas, de acuerdo con el sentido de las facultades extraordinarias otorgadas y la parte considerativa del Decreto Ley </w:t>
      </w:r>
      <w:r w:rsidRPr="00AC66B3">
        <w:rPr>
          <w:rFonts w:ascii="Times New Roman" w:hAnsi="Times New Roman" w:cs="Times New Roman"/>
          <w:sz w:val="28"/>
          <w:szCs w:val="28"/>
        </w:rPr>
        <w:t>1961 de 2023. En este punto, la Corte identificará, además, los objetivos</w:t>
      </w:r>
      <w:r w:rsidRPr="00AC66B3">
        <w:rPr>
          <w:rFonts w:ascii="Times New Roman" w:hAnsi="Times New Roman" w:cs="Times New Roman"/>
          <w:sz w:val="28"/>
          <w:szCs w:val="28"/>
        </w:rPr>
        <w:t xml:space="preserve"> que persigue el presidente de la República con la expedición del decreto ley.</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lang w:val="es-MX"/>
        </w:rPr>
        <w:t xml:space="preserve">De acuerdo con el trámite legislativo descrito en el acápite anterior, </w:t>
      </w:r>
      <w:r w:rsidRPr="00AC66B3">
        <w:rPr>
          <w:rFonts w:ascii="Times New Roman" w:hAnsi="Times New Roman" w:cs="Times New Roman"/>
          <w:sz w:val="28"/>
          <w:szCs w:val="28"/>
        </w:rPr>
        <w:t xml:space="preserve">el límite temático de la habilitación se circunscribía a la creación de una entidad que se encargara del </w:t>
      </w:r>
      <w:r w:rsidRPr="00AC66B3">
        <w:rPr>
          <w:rFonts w:ascii="Times New Roman" w:hAnsi="Times New Roman" w:cs="Times New Roman"/>
          <w:sz w:val="28"/>
          <w:szCs w:val="28"/>
        </w:rPr>
        <w:t>fomento de la construcción, el mejoramiento y la conservación de las vías terciarias, con el objetivo general de</w:t>
      </w:r>
      <w:r w:rsidRPr="00AC66B3">
        <w:rPr>
          <w:rFonts w:ascii="Times New Roman" w:hAnsi="Times New Roman" w:cs="Times New Roman"/>
          <w:bCs/>
          <w:sz w:val="28"/>
          <w:szCs w:val="28"/>
          <w:lang w:eastAsia="es-ES"/>
        </w:rPr>
        <w:t xml:space="preserve"> fortalecer los vínculos entre el campo y la ciudad y promover la integración de los territorios</w:t>
      </w:r>
      <w:r w:rsidRPr="00AC66B3">
        <w:rPr>
          <w:rFonts w:ascii="Times New Roman" w:hAnsi="Times New Roman" w:cs="Times New Roman"/>
          <w:sz w:val="28"/>
          <w:szCs w:val="28"/>
        </w:rPr>
        <w:t>. Para ello, la norma habilitante otorgó faculta</w:t>
      </w:r>
      <w:r w:rsidRPr="00AC66B3">
        <w:rPr>
          <w:rFonts w:ascii="Times New Roman" w:hAnsi="Times New Roman" w:cs="Times New Roman"/>
          <w:sz w:val="28"/>
          <w:szCs w:val="28"/>
        </w:rPr>
        <w:t>des extraordinarias al presidente de la República para que, vía decretos leyes, definiera la naturaleza jurídica, el régimen jurídico aplicable, y la forma en que se recibirán los recursos que conformarán la nueva entidad.</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El Decreto Ley 1961 de 2023 cont</w:t>
      </w:r>
      <w:r w:rsidRPr="00AC66B3">
        <w:rPr>
          <w:rFonts w:ascii="Times New Roman" w:hAnsi="Times New Roman" w:cs="Times New Roman"/>
          <w:sz w:val="28"/>
          <w:szCs w:val="28"/>
        </w:rPr>
        <w:t>iene siete considerandos. Los dos primeros y el sexto citan el artículo 150, numeral 10, de la Constitución y las facultades extraordinarias otorgadas al presidente de la República en el artículo 368 de la Ley 2294 2023, para «crear el Instituto Nacional d</w:t>
      </w:r>
      <w:r w:rsidRPr="00AC66B3">
        <w:rPr>
          <w:rFonts w:ascii="Times New Roman" w:hAnsi="Times New Roman" w:cs="Times New Roman"/>
          <w:sz w:val="28"/>
          <w:szCs w:val="28"/>
        </w:rPr>
        <w:t>e Vías Regionales (Invir), determinar su naturaleza jurídica, estructura y funciones». El tercer considerando destaca que «uno de los principales objetivos del Gobierno nacional es la priorización de la intervención de la red regional de carreteras, con el</w:t>
      </w:r>
      <w:r w:rsidRPr="00AC66B3">
        <w:rPr>
          <w:rFonts w:ascii="Times New Roman" w:hAnsi="Times New Roman" w:cs="Times New Roman"/>
          <w:sz w:val="28"/>
          <w:szCs w:val="28"/>
        </w:rPr>
        <w:t xml:space="preserve"> fin de fortalecer vínculos urbanoregionales y la integración de territorios». Esto, dice el Decreto, se evidencia en la Ley 2294 de 2023 y en el Programa Caminos Comunitarios para la Paz Total</w:t>
      </w:r>
      <w:r w:rsidRPr="00AC66B3">
        <w:rPr>
          <w:rStyle w:val="Refdenotaalpie"/>
          <w:rFonts w:ascii="Times New Roman" w:hAnsi="Times New Roman" w:cs="Times New Roman"/>
          <w:sz w:val="28"/>
          <w:szCs w:val="28"/>
        </w:rPr>
        <w:footnoteReference w:id="150"/>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Los considerandos cuarto y quinto se refieren a la compete</w:t>
      </w:r>
      <w:r w:rsidRPr="00AC66B3">
        <w:rPr>
          <w:rFonts w:ascii="Times New Roman" w:hAnsi="Times New Roman" w:cs="Times New Roman"/>
          <w:sz w:val="28"/>
          <w:szCs w:val="28"/>
        </w:rPr>
        <w:t>ncia del Invías en materia de vías terciarias y a la necesidad de sustraer de su objeto institucional dicha competencia.</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Sin ninguna relación con los considerandos previos, el último considerando se limita a indicar lo siguiente: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tabs>
          <w:tab w:val="left" w:pos="142"/>
          <w:tab w:val="left" w:pos="284"/>
        </w:tabs>
        <w:ind w:left="567"/>
        <w:jc w:val="both"/>
        <w:rPr>
          <w:rFonts w:ascii="Times New Roman" w:hAnsi="Times New Roman" w:cs="Times New Roman"/>
          <w:sz w:val="28"/>
          <w:szCs w:val="26"/>
        </w:rPr>
      </w:pPr>
      <w:r w:rsidRPr="00AC66B3">
        <w:rPr>
          <w:rFonts w:ascii="Times New Roman" w:hAnsi="Times New Roman" w:cs="Times New Roman"/>
          <w:sz w:val="28"/>
          <w:szCs w:val="26"/>
        </w:rPr>
        <w:t xml:space="preserve">Que se requiere que el </w:t>
      </w:r>
      <w:r w:rsidRPr="00AC66B3">
        <w:rPr>
          <w:rFonts w:ascii="Times New Roman" w:hAnsi="Times New Roman" w:cs="Times New Roman"/>
          <w:sz w:val="28"/>
          <w:szCs w:val="26"/>
        </w:rPr>
        <w:t>Instituto Nacional de Vías Regionales (Invir), de conformidad con el principio de libertad de configuración del legislador y de acuerdo a las facultades concedidas, cuente con un proceso de contratación directa con comunidades rurales, cabildos, organizaci</w:t>
      </w:r>
      <w:r w:rsidRPr="00AC66B3">
        <w:rPr>
          <w:rFonts w:ascii="Times New Roman" w:hAnsi="Times New Roman" w:cs="Times New Roman"/>
          <w:sz w:val="28"/>
          <w:szCs w:val="26"/>
        </w:rPr>
        <w:t>ones populares, unidades de economía popular, organismos de acción comunal, social o comunitaria u otras formas de organización social, grupos y/o comunidades étnicas, comunidades en todas sus diversidades, mujeres y víctimas, para el desarrollo de proyect</w:t>
      </w:r>
      <w:r w:rsidRPr="00AC66B3">
        <w:rPr>
          <w:rFonts w:ascii="Times New Roman" w:hAnsi="Times New Roman" w:cs="Times New Roman"/>
          <w:sz w:val="28"/>
          <w:szCs w:val="26"/>
        </w:rPr>
        <w:t>os e infraestructura vial.</w:t>
      </w:r>
    </w:p>
    <w:p w:rsidR="000A045E" w:rsidRPr="00AC66B3" w:rsidRDefault="00AC66B3" w:rsidP="000A045E">
      <w:pPr>
        <w:tabs>
          <w:tab w:val="left" w:pos="142"/>
          <w:tab w:val="left" w:pos="284"/>
        </w:tabs>
        <w:ind w:left="567"/>
        <w:jc w:val="both"/>
        <w:rPr>
          <w:rFonts w:ascii="Times New Roman" w:hAnsi="Times New Roman" w:cs="Times New Roman"/>
          <w:bCs/>
          <w:sz w:val="28"/>
          <w:szCs w:val="26"/>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bdr w:val="none" w:sz="0" w:space="0" w:color="auto" w:frame="1"/>
        </w:rPr>
        <w:t xml:space="preserve">En términos generales, el parágrafo 1 del artículo 35 del Decreto Ley </w:t>
      </w:r>
      <w:r w:rsidRPr="00AC66B3">
        <w:rPr>
          <w:rFonts w:ascii="Times New Roman" w:hAnsi="Times New Roman" w:cs="Times New Roman"/>
          <w:sz w:val="28"/>
          <w:szCs w:val="28"/>
        </w:rPr>
        <w:t xml:space="preserve">1961 de 2023, demandando en el presente proceso, </w:t>
      </w:r>
      <w:r w:rsidRPr="00AC66B3">
        <w:rPr>
          <w:rFonts w:ascii="Times New Roman" w:hAnsi="Times New Roman" w:cs="Times New Roman"/>
          <w:b/>
          <w:bCs/>
          <w:sz w:val="28"/>
          <w:szCs w:val="28"/>
        </w:rPr>
        <w:t xml:space="preserve">es una </w:t>
      </w:r>
      <w:r w:rsidRPr="00AC66B3">
        <w:rPr>
          <w:rFonts w:ascii="Times New Roman" w:hAnsi="Times New Roman" w:cs="Times New Roman"/>
          <w:b/>
          <w:bCs/>
          <w:sz w:val="28"/>
          <w:szCs w:val="28"/>
          <w:bdr w:val="none" w:sz="0" w:space="0" w:color="auto" w:frame="1"/>
        </w:rPr>
        <w:t>reproducción del considerando transcrito en precedencia</w:t>
      </w:r>
      <w:r w:rsidRPr="00AC66B3">
        <w:rPr>
          <w:rFonts w:ascii="Times New Roman" w:hAnsi="Times New Roman" w:cs="Times New Roman"/>
          <w:bCs/>
          <w:sz w:val="28"/>
          <w:szCs w:val="28"/>
          <w:bdr w:val="none" w:sz="0" w:space="0" w:color="auto" w:frame="1"/>
        </w:rPr>
        <w:t>. De ahí que tal considerando no ofrezca mayore</w:t>
      </w:r>
      <w:r w:rsidRPr="00AC66B3">
        <w:rPr>
          <w:rFonts w:ascii="Times New Roman" w:hAnsi="Times New Roman" w:cs="Times New Roman"/>
          <w:bCs/>
          <w:sz w:val="28"/>
          <w:szCs w:val="28"/>
          <w:bdr w:val="none" w:sz="0" w:space="0" w:color="auto" w:frame="1"/>
        </w:rPr>
        <w:t xml:space="preserve">s elementos de análisis para comprender </w:t>
      </w:r>
      <w:r w:rsidRPr="00AC66B3">
        <w:rPr>
          <w:rFonts w:ascii="Times New Roman" w:hAnsi="Times New Roman" w:cs="Times New Roman"/>
          <w:bCs/>
          <w:sz w:val="28"/>
          <w:szCs w:val="28"/>
          <w:lang w:eastAsia="es-ES"/>
        </w:rPr>
        <w:t xml:space="preserve">el contexto normativo en el que se insertan las normas demandadas ni </w:t>
      </w:r>
      <w:r w:rsidRPr="00AC66B3">
        <w:rPr>
          <w:rFonts w:ascii="Times New Roman" w:hAnsi="Times New Roman" w:cs="Times New Roman"/>
          <w:sz w:val="28"/>
          <w:szCs w:val="28"/>
        </w:rPr>
        <w:t>los objetivos que persigue el presidente de la República con la expedición de estas</w:t>
      </w:r>
      <w:r w:rsidRPr="00AC66B3">
        <w:rPr>
          <w:rFonts w:ascii="Times New Roman" w:hAnsi="Times New Roman" w:cs="Times New Roman"/>
          <w:bCs/>
          <w:sz w:val="28"/>
          <w:szCs w:val="28"/>
          <w:lang w:eastAsia="es-ES"/>
        </w:rPr>
        <w:t>. A pesar de que invoca las facultades extraordinarias concedida</w:t>
      </w:r>
      <w:r w:rsidRPr="00AC66B3">
        <w:rPr>
          <w:rFonts w:ascii="Times New Roman" w:hAnsi="Times New Roman" w:cs="Times New Roman"/>
          <w:bCs/>
          <w:sz w:val="28"/>
          <w:szCs w:val="28"/>
          <w:lang w:eastAsia="es-ES"/>
        </w:rPr>
        <w:t xml:space="preserve">s, dicho considerando tampoco permite evidenciar una relación entre, por un lado, las disposiciones acusadas y, por otro lado, el sentido y el propósito de esas facultades.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bCs/>
          <w:sz w:val="28"/>
          <w:szCs w:val="28"/>
          <w:lang w:eastAsia="es-ES"/>
        </w:rPr>
        <w:t xml:space="preserve">La simple mención del </w:t>
      </w:r>
      <w:r w:rsidRPr="00AC66B3">
        <w:rPr>
          <w:rFonts w:ascii="Times New Roman" w:hAnsi="Times New Roman" w:cs="Times New Roman"/>
          <w:sz w:val="28"/>
          <w:szCs w:val="28"/>
        </w:rPr>
        <w:t>«</w:t>
      </w:r>
      <w:r w:rsidRPr="00AC66B3">
        <w:rPr>
          <w:rFonts w:ascii="Times New Roman" w:hAnsi="Times New Roman" w:cs="Times New Roman"/>
          <w:bCs/>
          <w:sz w:val="28"/>
          <w:szCs w:val="28"/>
          <w:lang w:eastAsia="es-ES"/>
        </w:rPr>
        <w:t>principio de libertad de configuración del legislador</w:t>
      </w:r>
      <w:r w:rsidRPr="00AC66B3">
        <w:rPr>
          <w:rFonts w:ascii="Times New Roman" w:hAnsi="Times New Roman" w:cs="Times New Roman"/>
          <w:sz w:val="28"/>
          <w:szCs w:val="28"/>
        </w:rPr>
        <w:t xml:space="preserve">» en la memoria justificativa del Decreto Ley se torna insuficiente para establecer un vínculo sustancial entre </w:t>
      </w:r>
      <w:r w:rsidRPr="00AC66B3">
        <w:rPr>
          <w:rFonts w:ascii="Times New Roman" w:hAnsi="Times New Roman" w:cs="Times New Roman"/>
          <w:bCs/>
          <w:sz w:val="28"/>
          <w:szCs w:val="28"/>
          <w:lang w:eastAsia="es-ES"/>
        </w:rPr>
        <w:t>los límites temáticos que imprime la ley habilitante y las normas demandadas</w:t>
      </w:r>
      <w:r w:rsidRPr="00AC66B3">
        <w:rPr>
          <w:rStyle w:val="Refdenotaalpie"/>
          <w:rFonts w:ascii="Times New Roman" w:hAnsi="Times New Roman" w:cs="Times New Roman"/>
          <w:bCs/>
          <w:sz w:val="28"/>
          <w:szCs w:val="28"/>
          <w:lang w:eastAsia="es-ES"/>
        </w:rPr>
        <w:footnoteReference w:id="151"/>
      </w:r>
      <w:r w:rsidRPr="00AC66B3">
        <w:rPr>
          <w:rFonts w:ascii="Times New Roman" w:hAnsi="Times New Roman" w:cs="Times New Roman"/>
          <w:bCs/>
          <w:sz w:val="28"/>
          <w:szCs w:val="28"/>
          <w:lang w:eastAsia="es-ES"/>
        </w:rPr>
        <w:t xml:space="preserve">. Lo mismo sucede con otros apartados de la memoria justificativa en los que se menciona: (i) la necesidad de la nueva entidad de contar con instrumentos contractuales </w:t>
      </w:r>
      <w:r w:rsidRPr="00AC66B3">
        <w:rPr>
          <w:rFonts w:ascii="Times New Roman" w:hAnsi="Times New Roman" w:cs="Times New Roman"/>
          <w:bCs/>
          <w:i/>
          <w:iCs/>
          <w:sz w:val="28"/>
          <w:szCs w:val="28"/>
          <w:lang w:eastAsia="es-ES"/>
        </w:rPr>
        <w:t>expeditos</w:t>
      </w:r>
      <w:r w:rsidRPr="00AC66B3">
        <w:rPr>
          <w:rFonts w:ascii="Times New Roman" w:hAnsi="Times New Roman" w:cs="Times New Roman"/>
          <w:bCs/>
          <w:sz w:val="28"/>
          <w:szCs w:val="28"/>
          <w:lang w:eastAsia="es-ES"/>
        </w:rPr>
        <w:t xml:space="preserve"> y (ii) la finalidad de intervenir en el territorio con el apoyo de las estruct</w:t>
      </w:r>
      <w:r w:rsidRPr="00AC66B3">
        <w:rPr>
          <w:rFonts w:ascii="Times New Roman" w:hAnsi="Times New Roman" w:cs="Times New Roman"/>
          <w:bCs/>
          <w:sz w:val="28"/>
          <w:szCs w:val="28"/>
          <w:lang w:eastAsia="es-ES"/>
        </w:rPr>
        <w:t>uras de economía popular. Si bien estos elementos dan luces sobre</w:t>
      </w:r>
      <w:r w:rsidRPr="00AC66B3">
        <w:rPr>
          <w:rFonts w:ascii="Times New Roman" w:hAnsi="Times New Roman" w:cs="Times New Roman"/>
          <w:sz w:val="28"/>
          <w:szCs w:val="28"/>
        </w:rPr>
        <w:t xml:space="preserve"> los objetivos que perseguía el presidente de la República con la expedición de las normas demandadas, dichos objetivos no concuerdan con el propósito que buscaba alcanzar el Legislador con l</w:t>
      </w:r>
      <w:r w:rsidRPr="00AC66B3">
        <w:rPr>
          <w:rFonts w:ascii="Times New Roman" w:hAnsi="Times New Roman" w:cs="Times New Roman"/>
          <w:sz w:val="28"/>
          <w:szCs w:val="28"/>
        </w:rPr>
        <w:t xml:space="preserve">a norma habilitante.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Tal propósito consistía en dotar al presidente de la República de facultades extraordinarias para que creara una entidad que se encargara con exclusividad del fomento de la construcción, el mejoramiento y la conservación de las vías </w:t>
      </w:r>
      <w:r w:rsidRPr="00AC66B3">
        <w:rPr>
          <w:rFonts w:ascii="Times New Roman" w:hAnsi="Times New Roman" w:cs="Times New Roman"/>
          <w:sz w:val="28"/>
          <w:szCs w:val="28"/>
        </w:rPr>
        <w:t xml:space="preserve">terciarias. Lo anterior, con el objeto de sustraer esa materia del objeto del Invías. Desde esta perspectiva, </w:t>
      </w:r>
      <w:r w:rsidRPr="00AC66B3">
        <w:rPr>
          <w:rFonts w:ascii="Times New Roman" w:hAnsi="Times New Roman" w:cs="Times New Roman"/>
          <w:bCs/>
          <w:sz w:val="28"/>
          <w:szCs w:val="28"/>
          <w:bdr w:val="none" w:sz="0" w:space="0" w:color="auto" w:frame="1"/>
        </w:rPr>
        <w:t xml:space="preserve">tampoco es clara la relación entre las disposiciones acusadas y </w:t>
      </w:r>
      <w:r w:rsidRPr="00AC66B3">
        <w:rPr>
          <w:rFonts w:ascii="Times New Roman" w:hAnsi="Times New Roman" w:cs="Times New Roman"/>
          <w:bCs/>
          <w:sz w:val="28"/>
          <w:szCs w:val="28"/>
          <w:lang w:eastAsia="es-ES"/>
        </w:rPr>
        <w:t>el fin</w:t>
      </w:r>
      <w:r w:rsidRPr="00AC66B3">
        <w:rPr>
          <w:rFonts w:ascii="Times New Roman" w:hAnsi="Times New Roman" w:cs="Times New Roman"/>
          <w:sz w:val="28"/>
          <w:szCs w:val="28"/>
        </w:rPr>
        <w:t xml:space="preserve"> que el Legislador buscaba alcanzar con la delegación.</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bCs/>
          <w:sz w:val="28"/>
          <w:szCs w:val="28"/>
          <w:lang w:eastAsia="es-ES"/>
        </w:rPr>
        <w:t>Sobre lo anterior</w:t>
      </w:r>
      <w:r w:rsidRPr="00AC66B3">
        <w:rPr>
          <w:rFonts w:ascii="Times New Roman" w:hAnsi="Times New Roman" w:cs="Times New Roman"/>
          <w:sz w:val="28"/>
          <w:szCs w:val="28"/>
        </w:rPr>
        <w:t>, l</w:t>
      </w:r>
      <w:r w:rsidRPr="00AC66B3">
        <w:rPr>
          <w:rFonts w:ascii="Times New Roman" w:hAnsi="Times New Roman" w:cs="Times New Roman"/>
          <w:sz w:val="28"/>
          <w:szCs w:val="28"/>
        </w:rPr>
        <w:t>lama la atención de la Sala la información suministrada por la Agencia Nacional de Infraestructura (ANI) en su escrito de intervención. La entidad explicó que para el Gobierno nacional es importante facilitar la contratación estatal con comunidades y organ</w:t>
      </w:r>
      <w:r w:rsidRPr="00AC66B3">
        <w:rPr>
          <w:rFonts w:ascii="Times New Roman" w:hAnsi="Times New Roman" w:cs="Times New Roman"/>
          <w:sz w:val="28"/>
          <w:szCs w:val="28"/>
        </w:rPr>
        <w:t>izaciones sociales, pues ello las impulsa y empodera, al tiempo que las involucra en la solución de sus problemas.</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Para satisfacer este propósito, dijo la ANI, la Ley del PND, es decir, la misma ley que contiene la norma habilitante, reguló tres tipos de </w:t>
      </w:r>
      <w:r w:rsidRPr="00AC66B3">
        <w:rPr>
          <w:rFonts w:ascii="Times New Roman" w:hAnsi="Times New Roman" w:cs="Times New Roman"/>
          <w:sz w:val="28"/>
          <w:szCs w:val="28"/>
        </w:rPr>
        <w:t>vínculos contractuales: las Asociaciones Público Populares</w:t>
      </w:r>
      <w:r w:rsidRPr="00AC66B3">
        <w:rPr>
          <w:rStyle w:val="Refdenotaalpie"/>
          <w:rFonts w:ascii="Times New Roman" w:hAnsi="Times New Roman" w:cs="Times New Roman"/>
          <w:sz w:val="28"/>
          <w:szCs w:val="28"/>
        </w:rPr>
        <w:footnoteReference w:id="152"/>
      </w:r>
      <w:r w:rsidRPr="00AC66B3">
        <w:rPr>
          <w:rFonts w:ascii="Times New Roman" w:hAnsi="Times New Roman" w:cs="Times New Roman"/>
          <w:sz w:val="28"/>
          <w:szCs w:val="28"/>
        </w:rPr>
        <w:t>, las Asociaciones de Iniciativa Público Popular</w:t>
      </w:r>
      <w:r w:rsidRPr="00AC66B3">
        <w:rPr>
          <w:rStyle w:val="Refdenotaalpie"/>
          <w:rFonts w:ascii="Times New Roman" w:hAnsi="Times New Roman" w:cs="Times New Roman"/>
          <w:sz w:val="28"/>
          <w:szCs w:val="28"/>
        </w:rPr>
        <w:footnoteReference w:id="153"/>
      </w:r>
      <w:r w:rsidRPr="00AC66B3">
        <w:rPr>
          <w:rFonts w:ascii="Times New Roman" w:hAnsi="Times New Roman" w:cs="Times New Roman"/>
          <w:sz w:val="28"/>
          <w:szCs w:val="28"/>
        </w:rPr>
        <w:t xml:space="preserve"> y las Asociaciones Público Privadas para el Desarrollo Social, Económico, Productivo y Sostenible del País</w:t>
      </w:r>
      <w:r w:rsidRPr="00AC66B3">
        <w:rPr>
          <w:rStyle w:val="Refdenotaalpie"/>
          <w:rFonts w:ascii="Times New Roman" w:hAnsi="Times New Roman" w:cs="Times New Roman"/>
          <w:sz w:val="28"/>
          <w:szCs w:val="28"/>
        </w:rPr>
        <w:footnoteReference w:id="154"/>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De conformidad con lo dispuesto en el</w:t>
      </w:r>
      <w:r w:rsidRPr="00AC66B3">
        <w:rPr>
          <w:rFonts w:ascii="Times New Roman" w:hAnsi="Times New Roman" w:cs="Times New Roman"/>
          <w:sz w:val="28"/>
          <w:szCs w:val="28"/>
        </w:rPr>
        <w:t xml:space="preserve"> artículo 100 de la Ley 2294 de 2023, las Asociaciones Público Populares son contratos estatales celebrados entre entidades públicas y «</w:t>
      </w:r>
      <w:r w:rsidRPr="00AC66B3">
        <w:rPr>
          <w:rFonts w:ascii="Times New Roman" w:hAnsi="Times New Roman" w:cs="Times New Roman"/>
          <w:b/>
          <w:bCs/>
          <w:sz w:val="28"/>
          <w:szCs w:val="28"/>
        </w:rPr>
        <w:t>personas naturales o entidades sin ánimo de lucro que formen parte de la economía popular y comunitaria</w:t>
      </w:r>
      <w:r w:rsidRPr="00AC66B3">
        <w:rPr>
          <w:rFonts w:ascii="Times New Roman" w:hAnsi="Times New Roman" w:cs="Times New Roman"/>
          <w:sz w:val="28"/>
          <w:szCs w:val="28"/>
        </w:rPr>
        <w:t>»</w:t>
      </w:r>
      <w:r w:rsidRPr="00AC66B3">
        <w:rPr>
          <w:rStyle w:val="Refdenotaalpie"/>
          <w:rFonts w:ascii="Times New Roman" w:hAnsi="Times New Roman" w:cs="Times New Roman"/>
          <w:sz w:val="28"/>
          <w:szCs w:val="28"/>
        </w:rPr>
        <w:footnoteReference w:id="155"/>
      </w:r>
      <w:r w:rsidRPr="00AC66B3">
        <w:rPr>
          <w:rFonts w:ascii="Times New Roman" w:hAnsi="Times New Roman" w:cs="Times New Roman"/>
          <w:sz w:val="28"/>
          <w:szCs w:val="28"/>
        </w:rPr>
        <w:t xml:space="preserve"> [negrilla fuer</w:t>
      </w:r>
      <w:r w:rsidRPr="00AC66B3">
        <w:rPr>
          <w:rFonts w:ascii="Times New Roman" w:hAnsi="Times New Roman" w:cs="Times New Roman"/>
          <w:sz w:val="28"/>
          <w:szCs w:val="28"/>
        </w:rPr>
        <w:t>a del texto original]. Estos contratos se realizan mediante la modalidad de contratación directa «hasta por la mínima cuantía»</w:t>
      </w:r>
      <w:r w:rsidRPr="00AC66B3">
        <w:rPr>
          <w:rStyle w:val="Refdenotaalpie"/>
          <w:rFonts w:ascii="Times New Roman" w:hAnsi="Times New Roman" w:cs="Times New Roman"/>
          <w:sz w:val="28"/>
          <w:szCs w:val="28"/>
        </w:rPr>
        <w:footnoteReference w:id="156"/>
      </w:r>
      <w:r w:rsidRPr="00AC66B3">
        <w:rPr>
          <w:rFonts w:ascii="Times New Roman" w:hAnsi="Times New Roman" w:cs="Times New Roman"/>
          <w:sz w:val="28"/>
          <w:szCs w:val="28"/>
        </w:rPr>
        <w:t>. Al respecto, y antes de avanzar en la explicación de esta nueva modalidad contractual, resulta de la mayor importancia destacar</w:t>
      </w:r>
      <w:r w:rsidRPr="00AC66B3">
        <w:rPr>
          <w:rFonts w:ascii="Times New Roman" w:hAnsi="Times New Roman" w:cs="Times New Roman"/>
          <w:sz w:val="28"/>
          <w:szCs w:val="28"/>
        </w:rPr>
        <w:t xml:space="preserve"> que el límite de la cuantía de esta modalidad contractual fue introducido por el Legislador al proyecto de ley radicado por el Gobierno nacional en el Congreso de la República, al considerar que dicha limitación constituía una «decisión responsable»</w:t>
      </w:r>
      <w:r w:rsidRPr="00AC66B3">
        <w:rPr>
          <w:rStyle w:val="Refdenotaalpie"/>
          <w:rFonts w:ascii="Times New Roman" w:hAnsi="Times New Roman" w:cs="Times New Roman"/>
          <w:sz w:val="28"/>
          <w:szCs w:val="28"/>
        </w:rPr>
        <w:footnoteReference w:id="157"/>
      </w:r>
      <w:r w:rsidRPr="00AC66B3">
        <w:rPr>
          <w:rFonts w:ascii="Times New Roman" w:hAnsi="Times New Roman" w:cs="Times New Roman"/>
          <w:sz w:val="28"/>
          <w:szCs w:val="28"/>
        </w:rPr>
        <w:t>. Tal</w:t>
      </w:r>
      <w:r w:rsidRPr="00AC66B3">
        <w:rPr>
          <w:rFonts w:ascii="Times New Roman" w:hAnsi="Times New Roman" w:cs="Times New Roman"/>
          <w:sz w:val="28"/>
          <w:szCs w:val="28"/>
        </w:rPr>
        <w:t xml:space="preserve"> decisión estuvo precedida de una intensa discusión sobre la conveniencia de crear una nueva causal de contratación directa</w:t>
      </w:r>
      <w:r w:rsidRPr="00AC66B3">
        <w:rPr>
          <w:rStyle w:val="Refdenotaalpie"/>
          <w:rFonts w:ascii="Times New Roman" w:hAnsi="Times New Roman" w:cs="Times New Roman"/>
          <w:sz w:val="28"/>
          <w:szCs w:val="28"/>
        </w:rPr>
        <w:footnoteReference w:id="158"/>
      </w:r>
      <w:r w:rsidRPr="00AC66B3">
        <w:rPr>
          <w:rFonts w:ascii="Times New Roman" w:hAnsi="Times New Roman" w:cs="Times New Roman"/>
          <w:sz w:val="28"/>
          <w:szCs w:val="28"/>
        </w:rPr>
        <w:t xml:space="preserv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objeto de las Asociaciones Público Populares podrá ser «</w:t>
      </w:r>
      <w:r w:rsidRPr="00AC66B3">
        <w:rPr>
          <w:rFonts w:ascii="Times New Roman" w:hAnsi="Times New Roman" w:cs="Times New Roman"/>
          <w:b/>
          <w:bCs/>
          <w:sz w:val="28"/>
          <w:szCs w:val="28"/>
        </w:rPr>
        <w:t>la ejecución de obras</w:t>
      </w:r>
      <w:r w:rsidRPr="00AC66B3">
        <w:rPr>
          <w:rFonts w:ascii="Times New Roman" w:hAnsi="Times New Roman" w:cs="Times New Roman"/>
          <w:sz w:val="28"/>
          <w:szCs w:val="28"/>
        </w:rPr>
        <w:t>, o la adquisición de bienes y servicios relacio</w:t>
      </w:r>
      <w:r w:rsidRPr="00AC66B3">
        <w:rPr>
          <w:rFonts w:ascii="Times New Roman" w:hAnsi="Times New Roman" w:cs="Times New Roman"/>
          <w:sz w:val="28"/>
          <w:szCs w:val="28"/>
        </w:rPr>
        <w:t xml:space="preserve">nados con infraestructura social, vivienda rural, </w:t>
      </w:r>
      <w:r w:rsidRPr="00AC66B3">
        <w:rPr>
          <w:rFonts w:ascii="Times New Roman" w:hAnsi="Times New Roman" w:cs="Times New Roman"/>
          <w:b/>
          <w:bCs/>
          <w:sz w:val="28"/>
          <w:szCs w:val="28"/>
        </w:rPr>
        <w:t>vías terciarias y caminos vecinales</w:t>
      </w:r>
      <w:r w:rsidRPr="00AC66B3">
        <w:rPr>
          <w:rFonts w:ascii="Times New Roman" w:hAnsi="Times New Roman" w:cs="Times New Roman"/>
          <w:sz w:val="28"/>
          <w:szCs w:val="28"/>
        </w:rPr>
        <w:t>, […]»</w:t>
      </w:r>
      <w:r w:rsidRPr="00AC66B3">
        <w:rPr>
          <w:rStyle w:val="Refdenotaalpie"/>
          <w:rFonts w:ascii="Times New Roman" w:hAnsi="Times New Roman" w:cs="Times New Roman"/>
          <w:sz w:val="28"/>
          <w:szCs w:val="28"/>
        </w:rPr>
        <w:footnoteReference w:id="159"/>
      </w:r>
      <w:r w:rsidRPr="00AC66B3">
        <w:rPr>
          <w:rFonts w:ascii="Times New Roman" w:hAnsi="Times New Roman" w:cs="Times New Roman"/>
          <w:sz w:val="28"/>
          <w:szCs w:val="28"/>
        </w:rPr>
        <w:t xml:space="preserve"> [negrilla fuera del texto original]. Al tenor del citado artículo, el Gobierno nacional, a través del Departamento Nacional de Planeación, tiene la tarea de reglam</w:t>
      </w:r>
      <w:r w:rsidRPr="00AC66B3">
        <w:rPr>
          <w:rFonts w:ascii="Times New Roman" w:hAnsi="Times New Roman" w:cs="Times New Roman"/>
          <w:sz w:val="28"/>
          <w:szCs w:val="28"/>
        </w:rPr>
        <w:t>entar esta modalidad contractual.</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Las Asociaciones de Iniciativa Público Popular también constituyen una modalidad contractual. Este contrato estatal, regulado en el artículo 101 de la Ley 2294 de 2023, podrá ser suscrito entre «entidades públicas y los d</w:t>
      </w:r>
      <w:r w:rsidRPr="00AC66B3">
        <w:rPr>
          <w:rFonts w:ascii="Times New Roman" w:hAnsi="Times New Roman" w:cs="Times New Roman"/>
          <w:sz w:val="28"/>
          <w:szCs w:val="28"/>
        </w:rPr>
        <w:t xml:space="preserve">iferentes instrumentos asociativos de origen comunitario tales como las </w:t>
      </w:r>
      <w:r w:rsidRPr="00AC66B3">
        <w:rPr>
          <w:rFonts w:ascii="Times New Roman" w:hAnsi="Times New Roman" w:cs="Times New Roman"/>
          <w:b/>
          <w:bCs/>
          <w:sz w:val="28"/>
          <w:szCs w:val="28"/>
        </w:rPr>
        <w:t>unidades de la economía popular</w:t>
      </w:r>
      <w:r w:rsidRPr="00AC66B3">
        <w:rPr>
          <w:rFonts w:ascii="Times New Roman" w:hAnsi="Times New Roman" w:cs="Times New Roman"/>
          <w:sz w:val="28"/>
          <w:szCs w:val="28"/>
          <w:vertAlign w:val="superscript"/>
        </w:rPr>
        <w:t>[</w:t>
      </w:r>
      <w:r w:rsidRPr="00AC66B3">
        <w:rPr>
          <w:rStyle w:val="Refdenotaalpie"/>
          <w:rFonts w:ascii="Times New Roman" w:hAnsi="Times New Roman" w:cs="Times New Roman"/>
          <w:sz w:val="28"/>
          <w:szCs w:val="28"/>
        </w:rPr>
        <w:footnoteReference w:id="160"/>
      </w:r>
      <w:r w:rsidRPr="00AC66B3">
        <w:rPr>
          <w:rFonts w:ascii="Times New Roman" w:hAnsi="Times New Roman" w:cs="Times New Roman"/>
          <w:sz w:val="28"/>
          <w:szCs w:val="28"/>
          <w:vertAlign w:val="superscript"/>
        </w:rPr>
        <w:t>]</w:t>
      </w:r>
      <w:r w:rsidRPr="00AC66B3">
        <w:rPr>
          <w:rFonts w:ascii="Times New Roman" w:hAnsi="Times New Roman" w:cs="Times New Roman"/>
          <w:sz w:val="28"/>
          <w:szCs w:val="28"/>
        </w:rPr>
        <w:t xml:space="preserve">, </w:t>
      </w:r>
      <w:r w:rsidRPr="00AC66B3">
        <w:rPr>
          <w:rFonts w:ascii="Times New Roman" w:hAnsi="Times New Roman" w:cs="Times New Roman"/>
          <w:b/>
          <w:bCs/>
          <w:sz w:val="28"/>
          <w:szCs w:val="28"/>
        </w:rPr>
        <w:t>organismos de acción comunal, social o comunitaria u otras formas de organización social</w:t>
      </w:r>
      <w:r w:rsidRPr="00AC66B3">
        <w:rPr>
          <w:rFonts w:ascii="Times New Roman" w:hAnsi="Times New Roman" w:cs="Times New Roman"/>
          <w:sz w:val="28"/>
          <w:szCs w:val="28"/>
        </w:rPr>
        <w:t>, grupos y/o comunidades étnicas, negras, afrocolombianas, r</w:t>
      </w:r>
      <w:r w:rsidRPr="00AC66B3">
        <w:rPr>
          <w:rFonts w:ascii="Times New Roman" w:hAnsi="Times New Roman" w:cs="Times New Roman"/>
          <w:sz w:val="28"/>
          <w:szCs w:val="28"/>
        </w:rPr>
        <w:t xml:space="preserve">aizales y palenqueras, </w:t>
      </w:r>
      <w:r w:rsidRPr="00AC66B3">
        <w:rPr>
          <w:rFonts w:ascii="Times New Roman" w:hAnsi="Times New Roman" w:cs="Times New Roman"/>
          <w:b/>
          <w:bCs/>
          <w:sz w:val="28"/>
          <w:szCs w:val="28"/>
        </w:rPr>
        <w:t>mujeres y víctimas</w:t>
      </w:r>
      <w:r w:rsidRPr="00AC66B3">
        <w:rPr>
          <w:rFonts w:ascii="Times New Roman" w:hAnsi="Times New Roman" w:cs="Times New Roman"/>
          <w:sz w:val="28"/>
          <w:szCs w:val="28"/>
        </w:rPr>
        <w:t xml:space="preserve">, para el </w:t>
      </w:r>
      <w:r w:rsidRPr="00AC66B3">
        <w:rPr>
          <w:rFonts w:ascii="Times New Roman" w:hAnsi="Times New Roman" w:cs="Times New Roman"/>
          <w:b/>
          <w:bCs/>
          <w:sz w:val="28"/>
          <w:szCs w:val="28"/>
        </w:rPr>
        <w:t>desarrollo de proyectos de infraestructura vial</w:t>
      </w:r>
      <w:r w:rsidRPr="00AC66B3">
        <w:rPr>
          <w:rFonts w:ascii="Times New Roman" w:hAnsi="Times New Roman" w:cs="Times New Roman"/>
          <w:sz w:val="28"/>
          <w:szCs w:val="28"/>
        </w:rPr>
        <w:t>, […]»</w:t>
      </w:r>
      <w:r w:rsidRPr="00AC66B3">
        <w:rPr>
          <w:rStyle w:val="Refdenotaalpie"/>
          <w:rFonts w:ascii="Times New Roman" w:hAnsi="Times New Roman" w:cs="Times New Roman"/>
          <w:sz w:val="28"/>
          <w:szCs w:val="28"/>
        </w:rPr>
        <w:footnoteReference w:id="161"/>
      </w:r>
      <w:r w:rsidRPr="00AC66B3">
        <w:rPr>
          <w:rFonts w:ascii="Times New Roman" w:hAnsi="Times New Roman" w:cs="Times New Roman"/>
          <w:sz w:val="28"/>
          <w:szCs w:val="28"/>
        </w:rPr>
        <w:t xml:space="preserve"> [negrilla fuera del texto original].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En las Asociaciones de Iniciativa Público Popular, el valor de las inversiones no podrá ser superior a seis mil</w:t>
      </w:r>
      <w:r w:rsidRPr="00AC66B3">
        <w:rPr>
          <w:rFonts w:ascii="Times New Roman" w:hAnsi="Times New Roman" w:cs="Times New Roman"/>
          <w:sz w:val="28"/>
          <w:szCs w:val="28"/>
        </w:rPr>
        <w:t xml:space="preserve"> salarios mínimos legales mensuales vigentes (6.000 smlmv). Además, el aporte que realice la entidad pública no podrá ser superior al 50% del valor de la inversión. «La selección del adjudicatario del contrato se realizará mediante la modalidad de </w:t>
      </w:r>
      <w:r w:rsidRPr="00AC66B3">
        <w:rPr>
          <w:rFonts w:ascii="Times New Roman" w:hAnsi="Times New Roman" w:cs="Times New Roman"/>
          <w:b/>
          <w:bCs/>
          <w:sz w:val="28"/>
          <w:szCs w:val="28"/>
        </w:rPr>
        <w:t>selección abreviada</w:t>
      </w:r>
      <w:r w:rsidRPr="00AC66B3">
        <w:rPr>
          <w:rFonts w:ascii="Times New Roman" w:hAnsi="Times New Roman" w:cs="Times New Roman"/>
          <w:sz w:val="28"/>
          <w:szCs w:val="28"/>
        </w:rPr>
        <w:t xml:space="preserve"> de la que trata el artículo 2 de la Ley 1150 de 2007, respetando los principios de contratación estatal de los que trata la Ley 80 de 1993»</w:t>
      </w:r>
      <w:r w:rsidRPr="00AC66B3">
        <w:rPr>
          <w:rStyle w:val="Refdenotaalpie"/>
          <w:rFonts w:ascii="Times New Roman" w:hAnsi="Times New Roman" w:cs="Times New Roman"/>
          <w:sz w:val="28"/>
          <w:szCs w:val="28"/>
        </w:rPr>
        <w:footnoteReference w:id="162"/>
      </w:r>
      <w:r w:rsidRPr="00AC66B3">
        <w:rPr>
          <w:rFonts w:ascii="Times New Roman" w:hAnsi="Times New Roman" w:cs="Times New Roman"/>
          <w:sz w:val="28"/>
          <w:szCs w:val="28"/>
        </w:rPr>
        <w:t xml:space="preserve"> [negrilla fuera del texto original]. Para celebrar estos contratos, la persona natural o jurídi</w:t>
      </w:r>
      <w:r w:rsidRPr="00AC66B3">
        <w:rPr>
          <w:rFonts w:ascii="Times New Roman" w:hAnsi="Times New Roman" w:cs="Times New Roman"/>
          <w:sz w:val="28"/>
          <w:szCs w:val="28"/>
        </w:rPr>
        <w:t>ca «deberá cumplir con la capacidad, experiencia e idoneidad de la que trata la normatividad vigente y acreditar los requisitos para la celebración previstos en la norma vigente»</w:t>
      </w:r>
      <w:r w:rsidRPr="00AC66B3">
        <w:rPr>
          <w:rStyle w:val="Refdenotaalpie"/>
          <w:rFonts w:ascii="Times New Roman" w:hAnsi="Times New Roman" w:cs="Times New Roman"/>
          <w:sz w:val="28"/>
          <w:szCs w:val="28"/>
        </w:rPr>
        <w:footnoteReference w:id="163"/>
      </w:r>
      <w:r w:rsidRPr="00AC66B3">
        <w:rPr>
          <w:rFonts w:ascii="Times New Roman" w:hAnsi="Times New Roman" w:cs="Times New Roman"/>
          <w:sz w:val="28"/>
          <w:szCs w:val="28"/>
        </w:rPr>
        <w:t>. La reglamentación de esta modalidad contractual está a cargo del Departamen</w:t>
      </w:r>
      <w:r w:rsidRPr="00AC66B3">
        <w:rPr>
          <w:rFonts w:ascii="Times New Roman" w:hAnsi="Times New Roman" w:cs="Times New Roman"/>
          <w:sz w:val="28"/>
          <w:szCs w:val="28"/>
        </w:rPr>
        <w:t>to Nacional de Planeación, el Ministerio de Hacienda y Crédito Público y la Agencia Nacional de Contratación Pública Colombia Compra Eficiente.</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Las Asociaciones Público Privadas para el Desarrollo Social, Económico, Productivo y Sostenible del País permit</w:t>
      </w:r>
      <w:r w:rsidRPr="00AC66B3">
        <w:rPr>
          <w:rFonts w:ascii="Times New Roman" w:hAnsi="Times New Roman" w:cs="Times New Roman"/>
          <w:sz w:val="28"/>
          <w:szCs w:val="28"/>
        </w:rPr>
        <w:t>en el desarrollo de proyectos bajo esquemas de Asociaciones Público Privadas (APP), enmarcados dentro de la Ley 1508 de 2012. Esta ley «es aplicable a todos aquellos contratos en los cuales las entidades estatales encarguen a un inversionista privado el di</w:t>
      </w:r>
      <w:r w:rsidRPr="00AC66B3">
        <w:rPr>
          <w:rFonts w:ascii="Times New Roman" w:hAnsi="Times New Roman" w:cs="Times New Roman"/>
          <w:sz w:val="28"/>
          <w:szCs w:val="28"/>
        </w:rPr>
        <w:t>seño y construcción de una infraestructura y sus servicios asociados, o su construcción, reparación, mejoramiento o equipamiento, actividades todas estas que deberán involucrar la operación y mantenimiento de dicha infraestructura</w:t>
      </w:r>
      <w:bookmarkStart w:id="22" w:name="_Hlk167430792"/>
      <w:r w:rsidRPr="00AC66B3">
        <w:rPr>
          <w:rFonts w:ascii="Times New Roman" w:hAnsi="Times New Roman" w:cs="Times New Roman"/>
          <w:sz w:val="28"/>
          <w:szCs w:val="28"/>
        </w:rPr>
        <w:t>»</w:t>
      </w:r>
      <w:bookmarkEnd w:id="22"/>
      <w:r w:rsidRPr="00AC66B3">
        <w:rPr>
          <w:rStyle w:val="Refdenotaalpie"/>
          <w:rFonts w:ascii="Times New Roman" w:hAnsi="Times New Roman" w:cs="Times New Roman"/>
          <w:sz w:val="28"/>
          <w:szCs w:val="28"/>
        </w:rPr>
        <w:footnoteReference w:id="164"/>
      </w:r>
      <w:r w:rsidRPr="00AC66B3">
        <w:rPr>
          <w:rFonts w:ascii="Times New Roman" w:hAnsi="Times New Roman" w:cs="Times New Roman"/>
          <w:sz w:val="28"/>
          <w:szCs w:val="28"/>
        </w:rPr>
        <w:t>. Las APP de que trata l</w:t>
      </w:r>
      <w:r w:rsidRPr="00AC66B3">
        <w:rPr>
          <w:rFonts w:ascii="Times New Roman" w:hAnsi="Times New Roman" w:cs="Times New Roman"/>
          <w:sz w:val="28"/>
          <w:szCs w:val="28"/>
        </w:rPr>
        <w:t>a Ley del PND podrán, además, «propend[er] por el desarrollo tecnológico y educativo en el país, la mejora en las condiciones de la prestación de los servicios de salud, la reducción de la pérdida de la biodiversidad y la lucha contra el cambio climático»</w:t>
      </w:r>
      <w:r w:rsidRPr="00AC66B3">
        <w:rPr>
          <w:rStyle w:val="Refdenotaalpie"/>
          <w:rFonts w:ascii="Times New Roman" w:hAnsi="Times New Roman" w:cs="Times New Roman"/>
          <w:sz w:val="28"/>
          <w:szCs w:val="28"/>
        </w:rPr>
        <w:footnoteReference w:id="165"/>
      </w:r>
      <w:r w:rsidRPr="00AC66B3">
        <w:rPr>
          <w:rFonts w:ascii="Times New Roman" w:hAnsi="Times New Roman" w:cs="Times New Roman"/>
          <w:sz w:val="28"/>
          <w:szCs w:val="28"/>
        </w:rPr>
        <w:t>. Este tipo de contratos será reglamentado por el Gobierno nacional.</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 anterior pone de presente que el propósito de facilitar la contratación estatal con comunidades y organizaciones sociales, con el fin de impulsarlas, empoderarlas e involucrarlas en l</w:t>
      </w:r>
      <w:r w:rsidRPr="00AC66B3">
        <w:rPr>
          <w:rFonts w:ascii="Times New Roman" w:hAnsi="Times New Roman" w:cs="Times New Roman"/>
          <w:sz w:val="28"/>
          <w:szCs w:val="28"/>
        </w:rPr>
        <w:t xml:space="preserve">a solución de sus problemas en materia de infraestructura vial, fue materializado directamente por el Legislador en la Ley 2294 de 2023. Fue el propio Legislador quien definió tres esquemas de contratación con las organizaciones sociales para la ejecución </w:t>
      </w:r>
      <w:r w:rsidRPr="00AC66B3">
        <w:rPr>
          <w:rFonts w:ascii="Times New Roman" w:hAnsi="Times New Roman" w:cs="Times New Roman"/>
          <w:sz w:val="28"/>
          <w:szCs w:val="28"/>
        </w:rPr>
        <w:t xml:space="preserve">de obras, la adquisición de bienes y servicios relacionados con vías terciarias y caminos vecinales, y el desarrollo de proyectos de infraestructura vial.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Las normas acusadas, expedidas por el presidente de la República, tienen importantes diferencias co</w:t>
      </w:r>
      <w:r w:rsidRPr="00AC66B3">
        <w:rPr>
          <w:rFonts w:ascii="Times New Roman" w:hAnsi="Times New Roman" w:cs="Times New Roman"/>
          <w:sz w:val="28"/>
          <w:szCs w:val="28"/>
        </w:rPr>
        <w:t>n las normas aprobadas por el Congreso de la República mediante la Ley 2294 de 2023. De manera general, y sin que esto pueda ser interpretado como un prejuzgamiento de la validez de las disposiciones de la Ley 2294 de 2023, la Sala observa que el Legislado</w:t>
      </w:r>
      <w:r w:rsidRPr="00AC66B3">
        <w:rPr>
          <w:rFonts w:ascii="Times New Roman" w:hAnsi="Times New Roman" w:cs="Times New Roman"/>
          <w:sz w:val="28"/>
          <w:szCs w:val="28"/>
        </w:rPr>
        <w:t>r impuso límites más estrictos que aquellos desarrollados por el presidente de la República en el Decreto ley 1961 de 2023 a la contratación estatal con comunidades y organizaciones sociales. Como es lógico, tales restricciones no son un parámetro para juz</w:t>
      </w:r>
      <w:r w:rsidRPr="00AC66B3">
        <w:rPr>
          <w:rFonts w:ascii="Times New Roman" w:hAnsi="Times New Roman" w:cs="Times New Roman"/>
          <w:sz w:val="28"/>
          <w:szCs w:val="28"/>
        </w:rPr>
        <w:t>gar la constitucionalidad de las normas demandadas. No obstante, esas restricciones sí permiten hacer una interpretación sistemática de la norma habilitante, a la luz del contexto normativo en el que esta se inscribe. Esto, a su vez, permite identificar la</w:t>
      </w:r>
      <w:r w:rsidRPr="00AC66B3">
        <w:rPr>
          <w:rFonts w:ascii="Times New Roman" w:hAnsi="Times New Roman" w:cs="Times New Roman"/>
          <w:sz w:val="28"/>
          <w:szCs w:val="28"/>
        </w:rPr>
        <w:t xml:space="preserve"> intención del Legislador de crear modalidades contractuales para facilitar esa contratación, pero con sujeción a límites como la cuantía y la aplicación de las normas vigentes en materia de contratación estatal.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 xml:space="preserve">En efecto, las normas acusadas habilitan </w:t>
      </w:r>
      <w:r w:rsidRPr="00AC66B3">
        <w:rPr>
          <w:rFonts w:ascii="Times New Roman" w:hAnsi="Times New Roman" w:cs="Times New Roman"/>
          <w:sz w:val="28"/>
          <w:szCs w:val="28"/>
        </w:rPr>
        <w:t>la contratación directa, sin límite de cuantía, y determinan que los términos y condiciones de esa contratación serán las que determine el Manual de Contratación que dicte el Consejo Directivo del Invir. Por el contrario, en la Ley 2294 de 2023, el Congres</w:t>
      </w:r>
      <w:r w:rsidRPr="00AC66B3">
        <w:rPr>
          <w:rFonts w:ascii="Times New Roman" w:hAnsi="Times New Roman" w:cs="Times New Roman"/>
          <w:sz w:val="28"/>
          <w:szCs w:val="28"/>
        </w:rPr>
        <w:t>o estableció que las Asociaciones Público Populares podrán suscribirse bajo la modalidad de contratación directa, pero hasta la mínima cuantía, y que el Gobierno nacional, a través del Departamento Nacional de Planeación, tiene a su cargo la tarea de regla</w:t>
      </w:r>
      <w:r w:rsidRPr="00AC66B3">
        <w:rPr>
          <w:rFonts w:ascii="Times New Roman" w:hAnsi="Times New Roman" w:cs="Times New Roman"/>
          <w:sz w:val="28"/>
          <w:szCs w:val="28"/>
        </w:rPr>
        <w:t xml:space="preserve">mentar esta modalidad contractual.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Lo mismo ocurre con las Asociaciones de Iniciativa Público Popular. En este caso, la modalidad de escogencia del contratista es la selección abreviada y el límite de cuantía es de seis mil salarios mínimos legales mensuales vigentes. La reglamentación está</w:t>
      </w:r>
      <w:r w:rsidRPr="00AC66B3">
        <w:rPr>
          <w:rFonts w:ascii="Times New Roman" w:hAnsi="Times New Roman" w:cs="Times New Roman"/>
          <w:sz w:val="28"/>
          <w:szCs w:val="28"/>
        </w:rPr>
        <w:t xml:space="preserve"> a cargo de Departamento Nacional de Planeación, el Ministerio de Hacienda y Crédito Público y la Agencia Nacional de Contratación Pública Colombia Compra Eficiente. Las Asociaciones Público Privadas para el Desarrollo Social, Económico, Productivo y Soste</w:t>
      </w:r>
      <w:r w:rsidRPr="00AC66B3">
        <w:rPr>
          <w:rFonts w:ascii="Times New Roman" w:hAnsi="Times New Roman" w:cs="Times New Roman"/>
          <w:sz w:val="28"/>
          <w:szCs w:val="28"/>
        </w:rPr>
        <w:t>nible del País se encuentran sometidas a la Ley 1508 de 2012. Finalmente, en contraste con las normas acusadas, en el caso de las A</w:t>
      </w:r>
      <w:r w:rsidRPr="00AC66B3">
        <w:rPr>
          <w:rFonts w:ascii="Times New Roman" w:hAnsi="Times New Roman" w:cs="Times New Roman"/>
          <w:bCs/>
          <w:sz w:val="28"/>
          <w:szCs w:val="28"/>
        </w:rPr>
        <w:t>sociaciones Público Populares y las Asociaciones de Iniciativa Público Popular, (i) la contratación se predica de cualquier e</w:t>
      </w:r>
      <w:r w:rsidRPr="00AC66B3">
        <w:rPr>
          <w:rFonts w:ascii="Times New Roman" w:hAnsi="Times New Roman" w:cs="Times New Roman"/>
          <w:bCs/>
          <w:sz w:val="28"/>
          <w:szCs w:val="28"/>
        </w:rPr>
        <w:t xml:space="preserve">ntidad del Estado y (ii) los objetos contractuales pueden ser diversos.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siguiente cuadro ilustra algunas de las diferencias anotadas y los límites impuestos por el Legislador en la Ley 2294 de 2023 para las nuevas modalidades contractuales, en particu</w:t>
      </w:r>
      <w:r w:rsidRPr="00AC66B3">
        <w:rPr>
          <w:rFonts w:ascii="Times New Roman" w:hAnsi="Times New Roman" w:cs="Times New Roman"/>
          <w:sz w:val="28"/>
          <w:szCs w:val="28"/>
        </w:rPr>
        <w:t>lar, para las Asociaciones Público Populares y las Asociaciones de Iniciativa Público Popular:</w:t>
      </w:r>
    </w:p>
    <w:p w:rsidR="000A045E" w:rsidRPr="00AC66B3" w:rsidRDefault="00AC66B3" w:rsidP="000A045E">
      <w:pPr>
        <w:tabs>
          <w:tab w:val="left" w:pos="142"/>
          <w:tab w:val="left" w:pos="284"/>
        </w:tabs>
        <w:jc w:val="both"/>
        <w:rPr>
          <w:rFonts w:ascii="Times New Roman" w:hAnsi="Times New Roman" w:cs="Times New Roman"/>
          <w:sz w:val="28"/>
          <w:szCs w:val="28"/>
        </w:rPr>
      </w:pPr>
    </w:p>
    <w:tbl>
      <w:tblPr>
        <w:tblStyle w:val="Tablaconcuadrcula"/>
        <w:tblW w:w="10796" w:type="dxa"/>
        <w:jc w:val="center"/>
        <w:tblLook w:val="04A0" w:firstRow="1" w:lastRow="0" w:firstColumn="1" w:lastColumn="0" w:noHBand="0" w:noVBand="1"/>
      </w:tblPr>
      <w:tblGrid>
        <w:gridCol w:w="1389"/>
        <w:gridCol w:w="1496"/>
        <w:gridCol w:w="1456"/>
        <w:gridCol w:w="1616"/>
        <w:gridCol w:w="1216"/>
        <w:gridCol w:w="1876"/>
        <w:gridCol w:w="1870"/>
      </w:tblGrid>
      <w:tr w:rsidR="000A045E" w:rsidRPr="00AC66B3" w:rsidTr="00725B9A">
        <w:trPr>
          <w:jc w:val="center"/>
        </w:trPr>
        <w:tc>
          <w:tcPr>
            <w:tcW w:w="1292"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Norma</w:t>
            </w:r>
          </w:p>
        </w:tc>
        <w:tc>
          <w:tcPr>
            <w:tcW w:w="1473"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Tipo de contrato o vínculo contractual</w:t>
            </w:r>
          </w:p>
        </w:tc>
        <w:tc>
          <w:tcPr>
            <w:tcW w:w="1434"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Modalidad de selección del contratista</w:t>
            </w:r>
          </w:p>
        </w:tc>
        <w:tc>
          <w:tcPr>
            <w:tcW w:w="159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Objeto contractual</w:t>
            </w:r>
          </w:p>
        </w:tc>
        <w:tc>
          <w:tcPr>
            <w:tcW w:w="1198"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Límite de la cuantía</w:t>
            </w:r>
          </w:p>
        </w:tc>
        <w:tc>
          <w:tcPr>
            <w:tcW w:w="1967"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Partes</w:t>
            </w:r>
          </w:p>
        </w:tc>
        <w:tc>
          <w:tcPr>
            <w:tcW w:w="184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b/>
                <w:bCs/>
                <w:sz w:val="28"/>
              </w:rPr>
            </w:pPr>
            <w:r w:rsidRPr="00AC66B3">
              <w:rPr>
                <w:rFonts w:ascii="Times New Roman" w:hAnsi="Times New Roman" w:cs="Times New Roman"/>
                <w:b/>
                <w:bCs/>
                <w:sz w:val="28"/>
              </w:rPr>
              <w:t>Reglamentación</w:t>
            </w:r>
          </w:p>
        </w:tc>
      </w:tr>
      <w:tr w:rsidR="000A045E" w:rsidRPr="00AC66B3" w:rsidTr="00725B9A">
        <w:trPr>
          <w:jc w:val="center"/>
        </w:trPr>
        <w:tc>
          <w:tcPr>
            <w:tcW w:w="1292"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 xml:space="preserve">Parágrafo 1 </w:t>
            </w:r>
            <w:r w:rsidRPr="00AC66B3">
              <w:rPr>
                <w:rFonts w:ascii="Times New Roman" w:hAnsi="Times New Roman" w:cs="Times New Roman"/>
                <w:sz w:val="28"/>
              </w:rPr>
              <w:t>del artículo 35 del Decreto Ley 1961 de 2023</w:t>
            </w:r>
          </w:p>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(Norma demandada)</w:t>
            </w:r>
          </w:p>
        </w:tc>
        <w:tc>
          <w:tcPr>
            <w:tcW w:w="1473"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Contrato de obra</w:t>
            </w:r>
          </w:p>
        </w:tc>
        <w:tc>
          <w:tcPr>
            <w:tcW w:w="1434"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Contratación directa</w:t>
            </w:r>
          </w:p>
        </w:tc>
        <w:tc>
          <w:tcPr>
            <w:tcW w:w="159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«[D]esarrollo de proyectos, e infraestructura vial»</w:t>
            </w:r>
          </w:p>
        </w:tc>
        <w:tc>
          <w:tcPr>
            <w:tcW w:w="1198"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Sin límite de cuantía</w:t>
            </w:r>
          </w:p>
        </w:tc>
        <w:tc>
          <w:tcPr>
            <w:tcW w:w="1967" w:type="dxa"/>
            <w:vAlign w:val="center"/>
          </w:tcPr>
          <w:p w:rsidR="000A045E" w:rsidRPr="00AC66B3" w:rsidRDefault="00AC66B3" w:rsidP="00725B9A">
            <w:pPr>
              <w:pStyle w:val="Prrafodelista"/>
              <w:tabs>
                <w:tab w:val="left" w:pos="142"/>
                <w:tab w:val="left" w:pos="284"/>
              </w:tabs>
              <w:ind w:left="41"/>
              <w:jc w:val="both"/>
              <w:rPr>
                <w:rFonts w:ascii="Times New Roman" w:hAnsi="Times New Roman" w:cs="Times New Roman"/>
                <w:color w:val="000000"/>
                <w:sz w:val="28"/>
              </w:rPr>
            </w:pPr>
            <w:r w:rsidRPr="00AC66B3">
              <w:rPr>
                <w:rFonts w:ascii="Times New Roman" w:hAnsi="Times New Roman" w:cs="Times New Roman"/>
                <w:b/>
                <w:bCs/>
                <w:color w:val="000000"/>
                <w:sz w:val="28"/>
              </w:rPr>
              <w:t xml:space="preserve">Contratante: </w:t>
            </w:r>
            <w:r w:rsidRPr="00AC66B3">
              <w:rPr>
                <w:rFonts w:ascii="Times New Roman" w:hAnsi="Times New Roman" w:cs="Times New Roman"/>
                <w:color w:val="000000"/>
                <w:sz w:val="28"/>
              </w:rPr>
              <w:t xml:space="preserve">Instituto Nacional de Vías Regionales </w:t>
            </w:r>
          </w:p>
          <w:p w:rsidR="000A045E" w:rsidRPr="00AC66B3" w:rsidRDefault="00AC66B3" w:rsidP="00725B9A">
            <w:pPr>
              <w:pStyle w:val="Prrafodelista"/>
              <w:tabs>
                <w:tab w:val="left" w:pos="142"/>
                <w:tab w:val="left" w:pos="284"/>
              </w:tabs>
              <w:ind w:left="41"/>
              <w:jc w:val="both"/>
              <w:rPr>
                <w:rFonts w:ascii="Times New Roman" w:hAnsi="Times New Roman" w:cs="Times New Roman"/>
                <w:b/>
                <w:bCs/>
                <w:color w:val="000000"/>
                <w:sz w:val="28"/>
              </w:rPr>
            </w:pPr>
          </w:p>
          <w:p w:rsidR="000A045E" w:rsidRPr="00AC66B3" w:rsidRDefault="00AC66B3" w:rsidP="00725B9A">
            <w:pPr>
              <w:pStyle w:val="Prrafodelista"/>
              <w:tabs>
                <w:tab w:val="left" w:pos="142"/>
                <w:tab w:val="left" w:pos="284"/>
              </w:tabs>
              <w:ind w:left="41"/>
              <w:jc w:val="both"/>
              <w:rPr>
                <w:rFonts w:ascii="Times New Roman" w:hAnsi="Times New Roman" w:cs="Times New Roman"/>
                <w:sz w:val="28"/>
              </w:rPr>
            </w:pPr>
            <w:r w:rsidRPr="00AC66B3">
              <w:rPr>
                <w:rFonts w:ascii="Times New Roman" w:hAnsi="Times New Roman" w:cs="Times New Roman"/>
                <w:b/>
                <w:bCs/>
                <w:color w:val="000000"/>
                <w:sz w:val="28"/>
              </w:rPr>
              <w:t xml:space="preserve">Contratistas: </w:t>
            </w:r>
            <w:r w:rsidRPr="00AC66B3">
              <w:rPr>
                <w:rFonts w:ascii="Times New Roman" w:hAnsi="Times New Roman" w:cs="Times New Roman"/>
                <w:color w:val="000000"/>
                <w:sz w:val="28"/>
              </w:rPr>
              <w:t>comunidades ru</w:t>
            </w:r>
            <w:r w:rsidRPr="00AC66B3">
              <w:rPr>
                <w:rFonts w:ascii="Times New Roman" w:hAnsi="Times New Roman" w:cs="Times New Roman"/>
                <w:color w:val="000000"/>
                <w:sz w:val="28"/>
              </w:rPr>
              <w:t>rales, cabildos, organizaciones populares, unidades de economía popular, organismos de acción comunal, social comunitaria u otras formas de organización social, grupos y/o comunidades étnicas,</w:t>
            </w:r>
            <w:r w:rsidRPr="00AC66B3">
              <w:rPr>
                <w:rFonts w:ascii="Times New Roman" w:hAnsi="Times New Roman" w:cs="Times New Roman"/>
                <w:color w:val="000000"/>
                <w:sz w:val="28"/>
              </w:rPr>
              <w:br/>
              <w:t>comunidades en todas sus diversidades, mujeres y víctimas</w:t>
            </w:r>
          </w:p>
        </w:tc>
        <w:tc>
          <w:tcPr>
            <w:tcW w:w="184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A tra</w:t>
            </w:r>
            <w:r w:rsidRPr="00AC66B3">
              <w:rPr>
                <w:rFonts w:ascii="Times New Roman" w:hAnsi="Times New Roman" w:cs="Times New Roman"/>
                <w:sz w:val="28"/>
              </w:rPr>
              <w:t xml:space="preserve">vés del manual de contratación que adopte el Consejo Directivo del Invir </w:t>
            </w:r>
          </w:p>
        </w:tc>
      </w:tr>
      <w:tr w:rsidR="000A045E" w:rsidRPr="00AC66B3" w:rsidTr="00725B9A">
        <w:trPr>
          <w:jc w:val="center"/>
        </w:trPr>
        <w:tc>
          <w:tcPr>
            <w:tcW w:w="1292"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Artículo 100 de la Ley 2294 de 2023</w:t>
            </w:r>
          </w:p>
        </w:tc>
        <w:tc>
          <w:tcPr>
            <w:tcW w:w="1473"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Asociaciones Público Populares</w:t>
            </w:r>
          </w:p>
        </w:tc>
        <w:tc>
          <w:tcPr>
            <w:tcW w:w="1434"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Contratación directa</w:t>
            </w:r>
          </w:p>
        </w:tc>
        <w:tc>
          <w:tcPr>
            <w:tcW w:w="159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Ejecución de obras, o la adquisición de bienes y servicios relacionados con vías terciarias y</w:t>
            </w:r>
            <w:r w:rsidRPr="00AC66B3">
              <w:rPr>
                <w:rFonts w:ascii="Times New Roman" w:hAnsi="Times New Roman" w:cs="Times New Roman"/>
                <w:sz w:val="28"/>
              </w:rPr>
              <w:t xml:space="preserve"> caminos vecinales</w:t>
            </w:r>
          </w:p>
        </w:tc>
        <w:tc>
          <w:tcPr>
            <w:tcW w:w="1198"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Mínima cuantía</w:t>
            </w:r>
          </w:p>
        </w:tc>
        <w:tc>
          <w:tcPr>
            <w:tcW w:w="1967" w:type="dxa"/>
            <w:vAlign w:val="center"/>
          </w:tcPr>
          <w:p w:rsidR="000A045E" w:rsidRPr="00AC66B3" w:rsidRDefault="00AC66B3" w:rsidP="00725B9A">
            <w:pPr>
              <w:pStyle w:val="Prrafodelista"/>
              <w:tabs>
                <w:tab w:val="left" w:pos="142"/>
                <w:tab w:val="left" w:pos="284"/>
              </w:tabs>
              <w:ind w:left="0"/>
              <w:jc w:val="both"/>
              <w:rPr>
                <w:rFonts w:ascii="Times New Roman" w:hAnsi="Times New Roman" w:cs="Times New Roman"/>
                <w:color w:val="000000"/>
                <w:sz w:val="28"/>
              </w:rPr>
            </w:pPr>
            <w:r w:rsidRPr="00AC66B3">
              <w:rPr>
                <w:rFonts w:ascii="Times New Roman" w:hAnsi="Times New Roman" w:cs="Times New Roman"/>
                <w:b/>
                <w:bCs/>
                <w:color w:val="000000"/>
                <w:sz w:val="28"/>
              </w:rPr>
              <w:t xml:space="preserve">Contratante: </w:t>
            </w:r>
            <w:r w:rsidRPr="00AC66B3">
              <w:rPr>
                <w:rFonts w:ascii="Times New Roman" w:hAnsi="Times New Roman" w:cs="Times New Roman"/>
                <w:color w:val="000000"/>
                <w:sz w:val="28"/>
              </w:rPr>
              <w:t>entidades estatales</w:t>
            </w:r>
          </w:p>
          <w:p w:rsidR="000A045E" w:rsidRPr="00AC66B3" w:rsidRDefault="00AC66B3" w:rsidP="00725B9A">
            <w:pPr>
              <w:pStyle w:val="Prrafodelista"/>
              <w:tabs>
                <w:tab w:val="left" w:pos="142"/>
                <w:tab w:val="left" w:pos="284"/>
              </w:tabs>
              <w:ind w:left="0"/>
              <w:jc w:val="both"/>
              <w:rPr>
                <w:rFonts w:ascii="Times New Roman" w:hAnsi="Times New Roman" w:cs="Times New Roman"/>
                <w:b/>
                <w:bCs/>
                <w:color w:val="000000"/>
                <w:sz w:val="28"/>
              </w:rPr>
            </w:pPr>
          </w:p>
          <w:p w:rsidR="000A045E" w:rsidRPr="00AC66B3" w:rsidRDefault="00AC66B3" w:rsidP="00725B9A">
            <w:pPr>
              <w:pStyle w:val="Prrafodelista"/>
              <w:tabs>
                <w:tab w:val="left" w:pos="142"/>
                <w:tab w:val="left" w:pos="284"/>
              </w:tabs>
              <w:ind w:left="0"/>
              <w:jc w:val="both"/>
              <w:rPr>
                <w:rFonts w:ascii="Times New Roman" w:hAnsi="Times New Roman" w:cs="Times New Roman"/>
                <w:sz w:val="28"/>
              </w:rPr>
            </w:pPr>
            <w:r w:rsidRPr="00AC66B3">
              <w:rPr>
                <w:rFonts w:ascii="Times New Roman" w:hAnsi="Times New Roman" w:cs="Times New Roman"/>
                <w:b/>
                <w:bCs/>
                <w:color w:val="000000"/>
                <w:sz w:val="28"/>
              </w:rPr>
              <w:t>Contratista</w:t>
            </w:r>
            <w:r w:rsidRPr="00AC66B3">
              <w:rPr>
                <w:rFonts w:ascii="Times New Roman" w:hAnsi="Times New Roman" w:cs="Times New Roman"/>
                <w:color w:val="000000"/>
                <w:sz w:val="28"/>
              </w:rPr>
              <w:t>: personas naturales o entidades sin ánimo de lucro que formen parte de la economía popular</w:t>
            </w:r>
            <w:r w:rsidRPr="00AC66B3">
              <w:rPr>
                <w:rFonts w:ascii="Times New Roman" w:hAnsi="Times New Roman" w:cs="Times New Roman"/>
                <w:sz w:val="28"/>
              </w:rPr>
              <w:t xml:space="preserve"> y comunitaria</w:t>
            </w:r>
          </w:p>
        </w:tc>
        <w:tc>
          <w:tcPr>
            <w:tcW w:w="184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 xml:space="preserve">El Gobierno nacional, a través del Departamento Nacional de Planeación </w:t>
            </w:r>
          </w:p>
        </w:tc>
      </w:tr>
      <w:tr w:rsidR="000A045E" w:rsidRPr="00AC66B3" w:rsidTr="00725B9A">
        <w:trPr>
          <w:jc w:val="center"/>
        </w:trPr>
        <w:tc>
          <w:tcPr>
            <w:tcW w:w="1292"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Artículo 101 de la Ley 2294 de 2023</w:t>
            </w:r>
          </w:p>
        </w:tc>
        <w:tc>
          <w:tcPr>
            <w:tcW w:w="1473"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Asociaciones de Iniciativa Público Popular</w:t>
            </w:r>
          </w:p>
        </w:tc>
        <w:tc>
          <w:tcPr>
            <w:tcW w:w="1434"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Selección abreviada</w:t>
            </w:r>
          </w:p>
        </w:tc>
        <w:tc>
          <w:tcPr>
            <w:tcW w:w="159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Desarrollo de proyectos de infraestructura vial</w:t>
            </w:r>
          </w:p>
        </w:tc>
        <w:tc>
          <w:tcPr>
            <w:tcW w:w="1198"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Seis mil salarios mínimos legales mensuales vigentes (el aporte que realice la entidad pública no podrá ser</w:t>
            </w:r>
            <w:r w:rsidRPr="00AC66B3">
              <w:rPr>
                <w:rFonts w:ascii="Times New Roman" w:hAnsi="Times New Roman" w:cs="Times New Roman"/>
                <w:sz w:val="28"/>
              </w:rPr>
              <w:t xml:space="preserve"> superior al 50% del valor de la inversión)</w:t>
            </w:r>
          </w:p>
        </w:tc>
        <w:tc>
          <w:tcPr>
            <w:tcW w:w="1967" w:type="dxa"/>
            <w:vAlign w:val="center"/>
          </w:tcPr>
          <w:p w:rsidR="000A045E" w:rsidRPr="00AC66B3" w:rsidRDefault="00AC66B3" w:rsidP="00725B9A">
            <w:pPr>
              <w:pStyle w:val="Prrafodelista"/>
              <w:tabs>
                <w:tab w:val="left" w:pos="40"/>
                <w:tab w:val="left" w:pos="202"/>
              </w:tabs>
              <w:ind w:left="40"/>
              <w:jc w:val="both"/>
              <w:rPr>
                <w:rFonts w:ascii="Times New Roman" w:hAnsi="Times New Roman" w:cs="Times New Roman"/>
                <w:color w:val="000000"/>
                <w:sz w:val="28"/>
              </w:rPr>
            </w:pPr>
            <w:r w:rsidRPr="00AC66B3">
              <w:rPr>
                <w:rFonts w:ascii="Times New Roman" w:hAnsi="Times New Roman" w:cs="Times New Roman"/>
                <w:b/>
                <w:bCs/>
                <w:color w:val="000000"/>
                <w:sz w:val="28"/>
              </w:rPr>
              <w:t xml:space="preserve">Contratante: </w:t>
            </w:r>
            <w:r w:rsidRPr="00AC66B3">
              <w:rPr>
                <w:rFonts w:ascii="Times New Roman" w:hAnsi="Times New Roman" w:cs="Times New Roman"/>
                <w:color w:val="000000"/>
                <w:sz w:val="28"/>
              </w:rPr>
              <w:t>entidades públicas</w:t>
            </w:r>
          </w:p>
          <w:p w:rsidR="000A045E" w:rsidRPr="00AC66B3" w:rsidRDefault="00AC66B3" w:rsidP="00725B9A">
            <w:pPr>
              <w:pStyle w:val="Prrafodelista"/>
              <w:tabs>
                <w:tab w:val="left" w:pos="40"/>
                <w:tab w:val="left" w:pos="202"/>
              </w:tabs>
              <w:ind w:left="40"/>
              <w:jc w:val="both"/>
              <w:rPr>
                <w:rFonts w:ascii="Times New Roman" w:hAnsi="Times New Roman" w:cs="Times New Roman"/>
                <w:b/>
                <w:bCs/>
                <w:color w:val="000000"/>
                <w:sz w:val="28"/>
              </w:rPr>
            </w:pPr>
          </w:p>
          <w:p w:rsidR="000A045E" w:rsidRPr="00AC66B3" w:rsidRDefault="00AC66B3" w:rsidP="00725B9A">
            <w:pPr>
              <w:pStyle w:val="Prrafodelista"/>
              <w:tabs>
                <w:tab w:val="left" w:pos="40"/>
                <w:tab w:val="left" w:pos="202"/>
              </w:tabs>
              <w:ind w:left="40"/>
              <w:jc w:val="both"/>
              <w:rPr>
                <w:rFonts w:ascii="Times New Roman" w:hAnsi="Times New Roman" w:cs="Times New Roman"/>
                <w:sz w:val="28"/>
              </w:rPr>
            </w:pPr>
            <w:r w:rsidRPr="00AC66B3">
              <w:rPr>
                <w:rFonts w:ascii="Times New Roman" w:hAnsi="Times New Roman" w:cs="Times New Roman"/>
                <w:b/>
                <w:bCs/>
                <w:color w:val="000000"/>
                <w:sz w:val="28"/>
              </w:rPr>
              <w:t xml:space="preserve">Contratista: </w:t>
            </w:r>
          </w:p>
          <w:p w:rsidR="000A045E" w:rsidRPr="00AC66B3" w:rsidRDefault="00AC66B3" w:rsidP="00725B9A">
            <w:pPr>
              <w:tabs>
                <w:tab w:val="left" w:pos="40"/>
                <w:tab w:val="left" w:pos="202"/>
              </w:tabs>
              <w:jc w:val="both"/>
              <w:rPr>
                <w:rFonts w:ascii="Times New Roman" w:hAnsi="Times New Roman" w:cs="Times New Roman"/>
                <w:sz w:val="28"/>
              </w:rPr>
            </w:pPr>
            <w:r w:rsidRPr="00AC66B3">
              <w:rPr>
                <w:rFonts w:ascii="Times New Roman" w:hAnsi="Times New Roman" w:cs="Times New Roman"/>
                <w:sz w:val="28"/>
              </w:rPr>
              <w:t>Organismos de acción comunal, social o comunitaria, otras formas de organización social, grupos o comunidades étnicas, negras, afrocolombianas, raizales y palenquera</w:t>
            </w:r>
            <w:r w:rsidRPr="00AC66B3">
              <w:rPr>
                <w:rFonts w:ascii="Times New Roman" w:hAnsi="Times New Roman" w:cs="Times New Roman"/>
                <w:sz w:val="28"/>
              </w:rPr>
              <w:t>s, mujeres y víctimas</w:t>
            </w:r>
          </w:p>
        </w:tc>
        <w:tc>
          <w:tcPr>
            <w:tcW w:w="1841" w:type="dxa"/>
            <w:vAlign w:val="center"/>
          </w:tcPr>
          <w:p w:rsidR="000A045E" w:rsidRPr="00AC66B3" w:rsidRDefault="00AC66B3" w:rsidP="00725B9A">
            <w:pPr>
              <w:pStyle w:val="Prrafodelista"/>
              <w:tabs>
                <w:tab w:val="left" w:pos="142"/>
                <w:tab w:val="left" w:pos="284"/>
              </w:tabs>
              <w:ind w:left="0"/>
              <w:jc w:val="center"/>
              <w:rPr>
                <w:rFonts w:ascii="Times New Roman" w:hAnsi="Times New Roman" w:cs="Times New Roman"/>
                <w:sz w:val="28"/>
              </w:rPr>
            </w:pPr>
            <w:r w:rsidRPr="00AC66B3">
              <w:rPr>
                <w:rFonts w:ascii="Times New Roman" w:hAnsi="Times New Roman" w:cs="Times New Roman"/>
                <w:sz w:val="28"/>
              </w:rPr>
              <w:t>El Departamento Nacional de Planeación, el Ministerio de Hacienda y Crédito Público y la Agencia Nacional de Contratación Pública Colombia Compra Eficiente</w:t>
            </w:r>
          </w:p>
        </w:tc>
      </w:tr>
    </w:tbl>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 xml:space="preserve">En este punto del análisis, respecto de la finalidad concreta que el Legislador buscaba alcanzar con la delegación, la Corte también considera importante llamar la atención sobre un elemento que fue mencionado por el Ministerio de Transporte en su escrito </w:t>
      </w:r>
      <w:r w:rsidRPr="00AC66B3">
        <w:rPr>
          <w:rFonts w:ascii="Times New Roman" w:hAnsi="Times New Roman" w:cs="Times New Roman"/>
          <w:sz w:val="28"/>
          <w:szCs w:val="28"/>
        </w:rPr>
        <w:t xml:space="preserve">de intervención. Esa entidad dijo que, en la actualidad, el Invías ya celebra </w:t>
      </w:r>
      <w:r w:rsidRPr="00AC66B3">
        <w:rPr>
          <w:rFonts w:ascii="Times New Roman" w:hAnsi="Times New Roman" w:cs="Times New Roman"/>
          <w:i/>
          <w:iCs/>
          <w:sz w:val="28"/>
          <w:szCs w:val="28"/>
        </w:rPr>
        <w:t xml:space="preserve">convenios </w:t>
      </w:r>
      <w:r w:rsidRPr="00AC66B3">
        <w:rPr>
          <w:rFonts w:ascii="Times New Roman" w:hAnsi="Times New Roman" w:cs="Times New Roman"/>
          <w:sz w:val="28"/>
          <w:szCs w:val="28"/>
        </w:rPr>
        <w:t>con «diferentes comunidades en el territorio»</w:t>
      </w:r>
      <w:r w:rsidRPr="00AC66B3">
        <w:rPr>
          <w:rStyle w:val="Refdenotaalpie"/>
          <w:rFonts w:ascii="Times New Roman" w:hAnsi="Times New Roman" w:cs="Times New Roman"/>
          <w:sz w:val="28"/>
          <w:szCs w:val="28"/>
        </w:rPr>
        <w:footnoteReference w:id="166"/>
      </w:r>
      <w:r w:rsidRPr="00AC66B3">
        <w:rPr>
          <w:rFonts w:ascii="Times New Roman" w:hAnsi="Times New Roman" w:cs="Times New Roman"/>
          <w:sz w:val="28"/>
          <w:szCs w:val="28"/>
        </w:rPr>
        <w:t>, para la construcción de obras de baja complejidad como las denominadas «placas huellas». Lo anterior, de conformidad con</w:t>
      </w:r>
      <w:r w:rsidRPr="00AC66B3">
        <w:rPr>
          <w:rFonts w:ascii="Times New Roman" w:hAnsi="Times New Roman" w:cs="Times New Roman"/>
          <w:sz w:val="28"/>
          <w:szCs w:val="28"/>
        </w:rPr>
        <w:t xml:space="preserve"> el sustento técnico previsto en la </w:t>
      </w:r>
      <w:r w:rsidRPr="00AC66B3">
        <w:rPr>
          <w:rFonts w:ascii="Times New Roman" w:hAnsi="Times New Roman" w:cs="Times New Roman"/>
          <w:i/>
          <w:iCs/>
          <w:sz w:val="28"/>
          <w:szCs w:val="28"/>
        </w:rPr>
        <w:t>Cartilla de obras menores de drenaje y estructuras viales del Invías</w:t>
      </w:r>
      <w:r w:rsidRPr="00AC66B3">
        <w:rPr>
          <w:rStyle w:val="Refdenotaalpie"/>
          <w:rFonts w:ascii="Times New Roman" w:hAnsi="Times New Roman" w:cs="Times New Roman"/>
          <w:sz w:val="28"/>
          <w:szCs w:val="28"/>
        </w:rPr>
        <w:footnoteReference w:id="167"/>
      </w:r>
      <w:r w:rsidRPr="00AC66B3">
        <w:rPr>
          <w:rFonts w:ascii="Times New Roman" w:hAnsi="Times New Roman" w:cs="Times New Roman"/>
          <w:sz w:val="28"/>
          <w:szCs w:val="28"/>
        </w:rPr>
        <w:t>. Esta cartilla «permite que las comunidades, de acuerdo con su capacidad técnica, administrativa y humana, y con el oportuno apoyo estatal, realicen l</w:t>
      </w:r>
      <w:r w:rsidRPr="00AC66B3">
        <w:rPr>
          <w:rFonts w:ascii="Times New Roman" w:hAnsi="Times New Roman" w:cs="Times New Roman"/>
          <w:sz w:val="28"/>
          <w:szCs w:val="28"/>
        </w:rPr>
        <w:t>as intervenciones de baja complejidad que se adecuan a las necesidades de sus territorios»</w:t>
      </w:r>
      <w:r w:rsidRPr="00AC66B3">
        <w:rPr>
          <w:rStyle w:val="Refdenotaalpie"/>
          <w:rFonts w:ascii="Times New Roman" w:hAnsi="Times New Roman" w:cs="Times New Roman"/>
          <w:sz w:val="28"/>
          <w:szCs w:val="28"/>
        </w:rPr>
        <w:footnoteReference w:id="168"/>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Aunque el Ministerio no hizo alguna precisión al respecto, la Corte infiere razonablemente que los convenios que el Invías celebraba o celebra con las comunidades</w:t>
      </w:r>
      <w:r w:rsidRPr="00AC66B3">
        <w:rPr>
          <w:rFonts w:ascii="Times New Roman" w:hAnsi="Times New Roman" w:cs="Times New Roman"/>
          <w:sz w:val="28"/>
          <w:szCs w:val="28"/>
        </w:rPr>
        <w:t xml:space="preserve"> para la instalación de placas huellas se diseñan y ejecutan con base en las normas expedidas con anterioridad al Decreto Ley 1961 de 2023.</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Sobre esta misma cuestión, se ha de resaltar tres aspectos. El primero de ellos es que, en la actualidad, el ordena</w:t>
      </w:r>
      <w:r w:rsidRPr="00AC66B3">
        <w:rPr>
          <w:rFonts w:ascii="Times New Roman" w:hAnsi="Times New Roman" w:cs="Times New Roman"/>
          <w:sz w:val="28"/>
          <w:szCs w:val="28"/>
        </w:rPr>
        <w:t>miento jurídico permite que, mediante la celebración de convenios solidarios, los organismos de acción comunal ejecuten obras públicas a cargo de la Administración central o descentralizada, de conformidad con el régimen vigente de contratación para organi</w:t>
      </w:r>
      <w:r w:rsidRPr="00AC66B3">
        <w:rPr>
          <w:rFonts w:ascii="Times New Roman" w:hAnsi="Times New Roman" w:cs="Times New Roman"/>
          <w:sz w:val="28"/>
          <w:szCs w:val="28"/>
        </w:rPr>
        <w:t>zaciones solidarias y hasta por la mínima cuantía de la entidad</w:t>
      </w:r>
      <w:r w:rsidRPr="00AC66B3">
        <w:rPr>
          <w:rStyle w:val="Refdenotaalpie"/>
          <w:rFonts w:ascii="Times New Roman" w:hAnsi="Times New Roman" w:cs="Times New Roman"/>
          <w:sz w:val="28"/>
          <w:szCs w:val="28"/>
        </w:rPr>
        <w:footnoteReference w:id="169"/>
      </w:r>
      <w:r w:rsidRPr="00AC66B3">
        <w:rPr>
          <w:rFonts w:ascii="Times New Roman" w:hAnsi="Times New Roman" w:cs="Times New Roman"/>
          <w:sz w:val="28"/>
          <w:szCs w:val="28"/>
        </w:rPr>
        <w:t>. En este orden, pueden ejecutar proyectos incluidos en el respectivo Plan Nacional de Desarrollo o los proyectos derivados del Acuerdo Final de Paz</w:t>
      </w:r>
      <w:r w:rsidRPr="00AC66B3">
        <w:rPr>
          <w:rStyle w:val="Refdenotaalpie"/>
          <w:rFonts w:ascii="Times New Roman" w:hAnsi="Times New Roman" w:cs="Times New Roman"/>
          <w:sz w:val="28"/>
          <w:szCs w:val="28"/>
        </w:rPr>
        <w:footnoteReference w:id="170"/>
      </w:r>
      <w:r w:rsidRPr="00AC66B3">
        <w:rPr>
          <w:rFonts w:ascii="Times New Roman" w:hAnsi="Times New Roman" w:cs="Times New Roman"/>
          <w:sz w:val="28"/>
          <w:szCs w:val="28"/>
        </w:rPr>
        <w:t>.</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El segundo aspecto consiste en que, de c</w:t>
      </w:r>
      <w:r w:rsidRPr="00AC66B3">
        <w:rPr>
          <w:rFonts w:ascii="Times New Roman" w:hAnsi="Times New Roman" w:cs="Times New Roman"/>
          <w:sz w:val="28"/>
          <w:szCs w:val="28"/>
        </w:rPr>
        <w:t>onformidad con lo dispuesto en literal l del numeral 4 del artículo 2 de la Ley 1150 de 2007, los cabildos indígenas, las asociaciones de cabildos indígenas o autoridades tradicionales indígenas, los consejos indígenas y las organizaciones indígenas podrán</w:t>
      </w:r>
      <w:r w:rsidRPr="00AC66B3">
        <w:rPr>
          <w:rFonts w:ascii="Times New Roman" w:hAnsi="Times New Roman" w:cs="Times New Roman"/>
          <w:sz w:val="28"/>
          <w:szCs w:val="28"/>
        </w:rPr>
        <w:t xml:space="preserve"> celebrar contratos estatales, vía contratación directa, sin límite de cuantía, para la «ejecución de obras públicas que impliquen actividades de mantenimiento y/o mejoramiento de infraestructura social y de transporte, así como suministrar bienes y/o serv</w:t>
      </w:r>
      <w:r w:rsidRPr="00AC66B3">
        <w:rPr>
          <w:rFonts w:ascii="Times New Roman" w:hAnsi="Times New Roman" w:cs="Times New Roman"/>
          <w:sz w:val="28"/>
          <w:szCs w:val="28"/>
        </w:rPr>
        <w:t xml:space="preserve">icios para los que </w:t>
      </w:r>
      <w:r w:rsidRPr="00AC66B3">
        <w:rPr>
          <w:rFonts w:ascii="Times New Roman" w:hAnsi="Times New Roman" w:cs="Times New Roman"/>
          <w:b/>
          <w:bCs/>
          <w:sz w:val="28"/>
          <w:szCs w:val="28"/>
        </w:rPr>
        <w:t>se acredite idoneidad, la cual deberá ser valorada teniendo en cuenta un enfoque diferencial</w:t>
      </w:r>
      <w:r w:rsidRPr="00AC66B3">
        <w:rPr>
          <w:rFonts w:ascii="Times New Roman" w:hAnsi="Times New Roman" w:cs="Times New Roman"/>
          <w:sz w:val="28"/>
          <w:szCs w:val="28"/>
        </w:rPr>
        <w:t>» [negrilla fuera del texto original].</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bdr w:val="none" w:sz="0" w:space="0" w:color="auto" w:frame="1"/>
        </w:rPr>
      </w:pPr>
      <w:r w:rsidRPr="00AC66B3">
        <w:rPr>
          <w:rFonts w:ascii="Times New Roman" w:hAnsi="Times New Roman" w:cs="Times New Roman"/>
          <w:sz w:val="28"/>
          <w:szCs w:val="28"/>
          <w:bdr w:val="none" w:sz="0" w:space="0" w:color="auto" w:frame="1"/>
        </w:rPr>
        <w:t>El último aspecto consiste en el argumento del Ministerio de Transporte en virtud del cual</w:t>
      </w:r>
      <w:r w:rsidRPr="00AC66B3">
        <w:rPr>
          <w:rFonts w:ascii="Times New Roman" w:hAnsi="Times New Roman" w:cs="Times New Roman"/>
          <w:sz w:val="28"/>
          <w:szCs w:val="28"/>
        </w:rPr>
        <w:t xml:space="preserve"> «a través del Manual de Contratación [del Invir], se limitará la contratación directa al desarrollo de proyectos de baja complejidad»</w:t>
      </w:r>
      <w:r w:rsidRPr="00AC66B3">
        <w:rPr>
          <w:rStyle w:val="Refdenotaalpie"/>
          <w:rFonts w:ascii="Times New Roman" w:hAnsi="Times New Roman" w:cs="Times New Roman"/>
          <w:sz w:val="28"/>
          <w:szCs w:val="28"/>
        </w:rPr>
        <w:footnoteReference w:id="171"/>
      </w:r>
      <w:r w:rsidRPr="00AC66B3">
        <w:rPr>
          <w:rFonts w:ascii="Times New Roman" w:hAnsi="Times New Roman" w:cs="Times New Roman"/>
          <w:sz w:val="28"/>
          <w:szCs w:val="28"/>
        </w:rPr>
        <w:t xml:space="preserve">. Sobre el particular, basta con destacar que el parágrafo 1 del artículo 35 del Decreto </w:t>
      </w:r>
      <w:r w:rsidRPr="00AC66B3">
        <w:rPr>
          <w:rFonts w:ascii="Times New Roman" w:hAnsi="Times New Roman" w:cs="Times New Roman"/>
          <w:sz w:val="28"/>
          <w:szCs w:val="28"/>
          <w:lang w:val="es-ES"/>
        </w:rPr>
        <w:t>1961 de 2023 dispone que la cont</w:t>
      </w:r>
      <w:r w:rsidRPr="00AC66B3">
        <w:rPr>
          <w:rFonts w:ascii="Times New Roman" w:hAnsi="Times New Roman" w:cs="Times New Roman"/>
          <w:sz w:val="28"/>
          <w:szCs w:val="28"/>
          <w:lang w:val="es-ES"/>
        </w:rPr>
        <w:t xml:space="preserve">ratación directa será sin límite de cuantía. La ausencia de esta restricción permite inferir razonablemente que, </w:t>
      </w:r>
      <w:r w:rsidRPr="00AC66B3">
        <w:rPr>
          <w:rFonts w:ascii="Times New Roman" w:hAnsi="Times New Roman" w:cs="Times New Roman"/>
          <w:color w:val="000000"/>
          <w:sz w:val="28"/>
          <w:szCs w:val="28"/>
          <w:shd w:val="clear" w:color="auto" w:fill="FFFFFF"/>
        </w:rPr>
        <w:t xml:space="preserve">en virtud de la prevalencia de la ley sobre el reglamento, </w:t>
      </w:r>
      <w:r w:rsidRPr="00AC66B3">
        <w:rPr>
          <w:rFonts w:ascii="Times New Roman" w:hAnsi="Times New Roman" w:cs="Times New Roman"/>
          <w:sz w:val="28"/>
          <w:szCs w:val="28"/>
          <w:lang w:val="es-ES"/>
        </w:rPr>
        <w:t xml:space="preserve">la contratación directa no se podrá limitar a obras públicas de baja complejidad. </w:t>
      </w: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bCs/>
          <w:sz w:val="28"/>
          <w:szCs w:val="28"/>
          <w:bdr w:val="none" w:sz="0" w:space="0" w:color="auto" w:frame="1"/>
        </w:rPr>
        <w:t xml:space="preserve">Con fundamento en lo expuesto en precedencia, la Sala Plena concluye que </w:t>
      </w:r>
      <w:bookmarkStart w:id="23" w:name="_Hlk168038204"/>
      <w:r w:rsidRPr="00AC66B3">
        <w:rPr>
          <w:rFonts w:ascii="Times New Roman" w:hAnsi="Times New Roman" w:cs="Times New Roman"/>
          <w:bCs/>
          <w:sz w:val="28"/>
          <w:szCs w:val="28"/>
          <w:bdr w:val="none" w:sz="0" w:space="0" w:color="auto" w:frame="1"/>
        </w:rPr>
        <w:t xml:space="preserve">no existe </w:t>
      </w:r>
      <w:r w:rsidRPr="00AC66B3">
        <w:rPr>
          <w:rFonts w:ascii="Times New Roman" w:hAnsi="Times New Roman" w:cs="Times New Roman"/>
          <w:sz w:val="28"/>
          <w:szCs w:val="28"/>
        </w:rPr>
        <w:t xml:space="preserve">una relación directa e inmediata de índole material entre las normas demandadas y la norma habilitante. Los considerandos del Decreto Ley 1961 de 2023 </w:t>
      </w:r>
      <w:r w:rsidRPr="00AC66B3">
        <w:rPr>
          <w:rFonts w:ascii="Times New Roman" w:hAnsi="Times New Roman" w:cs="Times New Roman"/>
          <w:bCs/>
          <w:sz w:val="28"/>
          <w:szCs w:val="28"/>
          <w:bdr w:val="none" w:sz="0" w:space="0" w:color="auto" w:frame="1"/>
        </w:rPr>
        <w:t>no ofrecen mayores ele</w:t>
      </w:r>
      <w:r w:rsidRPr="00AC66B3">
        <w:rPr>
          <w:rFonts w:ascii="Times New Roman" w:hAnsi="Times New Roman" w:cs="Times New Roman"/>
          <w:bCs/>
          <w:sz w:val="28"/>
          <w:szCs w:val="28"/>
          <w:bdr w:val="none" w:sz="0" w:space="0" w:color="auto" w:frame="1"/>
        </w:rPr>
        <w:t xml:space="preserve">mentos de análisis para comprender </w:t>
      </w:r>
      <w:r w:rsidRPr="00AC66B3">
        <w:rPr>
          <w:rFonts w:ascii="Times New Roman" w:hAnsi="Times New Roman" w:cs="Times New Roman"/>
          <w:bCs/>
          <w:sz w:val="28"/>
          <w:szCs w:val="28"/>
          <w:lang w:eastAsia="es-ES"/>
        </w:rPr>
        <w:t>el contexto normativo en el que se insertan las disposiciones acusadas. T</w:t>
      </w:r>
      <w:r w:rsidRPr="00AC66B3">
        <w:rPr>
          <w:rFonts w:ascii="Times New Roman" w:hAnsi="Times New Roman" w:cs="Times New Roman"/>
          <w:sz w:val="28"/>
          <w:szCs w:val="28"/>
        </w:rPr>
        <w:t>ampoco e</w:t>
      </w:r>
      <w:r w:rsidRPr="00AC66B3">
        <w:rPr>
          <w:rFonts w:ascii="Times New Roman" w:hAnsi="Times New Roman" w:cs="Times New Roman"/>
          <w:bCs/>
          <w:sz w:val="28"/>
          <w:szCs w:val="28"/>
          <w:bdr w:val="none" w:sz="0" w:space="0" w:color="auto" w:frame="1"/>
        </w:rPr>
        <w:t xml:space="preserve">s claro el vínculo entre estas y </w:t>
      </w:r>
      <w:r w:rsidRPr="00AC66B3">
        <w:rPr>
          <w:rFonts w:ascii="Times New Roman" w:hAnsi="Times New Roman" w:cs="Times New Roman"/>
          <w:bCs/>
          <w:sz w:val="28"/>
          <w:szCs w:val="28"/>
          <w:lang w:eastAsia="es-ES"/>
        </w:rPr>
        <w:t>la finalidad</w:t>
      </w:r>
      <w:r w:rsidRPr="00AC66B3">
        <w:rPr>
          <w:rFonts w:ascii="Times New Roman" w:hAnsi="Times New Roman" w:cs="Times New Roman"/>
          <w:sz w:val="28"/>
          <w:szCs w:val="28"/>
        </w:rPr>
        <w:t xml:space="preserve"> que el Legislador buscaba alcanzar con la delegación. </w:t>
      </w:r>
      <w:bookmarkEnd w:id="16"/>
      <w:r w:rsidRPr="00AC66B3">
        <w:rPr>
          <w:rFonts w:ascii="Times New Roman" w:hAnsi="Times New Roman" w:cs="Times New Roman"/>
          <w:sz w:val="28"/>
          <w:szCs w:val="28"/>
        </w:rPr>
        <w:t>Tal finalidad se circunscribía a la crea</w:t>
      </w:r>
      <w:r w:rsidRPr="00AC66B3">
        <w:rPr>
          <w:rFonts w:ascii="Times New Roman" w:hAnsi="Times New Roman" w:cs="Times New Roman"/>
          <w:sz w:val="28"/>
          <w:szCs w:val="28"/>
        </w:rPr>
        <w:t>ción de una entidad que se encargara con exclusividad del fomento de la construcción, el mejoramiento y la conservación de las vías terciarias. Lo anterior, con el objeto de sustraer esa materia del objeto del Invías. En contraste, las normas acusadas crea</w:t>
      </w:r>
      <w:r w:rsidRPr="00AC66B3">
        <w:rPr>
          <w:rFonts w:ascii="Times New Roman" w:hAnsi="Times New Roman" w:cs="Times New Roman"/>
          <w:sz w:val="28"/>
          <w:szCs w:val="28"/>
        </w:rPr>
        <w:t xml:space="preserve">n un régimen de contratación excepcional para la nueva entidad. </w:t>
      </w:r>
      <w:bookmarkEnd w:id="23"/>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Más aún, en la ley que contiene la norma habilitante, el Legislador reguló tres tipos de vínculos contractuales con las comunidades y las organizaciones sociales y, para ello, impuso límites</w:t>
      </w:r>
      <w:r w:rsidRPr="00AC66B3">
        <w:rPr>
          <w:rFonts w:ascii="Times New Roman" w:hAnsi="Times New Roman" w:cs="Times New Roman"/>
          <w:sz w:val="28"/>
          <w:szCs w:val="28"/>
        </w:rPr>
        <w:t xml:space="preserve"> más estrictos que los desarrollados por el presidente de la República en el Decreto ley 1961 de 2023. Incluso, en el caso de las Asociaciones Público Populares, la contratación directa fue condicionada a la mínima cuantía.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rPr>
      </w:pPr>
      <w:r w:rsidRPr="00AC66B3">
        <w:rPr>
          <w:rFonts w:ascii="Times New Roman" w:hAnsi="Times New Roman" w:cs="Times New Roman"/>
          <w:sz w:val="28"/>
          <w:szCs w:val="28"/>
        </w:rPr>
        <w:t>De otro lado, antes de la expe</w:t>
      </w:r>
      <w:r w:rsidRPr="00AC66B3">
        <w:rPr>
          <w:rFonts w:ascii="Times New Roman" w:hAnsi="Times New Roman" w:cs="Times New Roman"/>
          <w:sz w:val="28"/>
          <w:szCs w:val="28"/>
        </w:rPr>
        <w:t xml:space="preserve">dición de las normas acusadas, el Invías ya celebraba </w:t>
      </w:r>
      <w:r w:rsidRPr="00AC66B3">
        <w:rPr>
          <w:rFonts w:ascii="Times New Roman" w:hAnsi="Times New Roman" w:cs="Times New Roman"/>
          <w:i/>
          <w:iCs/>
          <w:sz w:val="28"/>
          <w:szCs w:val="28"/>
        </w:rPr>
        <w:t xml:space="preserve">convenios </w:t>
      </w:r>
      <w:r w:rsidRPr="00AC66B3">
        <w:rPr>
          <w:rFonts w:ascii="Times New Roman" w:hAnsi="Times New Roman" w:cs="Times New Roman"/>
          <w:sz w:val="28"/>
          <w:szCs w:val="28"/>
        </w:rPr>
        <w:t>con «diferentes comunidades en el territorio»</w:t>
      </w:r>
      <w:r w:rsidRPr="00AC66B3">
        <w:rPr>
          <w:rStyle w:val="Refdenotaalpie"/>
          <w:rFonts w:ascii="Times New Roman" w:hAnsi="Times New Roman" w:cs="Times New Roman"/>
          <w:sz w:val="28"/>
          <w:szCs w:val="28"/>
        </w:rPr>
        <w:footnoteReference w:id="172"/>
      </w:r>
      <w:r w:rsidRPr="00AC66B3">
        <w:rPr>
          <w:rFonts w:ascii="Times New Roman" w:hAnsi="Times New Roman" w:cs="Times New Roman"/>
          <w:sz w:val="28"/>
          <w:szCs w:val="28"/>
        </w:rPr>
        <w:t>, para la construcción de obras de baja complejidad como las denominadas «placas huellas». Las Administración nacional y descentralizada hacían lo</w:t>
      </w:r>
      <w:r w:rsidRPr="00AC66B3">
        <w:rPr>
          <w:rFonts w:ascii="Times New Roman" w:hAnsi="Times New Roman" w:cs="Times New Roman"/>
          <w:sz w:val="28"/>
          <w:szCs w:val="28"/>
        </w:rPr>
        <w:t xml:space="preserve"> propio con los organismos de acción comunal. Por su parte, los cabildos indígenas, las asociaciones de cabildos indígenas o autoridades tradicionales indígenas, los consejos indígenas y las organizaciones indígenas podrán celebrar contratos estatales, vía</w:t>
      </w:r>
      <w:r w:rsidRPr="00AC66B3">
        <w:rPr>
          <w:rFonts w:ascii="Times New Roman" w:hAnsi="Times New Roman" w:cs="Times New Roman"/>
          <w:sz w:val="28"/>
          <w:szCs w:val="28"/>
        </w:rPr>
        <w:t xml:space="preserve"> contratación directa, sin límite de cuantía, para el mantenimiento o mejoramiento de la infraestructura de transporte. Esto, siempre y cuando, acrediten la idoneidad requerida, la cual deberá ser valorada teniendo en cuenta un enfoque diferencial.</w:t>
      </w:r>
    </w:p>
    <w:p w:rsidR="000A045E" w:rsidRPr="00AC66B3" w:rsidRDefault="00AC66B3" w:rsidP="000A045E">
      <w:pPr>
        <w:tabs>
          <w:tab w:val="left" w:pos="142"/>
          <w:tab w:val="left" w:pos="284"/>
        </w:tabs>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tabs>
          <w:tab w:val="left" w:pos="142"/>
          <w:tab w:val="left" w:pos="284"/>
        </w:tabs>
        <w:ind w:left="0"/>
        <w:jc w:val="both"/>
        <w:rPr>
          <w:rFonts w:ascii="Times New Roman" w:hAnsi="Times New Roman" w:cs="Times New Roman"/>
          <w:b/>
          <w:bCs/>
          <w:sz w:val="28"/>
          <w:szCs w:val="28"/>
        </w:rPr>
      </w:pPr>
      <w:r w:rsidRPr="00AC66B3">
        <w:rPr>
          <w:rFonts w:ascii="Times New Roman" w:hAnsi="Times New Roman" w:cs="Times New Roman"/>
          <w:b/>
          <w:bCs/>
          <w:sz w:val="28"/>
          <w:szCs w:val="28"/>
        </w:rPr>
        <w:t xml:space="preserve">6.2. </w:t>
      </w:r>
      <w:r w:rsidRPr="00AC66B3">
        <w:rPr>
          <w:rFonts w:ascii="Times New Roman" w:hAnsi="Times New Roman" w:cs="Times New Roman"/>
          <w:b/>
          <w:sz w:val="28"/>
          <w:szCs w:val="28"/>
          <w:bdr w:val="none" w:sz="0" w:space="0" w:color="auto" w:frame="1"/>
        </w:rPr>
        <w:t>I</w:t>
      </w:r>
      <w:r w:rsidRPr="00AC66B3">
        <w:rPr>
          <w:rFonts w:ascii="Times New Roman" w:hAnsi="Times New Roman" w:cs="Times New Roman"/>
          <w:b/>
          <w:sz w:val="28"/>
          <w:szCs w:val="28"/>
          <w:bdr w:val="none" w:sz="0" w:space="0" w:color="auto" w:frame="1"/>
        </w:rPr>
        <w:t xml:space="preserve">nterpretación restrictiva de </w:t>
      </w:r>
      <w:r w:rsidRPr="00AC66B3">
        <w:rPr>
          <w:rFonts w:ascii="Times New Roman" w:hAnsi="Times New Roman" w:cs="Times New Roman"/>
          <w:b/>
          <w:sz w:val="28"/>
          <w:szCs w:val="28"/>
          <w:lang w:val="es-ES" w:eastAsia="es-ES"/>
        </w:rPr>
        <w:t xml:space="preserve">los términos empleados por la ley habilitante: alcance </w:t>
      </w:r>
      <w:r w:rsidRPr="00AC66B3">
        <w:rPr>
          <w:rFonts w:ascii="Times New Roman" w:hAnsi="Times New Roman" w:cs="Times New Roman"/>
          <w:b/>
          <w:bCs/>
          <w:sz w:val="28"/>
          <w:szCs w:val="28"/>
        </w:rPr>
        <w:t>de las expresiones «definir», «naturaleza jurídica» y «régimen jurídico», empleadas en la norma habilitante</w:t>
      </w:r>
    </w:p>
    <w:p w:rsidR="000A045E" w:rsidRPr="00AC66B3" w:rsidRDefault="00AC66B3" w:rsidP="000A045E">
      <w:pPr>
        <w:pStyle w:val="Prrafodelista"/>
        <w:shd w:val="clear" w:color="auto" w:fill="FFFFFF"/>
        <w:ind w:left="0"/>
        <w:jc w:val="both"/>
        <w:rPr>
          <w:rFonts w:ascii="Times New Roman" w:hAnsi="Times New Roman" w:cs="Times New Roman"/>
          <w:b/>
          <w:bCs/>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b/>
          <w:bCs/>
          <w:sz w:val="28"/>
          <w:szCs w:val="28"/>
        </w:rPr>
      </w:pPr>
      <w:r w:rsidRPr="00AC66B3">
        <w:rPr>
          <w:rFonts w:ascii="Times New Roman" w:hAnsi="Times New Roman" w:cs="Times New Roman"/>
          <w:sz w:val="28"/>
          <w:szCs w:val="28"/>
        </w:rPr>
        <w:t xml:space="preserve">El último punto del análisis consiste en </w:t>
      </w:r>
      <w:r w:rsidRPr="00AC66B3">
        <w:rPr>
          <w:rFonts w:ascii="Times New Roman" w:hAnsi="Times New Roman" w:cs="Times New Roman"/>
          <w:bCs/>
          <w:sz w:val="28"/>
          <w:szCs w:val="28"/>
          <w:bdr w:val="none" w:sz="0" w:space="0" w:color="auto" w:frame="1"/>
        </w:rPr>
        <w:t xml:space="preserve">definir el alcance de </w:t>
      </w:r>
      <w:r w:rsidRPr="00AC66B3">
        <w:rPr>
          <w:rFonts w:ascii="Times New Roman" w:hAnsi="Times New Roman" w:cs="Times New Roman"/>
          <w:bCs/>
          <w:sz w:val="28"/>
          <w:szCs w:val="28"/>
          <w:bdr w:val="none" w:sz="0" w:space="0" w:color="auto" w:frame="1"/>
        </w:rPr>
        <w:t>las palabras usadas para conferir las facultades legislativas.</w:t>
      </w:r>
      <w:r w:rsidRPr="00AC66B3">
        <w:rPr>
          <w:rFonts w:ascii="Times New Roman" w:hAnsi="Times New Roman" w:cs="Times New Roman"/>
          <w:sz w:val="28"/>
          <w:szCs w:val="28"/>
        </w:rPr>
        <w:t xml:space="preserve"> El último inciso del artículo 368 dispone que el presidente de la República «</w:t>
      </w:r>
      <w:r w:rsidRPr="00AC66B3">
        <w:rPr>
          <w:rFonts w:ascii="Times New Roman" w:hAnsi="Times New Roman" w:cs="Times New Roman"/>
          <w:b/>
          <w:bCs/>
          <w:sz w:val="28"/>
          <w:szCs w:val="28"/>
        </w:rPr>
        <w:t>definirá</w:t>
      </w:r>
      <w:r w:rsidRPr="00AC66B3">
        <w:rPr>
          <w:rFonts w:ascii="Times New Roman" w:hAnsi="Times New Roman" w:cs="Times New Roman"/>
          <w:sz w:val="28"/>
          <w:szCs w:val="28"/>
        </w:rPr>
        <w:t xml:space="preserve"> la </w:t>
      </w:r>
      <w:r w:rsidRPr="00AC66B3">
        <w:rPr>
          <w:rFonts w:ascii="Times New Roman" w:hAnsi="Times New Roman" w:cs="Times New Roman"/>
          <w:b/>
          <w:bCs/>
          <w:sz w:val="28"/>
          <w:szCs w:val="28"/>
        </w:rPr>
        <w:t>naturaleza jurídica</w:t>
      </w:r>
      <w:r w:rsidRPr="00AC66B3">
        <w:rPr>
          <w:rFonts w:ascii="Times New Roman" w:hAnsi="Times New Roman" w:cs="Times New Roman"/>
          <w:sz w:val="28"/>
          <w:szCs w:val="28"/>
        </w:rPr>
        <w:t xml:space="preserve">, </w:t>
      </w:r>
      <w:r w:rsidRPr="00AC66B3">
        <w:rPr>
          <w:rFonts w:ascii="Times New Roman" w:hAnsi="Times New Roman" w:cs="Times New Roman"/>
          <w:b/>
          <w:bCs/>
          <w:sz w:val="28"/>
          <w:szCs w:val="28"/>
        </w:rPr>
        <w:t>el régimen jurídico aplicable</w:t>
      </w:r>
      <w:r w:rsidRPr="00AC66B3">
        <w:rPr>
          <w:rFonts w:ascii="Times New Roman" w:hAnsi="Times New Roman" w:cs="Times New Roman"/>
          <w:sz w:val="28"/>
          <w:szCs w:val="28"/>
        </w:rPr>
        <w:t>, y la forma en que se recibirán los recursos que conf</w:t>
      </w:r>
      <w:r w:rsidRPr="00AC66B3">
        <w:rPr>
          <w:rFonts w:ascii="Times New Roman" w:hAnsi="Times New Roman" w:cs="Times New Roman"/>
          <w:sz w:val="28"/>
          <w:szCs w:val="28"/>
        </w:rPr>
        <w:t xml:space="preserve">ormarán esta entidad, incluyendo aquellos derivados de la asunción de las funciones ejecutadas por otras entidades» [negrilla fuera del texto]. Procede la Corte a analizar el alcance de las expresiones empleadas en la norma habilitante. </w:t>
      </w: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b/>
          <w:bCs/>
          <w:sz w:val="28"/>
          <w:szCs w:val="28"/>
        </w:rPr>
        <w:t>Alcance de la expr</w:t>
      </w:r>
      <w:r w:rsidRPr="00AC66B3">
        <w:rPr>
          <w:rFonts w:ascii="Times New Roman" w:hAnsi="Times New Roman" w:cs="Times New Roman"/>
          <w:b/>
          <w:bCs/>
          <w:sz w:val="28"/>
          <w:szCs w:val="28"/>
        </w:rPr>
        <w:t>esión «definir»</w:t>
      </w:r>
      <w:r w:rsidRPr="00AC66B3">
        <w:rPr>
          <w:rFonts w:ascii="Times New Roman" w:hAnsi="Times New Roman" w:cs="Times New Roman"/>
          <w:sz w:val="28"/>
          <w:szCs w:val="28"/>
        </w:rPr>
        <w:t xml:space="preserve">: de acuerdo con el diccionario de la Real Academia Española (RAE), la expresión </w:t>
      </w:r>
      <w:r w:rsidRPr="00AC66B3">
        <w:rPr>
          <w:rFonts w:ascii="Times New Roman" w:hAnsi="Times New Roman" w:cs="Times New Roman"/>
          <w:i/>
          <w:iCs/>
          <w:sz w:val="28"/>
          <w:szCs w:val="28"/>
        </w:rPr>
        <w:t>definir</w:t>
      </w:r>
      <w:r w:rsidRPr="00AC66B3">
        <w:rPr>
          <w:rFonts w:ascii="Times New Roman" w:hAnsi="Times New Roman" w:cs="Times New Roman"/>
          <w:sz w:val="28"/>
          <w:szCs w:val="28"/>
        </w:rPr>
        <w:t xml:space="preserve"> equivale a «[f]ijar con claridad, exactitud y precisión el significado de una palabra o la naturaleza de una persona o cosa». También implica «[d]ecidir</w:t>
      </w:r>
      <w:r w:rsidRPr="00AC66B3">
        <w:rPr>
          <w:rFonts w:ascii="Times New Roman" w:hAnsi="Times New Roman" w:cs="Times New Roman"/>
          <w:sz w:val="28"/>
          <w:szCs w:val="28"/>
        </w:rPr>
        <w:t>, determinar, resolver algo dudoso».</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b/>
          <w:bCs/>
          <w:sz w:val="28"/>
          <w:szCs w:val="28"/>
        </w:rPr>
        <w:t>Alcance de la expresión «naturaleza jurídica»:</w:t>
      </w:r>
      <w:r w:rsidRPr="00AC66B3">
        <w:rPr>
          <w:rFonts w:ascii="Times New Roman" w:hAnsi="Times New Roman" w:cs="Times New Roman"/>
          <w:sz w:val="28"/>
          <w:szCs w:val="28"/>
        </w:rPr>
        <w:t xml:space="preserve"> para dotar de significado la expresión </w:t>
      </w:r>
      <w:r w:rsidRPr="00AC66B3">
        <w:rPr>
          <w:rFonts w:ascii="Times New Roman" w:hAnsi="Times New Roman" w:cs="Times New Roman"/>
          <w:i/>
          <w:iCs/>
          <w:sz w:val="28"/>
          <w:szCs w:val="28"/>
        </w:rPr>
        <w:t>naturaleza jurídica</w:t>
      </w:r>
      <w:r w:rsidRPr="00AC66B3">
        <w:rPr>
          <w:rFonts w:ascii="Times New Roman" w:hAnsi="Times New Roman" w:cs="Times New Roman"/>
          <w:sz w:val="28"/>
          <w:szCs w:val="28"/>
        </w:rPr>
        <w:t xml:space="preserve"> en el contexto de la creación de la nueva entidad pública, es preciso resaltar que la norma habilitante prescrib</w:t>
      </w:r>
      <w:r w:rsidRPr="00AC66B3">
        <w:rPr>
          <w:rFonts w:ascii="Times New Roman" w:hAnsi="Times New Roman" w:cs="Times New Roman"/>
          <w:sz w:val="28"/>
          <w:szCs w:val="28"/>
        </w:rPr>
        <w:t xml:space="preserve">ió que esta debe estar </w:t>
      </w:r>
      <w:r w:rsidRPr="00AC66B3">
        <w:rPr>
          <w:rFonts w:ascii="Times New Roman" w:hAnsi="Times New Roman" w:cs="Times New Roman"/>
          <w:i/>
          <w:iCs/>
          <w:sz w:val="28"/>
          <w:szCs w:val="28"/>
        </w:rPr>
        <w:t>adscrita</w:t>
      </w:r>
      <w:r w:rsidRPr="00AC66B3">
        <w:rPr>
          <w:rFonts w:ascii="Times New Roman" w:hAnsi="Times New Roman" w:cs="Times New Roman"/>
          <w:sz w:val="28"/>
          <w:szCs w:val="28"/>
        </w:rPr>
        <w:t xml:space="preserve"> al Ministerio de Transporte</w:t>
      </w:r>
      <w:r w:rsidRPr="00AC66B3">
        <w:rPr>
          <w:rStyle w:val="Refdenotaalpie"/>
          <w:rFonts w:ascii="Times New Roman" w:hAnsi="Times New Roman" w:cs="Times New Roman"/>
          <w:sz w:val="28"/>
          <w:szCs w:val="28"/>
        </w:rPr>
        <w:footnoteReference w:id="173"/>
      </w:r>
      <w:r w:rsidRPr="00AC66B3">
        <w:rPr>
          <w:rFonts w:ascii="Times New Roman" w:hAnsi="Times New Roman" w:cs="Times New Roman"/>
          <w:sz w:val="28"/>
          <w:szCs w:val="28"/>
        </w:rPr>
        <w:t xml:space="preserve">. La Ley 489 de 1998, que regula la estructura y define los principios y reglas básicas de la organización y funcionamiento de la Administración Pública, distingue entre las entidades adscritas y </w:t>
      </w:r>
      <w:r w:rsidRPr="00AC66B3">
        <w:rPr>
          <w:rFonts w:ascii="Times New Roman" w:hAnsi="Times New Roman" w:cs="Times New Roman"/>
          <w:sz w:val="28"/>
          <w:szCs w:val="28"/>
        </w:rPr>
        <w:t>las entidades vinculadas a un ministerio o un departamento administrativo. Las primeras cumplen funciones administrativas o de prestación de un servicio, por lo que tienen un grado de relación mayor con</w:t>
      </w:r>
      <w:r w:rsidRPr="00AC66B3">
        <w:rPr>
          <w:rFonts w:ascii="Times New Roman" w:hAnsi="Times New Roman" w:cs="Times New Roman"/>
          <w:sz w:val="28"/>
        </w:rPr>
        <w:t xml:space="preserve"> </w:t>
      </w:r>
      <w:r w:rsidRPr="00AC66B3">
        <w:rPr>
          <w:rFonts w:ascii="Times New Roman" w:hAnsi="Times New Roman" w:cs="Times New Roman"/>
          <w:sz w:val="28"/>
          <w:szCs w:val="28"/>
        </w:rPr>
        <w:t>el ministerio o departamento administrativo que encab</w:t>
      </w:r>
      <w:r w:rsidRPr="00AC66B3">
        <w:rPr>
          <w:rFonts w:ascii="Times New Roman" w:hAnsi="Times New Roman" w:cs="Times New Roman"/>
          <w:sz w:val="28"/>
          <w:szCs w:val="28"/>
        </w:rPr>
        <w:t xml:space="preserve">eza el sector correspondiente. Las segundas, es decir, las entidades vinculadas, desarrollan actividades productivas, industriales o comerciales de venta de bienes y servicios y, en esa medida, tienen un grado de relación menor con el respectivo órgano de </w:t>
      </w:r>
      <w:r w:rsidRPr="00AC66B3">
        <w:rPr>
          <w:rFonts w:ascii="Times New Roman" w:hAnsi="Times New Roman" w:cs="Times New Roman"/>
          <w:sz w:val="28"/>
          <w:szCs w:val="28"/>
        </w:rPr>
        <w:t xml:space="preserve">administración. </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sz w:val="28"/>
          <w:szCs w:val="28"/>
        </w:rPr>
        <w:t>Por ende, al tenor de lo estatuido en el parágrafo del artículo 50 de la Ley 489 de 1998, «[l]as superintendencias, los establecimientos públicos y las unidades administrativas especiales estarán adscritos a los ministerios o departamento</w:t>
      </w:r>
      <w:r w:rsidRPr="00AC66B3">
        <w:rPr>
          <w:rFonts w:ascii="Times New Roman" w:hAnsi="Times New Roman" w:cs="Times New Roman"/>
          <w:sz w:val="28"/>
          <w:szCs w:val="28"/>
        </w:rPr>
        <w:t>s administrativos; [y] las empresas industriales y comerciales del Estado y las sociedades de economía mixta estarán vinculadas a aquellos». Los demás organismos y entidades estarán adscritos o vinculados, según lo determine su acto de creación</w:t>
      </w:r>
      <w:r w:rsidRPr="00AC66B3">
        <w:rPr>
          <w:rStyle w:val="Refdenotaalpie"/>
          <w:rFonts w:ascii="Times New Roman" w:hAnsi="Times New Roman" w:cs="Times New Roman"/>
          <w:sz w:val="28"/>
          <w:szCs w:val="28"/>
        </w:rPr>
        <w:footnoteReference w:id="174"/>
      </w:r>
      <w:r w:rsidRPr="00AC66B3">
        <w:rPr>
          <w:rFonts w:ascii="Times New Roman" w:hAnsi="Times New Roman" w:cs="Times New Roman"/>
          <w:sz w:val="28"/>
          <w:szCs w:val="28"/>
        </w:rPr>
        <w:t>. Es conven</w:t>
      </w:r>
      <w:r w:rsidRPr="00AC66B3">
        <w:rPr>
          <w:rFonts w:ascii="Times New Roman" w:hAnsi="Times New Roman" w:cs="Times New Roman"/>
          <w:sz w:val="28"/>
          <w:szCs w:val="28"/>
        </w:rPr>
        <w:t>iente anotar que, de acuerdo con el artículo 68 de la misma ley, independientemente de esta clasificación, los dos tipos de entidades «se sujetan a las reglas señaladas en la Constitución Política, en la [Ley 489 de 1998], en las leyes que las creen y dete</w:t>
      </w:r>
      <w:r w:rsidRPr="00AC66B3">
        <w:rPr>
          <w:rFonts w:ascii="Times New Roman" w:hAnsi="Times New Roman" w:cs="Times New Roman"/>
          <w:sz w:val="28"/>
          <w:szCs w:val="28"/>
        </w:rPr>
        <w:t>rminen su estructura orgánica y a sus estatutos internos».</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sz w:val="28"/>
          <w:szCs w:val="28"/>
        </w:rPr>
        <w:t>En concordancia con lo prescrito en el artículo 1 del Decreto Ley 1961 de 2023, y en razón de las ventajas que, de acuerdo con la memoria justificativa, tiene este tipo de entidades para el cumpli</w:t>
      </w:r>
      <w:r w:rsidRPr="00AC66B3">
        <w:rPr>
          <w:rFonts w:ascii="Times New Roman" w:hAnsi="Times New Roman" w:cs="Times New Roman"/>
          <w:sz w:val="28"/>
          <w:szCs w:val="28"/>
        </w:rPr>
        <w:t>miento del objetivo indicado en la norma habilitante</w:t>
      </w:r>
      <w:r w:rsidRPr="00AC66B3">
        <w:rPr>
          <w:rStyle w:val="Refdenotaalpie"/>
          <w:rFonts w:ascii="Times New Roman" w:hAnsi="Times New Roman" w:cs="Times New Roman"/>
          <w:sz w:val="28"/>
          <w:szCs w:val="28"/>
        </w:rPr>
        <w:footnoteReference w:id="175"/>
      </w:r>
      <w:r w:rsidRPr="00AC66B3">
        <w:rPr>
          <w:rFonts w:ascii="Times New Roman" w:hAnsi="Times New Roman" w:cs="Times New Roman"/>
          <w:sz w:val="28"/>
          <w:szCs w:val="28"/>
        </w:rPr>
        <w:t>, el presidente de la República optó por determinar que la nueva entidad sería un establecimiento público</w:t>
      </w:r>
      <w:r w:rsidRPr="00AC66B3">
        <w:rPr>
          <w:rStyle w:val="Refdenotaalpie"/>
          <w:rFonts w:ascii="Times New Roman" w:hAnsi="Times New Roman" w:cs="Times New Roman"/>
          <w:sz w:val="28"/>
          <w:szCs w:val="28"/>
        </w:rPr>
        <w:footnoteReference w:id="176"/>
      </w:r>
      <w:r w:rsidRPr="00AC66B3">
        <w:rPr>
          <w:rFonts w:ascii="Times New Roman" w:hAnsi="Times New Roman" w:cs="Times New Roman"/>
          <w:sz w:val="28"/>
          <w:szCs w:val="28"/>
        </w:rPr>
        <w:t>. Dicho artículo acogió en su integridad las características que gobiernan esta clase de entidade</w:t>
      </w:r>
      <w:r w:rsidRPr="00AC66B3">
        <w:rPr>
          <w:rFonts w:ascii="Times New Roman" w:hAnsi="Times New Roman" w:cs="Times New Roman"/>
          <w:sz w:val="28"/>
          <w:szCs w:val="28"/>
        </w:rPr>
        <w:t>s, es decir, aquellas enlistadas en el artículo 70 de la Ley 489 de 1998</w:t>
      </w:r>
      <w:r w:rsidRPr="00AC66B3">
        <w:rPr>
          <w:rStyle w:val="Refdenotaalpie"/>
          <w:rFonts w:ascii="Times New Roman" w:hAnsi="Times New Roman" w:cs="Times New Roman"/>
          <w:sz w:val="28"/>
          <w:szCs w:val="28"/>
        </w:rPr>
        <w:footnoteReference w:id="177"/>
      </w:r>
      <w:r w:rsidRPr="00AC66B3">
        <w:rPr>
          <w:rFonts w:ascii="Times New Roman" w:hAnsi="Times New Roman" w:cs="Times New Roman"/>
          <w:sz w:val="28"/>
          <w:szCs w:val="28"/>
        </w:rPr>
        <w:t xml:space="preserve">. Así, precisó que el Invir tendrá (i) personería jurídica, (ii) patrimonio propio y (iii) autonomía administrativa, técnica y financiera. </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b/>
          <w:bCs/>
          <w:sz w:val="28"/>
          <w:szCs w:val="28"/>
        </w:rPr>
        <w:t>Alcance de la expresión «</w:t>
      </w:r>
      <w:r w:rsidRPr="00AC66B3">
        <w:rPr>
          <w:rFonts w:ascii="Times New Roman" w:hAnsi="Times New Roman" w:cs="Times New Roman"/>
          <w:b/>
          <w:bCs/>
          <w:sz w:val="28"/>
          <w:szCs w:val="28"/>
          <w:lang w:val="es-ES"/>
        </w:rPr>
        <w:t>régimen jurídico</w:t>
      </w:r>
      <w:r w:rsidRPr="00AC66B3">
        <w:rPr>
          <w:rFonts w:ascii="Times New Roman" w:hAnsi="Times New Roman" w:cs="Times New Roman"/>
          <w:b/>
          <w:bCs/>
          <w:sz w:val="28"/>
          <w:szCs w:val="28"/>
        </w:rPr>
        <w:t>»</w:t>
      </w:r>
      <w:r w:rsidRPr="00AC66B3">
        <w:rPr>
          <w:rFonts w:ascii="Times New Roman" w:hAnsi="Times New Roman" w:cs="Times New Roman"/>
          <w:b/>
          <w:bCs/>
          <w:sz w:val="28"/>
          <w:szCs w:val="28"/>
          <w:lang w:val="es-ES"/>
        </w:rPr>
        <w:t>:</w:t>
      </w:r>
      <w:r w:rsidRPr="00AC66B3">
        <w:rPr>
          <w:rFonts w:ascii="Times New Roman" w:hAnsi="Times New Roman" w:cs="Times New Roman"/>
          <w:sz w:val="28"/>
          <w:szCs w:val="28"/>
          <w:lang w:val="es-ES"/>
        </w:rPr>
        <w:t xml:space="preserve"> </w:t>
      </w:r>
      <w:r w:rsidRPr="00AC66B3">
        <w:rPr>
          <w:rFonts w:ascii="Times New Roman" w:hAnsi="Times New Roman" w:cs="Times New Roman"/>
          <w:sz w:val="28"/>
          <w:szCs w:val="28"/>
        </w:rPr>
        <w:t xml:space="preserve">para comenzar, resulta conveniente resaltar que al tenor del inciso final del artículo 210 superior, el Constituyente delegó la regulación del régimen jurídico de los establecimientos públicos y, en general, de las entidades descentralizadas en el </w:t>
      </w:r>
      <w:r w:rsidRPr="00AC66B3">
        <w:rPr>
          <w:rFonts w:ascii="Times New Roman" w:hAnsi="Times New Roman" w:cs="Times New Roman"/>
          <w:sz w:val="28"/>
          <w:szCs w:val="28"/>
        </w:rPr>
        <w:t>Legislador</w:t>
      </w:r>
      <w:r w:rsidRPr="00AC66B3">
        <w:rPr>
          <w:rStyle w:val="Refdenotaalpie"/>
          <w:rFonts w:ascii="Times New Roman" w:hAnsi="Times New Roman" w:cs="Times New Roman"/>
          <w:sz w:val="28"/>
          <w:szCs w:val="28"/>
        </w:rPr>
        <w:footnoteReference w:id="178"/>
      </w:r>
      <w:r w:rsidRPr="00AC66B3">
        <w:rPr>
          <w:rFonts w:ascii="Times New Roman" w:hAnsi="Times New Roman" w:cs="Times New Roman"/>
          <w:sz w:val="28"/>
          <w:szCs w:val="28"/>
        </w:rPr>
        <w:t>. Es decir, la determinación del régimen jurídico de los establecimientos públicos forma parte de la libertad de configuración legislativa en esta materia</w:t>
      </w:r>
      <w:r w:rsidRPr="00AC66B3">
        <w:rPr>
          <w:rStyle w:val="Refdenotaalpie"/>
          <w:rFonts w:ascii="Times New Roman" w:hAnsi="Times New Roman" w:cs="Times New Roman"/>
          <w:sz w:val="28"/>
          <w:szCs w:val="28"/>
        </w:rPr>
        <w:footnoteReference w:id="179"/>
      </w:r>
      <w:r w:rsidRPr="00AC66B3">
        <w:rPr>
          <w:rFonts w:ascii="Times New Roman" w:hAnsi="Times New Roman" w:cs="Times New Roman"/>
          <w:sz w:val="28"/>
          <w:szCs w:val="28"/>
        </w:rPr>
        <w:t>. En este orden, la Corte ha explicado que el Legislador puede conceder facultades extraor</w:t>
      </w:r>
      <w:r w:rsidRPr="00AC66B3">
        <w:rPr>
          <w:rFonts w:ascii="Times New Roman" w:hAnsi="Times New Roman" w:cs="Times New Roman"/>
          <w:sz w:val="28"/>
          <w:szCs w:val="28"/>
        </w:rPr>
        <w:t xml:space="preserve">dinarias al presidente de la República para expedir decretos con fuerza de ley, mediante los cuales este </w:t>
      </w:r>
      <w:r w:rsidRPr="00AC66B3">
        <w:rPr>
          <w:rFonts w:ascii="Times New Roman" w:hAnsi="Times New Roman" w:cs="Times New Roman"/>
          <w:sz w:val="28"/>
          <w:szCs w:val="28"/>
          <w:lang w:val="es-ES"/>
        </w:rPr>
        <w:t>determine la naturaleza jurídica, los objetivos, la estructura orgánica y el</w:t>
      </w:r>
      <w:r w:rsidRPr="00AC66B3">
        <w:rPr>
          <w:rFonts w:ascii="Times New Roman" w:hAnsi="Times New Roman" w:cs="Times New Roman"/>
          <w:i/>
          <w:iCs/>
          <w:sz w:val="28"/>
          <w:szCs w:val="28"/>
          <w:lang w:val="es-ES"/>
        </w:rPr>
        <w:t xml:space="preserve"> régimen jurídico</w:t>
      </w:r>
      <w:r w:rsidRPr="00AC66B3">
        <w:rPr>
          <w:rFonts w:ascii="Times New Roman" w:hAnsi="Times New Roman" w:cs="Times New Roman"/>
          <w:sz w:val="28"/>
          <w:szCs w:val="28"/>
          <w:lang w:val="es-ES"/>
        </w:rPr>
        <w:t xml:space="preserve"> de entidades administrativas</w:t>
      </w:r>
      <w:r w:rsidRPr="00AC66B3">
        <w:rPr>
          <w:rStyle w:val="Refdenotaalpie"/>
          <w:rFonts w:ascii="Times New Roman" w:hAnsi="Times New Roman" w:cs="Times New Roman"/>
          <w:sz w:val="28"/>
          <w:szCs w:val="28"/>
          <w:lang w:val="es-ES"/>
        </w:rPr>
        <w:footnoteReference w:id="180"/>
      </w:r>
      <w:r w:rsidRPr="00AC66B3">
        <w:rPr>
          <w:rFonts w:ascii="Times New Roman" w:hAnsi="Times New Roman" w:cs="Times New Roman"/>
          <w:sz w:val="28"/>
          <w:szCs w:val="28"/>
        </w:rPr>
        <w:t xml:space="preserve">. </w:t>
      </w: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sz w:val="28"/>
          <w:szCs w:val="28"/>
        </w:rPr>
        <w:t>La jurisprudencia ha sost</w:t>
      </w:r>
      <w:r w:rsidRPr="00AC66B3">
        <w:rPr>
          <w:rFonts w:ascii="Times New Roman" w:hAnsi="Times New Roman" w:cs="Times New Roman"/>
          <w:sz w:val="28"/>
          <w:szCs w:val="28"/>
        </w:rPr>
        <w:t xml:space="preserve">enido que </w:t>
      </w:r>
      <w:bookmarkStart w:id="26" w:name="_Hlk168038283"/>
      <w:r w:rsidRPr="00AC66B3">
        <w:rPr>
          <w:rFonts w:ascii="Times New Roman" w:hAnsi="Times New Roman" w:cs="Times New Roman"/>
          <w:sz w:val="28"/>
          <w:szCs w:val="28"/>
        </w:rPr>
        <w:t xml:space="preserve">la noción </w:t>
      </w:r>
      <w:r w:rsidRPr="00AC66B3">
        <w:rPr>
          <w:rFonts w:ascii="Times New Roman" w:hAnsi="Times New Roman" w:cs="Times New Roman"/>
          <w:i/>
          <w:iCs/>
          <w:sz w:val="28"/>
          <w:szCs w:val="28"/>
        </w:rPr>
        <w:t>régimen jurídico</w:t>
      </w:r>
      <w:r w:rsidRPr="00AC66B3">
        <w:rPr>
          <w:rFonts w:ascii="Times New Roman" w:hAnsi="Times New Roman" w:cs="Times New Roman"/>
          <w:sz w:val="28"/>
          <w:szCs w:val="28"/>
        </w:rPr>
        <w:t xml:space="preserve"> se refiere al conjunto de normas aplicables, entre otros aspectos, a los actos, los contratos y los servidores de la entidad</w:t>
      </w:r>
      <w:bookmarkEnd w:id="26"/>
      <w:r w:rsidRPr="00AC66B3">
        <w:rPr>
          <w:rStyle w:val="Refdenotaalpie"/>
          <w:rFonts w:ascii="Times New Roman" w:hAnsi="Times New Roman" w:cs="Times New Roman"/>
          <w:sz w:val="28"/>
          <w:szCs w:val="28"/>
        </w:rPr>
        <w:footnoteReference w:id="181"/>
      </w:r>
      <w:r w:rsidRPr="00AC66B3">
        <w:rPr>
          <w:rFonts w:ascii="Times New Roman" w:hAnsi="Times New Roman" w:cs="Times New Roman"/>
          <w:sz w:val="28"/>
          <w:szCs w:val="28"/>
        </w:rPr>
        <w:t>. El numeral 2 del artículo 50 de la Ley 489 de 1998</w:t>
      </w:r>
      <w:r w:rsidRPr="00AC66B3">
        <w:rPr>
          <w:rStyle w:val="Refdenotaalpie"/>
          <w:rFonts w:ascii="Times New Roman" w:hAnsi="Times New Roman" w:cs="Times New Roman"/>
          <w:sz w:val="28"/>
          <w:szCs w:val="28"/>
        </w:rPr>
        <w:footnoteReference w:id="182"/>
      </w:r>
      <w:r w:rsidRPr="00AC66B3">
        <w:rPr>
          <w:rFonts w:ascii="Times New Roman" w:hAnsi="Times New Roman" w:cs="Times New Roman"/>
          <w:sz w:val="28"/>
          <w:szCs w:val="28"/>
        </w:rPr>
        <w:t>, al emplear la palabra «consiguiente», p</w:t>
      </w:r>
      <w:r w:rsidRPr="00AC66B3">
        <w:rPr>
          <w:rFonts w:ascii="Times New Roman" w:hAnsi="Times New Roman" w:cs="Times New Roman"/>
          <w:sz w:val="28"/>
          <w:szCs w:val="28"/>
        </w:rPr>
        <w:t xml:space="preserve">rescribe que el régimen jurídico de una entidad administrativa depende o es el resultado de su naturaleza jurídica. </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sz w:val="28"/>
          <w:szCs w:val="28"/>
        </w:rPr>
        <w:t>En la actualidad, el régimen jurídico de los establecimientos públicos, como el Invir, se encuentra previsto, de manera general, en el art</w:t>
      </w:r>
      <w:r w:rsidRPr="00AC66B3">
        <w:rPr>
          <w:rFonts w:ascii="Times New Roman" w:hAnsi="Times New Roman" w:cs="Times New Roman"/>
          <w:sz w:val="28"/>
          <w:szCs w:val="28"/>
        </w:rPr>
        <w:t xml:space="preserve">ículo 81 de la Ley 489 de 1998. El mencionado artículo 81 se titula </w:t>
      </w:r>
      <w:bookmarkStart w:id="27" w:name="_Hlk163568911"/>
      <w:r w:rsidRPr="00AC66B3">
        <w:rPr>
          <w:rFonts w:ascii="Times New Roman" w:hAnsi="Times New Roman" w:cs="Times New Roman"/>
          <w:sz w:val="28"/>
          <w:szCs w:val="28"/>
        </w:rPr>
        <w:t>«</w:t>
      </w:r>
      <w:bookmarkEnd w:id="27"/>
      <w:r w:rsidRPr="00AC66B3">
        <w:rPr>
          <w:rFonts w:ascii="Times New Roman" w:hAnsi="Times New Roman" w:cs="Times New Roman"/>
          <w:sz w:val="28"/>
          <w:szCs w:val="28"/>
        </w:rPr>
        <w:t>régimen de los actos y contratos». Su primer inciso dispone que «[l]os actos unilaterales que expidan los establecimientos públicos en ejercicio de funciones administrativas son actos adm</w:t>
      </w:r>
      <w:r w:rsidRPr="00AC66B3">
        <w:rPr>
          <w:rFonts w:ascii="Times New Roman" w:hAnsi="Times New Roman" w:cs="Times New Roman"/>
          <w:sz w:val="28"/>
          <w:szCs w:val="28"/>
        </w:rPr>
        <w:t xml:space="preserve">inistrativos y se sujetan a las disposiciones del Código Contencioso Administrativo». En materia contractual, el artículo en cita determina que «[l]os contratos que celebren los establecimientos públicos se rigen por las normas del Estatuto Contractual de </w:t>
      </w:r>
      <w:r w:rsidRPr="00AC66B3">
        <w:rPr>
          <w:rFonts w:ascii="Times New Roman" w:hAnsi="Times New Roman" w:cs="Times New Roman"/>
          <w:sz w:val="28"/>
          <w:szCs w:val="28"/>
        </w:rPr>
        <w:t xml:space="preserve">las entidades estatales contenido en la Ley 80 de 1993 y las disposiciones que lo complementen, adicionen o modifiquen, </w:t>
      </w:r>
      <w:r w:rsidRPr="00AC66B3">
        <w:rPr>
          <w:rFonts w:ascii="Times New Roman" w:hAnsi="Times New Roman" w:cs="Times New Roman"/>
          <w:b/>
          <w:bCs/>
          <w:sz w:val="28"/>
          <w:szCs w:val="28"/>
        </w:rPr>
        <w:t>sin perjuicio de lo dispuesto en las normas especiales</w:t>
      </w:r>
      <w:bookmarkStart w:id="28" w:name="_Hlk163568931"/>
      <w:r w:rsidRPr="00AC66B3">
        <w:rPr>
          <w:rFonts w:ascii="Times New Roman" w:hAnsi="Times New Roman" w:cs="Times New Roman"/>
          <w:sz w:val="28"/>
          <w:szCs w:val="28"/>
        </w:rPr>
        <w:t>»</w:t>
      </w:r>
      <w:bookmarkEnd w:id="28"/>
      <w:r w:rsidRPr="00AC66B3">
        <w:rPr>
          <w:rStyle w:val="Refdenotaalpie"/>
          <w:rFonts w:ascii="Times New Roman" w:hAnsi="Times New Roman" w:cs="Times New Roman"/>
          <w:sz w:val="28"/>
          <w:szCs w:val="28"/>
        </w:rPr>
        <w:footnoteReference w:id="183"/>
      </w:r>
      <w:r w:rsidRPr="00AC66B3">
        <w:rPr>
          <w:rFonts w:ascii="Times New Roman" w:hAnsi="Times New Roman" w:cs="Times New Roman"/>
          <w:sz w:val="28"/>
          <w:szCs w:val="28"/>
        </w:rPr>
        <w:t xml:space="preserve"> [negrilla fuera del texto].</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p>
    <w:p w:rsidR="000A045E" w:rsidRPr="00AC66B3" w:rsidRDefault="00AC66B3" w:rsidP="000A045E">
      <w:pPr>
        <w:pStyle w:val="Prrafodelista"/>
        <w:numPr>
          <w:ilvl w:val="0"/>
          <w:numId w:val="2"/>
        </w:numPr>
        <w:shd w:val="clear" w:color="auto" w:fill="FFFFFF"/>
        <w:ind w:left="0" w:firstLine="0"/>
        <w:jc w:val="both"/>
        <w:rPr>
          <w:rFonts w:ascii="Times New Roman" w:hAnsi="Times New Roman" w:cs="Times New Roman"/>
          <w:sz w:val="28"/>
          <w:szCs w:val="28"/>
        </w:rPr>
      </w:pPr>
      <w:r w:rsidRPr="00AC66B3">
        <w:rPr>
          <w:rFonts w:ascii="Times New Roman" w:hAnsi="Times New Roman" w:cs="Times New Roman"/>
          <w:sz w:val="28"/>
          <w:szCs w:val="28"/>
        </w:rPr>
        <w:t>De acuerdo con lo anterior, los contratos que cele</w:t>
      </w:r>
      <w:r w:rsidRPr="00AC66B3">
        <w:rPr>
          <w:rFonts w:ascii="Times New Roman" w:hAnsi="Times New Roman" w:cs="Times New Roman"/>
          <w:sz w:val="28"/>
          <w:szCs w:val="28"/>
        </w:rPr>
        <w:t xml:space="preserve">bren los establecimientos públicos se rigen por las normas del EGCAP y las </w:t>
      </w:r>
      <w:r w:rsidRPr="00AC66B3">
        <w:rPr>
          <w:rFonts w:ascii="Times New Roman" w:hAnsi="Times New Roman" w:cs="Times New Roman"/>
          <w:i/>
          <w:iCs/>
          <w:sz w:val="28"/>
          <w:szCs w:val="28"/>
        </w:rPr>
        <w:t>normas especiales</w:t>
      </w:r>
      <w:r w:rsidRPr="00AC66B3">
        <w:rPr>
          <w:rFonts w:ascii="Times New Roman" w:hAnsi="Times New Roman" w:cs="Times New Roman"/>
          <w:sz w:val="28"/>
          <w:szCs w:val="28"/>
        </w:rPr>
        <w:t xml:space="preserve"> que regulen la materia. Al respecto, se ha de precisar que las normas que conforman dicho estatuto no tienen, en todo caso, un carácter prevalente sobre las normas</w:t>
      </w:r>
      <w:r w:rsidRPr="00AC66B3">
        <w:rPr>
          <w:rFonts w:ascii="Times New Roman" w:hAnsi="Times New Roman" w:cs="Times New Roman"/>
          <w:sz w:val="28"/>
          <w:szCs w:val="28"/>
        </w:rPr>
        <w:t xml:space="preserve"> legales especiales, cuando estas son de naturaleza ordinaria</w:t>
      </w:r>
      <w:r w:rsidRPr="00AC66B3">
        <w:rPr>
          <w:rStyle w:val="Refdenotaalpie"/>
          <w:rFonts w:ascii="Times New Roman" w:hAnsi="Times New Roman" w:cs="Times New Roman"/>
          <w:sz w:val="28"/>
          <w:szCs w:val="28"/>
        </w:rPr>
        <w:footnoteReference w:id="184"/>
      </w:r>
      <w:r w:rsidRPr="00AC66B3">
        <w:rPr>
          <w:rFonts w:ascii="Times New Roman" w:hAnsi="Times New Roman" w:cs="Times New Roman"/>
          <w:sz w:val="28"/>
          <w:szCs w:val="28"/>
        </w:rPr>
        <w:t>.</w:t>
      </w:r>
    </w:p>
    <w:p w:rsidR="000A045E" w:rsidRPr="00AC66B3" w:rsidRDefault="00AC66B3" w:rsidP="000A045E">
      <w:pPr>
        <w:pStyle w:val="Prrafodelista"/>
        <w:shd w:val="clear" w:color="auto" w:fill="FFFFFF"/>
        <w:ind w:left="0"/>
        <w:jc w:val="both"/>
        <w:rPr>
          <w:rFonts w:ascii="Times New Roman" w:hAnsi="Times New Roman" w:cs="Times New Roman"/>
          <w:sz w:val="28"/>
          <w:szCs w:val="28"/>
        </w:rPr>
      </w:pPr>
      <w:r w:rsidRPr="00AC66B3">
        <w:rPr>
          <w:rFonts w:ascii="Times New Roman" w:hAnsi="Times New Roman" w:cs="Times New Roman"/>
          <w:sz w:val="28"/>
          <w:szCs w:val="28"/>
        </w:rPr>
        <w:t xml:space="preserve"> </w:t>
      </w: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Aunque, como ya se explicó, la definición de esas normas especiales forma parte de la libertad de configuración legislativa, en el caso concreto, la facultad del presidente de la República p</w:t>
      </w:r>
      <w:r w:rsidRPr="00AC66B3">
        <w:rPr>
          <w:rFonts w:ascii="Times New Roman" w:hAnsi="Times New Roman" w:cs="Times New Roman"/>
          <w:sz w:val="28"/>
          <w:szCs w:val="28"/>
        </w:rPr>
        <w:t xml:space="preserve">ara fijar el régimen de contratación del Invir se encontraba sometida a una restricción adicional: </w:t>
      </w:r>
      <w:r w:rsidRPr="00AC66B3">
        <w:rPr>
          <w:rFonts w:ascii="Times New Roman" w:hAnsi="Times New Roman" w:cs="Times New Roman"/>
          <w:bCs/>
          <w:sz w:val="28"/>
          <w:szCs w:val="28"/>
          <w:lang w:eastAsia="es-ES"/>
        </w:rPr>
        <w:t>la finalidad</w:t>
      </w:r>
      <w:r w:rsidRPr="00AC66B3">
        <w:rPr>
          <w:rFonts w:ascii="Times New Roman" w:hAnsi="Times New Roman" w:cs="Times New Roman"/>
          <w:sz w:val="28"/>
          <w:szCs w:val="28"/>
        </w:rPr>
        <w:t xml:space="preserve"> concreta que el Legislador buscaba alcanzar con la delegación. Esta es, la creación de una entidad que se encargara con exclusividad del fomento</w:t>
      </w:r>
      <w:r w:rsidRPr="00AC66B3">
        <w:rPr>
          <w:rFonts w:ascii="Times New Roman" w:hAnsi="Times New Roman" w:cs="Times New Roman"/>
          <w:sz w:val="28"/>
          <w:szCs w:val="28"/>
        </w:rPr>
        <w:t xml:space="preserve"> de la construcción, el mejoramiento y la conservación de las vías terciarias, con el fin de sustraer esa materia del objeto del Invías. </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bCs/>
          <w:sz w:val="28"/>
          <w:szCs w:val="28"/>
          <w:bdr w:val="none" w:sz="0" w:space="0" w:color="auto" w:frame="1"/>
        </w:rPr>
      </w:pPr>
      <w:r w:rsidRPr="00AC66B3">
        <w:rPr>
          <w:rFonts w:ascii="Times New Roman" w:hAnsi="Times New Roman" w:cs="Times New Roman"/>
          <w:sz w:val="28"/>
          <w:szCs w:val="28"/>
        </w:rPr>
        <w:t>En franco desconocimiento de esa restricción, la Sala encuentra que, para la satisfacción de la finalidad descrita, n</w:t>
      </w:r>
      <w:r w:rsidRPr="00AC66B3">
        <w:rPr>
          <w:rFonts w:ascii="Times New Roman" w:hAnsi="Times New Roman" w:cs="Times New Roman"/>
          <w:sz w:val="28"/>
          <w:szCs w:val="28"/>
        </w:rPr>
        <w:t>o era indispensable dotar al Invir de un régimen de contratación excepcional, como en efecto ocurrió mediante la expedición de las normas demandadas.</w:t>
      </w:r>
    </w:p>
    <w:p w:rsidR="000A045E" w:rsidRPr="00AC66B3" w:rsidRDefault="00AC66B3" w:rsidP="000A045E">
      <w:pPr>
        <w:pStyle w:val="Prrafodelista"/>
        <w:tabs>
          <w:tab w:val="left" w:pos="142"/>
          <w:tab w:val="left" w:pos="284"/>
        </w:tabs>
        <w:ind w:left="0"/>
        <w:jc w:val="both"/>
        <w:rPr>
          <w:rFonts w:ascii="Times New Roman" w:hAnsi="Times New Roman" w:cs="Times New Roman"/>
          <w:bCs/>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bdr w:val="none" w:sz="0" w:space="0" w:color="auto" w:frame="1"/>
        </w:rPr>
      </w:pPr>
      <w:r w:rsidRPr="00AC66B3">
        <w:rPr>
          <w:rFonts w:ascii="Times New Roman" w:hAnsi="Times New Roman" w:cs="Times New Roman"/>
          <w:sz w:val="28"/>
          <w:szCs w:val="28"/>
        </w:rPr>
        <w:t>Según se indicó en líneas anteriores,</w:t>
      </w:r>
      <w:r w:rsidRPr="00AC66B3">
        <w:rPr>
          <w:rFonts w:ascii="Times New Roman" w:hAnsi="Times New Roman" w:cs="Times New Roman"/>
          <w:b/>
          <w:bCs/>
          <w:sz w:val="28"/>
          <w:szCs w:val="28"/>
        </w:rPr>
        <w:t xml:space="preserve"> </w:t>
      </w:r>
      <w:r w:rsidRPr="00AC66B3">
        <w:rPr>
          <w:rFonts w:ascii="Times New Roman" w:hAnsi="Times New Roman" w:cs="Times New Roman"/>
          <w:bCs/>
          <w:sz w:val="28"/>
          <w:szCs w:val="28"/>
          <w:lang w:eastAsia="es-ES"/>
        </w:rPr>
        <w:t>la simple invocación a la libertad de configuración del legislador</w:t>
      </w:r>
      <w:r w:rsidRPr="00AC66B3">
        <w:rPr>
          <w:rFonts w:ascii="Times New Roman" w:hAnsi="Times New Roman" w:cs="Times New Roman"/>
          <w:sz w:val="28"/>
          <w:szCs w:val="28"/>
        </w:rPr>
        <w:t xml:space="preserve"> en este ámbito se torna insuficiente para establecer un vínculo sustancial entre </w:t>
      </w:r>
      <w:r w:rsidRPr="00AC66B3">
        <w:rPr>
          <w:rFonts w:ascii="Times New Roman" w:hAnsi="Times New Roman" w:cs="Times New Roman"/>
          <w:bCs/>
          <w:sz w:val="28"/>
          <w:szCs w:val="28"/>
          <w:lang w:eastAsia="es-ES"/>
        </w:rPr>
        <w:t>los límites temáticos que imprime la ley habilitante y las normas demandadas. En el contexto específico del otorgamiento de facultades extraordinarias otorgadas al presidente</w:t>
      </w:r>
      <w:r w:rsidRPr="00AC66B3">
        <w:rPr>
          <w:rFonts w:ascii="Times New Roman" w:hAnsi="Times New Roman" w:cs="Times New Roman"/>
          <w:bCs/>
          <w:sz w:val="28"/>
          <w:szCs w:val="28"/>
          <w:lang w:eastAsia="es-ES"/>
        </w:rPr>
        <w:t xml:space="preserve"> de la República para legislar sobre una materia, dicha libertad se encuentra sometida a los aspectos ya mencionados, es decir, a </w:t>
      </w:r>
      <w:r w:rsidRPr="00AC66B3">
        <w:rPr>
          <w:rFonts w:ascii="Times New Roman" w:hAnsi="Times New Roman" w:cs="Times New Roman"/>
          <w:sz w:val="28"/>
          <w:szCs w:val="28"/>
          <w:lang w:eastAsia="es-ES"/>
        </w:rPr>
        <w:t xml:space="preserve">la coherencia entre </w:t>
      </w:r>
      <w:r w:rsidRPr="00AC66B3">
        <w:rPr>
          <w:rFonts w:ascii="Times New Roman" w:hAnsi="Times New Roman" w:cs="Times New Roman"/>
          <w:sz w:val="28"/>
          <w:szCs w:val="28"/>
          <w:lang w:val="es-ES" w:eastAsia="es-ES"/>
        </w:rPr>
        <w:t xml:space="preserve">las normas acusadas y los motivos </w:t>
      </w:r>
      <w:r w:rsidRPr="00AC66B3">
        <w:rPr>
          <w:rFonts w:ascii="Times New Roman" w:hAnsi="Times New Roman" w:cs="Times New Roman"/>
          <w:sz w:val="28"/>
          <w:szCs w:val="28"/>
          <w:lang w:eastAsia="es-ES"/>
        </w:rPr>
        <w:t xml:space="preserve">que fundaron la solicitud de facultades extraordinarias, y a la relación directa e inmediata de índole material entre las normas demandadas y la norma habilitante.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bdr w:val="none" w:sz="0" w:space="0" w:color="auto" w:frame="1"/>
        </w:rPr>
      </w:pPr>
      <w:r w:rsidRPr="00AC66B3">
        <w:rPr>
          <w:rFonts w:ascii="Times New Roman" w:hAnsi="Times New Roman" w:cs="Times New Roman"/>
          <w:sz w:val="28"/>
          <w:szCs w:val="28"/>
          <w:lang w:eastAsia="es-ES"/>
        </w:rPr>
        <w:t>Por consiguiente, la libertad de configuración del presidente de la República para crear r</w:t>
      </w:r>
      <w:r w:rsidRPr="00AC66B3">
        <w:rPr>
          <w:rFonts w:ascii="Times New Roman" w:hAnsi="Times New Roman" w:cs="Times New Roman"/>
          <w:sz w:val="28"/>
          <w:szCs w:val="28"/>
          <w:lang w:eastAsia="es-ES"/>
        </w:rPr>
        <w:t>egímenes de contratación excepcionales no es equiparable a la que posee el Legislador en esa misma materia. Tratándose del ejercicio de facultades extraordinarias, el presidente de la República está sometido a las restricciones adicionales tantas veces rei</w:t>
      </w:r>
      <w:r w:rsidRPr="00AC66B3">
        <w:rPr>
          <w:rFonts w:ascii="Times New Roman" w:hAnsi="Times New Roman" w:cs="Times New Roman"/>
          <w:sz w:val="28"/>
          <w:szCs w:val="28"/>
          <w:lang w:eastAsia="es-ES"/>
        </w:rPr>
        <w:t>teradas. Entender que, en aras del principio de libertad de configuración legislativa, el presidente de la República podía crear un régimen de contratación excepcional para la nueva entidad priva de todo sentido y aplicación la norma superior que le permit</w:t>
      </w:r>
      <w:r w:rsidRPr="00AC66B3">
        <w:rPr>
          <w:rFonts w:ascii="Times New Roman" w:hAnsi="Times New Roman" w:cs="Times New Roman"/>
          <w:sz w:val="28"/>
          <w:szCs w:val="28"/>
          <w:lang w:eastAsia="es-ES"/>
        </w:rPr>
        <w:t xml:space="preserve">e, justamente, el ejercicio de competencias legislativas por esa vía. Por consiguiente, tal hermenéutica resulta en extremo legalista y formalista. Además, esa deducción desconoce que </w:t>
      </w:r>
      <w:r w:rsidRPr="00AC66B3">
        <w:rPr>
          <w:rFonts w:ascii="Times New Roman" w:hAnsi="Times New Roman" w:cs="Times New Roman"/>
          <w:bCs/>
          <w:sz w:val="28"/>
          <w:szCs w:val="28"/>
          <w:lang w:eastAsia="es-ES"/>
        </w:rPr>
        <w:t>la interpretación de la norma habilitante debe ser literal y restrictiva</w:t>
      </w:r>
      <w:r w:rsidRPr="00AC66B3">
        <w:rPr>
          <w:rFonts w:ascii="Times New Roman" w:hAnsi="Times New Roman" w:cs="Times New Roman"/>
          <w:bCs/>
          <w:sz w:val="28"/>
          <w:szCs w:val="28"/>
          <w:lang w:eastAsia="es-ES"/>
        </w:rPr>
        <w:t xml:space="preserve"> o, en otras palabras, de ningún modo amplia, extensiva o por analogía. Esto supone que </w:t>
      </w:r>
      <w:r w:rsidRPr="00AC66B3">
        <w:rPr>
          <w:rFonts w:ascii="Times New Roman" w:hAnsi="Times New Roman" w:cs="Times New Roman"/>
          <w:bCs/>
          <w:sz w:val="28"/>
          <w:szCs w:val="28"/>
          <w:lang w:val="es-ES" w:eastAsia="es-ES"/>
        </w:rPr>
        <w:t xml:space="preserve">no existen habilitaciones o competencias implícitas, pues lo contrario representa una invasión de la órbita constitucional del Congreso. </w:t>
      </w:r>
    </w:p>
    <w:p w:rsidR="000A045E" w:rsidRPr="00AC66B3" w:rsidRDefault="00AC66B3" w:rsidP="000A045E">
      <w:pPr>
        <w:pStyle w:val="Prrafodelista"/>
        <w:tabs>
          <w:tab w:val="left" w:pos="142"/>
          <w:tab w:val="left" w:pos="284"/>
        </w:tabs>
        <w:ind w:left="0"/>
        <w:jc w:val="both"/>
        <w:rPr>
          <w:rFonts w:ascii="Times New Roman" w:hAnsi="Times New Roman" w:cs="Times New Roman"/>
          <w:sz w:val="28"/>
          <w:szCs w:val="28"/>
          <w:bdr w:val="none" w:sz="0" w:space="0" w:color="auto" w:frame="1"/>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bdr w:val="none" w:sz="0" w:space="0" w:color="auto" w:frame="1"/>
        </w:rPr>
      </w:pPr>
      <w:r w:rsidRPr="00AC66B3">
        <w:rPr>
          <w:rFonts w:ascii="Times New Roman" w:hAnsi="Times New Roman" w:cs="Times New Roman"/>
          <w:sz w:val="28"/>
          <w:szCs w:val="28"/>
          <w:lang w:eastAsia="es-ES"/>
        </w:rPr>
        <w:t xml:space="preserve">De este modo, si bien </w:t>
      </w:r>
      <w:r w:rsidRPr="00AC66B3">
        <w:rPr>
          <w:rFonts w:ascii="Times New Roman" w:hAnsi="Times New Roman" w:cs="Times New Roman"/>
          <w:sz w:val="28"/>
          <w:szCs w:val="28"/>
          <w:lang w:eastAsia="es-ES_tradnl"/>
        </w:rPr>
        <w:t>el p</w:t>
      </w:r>
      <w:r w:rsidRPr="00AC66B3">
        <w:rPr>
          <w:rFonts w:ascii="Times New Roman" w:hAnsi="Times New Roman" w:cs="Times New Roman"/>
          <w:sz w:val="28"/>
          <w:szCs w:val="28"/>
          <w:shd w:val="clear" w:color="auto" w:fill="FFFFFF"/>
        </w:rPr>
        <w:t>res</w:t>
      </w:r>
      <w:r w:rsidRPr="00AC66B3">
        <w:rPr>
          <w:rFonts w:ascii="Times New Roman" w:hAnsi="Times New Roman" w:cs="Times New Roman"/>
          <w:sz w:val="28"/>
          <w:szCs w:val="28"/>
          <w:shd w:val="clear" w:color="auto" w:fill="FFFFFF"/>
        </w:rPr>
        <w:t xml:space="preserve">idente de la República tenía un margen razonable de apreciación respecto del contenido de los términos empleados en la norma habilitante para la definición del régimen contractual del Invir, su valoración debía coincidir con la teleología de la delegación </w:t>
      </w:r>
      <w:r w:rsidRPr="00AC66B3">
        <w:rPr>
          <w:rFonts w:ascii="Times New Roman" w:hAnsi="Times New Roman" w:cs="Times New Roman"/>
          <w:sz w:val="28"/>
          <w:szCs w:val="28"/>
          <w:shd w:val="clear" w:color="auto" w:fill="FFFFFF"/>
        </w:rPr>
        <w:t xml:space="preserve">legislativa. El presidente solo podía considerar diferentes opciones para la determinación del régimen contractual del Invir, a condición de que el Legislador lo hubiera autorizado de manera </w:t>
      </w:r>
      <w:r w:rsidRPr="00AC66B3">
        <w:rPr>
          <w:rFonts w:ascii="Times New Roman" w:hAnsi="Times New Roman" w:cs="Times New Roman"/>
          <w:b/>
          <w:bCs/>
          <w:sz w:val="28"/>
          <w:szCs w:val="28"/>
          <w:shd w:val="clear" w:color="auto" w:fill="FFFFFF"/>
        </w:rPr>
        <w:t>explícita</w:t>
      </w:r>
      <w:r w:rsidRPr="00AC66B3">
        <w:rPr>
          <w:rFonts w:ascii="Times New Roman" w:hAnsi="Times New Roman" w:cs="Times New Roman"/>
          <w:sz w:val="28"/>
          <w:szCs w:val="28"/>
          <w:shd w:val="clear" w:color="auto" w:fill="FFFFFF"/>
        </w:rPr>
        <w:t xml:space="preserve"> para ello; o que la interpretación de la existencia de </w:t>
      </w:r>
      <w:r w:rsidRPr="00AC66B3">
        <w:rPr>
          <w:rFonts w:ascii="Times New Roman" w:hAnsi="Times New Roman" w:cs="Times New Roman"/>
          <w:sz w:val="28"/>
          <w:szCs w:val="28"/>
          <w:shd w:val="clear" w:color="auto" w:fill="FFFFFF"/>
        </w:rPr>
        <w:t xml:space="preserve">esa autorización hubiese sido congruente con </w:t>
      </w:r>
      <w:r w:rsidRPr="00AC66B3">
        <w:rPr>
          <w:rFonts w:ascii="Times New Roman" w:hAnsi="Times New Roman" w:cs="Times New Roman"/>
          <w:sz w:val="28"/>
          <w:szCs w:val="28"/>
          <w:lang w:val="es-ES" w:eastAsia="es-ES"/>
        </w:rPr>
        <w:t xml:space="preserve">los motivos </w:t>
      </w:r>
      <w:r w:rsidRPr="00AC66B3">
        <w:rPr>
          <w:rFonts w:ascii="Times New Roman" w:hAnsi="Times New Roman" w:cs="Times New Roman"/>
          <w:sz w:val="28"/>
          <w:szCs w:val="28"/>
          <w:lang w:eastAsia="es-ES"/>
        </w:rPr>
        <w:t>que fundaron la concesión de facultades extraordinarias</w:t>
      </w:r>
      <w:r w:rsidRPr="00AC66B3">
        <w:rPr>
          <w:rFonts w:ascii="Times New Roman" w:hAnsi="Times New Roman" w:cs="Times New Roman"/>
          <w:sz w:val="28"/>
          <w:szCs w:val="28"/>
          <w:shd w:val="clear" w:color="auto" w:fill="FFFFFF"/>
        </w:rPr>
        <w:t>. Ninguna de estas dos condiciones se cumple y, por tanto, también por esta razón, las normas acusadas contravienen el artículo 150, numeral 10,</w:t>
      </w:r>
      <w:r w:rsidRPr="00AC66B3">
        <w:rPr>
          <w:rFonts w:ascii="Times New Roman" w:hAnsi="Times New Roman" w:cs="Times New Roman"/>
          <w:sz w:val="28"/>
          <w:szCs w:val="28"/>
          <w:shd w:val="clear" w:color="auto" w:fill="FFFFFF"/>
        </w:rPr>
        <w:t xml:space="preserve"> de la Constitución. </w:t>
      </w:r>
    </w:p>
    <w:p w:rsidR="000A045E" w:rsidRPr="00AC66B3" w:rsidRDefault="00AC66B3" w:rsidP="000A045E">
      <w:pPr>
        <w:pStyle w:val="Prrafodelista"/>
        <w:shd w:val="clear" w:color="auto" w:fill="FFFFFF"/>
        <w:tabs>
          <w:tab w:val="left" w:pos="142"/>
          <w:tab w:val="left" w:pos="284"/>
        </w:tabs>
        <w:ind w:left="0"/>
        <w:jc w:val="both"/>
        <w:rPr>
          <w:rFonts w:ascii="Times New Roman" w:hAnsi="Times New Roman" w:cs="Times New Roman"/>
          <w:sz w:val="28"/>
          <w:szCs w:val="28"/>
          <w:shd w:val="clear" w:color="auto" w:fill="FFFFFF"/>
        </w:rPr>
      </w:pPr>
    </w:p>
    <w:p w:rsidR="000A045E" w:rsidRPr="00AC66B3" w:rsidRDefault="00AC66B3" w:rsidP="000A045E">
      <w:pPr>
        <w:pStyle w:val="Prrafodelista"/>
        <w:numPr>
          <w:ilvl w:val="0"/>
          <w:numId w:val="2"/>
        </w:numPr>
        <w:tabs>
          <w:tab w:val="left" w:pos="142"/>
          <w:tab w:val="left" w:pos="284"/>
        </w:tabs>
        <w:ind w:left="0" w:firstLine="0"/>
        <w:jc w:val="both"/>
        <w:rPr>
          <w:rFonts w:ascii="Times New Roman" w:hAnsi="Times New Roman" w:cs="Times New Roman"/>
          <w:sz w:val="28"/>
          <w:szCs w:val="28"/>
          <w:bdr w:val="none" w:sz="0" w:space="0" w:color="auto" w:frame="1"/>
        </w:rPr>
      </w:pPr>
      <w:r w:rsidRPr="00AC66B3">
        <w:rPr>
          <w:rFonts w:ascii="Times New Roman" w:hAnsi="Times New Roman" w:cs="Times New Roman"/>
          <w:sz w:val="28"/>
          <w:szCs w:val="28"/>
          <w:lang w:val="es-ES"/>
        </w:rPr>
        <w:t xml:space="preserve">Con fundamento en los argumentos expuestos, la Corte concluye que </w:t>
      </w:r>
      <w:bookmarkStart w:id="30" w:name="_Hlk168038395"/>
      <w:r w:rsidRPr="00AC66B3">
        <w:rPr>
          <w:rFonts w:ascii="Times New Roman" w:hAnsi="Times New Roman" w:cs="Times New Roman"/>
          <w:sz w:val="28"/>
          <w:szCs w:val="28"/>
          <w:lang w:val="es-ES"/>
        </w:rPr>
        <w:t xml:space="preserve">las normas demandadas también desconocen que </w:t>
      </w:r>
      <w:r w:rsidRPr="00AC66B3">
        <w:rPr>
          <w:rFonts w:ascii="Times New Roman" w:hAnsi="Times New Roman" w:cs="Times New Roman"/>
          <w:bCs/>
          <w:sz w:val="28"/>
          <w:szCs w:val="28"/>
          <w:lang w:eastAsia="es-ES"/>
        </w:rPr>
        <w:t>la interpretación de la norma habilitante debe ser literal y restrictiva o, en otras palabras, de ningún modo amplia, exte</w:t>
      </w:r>
      <w:r w:rsidRPr="00AC66B3">
        <w:rPr>
          <w:rFonts w:ascii="Times New Roman" w:hAnsi="Times New Roman" w:cs="Times New Roman"/>
          <w:bCs/>
          <w:sz w:val="28"/>
          <w:szCs w:val="28"/>
          <w:lang w:eastAsia="es-ES"/>
        </w:rPr>
        <w:t>nsiva o por analogía. S</w:t>
      </w:r>
      <w:r w:rsidRPr="00AC66B3">
        <w:rPr>
          <w:rFonts w:ascii="Times New Roman" w:hAnsi="Times New Roman" w:cs="Times New Roman"/>
          <w:sz w:val="28"/>
          <w:szCs w:val="28"/>
          <w:lang w:eastAsia="es-ES"/>
        </w:rPr>
        <w:t xml:space="preserve">i bien </w:t>
      </w:r>
      <w:r w:rsidRPr="00AC66B3">
        <w:rPr>
          <w:rFonts w:ascii="Times New Roman" w:hAnsi="Times New Roman" w:cs="Times New Roman"/>
          <w:sz w:val="28"/>
          <w:szCs w:val="28"/>
          <w:lang w:eastAsia="es-ES_tradnl"/>
        </w:rPr>
        <w:t>el p</w:t>
      </w:r>
      <w:r w:rsidRPr="00AC66B3">
        <w:rPr>
          <w:rFonts w:ascii="Times New Roman" w:hAnsi="Times New Roman" w:cs="Times New Roman"/>
          <w:sz w:val="28"/>
          <w:szCs w:val="28"/>
          <w:shd w:val="clear" w:color="auto" w:fill="FFFFFF"/>
        </w:rPr>
        <w:t>residente de la República tenía un margen razonable de apreciación respecto del contenido de los términos empleados en la norma habilitante para la definición del régimen jurídico del Invir y, en concreto, de su régimen co</w:t>
      </w:r>
      <w:r w:rsidRPr="00AC66B3">
        <w:rPr>
          <w:rFonts w:ascii="Times New Roman" w:hAnsi="Times New Roman" w:cs="Times New Roman"/>
          <w:sz w:val="28"/>
          <w:szCs w:val="28"/>
          <w:shd w:val="clear" w:color="auto" w:fill="FFFFFF"/>
        </w:rPr>
        <w:t xml:space="preserve">ntractual, su valoración debía coincidir con la teleología de la delegación legislativa. De acuerdo con esta, </w:t>
      </w:r>
      <w:r w:rsidRPr="00AC66B3">
        <w:rPr>
          <w:rFonts w:ascii="Times New Roman" w:hAnsi="Times New Roman" w:cs="Times New Roman"/>
          <w:sz w:val="28"/>
          <w:szCs w:val="28"/>
        </w:rPr>
        <w:t>la intención del Legislador era que la nueva entidad se encargara con exclusividad del fomento de la construcción, el mejoramiento y la conservaci</w:t>
      </w:r>
      <w:r w:rsidRPr="00AC66B3">
        <w:rPr>
          <w:rFonts w:ascii="Times New Roman" w:hAnsi="Times New Roman" w:cs="Times New Roman"/>
          <w:sz w:val="28"/>
          <w:szCs w:val="28"/>
        </w:rPr>
        <w:t xml:space="preserve">ón de las vías terciarias, con el fin de sustraer esa materia del objeto del Invías. </w:t>
      </w:r>
      <w:bookmarkEnd w:id="30"/>
    </w:p>
    <w:p w:rsidR="000A045E" w:rsidRPr="00AC66B3" w:rsidRDefault="00AC66B3" w:rsidP="000A045E">
      <w:pPr>
        <w:pStyle w:val="Prrafodelista"/>
        <w:shd w:val="clear" w:color="auto" w:fill="FFFFFF"/>
        <w:tabs>
          <w:tab w:val="left" w:pos="142"/>
          <w:tab w:val="left" w:pos="284"/>
        </w:tabs>
        <w:ind w:left="0"/>
        <w:jc w:val="both"/>
        <w:rPr>
          <w:rFonts w:ascii="Times New Roman" w:hAnsi="Times New Roman" w:cs="Times New Roman"/>
          <w:sz w:val="28"/>
          <w:szCs w:val="28"/>
          <w:shd w:val="clear" w:color="auto" w:fill="FFFFFF"/>
        </w:rPr>
      </w:pPr>
    </w:p>
    <w:p w:rsidR="000A045E" w:rsidRPr="00AC66B3" w:rsidRDefault="00AC66B3" w:rsidP="000A045E">
      <w:pPr>
        <w:pStyle w:val="Prrafodelista"/>
        <w:numPr>
          <w:ilvl w:val="0"/>
          <w:numId w:val="2"/>
        </w:numPr>
        <w:shd w:val="clear" w:color="auto" w:fill="FFFFFF"/>
        <w:tabs>
          <w:tab w:val="left" w:pos="142"/>
          <w:tab w:val="left" w:pos="284"/>
        </w:tabs>
        <w:ind w:left="0" w:firstLine="0"/>
        <w:jc w:val="both"/>
        <w:rPr>
          <w:rFonts w:ascii="Times New Roman" w:hAnsi="Times New Roman" w:cs="Times New Roman"/>
          <w:sz w:val="28"/>
          <w:szCs w:val="28"/>
          <w:shd w:val="clear" w:color="auto" w:fill="FFFFFF"/>
        </w:rPr>
      </w:pPr>
      <w:r w:rsidRPr="00AC66B3">
        <w:rPr>
          <w:rFonts w:ascii="Times New Roman" w:hAnsi="Times New Roman" w:cs="Times New Roman"/>
          <w:bCs/>
          <w:sz w:val="28"/>
          <w:szCs w:val="28"/>
          <w:lang w:eastAsia="es-ES"/>
        </w:rPr>
        <w:t xml:space="preserve">Por lo anterior, </w:t>
      </w:r>
      <w:bookmarkStart w:id="31" w:name="_Hlk168038446"/>
      <w:r w:rsidRPr="00AC66B3">
        <w:rPr>
          <w:rFonts w:ascii="Times New Roman" w:hAnsi="Times New Roman" w:cs="Times New Roman"/>
          <w:bCs/>
          <w:sz w:val="28"/>
          <w:szCs w:val="28"/>
          <w:lang w:eastAsia="es-ES"/>
        </w:rPr>
        <w:t xml:space="preserve">la Sala Plena de la Corte Constitucional declarará la inexequibilidad </w:t>
      </w:r>
      <w:r w:rsidRPr="00AC66B3">
        <w:rPr>
          <w:rFonts w:ascii="Times New Roman" w:hAnsi="Times New Roman" w:cs="Times New Roman"/>
          <w:sz w:val="28"/>
          <w:szCs w:val="28"/>
        </w:rPr>
        <w:t xml:space="preserve">de las expresiones «salvo las excepciones que se establecen en el artículo 35 del </w:t>
      </w:r>
      <w:r w:rsidRPr="00AC66B3">
        <w:rPr>
          <w:rFonts w:ascii="Times New Roman" w:hAnsi="Times New Roman" w:cs="Times New Roman"/>
          <w:sz w:val="28"/>
          <w:szCs w:val="28"/>
        </w:rPr>
        <w:t xml:space="preserve">presente decreto», contenida en el artículo 1 del Decreto Ley 1961 de 2023, e «y las excepciones contempladas en el presente decreto», prevista en el artículo 9.5 </w:t>
      </w:r>
      <w:r w:rsidRPr="00AC66B3">
        <w:rPr>
          <w:rFonts w:ascii="Times New Roman" w:hAnsi="Times New Roman" w:cs="Times New Roman"/>
          <w:i/>
          <w:iCs/>
          <w:sz w:val="28"/>
          <w:szCs w:val="28"/>
        </w:rPr>
        <w:t>ejusdem</w:t>
      </w:r>
      <w:r w:rsidRPr="00AC66B3">
        <w:rPr>
          <w:rFonts w:ascii="Times New Roman" w:hAnsi="Times New Roman" w:cs="Times New Roman"/>
          <w:sz w:val="28"/>
          <w:szCs w:val="28"/>
        </w:rPr>
        <w:t>. Así mismo, declarará la inexequibilidad del parágrafo 1 del artículo 35 del citado d</w:t>
      </w:r>
      <w:r w:rsidRPr="00AC66B3">
        <w:rPr>
          <w:rFonts w:ascii="Times New Roman" w:hAnsi="Times New Roman" w:cs="Times New Roman"/>
          <w:sz w:val="28"/>
          <w:szCs w:val="28"/>
        </w:rPr>
        <w:t>ecreto ley.</w:t>
      </w:r>
      <w:bookmarkEnd w:id="31"/>
    </w:p>
    <w:p w:rsidR="000A045E" w:rsidRPr="00AC66B3" w:rsidRDefault="00AC66B3" w:rsidP="000A045E">
      <w:pPr>
        <w:pStyle w:val="Prrafodelista"/>
        <w:shd w:val="clear" w:color="auto" w:fill="FFFFFF"/>
        <w:ind w:left="0"/>
        <w:jc w:val="both"/>
        <w:rPr>
          <w:rFonts w:ascii="Times New Roman" w:hAnsi="Times New Roman" w:cs="Times New Roman"/>
          <w:sz w:val="28"/>
          <w:szCs w:val="28"/>
          <w:shd w:val="clear" w:color="auto" w:fill="FFFFFF"/>
        </w:rPr>
      </w:pPr>
    </w:p>
    <w:p w:rsidR="000A045E" w:rsidRPr="00AC66B3" w:rsidRDefault="00AC66B3" w:rsidP="000A045E">
      <w:pPr>
        <w:pStyle w:val="Sinespaciado"/>
        <w:shd w:val="clear" w:color="auto" w:fill="FFFFFF"/>
        <w:spacing w:before="0" w:beforeAutospacing="0" w:after="0" w:afterAutospacing="0"/>
        <w:jc w:val="both"/>
        <w:rPr>
          <w:rFonts w:ascii="Times New Roman" w:hAnsi="Times New Roman" w:cs="Times New Roman"/>
          <w:b/>
          <w:bCs/>
          <w:sz w:val="28"/>
          <w:szCs w:val="28"/>
        </w:rPr>
      </w:pPr>
      <w:r w:rsidRPr="00AC66B3">
        <w:rPr>
          <w:rFonts w:ascii="Times New Roman" w:hAnsi="Times New Roman" w:cs="Times New Roman"/>
          <w:b/>
          <w:bCs/>
          <w:sz w:val="28"/>
          <w:szCs w:val="28"/>
        </w:rPr>
        <w:t>VIII. DECISIÓN</w:t>
      </w:r>
    </w:p>
    <w:p w:rsidR="000A045E" w:rsidRPr="00AC66B3" w:rsidRDefault="00AC66B3" w:rsidP="000A045E">
      <w:pPr>
        <w:pStyle w:val="Sinespaciado"/>
        <w:shd w:val="clear" w:color="auto" w:fill="FFFFFF"/>
        <w:spacing w:before="0" w:beforeAutospacing="0" w:after="0" w:afterAutospacing="0"/>
        <w:jc w:val="both"/>
        <w:rPr>
          <w:rFonts w:ascii="Times New Roman" w:hAnsi="Times New Roman" w:cs="Times New Roman"/>
          <w:b/>
          <w:bCs/>
          <w:sz w:val="28"/>
          <w:szCs w:val="28"/>
        </w:rPr>
      </w:pPr>
    </w:p>
    <w:p w:rsidR="000A045E" w:rsidRPr="00AC66B3" w:rsidRDefault="00AC66B3" w:rsidP="000A045E">
      <w:pPr>
        <w:shd w:val="clear" w:color="auto" w:fill="FFFFFF"/>
        <w:jc w:val="both"/>
        <w:rPr>
          <w:rFonts w:ascii="Times New Roman" w:hAnsi="Times New Roman" w:cs="Times New Roman"/>
          <w:sz w:val="28"/>
          <w:szCs w:val="28"/>
        </w:rPr>
      </w:pPr>
      <w:r w:rsidRPr="00AC66B3">
        <w:rPr>
          <w:rFonts w:ascii="Times New Roman" w:hAnsi="Times New Roman" w:cs="Times New Roman"/>
          <w:sz w:val="28"/>
          <w:szCs w:val="28"/>
        </w:rPr>
        <w:t>En mérito de lo expuesto, la Corte Constitucional, administrando justicia en nombre del pueblo y por mandato de la Constitución,</w:t>
      </w:r>
    </w:p>
    <w:p w:rsidR="000A045E" w:rsidRPr="00AC66B3" w:rsidRDefault="00AC66B3" w:rsidP="000A045E">
      <w:pPr>
        <w:shd w:val="clear" w:color="auto" w:fill="FFFFFF"/>
        <w:jc w:val="both"/>
        <w:rPr>
          <w:rFonts w:ascii="Times New Roman" w:hAnsi="Times New Roman" w:cs="Times New Roman"/>
          <w:sz w:val="28"/>
          <w:szCs w:val="28"/>
        </w:rPr>
      </w:pPr>
    </w:p>
    <w:p w:rsidR="000A045E" w:rsidRPr="00AC66B3" w:rsidRDefault="00AC66B3" w:rsidP="000A045E">
      <w:pPr>
        <w:shd w:val="clear" w:color="auto" w:fill="FFFFFF"/>
        <w:jc w:val="center"/>
        <w:rPr>
          <w:rFonts w:ascii="Times New Roman" w:hAnsi="Times New Roman" w:cs="Times New Roman"/>
          <w:b/>
          <w:bCs/>
          <w:sz w:val="28"/>
          <w:szCs w:val="28"/>
        </w:rPr>
      </w:pPr>
      <w:r w:rsidRPr="00AC66B3">
        <w:rPr>
          <w:rFonts w:ascii="Times New Roman" w:hAnsi="Times New Roman" w:cs="Times New Roman"/>
          <w:b/>
          <w:bCs/>
          <w:sz w:val="28"/>
          <w:szCs w:val="28"/>
        </w:rPr>
        <w:t>RESUELVE</w:t>
      </w:r>
    </w:p>
    <w:p w:rsidR="000A045E" w:rsidRPr="00AC66B3" w:rsidRDefault="00AC66B3" w:rsidP="000A045E">
      <w:pPr>
        <w:shd w:val="clear" w:color="auto" w:fill="FFFFFF"/>
        <w:tabs>
          <w:tab w:val="left" w:pos="284"/>
        </w:tabs>
        <w:jc w:val="both"/>
        <w:textAlignment w:val="baseline"/>
        <w:rPr>
          <w:rFonts w:ascii="Times New Roman" w:hAnsi="Times New Roman" w:cs="Times New Roman"/>
          <w:b/>
          <w:sz w:val="28"/>
          <w:szCs w:val="28"/>
        </w:rPr>
      </w:pPr>
    </w:p>
    <w:p w:rsidR="000A045E" w:rsidRPr="00AC66B3" w:rsidRDefault="00AC66B3" w:rsidP="000A045E">
      <w:pPr>
        <w:jc w:val="both"/>
        <w:rPr>
          <w:rFonts w:ascii="Times New Roman" w:hAnsi="Times New Roman" w:cs="Times New Roman"/>
          <w:b/>
          <w:sz w:val="28"/>
          <w:szCs w:val="28"/>
          <w:bdr w:val="none" w:sz="0" w:space="0" w:color="auto" w:frame="1"/>
        </w:rPr>
      </w:pPr>
      <w:bookmarkStart w:id="32" w:name="_Hlk140136357"/>
      <w:r w:rsidRPr="00AC66B3">
        <w:rPr>
          <w:rFonts w:ascii="Times New Roman" w:hAnsi="Times New Roman" w:cs="Times New Roman"/>
          <w:b/>
          <w:sz w:val="28"/>
          <w:szCs w:val="28"/>
          <w:bdr w:val="none" w:sz="0" w:space="0" w:color="auto" w:frame="1"/>
        </w:rPr>
        <w:t xml:space="preserve">ÚNICO. </w:t>
      </w:r>
      <w:r w:rsidRPr="00AC66B3">
        <w:rPr>
          <w:rFonts w:ascii="Times New Roman" w:hAnsi="Times New Roman" w:cs="Times New Roman"/>
          <w:bCs/>
          <w:sz w:val="28"/>
          <w:szCs w:val="28"/>
          <w:bdr w:val="none" w:sz="0" w:space="0" w:color="auto" w:frame="1"/>
        </w:rPr>
        <w:t>Declarar la</w:t>
      </w:r>
      <w:r w:rsidRPr="00AC66B3">
        <w:rPr>
          <w:rFonts w:ascii="Times New Roman" w:hAnsi="Times New Roman" w:cs="Times New Roman"/>
          <w:b/>
          <w:sz w:val="28"/>
          <w:szCs w:val="28"/>
          <w:bdr w:val="none" w:sz="0" w:space="0" w:color="auto" w:frame="1"/>
        </w:rPr>
        <w:t xml:space="preserve"> </w:t>
      </w:r>
      <w:r w:rsidRPr="00AC66B3">
        <w:rPr>
          <w:rFonts w:ascii="Times New Roman" w:hAnsi="Times New Roman" w:cs="Times New Roman"/>
          <w:b/>
          <w:bCs/>
          <w:sz w:val="28"/>
          <w:szCs w:val="28"/>
          <w:bdr w:val="none" w:sz="0" w:space="0" w:color="auto" w:frame="1"/>
        </w:rPr>
        <w:t xml:space="preserve">INEXEQUIBILIDAD </w:t>
      </w:r>
      <w:r w:rsidRPr="00AC66B3">
        <w:rPr>
          <w:rFonts w:ascii="Times New Roman" w:hAnsi="Times New Roman" w:cs="Times New Roman"/>
          <w:bCs/>
          <w:sz w:val="28"/>
          <w:szCs w:val="28"/>
          <w:bdr w:val="none" w:sz="0" w:space="0" w:color="auto" w:frame="1"/>
        </w:rPr>
        <w:t xml:space="preserve">de las expresiones «salvo las excepciones que se </w:t>
      </w:r>
      <w:r w:rsidRPr="00AC66B3">
        <w:rPr>
          <w:rFonts w:ascii="Times New Roman" w:hAnsi="Times New Roman" w:cs="Times New Roman"/>
          <w:bCs/>
          <w:sz w:val="28"/>
          <w:szCs w:val="28"/>
          <w:bdr w:val="none" w:sz="0" w:space="0" w:color="auto" w:frame="1"/>
        </w:rPr>
        <w:t>establecen en el artículo 35 del presente decreto» e «y las excepciones contempladas en el presente decreto», contenidas en los artículos 1 y 9.5 del Decreto Ley 1961 de 2023, respectivamente, y del parágrafo 1 del artículo 35 del mismo decreto ley.</w:t>
      </w:r>
    </w:p>
    <w:p w:rsidR="000A045E" w:rsidRPr="00AC66B3" w:rsidRDefault="00AC66B3" w:rsidP="000A045E">
      <w:pPr>
        <w:tabs>
          <w:tab w:val="left" w:pos="142"/>
          <w:tab w:val="left" w:pos="284"/>
        </w:tabs>
        <w:jc w:val="both"/>
        <w:rPr>
          <w:rFonts w:ascii="Times New Roman" w:hAnsi="Times New Roman" w:cs="Times New Roman"/>
          <w:sz w:val="28"/>
          <w:szCs w:val="26"/>
        </w:rPr>
      </w:pPr>
    </w:p>
    <w:bookmarkEnd w:id="32"/>
    <w:p w:rsidR="000A045E" w:rsidRPr="00AC66B3" w:rsidRDefault="00AC66B3" w:rsidP="000A045E">
      <w:pPr>
        <w:tabs>
          <w:tab w:val="left" w:pos="540"/>
          <w:tab w:val="num" w:pos="1080"/>
        </w:tabs>
        <w:contextualSpacing/>
        <w:mirrorIndents/>
        <w:jc w:val="both"/>
        <w:rPr>
          <w:rFonts w:ascii="Times New Roman" w:hAnsi="Times New Roman" w:cs="Times New Roman"/>
          <w:sz w:val="28"/>
          <w:szCs w:val="28"/>
        </w:rPr>
      </w:pPr>
      <w:r w:rsidRPr="00AC66B3">
        <w:rPr>
          <w:rFonts w:ascii="Times New Roman" w:hAnsi="Times New Roman" w:cs="Times New Roman"/>
          <w:sz w:val="28"/>
          <w:szCs w:val="28"/>
        </w:rPr>
        <w:t>Notif</w:t>
      </w:r>
      <w:r w:rsidRPr="00AC66B3">
        <w:rPr>
          <w:rFonts w:ascii="Times New Roman" w:hAnsi="Times New Roman" w:cs="Times New Roman"/>
          <w:sz w:val="28"/>
          <w:szCs w:val="28"/>
        </w:rPr>
        <w:t>íquese, comuníquese y cúmplase.</w:t>
      </w:r>
    </w:p>
    <w:p w:rsidR="00EE5A50" w:rsidRPr="00AC66B3" w:rsidRDefault="00AC66B3">
      <w:pPr>
        <w:rPr>
          <w:rFonts w:ascii="Times New Roman" w:hAnsi="Times New Roman" w:cs="Times New Roman"/>
          <w:sz w:val="28"/>
        </w:rPr>
      </w:pPr>
    </w:p>
    <w:p w:rsidR="00BD457E" w:rsidRPr="00AC66B3" w:rsidRDefault="00AC66B3">
      <w:pPr>
        <w:rPr>
          <w:rFonts w:ascii="Times New Roman" w:hAnsi="Times New Roman" w:cs="Times New Roman"/>
          <w:sz w:val="28"/>
        </w:rPr>
      </w:pPr>
    </w:p>
    <w:p w:rsidR="00BD457E" w:rsidRPr="00AC66B3" w:rsidRDefault="00AC66B3">
      <w:pP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JOSE FERNANDO REYES CUARTAS</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Presidente</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NATALIA ÁNGEL CABO</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Magistrada</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JUAN CARLOS CORTÉS GONZÁLEZ</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Magistrado</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Ausente con permiso</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DIANA FAJARDO RIVERA</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Magistrada</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VLADIMIR FERNÁNDEZ ANDRADE</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Magistrado</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 xml:space="preserve">Con </w:t>
      </w:r>
      <w:r w:rsidRPr="00AC66B3">
        <w:rPr>
          <w:rFonts w:ascii="Times New Roman" w:hAnsi="Times New Roman" w:cs="Times New Roman"/>
          <w:sz w:val="28"/>
        </w:rPr>
        <w:t>impedimento aceptado</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 xml:space="preserve">JORGE ENRIQUE IBÁÑEZ NAJAR </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Magistrado</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Con aclaración de voto</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ANTONIO JOSÉ LIZARAZO OCAMPO</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Magistrado</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Con aclaración de voto</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PAOLA ANDREA MENESES MOSQUERA</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Magistrada</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CRISTINA PARDO SCHLESINGER</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Magistrada</w:t>
      </w: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 xml:space="preserve">ANDREA LILIANA </w:t>
      </w:r>
      <w:r w:rsidRPr="00AC66B3">
        <w:rPr>
          <w:rFonts w:ascii="Times New Roman" w:hAnsi="Times New Roman" w:cs="Times New Roman"/>
          <w:sz w:val="28"/>
        </w:rPr>
        <w:t>ROMERO LOPEZ</w:t>
      </w:r>
    </w:p>
    <w:p w:rsidR="00BD457E" w:rsidRPr="00AC66B3" w:rsidRDefault="00AC66B3" w:rsidP="00BD457E">
      <w:pPr>
        <w:jc w:val="center"/>
        <w:rPr>
          <w:rFonts w:ascii="Times New Roman" w:hAnsi="Times New Roman" w:cs="Times New Roman"/>
          <w:sz w:val="28"/>
        </w:rPr>
      </w:pPr>
      <w:r w:rsidRPr="00AC66B3">
        <w:rPr>
          <w:rFonts w:ascii="Times New Roman" w:hAnsi="Times New Roman" w:cs="Times New Roman"/>
          <w:sz w:val="28"/>
        </w:rPr>
        <w:t>Secretaria General</w:t>
      </w:r>
    </w:p>
    <w:p w:rsidR="004B414E" w:rsidRPr="00AC66B3" w:rsidRDefault="00AC66B3" w:rsidP="006E4754">
      <w:pPr>
        <w:spacing w:after="0" w:line="240" w:lineRule="auto"/>
        <w:jc w:val="center"/>
        <w:rPr>
          <w:rFonts w:ascii="Times New Roman" w:eastAsia="Times New Roman" w:hAnsi="Times New Roman" w:cs="Times New Roman"/>
          <w:b/>
          <w:color w:val="000000" w:themeColor="text1"/>
          <w:sz w:val="28"/>
          <w:szCs w:val="28"/>
          <w:lang w:val="es-ES" w:eastAsia="es-ES"/>
        </w:rPr>
      </w:pPr>
    </w:p>
    <w:p w:rsidR="004B414E" w:rsidRPr="00AC66B3" w:rsidRDefault="00AC66B3" w:rsidP="006E4754">
      <w:pPr>
        <w:spacing w:after="0" w:line="240" w:lineRule="auto"/>
        <w:jc w:val="center"/>
        <w:rPr>
          <w:rFonts w:ascii="Times New Roman" w:eastAsia="Times New Roman" w:hAnsi="Times New Roman" w:cs="Times New Roman"/>
          <w:b/>
          <w:color w:val="000000" w:themeColor="text1"/>
          <w:sz w:val="28"/>
          <w:szCs w:val="28"/>
          <w:lang w:val="es-ES" w:eastAsia="es-ES"/>
        </w:rPr>
      </w:pPr>
    </w:p>
    <w:p w:rsidR="006E4754" w:rsidRPr="00AC66B3" w:rsidRDefault="00AC66B3" w:rsidP="006E4754">
      <w:pPr>
        <w:spacing w:after="0" w:line="240" w:lineRule="auto"/>
        <w:jc w:val="center"/>
        <w:rPr>
          <w:rFonts w:ascii="Times New Roman" w:eastAsia="Times New Roman" w:hAnsi="Times New Roman" w:cs="Times New Roman"/>
          <w:b/>
          <w:color w:val="000000" w:themeColor="text1"/>
          <w:sz w:val="28"/>
          <w:szCs w:val="28"/>
          <w:lang w:val="es-ES" w:eastAsia="es-ES"/>
        </w:rPr>
      </w:pPr>
      <w:r w:rsidRPr="00AC66B3">
        <w:rPr>
          <w:rFonts w:ascii="Times New Roman" w:eastAsia="Times New Roman" w:hAnsi="Times New Roman" w:cs="Times New Roman"/>
          <w:b/>
          <w:color w:val="000000" w:themeColor="text1"/>
          <w:sz w:val="28"/>
          <w:szCs w:val="28"/>
          <w:lang w:val="es-ES" w:eastAsia="es-ES"/>
        </w:rPr>
        <w:t xml:space="preserve">ACLARACIÓN DE VOTO DEL MAGISTRADO </w:t>
      </w:r>
    </w:p>
    <w:p w:rsidR="006E4754" w:rsidRPr="00AC66B3" w:rsidRDefault="00AC66B3" w:rsidP="006E4754">
      <w:pPr>
        <w:spacing w:after="0" w:line="240" w:lineRule="auto"/>
        <w:jc w:val="center"/>
        <w:rPr>
          <w:rFonts w:ascii="Times New Roman" w:eastAsia="Times New Roman" w:hAnsi="Times New Roman" w:cs="Times New Roman"/>
          <w:b/>
          <w:color w:val="000000" w:themeColor="text1"/>
          <w:sz w:val="28"/>
          <w:szCs w:val="28"/>
          <w:lang w:val="es-ES" w:eastAsia="es-ES"/>
        </w:rPr>
      </w:pPr>
      <w:r w:rsidRPr="00AC66B3">
        <w:rPr>
          <w:rFonts w:ascii="Times New Roman" w:eastAsia="Times New Roman" w:hAnsi="Times New Roman" w:cs="Times New Roman"/>
          <w:b/>
          <w:color w:val="000000" w:themeColor="text1"/>
          <w:sz w:val="28"/>
          <w:szCs w:val="28"/>
          <w:lang w:val="es-ES" w:eastAsia="es-ES"/>
        </w:rPr>
        <w:t xml:space="preserve">ANTONIO JOSÉ LIZARAZO OCAMPO </w:t>
      </w:r>
    </w:p>
    <w:p w:rsidR="006E4754" w:rsidRPr="00AC66B3" w:rsidRDefault="00AC66B3" w:rsidP="006E4754">
      <w:pPr>
        <w:spacing w:after="0" w:line="240" w:lineRule="auto"/>
        <w:jc w:val="center"/>
        <w:rPr>
          <w:rFonts w:ascii="Times New Roman" w:eastAsia="Times New Roman" w:hAnsi="Times New Roman" w:cs="Times New Roman"/>
          <w:b/>
          <w:color w:val="000000" w:themeColor="text1"/>
          <w:sz w:val="28"/>
          <w:szCs w:val="28"/>
          <w:lang w:val="es-ES" w:eastAsia="es-ES"/>
        </w:rPr>
      </w:pPr>
      <w:r w:rsidRPr="00AC66B3">
        <w:rPr>
          <w:rFonts w:ascii="Times New Roman" w:eastAsia="Times New Roman" w:hAnsi="Times New Roman" w:cs="Times New Roman"/>
          <w:b/>
          <w:color w:val="000000" w:themeColor="text1"/>
          <w:sz w:val="28"/>
          <w:szCs w:val="28"/>
          <w:lang w:val="es-ES" w:eastAsia="es-ES"/>
        </w:rPr>
        <w:t xml:space="preserve">A LA SENTENCIA </w:t>
      </w:r>
      <w:r w:rsidRPr="00AC66B3">
        <w:rPr>
          <w:rFonts w:ascii="Times New Roman" w:eastAsia="Times New Roman" w:hAnsi="Times New Roman" w:cs="Times New Roman"/>
          <w:b/>
          <w:color w:val="000000" w:themeColor="text1"/>
          <w:sz w:val="28"/>
          <w:szCs w:val="28"/>
          <w:lang w:val="es-ES" w:eastAsia="es-ES"/>
        </w:rPr>
        <w:t>C-</w:t>
      </w:r>
      <w:r w:rsidRPr="00AC66B3">
        <w:rPr>
          <w:rFonts w:ascii="Times New Roman" w:eastAsia="Times New Roman" w:hAnsi="Times New Roman" w:cs="Times New Roman"/>
          <w:b/>
          <w:color w:val="000000" w:themeColor="text1"/>
          <w:sz w:val="28"/>
          <w:szCs w:val="28"/>
          <w:lang w:val="es-ES" w:eastAsia="es-ES"/>
        </w:rPr>
        <w:t>398</w:t>
      </w:r>
      <w:r w:rsidRPr="00AC66B3">
        <w:rPr>
          <w:rFonts w:ascii="Times New Roman" w:eastAsia="Times New Roman" w:hAnsi="Times New Roman" w:cs="Times New Roman"/>
          <w:b/>
          <w:color w:val="000000" w:themeColor="text1"/>
          <w:sz w:val="28"/>
          <w:szCs w:val="28"/>
          <w:lang w:val="es-ES" w:eastAsia="es-ES"/>
        </w:rPr>
        <w:t>/</w:t>
      </w:r>
      <w:r w:rsidRPr="00AC66B3">
        <w:rPr>
          <w:rFonts w:ascii="Times New Roman" w:eastAsia="Times New Roman" w:hAnsi="Times New Roman" w:cs="Times New Roman"/>
          <w:b/>
          <w:color w:val="000000" w:themeColor="text1"/>
          <w:sz w:val="28"/>
          <w:szCs w:val="28"/>
          <w:lang w:val="es-ES" w:eastAsia="es-ES"/>
        </w:rPr>
        <w:t>24</w:t>
      </w:r>
    </w:p>
    <w:p w:rsidR="006E4754" w:rsidRPr="00AC66B3" w:rsidRDefault="00AC66B3" w:rsidP="006E4754">
      <w:pPr>
        <w:spacing w:after="0" w:line="240" w:lineRule="auto"/>
        <w:jc w:val="both"/>
        <w:rPr>
          <w:rFonts w:ascii="Times New Roman" w:eastAsia="Times New Roman" w:hAnsi="Times New Roman" w:cs="Times New Roman"/>
          <w:color w:val="000000" w:themeColor="text1"/>
          <w:sz w:val="28"/>
          <w:szCs w:val="28"/>
          <w:lang w:val="es-ES" w:eastAsia="es-ES_tradnl"/>
        </w:rPr>
      </w:pPr>
    </w:p>
    <w:p w:rsidR="00E84A6C" w:rsidRPr="00AC66B3" w:rsidRDefault="00AC66B3" w:rsidP="006E4754">
      <w:pPr>
        <w:spacing w:after="0" w:line="240" w:lineRule="auto"/>
        <w:jc w:val="both"/>
        <w:rPr>
          <w:rFonts w:ascii="Times New Roman" w:eastAsia="Times New Roman" w:hAnsi="Times New Roman" w:cs="Times New Roman"/>
          <w:color w:val="000000" w:themeColor="text1"/>
          <w:sz w:val="28"/>
          <w:szCs w:val="28"/>
          <w:lang w:val="es-ES" w:eastAsia="es-ES_tradnl"/>
        </w:rPr>
      </w:pPr>
    </w:p>
    <w:p w:rsidR="006E4754" w:rsidRPr="00AC66B3" w:rsidRDefault="00AC66B3" w:rsidP="006E4754">
      <w:pPr>
        <w:spacing w:after="0" w:line="240" w:lineRule="auto"/>
        <w:ind w:left="3969"/>
        <w:jc w:val="both"/>
        <w:rPr>
          <w:rFonts w:ascii="Times New Roman" w:eastAsia="Times New Roman" w:hAnsi="Times New Roman" w:cs="Times New Roman"/>
          <w:bCs/>
          <w:color w:val="000000" w:themeColor="text1"/>
          <w:sz w:val="28"/>
          <w:szCs w:val="28"/>
          <w:lang w:eastAsia="es-ES_tradnl"/>
        </w:rPr>
      </w:pPr>
      <w:r w:rsidRPr="00AC66B3">
        <w:rPr>
          <w:rFonts w:ascii="Times New Roman" w:eastAsia="Times New Roman" w:hAnsi="Times New Roman" w:cs="Times New Roman"/>
          <w:bCs/>
          <w:color w:val="000000" w:themeColor="text1"/>
          <w:sz w:val="28"/>
          <w:szCs w:val="28"/>
          <w:lang w:val="es-ES_tradnl" w:eastAsia="es-ES_tradnl"/>
        </w:rPr>
        <w:t xml:space="preserve">Referencia: Expediente </w:t>
      </w:r>
      <w:r w:rsidRPr="00AC66B3">
        <w:rPr>
          <w:rFonts w:ascii="Times New Roman" w:eastAsia="Times New Roman" w:hAnsi="Times New Roman" w:cs="Times New Roman"/>
          <w:bCs/>
          <w:color w:val="000000" w:themeColor="text1"/>
          <w:sz w:val="28"/>
          <w:szCs w:val="28"/>
          <w:lang w:val="es-ES_tradnl" w:eastAsia="es-ES_tradnl"/>
        </w:rPr>
        <w:t>D-15.</w:t>
      </w:r>
      <w:r w:rsidRPr="00AC66B3">
        <w:rPr>
          <w:rFonts w:ascii="Times New Roman" w:eastAsia="Times New Roman" w:hAnsi="Times New Roman" w:cs="Times New Roman"/>
          <w:bCs/>
          <w:color w:val="000000" w:themeColor="text1"/>
          <w:sz w:val="28"/>
          <w:szCs w:val="28"/>
          <w:lang w:val="es-ES_tradnl" w:eastAsia="es-ES_tradnl"/>
        </w:rPr>
        <w:t>652</w:t>
      </w:r>
      <w:r w:rsidRPr="00AC66B3">
        <w:rPr>
          <w:rFonts w:ascii="Times New Roman" w:eastAsia="Times New Roman" w:hAnsi="Times New Roman" w:cs="Times New Roman"/>
          <w:bCs/>
          <w:color w:val="000000" w:themeColor="text1"/>
          <w:sz w:val="28"/>
          <w:szCs w:val="28"/>
          <w:lang w:val="es-ES_tradnl" w:eastAsia="es-ES_tradnl"/>
        </w:rPr>
        <w:t xml:space="preserve"> </w:t>
      </w:r>
      <w:r w:rsidRPr="00AC66B3">
        <w:rPr>
          <w:rFonts w:ascii="Times New Roman" w:eastAsia="Times New Roman" w:hAnsi="Times New Roman" w:cs="Times New Roman"/>
          <w:bCs/>
          <w:color w:val="000000" w:themeColor="text1"/>
          <w:sz w:val="28"/>
          <w:szCs w:val="28"/>
          <w:lang w:val="es-ES_tradnl" w:eastAsia="es-ES_tradnl"/>
        </w:rPr>
        <w:t>AC</w:t>
      </w:r>
      <w:r w:rsidRPr="00AC66B3">
        <w:rPr>
          <w:rFonts w:ascii="Times New Roman" w:eastAsia="Times New Roman" w:hAnsi="Times New Roman" w:cs="Times New Roman"/>
          <w:bCs/>
          <w:color w:val="000000" w:themeColor="text1"/>
          <w:sz w:val="28"/>
          <w:szCs w:val="28"/>
          <w:lang w:val="es-ES_tradnl" w:eastAsia="es-ES_tradnl"/>
        </w:rPr>
        <w:t>.</w:t>
      </w:r>
    </w:p>
    <w:p w:rsidR="006E4754" w:rsidRPr="00AC66B3" w:rsidRDefault="00AC66B3" w:rsidP="006E4754">
      <w:pPr>
        <w:spacing w:after="0" w:line="240" w:lineRule="auto"/>
        <w:ind w:right="20"/>
        <w:jc w:val="both"/>
        <w:rPr>
          <w:rFonts w:ascii="Times New Roman" w:eastAsia="Times New Roman" w:hAnsi="Times New Roman" w:cs="Times New Roman"/>
          <w:color w:val="000000" w:themeColor="text1"/>
          <w:sz w:val="28"/>
          <w:szCs w:val="28"/>
          <w:lang w:eastAsia="es-ES_tradnl"/>
        </w:rPr>
      </w:pPr>
    </w:p>
    <w:p w:rsidR="006E4754" w:rsidRPr="00AC66B3" w:rsidRDefault="00AC66B3" w:rsidP="006E4754">
      <w:pPr>
        <w:spacing w:after="0" w:line="240" w:lineRule="auto"/>
        <w:ind w:right="20"/>
        <w:jc w:val="both"/>
        <w:rPr>
          <w:rFonts w:ascii="Times New Roman" w:eastAsia="Times New Roman" w:hAnsi="Times New Roman" w:cs="Times New Roman"/>
          <w:color w:val="000000" w:themeColor="text1"/>
          <w:sz w:val="28"/>
          <w:szCs w:val="28"/>
          <w:lang w:eastAsia="es-ES_tradnl"/>
        </w:rPr>
      </w:pPr>
    </w:p>
    <w:p w:rsidR="00911654" w:rsidRPr="00AC66B3" w:rsidRDefault="00AC66B3" w:rsidP="00911654">
      <w:pPr>
        <w:spacing w:after="0" w:line="240" w:lineRule="auto"/>
        <w:jc w:val="both"/>
        <w:rPr>
          <w:rFonts w:ascii="Times New Roman" w:hAnsi="Times New Roman" w:cs="Times New Roman"/>
          <w:sz w:val="28"/>
          <w:szCs w:val="28"/>
        </w:rPr>
      </w:pPr>
      <w:r w:rsidRPr="00AC66B3">
        <w:rPr>
          <w:rFonts w:ascii="Times New Roman" w:eastAsia="Times New Roman" w:hAnsi="Times New Roman" w:cs="Times New Roman"/>
          <w:color w:val="000000" w:themeColor="text1"/>
          <w:sz w:val="28"/>
          <w:szCs w:val="28"/>
          <w:lang w:val="es-ES" w:eastAsia="es-ES_tradnl"/>
        </w:rPr>
        <w:t xml:space="preserve">Con el acostumbrado respeto por las decisiones de la </w:t>
      </w:r>
      <w:r w:rsidRPr="00AC66B3">
        <w:rPr>
          <w:rFonts w:ascii="Times New Roman" w:eastAsia="Times New Roman" w:hAnsi="Times New Roman" w:cs="Times New Roman"/>
          <w:color w:val="000000" w:themeColor="text1"/>
          <w:sz w:val="28"/>
          <w:szCs w:val="28"/>
          <w:lang w:val="es-ES" w:eastAsia="es-ES_tradnl"/>
        </w:rPr>
        <w:t>mayoría</w:t>
      </w:r>
      <w:r w:rsidRPr="00AC66B3">
        <w:rPr>
          <w:rFonts w:ascii="Times New Roman" w:eastAsia="Times New Roman" w:hAnsi="Times New Roman" w:cs="Times New Roman"/>
          <w:color w:val="000000" w:themeColor="text1"/>
          <w:sz w:val="28"/>
          <w:szCs w:val="28"/>
          <w:lang w:val="es-ES" w:eastAsia="es-ES_tradnl"/>
        </w:rPr>
        <w:t>, aclaro mi voto</w:t>
      </w:r>
      <w:r w:rsidRPr="00AC66B3">
        <w:rPr>
          <w:rFonts w:ascii="Times New Roman" w:eastAsia="Times New Roman" w:hAnsi="Times New Roman" w:cs="Times New Roman"/>
          <w:color w:val="000000" w:themeColor="text1"/>
          <w:sz w:val="28"/>
          <w:szCs w:val="28"/>
          <w:lang w:val="es-ES" w:eastAsia="es-ES_tradnl"/>
        </w:rPr>
        <w:t xml:space="preserve"> pues, s</w:t>
      </w:r>
      <w:r w:rsidRPr="00AC66B3">
        <w:rPr>
          <w:rFonts w:ascii="Times New Roman" w:hAnsi="Times New Roman" w:cs="Times New Roman"/>
          <w:sz w:val="28"/>
          <w:szCs w:val="28"/>
        </w:rPr>
        <w:t xml:space="preserve">i bien </w:t>
      </w:r>
      <w:r w:rsidRPr="00AC66B3">
        <w:rPr>
          <w:rFonts w:ascii="Times New Roman" w:hAnsi="Times New Roman" w:cs="Times New Roman"/>
          <w:sz w:val="28"/>
          <w:szCs w:val="28"/>
        </w:rPr>
        <w:t>comparto</w:t>
      </w:r>
      <w:r w:rsidRPr="00AC66B3">
        <w:rPr>
          <w:rFonts w:ascii="Times New Roman" w:hAnsi="Times New Roman" w:cs="Times New Roman"/>
          <w:sz w:val="28"/>
          <w:szCs w:val="28"/>
        </w:rPr>
        <w:t xml:space="preserve"> la declaratoria de inexequibilidad </w:t>
      </w:r>
      <w:r w:rsidRPr="00AC66B3">
        <w:rPr>
          <w:rFonts w:ascii="Times New Roman" w:hAnsi="Times New Roman" w:cs="Times New Roman"/>
          <w:sz w:val="28"/>
          <w:szCs w:val="28"/>
        </w:rPr>
        <w:t xml:space="preserve">parcial de los artículos </w:t>
      </w:r>
      <w:r w:rsidRPr="00AC66B3">
        <w:rPr>
          <w:rFonts w:ascii="Times New Roman" w:hAnsi="Times New Roman" w:cs="Times New Roman"/>
          <w:sz w:val="28"/>
          <w:szCs w:val="28"/>
        </w:rPr>
        <w:t>1</w:t>
      </w:r>
      <w:r w:rsidRPr="00AC66B3">
        <w:rPr>
          <w:rFonts w:ascii="Times New Roman" w:hAnsi="Times New Roman" w:cs="Times New Roman"/>
          <w:sz w:val="28"/>
          <w:szCs w:val="28"/>
        </w:rPr>
        <w:t>,</w:t>
      </w:r>
      <w:r w:rsidRPr="00AC66B3">
        <w:rPr>
          <w:rFonts w:ascii="Times New Roman" w:hAnsi="Times New Roman" w:cs="Times New Roman"/>
          <w:sz w:val="28"/>
          <w:szCs w:val="28"/>
        </w:rPr>
        <w:t xml:space="preserve"> 9</w:t>
      </w:r>
      <w:r w:rsidRPr="00AC66B3">
        <w:rPr>
          <w:rFonts w:ascii="Times New Roman" w:hAnsi="Times New Roman" w:cs="Times New Roman"/>
          <w:sz w:val="28"/>
          <w:szCs w:val="28"/>
        </w:rPr>
        <w:t xml:space="preserve"> y </w:t>
      </w:r>
      <w:r w:rsidRPr="00AC66B3">
        <w:rPr>
          <w:rFonts w:ascii="Times New Roman" w:hAnsi="Times New Roman" w:cs="Times New Roman"/>
          <w:sz w:val="28"/>
          <w:szCs w:val="28"/>
        </w:rPr>
        <w:t xml:space="preserve">35 del </w:t>
      </w:r>
      <w:r w:rsidRPr="00AC66B3">
        <w:rPr>
          <w:rFonts w:ascii="Times New Roman" w:hAnsi="Times New Roman" w:cs="Times New Roman"/>
          <w:sz w:val="28"/>
          <w:szCs w:val="28"/>
        </w:rPr>
        <w:t>Decreto Ley 1961 de 2023</w:t>
      </w:r>
      <w:r w:rsidRPr="00AC66B3">
        <w:rPr>
          <w:rFonts w:ascii="Times New Roman" w:hAnsi="Times New Roman" w:cs="Times New Roman"/>
          <w:sz w:val="28"/>
          <w:szCs w:val="28"/>
        </w:rPr>
        <w:t xml:space="preserve">, </w:t>
      </w:r>
      <w:r w:rsidRPr="00AC66B3">
        <w:rPr>
          <w:rFonts w:ascii="Times New Roman" w:hAnsi="Times New Roman" w:cs="Times New Roman"/>
          <w:sz w:val="28"/>
          <w:szCs w:val="28"/>
        </w:rPr>
        <w:t xml:space="preserve">la Corte debió integrar al estudio, como una cuestión previa, la constitucionalidad de la disposición que otorgó las facultades extraordinarias al </w:t>
      </w:r>
      <w:r w:rsidRPr="00AC66B3">
        <w:rPr>
          <w:rFonts w:ascii="Times New Roman" w:hAnsi="Times New Roman" w:cs="Times New Roman"/>
          <w:sz w:val="28"/>
          <w:szCs w:val="28"/>
        </w:rPr>
        <w:t>presidente de la República mediante el artículo 368 de la Ley 2294 de 2023, “Por la cual se expide el Plan Nacional de Desarrollo 2022-2026. Colombia Potencia Mundial de la Vida”</w:t>
      </w:r>
      <w:r w:rsidRPr="00AC66B3">
        <w:rPr>
          <w:rFonts w:ascii="Times New Roman" w:hAnsi="Times New Roman" w:cs="Times New Roman"/>
          <w:sz w:val="28"/>
          <w:szCs w:val="28"/>
        </w:rPr>
        <w:t xml:space="preserve">, ya que </w:t>
      </w:r>
      <w:r w:rsidRPr="00AC66B3">
        <w:rPr>
          <w:rFonts w:ascii="Times New Roman" w:hAnsi="Times New Roman" w:cs="Times New Roman"/>
          <w:i/>
          <w:iCs/>
          <w:sz w:val="28"/>
          <w:szCs w:val="28"/>
        </w:rPr>
        <w:t xml:space="preserve">prima facie </w:t>
      </w:r>
      <w:r w:rsidRPr="00AC66B3">
        <w:rPr>
          <w:rFonts w:ascii="Times New Roman" w:hAnsi="Times New Roman" w:cs="Times New Roman"/>
          <w:sz w:val="28"/>
          <w:szCs w:val="28"/>
        </w:rPr>
        <w:t>desconoce lo dispuesto en los artículos 150</w:t>
      </w:r>
      <w:r w:rsidRPr="00AC66B3">
        <w:rPr>
          <w:rFonts w:ascii="Times New Roman" w:hAnsi="Times New Roman" w:cs="Times New Roman"/>
          <w:sz w:val="28"/>
          <w:szCs w:val="28"/>
        </w:rPr>
        <w:t xml:space="preserve">, ordinal </w:t>
      </w:r>
      <w:r w:rsidRPr="00AC66B3">
        <w:rPr>
          <w:rFonts w:ascii="Times New Roman" w:hAnsi="Times New Roman" w:cs="Times New Roman"/>
          <w:sz w:val="28"/>
          <w:szCs w:val="28"/>
        </w:rPr>
        <w:t>3</w:t>
      </w:r>
      <w:r w:rsidRPr="00AC66B3">
        <w:rPr>
          <w:rFonts w:ascii="Times New Roman" w:hAnsi="Times New Roman" w:cs="Times New Roman"/>
          <w:sz w:val="28"/>
          <w:szCs w:val="28"/>
        </w:rPr>
        <w:t>,</w:t>
      </w:r>
      <w:r w:rsidRPr="00AC66B3">
        <w:rPr>
          <w:rFonts w:ascii="Times New Roman" w:hAnsi="Times New Roman" w:cs="Times New Roman"/>
          <w:sz w:val="28"/>
          <w:szCs w:val="28"/>
        </w:rPr>
        <w:t xml:space="preserve"> y</w:t>
      </w:r>
      <w:r w:rsidRPr="00AC66B3">
        <w:rPr>
          <w:rFonts w:ascii="Times New Roman" w:hAnsi="Times New Roman" w:cs="Times New Roman"/>
          <w:sz w:val="28"/>
          <w:szCs w:val="28"/>
        </w:rPr>
        <w:t xml:space="preserve"> 339 a 342 de la Constitución.</w:t>
      </w:r>
    </w:p>
    <w:p w:rsidR="00911654" w:rsidRPr="00AC66B3" w:rsidRDefault="00AC66B3" w:rsidP="00911654">
      <w:pPr>
        <w:spacing w:after="0" w:line="240" w:lineRule="auto"/>
        <w:jc w:val="both"/>
        <w:rPr>
          <w:rFonts w:ascii="Times New Roman" w:hAnsi="Times New Roman" w:cs="Times New Roman"/>
          <w:sz w:val="28"/>
          <w:szCs w:val="28"/>
        </w:rPr>
      </w:pPr>
    </w:p>
    <w:p w:rsidR="001A7619" w:rsidRPr="00AC66B3" w:rsidRDefault="00AC66B3" w:rsidP="00911654">
      <w:pPr>
        <w:spacing w:after="0" w:line="240" w:lineRule="auto"/>
        <w:jc w:val="both"/>
        <w:rPr>
          <w:rFonts w:ascii="Times New Roman" w:hAnsi="Times New Roman" w:cs="Times New Roman"/>
          <w:sz w:val="28"/>
          <w:szCs w:val="28"/>
        </w:rPr>
      </w:pPr>
      <w:r w:rsidRPr="00AC66B3">
        <w:rPr>
          <w:rFonts w:ascii="Times New Roman" w:hAnsi="Times New Roman" w:cs="Times New Roman"/>
          <w:sz w:val="28"/>
          <w:szCs w:val="28"/>
        </w:rPr>
        <w:t>D</w:t>
      </w:r>
      <w:r w:rsidRPr="00AC66B3">
        <w:rPr>
          <w:rFonts w:ascii="Times New Roman" w:hAnsi="Times New Roman" w:cs="Times New Roman"/>
          <w:sz w:val="28"/>
          <w:szCs w:val="28"/>
        </w:rPr>
        <w:t xml:space="preserve">e conformidad con </w:t>
      </w:r>
      <w:r w:rsidRPr="00AC66B3">
        <w:rPr>
          <w:rFonts w:ascii="Times New Roman" w:hAnsi="Times New Roman" w:cs="Times New Roman"/>
          <w:sz w:val="28"/>
          <w:szCs w:val="28"/>
        </w:rPr>
        <w:t xml:space="preserve">las </w:t>
      </w:r>
      <w:r w:rsidRPr="00AC66B3">
        <w:rPr>
          <w:rFonts w:ascii="Times New Roman" w:hAnsi="Times New Roman" w:cs="Times New Roman"/>
          <w:sz w:val="28"/>
          <w:szCs w:val="28"/>
        </w:rPr>
        <w:t>disposiciones</w:t>
      </w:r>
      <w:r w:rsidRPr="00AC66B3">
        <w:rPr>
          <w:rFonts w:ascii="Times New Roman" w:hAnsi="Times New Roman" w:cs="Times New Roman"/>
          <w:sz w:val="28"/>
          <w:szCs w:val="28"/>
        </w:rPr>
        <w:t xml:space="preserve"> constitucionales en cita</w:t>
      </w:r>
      <w:r w:rsidRPr="00AC66B3">
        <w:rPr>
          <w:rFonts w:ascii="Times New Roman" w:hAnsi="Times New Roman" w:cs="Times New Roman"/>
          <w:sz w:val="28"/>
          <w:szCs w:val="28"/>
        </w:rPr>
        <w:t xml:space="preserve">, </w:t>
      </w:r>
      <w:r w:rsidRPr="00AC66B3">
        <w:rPr>
          <w:rFonts w:ascii="Times New Roman" w:hAnsi="Times New Roman" w:cs="Times New Roman"/>
          <w:sz w:val="28"/>
          <w:szCs w:val="28"/>
        </w:rPr>
        <w:t>la ley aprobatoria del plan nacional de desarrollo solo puede incorporar las disposiciones o medidas previstas en la Constitución y la ley orgánica del plan, raz</w:t>
      </w:r>
      <w:r w:rsidRPr="00AC66B3">
        <w:rPr>
          <w:rFonts w:ascii="Times New Roman" w:hAnsi="Times New Roman" w:cs="Times New Roman"/>
          <w:sz w:val="28"/>
          <w:szCs w:val="28"/>
        </w:rPr>
        <w:t>ón por la que, en principio, no es posible otorgar mediante este tipo de ley facultades extraordinarias al presidente</w:t>
      </w:r>
      <w:r w:rsidRPr="00AC66B3">
        <w:rPr>
          <w:rStyle w:val="Refdenotaalpie"/>
          <w:rFonts w:ascii="Times New Roman" w:hAnsi="Times New Roman" w:cs="Times New Roman"/>
          <w:sz w:val="28"/>
          <w:szCs w:val="28"/>
        </w:rPr>
        <w:footnoteReference w:id="185"/>
      </w:r>
      <w:r w:rsidRPr="00AC66B3">
        <w:rPr>
          <w:rFonts w:ascii="Times New Roman" w:hAnsi="Times New Roman" w:cs="Times New Roman"/>
          <w:sz w:val="28"/>
          <w:szCs w:val="28"/>
        </w:rPr>
        <w:t xml:space="preserve"> para adoptar medidas distintas a las necesarias para impulsar la ejecución del plan</w:t>
      </w:r>
      <w:r w:rsidRPr="00AC66B3">
        <w:rPr>
          <w:rFonts w:ascii="Times New Roman" w:hAnsi="Times New Roman" w:cs="Times New Roman"/>
          <w:sz w:val="28"/>
          <w:szCs w:val="28"/>
        </w:rPr>
        <w:t>. Dado que las disposiciones habilitantes, por regla g</w:t>
      </w:r>
      <w:r w:rsidRPr="00AC66B3">
        <w:rPr>
          <w:rFonts w:ascii="Times New Roman" w:hAnsi="Times New Roman" w:cs="Times New Roman"/>
          <w:sz w:val="28"/>
          <w:szCs w:val="28"/>
        </w:rPr>
        <w:t xml:space="preserve">eneral, permiten que el presidente de la República introduzca modificaciones permanentes a la legislación, que pueden o no tener un fin planificador, </w:t>
      </w:r>
      <w:r w:rsidRPr="00AC66B3">
        <w:rPr>
          <w:rFonts w:ascii="Times New Roman" w:hAnsi="Times New Roman" w:cs="Times New Roman"/>
          <w:sz w:val="28"/>
          <w:szCs w:val="28"/>
        </w:rPr>
        <w:t>es</w:t>
      </w:r>
      <w:r w:rsidRPr="00AC66B3">
        <w:rPr>
          <w:rFonts w:ascii="Times New Roman" w:hAnsi="Times New Roman" w:cs="Times New Roman"/>
          <w:sz w:val="28"/>
          <w:szCs w:val="28"/>
        </w:rPr>
        <w:t xml:space="preserve"> necesario que la Corte integr</w:t>
      </w:r>
      <w:r w:rsidRPr="00AC66B3">
        <w:rPr>
          <w:rFonts w:ascii="Times New Roman" w:hAnsi="Times New Roman" w:cs="Times New Roman"/>
          <w:sz w:val="28"/>
          <w:szCs w:val="28"/>
        </w:rPr>
        <w:t>e</w:t>
      </w:r>
      <w:r w:rsidRPr="00AC66B3">
        <w:rPr>
          <w:rFonts w:ascii="Times New Roman" w:hAnsi="Times New Roman" w:cs="Times New Roman"/>
          <w:sz w:val="28"/>
          <w:szCs w:val="28"/>
        </w:rPr>
        <w:t xml:space="preserve"> la unidad normativa de aquella disposición, para valorar su compatibilid</w:t>
      </w:r>
      <w:r w:rsidRPr="00AC66B3">
        <w:rPr>
          <w:rFonts w:ascii="Times New Roman" w:hAnsi="Times New Roman" w:cs="Times New Roman"/>
          <w:sz w:val="28"/>
          <w:szCs w:val="28"/>
        </w:rPr>
        <w:t>ad con las normas constitucionales citadas. Solo en caso de que se super</w:t>
      </w:r>
      <w:r w:rsidRPr="00AC66B3">
        <w:rPr>
          <w:rFonts w:ascii="Times New Roman" w:hAnsi="Times New Roman" w:cs="Times New Roman"/>
          <w:sz w:val="28"/>
          <w:szCs w:val="28"/>
        </w:rPr>
        <w:t>e</w:t>
      </w:r>
      <w:r w:rsidRPr="00AC66B3">
        <w:rPr>
          <w:rFonts w:ascii="Times New Roman" w:hAnsi="Times New Roman" w:cs="Times New Roman"/>
          <w:sz w:val="28"/>
          <w:szCs w:val="28"/>
        </w:rPr>
        <w:t xml:space="preserve"> este examen </w:t>
      </w:r>
      <w:r w:rsidRPr="00AC66B3">
        <w:rPr>
          <w:rFonts w:ascii="Times New Roman" w:hAnsi="Times New Roman" w:cs="Times New Roman"/>
          <w:sz w:val="28"/>
          <w:szCs w:val="28"/>
        </w:rPr>
        <w:t>es</w:t>
      </w:r>
      <w:r w:rsidRPr="00AC66B3">
        <w:rPr>
          <w:rFonts w:ascii="Times New Roman" w:hAnsi="Times New Roman" w:cs="Times New Roman"/>
          <w:sz w:val="28"/>
          <w:szCs w:val="28"/>
        </w:rPr>
        <w:t xml:space="preserve"> procedente valorar la compatibilidad de los apartados normativos demandados del Decreto Ley 1961 de 2023 con el artículo 150</w:t>
      </w:r>
      <w:r w:rsidRPr="00AC66B3">
        <w:rPr>
          <w:rFonts w:ascii="Times New Roman" w:hAnsi="Times New Roman" w:cs="Times New Roman"/>
          <w:sz w:val="28"/>
          <w:szCs w:val="28"/>
        </w:rPr>
        <w:t xml:space="preserve">, ordinal </w:t>
      </w:r>
      <w:r w:rsidRPr="00AC66B3">
        <w:rPr>
          <w:rFonts w:ascii="Times New Roman" w:hAnsi="Times New Roman" w:cs="Times New Roman"/>
          <w:sz w:val="28"/>
          <w:szCs w:val="28"/>
        </w:rPr>
        <w:t>10</w:t>
      </w:r>
      <w:r w:rsidRPr="00AC66B3">
        <w:rPr>
          <w:rFonts w:ascii="Times New Roman" w:hAnsi="Times New Roman" w:cs="Times New Roman"/>
          <w:sz w:val="28"/>
          <w:szCs w:val="28"/>
        </w:rPr>
        <w:t>,</w:t>
      </w:r>
      <w:r w:rsidRPr="00AC66B3">
        <w:rPr>
          <w:rFonts w:ascii="Times New Roman" w:hAnsi="Times New Roman" w:cs="Times New Roman"/>
          <w:sz w:val="28"/>
          <w:szCs w:val="28"/>
        </w:rPr>
        <w:t xml:space="preserve"> de la Constitución.</w:t>
      </w:r>
    </w:p>
    <w:p w:rsidR="00911654" w:rsidRPr="00AC66B3" w:rsidRDefault="00AC66B3" w:rsidP="00911654">
      <w:pPr>
        <w:spacing w:after="0" w:line="240" w:lineRule="auto"/>
        <w:jc w:val="both"/>
        <w:rPr>
          <w:rFonts w:ascii="Times New Roman" w:hAnsi="Times New Roman" w:cs="Times New Roman"/>
          <w:sz w:val="28"/>
          <w:szCs w:val="28"/>
        </w:rPr>
      </w:pPr>
    </w:p>
    <w:p w:rsidR="00647432" w:rsidRPr="00AC66B3" w:rsidRDefault="00AC66B3" w:rsidP="00911654">
      <w:pPr>
        <w:spacing w:after="0" w:line="240" w:lineRule="auto"/>
        <w:jc w:val="both"/>
        <w:rPr>
          <w:rFonts w:ascii="Times New Roman" w:hAnsi="Times New Roman" w:cs="Times New Roman"/>
          <w:color w:val="000000" w:themeColor="text1"/>
          <w:sz w:val="28"/>
          <w:szCs w:val="28"/>
        </w:rPr>
      </w:pPr>
    </w:p>
    <w:p w:rsidR="00647432" w:rsidRPr="00AC66B3" w:rsidRDefault="00AC66B3" w:rsidP="00911654">
      <w:pPr>
        <w:spacing w:after="0" w:line="240" w:lineRule="auto"/>
        <w:jc w:val="both"/>
        <w:rPr>
          <w:rFonts w:ascii="Times New Roman" w:hAnsi="Times New Roman" w:cs="Times New Roman"/>
          <w:color w:val="000000" w:themeColor="text1"/>
          <w:sz w:val="28"/>
          <w:szCs w:val="28"/>
        </w:rPr>
      </w:pPr>
    </w:p>
    <w:p w:rsidR="00647432" w:rsidRPr="00AC66B3" w:rsidRDefault="00AC66B3" w:rsidP="00647432">
      <w:pPr>
        <w:spacing w:after="0" w:line="240" w:lineRule="auto"/>
        <w:jc w:val="center"/>
        <w:rPr>
          <w:rFonts w:ascii="Times New Roman" w:hAnsi="Times New Roman" w:cs="Times New Roman"/>
          <w:b/>
          <w:bCs/>
          <w:color w:val="000000" w:themeColor="text1"/>
          <w:sz w:val="28"/>
          <w:szCs w:val="28"/>
        </w:rPr>
      </w:pPr>
      <w:r w:rsidRPr="00AC66B3">
        <w:rPr>
          <w:rFonts w:ascii="Times New Roman" w:hAnsi="Times New Roman" w:cs="Times New Roman"/>
          <w:b/>
          <w:bCs/>
          <w:color w:val="000000" w:themeColor="text1"/>
          <w:sz w:val="28"/>
          <w:szCs w:val="28"/>
        </w:rPr>
        <w:t>ANTONIO JOSÉ LIZARAZO OCAMPO</w:t>
      </w:r>
    </w:p>
    <w:p w:rsidR="00647432" w:rsidRPr="00AC66B3" w:rsidRDefault="00AC66B3" w:rsidP="00647432">
      <w:pPr>
        <w:spacing w:after="0" w:line="240" w:lineRule="auto"/>
        <w:jc w:val="center"/>
        <w:rPr>
          <w:rFonts w:ascii="Times New Roman" w:hAnsi="Times New Roman" w:cs="Times New Roman"/>
          <w:b/>
          <w:bCs/>
          <w:color w:val="000000" w:themeColor="text1"/>
          <w:sz w:val="28"/>
          <w:szCs w:val="28"/>
        </w:rPr>
      </w:pPr>
      <w:r w:rsidRPr="00AC66B3">
        <w:rPr>
          <w:rFonts w:ascii="Times New Roman" w:hAnsi="Times New Roman" w:cs="Times New Roman"/>
          <w:b/>
          <w:bCs/>
          <w:color w:val="000000" w:themeColor="text1"/>
          <w:sz w:val="28"/>
          <w:szCs w:val="28"/>
        </w:rPr>
        <w:t>Magistrado</w:t>
      </w:r>
    </w:p>
    <w:sectPr w:rsidR="00647432" w:rsidRPr="00AC66B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C66B3">
      <w:pPr>
        <w:spacing w:after="0" w:line="240" w:lineRule="auto"/>
      </w:pPr>
      <w:r>
        <w:separator/>
      </w:r>
    </w:p>
  </w:endnote>
  <w:endnote w:type="continuationSeparator" w:id="0">
    <w:p w:rsidR="00000000" w:rsidRDefault="00AC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Cond">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Work Sans">
    <w:altName w:val="Times New Roman"/>
    <w:charset w:val="00"/>
    <w:family w:val="auto"/>
    <w:pitch w:val="variable"/>
    <w:sig w:usb0="A00000FF" w:usb1="5000E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C66B3">
      <w:pPr>
        <w:spacing w:after="0" w:line="240" w:lineRule="auto"/>
      </w:pPr>
      <w:r>
        <w:separator/>
      </w:r>
    </w:p>
  </w:footnote>
  <w:footnote w:type="continuationSeparator" w:id="0">
    <w:p w:rsidR="00000000" w:rsidRDefault="00AC66B3">
      <w:pPr>
        <w:spacing w:after="0" w:line="240" w:lineRule="auto"/>
      </w:pPr>
      <w:r>
        <w:continuationSeparator/>
      </w:r>
    </w:p>
  </w:footnote>
  <w:footnote w:id="1">
    <w:p w:rsidR="000A045E" w:rsidRPr="001C61F8" w:rsidRDefault="00AC66B3" w:rsidP="000A045E">
      <w:pPr>
        <w:pStyle w:val="Textonotapie"/>
        <w:jc w:val="both"/>
      </w:pPr>
      <w:r w:rsidRPr="001C61F8">
        <w:rPr>
          <w:rStyle w:val="Refdenotaalpie"/>
        </w:rPr>
        <w:footnoteRef/>
      </w:r>
      <w:r w:rsidRPr="001C61F8">
        <w:t xml:space="preserve"> Es el caso de las demandas D-15.652 y D-15.678. </w:t>
      </w:r>
    </w:p>
  </w:footnote>
  <w:footnote w:id="2">
    <w:p w:rsidR="000A045E" w:rsidRPr="001C61F8" w:rsidRDefault="00AC66B3" w:rsidP="000A045E">
      <w:pPr>
        <w:pStyle w:val="Textonotapie"/>
        <w:jc w:val="both"/>
      </w:pPr>
      <w:r w:rsidRPr="001C61F8">
        <w:rPr>
          <w:rStyle w:val="Refdenotaalpie"/>
        </w:rPr>
        <w:footnoteRef/>
      </w:r>
      <w:r w:rsidRPr="001C61F8">
        <w:t xml:space="preserve"> Es el caso del segundo cargo (vulneración del inciso final del artículo 150 de la CP) de las demandas D-15.652 y D-15.669; de los cargos primero (vulneración de lo</w:t>
      </w:r>
      <w:r w:rsidRPr="001C61F8">
        <w:t>s artículos 25 y 26 de la CP), segundo (vulneración de los artículos 136, numeral 4, y 355, inciso segundo, de la CP), cuarto (vulneración de los artículos 150, inciso final, y 189, numeral 11, de la Constitución) y quinto (vulneración de los artículos 209</w:t>
      </w:r>
      <w:r w:rsidRPr="001C61F8">
        <w:t xml:space="preserve"> y 333 de la Constitución) de la demanda D-15.678; y de los cargos únicos de las demandas D-15.712 (vulneración de los artículos 1 y 209 de la Constitución) y D-15.713 (vulneración de los artículos 1 y 207 de la Constitución).</w:t>
      </w:r>
    </w:p>
  </w:footnote>
  <w:footnote w:id="3">
    <w:p w:rsidR="000A045E" w:rsidRPr="001C61F8" w:rsidRDefault="00AC66B3" w:rsidP="000A045E">
      <w:pPr>
        <w:pStyle w:val="Textonotapie"/>
        <w:jc w:val="both"/>
      </w:pPr>
      <w:r w:rsidRPr="001C61F8">
        <w:rPr>
          <w:rStyle w:val="Refdenotaalpie"/>
        </w:rPr>
        <w:footnoteRef/>
      </w:r>
      <w:r w:rsidRPr="001C61F8">
        <w:t xml:space="preserve"> La magistrada sustanciadora</w:t>
      </w:r>
      <w:r w:rsidRPr="001C61F8">
        <w:t xml:space="preserve"> invitó a intervenir en el proceso a Colombia Compra Eficiente, la Agencia Nacional de Infraestructura (ANI), el Instituto Nacional de Vías (Invías), la Cámara Colombiana de Infraestructura, la Organización Nacional Indígena de Colombia (ONIC), la Asociaci</w:t>
      </w:r>
      <w:r w:rsidRPr="001C61F8">
        <w:t>ón Nacional de Usuarios Campesinos (ANUC), la Mesa Nacional de Víctimas, y a las facultades de derecho de las universidades Rosario, Externado de Colombia, de los Andes, Nacional de Colombia, de Nariño y de Cartagena.</w:t>
      </w:r>
    </w:p>
  </w:footnote>
  <w:footnote w:id="4">
    <w:p w:rsidR="000A045E" w:rsidRPr="001C61F8" w:rsidRDefault="00AC66B3" w:rsidP="000A045E">
      <w:pPr>
        <w:pStyle w:val="Textonotapie"/>
        <w:jc w:val="both"/>
      </w:pPr>
      <w:r w:rsidRPr="001C61F8">
        <w:rPr>
          <w:rStyle w:val="Refdenotaalpie"/>
        </w:rPr>
        <w:footnoteRef/>
      </w:r>
      <w:r w:rsidRPr="001C61F8">
        <w:t xml:space="preserve"> El demandante del expediente D-15.65</w:t>
      </w:r>
      <w:r w:rsidRPr="001C61F8">
        <w:t>2 presentó un escrito en el que desistió del segundo cargo de la demanda y adjuntó su cédula de ciudadanía. En el expediente D-15.669, los demandantes no presentaron escrito de corrección de la demanda. En el expediente D-15.678, el demandante presentó esc</w:t>
      </w:r>
      <w:r w:rsidRPr="001C61F8">
        <w:t xml:space="preserve">rito de corrección de la demanda y adjuntó copia de su cédula de ciudadanía. En el expediente D-15.712, el demandante presentó escrito de corrección de la demanda. Y en el expediente D-15.713, el demandante desistió del cargo planteado. </w:t>
      </w:r>
    </w:p>
  </w:footnote>
  <w:footnote w:id="5">
    <w:p w:rsidR="000A045E" w:rsidRPr="001C61F8" w:rsidRDefault="00AC66B3" w:rsidP="000A045E">
      <w:pPr>
        <w:pStyle w:val="Textonotapie"/>
        <w:jc w:val="both"/>
      </w:pPr>
      <w:r w:rsidRPr="001C61F8">
        <w:rPr>
          <w:rStyle w:val="Refdenotaalpie"/>
        </w:rPr>
        <w:footnoteRef/>
      </w:r>
      <w:r w:rsidRPr="001C61F8">
        <w:t xml:space="preserve"> Las demandas D-1</w:t>
      </w:r>
      <w:r w:rsidRPr="001C61F8">
        <w:t xml:space="preserve">5.652 y D-15.669 fueron admitidas contra el parágrafo 1 del artículo 35 del Decreto Ley 1961 de 2023; y la demanda D-15.678, contra </w:t>
      </w:r>
      <w:r w:rsidRPr="001C61F8">
        <w:rPr>
          <w:bCs/>
        </w:rPr>
        <w:t>los artículos 1 (parcial), 9.5 (parcial) y 35 (parágrafo 1) del Decreto Ley 1961 de 2023.</w:t>
      </w:r>
    </w:p>
  </w:footnote>
  <w:footnote w:id="6">
    <w:p w:rsidR="000A045E" w:rsidRPr="001C61F8" w:rsidRDefault="00AC66B3" w:rsidP="000A045E">
      <w:pPr>
        <w:pStyle w:val="Textonotapie"/>
        <w:jc w:val="both"/>
      </w:pPr>
      <w:r w:rsidRPr="001C61F8">
        <w:rPr>
          <w:rStyle w:val="Refdenotaalpie"/>
        </w:rPr>
        <w:footnoteRef/>
      </w:r>
      <w:r w:rsidRPr="001C61F8">
        <w:t xml:space="preserve"> Artículo 368 de la Ley 2294 de 2</w:t>
      </w:r>
      <w:r w:rsidRPr="001C61F8">
        <w:t>023.</w:t>
      </w:r>
    </w:p>
  </w:footnote>
  <w:footnote w:id="7">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8">
    <w:p w:rsidR="000A045E" w:rsidRPr="001C61F8" w:rsidRDefault="00AC66B3" w:rsidP="000A045E">
      <w:pPr>
        <w:pStyle w:val="Textonotapie"/>
        <w:jc w:val="both"/>
      </w:pPr>
      <w:r w:rsidRPr="001C61F8">
        <w:rPr>
          <w:rStyle w:val="Refdenotaalpie"/>
        </w:rPr>
        <w:footnoteRef/>
      </w:r>
      <w:r w:rsidRPr="001C61F8">
        <w:t xml:space="preserve"> Pág. 7 de la demanda.</w:t>
      </w:r>
    </w:p>
  </w:footnote>
  <w:footnote w:id="9">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0">
    <w:p w:rsidR="000A045E" w:rsidRPr="001C61F8" w:rsidRDefault="00AC66B3" w:rsidP="000A045E">
      <w:pPr>
        <w:pStyle w:val="Textonotapie"/>
        <w:jc w:val="both"/>
      </w:pPr>
      <w:r w:rsidRPr="001C61F8">
        <w:rPr>
          <w:rStyle w:val="Refdenotaalpie"/>
        </w:rPr>
        <w:footnoteRef/>
      </w:r>
      <w:r w:rsidRPr="001C61F8">
        <w:t xml:space="preserve"> Pág. 23 de la demanda. </w:t>
      </w:r>
    </w:p>
  </w:footnote>
  <w:footnote w:id="11">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2">
    <w:p w:rsidR="000A045E" w:rsidRPr="001C61F8" w:rsidRDefault="00AC66B3" w:rsidP="000A045E">
      <w:pPr>
        <w:pStyle w:val="Textonotapie"/>
        <w:jc w:val="both"/>
      </w:pPr>
      <w:r w:rsidRPr="001C61F8">
        <w:rPr>
          <w:rStyle w:val="Refdenotaalpie"/>
        </w:rPr>
        <w:footnoteRef/>
      </w:r>
      <w:r w:rsidRPr="001C61F8">
        <w:t xml:space="preserve"> Los demandantes citan las sentencias C-090, C-113 y C-237 de 2022 y C-261 de 2016.</w:t>
      </w:r>
    </w:p>
  </w:footnote>
  <w:footnote w:id="13">
    <w:p w:rsidR="000A045E" w:rsidRPr="001C61F8" w:rsidRDefault="00AC66B3" w:rsidP="000A045E">
      <w:pPr>
        <w:pStyle w:val="Textonotapie"/>
        <w:jc w:val="both"/>
      </w:pPr>
      <w:r w:rsidRPr="001C61F8">
        <w:rPr>
          <w:rStyle w:val="Refdenotaalpie"/>
        </w:rPr>
        <w:footnoteRef/>
      </w:r>
      <w:r w:rsidRPr="001C61F8">
        <w:t xml:space="preserve"> El demandante cita la Sentencia C-261 de 2016.</w:t>
      </w:r>
    </w:p>
  </w:footnote>
  <w:footnote w:id="14">
    <w:p w:rsidR="000A045E" w:rsidRPr="001C61F8" w:rsidRDefault="00AC66B3" w:rsidP="000A045E">
      <w:pPr>
        <w:pStyle w:val="Textonotapie"/>
        <w:jc w:val="both"/>
      </w:pPr>
      <w:r w:rsidRPr="001C61F8">
        <w:rPr>
          <w:rStyle w:val="Refdenotaalpie"/>
        </w:rPr>
        <w:footnoteRef/>
      </w:r>
      <w:r w:rsidRPr="001C61F8">
        <w:t xml:space="preserve"> El 11 de abril de 2024, la Secretaría General de la Corte informó al despacho que, en cumplimiento de lo ordenado en los autos de 19 de febrero y 8 de abril de 2024, el proceso se fijó en lista entre el 11 y el 24 de abril de 2024.</w:t>
      </w:r>
    </w:p>
  </w:footnote>
  <w:footnote w:id="15">
    <w:p w:rsidR="000A045E" w:rsidRPr="001C61F8" w:rsidRDefault="00AC66B3" w:rsidP="000A045E">
      <w:pPr>
        <w:pStyle w:val="Textonotapie"/>
        <w:jc w:val="both"/>
      </w:pPr>
      <w:r w:rsidRPr="001C61F8">
        <w:rPr>
          <w:rStyle w:val="Refdenotaalpie"/>
        </w:rPr>
        <w:footnoteRef/>
      </w:r>
      <w:r w:rsidRPr="001C61F8">
        <w:t xml:space="preserve"> Pág. 8 del escrito.</w:t>
      </w:r>
    </w:p>
  </w:footnote>
  <w:footnote w:id="16">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7">
    <w:p w:rsidR="000A045E" w:rsidRPr="001C61F8" w:rsidRDefault="00AC66B3" w:rsidP="000A045E">
      <w:pPr>
        <w:pStyle w:val="Textonotapie"/>
        <w:jc w:val="both"/>
      </w:pPr>
      <w:r w:rsidRPr="001C61F8">
        <w:rPr>
          <w:rStyle w:val="Refdenotaalpie"/>
        </w:rPr>
        <w:footnoteRef/>
      </w:r>
      <w:r w:rsidRPr="001C61F8">
        <w:t xml:space="preserve"> El escrito cita las sentencias C-350 de 2004 y C-629 de 2003. </w:t>
      </w:r>
    </w:p>
  </w:footnote>
  <w:footnote w:id="18">
    <w:p w:rsidR="000A045E" w:rsidRPr="001C61F8" w:rsidRDefault="00AC66B3" w:rsidP="000A045E">
      <w:pPr>
        <w:pStyle w:val="Textonotapie"/>
        <w:jc w:val="both"/>
      </w:pPr>
      <w:r w:rsidRPr="001C61F8">
        <w:rPr>
          <w:rStyle w:val="Refdenotaalpie"/>
        </w:rPr>
        <w:footnoteRef/>
      </w:r>
      <w:r w:rsidRPr="001C61F8">
        <w:t xml:space="preserve"> El escrito cita la Sentencia C-306 de 2004.</w:t>
      </w:r>
    </w:p>
  </w:footnote>
  <w:footnote w:id="19">
    <w:p w:rsidR="000A045E" w:rsidRPr="001C61F8" w:rsidRDefault="00AC66B3" w:rsidP="000A045E">
      <w:pPr>
        <w:pStyle w:val="Textonotapie"/>
        <w:jc w:val="both"/>
      </w:pPr>
      <w:r w:rsidRPr="001C61F8">
        <w:rPr>
          <w:rStyle w:val="Refdenotaalpie"/>
        </w:rPr>
        <w:footnoteRef/>
      </w:r>
      <w:r w:rsidRPr="001C61F8">
        <w:t xml:space="preserve"> Pág. 13 del escrito.</w:t>
      </w:r>
    </w:p>
  </w:footnote>
  <w:footnote w:id="20">
    <w:p w:rsidR="000A045E" w:rsidRPr="001C61F8" w:rsidRDefault="00AC66B3" w:rsidP="000A045E">
      <w:pPr>
        <w:pStyle w:val="Textonotapie"/>
        <w:jc w:val="both"/>
      </w:pPr>
      <w:r w:rsidRPr="001C61F8">
        <w:rPr>
          <w:rStyle w:val="Refdenotaalpie"/>
        </w:rPr>
        <w:footnoteRef/>
      </w:r>
      <w:r w:rsidRPr="001C61F8">
        <w:t xml:space="preserve"> Pág. 11 del escrito.</w:t>
      </w:r>
    </w:p>
  </w:footnote>
  <w:footnote w:id="21">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22">
    <w:p w:rsidR="000A045E" w:rsidRPr="001C61F8" w:rsidRDefault="00AC66B3" w:rsidP="000A045E">
      <w:pPr>
        <w:pStyle w:val="Textonotapie"/>
        <w:jc w:val="both"/>
      </w:pPr>
      <w:r w:rsidRPr="001C61F8">
        <w:rPr>
          <w:rStyle w:val="Refdenotaalpie"/>
        </w:rPr>
        <w:footnoteRef/>
      </w:r>
      <w:r w:rsidRPr="001C61F8">
        <w:t xml:space="preserve"> Pág. 15 del escrito.</w:t>
      </w:r>
    </w:p>
  </w:footnote>
  <w:footnote w:id="23">
    <w:p w:rsidR="000A045E" w:rsidRPr="001C61F8" w:rsidRDefault="00AC66B3" w:rsidP="000A045E">
      <w:pPr>
        <w:pStyle w:val="Textonotapie"/>
        <w:jc w:val="both"/>
      </w:pPr>
      <w:r w:rsidRPr="001C61F8">
        <w:rPr>
          <w:rStyle w:val="Refdenotaalpie"/>
        </w:rPr>
        <w:footnoteRef/>
      </w:r>
      <w:r w:rsidRPr="001C61F8">
        <w:t xml:space="preserve"> El escrito cita la Sentencia C-119 de 2020.</w:t>
      </w:r>
    </w:p>
  </w:footnote>
  <w:footnote w:id="24">
    <w:p w:rsidR="000A045E" w:rsidRPr="001C61F8" w:rsidRDefault="00AC66B3" w:rsidP="000A045E">
      <w:pPr>
        <w:pStyle w:val="Textonotapie"/>
        <w:jc w:val="both"/>
      </w:pPr>
      <w:r w:rsidRPr="001C61F8">
        <w:rPr>
          <w:rStyle w:val="Refdenotaalpie"/>
        </w:rPr>
        <w:footnoteRef/>
      </w:r>
      <w:r w:rsidRPr="001C61F8">
        <w:t xml:space="preserve"> El escrit</w:t>
      </w:r>
      <w:r w:rsidRPr="001C61F8">
        <w:t>o cita la Sentencia del Consejo de Estado, Sección Tercera, expediente n.° 45.607, del 24 de octubre de 2016, consejera ponente: Marta Nubia Velásquez Rico; y el concepto C-049 de 2022 de la Agencia Nacional de Contratación Pública Colombia Compra Eficient</w:t>
      </w:r>
      <w:r w:rsidRPr="001C61F8">
        <w:t>e.</w:t>
      </w:r>
    </w:p>
  </w:footnote>
  <w:footnote w:id="25">
    <w:p w:rsidR="000A045E" w:rsidRPr="001C61F8" w:rsidRDefault="00AC66B3" w:rsidP="000A045E">
      <w:pPr>
        <w:pStyle w:val="Textonotapie"/>
        <w:jc w:val="both"/>
      </w:pPr>
      <w:r w:rsidRPr="001C61F8">
        <w:rPr>
          <w:rStyle w:val="Refdenotaalpie"/>
        </w:rPr>
        <w:footnoteRef/>
      </w:r>
      <w:r w:rsidRPr="001C61F8">
        <w:t xml:space="preserve"> Artículo 353 de la Ley 2294 de 2023, que modificó el literal l) del numeral 4 del artículo 2 de la Ley 1150 de 2007.</w:t>
      </w:r>
    </w:p>
  </w:footnote>
  <w:footnote w:id="26">
    <w:p w:rsidR="000A045E" w:rsidRPr="001C61F8" w:rsidRDefault="00AC66B3" w:rsidP="000A045E">
      <w:pPr>
        <w:pStyle w:val="Textonotapie"/>
        <w:jc w:val="both"/>
      </w:pPr>
      <w:r w:rsidRPr="001C61F8">
        <w:rPr>
          <w:rStyle w:val="Refdenotaalpie"/>
        </w:rPr>
        <w:footnoteRef/>
      </w:r>
      <w:r w:rsidRPr="001C61F8">
        <w:t xml:space="preserve"> Pág. 26 del escrito.</w:t>
      </w:r>
    </w:p>
  </w:footnote>
  <w:footnote w:id="27">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p>
  </w:footnote>
  <w:footnote w:id="28">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p>
  </w:footnote>
  <w:footnote w:id="29">
    <w:p w:rsidR="000A045E" w:rsidRPr="001C61F8" w:rsidRDefault="00AC66B3" w:rsidP="000A045E">
      <w:pPr>
        <w:pStyle w:val="Textonotapie"/>
        <w:jc w:val="both"/>
      </w:pPr>
      <w:r w:rsidRPr="001C61F8">
        <w:rPr>
          <w:rStyle w:val="Refdenotaalpie"/>
        </w:rPr>
        <w:footnoteRef/>
      </w:r>
      <w:r w:rsidRPr="001C61F8">
        <w:t xml:space="preserve"> Pág. 27 del escrito.</w:t>
      </w:r>
    </w:p>
  </w:footnote>
  <w:footnote w:id="30">
    <w:p w:rsidR="000A045E" w:rsidRPr="001C61F8" w:rsidRDefault="00AC66B3" w:rsidP="000A045E">
      <w:pPr>
        <w:pStyle w:val="Textonotapie"/>
        <w:jc w:val="both"/>
      </w:pPr>
      <w:r w:rsidRPr="001C61F8">
        <w:rPr>
          <w:rStyle w:val="Refdenotaalpie"/>
        </w:rPr>
        <w:footnoteRef/>
      </w:r>
      <w:r w:rsidRPr="001C61F8">
        <w:t xml:space="preserve"> Pág. 28 del escrito. </w:t>
      </w:r>
    </w:p>
  </w:footnote>
  <w:footnote w:id="31">
    <w:p w:rsidR="000A045E" w:rsidRPr="001C61F8" w:rsidRDefault="00AC66B3" w:rsidP="000A045E">
      <w:pPr>
        <w:pStyle w:val="Textonotapie"/>
        <w:jc w:val="both"/>
      </w:pPr>
      <w:r w:rsidRPr="001C61F8">
        <w:rPr>
          <w:rStyle w:val="Refdenotaalpie"/>
        </w:rPr>
        <w:footnoteRef/>
      </w:r>
      <w:r w:rsidRPr="001C61F8">
        <w:t xml:space="preserve"> </w:t>
      </w:r>
      <w:hyperlink r:id="rId1" w:history="1">
        <w:r w:rsidRPr="001C61F8">
          <w:rPr>
            <w:rStyle w:val="Hipervnculo"/>
          </w:rPr>
          <w:t>https://www.invias.gov.co/index.php/archivo-y-documentos/documentos-tecnicos/14788-cartilla-de-obras-menores-de-drenaje-y-estructuras-vi</w:t>
        </w:r>
        <w:r w:rsidRPr="001C61F8">
          <w:rPr>
            <w:rStyle w:val="Hipervnculo"/>
          </w:rPr>
          <w:t>ales/file</w:t>
        </w:r>
      </w:hyperlink>
      <w:r w:rsidRPr="001C61F8">
        <w:t>.</w:t>
      </w:r>
    </w:p>
    <w:p w:rsidR="000A045E" w:rsidRPr="001C61F8" w:rsidRDefault="00AC66B3" w:rsidP="000A045E">
      <w:pPr>
        <w:pStyle w:val="Textonotapie"/>
        <w:jc w:val="both"/>
      </w:pPr>
      <w:r w:rsidRPr="001C61F8">
        <w:rPr>
          <w:rStyle w:val="Refdenotaalpie"/>
        </w:rPr>
        <w:footnoteRef/>
      </w:r>
      <w:r w:rsidRPr="001C61F8">
        <w:t xml:space="preserve"> Pág. 28 del escrito.</w:t>
      </w:r>
    </w:p>
  </w:footnote>
  <w:footnote w:id="32">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33">
    <w:p w:rsidR="000A045E" w:rsidRPr="001C61F8" w:rsidRDefault="00AC66B3" w:rsidP="000A045E">
      <w:pPr>
        <w:pStyle w:val="Textonotapie"/>
        <w:jc w:val="both"/>
        <w:rPr>
          <w:lang w:val="es-MX"/>
        </w:rPr>
      </w:pPr>
      <w:r w:rsidRPr="001C61F8">
        <w:rPr>
          <w:rStyle w:val="Refdenotaalpie"/>
        </w:rPr>
        <w:footnoteRef/>
      </w:r>
      <w:r w:rsidRPr="001C61F8">
        <w:t xml:space="preserve"> </w:t>
      </w:r>
      <w:r w:rsidRPr="001C61F8">
        <w:rPr>
          <w:lang w:val="es-MX"/>
        </w:rPr>
        <w:t xml:space="preserve">El escrito cita la Sentencia C-307 de 2018 y el </w:t>
      </w:r>
      <w:r w:rsidRPr="001C61F8">
        <w:t>Auto 275 de 2011</w:t>
      </w:r>
      <w:r w:rsidRPr="001C61F8">
        <w:rPr>
          <w:lang w:val="es-MX"/>
        </w:rPr>
        <w:t xml:space="preserve">. </w:t>
      </w:r>
    </w:p>
  </w:footnote>
  <w:footnote w:id="34">
    <w:p w:rsidR="000A045E" w:rsidRPr="001C61F8" w:rsidRDefault="00AC66B3" w:rsidP="000A045E">
      <w:pPr>
        <w:pStyle w:val="Textonotapie"/>
        <w:jc w:val="both"/>
        <w:rPr>
          <w:lang w:val="es-MX"/>
        </w:rPr>
      </w:pPr>
      <w:r w:rsidRPr="001C61F8">
        <w:rPr>
          <w:rStyle w:val="Refdenotaalpie"/>
        </w:rPr>
        <w:footnoteRef/>
      </w:r>
      <w:r w:rsidRPr="001C61F8">
        <w:t xml:space="preserve"> </w:t>
      </w:r>
      <w:r w:rsidRPr="001C61F8">
        <w:rPr>
          <w:lang w:val="es-MX"/>
        </w:rPr>
        <w:t xml:space="preserve">El escrito de intervención fue recibido por la Secretaría General de la Corte Constitucional el 24 de abril de 2024 a las 6:10 p. m. </w:t>
      </w:r>
    </w:p>
  </w:footnote>
  <w:footnote w:id="35">
    <w:p w:rsidR="000A045E" w:rsidRPr="001C61F8" w:rsidRDefault="00AC66B3" w:rsidP="000A045E">
      <w:pPr>
        <w:pStyle w:val="Textonotapie"/>
        <w:jc w:val="both"/>
      </w:pPr>
      <w:r w:rsidRPr="001C61F8">
        <w:rPr>
          <w:rStyle w:val="Refdenotaalpie"/>
        </w:rPr>
        <w:footnoteRef/>
      </w:r>
      <w:r w:rsidRPr="001C61F8">
        <w:t xml:space="preserve"> Pág. </w:t>
      </w:r>
      <w:r w:rsidRPr="001C61F8">
        <w:t>8 del escrito.</w:t>
      </w:r>
    </w:p>
  </w:footnote>
  <w:footnote w:id="36">
    <w:p w:rsidR="000A045E" w:rsidRPr="001C61F8" w:rsidRDefault="00AC66B3" w:rsidP="000A045E">
      <w:pPr>
        <w:pStyle w:val="Textonotapie"/>
        <w:jc w:val="both"/>
      </w:pPr>
      <w:r w:rsidRPr="001C61F8">
        <w:rPr>
          <w:rStyle w:val="Refdenotaalpie"/>
        </w:rPr>
        <w:footnoteRef/>
      </w:r>
      <w:r w:rsidRPr="001C61F8">
        <w:t xml:space="preserve"> Pág. 9 del escrito.</w:t>
      </w:r>
    </w:p>
  </w:footnote>
  <w:footnote w:id="37">
    <w:p w:rsidR="000A045E" w:rsidRPr="001C61F8" w:rsidRDefault="00AC66B3" w:rsidP="000A045E">
      <w:pPr>
        <w:pStyle w:val="Textonotapie"/>
        <w:jc w:val="both"/>
      </w:pPr>
      <w:r w:rsidRPr="001C61F8">
        <w:rPr>
          <w:rStyle w:val="Refdenotaalpie"/>
        </w:rPr>
        <w:footnoteRef/>
      </w:r>
      <w:r w:rsidRPr="001C61F8">
        <w:t xml:space="preserve"> Pág. 11 del escrito.</w:t>
      </w:r>
    </w:p>
  </w:footnote>
  <w:footnote w:id="38">
    <w:p w:rsidR="000A045E" w:rsidRPr="001C61F8" w:rsidRDefault="00AC66B3" w:rsidP="000A045E">
      <w:pPr>
        <w:pStyle w:val="Textonotapie"/>
        <w:jc w:val="both"/>
      </w:pPr>
      <w:r w:rsidRPr="001C61F8">
        <w:rPr>
          <w:rStyle w:val="Refdenotaalpie"/>
        </w:rPr>
        <w:footnoteRef/>
      </w:r>
      <w:r w:rsidRPr="001C61F8">
        <w:t xml:space="preserve"> Pág. 8 del escrito.</w:t>
      </w:r>
    </w:p>
  </w:footnote>
  <w:footnote w:id="39">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40">
    <w:p w:rsidR="000A045E" w:rsidRPr="001C61F8" w:rsidRDefault="00AC66B3" w:rsidP="000A045E">
      <w:pPr>
        <w:pStyle w:val="Textonotapie"/>
        <w:jc w:val="both"/>
      </w:pPr>
      <w:r w:rsidRPr="001C61F8">
        <w:rPr>
          <w:rStyle w:val="Refdenotaalpie"/>
        </w:rPr>
        <w:footnoteRef/>
      </w:r>
      <w:r w:rsidRPr="001C61F8">
        <w:t xml:space="preserve"> Artículo 100 de la Ley 2294 de 2023.</w:t>
      </w:r>
    </w:p>
  </w:footnote>
  <w:footnote w:id="41">
    <w:p w:rsidR="000A045E" w:rsidRPr="001C61F8" w:rsidRDefault="00AC66B3" w:rsidP="000A045E">
      <w:pPr>
        <w:pStyle w:val="Textonotapie"/>
        <w:jc w:val="both"/>
      </w:pPr>
      <w:r w:rsidRPr="001C61F8">
        <w:rPr>
          <w:rStyle w:val="Refdenotaalpie"/>
        </w:rPr>
        <w:footnoteRef/>
      </w:r>
      <w:r w:rsidRPr="001C61F8">
        <w:t xml:space="preserve"> Artículo 101 de la Ley 2294 de 2023. </w:t>
      </w:r>
    </w:p>
  </w:footnote>
  <w:footnote w:id="42">
    <w:p w:rsidR="000A045E" w:rsidRPr="001C61F8" w:rsidRDefault="00AC66B3" w:rsidP="000A045E">
      <w:pPr>
        <w:pStyle w:val="Textonotapie"/>
        <w:jc w:val="both"/>
      </w:pPr>
      <w:r w:rsidRPr="001C61F8">
        <w:rPr>
          <w:rStyle w:val="Refdenotaalpie"/>
        </w:rPr>
        <w:footnoteRef/>
      </w:r>
      <w:r w:rsidRPr="001C61F8">
        <w:t xml:space="preserve"> Artículo 239 de la Ley 2294 de 2023.</w:t>
      </w:r>
    </w:p>
  </w:footnote>
  <w:footnote w:id="43">
    <w:p w:rsidR="000A045E" w:rsidRPr="001C61F8" w:rsidRDefault="00AC66B3" w:rsidP="000A045E">
      <w:pPr>
        <w:pStyle w:val="Textonotapie"/>
        <w:jc w:val="both"/>
      </w:pPr>
      <w:r w:rsidRPr="001C61F8">
        <w:rPr>
          <w:rStyle w:val="Refdenotaalpie"/>
        </w:rPr>
        <w:footnoteRef/>
      </w:r>
      <w:r w:rsidRPr="001C61F8">
        <w:t xml:space="preserve"> Pág. 6 del escrito.</w:t>
      </w:r>
    </w:p>
  </w:footnote>
  <w:footnote w:id="44">
    <w:p w:rsidR="000A045E" w:rsidRPr="001C61F8" w:rsidRDefault="00AC66B3" w:rsidP="000A045E">
      <w:pPr>
        <w:pStyle w:val="Textonotapie"/>
        <w:jc w:val="both"/>
      </w:pPr>
      <w:r w:rsidRPr="001C61F8">
        <w:rPr>
          <w:rStyle w:val="Refdenotaalpie"/>
        </w:rPr>
        <w:footnoteRef/>
      </w:r>
      <w:r w:rsidRPr="001C61F8">
        <w:t xml:space="preserve"> Pág. 5 del escrito.</w:t>
      </w:r>
    </w:p>
  </w:footnote>
  <w:footnote w:id="45">
    <w:p w:rsidR="000A045E" w:rsidRPr="001C61F8" w:rsidRDefault="00AC66B3" w:rsidP="000A045E">
      <w:pPr>
        <w:pStyle w:val="Textonotapie"/>
        <w:jc w:val="both"/>
      </w:pPr>
      <w:r w:rsidRPr="001C61F8">
        <w:rPr>
          <w:rStyle w:val="Refdenotaalpie"/>
        </w:rPr>
        <w:footnoteRef/>
      </w:r>
      <w:r w:rsidRPr="001C61F8">
        <w:t xml:space="preserve"> Pág. 5 y 6 del escrito.</w:t>
      </w:r>
    </w:p>
  </w:footnote>
  <w:footnote w:id="46">
    <w:p w:rsidR="000A045E" w:rsidRPr="001C61F8" w:rsidRDefault="00AC66B3" w:rsidP="000A045E">
      <w:pPr>
        <w:pStyle w:val="Textonotapie"/>
        <w:jc w:val="both"/>
      </w:pPr>
      <w:r w:rsidRPr="001C61F8">
        <w:rPr>
          <w:rStyle w:val="Refdenotaalpie"/>
        </w:rPr>
        <w:footnoteRef/>
      </w:r>
      <w:r w:rsidRPr="001C61F8">
        <w:t xml:space="preserve"> Pág. 7 del escrito.</w:t>
      </w:r>
    </w:p>
  </w:footnote>
  <w:footnote w:id="47">
    <w:p w:rsidR="000A045E" w:rsidRPr="001C61F8" w:rsidRDefault="00AC66B3" w:rsidP="000A045E">
      <w:pPr>
        <w:pStyle w:val="Textonotapie"/>
        <w:jc w:val="both"/>
      </w:pPr>
      <w:r w:rsidRPr="001C61F8">
        <w:rPr>
          <w:rStyle w:val="Refdenotaalpie"/>
        </w:rPr>
        <w:footnoteRef/>
      </w:r>
      <w:r w:rsidRPr="001C61F8">
        <w:t xml:space="preserve"> Pág. 7 del escrito.</w:t>
      </w:r>
    </w:p>
  </w:footnote>
  <w:footnote w:id="48">
    <w:p w:rsidR="000A045E" w:rsidRPr="001C61F8" w:rsidRDefault="00AC66B3" w:rsidP="000A045E">
      <w:pPr>
        <w:pStyle w:val="Textonotapie"/>
        <w:jc w:val="both"/>
      </w:pPr>
      <w:r w:rsidRPr="001C61F8">
        <w:rPr>
          <w:rStyle w:val="Refdenotaalpie"/>
        </w:rPr>
        <w:footnoteRef/>
      </w:r>
      <w:r w:rsidRPr="001C61F8">
        <w:t xml:space="preserve"> Pág. 2 del escrito.</w:t>
      </w:r>
    </w:p>
  </w:footnote>
  <w:footnote w:id="49">
    <w:p w:rsidR="000A045E" w:rsidRPr="001C61F8" w:rsidRDefault="00AC66B3" w:rsidP="000A045E">
      <w:pPr>
        <w:pStyle w:val="Textonotapie"/>
        <w:jc w:val="both"/>
        <w:rPr>
          <w:lang w:val="es-MX"/>
        </w:rPr>
      </w:pPr>
      <w:r w:rsidRPr="001C61F8">
        <w:rPr>
          <w:rStyle w:val="Refdenotaalpie"/>
        </w:rPr>
        <w:footnoteRef/>
      </w:r>
      <w:r w:rsidRPr="001C61F8">
        <w:t xml:space="preserve"> </w:t>
      </w:r>
      <w:r w:rsidRPr="001C61F8">
        <w:rPr>
          <w:lang w:val="es-MX"/>
        </w:rPr>
        <w:t xml:space="preserve">Pág. 11 del escrito. </w:t>
      </w:r>
    </w:p>
  </w:footnote>
  <w:footnote w:id="50">
    <w:p w:rsidR="000A045E" w:rsidRPr="001C61F8" w:rsidRDefault="00AC66B3" w:rsidP="000A045E">
      <w:pPr>
        <w:pStyle w:val="Textonotapie"/>
        <w:jc w:val="both"/>
      </w:pPr>
      <w:r w:rsidRPr="001C61F8">
        <w:rPr>
          <w:rStyle w:val="Refdenotaalpie"/>
        </w:rPr>
        <w:footnoteRef/>
      </w:r>
      <w:r w:rsidRPr="001C61F8">
        <w:t xml:space="preserve"> Pág. 7 y 8 del escrito.</w:t>
      </w:r>
    </w:p>
  </w:footnote>
  <w:footnote w:id="51">
    <w:p w:rsidR="000A045E" w:rsidRPr="001C61F8" w:rsidRDefault="00AC66B3" w:rsidP="000A045E">
      <w:pPr>
        <w:pStyle w:val="Textonotapie"/>
        <w:jc w:val="both"/>
        <w:rPr>
          <w:lang w:val="es-MX"/>
        </w:rPr>
      </w:pPr>
      <w:r w:rsidRPr="001C61F8">
        <w:rPr>
          <w:rStyle w:val="Refdenotaalpie"/>
        </w:rPr>
        <w:footnoteRef/>
      </w:r>
      <w:r w:rsidRPr="001C61F8">
        <w:t xml:space="preserve"> </w:t>
      </w:r>
      <w:r w:rsidRPr="001C61F8">
        <w:rPr>
          <w:lang w:val="es-MX"/>
        </w:rPr>
        <w:t>El escrito de intervención fue recibido por la Secretaría General de la Corte Constitucional el 24 de abril de 20</w:t>
      </w:r>
      <w:r w:rsidRPr="001C61F8">
        <w:rPr>
          <w:lang w:val="es-MX"/>
        </w:rPr>
        <w:t xml:space="preserve">24 a las 5:17 p. m. </w:t>
      </w:r>
    </w:p>
  </w:footnote>
  <w:footnote w:id="52">
    <w:p w:rsidR="000A045E" w:rsidRPr="001C61F8" w:rsidRDefault="00AC66B3" w:rsidP="000A045E">
      <w:pPr>
        <w:pStyle w:val="Textonotapie"/>
        <w:jc w:val="both"/>
      </w:pPr>
      <w:r w:rsidRPr="001C61F8">
        <w:rPr>
          <w:rStyle w:val="Refdenotaalpie"/>
        </w:rPr>
        <w:footnoteRef/>
      </w:r>
      <w:r w:rsidRPr="001C61F8">
        <w:t xml:space="preserve"> Pág. 4 del escrito.</w:t>
      </w:r>
    </w:p>
  </w:footnote>
  <w:footnote w:id="53">
    <w:p w:rsidR="000A045E" w:rsidRPr="001C61F8" w:rsidRDefault="00AC66B3" w:rsidP="000A045E">
      <w:pPr>
        <w:pStyle w:val="Textonotapie"/>
        <w:jc w:val="both"/>
      </w:pPr>
      <w:r w:rsidRPr="001C61F8">
        <w:rPr>
          <w:rStyle w:val="Refdenotaalpie"/>
        </w:rPr>
        <w:footnoteRef/>
      </w:r>
      <w:r w:rsidRPr="001C61F8">
        <w:t xml:space="preserve"> Pág. 5 del escrito.</w:t>
      </w:r>
    </w:p>
  </w:footnote>
  <w:footnote w:id="54">
    <w:p w:rsidR="000A045E" w:rsidRPr="001C61F8" w:rsidRDefault="00AC66B3" w:rsidP="000A045E">
      <w:pPr>
        <w:pStyle w:val="Textonotapie"/>
        <w:jc w:val="both"/>
      </w:pPr>
      <w:r w:rsidRPr="001C61F8">
        <w:rPr>
          <w:rStyle w:val="Refdenotaalpie"/>
        </w:rPr>
        <w:footnoteRef/>
      </w:r>
      <w:r w:rsidRPr="001C61F8">
        <w:t xml:space="preserve"> Pág. 6 del escrito.</w:t>
      </w:r>
    </w:p>
  </w:footnote>
  <w:footnote w:id="55">
    <w:p w:rsidR="000A045E" w:rsidRPr="001C61F8" w:rsidRDefault="00AC66B3" w:rsidP="000A045E">
      <w:pPr>
        <w:pStyle w:val="Textonotapie"/>
        <w:jc w:val="both"/>
      </w:pPr>
      <w:r w:rsidRPr="001C61F8">
        <w:rPr>
          <w:rStyle w:val="Refdenotaalpie"/>
        </w:rPr>
        <w:footnoteRef/>
      </w:r>
      <w:r w:rsidRPr="001C61F8">
        <w:t xml:space="preserve"> Pág. 6 y 7 del escrito.</w:t>
      </w:r>
    </w:p>
  </w:footnote>
  <w:footnote w:id="56">
    <w:p w:rsidR="000A045E" w:rsidRPr="001C61F8" w:rsidRDefault="00AC66B3" w:rsidP="000A045E">
      <w:pPr>
        <w:pStyle w:val="Textonotapie"/>
        <w:jc w:val="both"/>
      </w:pPr>
      <w:r w:rsidRPr="001C61F8">
        <w:rPr>
          <w:rStyle w:val="Refdenotaalpie"/>
        </w:rPr>
        <w:footnoteRef/>
      </w:r>
      <w:r w:rsidRPr="001C61F8">
        <w:t xml:space="preserve"> Sentencias C-174 de 2017, C-261 de 2016, C-219 de 2015, C-634 y C-235 de 2014. Al respecto, se debe tener en cuenta que, la Corte ha sostenid</w:t>
      </w:r>
      <w:r w:rsidRPr="001C61F8">
        <w:t>o que las demandas de inconstitucionalidad dirigidas contra los actos legislativos caducan en el término de un año, contado a partir de la fecha de publicación de la respectiva norma (ver, por ejemplo, la Sentencia C-013 de 2014). Se trata de una excepción</w:t>
      </w:r>
      <w:r w:rsidRPr="001C61F8">
        <w:t xml:space="preserve"> a la regla de la caducidad porque esta corporación ha entendido que la irregularidad conocida como </w:t>
      </w:r>
      <w:r w:rsidRPr="001C61F8">
        <w:rPr>
          <w:i/>
          <w:iCs/>
        </w:rPr>
        <w:t>sustitución de la Constitución</w:t>
      </w:r>
      <w:r w:rsidRPr="001C61F8">
        <w:t xml:space="preserve"> es un vicio de competencia (sentencias C-089 de 2022, C</w:t>
      </w:r>
      <w:r w:rsidRPr="001C61F8">
        <w:rPr>
          <w:lang w:val="es-ES"/>
        </w:rPr>
        <w:t>-574 de 2011, C-249, C-288 y C-1056 de 2012, C-303 de 2010, C-588 de 2</w:t>
      </w:r>
      <w:r w:rsidRPr="001C61F8">
        <w:rPr>
          <w:lang w:val="es-ES"/>
        </w:rPr>
        <w:t xml:space="preserve">009, C-180 y C-216 de 2007, C-472 y C-740 de 2006, C-572 y C-816 de 2004 y </w:t>
      </w:r>
      <w:r w:rsidRPr="001C61F8">
        <w:t>C-551 de 2003).</w:t>
      </w:r>
      <w:r w:rsidRPr="001C61F8">
        <w:rPr>
          <w:rFonts w:eastAsiaTheme="minorHAnsi"/>
          <w:lang w:val="es-ES" w:eastAsia="en-US"/>
        </w:rPr>
        <w:t xml:space="preserve"> De acuerdo con la jurisprudencia, e</w:t>
      </w:r>
      <w:r w:rsidRPr="001C61F8">
        <w:rPr>
          <w:lang w:val="es-ES"/>
        </w:rPr>
        <w:t>sta excepción se debe a la existencia de una regla constitucional específica para estos casos. En efecto, el inciso segundo del ar</w:t>
      </w:r>
      <w:r w:rsidRPr="001C61F8">
        <w:rPr>
          <w:lang w:val="es-ES"/>
        </w:rPr>
        <w:t xml:space="preserve">tículo 379 superior dispone que la acción pública contra los actos legislativos </w:t>
      </w:r>
      <w:r w:rsidRPr="001C61F8">
        <w:t>«sólo procederá dentro del año siguiente a su promulgación».</w:t>
      </w:r>
    </w:p>
  </w:footnote>
  <w:footnote w:id="57">
    <w:p w:rsidR="000A045E" w:rsidRPr="001C61F8" w:rsidRDefault="00AC66B3" w:rsidP="000A045E">
      <w:pPr>
        <w:pStyle w:val="Textonotapie"/>
        <w:jc w:val="both"/>
      </w:pPr>
      <w:r w:rsidRPr="001C61F8">
        <w:rPr>
          <w:rStyle w:val="Refdenotaalpie"/>
        </w:rPr>
        <w:footnoteRef/>
      </w:r>
      <w:r w:rsidRPr="001C61F8">
        <w:t xml:space="preserve"> Reiterada en las sentencias C-406, C-387, C-197 y C-194 de 2023, entre otras.</w:t>
      </w:r>
    </w:p>
  </w:footnote>
  <w:footnote w:id="58">
    <w:p w:rsidR="000A045E" w:rsidRPr="001C61F8" w:rsidRDefault="00AC66B3" w:rsidP="000A045E">
      <w:pPr>
        <w:pStyle w:val="Textonotapie"/>
        <w:jc w:val="both"/>
      </w:pPr>
      <w:r w:rsidRPr="001C61F8">
        <w:rPr>
          <w:rStyle w:val="Refdenotaalpie"/>
        </w:rPr>
        <w:footnoteRef/>
      </w:r>
      <w:r w:rsidRPr="001C61F8">
        <w:t xml:space="preserve"> Es preciso tener en cuenta que, e</w:t>
      </w:r>
      <w:r w:rsidRPr="001C61F8">
        <w:t>n virtud de lo dispuesto en la Constitución para el efecto, la jurisprudencia ha distinguido entre «las facultades extraordinarias que el Legislador otorga al Ejecutivo y las facultades extraordinarias concedidas a la misma autoridad por el propio Constitu</w:t>
      </w:r>
      <w:r w:rsidRPr="001C61F8">
        <w:t>yente. En el último supuesto, «las facultades “no sólo están taxativamente señaladas en la propia carta, sino que parten de la necesidad de una reglamentación urgente para el desarrollo constitucional” [</w:t>
      </w:r>
      <w:r w:rsidRPr="001C61F8">
        <w:rPr>
          <w:shd w:val="clear" w:color="auto" w:fill="FFFFFF"/>
        </w:rPr>
        <w:t>Sentencia C-370 de 2000</w:t>
      </w:r>
      <w:r w:rsidRPr="001C61F8">
        <w:t>]. En contraste, “las facultad</w:t>
      </w:r>
      <w:r w:rsidRPr="001C61F8">
        <w:t>es legales extraordinarias son generales, salvo lo expresamente señalado en el numeral 10 del artículo 150 de la carta; se solicitan por el Gobierno y se conceden en atención a la conveniencia política del asunto. De ahí pues que no sea posible equiparar l</w:t>
      </w:r>
      <w:r w:rsidRPr="001C61F8">
        <w:t>as facultades extraordinarias legales y las facultades constitucionalmente otorgadas al presidente” [</w:t>
      </w:r>
      <w:r w:rsidRPr="001C61F8">
        <w:rPr>
          <w:i/>
          <w:iCs/>
        </w:rPr>
        <w:t>ibidem</w:t>
      </w:r>
      <w:r w:rsidRPr="001C61F8">
        <w:t>]» [Sentencia C-209 de 2023].</w:t>
      </w:r>
    </w:p>
  </w:footnote>
  <w:footnote w:id="59">
    <w:p w:rsidR="000A045E" w:rsidRPr="001C61F8" w:rsidRDefault="00AC66B3" w:rsidP="000A045E">
      <w:pPr>
        <w:pStyle w:val="Textonotapie"/>
        <w:jc w:val="both"/>
      </w:pPr>
      <w:r w:rsidRPr="001C61F8">
        <w:rPr>
          <w:rStyle w:val="Refdenotaalpie"/>
        </w:rPr>
        <w:footnoteRef/>
      </w:r>
      <w:r w:rsidRPr="001C61F8">
        <w:t xml:space="preserve"> Sentencias C-651 de 2015, C-784 de 2004 y C-382 de 2000.</w:t>
      </w:r>
    </w:p>
  </w:footnote>
  <w:footnote w:id="60">
    <w:p w:rsidR="000A045E" w:rsidRPr="001C61F8" w:rsidRDefault="00AC66B3" w:rsidP="000A045E">
      <w:pPr>
        <w:pStyle w:val="Textonotapie"/>
        <w:jc w:val="both"/>
      </w:pPr>
      <w:r w:rsidRPr="001C61F8">
        <w:rPr>
          <w:rStyle w:val="Refdenotaalpie"/>
        </w:rPr>
        <w:footnoteRef/>
      </w:r>
      <w:r w:rsidRPr="001C61F8">
        <w:t xml:space="preserve"> Sentencias C-092 de 2020, C-856 de 2006 y C-559 de 2004. </w:t>
      </w:r>
    </w:p>
  </w:footnote>
  <w:footnote w:id="61">
    <w:p w:rsidR="000A045E" w:rsidRPr="001C61F8" w:rsidRDefault="00AC66B3" w:rsidP="000A045E">
      <w:pPr>
        <w:pStyle w:val="Textonotapie"/>
        <w:jc w:val="both"/>
      </w:pPr>
      <w:r w:rsidRPr="001C61F8">
        <w:rPr>
          <w:rStyle w:val="Refdenotaalpie"/>
        </w:rPr>
        <w:footnoteRef/>
      </w:r>
      <w:r w:rsidRPr="001C61F8">
        <w:t xml:space="preserve"> El inciso tercero del numeral 10 del artículo 150 superior dispone: «Estas facultades no se podrán conferir para expedir códigos, leyes estatutarias, orgánicas, ni las previstas en el numeral 20 del presente artículo, ni para decretar impuestos». El cita</w:t>
      </w:r>
      <w:r w:rsidRPr="001C61F8">
        <w:t xml:space="preserve">do numeral 20 reza: «Crear los servicios administrativos y técnicos de las Cámaras». Al respecto, en las sentencias C-097 de 2003, C-700 y C-608 de 1999 y C-417 de 1992, la Corte aclaró que la restricción opera, en realidad, sobre las leyes marco. </w:t>
      </w:r>
    </w:p>
  </w:footnote>
  <w:footnote w:id="62">
    <w:p w:rsidR="000A045E" w:rsidRPr="001C61F8" w:rsidRDefault="00AC66B3" w:rsidP="000A045E">
      <w:pPr>
        <w:pStyle w:val="Textonotapie"/>
        <w:jc w:val="both"/>
      </w:pPr>
      <w:r w:rsidRPr="001C61F8">
        <w:rPr>
          <w:rStyle w:val="Refdenotaalpie"/>
        </w:rPr>
        <w:footnoteRef/>
      </w:r>
      <w:r w:rsidRPr="001C61F8">
        <w:t xml:space="preserve"> Sente</w:t>
      </w:r>
      <w:r w:rsidRPr="001C61F8">
        <w:t>ncia C-417 de 1992, reiterada en las sentencias C-092 de 2020, C-071 de 2018, C-306 de 2004, C-097 de 2003, y C-549, C-512 y C-511 de 1992.</w:t>
      </w:r>
    </w:p>
  </w:footnote>
  <w:footnote w:id="63">
    <w:p w:rsidR="000A045E" w:rsidRPr="001C61F8" w:rsidRDefault="00AC66B3" w:rsidP="000A045E">
      <w:pPr>
        <w:pStyle w:val="Textonotapie"/>
        <w:jc w:val="both"/>
      </w:pPr>
      <w:r w:rsidRPr="001C61F8">
        <w:rPr>
          <w:rStyle w:val="Refdenotaalpie"/>
        </w:rPr>
        <w:footnoteRef/>
      </w:r>
      <w:r w:rsidRPr="001C61F8">
        <w:t xml:space="preserve"> Sentencia C-630 de 2014.</w:t>
      </w:r>
    </w:p>
  </w:footnote>
  <w:footnote w:id="64">
    <w:p w:rsidR="000A045E" w:rsidRPr="001C61F8" w:rsidRDefault="00AC66B3" w:rsidP="000A045E">
      <w:pPr>
        <w:pStyle w:val="Textonotapie"/>
        <w:jc w:val="both"/>
      </w:pPr>
      <w:r w:rsidRPr="001C61F8">
        <w:rPr>
          <w:rStyle w:val="Refdenotaalpie"/>
        </w:rPr>
        <w:footnoteRef/>
      </w:r>
      <w:r w:rsidRPr="001C61F8">
        <w:t xml:space="preserve"> Sentencias C-092 de 2020, C-172 de 2017, C-645 de 2016, C-734 de 2005, C-151 de 2004, C-097 de 2003 y C-1028 de 2002. </w:t>
      </w:r>
    </w:p>
  </w:footnote>
  <w:footnote w:id="65">
    <w:p w:rsidR="000A045E" w:rsidRPr="001C61F8" w:rsidRDefault="00AC66B3" w:rsidP="000A045E">
      <w:pPr>
        <w:pStyle w:val="Textonotapie"/>
        <w:jc w:val="both"/>
      </w:pPr>
      <w:r w:rsidRPr="001C61F8">
        <w:rPr>
          <w:rStyle w:val="Refdenotaalpie"/>
        </w:rPr>
        <w:footnoteRef/>
      </w:r>
      <w:r w:rsidRPr="001C61F8">
        <w:t xml:space="preserve"> Sentencia C-159 de 2021.</w:t>
      </w:r>
    </w:p>
  </w:footnote>
  <w:footnote w:id="66">
    <w:p w:rsidR="000A045E" w:rsidRPr="001C61F8" w:rsidRDefault="00AC66B3" w:rsidP="000A045E">
      <w:pPr>
        <w:pStyle w:val="Textonotapie"/>
        <w:jc w:val="both"/>
      </w:pPr>
      <w:r w:rsidRPr="001C61F8">
        <w:rPr>
          <w:rStyle w:val="Refdenotaalpie"/>
        </w:rPr>
        <w:footnoteRef/>
      </w:r>
      <w:r w:rsidRPr="001C61F8">
        <w:t xml:space="preserve"> Sentencia C-630 de 2014. </w:t>
      </w:r>
    </w:p>
  </w:footnote>
  <w:footnote w:id="67">
    <w:p w:rsidR="000A045E" w:rsidRPr="001C61F8" w:rsidRDefault="00AC66B3" w:rsidP="000A045E">
      <w:pPr>
        <w:pStyle w:val="Textonotapie"/>
        <w:jc w:val="both"/>
      </w:pPr>
      <w:r w:rsidRPr="001C61F8">
        <w:rPr>
          <w:rStyle w:val="Refdenotaalpie"/>
        </w:rPr>
        <w:footnoteRef/>
      </w:r>
      <w:r w:rsidRPr="001C61F8">
        <w:t xml:space="preserve"> Sentencia C-473 de 2013. </w:t>
      </w:r>
    </w:p>
  </w:footnote>
  <w:footnote w:id="68">
    <w:p w:rsidR="000A045E" w:rsidRPr="001C61F8" w:rsidRDefault="00AC66B3" w:rsidP="000A045E">
      <w:pPr>
        <w:pStyle w:val="Textonotapie"/>
        <w:jc w:val="both"/>
      </w:pPr>
      <w:r w:rsidRPr="001C61F8">
        <w:rPr>
          <w:rStyle w:val="Refdenotaalpie"/>
        </w:rPr>
        <w:footnoteRef/>
      </w:r>
      <w:r w:rsidRPr="001C61F8">
        <w:t xml:space="preserve"> Sentencias C-159 de 2021, C-092 de 2020, C-249 de 2</w:t>
      </w:r>
      <w:r w:rsidRPr="001C61F8">
        <w:t xml:space="preserve">019, C-172 de 2017, C-645 y C-335 de 2016, </w:t>
      </w:r>
      <w:r w:rsidRPr="001C61F8">
        <w:rPr>
          <w:lang w:val="es-ES_tradnl"/>
        </w:rPr>
        <w:t xml:space="preserve">C-562 y C-219 de 2015, C-235 de 2014, C-097 de 2013, C-366 de 2012, </w:t>
      </w:r>
      <w:r w:rsidRPr="001C61F8">
        <w:t>C-734 de 2005, C-306 y C-151 de 2004, C-097 de 2003, C-979 de 2002, C-1252 y C-503 de 2001, C-398 de 1995, C-514 y C-416 de 1992. Sentencia C-219</w:t>
      </w:r>
      <w:r w:rsidRPr="001C61F8">
        <w:t xml:space="preserve"> de 2015: «La jurisprudencia ha señalado los siguientes requisitos de precisión: “1) indicar la materia que delimita el ámbito sustantivo de acción del Ejecutivo; 2) señalar la finalidad a la cual debe apuntar el presidente de la República al ejercer las f</w:t>
      </w:r>
      <w:r w:rsidRPr="001C61F8">
        <w:t>acultades; y 3) enunciar los criterios que han de orientar las decisiones del Ejecutivo respeto de las opciones de diseño de política pública dentro del ámbito material general de la habilitación” [sentencias C-097 de 2003 y C-061 de 2005]</w:t>
      </w:r>
      <w:r w:rsidRPr="001C61F8">
        <w:rPr>
          <w:bCs/>
        </w:rPr>
        <w:t>»</w:t>
      </w:r>
      <w:r w:rsidRPr="001C61F8">
        <w:t>.</w:t>
      </w:r>
    </w:p>
  </w:footnote>
  <w:footnote w:id="69">
    <w:p w:rsidR="000A045E" w:rsidRPr="001C61F8" w:rsidRDefault="00AC66B3" w:rsidP="000A045E">
      <w:pPr>
        <w:pStyle w:val="Textonotapie"/>
        <w:jc w:val="both"/>
      </w:pPr>
      <w:r w:rsidRPr="001C61F8">
        <w:rPr>
          <w:rStyle w:val="Refdenotaalpie"/>
        </w:rPr>
        <w:footnoteRef/>
      </w:r>
      <w:r w:rsidRPr="001C61F8">
        <w:t xml:space="preserve"> Sentencia C-</w:t>
      </w:r>
      <w:r w:rsidRPr="001C61F8">
        <w:t xml:space="preserve">645 de 2016: «Las funciones del mandato de precisión fueron señaladas por la Corte en la sentencia C-097 de 2003 en los siguientes ítems: (i) la ley habilitante puede ser general, pero no imprecisa, dado que la precisión constituye parámetro de control de </w:t>
      </w:r>
      <w:r w:rsidRPr="001C61F8">
        <w:t>la ley de facultades y de los decretos legislativos que se expidan bajo su amparo; (ii) impide la concesión de facultades que únicamente corresponden al Congreso en un Estado en el que la deliberación pluralista y la representación popular son trascendenta</w:t>
      </w:r>
      <w:r w:rsidRPr="001C61F8">
        <w:t>les; (iii) orienta al ejecutivo en el desarrollo de las competencias conferidas, bajo lineamientos dados por quien ostenta la competencia general de configuración legislativa; (iv) evita la desnaturalización de las facultades extraordinarias, teniendo en c</w:t>
      </w:r>
      <w:r w:rsidRPr="001C61F8">
        <w:t>uenta que el objetivo recae en la posibilidad de que el ejecutivo legisle en áreas técnicas y complejas propias de su experticia, atendiendo, no obstante, los parámetros del Congreso; (v) propende por la racionalización de la función legislativa y, finalme</w:t>
      </w:r>
      <w:r w:rsidRPr="001C61F8">
        <w:t>nte (vi) preserva la seguridad jurídica, al establecer claros límites a su ejercicio por parte del Gobierno nacional</w:t>
      </w:r>
      <w:r w:rsidRPr="001C61F8">
        <w:rPr>
          <w:bCs/>
        </w:rPr>
        <w:t>»</w:t>
      </w:r>
      <w:r w:rsidRPr="001C61F8">
        <w:t>.</w:t>
      </w:r>
    </w:p>
  </w:footnote>
  <w:footnote w:id="70">
    <w:p w:rsidR="000A045E" w:rsidRPr="001C61F8" w:rsidRDefault="00AC66B3" w:rsidP="000A045E">
      <w:pPr>
        <w:pStyle w:val="Textonotapie"/>
        <w:jc w:val="both"/>
      </w:pPr>
      <w:r w:rsidRPr="001C61F8">
        <w:rPr>
          <w:rStyle w:val="Refdenotaalpie"/>
        </w:rPr>
        <w:footnoteRef/>
      </w:r>
      <w:r w:rsidRPr="001C61F8">
        <w:t xml:space="preserve"> Sentencia C-645 de 2016. Ver las sentencias C-440 de 2016, C-235 de 2014, C-097 de 2013 y C-1028 de 2002.</w:t>
      </w:r>
    </w:p>
  </w:footnote>
  <w:footnote w:id="71">
    <w:p w:rsidR="000A045E" w:rsidRPr="001C61F8" w:rsidRDefault="00AC66B3" w:rsidP="000A045E">
      <w:pPr>
        <w:pStyle w:val="Textonotapie"/>
        <w:jc w:val="both"/>
      </w:pPr>
      <w:r w:rsidRPr="001C61F8">
        <w:rPr>
          <w:rStyle w:val="Refdenotaalpie"/>
        </w:rPr>
        <w:footnoteRef/>
      </w:r>
      <w:r w:rsidRPr="001C61F8">
        <w:t xml:space="preserve"> Sentencias C-355 de 2016, C</w:t>
      </w:r>
      <w:r w:rsidRPr="001C61F8">
        <w:t>-235 de 2014, C-562 de 2015, C-306 de 2004 y C-032 de 1999. Sentencia C-355 de 2016: «Necesidades que justifican la delegación legislativa, como la capacidad de decisión más rápida del presidente y, la mejor percepción que en determinados momentos y respec</w:t>
      </w:r>
      <w:r w:rsidRPr="001C61F8">
        <w:t>to de ciertos temas que demandan atención pronta, no podrían ser atendidas frente a una comprensión de la precisión como una especie de irrazonable restricción</w:t>
      </w:r>
      <w:r w:rsidRPr="001C61F8">
        <w:rPr>
          <w:bCs/>
        </w:rPr>
        <w:t>»</w:t>
      </w:r>
      <w:r w:rsidRPr="001C61F8">
        <w:t>.</w:t>
      </w:r>
    </w:p>
  </w:footnote>
  <w:footnote w:id="72">
    <w:p w:rsidR="000A045E" w:rsidRPr="001C61F8" w:rsidRDefault="00AC66B3" w:rsidP="000A045E">
      <w:pPr>
        <w:pStyle w:val="Textonotapie"/>
        <w:jc w:val="both"/>
      </w:pPr>
      <w:r w:rsidRPr="001C61F8">
        <w:rPr>
          <w:rStyle w:val="Refdenotaalpie"/>
        </w:rPr>
        <w:footnoteRef/>
      </w:r>
      <w:r w:rsidRPr="001C61F8">
        <w:t xml:space="preserve"> Sentencia C-097 de 2003, reiterada en la Sentencia C-440 de 2016. </w:t>
      </w:r>
    </w:p>
  </w:footnote>
  <w:footnote w:id="73">
    <w:p w:rsidR="000A045E" w:rsidRPr="001C61F8" w:rsidRDefault="00AC66B3" w:rsidP="000A045E">
      <w:pPr>
        <w:pStyle w:val="Textonotapie"/>
        <w:jc w:val="both"/>
      </w:pPr>
      <w:r w:rsidRPr="001C61F8">
        <w:rPr>
          <w:rStyle w:val="Refdenotaalpie"/>
        </w:rPr>
        <w:footnoteRef/>
      </w:r>
      <w:r w:rsidRPr="001C61F8">
        <w:t xml:space="preserve"> Sentencia C-159 de 2021</w:t>
      </w:r>
      <w:r w:rsidRPr="001C61F8">
        <w:t>.</w:t>
      </w:r>
    </w:p>
  </w:footnote>
  <w:footnote w:id="74">
    <w:p w:rsidR="000A045E" w:rsidRPr="001C61F8" w:rsidRDefault="00AC66B3" w:rsidP="000A045E">
      <w:pPr>
        <w:pStyle w:val="Textonotapie"/>
        <w:jc w:val="both"/>
      </w:pPr>
      <w:r w:rsidRPr="001C61F8">
        <w:rPr>
          <w:rStyle w:val="Refdenotaalpie"/>
        </w:rPr>
        <w:footnoteRef/>
      </w:r>
      <w:r w:rsidRPr="001C61F8">
        <w:t xml:space="preserve"> Sentencia C-1493 de 2000. También puede consultarse la Sentencia C-172 de 2017.</w:t>
      </w:r>
    </w:p>
  </w:footnote>
  <w:footnote w:id="75">
    <w:p w:rsidR="000A045E" w:rsidRPr="001C61F8" w:rsidRDefault="00AC66B3" w:rsidP="000A045E">
      <w:pPr>
        <w:pStyle w:val="Textonotapie"/>
        <w:jc w:val="both"/>
      </w:pPr>
      <w:r w:rsidRPr="001C61F8">
        <w:rPr>
          <w:rStyle w:val="Refdenotaalpie"/>
        </w:rPr>
        <w:footnoteRef/>
      </w:r>
      <w:r w:rsidRPr="001C61F8">
        <w:t xml:space="preserve"> Sentencia C-097 de 2003.</w:t>
      </w:r>
    </w:p>
  </w:footnote>
  <w:footnote w:id="76">
    <w:p w:rsidR="000A045E" w:rsidRPr="001C61F8" w:rsidRDefault="00AC66B3" w:rsidP="000A045E">
      <w:pPr>
        <w:pStyle w:val="Textonotapie"/>
        <w:jc w:val="both"/>
      </w:pPr>
      <w:r w:rsidRPr="001C61F8">
        <w:rPr>
          <w:rStyle w:val="Refdenotaalpie"/>
        </w:rPr>
        <w:footnoteRef/>
      </w:r>
      <w:r w:rsidRPr="001C61F8">
        <w:t xml:space="preserve"> Sentencia C-498 de 1995, reiterada, entre otras, en las sentencias C-159 de 2021, C-249 de 2019, C-895 de 2006 y C-734 de 2005. Al respecto, en</w:t>
      </w:r>
      <w:r w:rsidRPr="001C61F8">
        <w:t xml:space="preserve"> la Sentencia C-630 de 2014, la Sala Plena indicó: «En virtud del riesgo que representa el otorgamiento de facultades extraordinarias para la separación de poderes y para el mantenimiento del sistema de balances y contrapesos, la Corte ha sido especialment</w:t>
      </w:r>
      <w:r w:rsidRPr="001C61F8">
        <w:t>e estricta en el control de las leyes habilitantes y de los decretos expedidos con fundamento en dichas facultades</w:t>
      </w:r>
      <w:r w:rsidRPr="001C61F8">
        <w:rPr>
          <w:bCs/>
        </w:rPr>
        <w:t>»</w:t>
      </w:r>
      <w:r w:rsidRPr="001C61F8">
        <w:t xml:space="preserve">. </w:t>
      </w:r>
    </w:p>
  </w:footnote>
  <w:footnote w:id="77">
    <w:p w:rsidR="000A045E" w:rsidRPr="001C61F8" w:rsidRDefault="00AC66B3" w:rsidP="000A045E">
      <w:pPr>
        <w:pStyle w:val="Textonotapie"/>
        <w:jc w:val="both"/>
      </w:pPr>
      <w:r w:rsidRPr="001C61F8">
        <w:rPr>
          <w:rStyle w:val="Refdenotaalpie"/>
        </w:rPr>
        <w:footnoteRef/>
      </w:r>
      <w:r w:rsidRPr="001C61F8">
        <w:t xml:space="preserve"> Sentencia C-1252 de 2001.</w:t>
      </w:r>
    </w:p>
  </w:footnote>
  <w:footnote w:id="78">
    <w:p w:rsidR="000A045E" w:rsidRPr="001C61F8" w:rsidRDefault="00AC66B3" w:rsidP="000A045E">
      <w:pPr>
        <w:shd w:val="clear" w:color="auto" w:fill="FFFFFF" w:themeFill="background1"/>
        <w:jc w:val="both"/>
        <w:rPr>
          <w:sz w:val="20"/>
          <w:szCs w:val="20"/>
        </w:rPr>
      </w:pPr>
      <w:r w:rsidRPr="001C61F8">
        <w:rPr>
          <w:rStyle w:val="Refdenotaalpie"/>
          <w:sz w:val="20"/>
          <w:szCs w:val="20"/>
        </w:rPr>
        <w:footnoteRef/>
      </w:r>
      <w:r w:rsidRPr="001C61F8">
        <w:rPr>
          <w:sz w:val="20"/>
          <w:szCs w:val="20"/>
        </w:rPr>
        <w:t xml:space="preserve"> </w:t>
      </w:r>
      <w:r w:rsidRPr="001C61F8">
        <w:rPr>
          <w:sz w:val="20"/>
          <w:szCs w:val="20"/>
          <w:lang w:eastAsia="es-ES_tradnl"/>
        </w:rPr>
        <w:t>Sentencia C-292 de 2001</w:t>
      </w:r>
      <w:r w:rsidRPr="001C61F8">
        <w:rPr>
          <w:sz w:val="20"/>
          <w:szCs w:val="20"/>
        </w:rPr>
        <w:t xml:space="preserve">. </w:t>
      </w:r>
    </w:p>
  </w:footnote>
  <w:footnote w:id="79">
    <w:p w:rsidR="000A045E" w:rsidRPr="001C61F8" w:rsidRDefault="00AC66B3" w:rsidP="000A045E">
      <w:pPr>
        <w:pStyle w:val="Textonotapie"/>
        <w:jc w:val="both"/>
      </w:pPr>
      <w:r w:rsidRPr="001C61F8">
        <w:rPr>
          <w:rStyle w:val="Refdenotaalpie"/>
        </w:rPr>
        <w:footnoteRef/>
      </w:r>
      <w:r w:rsidRPr="001C61F8">
        <w:t xml:space="preserve"> Sentencias C-159 de 2021 y C-355 de 2016. </w:t>
      </w:r>
    </w:p>
  </w:footnote>
  <w:footnote w:id="80">
    <w:p w:rsidR="000A045E" w:rsidRPr="001C61F8" w:rsidRDefault="00AC66B3" w:rsidP="000A045E">
      <w:pPr>
        <w:pStyle w:val="Textonotapie"/>
        <w:jc w:val="both"/>
      </w:pPr>
      <w:r w:rsidRPr="001C61F8">
        <w:rPr>
          <w:rStyle w:val="Refdenotaalpie"/>
        </w:rPr>
        <w:footnoteRef/>
      </w:r>
      <w:r w:rsidRPr="001C61F8">
        <w:t xml:space="preserve"> Sentencia C-159 de 2021.</w:t>
      </w:r>
    </w:p>
  </w:footnote>
  <w:footnote w:id="81">
    <w:p w:rsidR="000A045E" w:rsidRPr="001C61F8" w:rsidRDefault="00AC66B3" w:rsidP="000A045E">
      <w:pPr>
        <w:pStyle w:val="Textonotapie"/>
        <w:jc w:val="both"/>
      </w:pPr>
      <w:r w:rsidRPr="001C61F8">
        <w:rPr>
          <w:rStyle w:val="Refdenotaalpie"/>
        </w:rPr>
        <w:footnoteRef/>
      </w:r>
      <w:r w:rsidRPr="001C61F8">
        <w:t xml:space="preserve"> Sentenci</w:t>
      </w:r>
      <w:r w:rsidRPr="001C61F8">
        <w:t>a C-219 de 2015. También ver las sentencias C-235 de 2014 y C-711 de 2012.</w:t>
      </w:r>
    </w:p>
  </w:footnote>
  <w:footnote w:id="82">
    <w:p w:rsidR="000A045E" w:rsidRPr="001C61F8" w:rsidRDefault="00AC66B3" w:rsidP="000A045E">
      <w:pPr>
        <w:pStyle w:val="Textonotapie"/>
        <w:jc w:val="both"/>
      </w:pPr>
      <w:r w:rsidRPr="001C61F8">
        <w:rPr>
          <w:rStyle w:val="Refdenotaalpie"/>
        </w:rPr>
        <w:footnoteRef/>
      </w:r>
      <w:r w:rsidRPr="001C61F8">
        <w:t xml:space="preserve"> Sentencias C-405 y C-097 de 2013, y C-503 de 2001.</w:t>
      </w:r>
    </w:p>
  </w:footnote>
  <w:footnote w:id="83">
    <w:p w:rsidR="000A045E" w:rsidRPr="001C61F8" w:rsidRDefault="00AC66B3" w:rsidP="000A045E">
      <w:pPr>
        <w:pStyle w:val="Textonotapie"/>
        <w:jc w:val="both"/>
      </w:pPr>
      <w:r w:rsidRPr="001C61F8">
        <w:rPr>
          <w:rStyle w:val="Refdenotaalpie"/>
        </w:rPr>
        <w:footnoteRef/>
      </w:r>
      <w:r w:rsidRPr="001C61F8">
        <w:t xml:space="preserve"> Sentencias C-159 de 2021, C-249 de 2019, C-172 de 2017, C-645 de 2016, C-562 de 2015 y C-1252 de 2001.</w:t>
      </w:r>
    </w:p>
  </w:footnote>
  <w:footnote w:id="84">
    <w:p w:rsidR="000A045E" w:rsidRPr="001C61F8" w:rsidRDefault="00AC66B3" w:rsidP="000A045E">
      <w:pPr>
        <w:pStyle w:val="Textonotapie"/>
        <w:jc w:val="both"/>
      </w:pPr>
      <w:r w:rsidRPr="001C61F8">
        <w:rPr>
          <w:rStyle w:val="Refdenotaalpie"/>
        </w:rPr>
        <w:footnoteRef/>
      </w:r>
      <w:r w:rsidRPr="001C61F8">
        <w:t xml:space="preserve"> Sentencias C-172 de 2</w:t>
      </w:r>
      <w:r w:rsidRPr="001C61F8">
        <w:t xml:space="preserve">017 y C-366 de 2012. </w:t>
      </w:r>
    </w:p>
  </w:footnote>
  <w:footnote w:id="85">
    <w:p w:rsidR="000A045E" w:rsidRPr="001C61F8" w:rsidRDefault="00AC66B3" w:rsidP="000A045E">
      <w:pPr>
        <w:pStyle w:val="Textonotapie"/>
        <w:jc w:val="both"/>
      </w:pPr>
      <w:r w:rsidRPr="001C61F8">
        <w:rPr>
          <w:rStyle w:val="Refdenotaalpie"/>
        </w:rPr>
        <w:footnoteRef/>
      </w:r>
      <w:r w:rsidRPr="001C61F8">
        <w:t xml:space="preserve"> Sentencias C-159 de 2021, C-172 de 2017, C-645, C-440, C-335 y C-261 de 2016, C-235 de 2014, C-473 y C-097 de 2013, </w:t>
      </w:r>
      <w:r w:rsidRPr="001C61F8">
        <w:rPr>
          <w:bCs/>
        </w:rPr>
        <w:t>C-1174 de 2005,</w:t>
      </w:r>
      <w:r w:rsidRPr="001C61F8">
        <w:t xml:space="preserve"> C-306 de 2004, C-039 de 1995, Sentencia C-562 de 2015: «</w:t>
      </w:r>
      <w:r w:rsidRPr="001C61F8">
        <w:rPr>
          <w:bCs/>
          <w:lang w:val="es-ES_tradnl"/>
        </w:rPr>
        <w:t>el análisis sobre la extralimitación del Pre</w:t>
      </w:r>
      <w:r w:rsidRPr="001C61F8">
        <w:rPr>
          <w:bCs/>
          <w:lang w:val="es-ES_tradnl"/>
        </w:rPr>
        <w:t xml:space="preserve">sidente en el ejercicio de las facultades extraordinarias, como causal de inexequibilidad abarca </w:t>
      </w:r>
      <w:r w:rsidRPr="001C61F8">
        <w:t>la adecuada interpretación de la precisión temática en el otorgamiento de las facultades, esto es, la determinación clara del marco dentro del cual se autoriza</w:t>
      </w:r>
      <w:r w:rsidRPr="001C61F8">
        <w:t xml:space="preserve"> al Ejecutivo a expedir los decretos leyes. En esa medida, el contenido de los decretos extraordinarios “debe tener una conexidad temática directa tanto con el texto de la disposición que dispone las facultades extraordinarias, como con el tópico de la reg</w:t>
      </w:r>
      <w:r w:rsidRPr="001C61F8">
        <w:t>ulación general en la cual se incluyó el artículo habilitante” [C-097 de 2013]</w:t>
      </w:r>
      <w:r w:rsidRPr="001C61F8">
        <w:rPr>
          <w:bCs/>
        </w:rPr>
        <w:t>».</w:t>
      </w:r>
    </w:p>
  </w:footnote>
  <w:footnote w:id="86">
    <w:p w:rsidR="000A045E" w:rsidRPr="001C61F8" w:rsidRDefault="00AC66B3" w:rsidP="000A045E">
      <w:pPr>
        <w:pStyle w:val="Textonotapie"/>
        <w:jc w:val="both"/>
      </w:pPr>
      <w:r w:rsidRPr="001C61F8">
        <w:rPr>
          <w:rStyle w:val="Refdenotaalpie"/>
        </w:rPr>
        <w:footnoteRef/>
      </w:r>
      <w:r w:rsidRPr="001C61F8">
        <w:t xml:space="preserve"> Sentencias C-159 de 2021 y C-562 de 2015. </w:t>
      </w:r>
    </w:p>
  </w:footnote>
  <w:footnote w:id="87">
    <w:p w:rsidR="000A045E" w:rsidRPr="001C61F8" w:rsidRDefault="00AC66B3" w:rsidP="000A045E">
      <w:pPr>
        <w:pStyle w:val="Textonotapie"/>
        <w:jc w:val="both"/>
      </w:pPr>
      <w:r w:rsidRPr="001C61F8">
        <w:rPr>
          <w:rStyle w:val="Refdenotaalpie"/>
        </w:rPr>
        <w:footnoteRef/>
      </w:r>
      <w:r w:rsidRPr="001C61F8">
        <w:t xml:space="preserve"> Sentencia C-503 de 2001.</w:t>
      </w:r>
    </w:p>
  </w:footnote>
  <w:footnote w:id="88">
    <w:p w:rsidR="000A045E" w:rsidRPr="001C61F8" w:rsidRDefault="00AC66B3" w:rsidP="000A045E">
      <w:pPr>
        <w:pStyle w:val="Textonotapie"/>
        <w:jc w:val="both"/>
      </w:pPr>
      <w:r w:rsidRPr="001C61F8">
        <w:rPr>
          <w:rStyle w:val="Refdenotaalpie"/>
        </w:rPr>
        <w:footnoteRef/>
      </w:r>
      <w:r w:rsidRPr="001C61F8">
        <w:t xml:space="preserve"> Sentencia C-159 de 2021.</w:t>
      </w:r>
    </w:p>
  </w:footnote>
  <w:footnote w:id="89">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90">
    <w:p w:rsidR="000A045E" w:rsidRPr="001C61F8" w:rsidRDefault="00AC66B3" w:rsidP="000A045E">
      <w:pPr>
        <w:pStyle w:val="Textonotapie"/>
        <w:jc w:val="both"/>
      </w:pPr>
      <w:r w:rsidRPr="001C61F8">
        <w:rPr>
          <w:rStyle w:val="Refdenotaalpie"/>
        </w:rPr>
        <w:footnoteRef/>
      </w:r>
      <w:r w:rsidRPr="001C61F8">
        <w:t xml:space="preserve"> </w:t>
      </w:r>
      <w:r w:rsidRPr="001C61F8">
        <w:rPr>
          <w:bCs/>
        </w:rPr>
        <w:t>Sentencia C-097 de 2003.</w:t>
      </w:r>
    </w:p>
  </w:footnote>
  <w:footnote w:id="91">
    <w:p w:rsidR="000A045E" w:rsidRPr="001C61F8" w:rsidRDefault="00AC66B3" w:rsidP="000A045E">
      <w:pPr>
        <w:pStyle w:val="Textonotapie"/>
        <w:jc w:val="both"/>
      </w:pPr>
      <w:r w:rsidRPr="001C61F8">
        <w:rPr>
          <w:rStyle w:val="Refdenotaalpie"/>
        </w:rPr>
        <w:footnoteRef/>
      </w:r>
      <w:r w:rsidRPr="001C61F8">
        <w:t xml:space="preserve"> Sentencia C-097 de 2013.</w:t>
      </w:r>
    </w:p>
  </w:footnote>
  <w:footnote w:id="92">
    <w:p w:rsidR="000A045E" w:rsidRPr="001C61F8" w:rsidRDefault="00AC66B3" w:rsidP="000A045E">
      <w:pPr>
        <w:pStyle w:val="Textonotapie"/>
        <w:jc w:val="both"/>
      </w:pPr>
      <w:r w:rsidRPr="001C61F8">
        <w:rPr>
          <w:rStyle w:val="Refdenotaalpie"/>
        </w:rPr>
        <w:footnoteRef/>
      </w:r>
      <w:r w:rsidRPr="001C61F8">
        <w:t xml:space="preserve"> </w:t>
      </w:r>
      <w:r w:rsidRPr="001C61F8">
        <w:rPr>
          <w:bCs/>
        </w:rPr>
        <w:t xml:space="preserve">Sentencia </w:t>
      </w:r>
      <w:r w:rsidRPr="001C61F8">
        <w:rPr>
          <w:bCs/>
        </w:rPr>
        <w:t>C-097 de 2003.</w:t>
      </w:r>
    </w:p>
  </w:footnote>
  <w:footnote w:id="93">
    <w:p w:rsidR="000A045E" w:rsidRPr="001C61F8" w:rsidRDefault="00AC66B3" w:rsidP="000A045E">
      <w:pPr>
        <w:pStyle w:val="Textonotapie"/>
        <w:jc w:val="both"/>
      </w:pPr>
      <w:r w:rsidRPr="001C61F8">
        <w:rPr>
          <w:rStyle w:val="Refdenotaalpie"/>
        </w:rPr>
        <w:footnoteRef/>
      </w:r>
      <w:r w:rsidRPr="001C61F8">
        <w:t xml:space="preserve"> </w:t>
      </w:r>
      <w:r w:rsidRPr="001C61F8">
        <w:rPr>
          <w:bCs/>
          <w:i/>
          <w:iCs/>
        </w:rPr>
        <w:t>Ibidem</w:t>
      </w:r>
      <w:r w:rsidRPr="001C61F8">
        <w:rPr>
          <w:bCs/>
        </w:rPr>
        <w:t>.</w:t>
      </w:r>
    </w:p>
  </w:footnote>
  <w:footnote w:id="94">
    <w:p w:rsidR="000A045E" w:rsidRPr="001C61F8" w:rsidRDefault="00AC66B3" w:rsidP="000A045E">
      <w:pPr>
        <w:pStyle w:val="Textonotapie"/>
        <w:jc w:val="both"/>
      </w:pPr>
      <w:r w:rsidRPr="001C61F8">
        <w:rPr>
          <w:rStyle w:val="Refdenotaalpie"/>
        </w:rPr>
        <w:footnoteRef/>
      </w:r>
      <w:r w:rsidRPr="001C61F8">
        <w:t xml:space="preserve"> Sentencia C-097 de 2013.</w:t>
      </w:r>
    </w:p>
  </w:footnote>
  <w:footnote w:id="95">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96">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97">
    <w:p w:rsidR="000A045E" w:rsidRPr="001C61F8" w:rsidRDefault="00AC66B3" w:rsidP="000A045E">
      <w:pPr>
        <w:pStyle w:val="Textonotapie"/>
        <w:jc w:val="both"/>
      </w:pPr>
      <w:r w:rsidRPr="001C61F8">
        <w:rPr>
          <w:rStyle w:val="Refdenotaalpie"/>
        </w:rPr>
        <w:footnoteRef/>
      </w:r>
      <w:r w:rsidRPr="001C61F8">
        <w:t xml:space="preserve"> </w:t>
      </w:r>
      <w:r w:rsidRPr="001C61F8">
        <w:rPr>
          <w:bCs/>
        </w:rPr>
        <w:t>Sentencia C-473 de 2013.También se pueden consultar las sentencias C-172 de 2017 y C-355 de 2016.</w:t>
      </w:r>
    </w:p>
  </w:footnote>
  <w:footnote w:id="98">
    <w:p w:rsidR="000A045E" w:rsidRPr="001C61F8" w:rsidRDefault="00AC66B3" w:rsidP="000A045E">
      <w:pPr>
        <w:pStyle w:val="Textonotapie"/>
        <w:jc w:val="both"/>
      </w:pPr>
      <w:r w:rsidRPr="001C61F8">
        <w:rPr>
          <w:rStyle w:val="Refdenotaalpie"/>
        </w:rPr>
        <w:footnoteRef/>
      </w:r>
      <w:r w:rsidRPr="001C61F8">
        <w:t xml:space="preserve"> Sentencias C-159 de 2021, C-092 de 2020, C-249 de 2019, C-172 de 2017, </w:t>
      </w:r>
      <w:r w:rsidRPr="001C61F8">
        <w:rPr>
          <w:lang w:val="es-ES_tradnl"/>
        </w:rPr>
        <w:t>C-562 de 20</w:t>
      </w:r>
      <w:r w:rsidRPr="001C61F8">
        <w:rPr>
          <w:lang w:val="es-ES_tradnl"/>
        </w:rPr>
        <w:t xml:space="preserve">15, </w:t>
      </w:r>
      <w:r w:rsidRPr="001C61F8">
        <w:t xml:space="preserve">C-366 de 2012, C-810 de 2014, C-405 de 2013, </w:t>
      </w:r>
      <w:r w:rsidRPr="001C61F8">
        <w:rPr>
          <w:lang w:val="es-ES_tradnl"/>
        </w:rPr>
        <w:t xml:space="preserve">C-691 y </w:t>
      </w:r>
      <w:r w:rsidRPr="001C61F8">
        <w:t xml:space="preserve">C-097 de 2003, C-452 de 2002, </w:t>
      </w:r>
      <w:r w:rsidRPr="001C61F8">
        <w:rPr>
          <w:lang w:val="es-ES_tradnl"/>
        </w:rPr>
        <w:t xml:space="preserve">C-503 de 2001, C-1493 de 2000 y </w:t>
      </w:r>
      <w:r w:rsidRPr="001C61F8">
        <w:rPr>
          <w:lang w:val="pt-BR"/>
        </w:rPr>
        <w:t>C-416 de 1992.</w:t>
      </w:r>
    </w:p>
  </w:footnote>
  <w:footnote w:id="99">
    <w:p w:rsidR="000A045E" w:rsidRPr="001C61F8" w:rsidRDefault="00AC66B3" w:rsidP="000A045E">
      <w:pPr>
        <w:pStyle w:val="Textonotapie"/>
        <w:jc w:val="both"/>
      </w:pPr>
      <w:r w:rsidRPr="001C61F8">
        <w:rPr>
          <w:rStyle w:val="Refdenotaalpie"/>
        </w:rPr>
        <w:footnoteRef/>
      </w:r>
      <w:r w:rsidRPr="001C61F8">
        <w:t xml:space="preserve"> Sentencia C-249 de 2019. Véanse las sentencias C-172 de 2017, C-261 de 2016 y C-030 de 1999. </w:t>
      </w:r>
    </w:p>
  </w:footnote>
  <w:footnote w:id="100">
    <w:p w:rsidR="000A045E" w:rsidRPr="001C61F8" w:rsidRDefault="00AC66B3" w:rsidP="000A045E">
      <w:pPr>
        <w:pStyle w:val="Textonotapie"/>
        <w:jc w:val="both"/>
      </w:pPr>
      <w:r w:rsidRPr="001C61F8">
        <w:rPr>
          <w:rStyle w:val="Refdenotaalpie"/>
        </w:rPr>
        <w:footnoteRef/>
      </w:r>
      <w:r w:rsidRPr="001C61F8">
        <w:t xml:space="preserve"> Sentencias C-355 y C-261</w:t>
      </w:r>
      <w:r w:rsidRPr="001C61F8">
        <w:t xml:space="preserve"> de 2016, C-651, </w:t>
      </w:r>
      <w:r w:rsidRPr="001C61F8">
        <w:rPr>
          <w:bCs/>
        </w:rPr>
        <w:t>C-562 y C-219 de 2015</w:t>
      </w:r>
      <w:r w:rsidRPr="001C61F8">
        <w:t>, C-235 de 2014, C-405 de 2013, C-744 y C-745 de 2012. Así, por ejemplo, en la Sentencia C-235 de 2014, la Corte dijo: «una interpretación sistemática, que integra el precepto en estudio a otras disposiciones del cuerp</w:t>
      </w:r>
      <w:r w:rsidRPr="001C61F8">
        <w:t xml:space="preserve">o legislativo al que aquel pertenece, permite afirmar que la labor del legislador delegado no se contrae únicamente a suprimir trámites innecesarios, sino que, le indica al productor de normas con fuerza de Ley, que hace parte de sus deberes llevar a cabo </w:t>
      </w:r>
      <w:r w:rsidRPr="001C61F8">
        <w:t xml:space="preserve">los ajustes que tiendan a lograr eficiencia y transparencia en aras de un mejor servicio al ciudadano. || Una comprensión del </w:t>
      </w:r>
      <w:r w:rsidRPr="001C61F8">
        <w:rPr>
          <w:i/>
          <w:iCs/>
        </w:rPr>
        <w:t>telos</w:t>
      </w:r>
      <w:r w:rsidRPr="001C61F8">
        <w:t xml:space="preserve"> de la facultad delegada signada por el literalismo torna a la Administración en un mero cercenador de trámites que estime co</w:t>
      </w:r>
      <w:r w:rsidRPr="001C61F8">
        <w:t>mo innecesarios y, la inutiliza frente a las eventuales necesidades de ajustar procedimientos urgidos de variaciones que realicen mandatos constitucionales como los de moralidad, eficacia y publicidad establecidos en el artículo 209 del texto superior</w:t>
      </w:r>
      <w:r w:rsidRPr="001C61F8">
        <w:rPr>
          <w:bCs/>
        </w:rPr>
        <w:t>»</w:t>
      </w:r>
      <w:r w:rsidRPr="001C61F8">
        <w:t>.</w:t>
      </w:r>
    </w:p>
  </w:footnote>
  <w:footnote w:id="101">
    <w:p w:rsidR="000A045E" w:rsidRPr="001C61F8" w:rsidRDefault="00AC66B3" w:rsidP="000A045E">
      <w:pPr>
        <w:pStyle w:val="Textonotapie"/>
        <w:jc w:val="both"/>
      </w:pPr>
      <w:r w:rsidRPr="001C61F8">
        <w:rPr>
          <w:rStyle w:val="Refdenotaalpie"/>
        </w:rPr>
        <w:footnoteRef/>
      </w:r>
      <w:r w:rsidRPr="001C61F8">
        <w:t xml:space="preserve"> </w:t>
      </w:r>
      <w:r w:rsidRPr="001C61F8">
        <w:t xml:space="preserve">Sentencias C-159 de 2021, C-249 de 2019, </w:t>
      </w:r>
      <w:r w:rsidRPr="001C61F8">
        <w:rPr>
          <w:bCs/>
          <w:lang w:val="es-ES"/>
        </w:rPr>
        <w:t xml:space="preserve">C-745 de 2012, C-026 de 1998, C-306 de 2004 y </w:t>
      </w:r>
      <w:r w:rsidRPr="001C61F8">
        <w:rPr>
          <w:bCs/>
        </w:rPr>
        <w:t>C-340 de 1996.</w:t>
      </w:r>
    </w:p>
  </w:footnote>
  <w:footnote w:id="102">
    <w:p w:rsidR="000A045E" w:rsidRPr="001C61F8" w:rsidRDefault="00AC66B3" w:rsidP="000A045E">
      <w:pPr>
        <w:pStyle w:val="Textonotapie"/>
        <w:jc w:val="both"/>
      </w:pPr>
      <w:r w:rsidRPr="001C61F8">
        <w:rPr>
          <w:rStyle w:val="Refdenotaalpie"/>
        </w:rPr>
        <w:footnoteRef/>
      </w:r>
      <w:r w:rsidRPr="001C61F8">
        <w:t xml:space="preserve"> Sentencia C-355 de 2016.</w:t>
      </w:r>
    </w:p>
  </w:footnote>
  <w:footnote w:id="103">
    <w:p w:rsidR="000A045E" w:rsidRPr="001C61F8" w:rsidRDefault="00AC66B3" w:rsidP="000A045E">
      <w:pPr>
        <w:pStyle w:val="Textonotapie"/>
        <w:jc w:val="both"/>
      </w:pPr>
      <w:r w:rsidRPr="001C61F8">
        <w:rPr>
          <w:rStyle w:val="Refdenotaalpie"/>
        </w:rPr>
        <w:footnoteRef/>
      </w:r>
      <w:r w:rsidRPr="001C61F8">
        <w:t xml:space="preserve"> Sentencias C-335 de 2016, C-151 de 2004, C-140 de 1998, C-610 de 1996 y C-</w:t>
      </w:r>
      <w:r w:rsidRPr="001C61F8">
        <w:rPr>
          <w:lang w:val="es-ES"/>
        </w:rPr>
        <w:t>511 de 1992</w:t>
      </w:r>
      <w:r w:rsidRPr="001C61F8">
        <w:t>.</w:t>
      </w:r>
    </w:p>
  </w:footnote>
  <w:footnote w:id="104">
    <w:p w:rsidR="000A045E" w:rsidRPr="001C61F8" w:rsidRDefault="00AC66B3" w:rsidP="000A045E">
      <w:pPr>
        <w:pStyle w:val="Textonotapie"/>
        <w:jc w:val="both"/>
      </w:pPr>
      <w:r w:rsidRPr="001C61F8">
        <w:rPr>
          <w:rStyle w:val="Refdenotaalpie"/>
        </w:rPr>
        <w:footnoteRef/>
      </w:r>
      <w:r w:rsidRPr="001C61F8">
        <w:t xml:space="preserve"> Sentencias C-092 de 2020, C-219 de 2015, y C-350 y C-306 de 2004. </w:t>
      </w:r>
    </w:p>
  </w:footnote>
  <w:footnote w:id="105">
    <w:p w:rsidR="000A045E" w:rsidRPr="001C61F8" w:rsidRDefault="00AC66B3" w:rsidP="000A045E">
      <w:pPr>
        <w:pStyle w:val="Textonotapie"/>
      </w:pPr>
      <w:r w:rsidRPr="001C61F8">
        <w:rPr>
          <w:rStyle w:val="Refdenotaalpie"/>
        </w:rPr>
        <w:footnoteRef/>
      </w:r>
      <w:r w:rsidRPr="001C61F8">
        <w:t xml:space="preserve"> Cfr. fundamento jurídico 164 de esta sentencia. </w:t>
      </w:r>
    </w:p>
  </w:footnote>
  <w:footnote w:id="106">
    <w:p w:rsidR="000A045E" w:rsidRPr="001C61F8" w:rsidRDefault="00AC66B3" w:rsidP="000A045E">
      <w:pPr>
        <w:pStyle w:val="Textonotapie"/>
        <w:jc w:val="both"/>
        <w:rPr>
          <w:lang w:val="es-ES"/>
        </w:rPr>
      </w:pPr>
      <w:r w:rsidRPr="001C61F8">
        <w:rPr>
          <w:rStyle w:val="Refdenotaalpie"/>
        </w:rPr>
        <w:footnoteRef/>
      </w:r>
      <w:r w:rsidRPr="001C61F8">
        <w:t xml:space="preserve"> Sentencia C-489 de 2023: «</w:t>
      </w:r>
      <w:r w:rsidRPr="001C61F8">
        <w:rPr>
          <w:lang w:val="es-ES"/>
        </w:rPr>
        <w:t>(i) la demanda sea apta para emitir un pronunciamiento de fondo; (ii) tal control verse sobre una norma efect</w:t>
      </w:r>
      <w:r w:rsidRPr="001C61F8">
        <w:rPr>
          <w:lang w:val="es-ES"/>
        </w:rPr>
        <w:t>ivamente demandada, o susceptible de controlarse en virtud de una integración de la unidad normativa; (iii) la acción haya sido instaurada antes de que haya expirado el término de caducidad, en caso de que se hayan invocado vicios de procedimiento; (iv) la</w:t>
      </w:r>
      <w:r w:rsidRPr="001C61F8">
        <w:rPr>
          <w:lang w:val="es-ES"/>
        </w:rPr>
        <w:t xml:space="preserve"> competencia de la Corte para revisar la constitucionalidad de la norma enjuiciada sea absolutamente clara; (v) se advierta un vicio evidente y manifiesto de inconstitucionalidad, bien sea porque así lo pusieron de presente las pruebas recaudas, las interv</w:t>
      </w:r>
      <w:r w:rsidRPr="001C61F8">
        <w:rPr>
          <w:lang w:val="es-ES"/>
        </w:rPr>
        <w:t>enciones presentadas o el Ministerio Público a través de su concepto; y (vi) se constante que, con base en normas superiores no invocadas en la demanda o argumentos no desarrollados en ella, la disposición debe ser declarada inexequible</w:t>
      </w:r>
      <w:r w:rsidRPr="001C61F8">
        <w:t>»</w:t>
      </w:r>
      <w:r w:rsidRPr="001C61F8">
        <w:rPr>
          <w:lang w:val="es-ES"/>
        </w:rPr>
        <w:t>.</w:t>
      </w:r>
    </w:p>
  </w:footnote>
  <w:footnote w:id="107">
    <w:p w:rsidR="000A045E" w:rsidRPr="001C61F8" w:rsidRDefault="00AC66B3" w:rsidP="000A045E">
      <w:pPr>
        <w:pStyle w:val="Textonotapie"/>
        <w:jc w:val="both"/>
      </w:pPr>
      <w:r w:rsidRPr="001C61F8">
        <w:rPr>
          <w:rStyle w:val="Refdenotaalpie"/>
        </w:rPr>
        <w:footnoteRef/>
      </w:r>
      <w:r w:rsidRPr="001C61F8">
        <w:t xml:space="preserve"> Esta postura co</w:t>
      </w:r>
      <w:r w:rsidRPr="001C61F8">
        <w:t>incide con la postura de la Sentencia C-292 de 2001, en la cual, como ya se indicó, la Corte abandonó la idea de que siempre era necesario integrar la unidad normativa con la ley habilitante.</w:t>
      </w:r>
      <w:r w:rsidRPr="001C61F8">
        <w:rPr>
          <w:lang w:eastAsia="es-ES_tradnl"/>
        </w:rPr>
        <w:t xml:space="preserve"> Esta integración de la unidad normativa con la norma habilitante</w:t>
      </w:r>
      <w:r w:rsidRPr="001C61F8">
        <w:rPr>
          <w:lang w:eastAsia="es-ES_tradnl"/>
        </w:rPr>
        <w:t xml:space="preserve"> se descartó en esa sentencia por las siguientes razones: (i) la ampliación de la competencia de la Corte, en los casos en los que la ley habilitante no había sido objeto de la demanda, impedía el ejercicio de los derechos y mecanismos de participación que</w:t>
      </w:r>
      <w:r w:rsidRPr="001C61F8">
        <w:rPr>
          <w:lang w:eastAsia="es-ES_tradnl"/>
        </w:rPr>
        <w:t xml:space="preserve"> se han establecido en el procedimiento de control de constitucionalidad, porque, respecto de la ley habilitante, no había oportunidad para la intervención de las autoridades comprometidas en la materia, ni de los ciudadanos interesados; tampoco se le perm</w:t>
      </w:r>
      <w:r w:rsidRPr="001C61F8">
        <w:rPr>
          <w:lang w:eastAsia="es-ES_tradnl"/>
        </w:rPr>
        <w:t>itía al procurador presentar su concepto en cumplimiento de una de sus funciones constitucionales; y (ii) de esta forma, respecto de la ley de facultades, debido a este control oficioso, no se daba la necesaria controversia constitucional entre el demandan</w:t>
      </w:r>
      <w:r w:rsidRPr="001C61F8">
        <w:rPr>
          <w:lang w:eastAsia="es-ES_tradnl"/>
        </w:rPr>
        <w:t>te, los intervinientes en el proceso y el Ministerio Público, lo cual llevaba a la Corte a pronunciarse sobre cuestiones respecto de las cuales no había deliberación pública institucional previa.</w:t>
      </w:r>
    </w:p>
  </w:footnote>
  <w:footnote w:id="108">
    <w:p w:rsidR="000A045E" w:rsidRPr="001C61F8" w:rsidRDefault="00AC66B3" w:rsidP="000A045E">
      <w:pPr>
        <w:pStyle w:val="Textonotapie"/>
        <w:jc w:val="both"/>
      </w:pPr>
      <w:r w:rsidRPr="001C61F8">
        <w:rPr>
          <w:rStyle w:val="Refdenotaalpie"/>
        </w:rPr>
        <w:footnoteRef/>
      </w:r>
      <w:r w:rsidRPr="001C61F8">
        <w:t xml:space="preserve"> Artículos 150.3, 339, 341, 342 y 346 de la Constitución. </w:t>
      </w:r>
    </w:p>
  </w:footnote>
  <w:footnote w:id="109">
    <w:p w:rsidR="000A045E" w:rsidRPr="001C61F8" w:rsidRDefault="00AC66B3" w:rsidP="000A045E">
      <w:pPr>
        <w:pStyle w:val="Textonotapie"/>
        <w:jc w:val="both"/>
      </w:pPr>
      <w:r w:rsidRPr="001C61F8">
        <w:rPr>
          <w:rStyle w:val="Refdenotaalpie"/>
        </w:rPr>
        <w:footnoteRef/>
      </w:r>
      <w:r w:rsidRPr="001C61F8">
        <w:t xml:space="preserve"> Artículo 339 de la Constitución. </w:t>
      </w:r>
    </w:p>
  </w:footnote>
  <w:footnote w:id="110">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11">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 xml:space="preserve">. </w:t>
      </w:r>
    </w:p>
  </w:footnote>
  <w:footnote w:id="112">
    <w:p w:rsidR="000A045E" w:rsidRPr="001C61F8" w:rsidRDefault="00AC66B3" w:rsidP="000A045E">
      <w:pPr>
        <w:pStyle w:val="Textonotapie"/>
        <w:jc w:val="both"/>
      </w:pPr>
      <w:r w:rsidRPr="001C61F8">
        <w:rPr>
          <w:rStyle w:val="Refdenotaalpie"/>
        </w:rPr>
        <w:footnoteRef/>
      </w:r>
      <w:r w:rsidRPr="001C61F8">
        <w:t xml:space="preserve"> Sentencia C-063 de 2021</w:t>
      </w:r>
    </w:p>
  </w:footnote>
  <w:footnote w:id="113">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 xml:space="preserve">. </w:t>
      </w:r>
    </w:p>
  </w:footnote>
  <w:footnote w:id="114">
    <w:p w:rsidR="000A045E" w:rsidRPr="001C61F8" w:rsidRDefault="00AC66B3" w:rsidP="000A045E">
      <w:pPr>
        <w:pStyle w:val="Textonotapie"/>
        <w:jc w:val="both"/>
      </w:pPr>
      <w:r w:rsidRPr="001C61F8">
        <w:rPr>
          <w:rStyle w:val="Refdenotaalpie"/>
        </w:rPr>
        <w:footnoteRef/>
      </w:r>
      <w:r w:rsidRPr="001C61F8">
        <w:t xml:space="preserve"> Sentencia C-498 de 1995, reiterada, entre otras, en las sentencias C-159 de 2021, C-249 de 2019, C-630 de 2014, C-895 de 2006 y C-734 de 2005. </w:t>
      </w:r>
    </w:p>
  </w:footnote>
  <w:footnote w:id="115">
    <w:p w:rsidR="000A045E" w:rsidRPr="001C61F8" w:rsidRDefault="00AC66B3" w:rsidP="000A045E">
      <w:pPr>
        <w:pStyle w:val="Textonotapie"/>
        <w:jc w:val="both"/>
      </w:pPr>
      <w:r w:rsidRPr="001C61F8">
        <w:rPr>
          <w:rStyle w:val="Refdenotaalpie"/>
        </w:rPr>
        <w:footnoteRef/>
      </w:r>
      <w:r w:rsidRPr="001C61F8">
        <w:t xml:space="preserve"> Sentencia C-12</w:t>
      </w:r>
      <w:r w:rsidRPr="001C61F8">
        <w:t xml:space="preserve">6 de 2020. Al respecto, también se pueden consultar las sentencias C-063 de 2021, y C-415 y C-068 de 2020, entre otras. </w:t>
      </w:r>
    </w:p>
  </w:footnote>
  <w:footnote w:id="116">
    <w:p w:rsidR="000A045E" w:rsidRPr="001C61F8" w:rsidRDefault="00AC66B3" w:rsidP="000A045E">
      <w:pPr>
        <w:pStyle w:val="Textonotapie"/>
        <w:jc w:val="both"/>
      </w:pPr>
      <w:r w:rsidRPr="001C61F8">
        <w:rPr>
          <w:rStyle w:val="Refdenotaalpie"/>
        </w:rPr>
        <w:footnoteRef/>
      </w:r>
      <w:r w:rsidRPr="001C61F8">
        <w:t xml:space="preserve"> Numeral 2 del artículo 287 de la Constitución: «Las entidades territoriales gozan de autonomía para la gestión de sus intereses, y de</w:t>
      </w:r>
      <w:r w:rsidRPr="001C61F8">
        <w:t>ntro de los límites de la Constitución y la ley. En tal virtud tendrán los siguientes derechos: || […] 2. Ejercer las competencias que les correspondan». Sobre el particular, en la Sentencia C-032 de 1996, que reiteró la Sentencia C-517 de 1992, la Corte i</w:t>
      </w:r>
      <w:r w:rsidRPr="001C61F8">
        <w:t>ndicó: «</w:t>
      </w:r>
      <w:r w:rsidRPr="001C61F8">
        <w:rPr>
          <w:iCs/>
        </w:rPr>
        <w:t>La construcción, mantenimiento y reparación de caminos vecinales y regionales, es una función, que dadas sus singulares características, debe ser descentralizada, dentro del proceso que defina el legislador pues es responsabilidad de los departamen</w:t>
      </w:r>
      <w:r w:rsidRPr="001C61F8">
        <w:rPr>
          <w:iCs/>
        </w:rPr>
        <w:t>tos y municipios manejar los asuntos que conciernan a su territorio y de estos últimos construir las obras públicas necesarias para el desarrollo local, en la medida de sus recursos</w:t>
      </w:r>
      <w:r w:rsidRPr="001C61F8">
        <w:t>».</w:t>
      </w:r>
    </w:p>
  </w:footnote>
  <w:footnote w:id="117">
    <w:p w:rsidR="000A045E" w:rsidRPr="001C61F8" w:rsidRDefault="00AC66B3" w:rsidP="000A045E">
      <w:pPr>
        <w:pStyle w:val="Textonotapie"/>
        <w:jc w:val="both"/>
      </w:pPr>
      <w:r w:rsidRPr="001C61F8">
        <w:rPr>
          <w:rStyle w:val="Refdenotaalpie"/>
        </w:rPr>
        <w:footnoteRef/>
      </w:r>
      <w:r w:rsidRPr="001C61F8">
        <w:t xml:space="preserve"> Ministerio de Transporte, </w:t>
      </w:r>
      <w:r w:rsidRPr="001C61F8">
        <w:rPr>
          <w:i/>
          <w:iCs/>
        </w:rPr>
        <w:t>Plan Nacional para la Integración Regional</w:t>
      </w:r>
      <w:r w:rsidRPr="001C61F8">
        <w:t xml:space="preserve">, </w:t>
      </w:r>
      <w:r w:rsidRPr="001C61F8">
        <w:t xml:space="preserve">3 de agosto de 2018, documento disponible en la página web </w:t>
      </w:r>
      <w:hyperlink r:id="rId2" w:history="1">
        <w:r w:rsidRPr="001C61F8">
          <w:rPr>
            <w:rStyle w:val="Hipervnculo"/>
          </w:rPr>
          <w:t>https://www.minambiente.gov.co/wp-content/uploads/2022/07/11.-PNVIR.pdf</w:t>
        </w:r>
      </w:hyperlink>
      <w:r w:rsidRPr="001C61F8">
        <w:t xml:space="preserve"> (pág. 2). Artículo 23.1. del Decreto </w:t>
      </w:r>
      <w:r w:rsidRPr="001C61F8">
        <w:t>1292 de 2021.</w:t>
      </w:r>
    </w:p>
  </w:footnote>
  <w:footnote w:id="118">
    <w:p w:rsidR="000A045E" w:rsidRPr="001C61F8" w:rsidRDefault="00AC66B3" w:rsidP="000A045E">
      <w:pPr>
        <w:pStyle w:val="Textonotapie"/>
        <w:jc w:val="both"/>
      </w:pPr>
      <w:r w:rsidRPr="001C61F8">
        <w:rPr>
          <w:rStyle w:val="Refdenotaalpie"/>
        </w:rPr>
        <w:footnoteRef/>
      </w:r>
      <w:r w:rsidRPr="001C61F8">
        <w:t xml:space="preserve"> Artículo 1 de la Ley 1228 de 2008: «las vías que conforman el Sistema Nacional de Carreteras o Red Vial Nacional se denominan arteriales o de primer orden, intermunicipales o de segundo orden y veredales o de tercer orden. Estas categorías podrán correspo</w:t>
      </w:r>
      <w:r w:rsidRPr="001C61F8">
        <w:t>nder a carreteras a cargo de la Nación, los departamentos, los distritos especiales y los municipios. El Ministerio de Transporte será la autoridad que, mediante criterios técnicos, determine a qué categoría pertenecen». Resolución número 0744 del 4 de mar</w:t>
      </w:r>
      <w:r w:rsidRPr="001C61F8">
        <w:t xml:space="preserve">zo del 2009 expedida por el Ministerio de Transporte. En similar sentido, se puede consultar la Ley 105 de 1993 (artículos 12, 16, 17, 20 y 44). </w:t>
      </w:r>
    </w:p>
  </w:footnote>
  <w:footnote w:id="119">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 xml:space="preserve">. </w:t>
      </w:r>
    </w:p>
  </w:footnote>
  <w:footnote w:id="120">
    <w:p w:rsidR="000A045E" w:rsidRPr="001C61F8" w:rsidRDefault="00AC66B3" w:rsidP="000A045E">
      <w:pPr>
        <w:pStyle w:val="Textonotapie"/>
        <w:jc w:val="both"/>
      </w:pPr>
      <w:r w:rsidRPr="001C61F8">
        <w:rPr>
          <w:rStyle w:val="Refdenotaalpie"/>
        </w:rPr>
        <w:footnoteRef/>
      </w:r>
      <w:r w:rsidRPr="001C61F8">
        <w:t xml:space="preserve"> Departamento Nacional de Planeación, Pening Gaviria, Jean Philippe, </w:t>
      </w:r>
      <w:r w:rsidRPr="001C61F8">
        <w:rPr>
          <w:i/>
          <w:iCs/>
        </w:rPr>
        <w:t>Política de descentralización</w:t>
      </w:r>
      <w:r w:rsidRPr="001C61F8">
        <w:rPr>
          <w:i/>
          <w:iCs/>
        </w:rPr>
        <w:t xml:space="preserve"> inversión de recursos públicos en infraestructura de vías terciarias, </w:t>
      </w:r>
      <w:r w:rsidRPr="001C61F8">
        <w:t xml:space="preserve">documento disponible en la página web </w:t>
      </w:r>
      <w:hyperlink r:id="rId3" w:history="1">
        <w:r w:rsidRPr="001C61F8">
          <w:rPr>
            <w:rStyle w:val="Hipervnculo"/>
            <w:color w:val="0070C0"/>
          </w:rPr>
          <w:t>https://colaboracion.dnp.gov.co/CDT/PublishingImages/Planeacion-y-desarrollo/2023/noviembre/pdf/Inversion-de-recursos-publicos-en-infraestructura-de-vias-terciarias.pdf</w:t>
        </w:r>
      </w:hyperlink>
      <w:r w:rsidRPr="001C61F8">
        <w:t xml:space="preserve"> (pág. 4). </w:t>
      </w:r>
    </w:p>
  </w:footnote>
  <w:footnote w:id="121">
    <w:p w:rsidR="000A045E" w:rsidRPr="001C61F8" w:rsidRDefault="00AC66B3" w:rsidP="000A045E">
      <w:pPr>
        <w:pStyle w:val="Textonotapie"/>
        <w:jc w:val="both"/>
      </w:pPr>
      <w:r w:rsidRPr="001C61F8">
        <w:rPr>
          <w:rStyle w:val="Refdenotaalpie"/>
        </w:rPr>
        <w:footnoteRef/>
      </w:r>
      <w:r w:rsidRPr="001C61F8">
        <w:t xml:space="preserve"> En la Sentencia C-032 de 1996, la Corte analizó la constitucionalidad de los </w:t>
      </w:r>
      <w:r w:rsidRPr="001C61F8">
        <w:rPr>
          <w:bCs/>
        </w:rPr>
        <w:t xml:space="preserve">artículos </w:t>
      </w:r>
      <w:r w:rsidRPr="001C61F8">
        <w:t>20 y 36</w:t>
      </w:r>
      <w:r w:rsidRPr="001C61F8">
        <w:rPr>
          <w:bCs/>
        </w:rPr>
        <w:t xml:space="preserve"> de la Ley </w:t>
      </w:r>
      <w:r w:rsidRPr="001C61F8">
        <w:t>188 de 1995 (Plan Nacional de Desarrollo 1995 – 1998). En ella la Sala precisó que «la función del INVIAS como de la Subdirección de Caminos Vecinales</w:t>
      </w:r>
      <w:r w:rsidRPr="001C61F8">
        <w:t xml:space="preserve"> [de esa entidad] suponían atribuciones meramente subsidiarias, pues eran las entidades territoriales las que tenían a su cargo la construcción, mantenimiento y reparación de la red de caminos vecinales y regionales». No obstante, la corporación también ad</w:t>
      </w:r>
      <w:r w:rsidRPr="001C61F8">
        <w:t>virtió: «Es indudable que el diseño del Ministerio de Transporte, en lo relativo a la denominada red terciaria, partió de una premisa política de origen constitucional, que no se ha cumplido cabal y regularmente, que la construcción, reparación y mantenimi</w:t>
      </w:r>
      <w:r w:rsidRPr="001C61F8">
        <w:t xml:space="preserve">ento de las vías y caminos vecinales no corresponde inequívocamente y exclusivamente, con carácter excluyente y absoluto, sin condicionamientos, a las entidades territoriales que no han podido atender las señaladas funciones, por lo que no ha desaparecido </w:t>
      </w:r>
      <w:r w:rsidRPr="001C61F8">
        <w:t>la razón de ser de una entidad como el Fondo Nacional de Caminos Vecinales, al cual inicialmente se decidió suprimir y posteriormente reorganizar».</w:t>
      </w:r>
    </w:p>
  </w:footnote>
  <w:footnote w:id="122">
    <w:p w:rsidR="000A045E" w:rsidRPr="001C61F8" w:rsidRDefault="00AC66B3" w:rsidP="000A045E">
      <w:pPr>
        <w:pStyle w:val="Textonotapie"/>
        <w:jc w:val="both"/>
      </w:pPr>
      <w:r w:rsidRPr="001C61F8">
        <w:rPr>
          <w:rStyle w:val="Refdenotaalpie"/>
        </w:rPr>
        <w:footnoteRef/>
      </w:r>
      <w:r w:rsidRPr="001C61F8">
        <w:t xml:space="preserve"> Artículo 1 de la Resolución 0796 del 31 de diciembre de 2003, expedida por el Liquidador del Fondo Naciona</w:t>
      </w:r>
      <w:r w:rsidRPr="001C61F8">
        <w:t>l de Caminos Vecinales: «Transfiérase al Instituto Nacional de Vías, Invías, la red terciaria construida por el Fondo Nacional de Caminos Vecinales, hoy en liquidación, que corresponde a 27.577.45 km, según resultado obtenido por la comisión interinstituci</w:t>
      </w:r>
      <w:r w:rsidRPr="001C61F8">
        <w:t>onal mencionada en la parte motiva de la presente resolución».</w:t>
      </w:r>
    </w:p>
  </w:footnote>
  <w:footnote w:id="123">
    <w:p w:rsidR="000A045E" w:rsidRPr="001C61F8" w:rsidRDefault="00AC66B3" w:rsidP="000A045E">
      <w:pPr>
        <w:pStyle w:val="Textonotapie"/>
        <w:jc w:val="both"/>
      </w:pPr>
      <w:r w:rsidRPr="001C61F8">
        <w:rPr>
          <w:rStyle w:val="Refdenotaalpie"/>
        </w:rPr>
        <w:footnoteRef/>
      </w:r>
      <w:r w:rsidRPr="001C61F8">
        <w:t xml:space="preserve"> El primer decreto que estableció esta competencia es el 2056 de 2003. En virtud del artículo 17 de del citado decreto,</w:t>
      </w:r>
      <w:r w:rsidRPr="001C61F8">
        <w:rPr>
          <w:rFonts w:ascii="Work Sans" w:hAnsi="Work Sans"/>
          <w:color w:val="333333"/>
          <w:shd w:val="clear" w:color="auto" w:fill="FFFFFF"/>
        </w:rPr>
        <w:t xml:space="preserve"> </w:t>
      </w:r>
      <w:r w:rsidRPr="001C61F8">
        <w:t>la Subdirección de Red Terciaria y Férrea del Invías debía ejercer, entr</w:t>
      </w:r>
      <w:r w:rsidRPr="001C61F8">
        <w:t>e otras, la función de «[a]dministrar integralmente los procesos de construcción, conservación, rehabilitación, operación, señalización, y de seguridad de la infraestructura de la red terciaria y férrea no concesionada». Actualmente, la competencia de inte</w:t>
      </w:r>
      <w:r w:rsidRPr="001C61F8">
        <w:t xml:space="preserve">rvención e inversión del Invías en las vías terciarias se encuentra en el artículo 1 del Decreto 1292 de 2021. </w:t>
      </w:r>
    </w:p>
  </w:footnote>
  <w:footnote w:id="124">
    <w:p w:rsidR="000A045E" w:rsidRPr="001C61F8" w:rsidRDefault="00AC66B3" w:rsidP="000A045E">
      <w:pPr>
        <w:tabs>
          <w:tab w:val="center" w:pos="3611"/>
        </w:tabs>
        <w:jc w:val="both"/>
        <w:rPr>
          <w:sz w:val="20"/>
          <w:szCs w:val="20"/>
        </w:rPr>
      </w:pPr>
      <w:r w:rsidRPr="001C61F8">
        <w:rPr>
          <w:rStyle w:val="Refdenotaalpie"/>
          <w:sz w:val="20"/>
          <w:szCs w:val="20"/>
        </w:rPr>
        <w:footnoteRef/>
      </w:r>
      <w:r w:rsidRPr="001C61F8">
        <w:rPr>
          <w:sz w:val="20"/>
          <w:szCs w:val="20"/>
        </w:rPr>
        <w:t xml:space="preserve"> </w:t>
      </w:r>
      <w:r w:rsidRPr="001C61F8">
        <w:rPr>
          <w:rFonts w:eastAsia="Calibri"/>
          <w:bCs/>
          <w:sz w:val="20"/>
          <w:szCs w:val="20"/>
        </w:rPr>
        <w:t xml:space="preserve">Durante los años 2000, como consecuencia de la mayor importancia que adquirió el modelo de las concesiones, </w:t>
      </w:r>
      <w:r w:rsidRPr="001C61F8">
        <w:rPr>
          <w:rFonts w:eastAsia="Calibri"/>
          <w:sz w:val="20"/>
          <w:szCs w:val="20"/>
        </w:rPr>
        <w:t xml:space="preserve">mediante el Decreto 1800 de 2003, </w:t>
      </w:r>
      <w:r w:rsidRPr="001C61F8">
        <w:rPr>
          <w:rFonts w:eastAsia="Calibri"/>
          <w:bCs/>
          <w:sz w:val="20"/>
          <w:szCs w:val="20"/>
        </w:rPr>
        <w:t xml:space="preserve">fue creado el Instituto Nacional de Concesiones (INCO) cuyo objeto fue </w:t>
      </w:r>
      <w:r w:rsidRPr="001C61F8">
        <w:rPr>
          <w:rFonts w:eastAsia="Calibri"/>
          <w:sz w:val="20"/>
          <w:szCs w:val="20"/>
        </w:rPr>
        <w:t>el de</w:t>
      </w:r>
      <w:r w:rsidRPr="001C61F8">
        <w:rPr>
          <w:sz w:val="20"/>
          <w:szCs w:val="20"/>
        </w:rPr>
        <w:t xml:space="preserve"> </w:t>
      </w:r>
      <w:r w:rsidRPr="001C61F8">
        <w:rPr>
          <w:rFonts w:eastAsia="Calibri"/>
          <w:bCs/>
          <w:sz w:val="20"/>
          <w:szCs w:val="20"/>
        </w:rPr>
        <w:t>estructurar, contratar, ejecutar y administrar los negocios de infraestructura de transporte que se desarrollen con participación del capital privado y en especial las concesiones</w:t>
      </w:r>
      <w:r w:rsidRPr="001C61F8">
        <w:rPr>
          <w:rFonts w:eastAsia="Calibri"/>
          <w:bCs/>
          <w:sz w:val="20"/>
          <w:szCs w:val="20"/>
        </w:rPr>
        <w:t>, en los modos carretero, fluvial, marítimo, férreo y portuario.</w:t>
      </w:r>
      <w:r w:rsidRPr="001C61F8">
        <w:rPr>
          <w:sz w:val="20"/>
          <w:szCs w:val="20"/>
        </w:rPr>
        <w:t xml:space="preserve"> </w:t>
      </w:r>
      <w:r w:rsidRPr="001C61F8">
        <w:rPr>
          <w:rFonts w:eastAsia="Calibri"/>
          <w:bCs/>
          <w:sz w:val="20"/>
          <w:szCs w:val="20"/>
        </w:rPr>
        <w:t>No obstante, el INCO fue reemplazado por la Agencia Nacional de Infraestructura (ANI), creada mediante el Decreto 4165 de 2011.</w:t>
      </w:r>
      <w:r w:rsidRPr="001C61F8">
        <w:rPr>
          <w:sz w:val="20"/>
          <w:szCs w:val="20"/>
        </w:rPr>
        <w:t xml:space="preserve"> </w:t>
      </w:r>
      <w:r w:rsidRPr="001C61F8">
        <w:rPr>
          <w:rFonts w:eastAsia="Calibri"/>
          <w:bCs/>
          <w:sz w:val="20"/>
          <w:szCs w:val="20"/>
        </w:rPr>
        <w:t>La ANI asumió las funciones del INCO,</w:t>
      </w:r>
      <w:r w:rsidRPr="001C61F8">
        <w:rPr>
          <w:sz w:val="20"/>
          <w:szCs w:val="20"/>
        </w:rPr>
        <w:t xml:space="preserve"> </w:t>
      </w:r>
      <w:r w:rsidRPr="001C61F8">
        <w:rPr>
          <w:rFonts w:eastAsia="Calibri"/>
          <w:bCs/>
          <w:sz w:val="20"/>
          <w:szCs w:val="20"/>
        </w:rPr>
        <w:t>por lo que su objeto es p</w:t>
      </w:r>
      <w:r w:rsidRPr="001C61F8">
        <w:rPr>
          <w:rFonts w:eastAsia="Calibri"/>
          <w:bCs/>
          <w:sz w:val="20"/>
          <w:szCs w:val="20"/>
        </w:rPr>
        <w:t>lanear, coordinar, estructurar, contratar, ejecutar, administrar y evaluar proyectos de concesiones y otras formas de Asociación Público Privada (APP), para el diseño, construcción, mantenimiento, operación, administración y/o explotación de la infraestruc</w:t>
      </w:r>
      <w:r w:rsidRPr="001C61F8">
        <w:rPr>
          <w:rFonts w:eastAsia="Calibri"/>
          <w:bCs/>
          <w:sz w:val="20"/>
          <w:szCs w:val="20"/>
        </w:rPr>
        <w:t>tura pública de transporte en todos sus modos.</w:t>
      </w:r>
      <w:r w:rsidRPr="001C61F8">
        <w:rPr>
          <w:rFonts w:eastAsia="Calibri"/>
          <w:sz w:val="20"/>
          <w:szCs w:val="20"/>
        </w:rPr>
        <w:t xml:space="preserve"> </w:t>
      </w:r>
    </w:p>
  </w:footnote>
  <w:footnote w:id="125">
    <w:p w:rsidR="000A045E" w:rsidRPr="001C61F8" w:rsidRDefault="00AC66B3" w:rsidP="000A045E">
      <w:pPr>
        <w:pStyle w:val="Textonotapie"/>
        <w:jc w:val="both"/>
      </w:pPr>
      <w:r w:rsidRPr="001C61F8">
        <w:rPr>
          <w:rStyle w:val="Refdenotaalpie"/>
        </w:rPr>
        <w:footnoteRef/>
      </w:r>
      <w:r w:rsidRPr="001C61F8">
        <w:t xml:space="preserve"> </w:t>
      </w:r>
      <w:r w:rsidRPr="001C61F8">
        <w:rPr>
          <w:bCs/>
        </w:rPr>
        <w:t xml:space="preserve">El documento de las Bases del Plan Nacional de Desarrollo 2022 – 2026 se encuentra publicado en la </w:t>
      </w:r>
      <w:r w:rsidRPr="001C61F8">
        <w:t>Gaceta del Congreso n.° 18 del 13 de febrero de 2023.</w:t>
      </w:r>
    </w:p>
  </w:footnote>
  <w:footnote w:id="126">
    <w:p w:rsidR="000A045E" w:rsidRPr="001C61F8" w:rsidRDefault="00AC66B3" w:rsidP="000A045E">
      <w:pPr>
        <w:pStyle w:val="Textonotapie"/>
        <w:jc w:val="both"/>
      </w:pPr>
      <w:r w:rsidRPr="001C61F8">
        <w:rPr>
          <w:rStyle w:val="Refdenotaalpie"/>
        </w:rPr>
        <w:footnoteRef/>
      </w:r>
      <w:r w:rsidRPr="001C61F8">
        <w:t xml:space="preserve"> </w:t>
      </w:r>
      <w:r w:rsidRPr="001C61F8">
        <w:rPr>
          <w:bCs/>
          <w:lang w:eastAsia="es-ES"/>
        </w:rPr>
        <w:t xml:space="preserve">Bases del Plan Nacional de Desarrollo 2022 – 2026, </w:t>
      </w:r>
      <w:r w:rsidRPr="001C61F8">
        <w:rPr>
          <w:bCs/>
          <w:lang w:eastAsia="es-ES"/>
        </w:rPr>
        <w:t>pág. 192.</w:t>
      </w:r>
    </w:p>
  </w:footnote>
  <w:footnote w:id="127">
    <w:p w:rsidR="000A045E" w:rsidRPr="001C61F8" w:rsidRDefault="00AC66B3" w:rsidP="000A045E">
      <w:pPr>
        <w:pStyle w:val="Textonotapie"/>
        <w:jc w:val="both"/>
      </w:pPr>
      <w:r w:rsidRPr="001C61F8">
        <w:rPr>
          <w:rStyle w:val="Refdenotaalpie"/>
        </w:rPr>
        <w:footnoteRef/>
      </w:r>
      <w:r w:rsidRPr="001C61F8">
        <w:t xml:space="preserve"> </w:t>
      </w:r>
      <w:r w:rsidRPr="001C61F8">
        <w:rPr>
          <w:bCs/>
          <w:lang w:eastAsia="es-ES"/>
        </w:rPr>
        <w:t>Bases del Plan Nacional de Desarrollo 2022 – 2026, pág. 194.</w:t>
      </w:r>
    </w:p>
  </w:footnote>
  <w:footnote w:id="128">
    <w:p w:rsidR="000A045E" w:rsidRPr="001C61F8" w:rsidRDefault="00AC66B3" w:rsidP="000A045E">
      <w:pPr>
        <w:pStyle w:val="Textonotapie"/>
        <w:jc w:val="both"/>
      </w:pPr>
      <w:r w:rsidRPr="001C61F8">
        <w:rPr>
          <w:rStyle w:val="Refdenotaalpie"/>
        </w:rPr>
        <w:footnoteRef/>
      </w:r>
      <w:r w:rsidRPr="001C61F8">
        <w:t xml:space="preserve"> </w:t>
      </w:r>
      <w:r w:rsidRPr="001C61F8">
        <w:rPr>
          <w:bCs/>
          <w:i/>
          <w:iCs/>
          <w:lang w:eastAsia="es-ES"/>
        </w:rPr>
        <w:t>Ibidem</w:t>
      </w:r>
      <w:r w:rsidRPr="001C61F8">
        <w:rPr>
          <w:bCs/>
          <w:lang w:eastAsia="es-ES"/>
        </w:rPr>
        <w:t>.</w:t>
      </w:r>
    </w:p>
  </w:footnote>
  <w:footnote w:id="129">
    <w:p w:rsidR="000A045E" w:rsidRPr="001C61F8" w:rsidRDefault="00AC66B3" w:rsidP="000A045E">
      <w:pPr>
        <w:pStyle w:val="Textonotapie"/>
        <w:jc w:val="both"/>
      </w:pPr>
      <w:r w:rsidRPr="001C61F8">
        <w:rPr>
          <w:rStyle w:val="Refdenotaalpie"/>
        </w:rPr>
        <w:footnoteRef/>
      </w:r>
      <w:r w:rsidRPr="001C61F8">
        <w:t xml:space="preserve"> </w:t>
      </w:r>
      <w:r w:rsidRPr="001C61F8">
        <w:rPr>
          <w:bCs/>
          <w:lang w:eastAsia="es-ES"/>
        </w:rPr>
        <w:t>Bases del Plan Nacional de Desarrollo 2022 – 2026, pág. 81 y 175.</w:t>
      </w:r>
    </w:p>
  </w:footnote>
  <w:footnote w:id="130">
    <w:p w:rsidR="000A045E" w:rsidRPr="001C61F8" w:rsidRDefault="00AC66B3" w:rsidP="000A045E">
      <w:pPr>
        <w:pStyle w:val="Textonotapie"/>
        <w:jc w:val="both"/>
      </w:pPr>
      <w:r w:rsidRPr="001C61F8">
        <w:rPr>
          <w:rStyle w:val="Refdenotaalpie"/>
        </w:rPr>
        <w:footnoteRef/>
      </w:r>
      <w:r w:rsidRPr="001C61F8">
        <w:t xml:space="preserve"> </w:t>
      </w:r>
      <w:r w:rsidRPr="001C61F8">
        <w:rPr>
          <w:bCs/>
          <w:lang w:eastAsia="es-ES"/>
        </w:rPr>
        <w:t>Bases del Plan Nacional de Desarrollo 2022 – 2026, pág. 303.</w:t>
      </w:r>
    </w:p>
  </w:footnote>
  <w:footnote w:id="131">
    <w:p w:rsidR="000A045E" w:rsidRPr="001C61F8" w:rsidRDefault="00AC66B3" w:rsidP="000A045E">
      <w:pPr>
        <w:pStyle w:val="Textonotapie"/>
        <w:jc w:val="both"/>
      </w:pPr>
      <w:r w:rsidRPr="001C61F8">
        <w:rPr>
          <w:rStyle w:val="Refdenotaalpie"/>
        </w:rPr>
        <w:footnoteRef/>
      </w:r>
      <w:r w:rsidRPr="001C61F8">
        <w:t xml:space="preserve"> Artículo 20 de la Ley orgánica 152 de 1994.</w:t>
      </w:r>
    </w:p>
  </w:footnote>
  <w:footnote w:id="132">
    <w:p w:rsidR="000A045E" w:rsidRPr="001C61F8" w:rsidRDefault="00AC66B3" w:rsidP="000A045E">
      <w:pPr>
        <w:pStyle w:val="Textonotapie"/>
        <w:jc w:val="both"/>
      </w:pPr>
      <w:r w:rsidRPr="001C61F8">
        <w:rPr>
          <w:rStyle w:val="Refdenotaalpie"/>
        </w:rPr>
        <w:footnoteRef/>
      </w:r>
      <w:r w:rsidRPr="001C61F8">
        <w:t xml:space="preserve"> Proyecto de Ley n.° 338/2023 (Cámara) y 274/2023 (Senado) publicado en la Gaceta del Congreso n.° 18 del 13 de febrero de 2023. </w:t>
      </w:r>
      <w:r w:rsidRPr="001C61F8">
        <w:rPr>
          <w:bCs/>
        </w:rPr>
        <w:t>En la ponencia para primer debate solo se encuentran los artículos relativos a la</w:t>
      </w:r>
      <w:r w:rsidRPr="001C61F8">
        <w:rPr>
          <w:bCs/>
        </w:rPr>
        <w:t xml:space="preserve">s facultades extraordinarias de que tratan los artículos 160 y 298. </w:t>
      </w:r>
    </w:p>
  </w:footnote>
  <w:footnote w:id="133">
    <w:p w:rsidR="000A045E" w:rsidRPr="001C61F8" w:rsidRDefault="00AC66B3" w:rsidP="000A045E">
      <w:pPr>
        <w:pStyle w:val="Textonotapie"/>
        <w:jc w:val="both"/>
      </w:pPr>
      <w:r w:rsidRPr="001C61F8">
        <w:rPr>
          <w:rStyle w:val="Refdenotaalpie"/>
        </w:rPr>
        <w:footnoteRef/>
      </w:r>
      <w:r w:rsidRPr="001C61F8">
        <w:t xml:space="preserve"> Gaceta del Congreso n.° 18 del 13 de febrero de 2023, pág. 46</w:t>
      </w:r>
      <w:r w:rsidRPr="001C61F8">
        <w:rPr>
          <w:bCs/>
        </w:rPr>
        <w:t>.</w:t>
      </w:r>
    </w:p>
  </w:footnote>
  <w:footnote w:id="134">
    <w:p w:rsidR="000A045E" w:rsidRPr="001C61F8" w:rsidRDefault="00AC66B3" w:rsidP="000A045E">
      <w:pPr>
        <w:pStyle w:val="Textonotapie"/>
        <w:jc w:val="both"/>
      </w:pPr>
      <w:r w:rsidRPr="001C61F8">
        <w:rPr>
          <w:rStyle w:val="Refdenotaalpie"/>
        </w:rPr>
        <w:footnoteRef/>
      </w:r>
      <w:r w:rsidRPr="001C61F8">
        <w:t xml:space="preserve"> Gaceta del Congreso n.° 173 del 17 de marzo de 2023, pág. 127</w:t>
      </w:r>
      <w:r w:rsidRPr="001C61F8">
        <w:rPr>
          <w:bCs/>
        </w:rPr>
        <w:t>.</w:t>
      </w:r>
    </w:p>
  </w:footnote>
  <w:footnote w:id="135">
    <w:p w:rsidR="000A045E" w:rsidRPr="001C61F8" w:rsidRDefault="00AC66B3" w:rsidP="000A045E">
      <w:pPr>
        <w:pStyle w:val="Textonotapie"/>
        <w:jc w:val="both"/>
      </w:pPr>
      <w:r w:rsidRPr="001C61F8">
        <w:rPr>
          <w:rStyle w:val="Refdenotaalpie"/>
        </w:rPr>
        <w:footnoteRef/>
      </w:r>
      <w:r w:rsidRPr="001C61F8">
        <w:t xml:space="preserve"> Gaceta del Congreso n.° 858 del 14 de julio de 2023, pá</w:t>
      </w:r>
      <w:r w:rsidRPr="001C61F8">
        <w:t>g. 41</w:t>
      </w:r>
      <w:r w:rsidRPr="001C61F8">
        <w:rPr>
          <w:bCs/>
        </w:rPr>
        <w:t>.</w:t>
      </w:r>
    </w:p>
  </w:footnote>
  <w:footnote w:id="136">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rPr>
          <w:bCs/>
        </w:rPr>
        <w:t>.</w:t>
      </w:r>
    </w:p>
  </w:footnote>
  <w:footnote w:id="137">
    <w:p w:rsidR="000A045E" w:rsidRPr="001C61F8" w:rsidRDefault="00AC66B3" w:rsidP="000A045E">
      <w:pPr>
        <w:pStyle w:val="Textonotapie"/>
        <w:jc w:val="both"/>
      </w:pPr>
      <w:r w:rsidRPr="001C61F8">
        <w:rPr>
          <w:rStyle w:val="Refdenotaalpie"/>
        </w:rPr>
        <w:footnoteRef/>
      </w:r>
      <w:r w:rsidRPr="001C61F8">
        <w:t xml:space="preserve"> Gaceta del Congreso n.° 180 del 19 de marzo de 2023, pág. 60</w:t>
      </w:r>
      <w:r w:rsidRPr="001C61F8">
        <w:rPr>
          <w:bCs/>
        </w:rPr>
        <w:t>. Esta referencia también se encuentra en las gacetas del Congreso n.° 181 del 19 de marzo de 2023, pág. 10.</w:t>
      </w:r>
    </w:p>
  </w:footnote>
  <w:footnote w:id="138">
    <w:p w:rsidR="000A045E" w:rsidRPr="001C61F8" w:rsidRDefault="00AC66B3" w:rsidP="000A045E">
      <w:pPr>
        <w:pStyle w:val="Textonotapie"/>
        <w:jc w:val="both"/>
      </w:pPr>
      <w:r w:rsidRPr="001C61F8">
        <w:rPr>
          <w:rStyle w:val="Refdenotaalpie"/>
        </w:rPr>
        <w:footnoteRef/>
      </w:r>
      <w:r w:rsidRPr="001C61F8">
        <w:rPr>
          <w:bCs/>
        </w:rPr>
        <w:t xml:space="preserve"> </w:t>
      </w:r>
      <w:r w:rsidRPr="001C61F8">
        <w:t>Gaceta del Congreso n.° 180 del 19 de marzo de 2023, pág. 10</w:t>
      </w:r>
      <w:r w:rsidRPr="001C61F8">
        <w:rPr>
          <w:bCs/>
        </w:rPr>
        <w:t>.</w:t>
      </w:r>
    </w:p>
  </w:footnote>
  <w:footnote w:id="139">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w:t>
      </w:r>
      <w:r w:rsidRPr="001C61F8">
        <w:rPr>
          <w:i/>
          <w:iCs/>
        </w:rPr>
        <w:t>idem</w:t>
      </w:r>
      <w:r w:rsidRPr="001C61F8">
        <w:rPr>
          <w:bCs/>
        </w:rPr>
        <w:t>.</w:t>
      </w:r>
    </w:p>
  </w:footnote>
  <w:footnote w:id="140">
    <w:p w:rsidR="000A045E" w:rsidRPr="001C61F8" w:rsidRDefault="00AC66B3" w:rsidP="000A045E">
      <w:pPr>
        <w:pStyle w:val="Textonotapie"/>
        <w:jc w:val="both"/>
      </w:pPr>
      <w:r w:rsidRPr="001C61F8">
        <w:rPr>
          <w:rStyle w:val="Refdenotaalpie"/>
        </w:rPr>
        <w:footnoteRef/>
      </w:r>
      <w:r w:rsidRPr="001C61F8">
        <w:t xml:space="preserve"> Gaceta del Congreso n.° 858 del 14 de julio de 2023, pág. 41; y n.° 858 del 14 de julio de 2023, pág. 49.</w:t>
      </w:r>
    </w:p>
  </w:footnote>
  <w:footnote w:id="141">
    <w:p w:rsidR="000A045E" w:rsidRPr="001C61F8" w:rsidRDefault="00AC66B3" w:rsidP="000A045E">
      <w:pPr>
        <w:pStyle w:val="Textonotapie"/>
        <w:jc w:val="both"/>
      </w:pPr>
      <w:r w:rsidRPr="001C61F8">
        <w:rPr>
          <w:rStyle w:val="Refdenotaalpie"/>
        </w:rPr>
        <w:footnoteRef/>
      </w:r>
      <w:r w:rsidRPr="001C61F8">
        <w:t xml:space="preserve"> Gaceta del Congreso n.° 859 del 14 de julio de 2023, pág. 48 a 51.</w:t>
      </w:r>
    </w:p>
  </w:footnote>
  <w:footnote w:id="142">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 xml:space="preserve"> También se puede ver la Gaceta del Congreso n.° 889 del 19 de j</w:t>
      </w:r>
      <w:r w:rsidRPr="001C61F8">
        <w:t>ulio de 2023, pág. 156 y 157.</w:t>
      </w:r>
    </w:p>
  </w:footnote>
  <w:footnote w:id="143">
    <w:p w:rsidR="000A045E" w:rsidRPr="001C61F8" w:rsidRDefault="00AC66B3" w:rsidP="000A045E">
      <w:pPr>
        <w:pStyle w:val="Textonotapie"/>
        <w:jc w:val="both"/>
      </w:pPr>
      <w:r w:rsidRPr="001C61F8">
        <w:rPr>
          <w:rStyle w:val="Refdenotaalpie"/>
        </w:rPr>
        <w:footnoteRef/>
      </w:r>
      <w:r w:rsidRPr="001C61F8">
        <w:t xml:space="preserve"> Gaceta del Congreso n.° 889 del 19 de julio de 2023, pág. 158.</w:t>
      </w:r>
    </w:p>
  </w:footnote>
  <w:footnote w:id="144">
    <w:p w:rsidR="000A045E" w:rsidRPr="001C61F8" w:rsidRDefault="00AC66B3" w:rsidP="000A045E">
      <w:pPr>
        <w:pStyle w:val="Textonotapie"/>
        <w:jc w:val="both"/>
      </w:pPr>
      <w:r w:rsidRPr="001C61F8">
        <w:rPr>
          <w:rStyle w:val="Refdenotaalpie"/>
        </w:rPr>
        <w:footnoteRef/>
      </w:r>
      <w:r w:rsidRPr="001C61F8">
        <w:t xml:space="preserve"> Gaceta del Congreso n.° 889 del 19 de julio de 2023, pág. 156. También se puede consultar la Gaceta del Congreso n.° 923 del 27 de julio de 2023, pág. 25.</w:t>
      </w:r>
    </w:p>
  </w:footnote>
  <w:footnote w:id="145">
    <w:p w:rsidR="000A045E" w:rsidRPr="001C61F8" w:rsidRDefault="00AC66B3" w:rsidP="000A045E">
      <w:pPr>
        <w:pStyle w:val="Textonotapie"/>
        <w:jc w:val="both"/>
      </w:pPr>
      <w:r w:rsidRPr="001C61F8">
        <w:rPr>
          <w:rStyle w:val="Refdenotaalpie"/>
        </w:rPr>
        <w:footnoteRef/>
      </w:r>
      <w:r w:rsidRPr="001C61F8">
        <w:t xml:space="preserve"> Gaceta del Congreso n.° 859 del 14 de julio de 2023, pág. 48 a 51; y Gaceta del Congreso n.° 1143 del 25 de agosto de 2023, pág. 37.</w:t>
      </w:r>
    </w:p>
  </w:footnote>
  <w:footnote w:id="146">
    <w:p w:rsidR="000A045E" w:rsidRPr="001C61F8" w:rsidRDefault="00AC66B3" w:rsidP="000A045E">
      <w:pPr>
        <w:pStyle w:val="Textonotapie"/>
        <w:jc w:val="both"/>
      </w:pPr>
      <w:r w:rsidRPr="001C61F8">
        <w:rPr>
          <w:rStyle w:val="Refdenotaalpie"/>
        </w:rPr>
        <w:footnoteRef/>
      </w:r>
      <w:r w:rsidRPr="001C61F8">
        <w:t xml:space="preserve"> Gaceta del Congreso n.° 274 del 10 de abril de 2023. </w:t>
      </w:r>
    </w:p>
  </w:footnote>
  <w:footnote w:id="147">
    <w:p w:rsidR="000A045E" w:rsidRPr="001C61F8" w:rsidRDefault="00AC66B3" w:rsidP="000A045E">
      <w:pPr>
        <w:pStyle w:val="Textonotapie"/>
        <w:jc w:val="both"/>
      </w:pPr>
      <w:r w:rsidRPr="001C61F8">
        <w:rPr>
          <w:rStyle w:val="Refdenotaalpie"/>
        </w:rPr>
        <w:footnoteRef/>
      </w:r>
      <w:r w:rsidRPr="001C61F8">
        <w:t xml:space="preserve"> Gaceta del Congreso n.° 417 del 4 de mayo de 2023.</w:t>
      </w:r>
    </w:p>
  </w:footnote>
  <w:footnote w:id="148">
    <w:p w:rsidR="000A045E" w:rsidRPr="001C61F8" w:rsidRDefault="00AC66B3" w:rsidP="000A045E">
      <w:pPr>
        <w:pStyle w:val="Textonotapie"/>
        <w:jc w:val="both"/>
      </w:pPr>
      <w:r w:rsidRPr="001C61F8">
        <w:rPr>
          <w:rStyle w:val="Refdenotaalpie"/>
        </w:rPr>
        <w:footnoteRef/>
      </w:r>
      <w:r w:rsidRPr="001C61F8">
        <w:t xml:space="preserve"> Gaceta del </w:t>
      </w:r>
      <w:r w:rsidRPr="001C61F8">
        <w:t>Congreso n.° 428 del 4 de mayo de 2023.</w:t>
      </w:r>
    </w:p>
  </w:footnote>
  <w:footnote w:id="149">
    <w:p w:rsidR="000A045E" w:rsidRPr="001C61F8" w:rsidRDefault="00AC66B3" w:rsidP="000A045E">
      <w:pPr>
        <w:pStyle w:val="Textonotapie"/>
        <w:jc w:val="both"/>
      </w:pPr>
      <w:r w:rsidRPr="001C61F8">
        <w:rPr>
          <w:rStyle w:val="Refdenotaalpie"/>
        </w:rPr>
        <w:footnoteRef/>
      </w:r>
      <w:r w:rsidRPr="001C61F8">
        <w:t xml:space="preserve"> Gacetas del Congreso n.° 855 del 14 de julio de 2023 y n.° 923 del 27 de julio de 2023. Al respecto, se debe consulta el Auto 705 de 2024 y la Gaceta del Congreso n.° 453 del 22 de abril de 2024. </w:t>
      </w:r>
    </w:p>
  </w:footnote>
  <w:footnote w:id="150">
    <w:p w:rsidR="000A045E" w:rsidRPr="001C61F8" w:rsidRDefault="00AC66B3" w:rsidP="000A045E">
      <w:pPr>
        <w:pStyle w:val="Textonotapie"/>
        <w:jc w:val="both"/>
      </w:pPr>
      <w:r w:rsidRPr="001C61F8">
        <w:rPr>
          <w:rStyle w:val="Refdenotaalpie"/>
        </w:rPr>
        <w:footnoteRef/>
      </w:r>
      <w:r w:rsidRPr="001C61F8">
        <w:t xml:space="preserve"> Para mayor info</w:t>
      </w:r>
      <w:r w:rsidRPr="001C61F8">
        <w:t xml:space="preserve">rmación sobre este programa, se puede consultar la página web </w:t>
      </w:r>
      <w:hyperlink r:id="rId4" w:history="1">
        <w:r w:rsidRPr="001C61F8">
          <w:rPr>
            <w:rStyle w:val="Hipervnculo"/>
          </w:rPr>
          <w:t>https://www.inv</w:t>
        </w:r>
        <w:r w:rsidRPr="001C61F8">
          <w:rPr>
            <w:rStyle w:val="Hipervnculo"/>
          </w:rPr>
          <w:t>ias.gov.co/index.php/sala/noticias/5200-caminos-comunitarios-de-la-paz-total-avanza-en-la-firma-de-convenios-para-el-mejoramiento-de-vias-veredales</w:t>
        </w:r>
      </w:hyperlink>
      <w:r w:rsidRPr="001C61F8">
        <w:t>.</w:t>
      </w:r>
    </w:p>
  </w:footnote>
  <w:footnote w:id="151">
    <w:p w:rsidR="000A045E" w:rsidRPr="001C61F8" w:rsidRDefault="00AC66B3" w:rsidP="000A045E">
      <w:pPr>
        <w:pStyle w:val="Textonotapie"/>
        <w:jc w:val="both"/>
      </w:pPr>
      <w:r w:rsidRPr="001C61F8">
        <w:rPr>
          <w:rStyle w:val="Refdenotaalpie"/>
        </w:rPr>
        <w:footnoteRef/>
      </w:r>
      <w:r w:rsidRPr="001C61F8">
        <w:t xml:space="preserve"> Cfr. memoria justificativa del proyecto de decreto ley, «[p]or el cual se crea el Instituto Nacional de V</w:t>
      </w:r>
      <w:r w:rsidRPr="001C61F8">
        <w:t>ías Regionales - INVIR, se determina su estructura, funciones y se dictan otras disposiciones», pág. 15 a 20.</w:t>
      </w:r>
    </w:p>
  </w:footnote>
  <w:footnote w:id="152">
    <w:p w:rsidR="000A045E" w:rsidRPr="001C61F8" w:rsidRDefault="00AC66B3" w:rsidP="000A045E">
      <w:pPr>
        <w:pStyle w:val="Textonotapie"/>
        <w:jc w:val="both"/>
      </w:pPr>
      <w:r w:rsidRPr="001C61F8">
        <w:rPr>
          <w:rStyle w:val="Refdenotaalpie"/>
        </w:rPr>
        <w:footnoteRef/>
      </w:r>
      <w:r w:rsidRPr="001C61F8">
        <w:t xml:space="preserve"> Artículo 100 de la Ley 2294 de 2023: </w:t>
      </w:r>
      <w:bookmarkStart w:id="17" w:name="100"/>
      <w:r w:rsidRPr="001C61F8">
        <w:t>«Participación en contratación y compras públicas mediante asociaciones público populares.</w:t>
      </w:r>
      <w:bookmarkEnd w:id="17"/>
      <w:r w:rsidRPr="001C61F8">
        <w:t xml:space="preserve"> Las Entidades Es</w:t>
      </w:r>
      <w:r w:rsidRPr="001C61F8">
        <w:t>tatales podrán celebrar directamente contratos hasta por la mínima cuantía con personas naturales o entidades sin ánimo de lucro que hagan parte de la economía popular y comunitaria. Estos contratos se denominarán Asociaciones Público Populares y podrán ce</w:t>
      </w:r>
      <w:r w:rsidRPr="001C61F8">
        <w:t>lebrarse para la ejecución de obras, o la adquisición de bienes y servicios relacionados con infraestructura social, vivienda rural, vías terciarias y caminos vecinales, cultura, infraestructura productiva local, proyectos de eficiencia energética, producc</w:t>
      </w:r>
      <w:r w:rsidRPr="001C61F8">
        <w:t>ión de alimentos, suministro de bienes y servicios, gestión comunitaria del agua, saneamiento básico, economía del cuidado, fortalecimiento ambiental y comunitario y adquisición de productos de origen o destinación agropecuarios. ||</w:t>
      </w:r>
      <w:bookmarkStart w:id="18" w:name="TÍTULO_I"/>
      <w:r w:rsidRPr="001C61F8">
        <w:t xml:space="preserve"> El Gobierno Nacional, a</w:t>
      </w:r>
      <w:r w:rsidRPr="001C61F8">
        <w:t xml:space="preserve"> través del Departamento Nacional de Planeación, reglamentará el presente artículo. || Parágrafo 1. La entidad contratante apoyará y acompañará el trámite de la facturación electrónica mediante los canales gratuitos habilitados por la Dirección de Impuesto</w:t>
      </w:r>
      <w:r w:rsidRPr="001C61F8">
        <w:t>s y Aduanas Nacionales (DIAN), así como los trámites de la expedición, seguimiento y control en caso de exigir registros y certificados fitosanitarios. Con el propósito de facilitar el desarrollo de las unidades y actores mencionados en este artículo, la D</w:t>
      </w:r>
      <w:r w:rsidRPr="001C61F8">
        <w:t>IAN dispondrá de una clasificación y un mecanismo gratuito de fácil acceso y comprensión a la factura electrónica. ||</w:t>
      </w:r>
      <w:bookmarkEnd w:id="18"/>
      <w:r w:rsidRPr="001C61F8">
        <w:t xml:space="preserve"> Parágrafo 2. En situaciones de emergencia y desastres, las entidades públicas podrán comprar de manera directa productos agropecuarios de </w:t>
      </w:r>
      <w:r w:rsidRPr="001C61F8">
        <w:t>pequeños productores agrícolas y campesinos que hayan sido afectados y donarlos al Fondo Nacional de Gestión del Riesgo de Desastres».</w:t>
      </w:r>
    </w:p>
  </w:footnote>
  <w:footnote w:id="153">
    <w:p w:rsidR="000A045E" w:rsidRPr="001C61F8" w:rsidRDefault="00AC66B3" w:rsidP="000A045E">
      <w:pPr>
        <w:pStyle w:val="Textonotapie"/>
        <w:jc w:val="both"/>
      </w:pPr>
      <w:r w:rsidRPr="001C61F8">
        <w:rPr>
          <w:rStyle w:val="Refdenotaalpie"/>
        </w:rPr>
        <w:footnoteRef/>
      </w:r>
      <w:r w:rsidRPr="001C61F8">
        <w:t xml:space="preserve"> Artículo 101 de la Ley 2294 de 2023: </w:t>
      </w:r>
      <w:bookmarkStart w:id="19" w:name="101"/>
      <w:r w:rsidRPr="001C61F8">
        <w:t>«Asociaciones de iniciativa público popular.</w:t>
      </w:r>
      <w:bookmarkEnd w:id="19"/>
      <w:r w:rsidRPr="001C61F8">
        <w:t xml:space="preserve"> Las Asociaciones de Iniciativa Públic</w:t>
      </w:r>
      <w:r w:rsidRPr="001C61F8">
        <w:t>o Popular, constituyen una modalidad de asociación que se regirá exclusivamente por lo previsto en el presente artículo y su reglamentación. Estas asociaciones son un instrumento contractual de vinculación entre entidades públicas y los diferentes instrume</w:t>
      </w:r>
      <w:r w:rsidRPr="001C61F8">
        <w:t>ntos asociativos de origen comunitario tales como las unidades de la economía popular, organismos de acción comunal, social o comunitaria u otras formas de organización social, grupos y/o comunidades étnicas, negras, afrocolombianas, raizales y palenqueras</w:t>
      </w:r>
      <w:r w:rsidRPr="001C61F8">
        <w:t>, mujeres y víctimas, para el desarrollo de proyectos de infraestructura vial, educativa, medio ambiente, agrícola, pesca y pecuaria y de servicios públicos. || En los proyectos que sean desarrollados en los términos del presente artículo, los instrumentos</w:t>
      </w:r>
      <w:r w:rsidRPr="001C61F8">
        <w:t xml:space="preserve"> asociativos contratados, deberán financiar, parcial o totalmente, el desarrollo de los respectivos proyectos de infraestructura mediante el aporte de recursos o con aportes en especie. || Para el desarrollo de las asociaciones de que trata el presente art</w:t>
      </w:r>
      <w:r w:rsidRPr="001C61F8">
        <w:t>ículo se aplicarán las siguientes reglas, sin perjuicio de aquellas establecidas en la reglamentación expedida por el Gobierno Nacional: || 1. Mediante las asociaciones de las que trata el presente artículo, se podrá desarrollar el diseño, construcción, re</w:t>
      </w:r>
      <w:r w:rsidRPr="001C61F8">
        <w:t xml:space="preserve">novación, reparación, mejoramiento, equipamiento, gestión, operación y mantenimiento de proyectos de infraestructura y demás actividades técnicas necesarias para el cumplimiento del contrato en el respectivo territorio de la respectiva comunidad. || 2. El </w:t>
      </w:r>
      <w:r w:rsidRPr="001C61F8">
        <w:t>valor de las inversiones no podrá ser superior a seis mil salarios mínimos legales mensuales vigentes (6.000 smlmv). || 3. El aporte que realice la entidad pública no podrá ser superior al cincuenta por ciento (50%) del valor de la inversión. || 4. La sele</w:t>
      </w:r>
      <w:r w:rsidRPr="001C61F8">
        <w:t>cción del adjudicatario del contrato se realizará mediante la modalidad de selección abreviada de la que trata el artículo 2 de la Ley 1150 de 2007, respetando los principios de contratación estatal de los que trata la Ley 80 de 1993. || 5. El interesado d</w:t>
      </w:r>
      <w:r w:rsidRPr="001C61F8">
        <w:t>el que trata el presente artículo, deberá cumplir con la capacidad, experiencia e idoneidad de la que trata la normatividad vigente y acreditar los requisitos para la celebración previstos en la norma vigente. || 6. La asunción de compromisos presupuestale</w:t>
      </w:r>
      <w:r w:rsidRPr="001C61F8">
        <w:t xml:space="preserve">s por partes de las entidades públicas se regirá por las normas presupuestales aplicables, según corresponda. || 7. El contrato mediante el cual se materializa la asociación, deberá identificar en forma clara los riesgos asignados a cada una de las partes </w:t>
      </w:r>
      <w:r w:rsidRPr="001C61F8">
        <w:t>con su correspondiente valoración, de conformidad con los lineamientos estipulados por la Dirección General de Crédito Público y Tesoro Nacional del Ministerio de Hacienda y Crédito Público o quien haga sus veces en el orden territorial. || 8. Las autorida</w:t>
      </w:r>
      <w:r w:rsidRPr="001C61F8">
        <w:t xml:space="preserve">des de vigilancia y control ejercerán todas las facultades legales sobre los recursos que destinen las entidades públicas. || En un término de seis (6) meses, el Departamento Nacional de Planeación con el apoyo del Ministerio de Hacienda y Crédito Público </w:t>
      </w:r>
      <w:r w:rsidRPr="001C61F8">
        <w:t>y la Agencia Nacional de Contratación Pública Colombia Compra Eficiente, reglamentará los requisitos y condiciones que deberán cumplirse para la celebración y ejecución de dichas Asociaciones, la duración de los contratos, las condiciones a las cuales se e</w:t>
      </w:r>
      <w:r w:rsidRPr="001C61F8">
        <w:t>ncuentra sujeto el derecho a la remuneración, entre otros».</w:t>
      </w:r>
    </w:p>
  </w:footnote>
  <w:footnote w:id="154">
    <w:p w:rsidR="000A045E" w:rsidRPr="001C61F8" w:rsidRDefault="00AC66B3" w:rsidP="000A045E">
      <w:pPr>
        <w:pStyle w:val="Textonotapie"/>
        <w:jc w:val="both"/>
      </w:pPr>
      <w:r w:rsidRPr="001C61F8">
        <w:rPr>
          <w:rStyle w:val="Refdenotaalpie"/>
        </w:rPr>
        <w:footnoteRef/>
      </w:r>
      <w:r w:rsidRPr="001C61F8">
        <w:t xml:space="preserve"> Artículo 239 de la Ley 2294 de 2023: </w:t>
      </w:r>
      <w:bookmarkStart w:id="20" w:name="239"/>
      <w:r w:rsidRPr="001C61F8">
        <w:t>«Proyectos de asociaciones público-privadas para el desarrollo social, económico, productivo y sostenible del país.</w:t>
      </w:r>
      <w:bookmarkEnd w:id="20"/>
      <w:r w:rsidRPr="001C61F8">
        <w:t> Se podrán desarrollar proyectos bajo esqu</w:t>
      </w:r>
      <w:r w:rsidRPr="001C61F8">
        <w:t xml:space="preserve">emas de Asociaciones Público- Privadas (APP), enmarcados dentro de la Ley 1508 de 2012, que tengan por </w:t>
      </w:r>
      <w:bookmarkStart w:id="21" w:name="_Hlk167370663"/>
      <w:r w:rsidRPr="001C61F8">
        <w:t xml:space="preserve">objeto el desarrollo de infraestructura económica, productiva, social y de protección ambiental del país. </w:t>
      </w:r>
      <w:bookmarkEnd w:id="21"/>
      <w:r w:rsidRPr="001C61F8">
        <w:t>Asimismo, se podrán desarrollar proyecto bajo e</w:t>
      </w:r>
      <w:r w:rsidRPr="001C61F8">
        <w:t>ste esquema, que propendan por el desarrollo tecnológico y educativo en el país, la mejora en las condiciones de la prestación de los servicios de salud, la reducción de la pérdida de la biodiversidad y la lucha contra el cambio climático. El Gobierno Naci</w:t>
      </w:r>
      <w:r w:rsidRPr="001C61F8">
        <w:t>onal reglamentará la materia.</w:t>
      </w:r>
    </w:p>
  </w:footnote>
  <w:footnote w:id="155">
    <w:p w:rsidR="000A045E" w:rsidRPr="001C61F8" w:rsidRDefault="00AC66B3" w:rsidP="000A045E">
      <w:pPr>
        <w:pStyle w:val="Textonotapie"/>
        <w:jc w:val="both"/>
      </w:pPr>
      <w:r w:rsidRPr="001C61F8">
        <w:rPr>
          <w:rStyle w:val="Refdenotaalpie"/>
        </w:rPr>
        <w:footnoteRef/>
      </w:r>
      <w:r w:rsidRPr="001C61F8">
        <w:t xml:space="preserve"> Artículo 100 de la Ley 2294 de 2023.</w:t>
      </w:r>
    </w:p>
  </w:footnote>
  <w:footnote w:id="156">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57">
    <w:p w:rsidR="000A045E" w:rsidRPr="001C61F8" w:rsidRDefault="00AC66B3" w:rsidP="000A045E">
      <w:pPr>
        <w:pStyle w:val="Textonotapie"/>
        <w:jc w:val="both"/>
      </w:pPr>
      <w:r w:rsidRPr="001C61F8">
        <w:rPr>
          <w:rStyle w:val="Refdenotaalpie"/>
        </w:rPr>
        <w:footnoteRef/>
      </w:r>
      <w:r w:rsidRPr="001C61F8">
        <w:t xml:space="preserve"> Gaceta del Congreso n.° 859 del 14 de julio de 2023, pág. 12: «Toma la palabra el senador Juan Felipe Lemos Uribe: Muchas gracias, señora presidenta. Este artículo, apreciados senadores y representantes, generó una profunda y seria discusión al interior d</w:t>
      </w:r>
      <w:r w:rsidRPr="001C61F8">
        <w:t>e la comisión de ponentes y coordinadores. En principio el artículo quería que el Congreso de la República estableciera una modalidad de contratación directa sin limitación de cuantía, para contratar bienes, obras y servicios, con lo que el Gobierno ha den</w:t>
      </w:r>
      <w:r w:rsidRPr="001C61F8">
        <w:t xml:space="preserve">ominado asociaciones público-populares. Las comisiones de ponentes y coordinadores, tomaron la decisión responsable de limitar esa solicitud general a la mínima cuantía. Para quienes no conozcan qué significa la mínima cuantía, el rango de contratación en </w:t>
      </w:r>
      <w:r w:rsidRPr="001C61F8">
        <w:t>los municipios de presupuestos inferiores, es hasta treinta y dos millones de pesos ($32.000.000), y en los municipios y entidades del orden nacional que tienen presupuestos más altos, es hasta ciento seis millones de pesos ($106.000.000); es decir, este a</w:t>
      </w:r>
      <w:r w:rsidRPr="001C61F8">
        <w:t>rtículo lo que hace es limitar esa solicitud que tenía el Gobierno nacional, allá algún sector planteó que se le diera el mismo tratamiento que se le da hoy a las juntas de acción comunal, y que se abriera la posibilidad a menor cuantía, la menor cuantía v</w:t>
      </w:r>
      <w:r w:rsidRPr="001C61F8">
        <w:t>a de doscientos noventa y cuatro (294) a mil ciento sesenta millones de pesos ($1.160.000.000). Las mayorías de coordinadores y ponentes decidimos que aprobábamos este artículo siempre y cuando quedara en la mínima cuantía; es decir, entre el rango de trei</w:t>
      </w:r>
      <w:r w:rsidRPr="001C61F8">
        <w:t>nta y dos millones de pesos ($32.000.000) y ciento seis millones de pesos ($106.000.000)</w:t>
      </w:r>
      <w:r w:rsidRPr="001C61F8">
        <w:rPr>
          <w:bCs/>
        </w:rPr>
        <w:t>»</w:t>
      </w:r>
      <w:r w:rsidRPr="001C61F8">
        <w:t>. También se puede consultar la Gaceta del Congreso n.° 889 del 19 de julio de 2023, pág. 157 y 158; Gaceta del Congreso n.° 1143 del 25 de agosto de 2023, pág. 37 a 4</w:t>
      </w:r>
      <w:r w:rsidRPr="001C61F8">
        <w:t>4.</w:t>
      </w:r>
    </w:p>
  </w:footnote>
  <w:footnote w:id="158">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 xml:space="preserve">. Gaceta del Congreso n.° 859 del 14 de julio de 2023, pág. 48 a 51; Gaceta del Congreso n.° 889 del 19 de julio de 2023, pág. 156 a 158, y Gaceta del Congreso n.° 923 del 27 de julio de 2023, pág. 24 y 25. </w:t>
      </w:r>
    </w:p>
  </w:footnote>
  <w:footnote w:id="159">
    <w:p w:rsidR="000A045E" w:rsidRPr="001C61F8" w:rsidRDefault="00AC66B3" w:rsidP="000A045E">
      <w:pPr>
        <w:pStyle w:val="Textonotapie"/>
        <w:jc w:val="both"/>
      </w:pPr>
      <w:r w:rsidRPr="001C61F8">
        <w:rPr>
          <w:rStyle w:val="Refdenotaalpie"/>
        </w:rPr>
        <w:footnoteRef/>
      </w:r>
      <w:r w:rsidRPr="001C61F8">
        <w:t xml:space="preserve"> Artículo 100 de la Ley 2294 de 2023</w:t>
      </w:r>
      <w:r w:rsidRPr="001C61F8">
        <w:t>.</w:t>
      </w:r>
    </w:p>
  </w:footnote>
  <w:footnote w:id="160">
    <w:p w:rsidR="000A045E" w:rsidRPr="001C61F8" w:rsidRDefault="00AC66B3" w:rsidP="000A045E">
      <w:pPr>
        <w:pStyle w:val="Textonotapie"/>
        <w:jc w:val="both"/>
      </w:pPr>
      <w:r w:rsidRPr="001C61F8">
        <w:rPr>
          <w:rStyle w:val="Refdenotaalpie"/>
        </w:rPr>
        <w:footnoteRef/>
      </w:r>
      <w:r w:rsidRPr="001C61F8">
        <w:t xml:space="preserve"> Documento </w:t>
      </w:r>
      <w:r w:rsidRPr="001C61F8">
        <w:rPr>
          <w:bCs/>
        </w:rPr>
        <w:t>Bases del Plan Nacional de Desarrollo 2022 – 2026: «La economía popular se refiere a los oficios y ocupaciones mercantiles (producción, distribución y comercialización de bienes y servicios) y no mercantiles (domésticas o comunitarias) desarr</w:t>
      </w:r>
      <w:r w:rsidRPr="001C61F8">
        <w:rPr>
          <w:bCs/>
        </w:rPr>
        <w:t>olladas por unidades económicas de baja escala (personales, familiares, micronegocios o microempresas), en cualquier sector económico. Los actores de la EP pueden realizar sus actividades de manera individual, en unidades económicas, u organizados de maner</w:t>
      </w:r>
      <w:r w:rsidRPr="001C61F8">
        <w:rPr>
          <w:bCs/>
        </w:rPr>
        <w:t>a asociativa. El impulso a la economía popular parte de una comprensión de sus dinámicas intrínsecas. Estas actividades producen</w:t>
      </w:r>
      <w:r w:rsidRPr="001C61F8">
        <w:rPr>
          <w:rFonts w:eastAsiaTheme="minorHAnsi"/>
          <w:lang w:eastAsia="en-US"/>
        </w:rPr>
        <w:t xml:space="preserve"> </w:t>
      </w:r>
      <w:r w:rsidRPr="001C61F8">
        <w:rPr>
          <w:bCs/>
        </w:rPr>
        <w:t>valor social y económico significativo, y una vez entendido su funcionamiento y lógica de acción, se implementarán mecanismos q</w:t>
      </w:r>
      <w:r w:rsidRPr="001C61F8">
        <w:rPr>
          <w:bCs/>
        </w:rPr>
        <w:t>ue contribuyan a su crecimiento y productividad» [pág. 117 y 118].</w:t>
      </w:r>
    </w:p>
  </w:footnote>
  <w:footnote w:id="161">
    <w:p w:rsidR="000A045E" w:rsidRPr="001C61F8" w:rsidRDefault="00AC66B3" w:rsidP="000A045E">
      <w:pPr>
        <w:pStyle w:val="Textonotapie"/>
        <w:jc w:val="both"/>
      </w:pPr>
      <w:r w:rsidRPr="001C61F8">
        <w:rPr>
          <w:rStyle w:val="Refdenotaalpie"/>
        </w:rPr>
        <w:footnoteRef/>
      </w:r>
      <w:r w:rsidRPr="001C61F8">
        <w:t xml:space="preserve"> Artículo 101 de la Ley 2294 de 2023.</w:t>
      </w:r>
    </w:p>
  </w:footnote>
  <w:footnote w:id="162">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63">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64">
    <w:p w:rsidR="000A045E" w:rsidRPr="001C61F8" w:rsidRDefault="00AC66B3" w:rsidP="000A045E">
      <w:pPr>
        <w:pStyle w:val="Textonotapie"/>
        <w:jc w:val="both"/>
      </w:pPr>
      <w:r w:rsidRPr="001C61F8">
        <w:rPr>
          <w:rStyle w:val="Refdenotaalpie"/>
        </w:rPr>
        <w:footnoteRef/>
      </w:r>
      <w:r w:rsidRPr="001C61F8">
        <w:t xml:space="preserve"> Artículo 3 de la Ley 1508 de 2012. </w:t>
      </w:r>
    </w:p>
  </w:footnote>
  <w:footnote w:id="165">
    <w:p w:rsidR="000A045E" w:rsidRPr="001C61F8" w:rsidRDefault="00AC66B3" w:rsidP="000A045E">
      <w:pPr>
        <w:pStyle w:val="Textonotapie"/>
        <w:jc w:val="both"/>
      </w:pPr>
      <w:r w:rsidRPr="001C61F8">
        <w:rPr>
          <w:rStyle w:val="Refdenotaalpie"/>
        </w:rPr>
        <w:footnoteRef/>
      </w:r>
      <w:r w:rsidRPr="001C61F8">
        <w:t xml:space="preserve"> Artículo 239 de la Ley 2294 de 2023.</w:t>
      </w:r>
    </w:p>
  </w:footnote>
  <w:footnote w:id="166">
    <w:p w:rsidR="000A045E" w:rsidRPr="001C61F8" w:rsidRDefault="00AC66B3" w:rsidP="000A045E">
      <w:pPr>
        <w:pStyle w:val="Textonotapie"/>
        <w:jc w:val="both"/>
      </w:pPr>
      <w:r w:rsidRPr="001C61F8">
        <w:rPr>
          <w:rStyle w:val="Refdenotaalpie"/>
        </w:rPr>
        <w:footnoteRef/>
      </w:r>
      <w:r w:rsidRPr="001C61F8">
        <w:t xml:space="preserve"> Pág. 28 del escrito. </w:t>
      </w:r>
    </w:p>
  </w:footnote>
  <w:footnote w:id="167">
    <w:p w:rsidR="000A045E" w:rsidRPr="001C61F8" w:rsidRDefault="00AC66B3" w:rsidP="000A045E">
      <w:pPr>
        <w:pStyle w:val="Textonotapie"/>
        <w:jc w:val="both"/>
      </w:pPr>
      <w:r w:rsidRPr="001C61F8">
        <w:rPr>
          <w:rStyle w:val="Refdenotaalpie"/>
        </w:rPr>
        <w:footnoteRef/>
      </w:r>
      <w:r w:rsidRPr="001C61F8">
        <w:t xml:space="preserve"> Documento disponible en el </w:t>
      </w:r>
      <w:r w:rsidRPr="001C61F8">
        <w:t xml:space="preserve">siguiente enlace: </w:t>
      </w:r>
      <w:hyperlink r:id="rId5" w:history="1">
        <w:r w:rsidRPr="001C61F8">
          <w:rPr>
            <w:rStyle w:val="Hipervnculo"/>
          </w:rPr>
          <w:t>https://www.invias.gov.co/index.php/archivo-y-documentos/documentos-tecnicos</w:t>
        </w:r>
        <w:r w:rsidRPr="001C61F8">
          <w:rPr>
            <w:rStyle w:val="Hipervnculo"/>
          </w:rPr>
          <w:t>/14788-cartilla-de-obras-menores-de-drenaje-y-estructuras-viales/file</w:t>
        </w:r>
      </w:hyperlink>
      <w:r w:rsidRPr="001C61F8">
        <w:t>.</w:t>
      </w:r>
    </w:p>
  </w:footnote>
  <w:footnote w:id="168">
    <w:p w:rsidR="000A045E" w:rsidRPr="001C61F8" w:rsidRDefault="00AC66B3" w:rsidP="000A045E">
      <w:pPr>
        <w:pStyle w:val="Textonotapie"/>
        <w:jc w:val="both"/>
      </w:pPr>
      <w:r w:rsidRPr="001C61F8">
        <w:rPr>
          <w:rStyle w:val="Refdenotaalpie"/>
        </w:rPr>
        <w:footnoteRef/>
      </w:r>
      <w:r w:rsidRPr="001C61F8">
        <w:t xml:space="preserve"> Pág. 28 del escrito.</w:t>
      </w:r>
    </w:p>
  </w:footnote>
  <w:footnote w:id="169">
    <w:p w:rsidR="000A045E" w:rsidRPr="001C61F8" w:rsidRDefault="00AC66B3" w:rsidP="000A045E">
      <w:pPr>
        <w:pStyle w:val="Textonotapie"/>
        <w:jc w:val="both"/>
      </w:pPr>
      <w:r w:rsidRPr="001C61F8">
        <w:rPr>
          <w:rStyle w:val="Refdenotaalpie"/>
        </w:rPr>
        <w:footnoteRef/>
      </w:r>
      <w:r w:rsidRPr="001C61F8">
        <w:t xml:space="preserve"> Artículo 63 de la Ley 2166 de 2021, Ley 136 de 1994 y Decreto 142 de 2023.</w:t>
      </w:r>
    </w:p>
  </w:footnote>
  <w:footnote w:id="170">
    <w:p w:rsidR="000A045E" w:rsidRPr="001C61F8" w:rsidRDefault="00AC66B3" w:rsidP="000A045E">
      <w:pPr>
        <w:pStyle w:val="Textonotapie"/>
        <w:jc w:val="both"/>
      </w:pPr>
      <w:r w:rsidRPr="001C61F8">
        <w:rPr>
          <w:rStyle w:val="Refdenotaalpie"/>
        </w:rPr>
        <w:footnoteRef/>
      </w:r>
      <w:r w:rsidRPr="001C61F8">
        <w:t xml:space="preserve"> </w:t>
      </w:r>
      <w:r w:rsidRPr="001C61F8">
        <w:rPr>
          <w:i/>
          <w:iCs/>
        </w:rPr>
        <w:t>Ibidem</w:t>
      </w:r>
      <w:r w:rsidRPr="001C61F8">
        <w:t>.</w:t>
      </w:r>
    </w:p>
  </w:footnote>
  <w:footnote w:id="171">
    <w:p w:rsidR="000A045E" w:rsidRPr="001C61F8" w:rsidRDefault="00AC66B3" w:rsidP="000A045E">
      <w:pPr>
        <w:pStyle w:val="Textonotapie"/>
        <w:jc w:val="both"/>
      </w:pPr>
      <w:r w:rsidRPr="001C61F8">
        <w:rPr>
          <w:rStyle w:val="Refdenotaalpie"/>
        </w:rPr>
        <w:footnoteRef/>
      </w:r>
      <w:r w:rsidRPr="001C61F8">
        <w:t xml:space="preserve"> Pág. 27 del escrito.</w:t>
      </w:r>
    </w:p>
  </w:footnote>
  <w:footnote w:id="172">
    <w:p w:rsidR="000A045E" w:rsidRPr="001C61F8" w:rsidRDefault="00AC66B3" w:rsidP="000A045E">
      <w:pPr>
        <w:pStyle w:val="Textonotapie"/>
        <w:jc w:val="both"/>
      </w:pPr>
      <w:r w:rsidRPr="001C61F8">
        <w:rPr>
          <w:rStyle w:val="Refdenotaalpie"/>
        </w:rPr>
        <w:footnoteRef/>
      </w:r>
      <w:r w:rsidRPr="001C61F8">
        <w:t xml:space="preserve"> Pág. 28 del escrito de intervención del Ministerio</w:t>
      </w:r>
      <w:r w:rsidRPr="001C61F8">
        <w:t xml:space="preserve"> de Transporte.</w:t>
      </w:r>
    </w:p>
  </w:footnote>
  <w:footnote w:id="173">
    <w:p w:rsidR="000A045E" w:rsidRPr="001C61F8" w:rsidRDefault="00AC66B3" w:rsidP="000A045E">
      <w:pPr>
        <w:pStyle w:val="Textonotapie"/>
        <w:jc w:val="both"/>
      </w:pPr>
      <w:r w:rsidRPr="001C61F8">
        <w:rPr>
          <w:rStyle w:val="Refdenotaalpie"/>
        </w:rPr>
        <w:footnoteRef/>
      </w:r>
      <w:r w:rsidRPr="001C61F8">
        <w:t xml:space="preserve"> Cfr. Sentencia C-1437 de 2000:</w:t>
      </w:r>
      <w:r w:rsidRPr="001C61F8">
        <w:rPr>
          <w:shd w:val="clear" w:color="auto" w:fill="FFFFFF"/>
        </w:rPr>
        <w:t xml:space="preserve"> </w:t>
      </w:r>
      <w:r w:rsidRPr="001C61F8">
        <w:t xml:space="preserve">«la atribución de señalar la estructura de la administración nacional es privativa del Legislador, y también lo es </w:t>
      </w:r>
      <w:r w:rsidRPr="001C61F8">
        <w:rPr>
          <w:bCs/>
        </w:rPr>
        <w:t>—</w:t>
      </w:r>
      <w:r w:rsidRPr="001C61F8">
        <w:t xml:space="preserve">por supuesto— la de establecer cómo está compuesto cada sector administrativo y la de </w:t>
      </w:r>
      <w:r w:rsidRPr="001C61F8">
        <w:t>indicar el grado de relación —vinculación o adscripción— existente entre cierta entidad o determinado organismo y el ministerio o departamento administrativo que encabeza el sector correspondiente».</w:t>
      </w:r>
    </w:p>
  </w:footnote>
  <w:footnote w:id="174">
    <w:p w:rsidR="000A045E" w:rsidRPr="001C61F8" w:rsidRDefault="00AC66B3" w:rsidP="000A045E">
      <w:pPr>
        <w:pStyle w:val="Textonotapie"/>
        <w:jc w:val="both"/>
      </w:pPr>
      <w:r w:rsidRPr="001C61F8">
        <w:rPr>
          <w:rStyle w:val="Refdenotaalpie"/>
        </w:rPr>
        <w:footnoteRef/>
      </w:r>
      <w:r w:rsidRPr="001C61F8">
        <w:t xml:space="preserve"> Parágrafo del artículo 50 de la Ley 489 de 1998.</w:t>
      </w:r>
    </w:p>
  </w:footnote>
  <w:footnote w:id="175">
    <w:p w:rsidR="000A045E" w:rsidRPr="001C61F8" w:rsidRDefault="00AC66B3" w:rsidP="000A045E">
      <w:pPr>
        <w:pStyle w:val="Textonotapie"/>
        <w:jc w:val="both"/>
      </w:pPr>
      <w:r w:rsidRPr="001C61F8">
        <w:rPr>
          <w:rStyle w:val="Refdenotaalpie"/>
        </w:rPr>
        <w:footnoteRef/>
      </w:r>
      <w:r w:rsidRPr="001C61F8">
        <w:t xml:space="preserve"> Memo</w:t>
      </w:r>
      <w:r w:rsidRPr="001C61F8">
        <w:t xml:space="preserve">ria justificativa del proyecto de decreto ley, </w:t>
      </w:r>
      <w:bookmarkStart w:id="24" w:name="_Hlk163488029"/>
      <w:r w:rsidRPr="001C61F8">
        <w:t>«</w:t>
      </w:r>
      <w:bookmarkEnd w:id="24"/>
      <w:r w:rsidRPr="001C61F8">
        <w:t>[p]or el cual se crea el Instituto Nacional de Vías Regionales - INVIR, se determina su estructura, funciones y se dictan otras disposiciones», pág. 13 y 14: «En consecuencia, a la luz de las necesidades prop</w:t>
      </w:r>
      <w:r w:rsidRPr="001C61F8">
        <w:t xml:space="preserve">ias derivadas del mandato legal dado en el artículo 368 de la Ley 2294 de 2023, la entidad que se crea tendrá la naturaleza jurídica de “establecimiento público”, considerando los siguientes aspectos: || </w:t>
      </w:r>
      <w:r w:rsidRPr="001C61F8">
        <w:rPr>
          <w:u w:val="single"/>
        </w:rPr>
        <w:t>Definición legal y constitucional</w:t>
      </w:r>
      <w:r w:rsidRPr="001C61F8">
        <w:t>: este tipo de enti</w:t>
      </w:r>
      <w:r w:rsidRPr="001C61F8">
        <w:t>dad se encuentra prevista en el ordenamiento jurídico para atender servicios públicos de mayor cobertura. Con la creación de la entidad se cumple la condición de adscripción al Ministerio de Transporte, tal y como lo determina la Ley del Plan Nacional de D</w:t>
      </w:r>
      <w:r w:rsidRPr="001C61F8">
        <w:t xml:space="preserve">esarrollo. || </w:t>
      </w:r>
      <w:r w:rsidRPr="001C61F8">
        <w:rPr>
          <w:u w:val="single"/>
        </w:rPr>
        <w:t>Características definidas por mandato legal</w:t>
      </w:r>
      <w:r w:rsidRPr="001C61F8">
        <w:t xml:space="preserve">: el establecimiento público se orienta por un régimen de derecho público (presupuestal, prestacional, de control fiscal, control disciplinario y control interno, entre otros). || </w:t>
      </w:r>
      <w:r w:rsidRPr="001C61F8">
        <w:rPr>
          <w:u w:val="single"/>
        </w:rPr>
        <w:t>Régimen corporativo</w:t>
      </w:r>
      <w:r w:rsidRPr="001C61F8">
        <w:rPr>
          <w:u w:val="single"/>
        </w:rPr>
        <w:t xml:space="preserve"> y de dirección</w:t>
      </w:r>
      <w:r w:rsidRPr="001C61F8">
        <w:t xml:space="preserve">: la dirección y administración del establecimiento publico estará a cargo de un consejo directivo y de un director general. || </w:t>
      </w:r>
      <w:r w:rsidRPr="001C61F8">
        <w:rPr>
          <w:u w:val="single"/>
        </w:rPr>
        <w:t>Descentralización y desconcentración de competencias y funciones de participación de las comunidades:</w:t>
      </w:r>
      <w:r w:rsidRPr="001C61F8">
        <w:t xml:space="preserve"> La entidad </w:t>
      </w:r>
      <w:r w:rsidRPr="001C61F8">
        <w:t xml:space="preserve">por crear tendrá cobertura nacional y llegada a todos los territorios a lo largo y ancho del país y, por tanto, tendrá una real vocación descentralizada en el marco de una perspectiva territorial global, […]. || </w:t>
      </w:r>
      <w:r w:rsidRPr="001C61F8">
        <w:rPr>
          <w:u w:val="single"/>
        </w:rPr>
        <w:t>Situaciones administrativas</w:t>
      </w:r>
      <w:r w:rsidRPr="001C61F8">
        <w:t>: considerando qu</w:t>
      </w:r>
      <w:r w:rsidRPr="001C61F8">
        <w:t>e el mismo mandato legal impone la obligación de trasladar las funciones que actualmente desempeñan en otras entidades del orden nacional, relacionadas con la intervención de infraestructura regional, su materialización implicará la transferencia de empleo</w:t>
      </w:r>
      <w:r w:rsidRPr="001C61F8">
        <w:t xml:space="preserve">s y el personal que actualmente existen principalmente en el INVÍAS para la atención de las funciones que desarrolla. […] || </w:t>
      </w:r>
      <w:r w:rsidRPr="001C61F8">
        <w:rPr>
          <w:u w:val="single"/>
        </w:rPr>
        <w:t>Régimen de contratación</w:t>
      </w:r>
      <w:r w:rsidRPr="001C61F8">
        <w:t>: el régimen contractual aplicable a los contratos misionales del instituto se desarrollará bajo lo definido</w:t>
      </w:r>
      <w:r w:rsidRPr="001C61F8">
        <w:t xml:space="preserve"> en el Estatuto General de Contratación de la Administración Pública o la norma que lo sustituya, modifique o adicione, y de conformidad con el manual de contratación que el Consejo Directivo adopte para tal fin. || […]» [subraya del texto original]. </w:t>
      </w:r>
    </w:p>
  </w:footnote>
  <w:footnote w:id="176">
    <w:p w:rsidR="000A045E" w:rsidRPr="001C61F8" w:rsidRDefault="00AC66B3" w:rsidP="000A045E">
      <w:pPr>
        <w:pStyle w:val="Textonotapie"/>
        <w:jc w:val="both"/>
      </w:pPr>
      <w:r w:rsidRPr="001C61F8">
        <w:rPr>
          <w:rStyle w:val="Refdenotaalpie"/>
        </w:rPr>
        <w:footnoteRef/>
      </w:r>
      <w:r w:rsidRPr="001C61F8">
        <w:t xml:space="preserve"> Ar</w:t>
      </w:r>
      <w:r w:rsidRPr="001C61F8">
        <w:t>tículo 70 de la Ley 489 de 1998: «Establecimientos públicos. Los establecimientos públicos son organismos encargados principalmente de atender funciones administrativas y de prestar servicios públicos conforme a las reglas del Derecho Público […]».</w:t>
      </w:r>
    </w:p>
  </w:footnote>
  <w:footnote w:id="177">
    <w:p w:rsidR="000A045E" w:rsidRPr="001C61F8" w:rsidRDefault="00AC66B3" w:rsidP="000A045E">
      <w:pPr>
        <w:pStyle w:val="Textonotapie"/>
        <w:jc w:val="both"/>
      </w:pPr>
      <w:r w:rsidRPr="001C61F8">
        <w:rPr>
          <w:rStyle w:val="Refdenotaalpie"/>
        </w:rPr>
        <w:footnoteRef/>
      </w:r>
      <w:r w:rsidRPr="001C61F8">
        <w:t xml:space="preserve"> Artíc</w:t>
      </w:r>
      <w:r w:rsidRPr="001C61F8">
        <w:t>ulo 70 de la Ley 489 de 1998: «Establecimientos públicos. Los establecimientos públicos […] reúnen las siguientes características: || a) Personería jurídica; || b) Autonomía administrativa y financiera; || c) Patrimonio independiente, constituido con biene</w:t>
      </w:r>
      <w:r w:rsidRPr="001C61F8">
        <w:t>s o fondos públicos comunes, el producto de impuestos, rentas contractuales, ingresos propios, tasas o contribuciones de destinación especial, en los casos autorizados por la Constitución y en las disposiciones legales pertinentes». Los establecimientos pú</w:t>
      </w:r>
      <w:r w:rsidRPr="001C61F8">
        <w:t xml:space="preserve">blicos se encuentran regulados en los artículos 38.2 (literal a), 49, 50 (parágrafo), 68, 70 a 81 y 102 de la Ley 489 de 1998. </w:t>
      </w:r>
    </w:p>
  </w:footnote>
  <w:footnote w:id="178">
    <w:p w:rsidR="000A045E" w:rsidRPr="001C61F8" w:rsidRDefault="00AC66B3" w:rsidP="000A045E">
      <w:pPr>
        <w:pStyle w:val="Textonotapie"/>
        <w:jc w:val="both"/>
      </w:pPr>
      <w:r w:rsidRPr="001C61F8">
        <w:rPr>
          <w:rStyle w:val="Refdenotaalpie"/>
        </w:rPr>
        <w:footnoteRef/>
      </w:r>
      <w:r w:rsidRPr="001C61F8">
        <w:t xml:space="preserve"> Inciso final del artículo 210 de la Constitución: «La ley establecerá el régimen jurídico de las entidades descentralizadas y </w:t>
      </w:r>
      <w:r w:rsidRPr="001C61F8">
        <w:t xml:space="preserve">la responsabilidad de sus presidentes, directores o gerentes». Cfr. inciso 1 del artículo 68 de la Ley 489 de 1998: «Entidades descentralizadas. </w:t>
      </w:r>
      <w:r w:rsidRPr="001C61F8">
        <w:rPr>
          <w:b/>
          <w:bCs/>
        </w:rPr>
        <w:t>Son entidades descentralizadas del orden nacional, los</w:t>
      </w:r>
      <w:r w:rsidRPr="001C61F8">
        <w:t xml:space="preserve"> </w:t>
      </w:r>
      <w:r w:rsidRPr="001C61F8">
        <w:rPr>
          <w:b/>
          <w:bCs/>
        </w:rPr>
        <w:t>establecimientos públicos</w:t>
      </w:r>
      <w:r w:rsidRPr="001C61F8">
        <w:t>, las empresas industriales y c</w:t>
      </w:r>
      <w:r w:rsidRPr="001C61F8">
        <w:t>omerciales del Estado, las sociedades públicas y las sociedades de economía mixta, las superintendencias y las unidades administrativas especiales con personería jurídica, las empresas sociales del Estado, las empresas oficiales de servicios públicos y las</w:t>
      </w:r>
      <w:r w:rsidRPr="001C61F8">
        <w:t xml:space="preserve"> demás entidades creadas por la ley o con su autorización, cuyo objeto principal sea el ejercicio de funciones administrativas, la prestación de servicios públicos o la realización de actividades industriales o comerciales con personería jurídica, autonomí</w:t>
      </w:r>
      <w:r w:rsidRPr="001C61F8">
        <w:t>a administrativa y patrimonio propio» [negrilla fuera del texto].</w:t>
      </w:r>
    </w:p>
  </w:footnote>
  <w:footnote w:id="179">
    <w:p w:rsidR="000A045E" w:rsidRPr="001C61F8" w:rsidRDefault="00AC66B3" w:rsidP="000A045E">
      <w:pPr>
        <w:pStyle w:val="Textonotapie"/>
        <w:jc w:val="both"/>
      </w:pPr>
      <w:r w:rsidRPr="001C61F8">
        <w:rPr>
          <w:rStyle w:val="Refdenotaalpie"/>
        </w:rPr>
        <w:footnoteRef/>
      </w:r>
      <w:r w:rsidRPr="001C61F8">
        <w:t xml:space="preserve"> Sentencias C-722 y C-691 de 2007, C-992 y C-044 de 2006, C-1002 de 2004 y C-629 de 2003. </w:t>
      </w:r>
      <w:r w:rsidRPr="001C61F8">
        <w:rPr>
          <w:shd w:val="clear" w:color="auto" w:fill="FFFFFF"/>
        </w:rPr>
        <w:t xml:space="preserve">En la Sentencia C-691 de 2007, que reiteró </w:t>
      </w:r>
      <w:r w:rsidRPr="001C61F8">
        <w:t xml:space="preserve">las sentencias </w:t>
      </w:r>
      <w:r w:rsidRPr="001C61F8">
        <w:rPr>
          <w:shd w:val="clear" w:color="auto" w:fill="FFFFFF"/>
        </w:rPr>
        <w:t>C-629 de 2003 y C-992 de 2006, la Corte r</w:t>
      </w:r>
      <w:r w:rsidRPr="001C61F8">
        <w:rPr>
          <w:shd w:val="clear" w:color="auto" w:fill="FFFFFF"/>
        </w:rPr>
        <w:t xml:space="preserve">ecordó que las entidades descentralizadas por servicios del orden nacional, entra las cuales se encuentran los establecimientos públicos, están sujetas, además, a las siguientes reglas constitucionales: </w:t>
      </w:r>
      <w:r w:rsidRPr="001C61F8">
        <w:t>«i) el carácter de servidores públicos de los miembro</w:t>
      </w:r>
      <w:r w:rsidRPr="001C61F8">
        <w:t xml:space="preserve">s de entidades descentralizadas por servicios (art. 123); ii) los congresistas no podrán ser miembros de juntas o consejos directivos de entidades oficiales descentralizadas de cualquier nivel (art. 180-3); los diputados, concejales y sus parientes dentro </w:t>
      </w:r>
      <w:r w:rsidRPr="001C61F8">
        <w:t>grado que señale la ley no podrán formar parte de las juntas directivas de las entidades descentralizadas del respectivo departamento, distrito o municipio (art. 292); y los concejales y los ediles no podrán hacer parte de las juntas directivas de las enti</w:t>
      </w:r>
      <w:r w:rsidRPr="001C61F8">
        <w:t>dades descentralizadas (art. 323); iii) Las cámaras pueden requerir la asistencia de los ministros. Las comisiones permanentes, además, la de los directores o gerentes de las entidades descentralizadas del orden nacional y la de otros funcionarios de la ra</w:t>
      </w:r>
      <w:r w:rsidRPr="001C61F8">
        <w:t>ma ejecutiva del poder público (art. 208); iv) la ley señalará las funciones que el Presidente de la República podrá delegar en los representantes legales de entidades descentralizadas (art. 211); v) el control fiscal es una función que ejercerá la Contral</w:t>
      </w:r>
      <w:r w:rsidRPr="001C61F8">
        <w:t>oría General de la República, la cual vigila la gestión fiscal de la administración y de los particulares o entidades que manejen fondos o bienes de la Nación (artr. 267); vi) habrá un Contador General quien llevará la contabilidad general de la Nación y c</w:t>
      </w:r>
      <w:r w:rsidRPr="001C61F8">
        <w:t>onsolidará ésta con la de sus entidades descentralizadas por servicios, cualquiera que sea el orden al que pertenezcan, excepto la referente a la ejecución del Presupuesto, cuya competencia se atribuye a la Contraloría (art. 354); […] ix) la ley orgánica d</w:t>
      </w:r>
      <w:r w:rsidRPr="001C61F8">
        <w:t>e presupuesto regulará lo correspondiente a la programación, aprobación, modificación, ejecución de los presupuestos de la Nación, de los entes descentralizados de cualquier nivel administrativo, y su coordinación con el Plan Nacional de Desarrollo, así co</w:t>
      </w:r>
      <w:r w:rsidRPr="001C61F8">
        <w:t>mo también la capacidad de los organismos y entidades estatales para contratar (art. 352); […]».</w:t>
      </w:r>
    </w:p>
  </w:footnote>
  <w:footnote w:id="180">
    <w:p w:rsidR="000A045E" w:rsidRPr="001C61F8" w:rsidRDefault="00AC66B3" w:rsidP="000A045E">
      <w:pPr>
        <w:pStyle w:val="Textonotapie"/>
        <w:jc w:val="both"/>
      </w:pPr>
      <w:r w:rsidRPr="001C61F8">
        <w:rPr>
          <w:rStyle w:val="Refdenotaalpie"/>
        </w:rPr>
        <w:footnoteRef/>
      </w:r>
      <w:r w:rsidRPr="001C61F8">
        <w:t xml:space="preserve"> Sentencia C-1505 de 2000: «Los establecimientos públicos del orden nacional, de conformidad con el artículo 210 de la Constitución, deben ser de creación leg</w:t>
      </w:r>
      <w:r w:rsidRPr="001C61F8">
        <w:t>al o autorizados por esta. Es decir que solo el Congreso de la República puede crear esta clase de entidades, bien directamente en una ley, o a través del instituto de las facultades extraordinarias, por medio de las cuales, el Legislador puede delegar exp</w:t>
      </w:r>
      <w:r w:rsidRPr="001C61F8">
        <w:t>resamente en el presidente de la República la facultad legislativa de crear un ente descentralizado por servicios para cumplir una función específica del Estado, que requiera de cierta especialización, regla esta que no admite excepción». Sentencias C-784,</w:t>
      </w:r>
      <w:r w:rsidRPr="001C61F8">
        <w:t xml:space="preserve"> C-306 y C-151 de 2004, C-401 de 2001, C-727 de 2000, C-498 de 1998 y C-428 de 1997. En las sentencias C-784, C-306 y C-151 de 2004, la Corte destacó que, en el ejercicio de esta competencia excepcional, el presidente de la República está sometido a lo dis</w:t>
      </w:r>
      <w:r w:rsidRPr="001C61F8">
        <w:t>puesto en los artículos 150, numeral 7, de la Constitución y 50 de la Ley 489 de 1998. El citado artículo constitucional establece: «Corresponde al Congreso hacer las leyes. Por medio de ellas ejerce las siguientes funciones: || […] 7. Determinar la estruc</w:t>
      </w:r>
      <w:r w:rsidRPr="001C61F8">
        <w:t>tura de la administración nacional y crear, suprimir o fusionar ministerios, departamentos administrativos, superintendencias, establecimientos públicos y otras entidades del orden nacional, señalando sus objetivos y estructura orgánica; reglamentar la cre</w:t>
      </w:r>
      <w:r w:rsidRPr="001C61F8">
        <w:t>ación y funcionamiento de las Corporaciones Autónomas Regionales dentro de un régimen de autonomía; así mismo, crear o autorizar la constitución de empresas industriales y comerciales del estado y sociedades de economía mixta». Por su parte, el artículo 50</w:t>
      </w:r>
      <w:r w:rsidRPr="001C61F8">
        <w:t xml:space="preserve"> de la Ley 489 de 1998 prevé: «</w:t>
      </w:r>
      <w:bookmarkStart w:id="25" w:name="50"/>
      <w:r w:rsidRPr="001C61F8">
        <w:t>Contenido de los actos de creación.</w:t>
      </w:r>
      <w:bookmarkEnd w:id="25"/>
      <w:r w:rsidRPr="001C61F8">
        <w:t xml:space="preserve"> La ley que disponga la creación de un organismo o entidad administrativa deberá determinar sus objetivos y estructura orgánica, así mismo determinará el soporte presupuestal de conformidad </w:t>
      </w:r>
      <w:r w:rsidRPr="001C61F8">
        <w:t>con los lineamientos fiscales del Ministerio de Hacienda y Crédito Público. || La estructura orgánica de un organismo o entidad administrativa comprende la determinación de los siguientes aspectos: || 1. La denominación. || 2. La naturaleza jurídica y el c</w:t>
      </w:r>
      <w:r w:rsidRPr="001C61F8">
        <w:t>onsiguiente régimen jurídico. || 3. La sede. || 4. La integración de su patrimonio. || 5. El señalamiento de los órganos superiores de dirección y administración y la forma de integración y de designación de sus titulares, y || 6. El Ministerio o el Depart</w:t>
      </w:r>
      <w:r w:rsidRPr="001C61F8">
        <w:t>amento Administrativo al cual estarán adscritos o vinculados. || Parágrafo. Las superintendencias, los establecimientos públicos y las unidades administrativas especiales estarán adscritos a los ministerios o departamentos administrativos; las empresas ind</w:t>
      </w:r>
      <w:r w:rsidRPr="001C61F8">
        <w:t xml:space="preserve">ustriales y comerciales del Estado y las sociedades de economía mixta estarán vinculadas a aquellos; los demás organismos y entidades estarán adscritos o vinculados, según lo determine su acto de creación». Además, la Sala Plena indicó que, en el caso del </w:t>
      </w:r>
      <w:r w:rsidRPr="001C61F8">
        <w:t>legislador extraordinario, la facultad estatuida en el numeral 7 del artículo 150 superior no puede ser confundida con las competencias permanentes otorgadas al presidente de la República en los numerales 15 a 17 del artículo 189 de la Constitución. En est</w:t>
      </w:r>
      <w:r w:rsidRPr="001C61F8">
        <w:t>e orden, de conformidad con la Sentencia C-151 de 2004, la cual reiteró la Sentencia C-401 de 2001, «el presidente puede ejercer simultáneamente la facultad temporal con las facultades permanentes, pues el otorgamiento transitorio de facultades extraordina</w:t>
      </w:r>
      <w:r w:rsidRPr="001C61F8">
        <w:t>rias al presidente de la República no implica un desplazamiento ni una subrogación temporal de sus facultades permanentes». Al respecto, también se puede consultar las sentencias C-177 de 2007 y C-044 de 2006.</w:t>
      </w:r>
    </w:p>
  </w:footnote>
  <w:footnote w:id="181">
    <w:p w:rsidR="000A045E" w:rsidRPr="001C61F8" w:rsidRDefault="00AC66B3" w:rsidP="000A045E">
      <w:pPr>
        <w:pStyle w:val="Textonotapie"/>
        <w:jc w:val="both"/>
      </w:pPr>
      <w:r w:rsidRPr="001C61F8">
        <w:rPr>
          <w:rStyle w:val="Refdenotaalpie"/>
        </w:rPr>
        <w:footnoteRef/>
      </w:r>
      <w:r w:rsidRPr="001C61F8">
        <w:t xml:space="preserve"> Al respecto, se pueden consultar las sentenc</w:t>
      </w:r>
      <w:r w:rsidRPr="001C61F8">
        <w:t>ias C-722 de 2007, C-856 de 2006, C-784 y C-306 de 2004. Sentencia C-629 de 2003: «De conformidad con el artículo 210 de la Constitución, de manera específica compete al Legislador determinar el régimen jurídico de las entidades descentralizadas […]. Lo qu</w:t>
      </w:r>
      <w:r w:rsidRPr="001C61F8">
        <w:t>e entraña, entre otros aspectos, la precisión de cuáles de los organismos enunciados constitucionalmente conforman tal categoría administrativa y jurídica, la determinación de funciones generales, organización básica interna, régimen de la actividad, de lo</w:t>
      </w:r>
      <w:r w:rsidRPr="001C61F8">
        <w:t>s actos y contratos, responsabilidad de sus directores y gerentes y las interrelaciones con los demás órganos del Estado y de la Administración».</w:t>
      </w:r>
    </w:p>
  </w:footnote>
  <w:footnote w:id="182">
    <w:p w:rsidR="000A045E" w:rsidRPr="001C61F8" w:rsidRDefault="00AC66B3" w:rsidP="000A045E">
      <w:pPr>
        <w:pStyle w:val="Textonotapie"/>
        <w:jc w:val="both"/>
      </w:pPr>
      <w:r w:rsidRPr="001C61F8">
        <w:rPr>
          <w:rStyle w:val="Refdenotaalpie"/>
        </w:rPr>
        <w:footnoteRef/>
      </w:r>
      <w:r w:rsidRPr="001C61F8">
        <w:t xml:space="preserve"> Numeral 2 del artículo 50 de la Ley 489 de 1998: «Contenido de los actos de creación. […] La estructura orgá</w:t>
      </w:r>
      <w:r w:rsidRPr="001C61F8">
        <w:t>nica de un organismo o entidad administrativa comprende la determinación de los siguientes aspectos: || […] || 2. La naturaleza jurídica y el consiguiente régimen jurídico».</w:t>
      </w:r>
    </w:p>
  </w:footnote>
  <w:footnote w:id="183">
    <w:p w:rsidR="000A045E" w:rsidRPr="001C61F8" w:rsidRDefault="00AC66B3" w:rsidP="000A045E">
      <w:pPr>
        <w:pStyle w:val="Textonotapie"/>
        <w:jc w:val="both"/>
      </w:pPr>
      <w:r w:rsidRPr="001C61F8">
        <w:rPr>
          <w:rStyle w:val="Refdenotaalpie"/>
        </w:rPr>
        <w:footnoteRef/>
      </w:r>
      <w:r w:rsidRPr="001C61F8">
        <w:t xml:space="preserve"> Cfr. artículo 2 de la Ley 80 de 1993: </w:t>
      </w:r>
      <w:bookmarkStart w:id="29" w:name="2"/>
      <w:r w:rsidRPr="001C61F8">
        <w:t>«De la definición de entidades, servidores</w:t>
      </w:r>
      <w:r w:rsidRPr="001C61F8">
        <w:t xml:space="preserve"> y servicios públicos. </w:t>
      </w:r>
      <w:bookmarkEnd w:id="29"/>
      <w:r w:rsidRPr="001C61F8">
        <w:t>Para los solos efectos de esta ley: || 1o. Se denominan entidades estatales: || a) La Nación, las regiones, los departamentos, las provincias, el distrito capital y los distritos especiales, las áreas metropolitanas, las asociaciones</w:t>
      </w:r>
      <w:r w:rsidRPr="001C61F8">
        <w:t xml:space="preserve"> de municipios, los territorios indígenas y los municipios; </w:t>
      </w:r>
      <w:r w:rsidRPr="001C61F8">
        <w:rPr>
          <w:b/>
          <w:bCs/>
        </w:rPr>
        <w:t>los establecimientos públicos</w:t>
      </w:r>
      <w:r w:rsidRPr="001C61F8">
        <w:t>, las empresas industriales y comerciales del Estado, las sociedades de economía mixta en las que el Estado tenga participación superior al cincuenta por ciento (50%),</w:t>
      </w:r>
      <w:r w:rsidRPr="001C61F8">
        <w:t xml:space="preserve"> así como las entidades descentralizadas indirectas y las demás personas jurídicas en las que exista dicha participación pública mayoritaria, cualquiera sea la denominación que ellas adopten, en todos los órdenes y niveles. || […]» [negrilla fuera del text</w:t>
      </w:r>
      <w:r w:rsidRPr="001C61F8">
        <w:t>o original].</w:t>
      </w:r>
    </w:p>
  </w:footnote>
  <w:footnote w:id="184">
    <w:p w:rsidR="000A045E" w:rsidRPr="00617F4F" w:rsidRDefault="00AC66B3" w:rsidP="000A045E">
      <w:pPr>
        <w:pStyle w:val="Textonotapie"/>
        <w:jc w:val="both"/>
      </w:pPr>
      <w:r w:rsidRPr="001C61F8">
        <w:rPr>
          <w:rStyle w:val="Refdenotaalpie"/>
        </w:rPr>
        <w:footnoteRef/>
      </w:r>
      <w:r w:rsidRPr="001C61F8">
        <w:t xml:space="preserve"> Sentencia C-439 de 2016: «Siendo ello así, respecto a la norma que se analiza, en la que se fija una regla de prevalencia de las normas del Estatuto General de Contratación Pública frente “a cualquiera otra sobre la materia, con excepción de</w:t>
      </w:r>
      <w:r w:rsidRPr="001C61F8">
        <w:t xml:space="preserve"> aquellas de naturaleza estatutaria u orgánica”, advierte la Corte que, aun cuando la misma respeta la supremacía que la Constitución le reconoce a las leyes especiales (estatutarias y orgánicas), en todo caso, a nivel de las normas ordinarias que regulan </w:t>
      </w:r>
      <w:r w:rsidRPr="001C61F8">
        <w:t>la contratación pública, le está otorgando una categoría superior a aquellas que hacen parte del Estatuto General de Contratación Pública; categoría que no surge del sistema de fuentes del derecho concebido por la Constitución Política. || En efecto, confo</w:t>
      </w:r>
      <w:r w:rsidRPr="001C61F8">
        <w:t>rme fue explicado, no resulta constitucionalmente admisible que las normas que integran el Estatuto General de Contratación Pública puedan ser objeto de un tratamiento especial, desde el punto de vista de atribuirles un carácter prevalente frente a otras d</w:t>
      </w:r>
      <w:r w:rsidRPr="001C61F8">
        <w:t>el mismo tipo que también se ocupan de aspectos relacionados con la contratación. Al hacerlo, el legislador desbordó su marco de competencia pues la Constitución Política no lo habilita para crear una tipología de ley más allá de las definidas en la propia</w:t>
      </w:r>
      <w:r w:rsidRPr="001C61F8">
        <w:t xml:space="preserve"> Carta, ni para reconocerle a las normas del Estatuto de Contratación Pública, una condición superior a la de otras leyes ordinarias». También se puede consultar la Sentencia C-949 de 2001.</w:t>
      </w:r>
      <w:r w:rsidRPr="00617F4F">
        <w:t xml:space="preserve"> </w:t>
      </w:r>
    </w:p>
  </w:footnote>
  <w:footnote w:id="185">
    <w:p w:rsidR="002A457C" w:rsidRPr="00113DF9" w:rsidRDefault="00AC66B3" w:rsidP="00113DF9">
      <w:pPr>
        <w:pStyle w:val="Textonotapie"/>
        <w:jc w:val="both"/>
        <w:rPr>
          <w:rFonts w:ascii="Times New Roman" w:hAnsi="Times New Roman" w:cs="Times New Roman"/>
          <w:lang w:val="es-ES"/>
        </w:rPr>
      </w:pPr>
      <w:r w:rsidRPr="00113DF9">
        <w:rPr>
          <w:rStyle w:val="Refdenotaalpie"/>
          <w:rFonts w:ascii="Times New Roman" w:hAnsi="Times New Roman" w:cs="Times New Roman"/>
        </w:rPr>
        <w:footnoteRef/>
      </w:r>
      <w:r w:rsidRPr="00113DF9">
        <w:rPr>
          <w:rFonts w:ascii="Times New Roman" w:hAnsi="Times New Roman" w:cs="Times New Roman"/>
        </w:rPr>
        <w:t xml:space="preserve"> </w:t>
      </w:r>
      <w:r w:rsidRPr="00113DF9">
        <w:rPr>
          <w:rFonts w:ascii="Times New Roman" w:hAnsi="Times New Roman" w:cs="Times New Roman"/>
          <w:lang w:val="es-ES"/>
        </w:rPr>
        <w:t>De hecho, así lo consideró la Sala al indicar lo siguiente: “</w:t>
      </w:r>
      <w:r>
        <w:rPr>
          <w:rFonts w:ascii="Times New Roman" w:hAnsi="Times New Roman" w:cs="Times New Roman"/>
          <w:lang w:val="es-ES"/>
        </w:rPr>
        <w:t>[…</w:t>
      </w:r>
      <w:r>
        <w:rPr>
          <w:rFonts w:ascii="Times New Roman" w:hAnsi="Times New Roman" w:cs="Times New Roman"/>
          <w:lang w:val="es-ES"/>
        </w:rPr>
        <w:t xml:space="preserve">] </w:t>
      </w:r>
      <w:r w:rsidRPr="00113DF9">
        <w:rPr>
          <w:rFonts w:ascii="Times New Roman" w:hAnsi="Times New Roman" w:cs="Times New Roman"/>
          <w:bCs/>
          <w:bdr w:val="none" w:sz="0" w:space="0" w:color="auto" w:frame="1"/>
          <w:lang w:val="es-ES"/>
        </w:rPr>
        <w:t xml:space="preserve">la Sala Plena sí estima necesario advertir que, </w:t>
      </w:r>
      <w:r w:rsidRPr="00113DF9">
        <w:rPr>
          <w:rFonts w:ascii="Times New Roman" w:hAnsi="Times New Roman" w:cs="Times New Roman"/>
          <w:b/>
          <w:bdr w:val="none" w:sz="0" w:space="0" w:color="auto" w:frame="1"/>
          <w:lang w:val="es-ES"/>
        </w:rPr>
        <w:t>en principio</w:t>
      </w:r>
      <w:r w:rsidRPr="00113DF9">
        <w:rPr>
          <w:rFonts w:ascii="Times New Roman" w:hAnsi="Times New Roman" w:cs="Times New Roman"/>
          <w:bCs/>
          <w:bdr w:val="none" w:sz="0" w:space="0" w:color="auto" w:frame="1"/>
          <w:lang w:val="es-ES"/>
        </w:rPr>
        <w:t xml:space="preserve">, la incorporación en la Ley del Plan Nacional de Desarrollo de normas que otorguen facultades extraordinarias al presidente de la República para expedir decretos con fuerza de ley podría ser </w:t>
      </w:r>
      <w:r w:rsidRPr="00113DF9">
        <w:rPr>
          <w:rFonts w:ascii="Times New Roman" w:hAnsi="Times New Roman" w:cs="Times New Roman"/>
          <w:bCs/>
          <w:bdr w:val="none" w:sz="0" w:space="0" w:color="auto" w:frame="1"/>
          <w:lang w:val="es-ES"/>
        </w:rPr>
        <w:t>inconstitucional por la violación del principio de unidad de materia. Aunque, en abstracto, esto sería así por varias razones, la Corte entiende que deberá examinar las particularidades de cada caso para efectos de determinar la configuración de la violaci</w:t>
      </w:r>
      <w:r w:rsidRPr="00113DF9">
        <w:rPr>
          <w:rFonts w:ascii="Times New Roman" w:hAnsi="Times New Roman" w:cs="Times New Roman"/>
          <w:bCs/>
          <w:bdr w:val="none" w:sz="0" w:space="0" w:color="auto" w:frame="1"/>
          <w:lang w:val="es-ES"/>
        </w:rPr>
        <w:t>ón del principio constitucional anotado</w:t>
      </w:r>
      <w:r>
        <w:rPr>
          <w:rFonts w:ascii="Times New Roman" w:hAnsi="Times New Roman" w:cs="Times New Roman"/>
          <w:bCs/>
          <w:bdr w:val="none" w:sz="0" w:space="0" w:color="auto" w:frame="1"/>
          <w:lang w:val="es-ES"/>
        </w:rPr>
        <w:t xml:space="preserve"> […]</w:t>
      </w:r>
      <w:r>
        <w:rPr>
          <w:rFonts w:ascii="Times New Roman" w:hAnsi="Times New Roman" w:cs="Times New Roman"/>
          <w:bCs/>
          <w:bdr w:val="none" w:sz="0" w:space="0" w:color="auto" w:frame="1"/>
          <w:lang w:val="es-ES"/>
        </w:rPr>
        <w:t xml:space="preserve"> || </w:t>
      </w:r>
      <w:r w:rsidRPr="00C43AB0">
        <w:rPr>
          <w:rFonts w:ascii="Times New Roman" w:hAnsi="Times New Roman" w:cs="Times New Roman"/>
          <w:bCs/>
          <w:bdr w:val="none" w:sz="0" w:space="0" w:color="auto" w:frame="1"/>
          <w:lang w:val="es-ES"/>
        </w:rPr>
        <w:t>Como es natural, en ejercicio de las facultades extraordinarias, el Gobierno nacional no puede expedir normas que el propio Legislador no puede incluir en la Ley del Plan Nacional de Desarrollo. Es decir, trat</w:t>
      </w:r>
      <w:r w:rsidRPr="00C43AB0">
        <w:rPr>
          <w:rFonts w:ascii="Times New Roman" w:hAnsi="Times New Roman" w:cs="Times New Roman"/>
          <w:bCs/>
          <w:bdr w:val="none" w:sz="0" w:space="0" w:color="auto" w:frame="1"/>
          <w:lang w:val="es-ES"/>
        </w:rPr>
        <w:t>ándose de esas facultades, el Gobierno nacional tiene las mismas restricciones del Legislador y, en consecuencia, no puede modificar el ordenamiento jurídico de manera permanente. Todas las normas, incluidas las que habilitan y aquellas expedidas en uso de</w:t>
      </w:r>
      <w:r w:rsidRPr="00C43AB0">
        <w:rPr>
          <w:rFonts w:ascii="Times New Roman" w:hAnsi="Times New Roman" w:cs="Times New Roman"/>
          <w:bCs/>
          <w:bdr w:val="none" w:sz="0" w:space="0" w:color="auto" w:frame="1"/>
          <w:lang w:val="es-ES"/>
        </w:rPr>
        <w:t xml:space="preserve"> facultades extraordinarias, deben cumplir los mismos requisitos de las normas que el Legislador puede incorporar a la Ley del Plan Nacional de Desarrollo</w:t>
      </w:r>
      <w:r w:rsidRPr="00113DF9">
        <w:rPr>
          <w:rFonts w:ascii="Times New Roman" w:hAnsi="Times New Roman" w:cs="Times New Roman"/>
          <w:lang w:val="es-ES"/>
        </w:rPr>
        <w:t>”</w:t>
      </w:r>
      <w:r w:rsidRPr="00113DF9">
        <w:rPr>
          <w:rFonts w:ascii="Times New Roman" w:hAnsi="Times New Roman" w:cs="Times New Roman"/>
          <w:lang w:val="es-ES"/>
        </w:rPr>
        <w:t xml:space="preserve"> (énfasis de la Sala)</w:t>
      </w:r>
      <w:r w:rsidRPr="00113DF9">
        <w:rPr>
          <w:rFonts w:ascii="Times New Roman" w:hAnsi="Times New Roman" w:cs="Times New Roman"/>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6BC7FA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31635ABA"/>
    <w:multiLevelType w:val="multilevel"/>
    <w:tmpl w:val="24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154124"/>
    <w:multiLevelType w:val="multilevel"/>
    <w:tmpl w:val="4F4A1E32"/>
    <w:lvl w:ilvl="0">
      <w:start w:val="1"/>
      <w:numFmt w:val="decimal"/>
      <w:lvlText w:val="%1."/>
      <w:lvlJc w:val="left"/>
      <w:pPr>
        <w:ind w:left="2629" w:hanging="360"/>
      </w:pPr>
      <w:rPr>
        <w:b w:val="0"/>
        <w:bCs w:val="0"/>
        <w:i w:val="0"/>
        <w:iCs w:val="0"/>
        <w:color w:val="auto"/>
      </w:rPr>
    </w:lvl>
    <w:lvl w:ilvl="1">
      <w:start w:val="6"/>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D01"/>
    <w:rsid w:val="001D6D01"/>
    <w:rsid w:val="00AC66B3"/>
    <w:rsid w:val="00C74A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8594EEC-DC1C-47FC-A14C-95792263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A0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A045E"/>
    <w:pPr>
      <w:keepNext/>
      <w:keepLines/>
      <w:widowControl w:val="0"/>
      <w:suppressAutoHyphens/>
      <w:spacing w:before="40"/>
      <w:outlineLvl w:val="1"/>
    </w:pPr>
    <w:rPr>
      <w:rFonts w:ascii="Calibri Light" w:hAnsi="Calibri Light" w:cs="Mangal"/>
      <w:color w:val="2E74B5"/>
      <w:kern w:val="1"/>
      <w:sz w:val="26"/>
      <w:szCs w:val="23"/>
      <w:lang w:eastAsia="hi-IN" w:bidi="hi-IN"/>
    </w:rPr>
  </w:style>
  <w:style w:type="paragraph" w:styleId="Ttulo3">
    <w:name w:val="heading 3"/>
    <w:basedOn w:val="Normal"/>
    <w:next w:val="Normal"/>
    <w:link w:val="Ttulo3Car"/>
    <w:unhideWhenUsed/>
    <w:qFormat/>
    <w:rsid w:val="000A045E"/>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045E"/>
    <w:rPr>
      <w:rFonts w:asciiTheme="majorHAnsi" w:eastAsiaTheme="majorEastAsia" w:hAnsiTheme="majorHAnsi" w:cstheme="majorBidi"/>
      <w:color w:val="2E74B5" w:themeColor="accent1" w:themeShade="BF"/>
      <w:sz w:val="32"/>
      <w:szCs w:val="32"/>
      <w:lang w:eastAsia="es-MX"/>
    </w:rPr>
  </w:style>
  <w:style w:type="character" w:customStyle="1" w:styleId="Ttulo2Car">
    <w:name w:val="Título 2 Car"/>
    <w:basedOn w:val="Fuentedeprrafopredeter"/>
    <w:link w:val="Ttulo2"/>
    <w:uiPriority w:val="9"/>
    <w:rsid w:val="000A045E"/>
    <w:rPr>
      <w:rFonts w:ascii="Calibri Light" w:eastAsia="Times New Roman" w:hAnsi="Calibri Light" w:cs="Mangal"/>
      <w:color w:val="2E74B5"/>
      <w:kern w:val="1"/>
      <w:sz w:val="26"/>
      <w:szCs w:val="23"/>
      <w:lang w:eastAsia="hi-IN" w:bidi="hi-IN"/>
    </w:rPr>
  </w:style>
  <w:style w:type="character" w:customStyle="1" w:styleId="Ttulo3Car">
    <w:name w:val="Título 3 Car"/>
    <w:basedOn w:val="Fuentedeprrafopredeter"/>
    <w:link w:val="Ttulo3"/>
    <w:rsid w:val="000A045E"/>
    <w:rPr>
      <w:rFonts w:asciiTheme="majorHAnsi" w:eastAsiaTheme="majorEastAsia" w:hAnsiTheme="majorHAnsi" w:cstheme="majorBidi"/>
      <w:color w:val="1F4D78" w:themeColor="accent1" w:themeShade="7F"/>
      <w:sz w:val="24"/>
      <w:szCs w:val="24"/>
      <w:lang w:eastAsia="es-MX"/>
    </w:rPr>
  </w:style>
  <w:style w:type="paragraph" w:styleId="Prrafodelista">
    <w:name w:val="List Paragraph"/>
    <w:aliases w:val="Colorful List - Accent 11,Ha,List Paragraph1,lp1,Footnote,List Paragraph2"/>
    <w:basedOn w:val="Normal"/>
    <w:link w:val="PrrafodelistaCar"/>
    <w:uiPriority w:val="34"/>
    <w:qFormat/>
    <w:rsid w:val="000A045E"/>
    <w:pPr>
      <w:ind w:left="720"/>
      <w:contextualSpacing/>
    </w:pPr>
  </w:style>
  <w:style w:type="paragraph" w:styleId="Encabezado">
    <w:name w:val="header"/>
    <w:basedOn w:val="Normal"/>
    <w:link w:val="EncabezadoCar"/>
    <w:uiPriority w:val="99"/>
    <w:unhideWhenUsed/>
    <w:rsid w:val="000A045E"/>
    <w:pPr>
      <w:tabs>
        <w:tab w:val="center" w:pos="4252"/>
        <w:tab w:val="right" w:pos="8504"/>
      </w:tabs>
    </w:pPr>
  </w:style>
  <w:style w:type="character" w:customStyle="1" w:styleId="EncabezadoCar">
    <w:name w:val="Encabezado Car"/>
    <w:basedOn w:val="Fuentedeprrafopredeter"/>
    <w:link w:val="Encabezado"/>
    <w:uiPriority w:val="99"/>
    <w:rsid w:val="000A045E"/>
    <w:rPr>
      <w:rFonts w:eastAsia="Times New Roman"/>
      <w:sz w:val="24"/>
      <w:szCs w:val="24"/>
      <w:lang w:eastAsia="es-MX"/>
    </w:rPr>
  </w:style>
  <w:style w:type="paragraph" w:styleId="Textoindependiente2">
    <w:name w:val="Body Text 2"/>
    <w:basedOn w:val="Normal"/>
    <w:link w:val="Textoindependiente2Car"/>
    <w:uiPriority w:val="99"/>
    <w:unhideWhenUsed/>
    <w:rsid w:val="000A045E"/>
    <w:pPr>
      <w:spacing w:after="120" w:line="480" w:lineRule="auto"/>
    </w:pPr>
  </w:style>
  <w:style w:type="character" w:customStyle="1" w:styleId="Textoindependiente2Car">
    <w:name w:val="Texto independiente 2 Car"/>
    <w:basedOn w:val="Fuentedeprrafopredeter"/>
    <w:link w:val="Textoindependiente2"/>
    <w:uiPriority w:val="99"/>
    <w:rsid w:val="000A045E"/>
    <w:rPr>
      <w:rFonts w:eastAsia="Times New Roman"/>
      <w:sz w:val="24"/>
      <w:szCs w:val="24"/>
      <w:lang w:eastAsia="es-MX"/>
    </w:rPr>
  </w:style>
  <w:style w:type="paragraph" w:styleId="Ttulo">
    <w:name w:val="Title"/>
    <w:basedOn w:val="Normal"/>
    <w:link w:val="TtuloCar"/>
    <w:qFormat/>
    <w:rsid w:val="000A045E"/>
    <w:pPr>
      <w:overflowPunct w:val="0"/>
      <w:autoSpaceDE w:val="0"/>
      <w:autoSpaceDN w:val="0"/>
      <w:adjustRightInd w:val="0"/>
      <w:jc w:val="center"/>
      <w:textAlignment w:val="baseline"/>
    </w:pPr>
    <w:rPr>
      <w:b/>
      <w:sz w:val="28"/>
      <w:szCs w:val="20"/>
    </w:rPr>
  </w:style>
  <w:style w:type="character" w:customStyle="1" w:styleId="TtuloCar">
    <w:name w:val="Título Car"/>
    <w:basedOn w:val="Fuentedeprrafopredeter"/>
    <w:link w:val="Ttulo"/>
    <w:rsid w:val="000A045E"/>
    <w:rPr>
      <w:rFonts w:eastAsia="Times New Roman"/>
      <w:b/>
      <w:sz w:val="28"/>
      <w:szCs w:val="20"/>
      <w:lang w:eastAsia="es-MX"/>
    </w:rPr>
  </w:style>
  <w:style w:type="paragraph" w:customStyle="1" w:styleId="Style1">
    <w:name w:val="Style1"/>
    <w:basedOn w:val="Normal"/>
    <w:uiPriority w:val="99"/>
    <w:rsid w:val="000A045E"/>
    <w:pPr>
      <w:widowControl w:val="0"/>
      <w:autoSpaceDE w:val="0"/>
      <w:autoSpaceDN w:val="0"/>
      <w:adjustRightInd w:val="0"/>
      <w:jc w:val="both"/>
    </w:pPr>
    <w:rPr>
      <w:rFonts w:ascii="Arial Narrow" w:hAnsi="Arial Narrow"/>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0A045E"/>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texto de nota al p Car"/>
    <w:basedOn w:val="Fuentedeprrafopredeter"/>
    <w:link w:val="Textonotapie"/>
    <w:uiPriority w:val="99"/>
    <w:qFormat/>
    <w:rsid w:val="000A045E"/>
    <w:rPr>
      <w:rFonts w:eastAsia="Times New Roman"/>
      <w:sz w:val="20"/>
      <w:szCs w:val="20"/>
      <w:lang w:eastAsia="es-MX"/>
    </w:rPr>
  </w:style>
  <w:style w:type="character" w:styleId="Refdenotaalpie">
    <w:name w:val="footnote reference"/>
    <w:aliases w:val="referencia nota al pie,Texto de nota al pie,Nota de pie,Texto nota al pie,Appel note de bas de page,Footnotes refss,Footnote number,BVI fnr,f,Texto nota pie Car1,Footnote Text Char Char Char Char Char Car1,Footnote reference Car1,Ref"/>
    <w:basedOn w:val="Fuentedeprrafopredeter"/>
    <w:link w:val="Refdenotaalpie2"/>
    <w:uiPriority w:val="99"/>
    <w:unhideWhenUsed/>
    <w:qFormat/>
    <w:rsid w:val="000A045E"/>
    <w:rPr>
      <w:vertAlign w:val="superscript"/>
    </w:rPr>
  </w:style>
  <w:style w:type="paragraph" w:customStyle="1" w:styleId="Refdenotaalpie2">
    <w:name w:val="Ref. de nota al pie2"/>
    <w:aliases w:val="Pie de pagina"/>
    <w:basedOn w:val="Normal"/>
    <w:link w:val="Refdenotaalpie"/>
    <w:uiPriority w:val="99"/>
    <w:rsid w:val="000A045E"/>
    <w:pPr>
      <w:spacing w:line="240" w:lineRule="exact"/>
    </w:pPr>
    <w:rPr>
      <w:rFonts w:eastAsiaTheme="minorHAnsi"/>
      <w:vertAlign w:val="superscript"/>
      <w:lang w:eastAsia="en-US"/>
    </w:rPr>
  </w:style>
  <w:style w:type="paragraph" w:styleId="Piedepgina">
    <w:name w:val="footer"/>
    <w:basedOn w:val="Normal"/>
    <w:link w:val="PiedepginaCar"/>
    <w:uiPriority w:val="99"/>
    <w:unhideWhenUsed/>
    <w:rsid w:val="000A045E"/>
    <w:pPr>
      <w:tabs>
        <w:tab w:val="center" w:pos="4252"/>
        <w:tab w:val="right" w:pos="8504"/>
      </w:tabs>
    </w:pPr>
  </w:style>
  <w:style w:type="character" w:customStyle="1" w:styleId="PiedepginaCar">
    <w:name w:val="Pie de página Car"/>
    <w:basedOn w:val="Fuentedeprrafopredeter"/>
    <w:link w:val="Piedepgina"/>
    <w:uiPriority w:val="99"/>
    <w:rsid w:val="000A045E"/>
    <w:rPr>
      <w:rFonts w:eastAsia="Times New Roman"/>
      <w:sz w:val="24"/>
      <w:szCs w:val="24"/>
      <w:lang w:eastAsia="es-MX"/>
    </w:rPr>
  </w:style>
  <w:style w:type="character" w:customStyle="1" w:styleId="TextodegloboCar">
    <w:name w:val="Texto de globo Car"/>
    <w:basedOn w:val="Fuentedeprrafopredeter"/>
    <w:link w:val="Textodeglobo"/>
    <w:uiPriority w:val="99"/>
    <w:semiHidden/>
    <w:rsid w:val="000A045E"/>
    <w:rPr>
      <w:rFonts w:ascii="Segoe UI" w:eastAsia="Times New Roman" w:hAnsi="Segoe UI" w:cs="Segoe UI"/>
      <w:sz w:val="18"/>
      <w:szCs w:val="18"/>
      <w:lang w:eastAsia="es-ES"/>
    </w:rPr>
  </w:style>
  <w:style w:type="paragraph" w:styleId="Textodeglobo">
    <w:name w:val="Balloon Text"/>
    <w:basedOn w:val="Normal"/>
    <w:link w:val="TextodegloboCar"/>
    <w:uiPriority w:val="99"/>
    <w:semiHidden/>
    <w:unhideWhenUsed/>
    <w:rsid w:val="000A045E"/>
    <w:rPr>
      <w:rFonts w:ascii="Segoe UI" w:hAnsi="Segoe UI" w:cs="Segoe UI"/>
      <w:sz w:val="18"/>
      <w:szCs w:val="18"/>
      <w:lang w:eastAsia="es-ES"/>
    </w:rPr>
  </w:style>
  <w:style w:type="character" w:customStyle="1" w:styleId="TextodegloboCar1">
    <w:name w:val="Texto de globo Car1"/>
    <w:basedOn w:val="Fuentedeprrafopredeter"/>
    <w:uiPriority w:val="99"/>
    <w:semiHidden/>
    <w:rsid w:val="000A045E"/>
    <w:rPr>
      <w:rFonts w:ascii="Segoe UI" w:eastAsia="Times New Roman" w:hAnsi="Segoe UI" w:cs="Segoe UI"/>
      <w:sz w:val="18"/>
      <w:szCs w:val="18"/>
      <w:lang w:eastAsia="es-MX"/>
    </w:rPr>
  </w:style>
  <w:style w:type="character" w:styleId="Hipervnculo">
    <w:name w:val="Hyperlink"/>
    <w:basedOn w:val="Fuentedeprrafopredeter"/>
    <w:uiPriority w:val="99"/>
    <w:unhideWhenUsed/>
    <w:rsid w:val="000A045E"/>
    <w:rPr>
      <w:color w:val="0563C1" w:themeColor="hyperlink"/>
      <w:u w:val="single"/>
    </w:rPr>
  </w:style>
  <w:style w:type="paragraph" w:customStyle="1" w:styleId="bodytext24">
    <w:name w:val="bodytext24"/>
    <w:basedOn w:val="Normal"/>
    <w:rsid w:val="000A045E"/>
    <w:pPr>
      <w:spacing w:before="100" w:beforeAutospacing="1" w:after="100" w:afterAutospacing="1"/>
    </w:pPr>
  </w:style>
  <w:style w:type="character" w:customStyle="1" w:styleId="apple-converted-space">
    <w:name w:val="apple-converted-space"/>
    <w:basedOn w:val="Fuentedeprrafopredeter"/>
    <w:rsid w:val="000A045E"/>
  </w:style>
  <w:style w:type="paragraph" w:customStyle="1" w:styleId="pa9">
    <w:name w:val="pa9"/>
    <w:basedOn w:val="Normal"/>
    <w:rsid w:val="000A045E"/>
    <w:pPr>
      <w:spacing w:before="100" w:beforeAutospacing="1" w:after="100" w:afterAutospacing="1"/>
    </w:pPr>
  </w:style>
  <w:style w:type="character" w:customStyle="1" w:styleId="spelle">
    <w:name w:val="spelle"/>
    <w:basedOn w:val="Fuentedeprrafopredeter"/>
    <w:rsid w:val="000A045E"/>
  </w:style>
  <w:style w:type="paragraph" w:customStyle="1" w:styleId="default">
    <w:name w:val="default"/>
    <w:basedOn w:val="Normal"/>
    <w:rsid w:val="000A045E"/>
    <w:pPr>
      <w:spacing w:before="100" w:beforeAutospacing="1" w:after="100" w:afterAutospacing="1"/>
    </w:pPr>
  </w:style>
  <w:style w:type="character" w:styleId="Nmerodepgina">
    <w:name w:val="page number"/>
    <w:basedOn w:val="Fuentedeprrafopredeter"/>
    <w:rsid w:val="000A045E"/>
  </w:style>
  <w:style w:type="paragraph" w:customStyle="1" w:styleId="Body">
    <w:name w:val="Body"/>
    <w:rsid w:val="000A045E"/>
    <w:pPr>
      <w:pBdr>
        <w:top w:val="nil"/>
        <w:left w:val="nil"/>
        <w:bottom w:val="nil"/>
        <w:right w:val="nil"/>
        <w:between w:val="nil"/>
        <w:bar w:val="nil"/>
      </w:pBdr>
      <w:spacing w:after="0" w:line="240" w:lineRule="auto"/>
    </w:pPr>
    <w:rPr>
      <w:rFonts w:eastAsia="Times New Roman"/>
      <w:color w:val="000000"/>
      <w:sz w:val="20"/>
      <w:szCs w:val="20"/>
      <w:u w:color="000000"/>
      <w:bdr w:val="nil"/>
      <w:lang w:val="es-ES" w:eastAsia="es-ES"/>
    </w:rPr>
  </w:style>
  <w:style w:type="character" w:styleId="Referenciasutil">
    <w:name w:val="Subtle Reference"/>
    <w:uiPriority w:val="31"/>
    <w:qFormat/>
    <w:rsid w:val="000A045E"/>
    <w:rPr>
      <w:lang w:val="es-CO"/>
    </w:rPr>
  </w:style>
  <w:style w:type="paragraph" w:customStyle="1" w:styleId="Car">
    <w:name w:val="Car"/>
    <w:basedOn w:val="Normal"/>
    <w:rsid w:val="000A045E"/>
    <w:pPr>
      <w:spacing w:line="240" w:lineRule="exact"/>
    </w:pPr>
    <w:rPr>
      <w:noProof/>
      <w:color w:val="000000"/>
      <w:sz w:val="20"/>
      <w:szCs w:val="20"/>
    </w:rPr>
  </w:style>
  <w:style w:type="paragraph" w:customStyle="1" w:styleId="Style5">
    <w:name w:val="Style5"/>
    <w:basedOn w:val="Normal"/>
    <w:uiPriority w:val="99"/>
    <w:rsid w:val="000A045E"/>
    <w:pPr>
      <w:widowControl w:val="0"/>
      <w:autoSpaceDE w:val="0"/>
      <w:autoSpaceDN w:val="0"/>
      <w:adjustRightInd w:val="0"/>
      <w:spacing w:line="281" w:lineRule="exact"/>
      <w:ind w:firstLine="173"/>
    </w:pPr>
    <w:rPr>
      <w:rFonts w:ascii="Tahoma" w:hAnsi="Tahoma" w:cs="Tahoma"/>
    </w:rPr>
  </w:style>
  <w:style w:type="paragraph" w:customStyle="1" w:styleId="Style6">
    <w:name w:val="Style6"/>
    <w:basedOn w:val="Normal"/>
    <w:uiPriority w:val="99"/>
    <w:rsid w:val="000A045E"/>
    <w:pPr>
      <w:widowControl w:val="0"/>
      <w:autoSpaceDE w:val="0"/>
      <w:autoSpaceDN w:val="0"/>
      <w:adjustRightInd w:val="0"/>
      <w:spacing w:line="278" w:lineRule="exact"/>
    </w:pPr>
    <w:rPr>
      <w:rFonts w:ascii="Tahoma" w:hAnsi="Tahoma" w:cs="Tahoma"/>
    </w:rPr>
  </w:style>
  <w:style w:type="character" w:customStyle="1" w:styleId="FontStyle14">
    <w:name w:val="Font Style14"/>
    <w:basedOn w:val="Fuentedeprrafopredeter"/>
    <w:uiPriority w:val="99"/>
    <w:rsid w:val="000A045E"/>
    <w:rPr>
      <w:rFonts w:ascii="Franklin Gothic Demi Cond" w:hAnsi="Franklin Gothic Demi Cond" w:cs="Franklin Gothic Demi Cond"/>
      <w:spacing w:val="-10"/>
      <w:sz w:val="24"/>
      <w:szCs w:val="24"/>
    </w:rPr>
  </w:style>
  <w:style w:type="paragraph" w:styleId="Textoindependiente">
    <w:name w:val="Body Text"/>
    <w:basedOn w:val="Normal"/>
    <w:link w:val="TextoindependienteCar"/>
    <w:uiPriority w:val="99"/>
    <w:unhideWhenUsed/>
    <w:rsid w:val="000A045E"/>
    <w:pPr>
      <w:spacing w:after="120"/>
    </w:pPr>
  </w:style>
  <w:style w:type="character" w:customStyle="1" w:styleId="TextoindependienteCar">
    <w:name w:val="Texto independiente Car"/>
    <w:basedOn w:val="Fuentedeprrafopredeter"/>
    <w:link w:val="Textoindependiente"/>
    <w:uiPriority w:val="99"/>
    <w:rsid w:val="000A045E"/>
    <w:rPr>
      <w:rFonts w:eastAsia="Times New Roman"/>
      <w:sz w:val="24"/>
      <w:szCs w:val="24"/>
      <w:lang w:eastAsia="es-MX"/>
    </w:rPr>
  </w:style>
  <w:style w:type="character" w:customStyle="1" w:styleId="Mencinsinresolver1">
    <w:name w:val="Mención sin resolver1"/>
    <w:basedOn w:val="Fuentedeprrafopredeter"/>
    <w:uiPriority w:val="99"/>
    <w:semiHidden/>
    <w:unhideWhenUsed/>
    <w:rsid w:val="000A045E"/>
    <w:rPr>
      <w:color w:val="605E5C"/>
      <w:shd w:val="clear" w:color="auto" w:fill="E1DFDD"/>
    </w:rPr>
  </w:style>
  <w:style w:type="table" w:styleId="Tablaconcuadrcula">
    <w:name w:val="Table Grid"/>
    <w:basedOn w:val="Tablanormal"/>
    <w:uiPriority w:val="39"/>
    <w:rsid w:val="000A045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A045E"/>
    <w:rPr>
      <w:color w:val="954F72" w:themeColor="followedHyperlink"/>
      <w:u w:val="single"/>
    </w:rPr>
  </w:style>
  <w:style w:type="paragraph" w:styleId="Textoindependiente3">
    <w:name w:val="Body Text 3"/>
    <w:basedOn w:val="Normal"/>
    <w:link w:val="Textoindependiente3Car"/>
    <w:uiPriority w:val="99"/>
    <w:semiHidden/>
    <w:unhideWhenUsed/>
    <w:rsid w:val="000A04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A045E"/>
    <w:rPr>
      <w:rFonts w:eastAsia="Times New Roman"/>
      <w:sz w:val="16"/>
      <w:szCs w:val="16"/>
      <w:lang w:eastAsia="es-MX"/>
    </w:rPr>
  </w:style>
  <w:style w:type="paragraph" w:styleId="NormalWeb">
    <w:name w:val="Normal (Web)"/>
    <w:basedOn w:val="Normal"/>
    <w:uiPriority w:val="99"/>
    <w:unhideWhenUsed/>
    <w:rsid w:val="000A045E"/>
  </w:style>
  <w:style w:type="character" w:styleId="Textoennegrita">
    <w:name w:val="Strong"/>
    <w:basedOn w:val="Fuentedeprrafopredeter"/>
    <w:uiPriority w:val="22"/>
    <w:qFormat/>
    <w:rsid w:val="000A045E"/>
    <w:rPr>
      <w:b/>
      <w:bCs/>
    </w:rPr>
  </w:style>
  <w:style w:type="character" w:styleId="nfasis">
    <w:name w:val="Emphasis"/>
    <w:basedOn w:val="Fuentedeprrafopredeter"/>
    <w:uiPriority w:val="20"/>
    <w:qFormat/>
    <w:rsid w:val="000A045E"/>
    <w:rPr>
      <w:i/>
      <w:iCs/>
    </w:rPr>
  </w:style>
  <w:style w:type="character" w:customStyle="1" w:styleId="baj">
    <w:name w:val="b_aj"/>
    <w:basedOn w:val="Fuentedeprrafopredeter"/>
    <w:rsid w:val="000A045E"/>
  </w:style>
  <w:style w:type="character" w:styleId="Refdecomentario">
    <w:name w:val="annotation reference"/>
    <w:basedOn w:val="Fuentedeprrafopredeter"/>
    <w:uiPriority w:val="99"/>
    <w:semiHidden/>
    <w:unhideWhenUsed/>
    <w:rsid w:val="000A045E"/>
    <w:rPr>
      <w:sz w:val="16"/>
      <w:szCs w:val="16"/>
    </w:rPr>
  </w:style>
  <w:style w:type="paragraph" w:styleId="Textocomentario">
    <w:name w:val="annotation text"/>
    <w:basedOn w:val="Normal"/>
    <w:link w:val="TextocomentarioCar"/>
    <w:uiPriority w:val="99"/>
    <w:semiHidden/>
    <w:unhideWhenUsed/>
    <w:rsid w:val="000A045E"/>
    <w:rPr>
      <w:sz w:val="20"/>
      <w:szCs w:val="20"/>
    </w:rPr>
  </w:style>
  <w:style w:type="character" w:customStyle="1" w:styleId="TextocomentarioCar">
    <w:name w:val="Texto comentario Car"/>
    <w:basedOn w:val="Fuentedeprrafopredeter"/>
    <w:link w:val="Textocomentario"/>
    <w:uiPriority w:val="99"/>
    <w:semiHidden/>
    <w:rsid w:val="000A045E"/>
    <w:rPr>
      <w:rFonts w:eastAsia="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0A045E"/>
    <w:rPr>
      <w:b/>
      <w:bCs/>
    </w:rPr>
  </w:style>
  <w:style w:type="character" w:customStyle="1" w:styleId="AsuntodelcomentarioCar">
    <w:name w:val="Asunto del comentario Car"/>
    <w:basedOn w:val="TextocomentarioCar"/>
    <w:link w:val="Asuntodelcomentario"/>
    <w:uiPriority w:val="99"/>
    <w:semiHidden/>
    <w:rsid w:val="000A045E"/>
    <w:rPr>
      <w:rFonts w:eastAsia="Times New Roman"/>
      <w:b/>
      <w:bCs/>
      <w:sz w:val="20"/>
      <w:szCs w:val="20"/>
      <w:lang w:eastAsia="es-MX"/>
    </w:rPr>
  </w:style>
  <w:style w:type="character" w:customStyle="1" w:styleId="Mencinsinresolver2">
    <w:name w:val="Mención sin resolver2"/>
    <w:basedOn w:val="Fuentedeprrafopredeter"/>
    <w:uiPriority w:val="99"/>
    <w:semiHidden/>
    <w:unhideWhenUsed/>
    <w:rsid w:val="000A045E"/>
    <w:rPr>
      <w:color w:val="605E5C"/>
      <w:shd w:val="clear" w:color="auto" w:fill="E1DFDD"/>
    </w:rPr>
  </w:style>
  <w:style w:type="character" w:styleId="Textodelmarcadordeposicin">
    <w:name w:val="Placeholder Text"/>
    <w:basedOn w:val="Fuentedeprrafopredeter"/>
    <w:uiPriority w:val="99"/>
    <w:semiHidden/>
    <w:rsid w:val="000A045E"/>
    <w:rPr>
      <w:color w:val="808080"/>
    </w:rPr>
  </w:style>
  <w:style w:type="character" w:customStyle="1" w:styleId="Refdenotaalpie1Char">
    <w:name w:val="Ref. de nota al pie1 Char"/>
    <w:aliases w:val="Texto de nota al pie Char,Footnotes refss Char,Appel note de bas de page Char,Ref Char,de nota al pie Char,Ref1 Char,Footnote number Char,BVI fnr Char,f Char"/>
    <w:basedOn w:val="Fuentedeprrafopredeter"/>
    <w:uiPriority w:val="99"/>
    <w:rsid w:val="000A045E"/>
    <w:rPr>
      <w:rFonts w:ascii="Bookman Old Style" w:eastAsia="Times New Roman" w:hAnsi="Bookman Old Style" w:cs="Bookman Old Style"/>
      <w:sz w:val="20"/>
      <w:szCs w:val="20"/>
      <w:lang w:val="es-ES_tradnl" w:eastAsia="es-ES"/>
    </w:rPr>
  </w:style>
  <w:style w:type="paragraph" w:styleId="Revisin">
    <w:name w:val="Revision"/>
    <w:hidden/>
    <w:uiPriority w:val="99"/>
    <w:semiHidden/>
    <w:rsid w:val="000A045E"/>
    <w:pPr>
      <w:spacing w:after="0" w:line="240" w:lineRule="auto"/>
    </w:pPr>
    <w:rPr>
      <w:rFonts w:eastAsia="Times New Roman"/>
      <w:sz w:val="24"/>
      <w:szCs w:val="24"/>
      <w:lang w:eastAsia="es-MX"/>
    </w:rPr>
  </w:style>
  <w:style w:type="paragraph" w:customStyle="1" w:styleId="4GChar">
    <w:name w:val="4_G Char"/>
    <w:aliases w:val="Appel note de bas de page Char Char Char Char Char Char Char Char Char Char Char Char Char Char Char Char Char Char Char,Appel note de bas de page Char Char Char Char"/>
    <w:basedOn w:val="Normal"/>
    <w:uiPriority w:val="99"/>
    <w:qFormat/>
    <w:rsid w:val="000A045E"/>
    <w:pPr>
      <w:jc w:val="both"/>
    </w:pPr>
    <w:rPr>
      <w:rFonts w:eastAsiaTheme="minorHAnsi"/>
      <w:vertAlign w:val="superscript"/>
      <w:lang w:val="en-US" w:eastAsia="en-US"/>
    </w:rPr>
  </w:style>
  <w:style w:type="paragraph" w:styleId="Sinespaciado">
    <w:name w:val="No Spacing"/>
    <w:basedOn w:val="Normal"/>
    <w:uiPriority w:val="1"/>
    <w:qFormat/>
    <w:rsid w:val="000A045E"/>
    <w:pPr>
      <w:spacing w:before="100" w:beforeAutospacing="1" w:after="100" w:afterAutospacing="1"/>
    </w:pPr>
  </w:style>
  <w:style w:type="paragraph" w:styleId="Descripcin">
    <w:name w:val="caption"/>
    <w:basedOn w:val="Normal"/>
    <w:next w:val="Normal"/>
    <w:uiPriority w:val="35"/>
    <w:unhideWhenUsed/>
    <w:qFormat/>
    <w:rsid w:val="000A045E"/>
    <w:pPr>
      <w:spacing w:after="200"/>
    </w:pPr>
    <w:rPr>
      <w:i/>
      <w:iCs/>
      <w:color w:val="44546A" w:themeColor="text2"/>
      <w:sz w:val="18"/>
      <w:szCs w:val="18"/>
    </w:rPr>
  </w:style>
  <w:style w:type="character" w:customStyle="1" w:styleId="PrrafodelistaCar">
    <w:name w:val="Párrafo de lista Car"/>
    <w:aliases w:val="Colorful List - Accent 11 Car,Ha Car,List Paragraph1 Car,lp1 Car,Footnote Car,List Paragraph2 Car"/>
    <w:link w:val="Prrafodelista"/>
    <w:uiPriority w:val="34"/>
    <w:locked/>
    <w:rsid w:val="000A045E"/>
    <w:rPr>
      <w:rFonts w:eastAsia="Times New Roman"/>
      <w:sz w:val="24"/>
      <w:szCs w:val="24"/>
      <w:lang w:eastAsia="es-MX"/>
    </w:rPr>
  </w:style>
  <w:style w:type="paragraph" w:customStyle="1" w:styleId="centrado">
    <w:name w:val="centrado"/>
    <w:basedOn w:val="Normal"/>
    <w:rsid w:val="000A045E"/>
    <w:pPr>
      <w:spacing w:before="100" w:beforeAutospacing="1" w:after="100" w:afterAutospacing="1"/>
    </w:pPr>
  </w:style>
  <w:style w:type="paragraph" w:customStyle="1" w:styleId="Style3">
    <w:name w:val="Style3"/>
    <w:basedOn w:val="Normal"/>
    <w:uiPriority w:val="99"/>
    <w:rsid w:val="000A045E"/>
    <w:pPr>
      <w:widowControl w:val="0"/>
      <w:autoSpaceDE w:val="0"/>
      <w:autoSpaceDN w:val="0"/>
      <w:adjustRightInd w:val="0"/>
      <w:spacing w:line="300" w:lineRule="exact"/>
      <w:jc w:val="both"/>
    </w:pPr>
    <w:rPr>
      <w:lang w:val="es-ES" w:eastAsia="es-ES"/>
    </w:rPr>
  </w:style>
  <w:style w:type="paragraph" w:customStyle="1" w:styleId="Car4">
    <w:name w:val="Car4"/>
    <w:basedOn w:val="Normal"/>
    <w:rsid w:val="000A045E"/>
    <w:pPr>
      <w:spacing w:line="240" w:lineRule="exact"/>
      <w:jc w:val="both"/>
    </w:pPr>
    <w:rPr>
      <w:rFonts w:ascii="Tahoma" w:hAnsi="Tahoma"/>
      <w:sz w:val="20"/>
      <w:szCs w:val="20"/>
      <w:lang w:val="en-US" w:eastAsia="en-US"/>
    </w:rPr>
  </w:style>
  <w:style w:type="paragraph" w:styleId="Listaconvietas">
    <w:name w:val="List Bullet"/>
    <w:basedOn w:val="Normal"/>
    <w:uiPriority w:val="99"/>
    <w:semiHidden/>
    <w:unhideWhenUsed/>
    <w:rsid w:val="000A045E"/>
    <w:pPr>
      <w:numPr>
        <w:numId w:val="1"/>
      </w:numPr>
      <w:contextualSpacing/>
    </w:pPr>
  </w:style>
  <w:style w:type="paragraph" w:customStyle="1" w:styleId="CarCar1CarCarCarCarCarCarCarCarCarCar">
    <w:name w:val="Car Car1 Car Car Car Car Car Car Car Car Car Car"/>
    <w:basedOn w:val="Normal"/>
    <w:rsid w:val="000A045E"/>
    <w:pPr>
      <w:spacing w:line="240" w:lineRule="exact"/>
    </w:pPr>
    <w:rPr>
      <w:noProof/>
      <w:color w:val="000000"/>
      <w:sz w:val="20"/>
      <w:szCs w:val="20"/>
      <w:lang w:val="es-ES" w:eastAsia="es-ES"/>
    </w:rPr>
  </w:style>
  <w:style w:type="numbering" w:styleId="111111">
    <w:name w:val="Outline List 2"/>
    <w:basedOn w:val="Sinlista"/>
    <w:uiPriority w:val="99"/>
    <w:semiHidden/>
    <w:unhideWhenUsed/>
    <w:rsid w:val="00372F11"/>
    <w:pPr>
      <w:numPr>
        <w:numId w:val="3"/>
      </w:numPr>
    </w:pPr>
  </w:style>
  <w:style w:type="character" w:customStyle="1" w:styleId="FontStyle12">
    <w:name w:val="Font Style12"/>
    <w:uiPriority w:val="99"/>
    <w:rsid w:val="0041700E"/>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olaboracion.dnp.gov.co/CDT/PublishingImages/Planeacion-y-desarrollo/2023/noviembre/pdf/Inversion-de-recursos-publicos-en-infraestructura-de-vias-terciarias.pdf" TargetMode="External"/><Relationship Id="rId2" Type="http://schemas.openxmlformats.org/officeDocument/2006/relationships/hyperlink" Target="https://www.minambiente.gov.co/wp-content/uploads/2022/07/11.-PNVIR.pdf" TargetMode="External"/><Relationship Id="rId1" Type="http://schemas.openxmlformats.org/officeDocument/2006/relationships/hyperlink" Target="https://www.invias.gov.co/index.php/archivo-y-documentos/documentos-tecnicos/14788-cartilla-de-obras-menores-de-drenaje-y-estructuras-viales/file" TargetMode="External"/><Relationship Id="rId5" Type="http://schemas.openxmlformats.org/officeDocument/2006/relationships/hyperlink" Target="https://www.invias.gov.co/index.php/archivo-y-documentos/documentos-tecnicos/14788-cartilla-de-obras-menores-de-drenaje-y-estructuras-viales/file" TargetMode="External"/><Relationship Id="rId4" Type="http://schemas.openxmlformats.org/officeDocument/2006/relationships/hyperlink" Target="https://www.invias.gov.co/index.php/sala/noticias/5200-caminos-comunitarios-de-la-paz-total-avanza-en-la-firma-de-convenios-para-el-mejoramiento-de-vias-vered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18064</Words>
  <Characters>99353</Characters>
  <Application>Microsoft Office Word</Application>
  <DocSecurity>0</DocSecurity>
  <Lines>827</Lines>
  <Paragraphs>234</Paragraphs>
  <ScaleCrop>false</ScaleCrop>
  <Company/>
  <LinksUpToDate>false</LinksUpToDate>
  <CharactersWithSpaces>117183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2024-12-09T15:45:00Z</dcterms:created>
  <dcterms:modified xsi:type="dcterms:W3CDTF">2024-12-09T15:45:00Z</dcterms:modified>
</cp:coreProperties>
</file>